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71D4" w:rsidRDefault="00A10441" w14:paraId="4C554728" w14:textId="77777777">
      <w:pPr>
        <w:widowControl/>
        <w:tabs>
          <w:tab w:val="left" w:pos="0"/>
        </w:tabs>
        <w:jc w:val="center"/>
        <w:rPr>
          <w:rFonts w:ascii="Times New Roman" w:hAnsi="Times New Roman"/>
          <w:b/>
          <w:bCs/>
        </w:rPr>
      </w:pPr>
    </w:p>
    <w:p w:rsidRPr="001E697A" w:rsidR="00690F56" w:rsidP="001171D4" w:rsidRDefault="00690F56" w14:paraId="7E97B93F" w14:textId="4C9254C6">
      <w:pPr>
        <w:widowControl/>
        <w:tabs>
          <w:tab w:val="left" w:pos="0"/>
        </w:tabs>
        <w:jc w:val="center"/>
        <w:rPr>
          <w:rFonts w:ascii="Times New Roman" w:hAnsi="Times New Roman"/>
          <w:b/>
          <w:bCs/>
        </w:rPr>
      </w:pPr>
      <w:r w:rsidRPr="001E697A">
        <w:rPr>
          <w:rFonts w:ascii="Times New Roman" w:hAnsi="Times New Roman"/>
          <w:b/>
          <w:bCs/>
        </w:rPr>
        <w:t>SUPPORTING STATEMENT FOR</w:t>
      </w:r>
    </w:p>
    <w:p w:rsidRPr="00952B25" w:rsidR="006261A6" w:rsidP="001171D4" w:rsidRDefault="006261A6" w14:paraId="24CB02A7" w14:textId="6BF71FF2">
      <w:pPr>
        <w:widowControl/>
        <w:tabs>
          <w:tab w:val="left" w:pos="0"/>
        </w:tabs>
        <w:jc w:val="center"/>
        <w:rPr>
          <w:rFonts w:ascii="Times New Roman" w:hAnsi="Times New Roman"/>
          <w:b/>
          <w:bCs/>
          <w:caps/>
        </w:rPr>
      </w:pPr>
      <w:r w:rsidRPr="00952B25">
        <w:rPr>
          <w:rFonts w:ascii="Times New Roman" w:hAnsi="Times New Roman"/>
          <w:b/>
          <w:bCs/>
          <w:caps/>
        </w:rPr>
        <w:t>YouthBuild Reporting System</w:t>
      </w:r>
    </w:p>
    <w:p w:rsidRPr="0053728E" w:rsidR="00A10441" w:rsidP="00116CD5" w:rsidRDefault="00A10441" w14:paraId="35B2BDB0" w14:textId="77777777">
      <w:pPr>
        <w:widowControl/>
        <w:jc w:val="center"/>
        <w:rPr>
          <w:rFonts w:ascii="Times New Roman" w:hAnsi="Times New Roman"/>
          <w:b/>
          <w:bCs/>
        </w:rPr>
      </w:pPr>
    </w:p>
    <w:p w:rsidRPr="00744362" w:rsidR="00116CD5" w:rsidP="00116CD5" w:rsidRDefault="00116CD5" w14:paraId="2523DF68" w14:textId="77777777">
      <w:pPr>
        <w:widowControl/>
        <w:jc w:val="center"/>
        <w:rPr>
          <w:rFonts w:ascii="Times New Roman" w:hAnsi="Times New Roman"/>
          <w:b/>
          <w:bCs/>
        </w:rPr>
      </w:pPr>
    </w:p>
    <w:p w:rsidRPr="009813AF" w:rsidR="00690F56" w:rsidP="00116CD5" w:rsidRDefault="00116CD5" w14:paraId="6C3E63C8" w14:textId="5B03E36C">
      <w:pPr>
        <w:widowControl/>
        <w:jc w:val="center"/>
        <w:rPr>
          <w:rFonts w:ascii="Times New Roman" w:hAnsi="Times New Roman"/>
          <w:b/>
          <w:bCs/>
        </w:rPr>
      </w:pPr>
      <w:r w:rsidRPr="009813AF">
        <w:rPr>
          <w:rFonts w:ascii="Times New Roman" w:hAnsi="Times New Roman"/>
          <w:b/>
          <w:bCs/>
        </w:rPr>
        <w:t>OMB</w:t>
      </w:r>
      <w:r w:rsidR="001171D4">
        <w:rPr>
          <w:rFonts w:ascii="Times New Roman" w:hAnsi="Times New Roman"/>
          <w:b/>
          <w:bCs/>
        </w:rPr>
        <w:t xml:space="preserve"> </w:t>
      </w:r>
      <w:r w:rsidRPr="009813AF" w:rsidR="00690F56">
        <w:rPr>
          <w:rFonts w:ascii="Times New Roman" w:hAnsi="Times New Roman"/>
          <w:b/>
          <w:bCs/>
        </w:rPr>
        <w:t>CONTROL NO.</w:t>
      </w:r>
      <w:r w:rsidRPr="009813AF" w:rsidR="006261A6">
        <w:rPr>
          <w:rFonts w:ascii="Times New Roman" w:hAnsi="Times New Roman"/>
          <w:b/>
          <w:bCs/>
        </w:rPr>
        <w:t xml:space="preserve"> 1205-0464</w:t>
      </w:r>
      <w:r w:rsidRPr="009813AF" w:rsidR="00690F56">
        <w:rPr>
          <w:rFonts w:ascii="Times New Roman" w:hAnsi="Times New Roman"/>
          <w:b/>
          <w:bCs/>
        </w:rPr>
        <w:t xml:space="preserve"> </w:t>
      </w:r>
    </w:p>
    <w:p w:rsidRPr="00D63F03" w:rsidR="00530EBD" w:rsidP="00116CD5" w:rsidRDefault="00530EBD" w14:paraId="3086E90B" w14:textId="77777777">
      <w:pPr>
        <w:widowControl/>
        <w:jc w:val="center"/>
        <w:rPr>
          <w:rFonts w:ascii="Times New Roman" w:hAnsi="Times New Roman"/>
          <w:bCs/>
        </w:rPr>
      </w:pPr>
    </w:p>
    <w:p w:rsidRPr="005848EA" w:rsidR="00162984" w:rsidP="00162984" w:rsidRDefault="00162984" w14:paraId="283C1337" w14:textId="2BDC153E">
      <w:pPr>
        <w:rPr>
          <w:rFonts w:ascii="Times New Roman" w:hAnsi="Times New Roman"/>
          <w:bCs/>
        </w:rPr>
      </w:pPr>
      <w:r w:rsidRPr="00D63F03">
        <w:rPr>
          <w:rFonts w:ascii="Times New Roman" w:hAnsi="Times New Roman"/>
          <w:bCs/>
        </w:rPr>
        <w:t>This ICR seeks to</w:t>
      </w:r>
      <w:r>
        <w:rPr>
          <w:rFonts w:ascii="Times New Roman" w:hAnsi="Times New Roman"/>
          <w:bCs/>
        </w:rPr>
        <w:t xml:space="preserve"> </w:t>
      </w:r>
      <w:r>
        <w:rPr>
          <w:rFonts w:ascii="Times New Roman" w:hAnsi="Times New Roman"/>
        </w:rPr>
        <w:t xml:space="preserve">extend </w:t>
      </w:r>
      <w:r w:rsidRPr="007554DF">
        <w:rPr>
          <w:rFonts w:ascii="Times New Roman" w:hAnsi="Times New Roman"/>
        </w:rPr>
        <w:t>the reporting and recordkeeping requirements</w:t>
      </w:r>
      <w:r w:rsidRPr="00725704">
        <w:t xml:space="preserve"> </w:t>
      </w:r>
      <w:r w:rsidRPr="007554DF">
        <w:rPr>
          <w:rFonts w:ascii="Times New Roman" w:hAnsi="Times New Roman"/>
        </w:rPr>
        <w:t xml:space="preserve">of the YouthBuild program.  </w:t>
      </w:r>
    </w:p>
    <w:p w:rsidRPr="005848EA" w:rsidR="006261A6" w:rsidP="00D53DEB" w:rsidRDefault="006261A6" w14:paraId="3A02E042" w14:textId="77777777">
      <w:pPr>
        <w:widowControl/>
        <w:rPr>
          <w:rFonts w:ascii="Times New Roman" w:hAnsi="Times New Roman"/>
          <w:bCs/>
        </w:rPr>
      </w:pPr>
    </w:p>
    <w:p w:rsidR="00E3202E" w:rsidP="00E3202E" w:rsidRDefault="006261A6" w14:paraId="28CFBCA6" w14:textId="4FD0D684">
      <w:pPr>
        <w:pStyle w:val="Level1"/>
        <w:ind w:left="0" w:firstLine="0"/>
      </w:pPr>
      <w:r w:rsidRPr="00C50345">
        <w:rPr>
          <w:bCs/>
        </w:rPr>
        <w:t>This standardized data collection for program participants is</w:t>
      </w:r>
      <w:r w:rsidRPr="00C50345" w:rsidR="00E3202E">
        <w:rPr>
          <w:bCs/>
        </w:rPr>
        <w:t xml:space="preserve"> </w:t>
      </w:r>
      <w:r w:rsidRPr="00C50345" w:rsidR="00E3202E">
        <w:t xml:space="preserve">completed by YouthBuild grantees through the use of a web-based case management system. YouthBuild grantees provide </w:t>
      </w:r>
      <w:r w:rsidRPr="0053728E" w:rsidR="00E3202E">
        <w:t>quarterly performance data, including aggregate and participant-level information on demographic chara</w:t>
      </w:r>
      <w:r w:rsidRPr="00744362" w:rsidR="00E3202E">
        <w:t>cteristics, types of services received, placements, outcomes, and follow-up status through a web-based case management report (ETA-9136</w:t>
      </w:r>
      <w:r w:rsidR="005534C3">
        <w:t>)</w:t>
      </w:r>
      <w:r w:rsidRPr="00744362" w:rsidR="00E3202E">
        <w:t xml:space="preserve"> </w:t>
      </w:r>
      <w:r w:rsidR="005534C3">
        <w:t>using approved data elements (</w:t>
      </w:r>
      <w:r w:rsidRPr="00744362" w:rsidR="00E3202E">
        <w:t>ETA-</w:t>
      </w:r>
      <w:r w:rsidRPr="005534C3" w:rsidR="00E3202E">
        <w:t>9138</w:t>
      </w:r>
      <w:r w:rsidRPr="001E697A" w:rsidR="00E3202E">
        <w:t>).  This report collects data on individuals who receive education, occupational skills training, leadership development services, and other services essential to preparing at-risk youth</w:t>
      </w:r>
      <w:r w:rsidR="00310529">
        <w:t xml:space="preserve"> for</w:t>
      </w:r>
      <w:r w:rsidRPr="001E697A" w:rsidR="00E3202E">
        <w:t xml:space="preserve"> in-demand occupations through YouthBuild programs.</w:t>
      </w:r>
    </w:p>
    <w:p w:rsidRPr="005848EA" w:rsidR="00BD1BE2" w:rsidP="00E3202E" w:rsidRDefault="00BD1BE2" w14:paraId="4956C7AE" w14:textId="77777777">
      <w:pPr>
        <w:pStyle w:val="Level1"/>
        <w:ind w:left="0" w:firstLine="0"/>
      </w:pPr>
    </w:p>
    <w:p w:rsidRPr="009813AF" w:rsidR="00E3202E" w:rsidP="00E3202E" w:rsidRDefault="00E3202E" w14:paraId="4484F37D" w14:textId="2035214C">
      <w:pPr>
        <w:pStyle w:val="Level1"/>
        <w:ind w:left="0" w:firstLine="0"/>
      </w:pPr>
      <w:r w:rsidRPr="0053728E">
        <w:t xml:space="preserve">The Work Site Description </w:t>
      </w:r>
      <w:r w:rsidR="005534C3">
        <w:t xml:space="preserve">portion of </w:t>
      </w:r>
      <w:r w:rsidRPr="0053728E">
        <w:t>ETA-9143 is completed as part of each grant application</w:t>
      </w:r>
      <w:r w:rsidR="00BD1BE2">
        <w:t>,</w:t>
      </w:r>
      <w:r w:rsidRPr="0053728E">
        <w:t xml:space="preserve"> and then on an as-needed basis by YouthBuild grantees</w:t>
      </w:r>
      <w:r w:rsidR="005534C3">
        <w:t>, as they propose new</w:t>
      </w:r>
      <w:r w:rsidRPr="0053728E">
        <w:t xml:space="preserve"> work sites for training participants in construction skills.  The Annual Housing Census</w:t>
      </w:r>
      <w:r w:rsidR="005534C3">
        <w:t xml:space="preserve"> portion of</w:t>
      </w:r>
      <w:r w:rsidRPr="0053728E">
        <w:t xml:space="preserve"> ETA-9143 is completed once annually by YouthBuild grantees to provide information on the number of affordable housing units built or renovated by YouthBuild participants.</w:t>
      </w:r>
      <w:r w:rsidR="005534C3">
        <w:t xml:space="preserve"> </w:t>
      </w:r>
      <w:r w:rsidRPr="00744362">
        <w:t xml:space="preserve"> There are changes proposed </w:t>
      </w:r>
      <w:r w:rsidR="005534C3">
        <w:t>to</w:t>
      </w:r>
      <w:r w:rsidRPr="00744362">
        <w:t xml:space="preserve"> ETA-9143 that do not </w:t>
      </w:r>
      <w:r w:rsidRPr="00744362" w:rsidR="00BD1BE2">
        <w:t>affect</w:t>
      </w:r>
      <w:r w:rsidRPr="00744362">
        <w:t xml:space="preserve"> burden collection in this information request package. </w:t>
      </w:r>
    </w:p>
    <w:p w:rsidRPr="009813AF" w:rsidR="00E3202E" w:rsidP="00E3202E" w:rsidRDefault="00E3202E" w14:paraId="738252C7" w14:textId="74F5125E">
      <w:pPr>
        <w:pStyle w:val="Level1"/>
        <w:ind w:left="0" w:firstLine="0"/>
      </w:pPr>
    </w:p>
    <w:p w:rsidRPr="001E697A" w:rsidR="00E3202E" w:rsidP="00E3202E" w:rsidRDefault="00E3202E" w14:paraId="78CE8FF0" w14:textId="4361E452">
      <w:pPr>
        <w:pStyle w:val="Level1"/>
        <w:ind w:left="0" w:firstLine="0"/>
      </w:pPr>
      <w:r w:rsidRPr="00D63F03">
        <w:t xml:space="preserve">The accuracy, reliability, and comparability of program reports submitted by grantees </w:t>
      </w:r>
      <w:r w:rsidRPr="00D63F03">
        <w:lastRenderedPageBreak/>
        <w:t xml:space="preserve">using </w:t>
      </w:r>
      <w:r w:rsidRPr="005729EB">
        <w:t>federal funds are fundamental elements of good public administration and are necessary tools for maintaining and demonstrating system integrity.  The use of a standard set of data elements, definitions, and specifications at all levels of the workforce sys</w:t>
      </w:r>
      <w:r w:rsidRPr="001E697A">
        <w:t>tem helps improve the quality of performance information that ETA</w:t>
      </w:r>
      <w:r w:rsidR="00BD1BE2">
        <w:t xml:space="preserve"> receives</w:t>
      </w:r>
      <w:r w:rsidRPr="001E697A">
        <w:t>.</w:t>
      </w:r>
    </w:p>
    <w:p w:rsidRPr="001E697A" w:rsidR="00E3202E" w:rsidP="00E3202E" w:rsidRDefault="00E3202E" w14:paraId="7783C34E" w14:textId="77777777">
      <w:pPr>
        <w:pStyle w:val="Level1"/>
        <w:ind w:left="0" w:firstLine="0"/>
      </w:pPr>
    </w:p>
    <w:p w:rsidRPr="001E697A" w:rsidR="00690F56" w:rsidP="00242CA0" w:rsidRDefault="00690F56" w14:paraId="0A674873" w14:textId="77777777">
      <w:pPr>
        <w:widowControl/>
        <w:numPr>
          <w:ilvl w:val="0"/>
          <w:numId w:val="8"/>
        </w:numPr>
        <w:ind w:left="540" w:hanging="450"/>
        <w:rPr>
          <w:rFonts w:ascii="Times New Roman" w:hAnsi="Times New Roman"/>
          <w:b/>
          <w:bCs/>
        </w:rPr>
      </w:pPr>
      <w:r w:rsidRPr="001E697A">
        <w:rPr>
          <w:rFonts w:ascii="Times New Roman" w:hAnsi="Times New Roman"/>
          <w:b/>
          <w:bCs/>
        </w:rPr>
        <w:t>JUSTIFICATION</w:t>
      </w:r>
    </w:p>
    <w:p w:rsidRPr="001E697A" w:rsidR="00690F56" w:rsidP="00690F56" w:rsidRDefault="00690F56" w14:paraId="375316BB" w14:textId="77777777">
      <w:pPr>
        <w:widowControl/>
        <w:rPr>
          <w:rFonts w:ascii="Times New Roman" w:hAnsi="Times New Roman"/>
          <w:b/>
          <w:bCs/>
        </w:rPr>
      </w:pPr>
    </w:p>
    <w:p w:rsidR="00690F56" w:rsidP="00690F56" w:rsidRDefault="00690F56" w14:paraId="099BCB32" w14:textId="2F876B3A">
      <w:pPr>
        <w:widowControl/>
        <w:rPr>
          <w:rFonts w:ascii="Times New Roman" w:hAnsi="Times New Roman"/>
          <w:b/>
          <w:bCs/>
        </w:rPr>
      </w:pPr>
      <w:r w:rsidRPr="001E697A">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E697A" w:rsidR="000751F9" w:rsidP="00690F56" w:rsidRDefault="000751F9" w14:paraId="6F8359B6" w14:textId="77777777">
      <w:pPr>
        <w:widowControl/>
        <w:rPr>
          <w:rFonts w:ascii="Times New Roman" w:hAnsi="Times New Roman"/>
          <w:b/>
          <w:bCs/>
        </w:rPr>
      </w:pPr>
    </w:p>
    <w:p w:rsidRPr="005534C3" w:rsidR="00E3202E" w:rsidP="00E3202E" w:rsidRDefault="00E3202E" w14:paraId="6B145264" w14:textId="77777777">
      <w:pPr>
        <w:ind w:left="60"/>
        <w:rPr>
          <w:rFonts w:ascii="Times New Roman" w:hAnsi="Times New Roman"/>
        </w:rPr>
      </w:pPr>
      <w:r w:rsidRPr="005534C3">
        <w:rPr>
          <w:rFonts w:ascii="Times New Roman" w:hAnsi="Times New Roman"/>
        </w:rPr>
        <w:t>The YouthBuild program is authorized under the Workforce Innovation and Opportunity Act of 2014 (PL 113-128), also known as WIOA, which identifies performance accountability requirements for these grants.  YouthBuild is designed to: enable disadvantaged youth to obtain the education and employment skills necessary to achieve economic self-sufficiency in occupations in post-secondary education and high-demand training opportunities; provide disadvantaged youth with opportunities for meaningful work and service to communities; foster the development of employment and leadership skills and commitment to community development among youth in low-income communities; and expand the supply of permanent affordable housing for homeless individuals and low-income families by utilizing the energies and talents of disadvantaged youth.</w:t>
      </w:r>
    </w:p>
    <w:p w:rsidRPr="005534C3" w:rsidR="00E3202E" w:rsidP="00E3202E" w:rsidRDefault="00E3202E" w14:paraId="05A9C2A3" w14:textId="77777777">
      <w:pPr>
        <w:rPr>
          <w:rFonts w:ascii="Times New Roman" w:hAnsi="Times New Roman"/>
        </w:rPr>
      </w:pPr>
    </w:p>
    <w:p w:rsidRPr="005534C3" w:rsidR="00E3202E" w:rsidP="00E3202E" w:rsidRDefault="00E3202E" w14:paraId="5C9CA7E0" w14:textId="1F7F622C">
      <w:pPr>
        <w:rPr>
          <w:rFonts w:ascii="Times New Roman" w:hAnsi="Times New Roman"/>
          <w:bCs/>
        </w:rPr>
      </w:pPr>
      <w:r w:rsidRPr="005534C3">
        <w:rPr>
          <w:rFonts w:ascii="Times New Roman" w:hAnsi="Times New Roman"/>
        </w:rPr>
        <w:t xml:space="preserve">YouthBuild assists youth who are often significantly behind in basic skills in obtaining a high school diploma or state-recognized equivalency.  </w:t>
      </w:r>
      <w:r w:rsidRPr="005534C3">
        <w:rPr>
          <w:rFonts w:ascii="Times New Roman" w:hAnsi="Times New Roman"/>
          <w:bCs/>
        </w:rPr>
        <w:t xml:space="preserve">In YouthBuild, unemployed and undereducated young people ages 16-24 work toward their high school diploma or state-recognized equivalency degree while learning job skills by building affordable housing for homeless and low-income people.  </w:t>
      </w:r>
      <w:r w:rsidRPr="005534C3">
        <w:rPr>
          <w:rFonts w:ascii="Times New Roman" w:hAnsi="Times New Roman"/>
        </w:rPr>
        <w:t xml:space="preserve">The primary target populations for YouthBuild are low-income youth, adjudicated youth, youth aging out of foster care, out-of-school </w:t>
      </w:r>
      <w:r w:rsidRPr="005534C3">
        <w:rPr>
          <w:rFonts w:ascii="Times New Roman" w:hAnsi="Times New Roman"/>
        </w:rPr>
        <w:lastRenderedPageBreak/>
        <w:t>youth, and other at-risk populations.  The reporting and recordkeeping system incorporates each of these aspects</w:t>
      </w:r>
      <w:r w:rsidR="00310529">
        <w:rPr>
          <w:rFonts w:ascii="Times New Roman" w:hAnsi="Times New Roman"/>
        </w:rPr>
        <w:t>, which are</w:t>
      </w:r>
      <w:r w:rsidRPr="005534C3">
        <w:rPr>
          <w:rFonts w:ascii="Times New Roman" w:hAnsi="Times New Roman"/>
        </w:rPr>
        <w:t xml:space="preserve"> necessary for program evaluation.</w:t>
      </w:r>
    </w:p>
    <w:p w:rsidRPr="005534C3" w:rsidR="00E3202E" w:rsidP="00E3202E" w:rsidRDefault="00E3202E" w14:paraId="00E13337" w14:textId="77777777">
      <w:pPr>
        <w:pStyle w:val="Header"/>
        <w:ind w:right="270"/>
        <w:rPr>
          <w:rFonts w:ascii="Times New Roman" w:hAnsi="Times New Roman"/>
        </w:rPr>
      </w:pPr>
    </w:p>
    <w:p w:rsidRPr="00725704" w:rsidR="00D42978" w:rsidP="000751F9" w:rsidRDefault="00E3202E" w14:paraId="435685D1" w14:textId="632D6CF4">
      <w:pPr>
        <w:pStyle w:val="NormalSS"/>
        <w:ind w:firstLine="0"/>
        <w:jc w:val="left"/>
      </w:pPr>
      <w:r w:rsidRPr="005534C3">
        <w:t xml:space="preserve">WIOA identifies six performance indicators for all Title I programs: placement into unsubsidized employment in the second quarter after exit (and for youth, also into post-secondary education or training); placement into unsubsidized employment in the fourth quarter after exit (and for youth, also into post-secondary education or training); Median Earnings in the second quarter after exit; Credential Attainment; Measurable Skill Gains; and Effectiveness in Serving Employers.  ETA provides web-based case management applications for the collection and reporting of these indicators, which </w:t>
      </w:r>
      <w:r w:rsidR="001C2062">
        <w:t xml:space="preserve">grantees currently </w:t>
      </w:r>
      <w:r w:rsidRPr="005534C3">
        <w:t xml:space="preserve">report into the </w:t>
      </w:r>
      <w:r w:rsidRPr="00D6665A">
        <w:t>ETA-9136 YouthBuild Quarterly Performance Report</w:t>
      </w:r>
      <w:r w:rsidRPr="00D6665A" w:rsidR="00D42978">
        <w:t xml:space="preserve">, using the ETA-9138 data elements, </w:t>
      </w:r>
      <w:r w:rsidR="001C2062">
        <w:t>while the new WIOA-compliant Grant Performance Management System is still under development.  Once GPMS is completed, new YouthBuild grantees will begin using that system and the ETA-9136 and ETA-9138 will eventually be sunset as current grantees complete their grant periods of performance.  Until such time, we are</w:t>
      </w:r>
      <w:r w:rsidRPr="00D6665A" w:rsidR="00D42978">
        <w:t xml:space="preserve"> </w:t>
      </w:r>
      <w:r w:rsidRPr="00D6665A">
        <w:t>requesting approval extension</w:t>
      </w:r>
      <w:r w:rsidR="001C2062">
        <w:t xml:space="preserve"> for these forms currently </w:t>
      </w:r>
      <w:r w:rsidRPr="00434B76" w:rsidR="001C2062">
        <w:t>authorized under this OMB approval</w:t>
      </w:r>
      <w:r w:rsidRPr="00D6665A" w:rsidR="00D42978">
        <w:t>.</w:t>
      </w:r>
      <w:r w:rsidRPr="00D6665A">
        <w:t xml:space="preserve"> </w:t>
      </w:r>
      <w:r w:rsidR="00D42978">
        <w:t xml:space="preserve"> </w:t>
      </w:r>
      <w:r w:rsidR="00D42978">
        <w:rPr>
          <w:szCs w:val="24"/>
        </w:rPr>
        <w:t xml:space="preserve">The extension on this ICR </w:t>
      </w:r>
      <w:r w:rsidR="00BD1BE2">
        <w:rPr>
          <w:szCs w:val="24"/>
        </w:rPr>
        <w:t>which relates</w:t>
      </w:r>
      <w:r w:rsidR="00D42978">
        <w:rPr>
          <w:szCs w:val="24"/>
        </w:rPr>
        <w:t xml:space="preserve"> to ETA-9136</w:t>
      </w:r>
      <w:r w:rsidR="001C2062">
        <w:rPr>
          <w:szCs w:val="24"/>
        </w:rPr>
        <w:t xml:space="preserve"> and ETA-9138</w:t>
      </w:r>
      <w:r w:rsidR="00D42978">
        <w:rPr>
          <w:szCs w:val="24"/>
        </w:rPr>
        <w:t xml:space="preserve"> is to ensure the completion of performance reporting for </w:t>
      </w:r>
      <w:r w:rsidR="001C2062">
        <w:rPr>
          <w:szCs w:val="24"/>
        </w:rPr>
        <w:t xml:space="preserve">these </w:t>
      </w:r>
      <w:r w:rsidR="00D42978">
        <w:rPr>
          <w:szCs w:val="24"/>
        </w:rPr>
        <w:t>grants.</w:t>
      </w:r>
    </w:p>
    <w:p w:rsidRPr="00D6665A" w:rsidR="00E3202E" w:rsidP="00E3202E" w:rsidRDefault="00E3202E" w14:paraId="6AE5CC00" w14:textId="4DE4DDA9">
      <w:pPr>
        <w:widowControl/>
        <w:rPr>
          <w:rFonts w:ascii="Times New Roman" w:hAnsi="Times New Roman"/>
        </w:rPr>
      </w:pPr>
    </w:p>
    <w:p w:rsidRPr="00D6665A" w:rsidR="00E3202E" w:rsidP="00E3202E" w:rsidRDefault="00E3202E" w14:paraId="2E56F1E0" w14:textId="77777777">
      <w:pPr>
        <w:rPr>
          <w:rFonts w:ascii="Times New Roman" w:hAnsi="Times New Roman"/>
        </w:rPr>
      </w:pPr>
      <w:r w:rsidRPr="00D6665A">
        <w:rPr>
          <w:rFonts w:ascii="Times New Roman" w:hAnsi="Times New Roman"/>
          <w:u w:val="single"/>
        </w:rPr>
        <w:t>Pub.L. No. 113-128, Sec 185(d) (The Workforce Innovation and Opportunity Act)</w:t>
      </w:r>
      <w:r w:rsidRPr="00D6665A">
        <w:rPr>
          <w:rFonts w:ascii="Times New Roman" w:hAnsi="Times New Roman"/>
        </w:rPr>
        <w:t xml:space="preserve"> broadly addresses reports, recordkeeping, and investigations across programs authorized under Title I of the Act.  The provisions of section 185:</w:t>
      </w:r>
    </w:p>
    <w:p w:rsidRPr="00D6665A" w:rsidR="00E3202E" w:rsidP="00E3202E" w:rsidRDefault="00E3202E" w14:paraId="5889EBB4" w14:textId="77777777">
      <w:pPr>
        <w:rPr>
          <w:rFonts w:ascii="Times New Roman" w:hAnsi="Times New Roman"/>
        </w:rPr>
      </w:pPr>
    </w:p>
    <w:p w:rsidRPr="00D6665A" w:rsidR="00E3202E" w:rsidP="00E3202E" w:rsidRDefault="00E3202E" w14:paraId="3E242AE3" w14:textId="77777777">
      <w:pPr>
        <w:numPr>
          <w:ilvl w:val="0"/>
          <w:numId w:val="15"/>
        </w:numPr>
        <w:rPr>
          <w:rFonts w:ascii="Times New Roman" w:hAnsi="Times New Roman"/>
        </w:rPr>
      </w:pPr>
      <w:r w:rsidRPr="00D6665A">
        <w:rPr>
          <w:rFonts w:ascii="Times New Roman" w:hAnsi="Times New Roman"/>
        </w:rPr>
        <w:t>Require the Secretary to ensure that all elements of the information required for reports be defined and reported uniformly [section 185(d)(2)];</w:t>
      </w:r>
    </w:p>
    <w:p w:rsidRPr="00D6665A" w:rsidR="00E3202E" w:rsidP="00E3202E" w:rsidRDefault="00E3202E" w14:paraId="0C8E1FC8" w14:textId="2E4C7A6E">
      <w:pPr>
        <w:numPr>
          <w:ilvl w:val="0"/>
          <w:numId w:val="15"/>
        </w:numPr>
        <w:rPr>
          <w:rFonts w:ascii="Times New Roman" w:hAnsi="Times New Roman"/>
        </w:rPr>
      </w:pPr>
      <w:r w:rsidRPr="00D6665A">
        <w:rPr>
          <w:rFonts w:ascii="Times New Roman" w:hAnsi="Times New Roman"/>
        </w:rPr>
        <w:t>Direct each state, local board, and  recipient (other than a sub-recipient, sub-grantee, or contractor of a recipient) to prescribe and maintain comparable management information systems, in accordance with the guidelines that shall be prescribed by the Secretary</w:t>
      </w:r>
      <w:r w:rsidR="00444AA7">
        <w:rPr>
          <w:rFonts w:ascii="Times New Roman" w:hAnsi="Times New Roman"/>
        </w:rPr>
        <w:t>,</w:t>
      </w:r>
      <w:r w:rsidRPr="00D6665A">
        <w:rPr>
          <w:rFonts w:ascii="Times New Roman" w:hAnsi="Times New Roman"/>
        </w:rPr>
        <w:t xml:space="preserve"> designed to facilitate the uniform compilation, cross tabulation, and analysis of programmatic, participant and financial data, on </w:t>
      </w:r>
      <w:r w:rsidRPr="00D6665A">
        <w:rPr>
          <w:rFonts w:ascii="Times New Roman" w:hAnsi="Times New Roman"/>
        </w:rPr>
        <w:lastRenderedPageBreak/>
        <w:t>statewide, local area, and other appropriate bases, necessary for reporting, monitoring, and evaluating purposes, including data necessary to comply with section 188 [section 185(c)(2)];</w:t>
      </w:r>
    </w:p>
    <w:p w:rsidRPr="00D6665A" w:rsidR="00E3202E" w:rsidP="00E3202E" w:rsidRDefault="00E3202E" w14:paraId="436602EA" w14:textId="77777777">
      <w:pPr>
        <w:numPr>
          <w:ilvl w:val="0"/>
          <w:numId w:val="15"/>
        </w:numPr>
        <w:rPr>
          <w:rFonts w:ascii="Times New Roman" w:hAnsi="Times New Roman"/>
        </w:rPr>
      </w:pPr>
      <w:r w:rsidRPr="00D6665A">
        <w:rPr>
          <w:rFonts w:ascii="Times New Roman" w:hAnsi="Times New Roman"/>
        </w:rPr>
        <w:t>Require that recipients of funds under Title I shall maintain such records and submit such reports in such form and containing such information as the Secretary may require regarding the performance of programs and activities carried out under Title I [section 185(a)(2)];</w:t>
      </w:r>
    </w:p>
    <w:p w:rsidRPr="005848EA" w:rsidR="00E3202E" w:rsidP="00E3202E" w:rsidRDefault="00E3202E" w14:paraId="3B8A9AE2" w14:textId="77777777">
      <w:pPr>
        <w:pStyle w:val="List-1stLevel"/>
        <w:widowControl w:val="0"/>
        <w:numPr>
          <w:ilvl w:val="0"/>
          <w:numId w:val="16"/>
        </w:numPr>
        <w:autoSpaceDE w:val="0"/>
        <w:autoSpaceDN w:val="0"/>
        <w:adjustRightInd w:val="0"/>
        <w:spacing w:before="0" w:after="0" w:line="240" w:lineRule="auto"/>
        <w:ind w:left="720"/>
        <w:rPr>
          <w:rFonts w:ascii="Times New Roman" w:hAnsi="Times New Roman"/>
          <w:szCs w:val="24"/>
        </w:rPr>
      </w:pPr>
      <w:r w:rsidRPr="001E697A">
        <w:rPr>
          <w:rFonts w:ascii="Times New Roman" w:hAnsi="Times New Roman"/>
          <w:szCs w:val="24"/>
        </w:rPr>
        <w:t xml:space="preserve">Require that recipients of funds under Title I shall maintain </w:t>
      </w:r>
      <w:r w:rsidRPr="005848EA">
        <w:rPr>
          <w:rFonts w:ascii="Times New Roman" w:hAnsi="Times New Roman"/>
          <w:szCs w:val="24"/>
        </w:rPr>
        <w:t>standardized records for all individual participants and provide to the Secretary a sufficient number of such records to provide for an adequate analysis of the records [section 185(a)(3)];</w:t>
      </w:r>
    </w:p>
    <w:p w:rsidRPr="005848EA" w:rsidR="00E3202E" w:rsidP="00E3202E" w:rsidRDefault="00E3202E" w14:paraId="4F649BB4" w14:textId="77777777">
      <w:pPr>
        <w:pStyle w:val="List-1stLevel"/>
        <w:widowControl w:val="0"/>
        <w:numPr>
          <w:ilvl w:val="0"/>
          <w:numId w:val="15"/>
        </w:numPr>
        <w:autoSpaceDE w:val="0"/>
        <w:autoSpaceDN w:val="0"/>
        <w:adjustRightInd w:val="0"/>
        <w:spacing w:before="0" w:line="240" w:lineRule="auto"/>
        <w:rPr>
          <w:rFonts w:ascii="Times New Roman" w:hAnsi="Times New Roman"/>
          <w:szCs w:val="24"/>
        </w:rPr>
      </w:pPr>
      <w:r w:rsidRPr="005848EA">
        <w:rPr>
          <w:rFonts w:ascii="Times New Roman" w:hAnsi="Times New Roman"/>
          <w:szCs w:val="24"/>
        </w:rPr>
        <w:t>Specify that the reports shall include information about programs and activities carried out under Title I pertaining to:</w:t>
      </w:r>
    </w:p>
    <w:p w:rsidRPr="00383ECF" w:rsidR="00E3202E" w:rsidP="00E3202E" w:rsidRDefault="00E3202E" w14:paraId="61B62CCB" w14:textId="77777777">
      <w:pPr>
        <w:numPr>
          <w:ilvl w:val="0"/>
          <w:numId w:val="19"/>
        </w:numPr>
        <w:tabs>
          <w:tab w:val="clear" w:pos="1080"/>
          <w:tab w:val="left" w:pos="-1440"/>
          <w:tab w:val="num" w:pos="1440"/>
        </w:tabs>
        <w:ind w:left="1440"/>
        <w:rPr>
          <w:rFonts w:ascii="Times New Roman" w:hAnsi="Times New Roman"/>
        </w:rPr>
      </w:pPr>
      <w:r w:rsidRPr="00383ECF">
        <w:rPr>
          <w:rFonts w:ascii="Times New Roman" w:hAnsi="Times New Roman"/>
        </w:rPr>
        <w:t>relevant demographic characteristics (including race, ethnicity, sex, and age) and other related information regarding participants;</w:t>
      </w:r>
    </w:p>
    <w:p w:rsidRPr="00383ECF" w:rsidR="00E3202E" w:rsidP="00E3202E" w:rsidRDefault="00E3202E" w14:paraId="24E150DF" w14:textId="77777777">
      <w:pPr>
        <w:numPr>
          <w:ilvl w:val="0"/>
          <w:numId w:val="19"/>
        </w:numPr>
        <w:tabs>
          <w:tab w:val="clear" w:pos="1080"/>
          <w:tab w:val="left" w:pos="-1440"/>
          <w:tab w:val="num" w:pos="1440"/>
        </w:tabs>
        <w:ind w:left="1440"/>
        <w:rPr>
          <w:rFonts w:ascii="Times New Roman" w:hAnsi="Times New Roman"/>
        </w:rPr>
      </w:pPr>
      <w:r w:rsidRPr="00383ECF">
        <w:rPr>
          <w:rFonts w:ascii="Times New Roman" w:hAnsi="Times New Roman"/>
        </w:rPr>
        <w:t>programs and activities in which participants are enrolled, and the length of time that participants are engaged in such programs and activities;</w:t>
      </w:r>
    </w:p>
    <w:p w:rsidRPr="00383ECF" w:rsidR="00E3202E" w:rsidP="00E3202E" w:rsidRDefault="00E3202E" w14:paraId="72E84EC7" w14:textId="77777777">
      <w:pPr>
        <w:numPr>
          <w:ilvl w:val="0"/>
          <w:numId w:val="19"/>
        </w:numPr>
        <w:tabs>
          <w:tab w:val="clear" w:pos="1080"/>
          <w:tab w:val="left" w:pos="-1440"/>
          <w:tab w:val="num" w:pos="1440"/>
        </w:tabs>
        <w:ind w:left="1440"/>
        <w:rPr>
          <w:rFonts w:ascii="Times New Roman" w:hAnsi="Times New Roman"/>
        </w:rPr>
      </w:pPr>
      <w:r w:rsidRPr="00383ECF">
        <w:rPr>
          <w:rFonts w:ascii="Times New Roman" w:hAnsi="Times New Roman"/>
        </w:rPr>
        <w:t>outcomes of the programs and activities for participants, including the occupations of participants and placement for participants in nontraditional employment;</w:t>
      </w:r>
    </w:p>
    <w:p w:rsidRPr="00383ECF" w:rsidR="00E3202E" w:rsidP="00E3202E" w:rsidRDefault="00E3202E" w14:paraId="55232B57" w14:textId="77777777">
      <w:pPr>
        <w:numPr>
          <w:ilvl w:val="0"/>
          <w:numId w:val="19"/>
        </w:numPr>
        <w:tabs>
          <w:tab w:val="clear" w:pos="1080"/>
          <w:tab w:val="left" w:pos="-1440"/>
          <w:tab w:val="num" w:pos="1440"/>
        </w:tabs>
        <w:ind w:left="1440"/>
        <w:rPr>
          <w:rFonts w:ascii="Times New Roman" w:hAnsi="Times New Roman"/>
        </w:rPr>
      </w:pPr>
      <w:r w:rsidRPr="00383ECF">
        <w:rPr>
          <w:rFonts w:ascii="Times New Roman" w:hAnsi="Times New Roman"/>
        </w:rPr>
        <w:t>specified costs of the programs and activities; and</w:t>
      </w:r>
    </w:p>
    <w:p w:rsidRPr="00383ECF" w:rsidR="00E3202E" w:rsidP="00E3202E" w:rsidRDefault="00E3202E" w14:paraId="41429CF8" w14:textId="77777777">
      <w:pPr>
        <w:numPr>
          <w:ilvl w:val="0"/>
          <w:numId w:val="19"/>
        </w:numPr>
        <w:tabs>
          <w:tab w:val="clear" w:pos="1080"/>
          <w:tab w:val="left" w:pos="-1440"/>
          <w:tab w:val="num" w:pos="1440"/>
        </w:tabs>
        <w:spacing w:after="60"/>
        <w:ind w:left="1440"/>
        <w:rPr>
          <w:rFonts w:ascii="Times New Roman" w:hAnsi="Times New Roman"/>
        </w:rPr>
      </w:pPr>
      <w:r w:rsidRPr="00383ECF">
        <w:rPr>
          <w:rFonts w:ascii="Times New Roman" w:hAnsi="Times New Roman"/>
        </w:rPr>
        <w:t>information necessary to prepare reports to comply with section 188 and 29 CFR Part 37.37 [(a-b),(d-e)]; and,</w:t>
      </w:r>
    </w:p>
    <w:p w:rsidRPr="005848EA" w:rsidR="00E3202E" w:rsidP="00E3202E" w:rsidRDefault="00E3202E" w14:paraId="338CB34E" w14:textId="77777777">
      <w:pPr>
        <w:pStyle w:val="List-1stLevel"/>
        <w:widowControl w:val="0"/>
        <w:numPr>
          <w:ilvl w:val="0"/>
          <w:numId w:val="20"/>
        </w:numPr>
        <w:tabs>
          <w:tab w:val="left" w:pos="-1440"/>
        </w:tabs>
        <w:autoSpaceDE w:val="0"/>
        <w:autoSpaceDN w:val="0"/>
        <w:adjustRightInd w:val="0"/>
        <w:spacing w:before="0" w:after="0" w:line="240" w:lineRule="auto"/>
        <w:rPr>
          <w:rFonts w:ascii="Times New Roman" w:hAnsi="Times New Roman"/>
          <w:szCs w:val="24"/>
        </w:rPr>
      </w:pPr>
      <w:r w:rsidRPr="001E697A">
        <w:rPr>
          <w:rFonts w:ascii="Times New Roman" w:hAnsi="Times New Roman"/>
          <w:szCs w:val="24"/>
        </w:rPr>
        <w:t>Require that all elements of the information required for the reports described in section 185(d)(1)(A-E) abov</w:t>
      </w:r>
      <w:r w:rsidRPr="005848EA">
        <w:rPr>
          <w:rFonts w:ascii="Times New Roman" w:hAnsi="Times New Roman"/>
          <w:szCs w:val="24"/>
        </w:rPr>
        <w:t xml:space="preserve">e are defined and uniformly reported.  </w:t>
      </w:r>
    </w:p>
    <w:p w:rsidRPr="00383ECF" w:rsidR="00E3202E" w:rsidP="00E3202E" w:rsidRDefault="00E3202E" w14:paraId="37C78FAD" w14:textId="77777777">
      <w:pPr>
        <w:rPr>
          <w:rFonts w:ascii="Times New Roman" w:hAnsi="Times New Roman"/>
        </w:rPr>
      </w:pPr>
    </w:p>
    <w:p w:rsidRPr="00383ECF" w:rsidR="00E3202E" w:rsidP="00E3202E" w:rsidRDefault="00E3202E" w14:paraId="7DDFBF9A" w14:textId="77777777">
      <w:pPr>
        <w:rPr>
          <w:rFonts w:ascii="Times New Roman" w:hAnsi="Times New Roman"/>
        </w:rPr>
      </w:pPr>
      <w:r w:rsidRPr="00383ECF">
        <w:rPr>
          <w:rFonts w:ascii="Times New Roman" w:hAnsi="Times New Roman"/>
          <w:u w:val="single"/>
        </w:rPr>
        <w:t>Pub.L. No. 113-128, Sec 189(d) (The Workforce Innovation and Opportunity Act)</w:t>
      </w:r>
      <w:r w:rsidRPr="00383ECF">
        <w:rPr>
          <w:rFonts w:ascii="Times New Roman" w:hAnsi="Times New Roman"/>
        </w:rPr>
        <w:t xml:space="preserve"> requires the Secretary to prepare and submit to Congress an annual report regarding the programs and activities carried out under Title I.  The report must include:</w:t>
      </w:r>
    </w:p>
    <w:p w:rsidRPr="00383ECF" w:rsidR="00E3202E" w:rsidP="00E3202E" w:rsidRDefault="00E3202E" w14:paraId="0BC67C65" w14:textId="77777777">
      <w:pPr>
        <w:rPr>
          <w:rFonts w:ascii="Times New Roman" w:hAnsi="Times New Roman"/>
        </w:rPr>
      </w:pPr>
    </w:p>
    <w:p w:rsidRPr="005848EA" w:rsidR="00E3202E" w:rsidP="00E3202E" w:rsidRDefault="00E3202E" w14:paraId="589EF57F" w14:textId="3527B554">
      <w:pPr>
        <w:pStyle w:val="Level1"/>
        <w:numPr>
          <w:ilvl w:val="0"/>
          <w:numId w:val="17"/>
        </w:numPr>
        <w:tabs>
          <w:tab w:val="left" w:pos="-1440"/>
        </w:tabs>
      </w:pPr>
      <w:bookmarkStart w:name="_Toc76458970" w:id="0"/>
      <w:r w:rsidRPr="001E697A">
        <w:lastRenderedPageBreak/>
        <w:t xml:space="preserve">A summary of the achievements, failures and </w:t>
      </w:r>
      <w:r w:rsidR="00A40185">
        <w:t xml:space="preserve">challenges </w:t>
      </w:r>
      <w:r w:rsidRPr="001E697A">
        <w:t>of the programs and activities in meeting the objectives of Title I</w:t>
      </w:r>
      <w:bookmarkEnd w:id="0"/>
      <w:r w:rsidRPr="001E697A">
        <w:t>;</w:t>
      </w:r>
    </w:p>
    <w:p w:rsidR="00E3202E" w:rsidP="00E3202E" w:rsidRDefault="00E3202E" w14:paraId="653CFBED" w14:textId="1ED2E060">
      <w:pPr>
        <w:pStyle w:val="Level1"/>
        <w:numPr>
          <w:ilvl w:val="0"/>
          <w:numId w:val="17"/>
        </w:numPr>
        <w:tabs>
          <w:tab w:val="left" w:pos="-1440"/>
        </w:tabs>
      </w:pPr>
      <w:bookmarkStart w:name="_Toc76458971" w:id="1"/>
      <w:r w:rsidRPr="005848EA">
        <w:t>A summary of major findings from research, evaluations, pilot projects, and experiments conducted under Title I in the fiscal year prior to the submission of the report</w:t>
      </w:r>
      <w:bookmarkEnd w:id="1"/>
      <w:r w:rsidRPr="005848EA">
        <w:t>;</w:t>
      </w:r>
    </w:p>
    <w:p w:rsidR="00383ECF" w:rsidP="00E3202E" w:rsidRDefault="00383ECF" w14:paraId="1AF6796D" w14:textId="19E6DD60">
      <w:pPr>
        <w:pStyle w:val="Level1"/>
        <w:numPr>
          <w:ilvl w:val="0"/>
          <w:numId w:val="17"/>
        </w:numPr>
        <w:tabs>
          <w:tab w:val="left" w:pos="-1440"/>
        </w:tabs>
      </w:pPr>
      <w:r>
        <w:t>Recommendations for modifications in the programs and activities based on analysis of such findings;</w:t>
      </w:r>
      <w:r w:rsidR="00BD1BE2">
        <w:t xml:space="preserve"> and</w:t>
      </w:r>
    </w:p>
    <w:p w:rsidRPr="005848EA" w:rsidR="00383ECF" w:rsidP="00E3202E" w:rsidRDefault="00383ECF" w14:paraId="7908AE7D" w14:textId="3D1102C6">
      <w:pPr>
        <w:pStyle w:val="Level1"/>
        <w:numPr>
          <w:ilvl w:val="0"/>
          <w:numId w:val="17"/>
        </w:numPr>
        <w:tabs>
          <w:tab w:val="left" w:pos="-1440"/>
        </w:tabs>
      </w:pPr>
      <w:r>
        <w:t>Such other recommendations for legislative or administrative action as the Secretary determines to be appropriate.</w:t>
      </w:r>
    </w:p>
    <w:p w:rsidRPr="009813AF" w:rsidR="00690F56" w:rsidP="00383ECF" w:rsidRDefault="00690F56" w14:paraId="74744673" w14:textId="77777777">
      <w:pPr>
        <w:pStyle w:val="Level1"/>
        <w:tabs>
          <w:tab w:val="left" w:pos="-1440"/>
        </w:tabs>
        <w:ind w:left="720" w:firstLine="0"/>
      </w:pPr>
    </w:p>
    <w:p w:rsidRPr="00D63F03" w:rsidR="00690F56" w:rsidP="00690F56" w:rsidRDefault="00690F56" w14:paraId="2BBF8E2F" w14:textId="73A2835F">
      <w:pPr>
        <w:widowControl/>
        <w:rPr>
          <w:rFonts w:ascii="Times New Roman" w:hAnsi="Times New Roman"/>
          <w:b/>
          <w:bCs/>
        </w:rPr>
      </w:pPr>
      <w:r w:rsidRPr="00D63F03">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Pr="005729EB" w:rsidR="00E3202E" w:rsidP="00690F56" w:rsidRDefault="00E3202E" w14:paraId="3C96BC43" w14:textId="096DBDC0">
      <w:pPr>
        <w:widowControl/>
        <w:rPr>
          <w:rFonts w:ascii="Times New Roman" w:hAnsi="Times New Roman"/>
          <w:b/>
          <w:bCs/>
        </w:rPr>
      </w:pPr>
    </w:p>
    <w:p w:rsidRPr="00383ECF" w:rsidR="006732B1" w:rsidP="006732B1" w:rsidRDefault="006732B1" w14:paraId="0D585F6B" w14:textId="38FE413B">
      <w:pPr>
        <w:rPr>
          <w:rFonts w:ascii="Times New Roman" w:hAnsi="Times New Roman"/>
        </w:rPr>
      </w:pPr>
      <w:r w:rsidRPr="00383ECF">
        <w:rPr>
          <w:rFonts w:ascii="Times New Roman" w:hAnsi="Times New Roman"/>
        </w:rPr>
        <w:t xml:space="preserve">Grantees implement recordkeeping and reporting requirements with grant funds.  As a government-procured </w:t>
      </w:r>
      <w:r w:rsidR="001C2062">
        <w:rPr>
          <w:rFonts w:ascii="Times New Roman" w:hAnsi="Times New Roman"/>
        </w:rPr>
        <w:t>web-based management information system (MIS)</w:t>
      </w:r>
      <w:r w:rsidRPr="00383ECF">
        <w:rPr>
          <w:rFonts w:ascii="Times New Roman" w:hAnsi="Times New Roman"/>
        </w:rPr>
        <w:t xml:space="preserve"> is provided to all grantees, their implementation costs are minimal.  Grant funds are also used with the prior approval of the grant officer to upgrade computer hardware and Internet access to enable projects to use the M</w:t>
      </w:r>
      <w:r w:rsidR="001C2062">
        <w:rPr>
          <w:rFonts w:ascii="Times New Roman" w:hAnsi="Times New Roman"/>
        </w:rPr>
        <w:t>I</w:t>
      </w:r>
      <w:r w:rsidRPr="00383ECF">
        <w:rPr>
          <w:rFonts w:ascii="Times New Roman" w:hAnsi="Times New Roman"/>
        </w:rPr>
        <w:t>S.</w:t>
      </w:r>
    </w:p>
    <w:p w:rsidRPr="00383ECF" w:rsidR="006732B1" w:rsidP="006732B1" w:rsidRDefault="006732B1" w14:paraId="1251512F" w14:textId="77777777">
      <w:pPr>
        <w:rPr>
          <w:rFonts w:ascii="Times New Roman" w:hAnsi="Times New Roman"/>
        </w:rPr>
      </w:pPr>
    </w:p>
    <w:p w:rsidRPr="004C5022" w:rsidR="006732B1" w:rsidP="006732B1" w:rsidRDefault="006732B1" w14:paraId="54A42C39" w14:textId="6AF2EF69">
      <w:pPr>
        <w:rPr>
          <w:rFonts w:ascii="Times New Roman" w:hAnsi="Times New Roman"/>
        </w:rPr>
      </w:pPr>
      <w:r w:rsidRPr="00383ECF">
        <w:rPr>
          <w:rFonts w:ascii="Times New Roman" w:hAnsi="Times New Roman"/>
        </w:rPr>
        <w:t>Grantees enter data into the M</w:t>
      </w:r>
      <w:r w:rsidR="001C2062">
        <w:rPr>
          <w:rFonts w:ascii="Times New Roman" w:hAnsi="Times New Roman"/>
        </w:rPr>
        <w:t>I</w:t>
      </w:r>
      <w:r w:rsidRPr="00383ECF">
        <w:rPr>
          <w:rFonts w:ascii="Times New Roman" w:hAnsi="Times New Roman"/>
        </w:rPr>
        <w:t>S on individuals who receive services through YouthBuild programs.  The Department and ETA will use this data to evaluate performance and delivery of YouthBuild program services.  The M</w:t>
      </w:r>
      <w:r w:rsidR="001C2062">
        <w:rPr>
          <w:rFonts w:ascii="Times New Roman" w:hAnsi="Times New Roman"/>
        </w:rPr>
        <w:t>I</w:t>
      </w:r>
      <w:r w:rsidRPr="00383ECF">
        <w:rPr>
          <w:rFonts w:ascii="Times New Roman" w:hAnsi="Times New Roman"/>
        </w:rPr>
        <w:t xml:space="preserve">S allows grantees to collect additional participant data beyond those elements required </w:t>
      </w:r>
      <w:r w:rsidR="001C2062">
        <w:rPr>
          <w:rFonts w:ascii="Times New Roman" w:hAnsi="Times New Roman"/>
        </w:rPr>
        <w:t>for performance reporting</w:t>
      </w:r>
      <w:r w:rsidRPr="00383ECF">
        <w:rPr>
          <w:rFonts w:ascii="Times New Roman" w:hAnsi="Times New Roman"/>
        </w:rPr>
        <w:t>.  ETA uses the data to track total participants, characteristics, services, and performance indicator outcomes for YouthBuild participants.  The M</w:t>
      </w:r>
      <w:r w:rsidR="001C2062">
        <w:rPr>
          <w:rFonts w:ascii="Times New Roman" w:hAnsi="Times New Roman"/>
        </w:rPr>
        <w:t>I</w:t>
      </w:r>
      <w:r w:rsidRPr="004C5022">
        <w:rPr>
          <w:rFonts w:ascii="Times New Roman" w:hAnsi="Times New Roman"/>
        </w:rPr>
        <w:t>S supports ETA’s ability to assess the effectiveness of the YouthBuild program within the broader youth public workforce system.</w:t>
      </w:r>
    </w:p>
    <w:p w:rsidRPr="004C5022" w:rsidR="006732B1" w:rsidP="006732B1" w:rsidRDefault="006732B1" w14:paraId="394170BB" w14:textId="77777777">
      <w:pPr>
        <w:rPr>
          <w:rFonts w:ascii="Times New Roman" w:hAnsi="Times New Roman"/>
        </w:rPr>
      </w:pPr>
    </w:p>
    <w:p w:rsidRPr="004C5022" w:rsidR="006732B1" w:rsidP="006732B1" w:rsidRDefault="006732B1" w14:paraId="1E8E9099" w14:textId="77777777">
      <w:pPr>
        <w:rPr>
          <w:rFonts w:ascii="Times New Roman" w:hAnsi="Times New Roman"/>
        </w:rPr>
      </w:pPr>
      <w:r w:rsidRPr="004C5022">
        <w:rPr>
          <w:rFonts w:ascii="Times New Roman" w:hAnsi="Times New Roman"/>
        </w:rPr>
        <w:t xml:space="preserve">Within ETA, the data are used by the Offices of Workforce Investment, Financial and </w:t>
      </w:r>
      <w:r w:rsidRPr="004C5022">
        <w:rPr>
          <w:rFonts w:ascii="Times New Roman" w:hAnsi="Times New Roman"/>
        </w:rPr>
        <w:lastRenderedPageBreak/>
        <w:t xml:space="preserve">Administrative Management, Policy Development and Research, and Field Operations (including the regional offices).  Other DOL users include the Offices of the Assistant Secretary for ETA and Assistant Secretary for Policy.   </w:t>
      </w:r>
    </w:p>
    <w:p w:rsidRPr="004C5022" w:rsidR="006732B1" w:rsidP="006732B1" w:rsidRDefault="006732B1" w14:paraId="5E4E0F2D" w14:textId="77777777">
      <w:pPr>
        <w:rPr>
          <w:rFonts w:ascii="Times New Roman" w:hAnsi="Times New Roman"/>
        </w:rPr>
      </w:pPr>
    </w:p>
    <w:p w:rsidRPr="005848EA" w:rsidR="00E3202E" w:rsidP="004C5022" w:rsidRDefault="006732B1" w14:paraId="521528BE" w14:textId="76432BF9">
      <w:pPr>
        <w:pStyle w:val="Level1"/>
        <w:tabs>
          <w:tab w:val="left" w:pos="-1440"/>
          <w:tab w:val="left" w:pos="990"/>
        </w:tabs>
        <w:ind w:left="0" w:firstLine="0"/>
      </w:pPr>
      <w:r w:rsidRPr="001E697A">
        <w:t xml:space="preserve">The reports and other analyses of the data are available </w:t>
      </w:r>
      <w:bookmarkStart w:name="_Toc76458979" w:id="2"/>
      <w:r w:rsidRPr="001E697A">
        <w:t>to the public through publication</w:t>
      </w:r>
      <w:bookmarkStart w:name="_Toc76458980" w:id="3"/>
      <w:bookmarkEnd w:id="2"/>
      <w:r w:rsidRPr="001E697A">
        <w:t xml:space="preserve"> and</w:t>
      </w:r>
      <w:bookmarkEnd w:id="3"/>
      <w:r w:rsidRPr="001E697A">
        <w:t xml:space="preserve"> </w:t>
      </w:r>
      <w:bookmarkStart w:name="_Toc76458981" w:id="4"/>
      <w:r w:rsidRPr="001E697A">
        <w:t>to the appropriate congressional committees through copies of such reports</w:t>
      </w:r>
      <w:bookmarkEnd w:id="4"/>
      <w:r w:rsidRPr="001E697A">
        <w:t>.  In additio</w:t>
      </w:r>
      <w:r w:rsidRPr="005848EA">
        <w:t>n, data obtained through the M</w:t>
      </w:r>
      <w:r w:rsidR="001C2062">
        <w:t>I</w:t>
      </w:r>
      <w:r w:rsidRPr="005848EA">
        <w:t xml:space="preserve">S </w:t>
      </w:r>
      <w:r w:rsidR="00834D8C">
        <w:t>is</w:t>
      </w:r>
      <w:r w:rsidRPr="005848EA">
        <w:t xml:space="preserve"> used at the national level during budget and allocation hearings for DOL compliance with the Government Performance and Results Act (GPRA) and other legislative requirements, and during legislative reauthorization proceedings.</w:t>
      </w:r>
    </w:p>
    <w:p w:rsidRPr="0053728E" w:rsidR="00690F56" w:rsidP="00690F56" w:rsidRDefault="00690F56" w14:paraId="6EBE63D5" w14:textId="77777777">
      <w:pPr>
        <w:widowControl/>
        <w:rPr>
          <w:rFonts w:ascii="Times New Roman" w:hAnsi="Times New Roman"/>
          <w:u w:val="single"/>
        </w:rPr>
      </w:pPr>
    </w:p>
    <w:p w:rsidRPr="00744362" w:rsidR="00690F56" w:rsidP="00690F56" w:rsidRDefault="00690F56" w14:paraId="1908DC84" w14:textId="587CAA5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3728E">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53728E" w:rsidR="00237691">
        <w:rPr>
          <w:rFonts w:ascii="Times New Roman" w:hAnsi="Times New Roman"/>
          <w:b/>
          <w:bCs/>
        </w:rPr>
        <w:t>,</w:t>
      </w:r>
      <w:r w:rsidRPr="0053728E">
        <w:rPr>
          <w:rFonts w:ascii="Times New Roman" w:hAnsi="Times New Roman"/>
          <w:b/>
          <w:bCs/>
        </w:rPr>
        <w:t xml:space="preserve"> describe any consideration of using information technology to reduce burden.</w:t>
      </w:r>
    </w:p>
    <w:p w:rsidRPr="009813AF" w:rsidR="006732B1" w:rsidP="00690F56" w:rsidRDefault="006732B1" w14:paraId="41A0BAC1" w14:textId="4A84682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E697A" w:rsidR="006732B1" w:rsidP="00690F56" w:rsidRDefault="006732B1" w14:paraId="549BE978" w14:textId="14260C2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C5022">
        <w:rPr>
          <w:rFonts w:ascii="Times New Roman" w:hAnsi="Times New Roman"/>
        </w:rPr>
        <w:t xml:space="preserve">To comply with the Government Paperwork Elimination Act, a web-based Case Management System </w:t>
      </w:r>
      <w:r w:rsidR="001C2062">
        <w:rPr>
          <w:rFonts w:ascii="Times New Roman" w:hAnsi="Times New Roman"/>
        </w:rPr>
        <w:t>with</w:t>
      </w:r>
      <w:r w:rsidRPr="00383ECF">
        <w:rPr>
          <w:rFonts w:ascii="Times New Roman" w:hAnsi="Times New Roman"/>
        </w:rPr>
        <w:t xml:space="preserve"> data elements and data definitions are </w:t>
      </w:r>
      <w:r w:rsidR="001C2062">
        <w:rPr>
          <w:rFonts w:ascii="Times New Roman" w:hAnsi="Times New Roman"/>
        </w:rPr>
        <w:t>provided to the grantees by</w:t>
      </w:r>
      <w:r w:rsidRPr="00383ECF">
        <w:rPr>
          <w:rFonts w:ascii="Times New Roman" w:hAnsi="Times New Roman"/>
        </w:rPr>
        <w:t xml:space="preserve"> ETA.  All YouthBuild data and reports are submitted to ETA via the Internet.  Grantees collect, retain, and report all information electronically through the ETA-provided M</w:t>
      </w:r>
      <w:r w:rsidR="001C2062">
        <w:rPr>
          <w:rFonts w:ascii="Times New Roman" w:hAnsi="Times New Roman"/>
        </w:rPr>
        <w:t>I</w:t>
      </w:r>
      <w:r w:rsidRPr="00383ECF">
        <w:rPr>
          <w:rFonts w:ascii="Times New Roman" w:hAnsi="Times New Roman"/>
        </w:rPr>
        <w:t>S.</w:t>
      </w:r>
    </w:p>
    <w:p w:rsidRPr="005848EA"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3728E"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848EA">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53728E" w:rsidR="00237691">
        <w:rPr>
          <w:rFonts w:ascii="Times New Roman" w:hAnsi="Times New Roman"/>
          <w:b/>
          <w:bCs/>
        </w:rPr>
        <w:t>A.</w:t>
      </w:r>
      <w:r w:rsidRPr="0053728E">
        <w:rPr>
          <w:rFonts w:ascii="Times New Roman" w:hAnsi="Times New Roman"/>
          <w:b/>
          <w:bCs/>
        </w:rPr>
        <w:t>2 above.</w:t>
      </w:r>
    </w:p>
    <w:p w:rsidRPr="0053728E" w:rsidR="00690F56" w:rsidP="00690F56" w:rsidRDefault="00690F56" w14:paraId="2693B8DC" w14:textId="5D0ACC7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83ECF" w:rsidR="006732B1" w:rsidP="006732B1" w:rsidRDefault="006732B1" w14:paraId="5395C01C" w14:textId="37E7320A">
      <w:pPr>
        <w:rPr>
          <w:rFonts w:ascii="Times New Roman" w:hAnsi="Times New Roman"/>
        </w:rPr>
      </w:pPr>
      <w:r w:rsidRPr="004C5022">
        <w:rPr>
          <w:rFonts w:ascii="Times New Roman" w:hAnsi="Times New Roman"/>
        </w:rPr>
        <w:t xml:space="preserve">ETA has minimized the reporting burden of ETA-9136 and ETA-9138 by establishing the number of data elements required commensurate with the level of resources expended and services received.  Data items collected by program reports and individual </w:t>
      </w:r>
      <w:r w:rsidRPr="004C5022">
        <w:rPr>
          <w:rFonts w:ascii="Times New Roman" w:hAnsi="Times New Roman"/>
        </w:rPr>
        <w:lastRenderedPageBreak/>
        <w:t xml:space="preserve">records are needed to: (1) account for the detailed educational, occupational skill training, post-secondary planning and placement, and leadership services and activities provided by YouthBuild program grantees to help at-risk youth participants get and keep well-paying jobs; (2) better identify overlapping and unproductive duplication of services; and (3) reduce the effect of stove-piped data and generate performance information across employment and training programs.  Information provided through the YouthBuild </w:t>
      </w:r>
      <w:r w:rsidR="001C2062">
        <w:rPr>
          <w:rFonts w:ascii="Times New Roman" w:hAnsi="Times New Roman"/>
        </w:rPr>
        <w:t>MIS</w:t>
      </w:r>
      <w:r w:rsidRPr="00383ECF">
        <w:rPr>
          <w:rFonts w:ascii="Times New Roman" w:hAnsi="Times New Roman"/>
        </w:rPr>
        <w:t xml:space="preserve"> is not available through other data collection and report</w:t>
      </w:r>
      <w:r w:rsidR="00EB3479">
        <w:rPr>
          <w:rFonts w:ascii="Times New Roman" w:hAnsi="Times New Roman"/>
        </w:rPr>
        <w:t>ing</w:t>
      </w:r>
      <w:r w:rsidRPr="00383ECF">
        <w:rPr>
          <w:rFonts w:ascii="Times New Roman" w:hAnsi="Times New Roman"/>
        </w:rPr>
        <w:t xml:space="preserve"> systems.  </w:t>
      </w:r>
    </w:p>
    <w:p w:rsidRPr="00383ECF" w:rsidR="006732B1" w:rsidP="006732B1" w:rsidRDefault="006732B1" w14:paraId="32F7D5E7" w14:textId="77777777">
      <w:pPr>
        <w:rPr>
          <w:rFonts w:ascii="Times New Roman" w:hAnsi="Times New Roman"/>
        </w:rPr>
      </w:pPr>
    </w:p>
    <w:p w:rsidRPr="001E697A" w:rsidR="006732B1" w:rsidP="006732B1" w:rsidRDefault="006732B1" w14:paraId="0253541E" w14:textId="2A84DA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83ECF">
        <w:rPr>
          <w:rFonts w:ascii="Times New Roman" w:hAnsi="Times New Roman"/>
        </w:rPr>
        <w:t>ETA-9143 is the result of a unique component of the YouthBuild program model which statutorily requires that programs engage in construction training on low-income work sites that provide sufficient hands-on experience to ensure youth participants have the skills to then succeed in subsequent construction career pathways.  ETA-9143 documents these low-income work sites to ensure compliance with Uniform Guidance on allowable costs on construction projects and the statutory requirements for construction training, while also allowing ETA to gather information on the impact of the program in increasing the supply of affordable housing.</w:t>
      </w:r>
    </w:p>
    <w:p w:rsidRPr="005848E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3728E" w:rsidR="00690F56" w:rsidP="00690F56" w:rsidRDefault="00690F56" w14:paraId="686EF219" w14:textId="7731CE2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48EA">
        <w:rPr>
          <w:rFonts w:ascii="Times New Roman" w:hAnsi="Times New Roman"/>
          <w:b/>
          <w:bCs/>
        </w:rPr>
        <w:t xml:space="preserve"> 5.</w:t>
      </w:r>
      <w:r w:rsidRPr="005848EA">
        <w:rPr>
          <w:rFonts w:ascii="Times New Roman" w:hAnsi="Times New Roman"/>
        </w:rPr>
        <w:t xml:space="preserve">  </w:t>
      </w:r>
      <w:r w:rsidRPr="005848EA">
        <w:rPr>
          <w:rFonts w:ascii="Times New Roman" w:hAnsi="Times New Roman"/>
          <w:b/>
          <w:bCs/>
        </w:rPr>
        <w:t>If the collection of information impacts small businesses or other small entities</w:t>
      </w:r>
      <w:r w:rsidRPr="00C50345" w:rsidR="00237691">
        <w:rPr>
          <w:rFonts w:ascii="Times New Roman" w:hAnsi="Times New Roman"/>
          <w:b/>
          <w:bCs/>
        </w:rPr>
        <w:t>,</w:t>
      </w:r>
      <w:r w:rsidRPr="00C50345">
        <w:rPr>
          <w:rFonts w:ascii="Times New Roman" w:hAnsi="Times New Roman"/>
          <w:b/>
          <w:bCs/>
        </w:rPr>
        <w:t xml:space="preserve"> describe any methods used to minimize burden.</w:t>
      </w:r>
    </w:p>
    <w:p w:rsidRPr="0053728E" w:rsidR="006732B1" w:rsidP="00690F56" w:rsidRDefault="006732B1" w14:paraId="4CBDCC16" w14:textId="3FD38D1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848EA" w:rsidR="00690F56" w:rsidP="00690F56" w:rsidRDefault="006732B1" w14:paraId="034A882C" w14:textId="5411DD9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C5022">
        <w:rPr>
          <w:rFonts w:ascii="Times New Roman" w:hAnsi="Times New Roman"/>
        </w:rPr>
        <w:t xml:space="preserve">For reporting purposes, the involvement of small businesses or other small entities that are not grantees or sub-grantees is extremely limited.  The only time contacting them may be required is during the provision of a service.  Methods to minimize the burden on small entities that are grantees or subgrantees are discussed in other sections of this supporting statement.  </w:t>
      </w:r>
    </w:p>
    <w:p w:rsidRPr="005848E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3728E" w:rsidR="00690F56" w:rsidP="00690F56" w:rsidRDefault="00690F56" w14:paraId="5F528885" w14:textId="5262120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48EA">
        <w:rPr>
          <w:rFonts w:ascii="Times New Roman" w:hAnsi="Times New Roman"/>
          <w:b/>
          <w:bCs/>
        </w:rPr>
        <w:t xml:space="preserve"> 6</w:t>
      </w:r>
      <w:r w:rsidRPr="005848EA" w:rsidR="00237691">
        <w:rPr>
          <w:rFonts w:ascii="Times New Roman" w:hAnsi="Times New Roman"/>
          <w:b/>
          <w:bCs/>
        </w:rPr>
        <w:t>.  Describe the consequence to f</w:t>
      </w:r>
      <w:r w:rsidRPr="005848EA">
        <w:rPr>
          <w:rFonts w:ascii="Times New Roman" w:hAnsi="Times New Roman"/>
          <w:b/>
          <w:bCs/>
        </w:rPr>
        <w:t>ede</w:t>
      </w:r>
      <w:r w:rsidRPr="00C50345">
        <w:rPr>
          <w:rFonts w:ascii="Times New Roman" w:hAnsi="Times New Roman"/>
          <w:b/>
          <w:bCs/>
        </w:rPr>
        <w:t>ral program or policy activities if the collection is not conducted or is conducted less frequently, as well as any technical or legal obstacles to reducing burden.</w:t>
      </w:r>
    </w:p>
    <w:p w:rsidRPr="0053728E" w:rsidR="006732B1" w:rsidP="00690F56" w:rsidRDefault="006732B1" w14:paraId="175B6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E697A" w:rsidR="006732B1" w:rsidP="006732B1" w:rsidRDefault="006732B1" w14:paraId="262E2BE2" w14:textId="1A485C1A">
      <w:pPr>
        <w:pStyle w:val="BodyText2"/>
        <w:rPr>
          <w:color w:val="auto"/>
        </w:rPr>
      </w:pPr>
      <w:r w:rsidRPr="0053728E">
        <w:rPr>
          <w:color w:val="auto"/>
        </w:rPr>
        <w:lastRenderedPageBreak/>
        <w:t>2 CFR 200.328(b)(1)</w:t>
      </w:r>
      <w:r w:rsidR="00EB3479">
        <w:rPr>
          <w:color w:val="auto"/>
        </w:rPr>
        <w:t>,</w:t>
      </w:r>
      <w:r w:rsidRPr="0053728E">
        <w:rPr>
          <w:color w:val="auto"/>
        </w:rPr>
        <w:t xml:space="preserve"> which governs monitoring and reporting program performance under grants and agreements with non-</w:t>
      </w:r>
      <w:r w:rsidRPr="00744362">
        <w:rPr>
          <w:color w:val="auto"/>
        </w:rPr>
        <w:t>Federal entities, states tha</w:t>
      </w:r>
      <w:r w:rsidRPr="009813AF">
        <w:rPr>
          <w:color w:val="auto"/>
        </w:rPr>
        <w:t>t t</w:t>
      </w:r>
      <w:r w:rsidRPr="009813AF">
        <w:rPr>
          <w:color w:val="000000"/>
          <w:shd w:val="clear" w:color="auto" w:fill="FFFFFF"/>
        </w:rPr>
        <w:t xml:space="preserve">he non-Federal entity must submit performance reports at the interval required by the Federal awarding agency or pass-through entity to best inform improvements in program outcomes and productivity.  </w:t>
      </w:r>
      <w:r w:rsidRPr="009813AF">
        <w:rPr>
          <w:color w:val="auto"/>
        </w:rPr>
        <w:t xml:space="preserve">In applying for YouthBuild grants, grantees agree to meet ETA’s reporting requirements as indicated in the </w:t>
      </w:r>
      <w:r w:rsidRPr="00D63F03">
        <w:rPr>
          <w:color w:val="auto"/>
        </w:rPr>
        <w:t>annual Funding Opportunity Announcement (FOA) which requires the submission o</w:t>
      </w:r>
      <w:r w:rsidRPr="005729EB">
        <w:rPr>
          <w:color w:val="auto"/>
        </w:rPr>
        <w:t xml:space="preserve">f quarterly reports within 45 days after the end of the quarter.  </w:t>
      </w:r>
      <w:r w:rsidRPr="001E697A">
        <w:rPr>
          <w:color w:val="auto"/>
        </w:rPr>
        <w:t>As well, the FOA requires that grantees demonstrate past performance</w:t>
      </w:r>
      <w:r w:rsidR="00EB3479">
        <w:rPr>
          <w:color w:val="auto"/>
        </w:rPr>
        <w:t>,</w:t>
      </w:r>
      <w:r w:rsidRPr="001E697A">
        <w:rPr>
          <w:color w:val="auto"/>
        </w:rPr>
        <w:t xml:space="preserve"> and this is accomplished for previous DOL-funded YouthBuild grantees through a review of the performance data submitted in the M</w:t>
      </w:r>
      <w:r w:rsidR="00D54252">
        <w:rPr>
          <w:color w:val="auto"/>
        </w:rPr>
        <w:t>I</w:t>
      </w:r>
      <w:r w:rsidRPr="001E697A">
        <w:rPr>
          <w:color w:val="auto"/>
        </w:rPr>
        <w:t xml:space="preserve">S.  </w:t>
      </w:r>
      <w:r w:rsidR="00D54252">
        <w:rPr>
          <w:color w:val="auto"/>
        </w:rPr>
        <w:t xml:space="preserve">The FOA also requires that grantees report on intended construction work sites and the outcomes of those projects.  </w:t>
      </w:r>
      <w:r w:rsidRPr="001E697A">
        <w:rPr>
          <w:color w:val="auto"/>
        </w:rPr>
        <w:t>If ETA did not comply with these requirements, funding for discretionary grant programs would be compromised.</w:t>
      </w:r>
    </w:p>
    <w:p w:rsidRPr="001E697A" w:rsidR="00690F56" w:rsidP="00690F56" w:rsidRDefault="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E697A"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697A">
        <w:rPr>
          <w:rFonts w:ascii="Times New Roman" w:hAnsi="Times New Roman"/>
          <w:b/>
          <w:bCs/>
        </w:rPr>
        <w:t>7.  Explain any special circumstances that would cause an information collection to be conducted in a manner:</w:t>
      </w:r>
    </w:p>
    <w:p w:rsidRPr="001E697A"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E697A"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E697A">
        <w:rPr>
          <w:b/>
          <w:bCs/>
        </w:rPr>
        <w:t>r</w:t>
      </w:r>
      <w:r w:rsidRPr="001E697A" w:rsidR="00690F56">
        <w:rPr>
          <w:b/>
          <w:bCs/>
        </w:rPr>
        <w:t>equiring respondents to report information to the agency more often than quarterly;</w:t>
      </w:r>
    </w:p>
    <w:p w:rsidRPr="001E697A"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E697A"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E697A">
        <w:rPr>
          <w:b/>
          <w:bCs/>
        </w:rPr>
        <w:t>r</w:t>
      </w:r>
      <w:r w:rsidRPr="001E697A" w:rsidR="00690F56">
        <w:rPr>
          <w:b/>
          <w:bCs/>
        </w:rPr>
        <w:t>equiring respondents to prepare a written response to a collection of information in fewer than 30 days after receipt of it;</w:t>
      </w:r>
    </w:p>
    <w:p w:rsidRPr="001E697A"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E697A"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E697A">
        <w:rPr>
          <w:b/>
          <w:bCs/>
        </w:rPr>
        <w:t>r</w:t>
      </w:r>
      <w:r w:rsidRPr="001E697A" w:rsidR="00690F56">
        <w:rPr>
          <w:b/>
          <w:bCs/>
        </w:rPr>
        <w:t>equiring respondents to submit more than an original and two copies of any document;</w:t>
      </w:r>
    </w:p>
    <w:p w:rsidRPr="001E697A"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E697A"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E697A">
        <w:rPr>
          <w:b/>
          <w:bCs/>
        </w:rPr>
        <w:t>r</w:t>
      </w:r>
      <w:r w:rsidRPr="001E697A" w:rsidR="00690F56">
        <w:rPr>
          <w:b/>
          <w:bCs/>
        </w:rPr>
        <w:t>equiring respondents to retain records, other than health, medical, government contract, grant-in-aid, or tax records for more than three years;</w:t>
      </w:r>
    </w:p>
    <w:p w:rsidRPr="001E697A"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E697A"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E697A">
        <w:rPr>
          <w:b/>
          <w:bCs/>
        </w:rPr>
        <w:lastRenderedPageBreak/>
        <w:t>i</w:t>
      </w:r>
      <w:r w:rsidRPr="001E697A" w:rsidR="00690F56">
        <w:rPr>
          <w:b/>
          <w:bCs/>
        </w:rPr>
        <w:t>n connection with a statistical survey</w:t>
      </w:r>
      <w:r w:rsidRPr="001E697A">
        <w:rPr>
          <w:b/>
          <w:bCs/>
        </w:rPr>
        <w:t>,</w:t>
      </w:r>
      <w:r w:rsidRPr="001E697A" w:rsidR="00690F56">
        <w:rPr>
          <w:b/>
          <w:bCs/>
        </w:rPr>
        <w:t xml:space="preserve"> that is not designed to produce valid and reliable results that can be generalized to the universe of study;</w:t>
      </w:r>
    </w:p>
    <w:p w:rsidRPr="001E697A"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E697A"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E697A">
        <w:rPr>
          <w:b/>
          <w:bCs/>
        </w:rPr>
        <w:t>r</w:t>
      </w:r>
      <w:r w:rsidRPr="001E697A" w:rsidR="00690F56">
        <w:rPr>
          <w:b/>
          <w:bCs/>
        </w:rPr>
        <w:t>equiring the use of statistical data classification that has not been reviewed and approved by OMB;</w:t>
      </w:r>
    </w:p>
    <w:p w:rsidRPr="001E697A"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1E697A"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E697A">
        <w:rPr>
          <w:b/>
          <w:bCs/>
        </w:rPr>
        <w:t>t</w:t>
      </w:r>
      <w:r w:rsidRPr="001E697A" w:rsidR="00690F56">
        <w:rPr>
          <w:b/>
          <w:bCs/>
        </w:rPr>
        <w:t>hat includes a pledge of confidential</w:t>
      </w:r>
      <w:r w:rsidRPr="001E697A" w:rsidR="00D05EAB">
        <w:rPr>
          <w:b/>
          <w:bCs/>
        </w:rPr>
        <w:t>it</w:t>
      </w:r>
      <w:r w:rsidRPr="001E697A" w:rsidR="00690F56">
        <w:rPr>
          <w:b/>
          <w:bCs/>
        </w:rPr>
        <w:t>y that is not supported by authority established in statu</w:t>
      </w:r>
      <w:r w:rsidRPr="001E697A" w:rsidR="00CD215D">
        <w:rPr>
          <w:b/>
          <w:bCs/>
        </w:rPr>
        <w:t>t</w:t>
      </w:r>
      <w:r w:rsidRPr="001E697A" w:rsidR="00690F56">
        <w:rPr>
          <w:b/>
          <w:bCs/>
        </w:rPr>
        <w:t>e or regulation</w:t>
      </w:r>
      <w:r w:rsidRPr="001E697A">
        <w:rPr>
          <w:b/>
          <w:bCs/>
        </w:rPr>
        <w:t>,</w:t>
      </w:r>
      <w:r w:rsidRPr="001E697A" w:rsidR="00690F56">
        <w:rPr>
          <w:b/>
          <w:bCs/>
        </w:rPr>
        <w:t xml:space="preserve"> that is not supported by disclosure and data security policies that are consistent with the pledge, or which unnecessarily impedes sharing of data with other agencies for compatible confidential use; or</w:t>
      </w:r>
    </w:p>
    <w:p w:rsidRPr="001E697A"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1E697A" w:rsidR="00690F56" w:rsidP="00690F56" w:rsidRDefault="00237691" w14:paraId="583D2BFF" w14:textId="7C23CD4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697A">
        <w:rPr>
          <w:b/>
          <w:bCs/>
        </w:rPr>
        <w:t>r</w:t>
      </w:r>
      <w:r w:rsidRPr="001E697A" w:rsidR="00690F56">
        <w:rPr>
          <w:b/>
          <w:bCs/>
        </w:rPr>
        <w:t>equiring respondents to submit proprietary trade secret</w:t>
      </w:r>
      <w:r w:rsidR="00D54252">
        <w:rPr>
          <w:b/>
          <w:bCs/>
        </w:rPr>
        <w:t>s</w:t>
      </w:r>
      <w:r w:rsidRPr="001E697A" w:rsidR="00690F56">
        <w:rPr>
          <w:b/>
          <w:bCs/>
        </w:rPr>
        <w:t xml:space="preserve">, or other confidential information unless the agency can </w:t>
      </w:r>
      <w:r w:rsidRPr="001E697A">
        <w:rPr>
          <w:b/>
          <w:bCs/>
        </w:rPr>
        <w:t>demonstrate</w:t>
      </w:r>
      <w:r w:rsidRPr="001E697A" w:rsidR="00690F56">
        <w:rPr>
          <w:b/>
          <w:bCs/>
        </w:rPr>
        <w:t xml:space="preserve"> that it has instituted procedures to protect the information's confidential</w:t>
      </w:r>
      <w:r w:rsidRPr="001E697A" w:rsidR="00D05EAB">
        <w:rPr>
          <w:b/>
          <w:bCs/>
        </w:rPr>
        <w:t>it</w:t>
      </w:r>
      <w:r w:rsidRPr="001E697A" w:rsidR="00690F56">
        <w:rPr>
          <w:b/>
          <w:bCs/>
        </w:rPr>
        <w:t>y to the extent permitted by law.</w:t>
      </w:r>
    </w:p>
    <w:p w:rsidR="00642220" w:rsidP="00642220" w:rsidRDefault="00642220" w14:paraId="3DCDBA31" w14:textId="7CE7668B">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1E697A" w:rsidR="001E49EB" w:rsidP="00642220" w:rsidRDefault="001E49EB" w14:paraId="5455E339" w14:textId="29F6F0E0">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There are no special circumstances tha</w:t>
      </w:r>
      <w:r w:rsidR="00B24DE5">
        <w:t>t would require further explanation of the collection of information from the respondents.</w:t>
      </w:r>
    </w:p>
    <w:p w:rsidRPr="001E697A"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E697A" w:rsidR="00690F56" w:rsidP="00690F56" w:rsidRDefault="00690F56" w14:paraId="1E3B8C08" w14:textId="67A948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E697A">
        <w:rPr>
          <w:rFonts w:ascii="Times New Roman" w:hAnsi="Times New Roman"/>
          <w:b/>
          <w:bCs/>
        </w:rPr>
        <w:t xml:space="preserve"> 8.  If applicable, provide a copy and identify the date and page number of publication in the </w:t>
      </w:r>
      <w:r w:rsidRPr="001E697A">
        <w:rPr>
          <w:rStyle w:val="Heading2Char"/>
          <w:rFonts w:ascii="Times New Roman" w:hAnsi="Times New Roman" w:cs="Times New Roman"/>
          <w:bCs w:val="0"/>
          <w:sz w:val="24"/>
          <w:szCs w:val="24"/>
        </w:rPr>
        <w:t>Federal Register</w:t>
      </w:r>
      <w:r w:rsidRPr="001E697A">
        <w:rPr>
          <w:rFonts w:ascii="Times New Roman" w:hAnsi="Times New Roman"/>
          <w:b/>
          <w:bCs/>
        </w:rPr>
        <w:t xml:space="preserve"> of the agency's notice, required by 5 CFR 1320.8(d), soliciting comments on the information collection prior to submission to OMB.  Summarize public comments received in response to that notice</w:t>
      </w:r>
      <w:r w:rsidR="00EB3479">
        <w:rPr>
          <w:rFonts w:ascii="Times New Roman" w:hAnsi="Times New Roman"/>
          <w:b/>
          <w:bCs/>
        </w:rPr>
        <w:t>,</w:t>
      </w:r>
      <w:r w:rsidRPr="001E697A">
        <w:rPr>
          <w:rFonts w:ascii="Times New Roman" w:hAnsi="Times New Roman"/>
          <w:b/>
          <w:bCs/>
        </w:rPr>
        <w:t xml:space="preserve"> and describe actions taken by the agency in response to these comments.  </w:t>
      </w:r>
      <w:r w:rsidRPr="001E697A" w:rsidR="00E46EE5">
        <w:rPr>
          <w:rFonts w:ascii="Times New Roman" w:hAnsi="Times New Roman"/>
          <w:b/>
          <w:bCs/>
        </w:rPr>
        <w:t xml:space="preserve"> </w:t>
      </w:r>
      <w:r w:rsidRPr="001E697A">
        <w:rPr>
          <w:rFonts w:ascii="Times New Roman" w:hAnsi="Times New Roman"/>
          <w:b/>
          <w:bCs/>
        </w:rPr>
        <w:t>Specifically address comments received on cost and hour burden.</w:t>
      </w:r>
    </w:p>
    <w:p w:rsidRPr="001E697A"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E697A"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E697A">
        <w:rPr>
          <w:rFonts w:ascii="Times New Roman" w:hAnsi="Times New Roman"/>
          <w:b/>
          <w:bCs/>
        </w:rPr>
        <w:t xml:space="preserve">Describe efforts to consult with persons outside the agency to obtain their views on the availability of data, frequency of collection, the clarity of instructions and </w:t>
      </w:r>
      <w:r w:rsidRPr="001E697A">
        <w:rPr>
          <w:rFonts w:ascii="Times New Roman" w:hAnsi="Times New Roman"/>
          <w:b/>
          <w:bCs/>
        </w:rPr>
        <w:lastRenderedPageBreak/>
        <w:t>recordkeeping, disclosure, or reporting format (if any), and on the data elements to be recorded, disclosed, or reported.</w:t>
      </w:r>
    </w:p>
    <w:p w:rsidRPr="001E697A"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E697A"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E697A">
        <w:rPr>
          <w:rFonts w:ascii="Times New Roman" w:hAnsi="Times New Roman"/>
          <w:b/>
          <w:bCs/>
        </w:rPr>
        <w:t>Consultation with representatives of those from whom information is to be obtained or those who must compile records should occur at least once every 3 years</w:t>
      </w:r>
      <w:r w:rsidRPr="001E697A" w:rsidR="00901EF6">
        <w:rPr>
          <w:rFonts w:ascii="Times New Roman" w:hAnsi="Times New Roman"/>
          <w:b/>
          <w:bCs/>
        </w:rPr>
        <w:t xml:space="preserve"> --</w:t>
      </w:r>
      <w:r w:rsidRPr="001E697A">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1E697A" w:rsidR="00690F56" w:rsidP="00690F56" w:rsidRDefault="00690F56" w14:paraId="7644A432" w14:textId="1D665C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D6872" w:rsidR="006732B1" w:rsidP="00AD6872" w:rsidRDefault="006732B1" w14:paraId="7B046F7B" w14:textId="4D34C316">
      <w:pPr>
        <w:pStyle w:val="NormalSS"/>
        <w:ind w:firstLine="0"/>
        <w:jc w:val="left"/>
      </w:pPr>
      <w:r w:rsidRPr="00BF6126">
        <w:rPr>
          <w:szCs w:val="24"/>
        </w:rPr>
        <w:t>In accordance with the Paperwork Reduction Act of 1995, the public was allowed 60 days to comment through the Federal Register Notice</w:t>
      </w:r>
      <w:r w:rsidR="00E6557D">
        <w:rPr>
          <w:szCs w:val="24"/>
        </w:rPr>
        <w:t xml:space="preserve"> </w:t>
      </w:r>
      <w:r w:rsidRPr="00BF6126">
        <w:rPr>
          <w:szCs w:val="24"/>
        </w:rPr>
        <w:t>posted on</w:t>
      </w:r>
      <w:r w:rsidRPr="00BF6126" w:rsidR="0039116F">
        <w:rPr>
          <w:szCs w:val="24"/>
        </w:rPr>
        <w:t xml:space="preserve"> January 4, 2021</w:t>
      </w:r>
      <w:r w:rsidR="006B7CC1">
        <w:rPr>
          <w:szCs w:val="24"/>
        </w:rPr>
        <w:t xml:space="preserve"> (86 FR 145)</w:t>
      </w:r>
      <w:r w:rsidRPr="00BF6126" w:rsidR="0039116F">
        <w:rPr>
          <w:szCs w:val="24"/>
        </w:rPr>
        <w:t>.</w:t>
      </w:r>
      <w:r w:rsidR="00BF6126">
        <w:rPr>
          <w:szCs w:val="24"/>
        </w:rPr>
        <w:t xml:space="preserve"> </w:t>
      </w:r>
      <w:r w:rsidR="0039116F">
        <w:rPr>
          <w:szCs w:val="24"/>
        </w:rPr>
        <w:t xml:space="preserve"> We received one non-substantive comment. </w:t>
      </w:r>
    </w:p>
    <w:p w:rsidRPr="001E697A" w:rsidR="0060114B" w:rsidP="0060114B" w:rsidRDefault="0060114B" w14:paraId="425C0DB9" w14:textId="77777777">
      <w:pPr>
        <w:widowControl/>
        <w:autoSpaceDE/>
        <w:autoSpaceDN/>
        <w:adjustRightInd/>
        <w:rPr>
          <w:rFonts w:ascii="Times New Roman" w:hAnsi="Times New Roman" w:eastAsia="Calibri"/>
        </w:rPr>
      </w:pPr>
    </w:p>
    <w:p w:rsidRPr="005848EA"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48EA">
        <w:rPr>
          <w:rFonts w:ascii="Times New Roman" w:hAnsi="Times New Roman"/>
          <w:b/>
          <w:bCs/>
        </w:rPr>
        <w:t>9.  Explain any decision to provide any payments or gift</w:t>
      </w:r>
      <w:r w:rsidRPr="005848EA" w:rsidR="009441E2">
        <w:rPr>
          <w:rFonts w:ascii="Times New Roman" w:hAnsi="Times New Roman"/>
          <w:b/>
          <w:bCs/>
        </w:rPr>
        <w:t>s</w:t>
      </w:r>
      <w:r w:rsidRPr="005848EA">
        <w:rPr>
          <w:rFonts w:ascii="Times New Roman" w:hAnsi="Times New Roman"/>
          <w:b/>
          <w:bCs/>
        </w:rPr>
        <w:t xml:space="preserve"> to respondents, other than </w:t>
      </w:r>
      <w:r w:rsidRPr="005848EA" w:rsidR="006E1A08">
        <w:rPr>
          <w:rFonts w:ascii="Times New Roman" w:hAnsi="Times New Roman"/>
          <w:b/>
          <w:bCs/>
        </w:rPr>
        <w:t>remuneration</w:t>
      </w:r>
      <w:r w:rsidRPr="005848EA">
        <w:rPr>
          <w:rFonts w:ascii="Times New Roman" w:hAnsi="Times New Roman"/>
          <w:b/>
          <w:bCs/>
        </w:rPr>
        <w:t xml:space="preserve"> of contractors or grantees.</w:t>
      </w:r>
    </w:p>
    <w:p w:rsidRPr="0053728E" w:rsidR="00690F56" w:rsidP="00690F56" w:rsidRDefault="00690F56" w14:paraId="3EC59954" w14:textId="57FF62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D6872" w:rsidR="006732B1" w:rsidP="00AD6872" w:rsidRDefault="00834D8C" w14:paraId="7B7D138D" w14:textId="759ED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w:t>
      </w:r>
      <w:r w:rsidRPr="00AD6872" w:rsidR="006732B1">
        <w:rPr>
          <w:rFonts w:ascii="Times New Roman" w:hAnsi="Times New Roman"/>
        </w:rPr>
        <w:t>espondents</w:t>
      </w:r>
      <w:r>
        <w:rPr>
          <w:rFonts w:ascii="Times New Roman" w:hAnsi="Times New Roman"/>
        </w:rPr>
        <w:t xml:space="preserve"> receive no payments</w:t>
      </w:r>
      <w:r w:rsidRPr="00AD6872" w:rsidR="006732B1">
        <w:rPr>
          <w:rFonts w:ascii="Times New Roman" w:hAnsi="Times New Roman"/>
        </w:rPr>
        <w:t xml:space="preserve"> other than the grant funds described in the annual Funding Opportunity Announcement.</w:t>
      </w:r>
    </w:p>
    <w:p w:rsidRPr="001E697A"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848EA"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48EA">
        <w:rPr>
          <w:rFonts w:ascii="Times New Roman" w:hAnsi="Times New Roman"/>
          <w:b/>
          <w:bCs/>
        </w:rPr>
        <w:t xml:space="preserve">10.  </w:t>
      </w:r>
      <w:r w:rsidRPr="005848EA" w:rsidR="00690F56">
        <w:rPr>
          <w:rFonts w:ascii="Times New Roman" w:hAnsi="Times New Roman"/>
          <w:b/>
          <w:bCs/>
        </w:rPr>
        <w:t>Describe any assurance of confidentiality provided to respondents and the basis for the assurance in statute, regulation, or agency policy.</w:t>
      </w:r>
    </w:p>
    <w:p w:rsidRPr="005848EA" w:rsidR="00690F56" w:rsidP="00690F56" w:rsidRDefault="00690F56" w14:paraId="41D6A133" w14:textId="1F25FD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D6872" w:rsidR="00724FAF" w:rsidP="00AD6872" w:rsidRDefault="00724FAF" w14:paraId="0F7206BA" w14:textId="0715B7F9">
      <w:pPr>
        <w:pStyle w:val="Level1"/>
        <w:ind w:left="0" w:firstLine="0"/>
      </w:pPr>
      <w:r w:rsidRPr="005848EA">
        <w:t>ETA is responsible for protecting the confidentiality of the YouthBuild participant and performance data</w:t>
      </w:r>
      <w:r w:rsidR="00834D8C">
        <w:t>.</w:t>
      </w:r>
      <w:r w:rsidR="00F13AD1">
        <w:t xml:space="preserve"> </w:t>
      </w:r>
      <w:r w:rsidR="00345266">
        <w:t xml:space="preserve"> </w:t>
      </w:r>
      <w:r w:rsidR="00F13AD1">
        <w:t xml:space="preserve">The case management system </w:t>
      </w:r>
      <w:r w:rsidR="00345266">
        <w:t>includes</w:t>
      </w:r>
      <w:r w:rsidR="00F13AD1">
        <w:t xml:space="preserve"> a</w:t>
      </w:r>
      <w:r w:rsidR="00345266">
        <w:t xml:space="preserve"> link to the </w:t>
      </w:r>
      <w:r w:rsidR="00F13AD1">
        <w:t>Privacy and Security Statement on the front page.</w:t>
      </w:r>
      <w:r w:rsidR="00834D8C">
        <w:t xml:space="preserve"> </w:t>
      </w:r>
      <w:r w:rsidR="00345266">
        <w:t xml:space="preserve"> </w:t>
      </w:r>
      <w:r w:rsidR="00834D8C">
        <w:t>ETA</w:t>
      </w:r>
      <w:r w:rsidRPr="005848EA">
        <w:t xml:space="preserve"> will m</w:t>
      </w:r>
      <w:r w:rsidRPr="0053728E">
        <w:t xml:space="preserve">aintain the data in accordance with all applicable federal laws, with particular emphasis on compliance with the provisions of the Privacy and Freedom of Information Acts.  The Department ensures the highest level of security whenever personally identifiable information is stored or transmitted.  </w:t>
      </w:r>
      <w:r w:rsidR="00345266">
        <w:t>All internal users who have access to the system can only log in from within the DOL net</w:t>
      </w:r>
      <w:r w:rsidR="00345266">
        <w:lastRenderedPageBreak/>
        <w:t xml:space="preserve">work, therefore assuring a secure network.  </w:t>
      </w:r>
      <w:r w:rsidRPr="0053728E" w:rsidR="00345266">
        <w:t xml:space="preserve"> </w:t>
      </w:r>
      <w:r w:rsidRPr="0053728E">
        <w:t>A</w:t>
      </w:r>
      <w:r w:rsidR="00345266">
        <w:t>dditionally, a</w:t>
      </w:r>
      <w:r w:rsidRPr="0053728E">
        <w:t>ll contractors that have access to individually identifying information are required to provide assurances that they will respect and protect the confidentiality of the data</w:t>
      </w:r>
      <w:r w:rsidR="00345266">
        <w:t>.  DOL</w:t>
      </w:r>
      <w:r w:rsidRPr="0053728E" w:rsidR="00345266">
        <w:t xml:space="preserve">’s </w:t>
      </w:r>
      <w:r w:rsidRPr="0053728E">
        <w:t xml:space="preserve">Office of </w:t>
      </w:r>
      <w:r w:rsidR="00345266">
        <w:t xml:space="preserve">the Chief </w:t>
      </w:r>
      <w:r w:rsidRPr="0053728E">
        <w:t xml:space="preserve">Information </w:t>
      </w:r>
      <w:r w:rsidR="00345266">
        <w:t>Officer</w:t>
      </w:r>
      <w:r w:rsidRPr="0053728E">
        <w:t xml:space="preserve"> has been an active participant in the development and approval of data security measures – especially as they apply to the web-based M</w:t>
      </w:r>
      <w:r w:rsidR="00D54252">
        <w:t>I</w:t>
      </w:r>
      <w:r w:rsidRPr="0053728E">
        <w:t>S.</w:t>
      </w:r>
    </w:p>
    <w:p w:rsidRPr="001E697A"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3728E"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48EA">
        <w:rPr>
          <w:rFonts w:ascii="Times New Roman" w:hAnsi="Times New Roman"/>
          <w:b/>
          <w:bCs/>
        </w:rPr>
        <w:t xml:space="preserve">11. </w:t>
      </w:r>
      <w:r w:rsidRPr="005848EA"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5848EA" w:rsidR="00C667F3">
        <w:rPr>
          <w:rFonts w:ascii="Times New Roman" w:hAnsi="Times New Roman"/>
          <w:b/>
          <w:bCs/>
        </w:rPr>
        <w:t>a</w:t>
      </w:r>
      <w:r w:rsidRPr="005848EA"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53728E" w:rsidR="00690F56" w:rsidP="00690F56" w:rsidRDefault="00690F56" w14:paraId="02AFA701" w14:textId="52883C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D6872" w:rsidR="00724FAF" w:rsidP="00AD6872" w:rsidRDefault="00724FAF" w14:paraId="4F90A038" w14:textId="4B1D8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D6872">
        <w:rPr>
          <w:rFonts w:ascii="Times New Roman" w:hAnsi="Times New Roman"/>
        </w:rPr>
        <w:t>While the proposed data collection</w:t>
      </w:r>
      <w:r w:rsidR="0076025E">
        <w:rPr>
          <w:rFonts w:ascii="Times New Roman" w:hAnsi="Times New Roman"/>
        </w:rPr>
        <w:t xml:space="preserve"> asks participants sensitive questions</w:t>
      </w:r>
      <w:r w:rsidRPr="00AD6872">
        <w:rPr>
          <w:rFonts w:ascii="Times New Roman" w:hAnsi="Times New Roman"/>
        </w:rPr>
        <w:t xml:space="preserve">, the confidentiality of participants is protected as discussed in section A.10.  In addition, </w:t>
      </w:r>
      <w:r w:rsidRPr="00AD6872" w:rsidR="00834D8C">
        <w:rPr>
          <w:rFonts w:ascii="Times New Roman" w:hAnsi="Times New Roman"/>
        </w:rPr>
        <w:t>the MIS contractor builds security into the data collection system</w:t>
      </w:r>
      <w:r w:rsidRPr="00AD6872">
        <w:rPr>
          <w:rFonts w:ascii="Times New Roman" w:hAnsi="Times New Roman"/>
        </w:rPr>
        <w:t xml:space="preserve">.  Participant responses to these sensitive questions allow ETA to comprehensively evaluate the effectiveness of the YouthBuild program.  </w:t>
      </w:r>
    </w:p>
    <w:p w:rsidRPr="001E697A"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848EA"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48EA">
        <w:rPr>
          <w:rFonts w:ascii="Times New Roman" w:hAnsi="Times New Roman"/>
          <w:b/>
          <w:bCs/>
        </w:rPr>
        <w:t>12.  Provide estimates of the hour burden of the collection of information.  The statement should:</w:t>
      </w:r>
    </w:p>
    <w:p w:rsidRPr="005848EA"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44362"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48EA">
        <w:rPr>
          <w:rFonts w:ascii="Times New Roman" w:hAnsi="Times New Roman"/>
          <w:b/>
          <w:bCs/>
        </w:rPr>
        <w:t xml:space="preserve">Indicate </w:t>
      </w:r>
      <w:r w:rsidRPr="005848EA" w:rsidR="00690F56">
        <w:rPr>
          <w:rFonts w:ascii="Times New Roman" w:hAnsi="Times New Roman"/>
          <w:b/>
          <w:bCs/>
        </w:rPr>
        <w:t>the number of respondents, frequency of response, annual hour burden, and an explanation o</w:t>
      </w:r>
      <w:r w:rsidRPr="0053728E" w:rsidR="00D2331B">
        <w:rPr>
          <w:rFonts w:ascii="Times New Roman" w:hAnsi="Times New Roman"/>
          <w:b/>
          <w:bCs/>
        </w:rPr>
        <w:t xml:space="preserve">f </w:t>
      </w:r>
      <w:r w:rsidRPr="0053728E" w:rsidR="00690F56">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53728E" w:rsidR="00690F56">
        <w:rPr>
          <w:rFonts w:ascii="Times New Roman" w:hAnsi="Times New Roman"/>
          <w:b/>
          <w:bCs/>
        </w:rPr>
        <w:lastRenderedPageBreak/>
        <w:t>and explain the reasons for the variance.  General</w:t>
      </w:r>
      <w:r w:rsidRPr="0053728E" w:rsidR="00D05EAB">
        <w:rPr>
          <w:rFonts w:ascii="Times New Roman" w:hAnsi="Times New Roman"/>
          <w:b/>
          <w:bCs/>
        </w:rPr>
        <w:t>ly</w:t>
      </w:r>
      <w:r w:rsidRPr="0053728E">
        <w:rPr>
          <w:rFonts w:ascii="Times New Roman" w:hAnsi="Times New Roman"/>
          <w:b/>
          <w:bCs/>
        </w:rPr>
        <w:t>,</w:t>
      </w:r>
      <w:r w:rsidRPr="0053728E" w:rsidR="00690F56">
        <w:rPr>
          <w:rFonts w:ascii="Times New Roman" w:hAnsi="Times New Roman"/>
          <w:b/>
          <w:bCs/>
        </w:rPr>
        <w:t xml:space="preserve"> estimates should not include burden hours</w:t>
      </w:r>
      <w:r w:rsidRPr="0053728E" w:rsidR="00CD215D">
        <w:rPr>
          <w:rFonts w:ascii="Times New Roman" w:hAnsi="Times New Roman"/>
          <w:b/>
          <w:bCs/>
        </w:rPr>
        <w:t xml:space="preserve"> </w:t>
      </w:r>
      <w:r w:rsidRPr="0053728E" w:rsidR="00690F56">
        <w:rPr>
          <w:rFonts w:ascii="Times New Roman" w:hAnsi="Times New Roman"/>
          <w:b/>
          <w:bCs/>
        </w:rPr>
        <w:t>for customary and usual business practices.</w:t>
      </w:r>
    </w:p>
    <w:p w:rsidRPr="009813AF"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63F03"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813AF">
        <w:rPr>
          <w:b/>
        </w:rPr>
        <w:t xml:space="preserve">If this </w:t>
      </w:r>
      <w:r w:rsidRPr="009813AF">
        <w:rPr>
          <w:b/>
          <w:bCs/>
        </w:rPr>
        <w:t>request for approval covers more than one form, provide separate hour burden estimates for each form.</w:t>
      </w:r>
    </w:p>
    <w:p w:rsidRPr="005729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B6037F" w:rsidR="00B6037F" w:rsidP="00B6037F" w:rsidRDefault="00690F56" w14:paraId="46049969" w14:textId="184BB178">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E697A">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1E697A" w:rsidR="00312124">
        <w:rPr>
          <w:rFonts w:ascii="Times New Roman" w:hAnsi="Times New Roman"/>
          <w:b/>
          <w:bCs/>
        </w:rPr>
        <w:t>this cost</w:t>
      </w:r>
      <w:r w:rsidRPr="001E697A" w:rsidR="00C667F3">
        <w:rPr>
          <w:rFonts w:ascii="Times New Roman" w:hAnsi="Times New Roman"/>
          <w:b/>
          <w:bCs/>
        </w:rPr>
        <w:t xml:space="preserve"> should be included in Item 14</w:t>
      </w:r>
      <w:r w:rsidRPr="001E697A">
        <w:rPr>
          <w:rFonts w:ascii="Times New Roman" w:hAnsi="Times New Roman"/>
          <w:b/>
          <w:bCs/>
        </w:rPr>
        <w:t>.</w:t>
      </w:r>
    </w:p>
    <w:p w:rsidRPr="00B6037F"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6626FF" w:rsidRDefault="00B6037F" w14:paraId="49938EA8" w14:textId="5AA66267">
      <w:pPr>
        <w:ind w:left="720"/>
        <w:rPr>
          <w:rFonts w:ascii="Times New Roman" w:hAnsi="Times New Roman"/>
        </w:rPr>
      </w:pPr>
      <w:r>
        <w:rPr>
          <w:rFonts w:ascii="Times New Roman" w:hAnsi="Times New Roman"/>
        </w:rPr>
        <w:t>The annual national burden for the YouthBuild reporting system has three components: (1) the participant data collection burden; (2) the quarterly performance report burden; and (3) the work site description and annual housing census burden. This response provides a separate burden for each of the three components.</w:t>
      </w:r>
      <w:r w:rsidR="00F13AD1">
        <w:rPr>
          <w:rFonts w:ascii="Times New Roman" w:hAnsi="Times New Roman"/>
        </w:rPr>
        <w:t xml:space="preserve"> </w:t>
      </w:r>
      <w:r w:rsidR="00345266">
        <w:rPr>
          <w:rFonts w:ascii="Times New Roman" w:hAnsi="Times New Roman"/>
        </w:rPr>
        <w:t xml:space="preserve"> </w:t>
      </w:r>
      <w:r w:rsidR="00F13AD1">
        <w:rPr>
          <w:rFonts w:ascii="Times New Roman" w:hAnsi="Times New Roman"/>
        </w:rPr>
        <w:t>Each component includes record keeping.</w:t>
      </w:r>
    </w:p>
    <w:p w:rsidR="00B6037F" w:rsidP="006626FF" w:rsidRDefault="00B6037F" w14:paraId="38A1B33A" w14:textId="2B3327B1">
      <w:pPr>
        <w:ind w:left="720"/>
        <w:rPr>
          <w:rFonts w:ascii="Times New Roman" w:hAnsi="Times New Roman"/>
        </w:rPr>
      </w:pPr>
    </w:p>
    <w:p w:rsidR="00B6037F" w:rsidP="00AD6872" w:rsidRDefault="00B6037F" w14:paraId="648678B5" w14:textId="717333A7">
      <w:pPr>
        <w:pStyle w:val="ListParagraph"/>
        <w:numPr>
          <w:ilvl w:val="0"/>
          <w:numId w:val="22"/>
        </w:numPr>
        <w:rPr>
          <w:rFonts w:ascii="Times New Roman" w:hAnsi="Times New Roman"/>
        </w:rPr>
      </w:pPr>
      <w:r>
        <w:rPr>
          <w:rFonts w:ascii="Times New Roman" w:hAnsi="Times New Roman"/>
        </w:rPr>
        <w:t xml:space="preserve">Participant Data Collection Burden, </w:t>
      </w:r>
      <w:r w:rsidR="00A468C2">
        <w:rPr>
          <w:rFonts w:ascii="Times New Roman" w:hAnsi="Times New Roman"/>
        </w:rPr>
        <w:t>ETA-913</w:t>
      </w:r>
      <w:r w:rsidR="00730183">
        <w:rPr>
          <w:rFonts w:ascii="Times New Roman" w:hAnsi="Times New Roman"/>
        </w:rPr>
        <w:t>8</w:t>
      </w:r>
    </w:p>
    <w:p w:rsidR="00C50345" w:rsidP="00C50345" w:rsidRDefault="00C50345" w14:paraId="76EF1608" w14:textId="14718BE1">
      <w:pPr>
        <w:ind w:left="720"/>
        <w:rPr>
          <w:rFonts w:ascii="Times New Roman" w:hAnsi="Times New Roman"/>
        </w:rPr>
      </w:pPr>
    </w:p>
    <w:p w:rsidRPr="00AD6872" w:rsidR="00C50345" w:rsidP="00AD6872" w:rsidRDefault="00C50345" w14:paraId="4CEB5CB2" w14:textId="33F73CA5">
      <w:pPr>
        <w:ind w:left="720"/>
        <w:rPr>
          <w:rFonts w:ascii="Times New Roman" w:hAnsi="Times New Roman"/>
        </w:rPr>
      </w:pPr>
      <w:r w:rsidRPr="00AD6872">
        <w:rPr>
          <w:rFonts w:ascii="Times New Roman" w:hAnsi="Times New Roman"/>
        </w:rPr>
        <w:t>The YouthBuild</w:t>
      </w:r>
      <w:r w:rsidRPr="00AD6872">
        <w:rPr>
          <w:rFonts w:ascii="Times New Roman" w:hAnsi="Times New Roman"/>
          <w:b/>
          <w:i/>
        </w:rPr>
        <w:t xml:space="preserve"> participant data collection burden</w:t>
      </w:r>
      <w:r w:rsidRPr="00AD6872">
        <w:rPr>
          <w:rFonts w:ascii="Times New Roman" w:hAnsi="Times New Roman"/>
        </w:rPr>
        <w:t xml:space="preserve"> considers the amount of participant and performance-related information collected and reported on the participant record that would not have to be collected by the grantees as part of their customary and usual burden to run the program.  Thus</w:t>
      </w:r>
      <w:r w:rsidR="00345266">
        <w:rPr>
          <w:rFonts w:ascii="Times New Roman" w:hAnsi="Times New Roman"/>
        </w:rPr>
        <w:t>,</w:t>
      </w:r>
      <w:r w:rsidRPr="00AD6872">
        <w:rPr>
          <w:rFonts w:ascii="Times New Roman" w:hAnsi="Times New Roman"/>
        </w:rPr>
        <w:t xml:space="preserve"> the burden reflects the information collected solely to comply with the federal reporting requirements.  </w:t>
      </w:r>
    </w:p>
    <w:p w:rsidRPr="00AD6872" w:rsidR="00C50345" w:rsidP="00C50345" w:rsidRDefault="00C50345" w14:paraId="7C4FEADB" w14:textId="77777777">
      <w:pPr>
        <w:rPr>
          <w:rFonts w:ascii="Times New Roman" w:hAnsi="Times New Roman"/>
        </w:rPr>
      </w:pPr>
    </w:p>
    <w:p w:rsidR="00C50345" w:rsidP="00C50345" w:rsidRDefault="00C50345" w14:paraId="630FEAD0" w14:textId="3CD507AB">
      <w:pPr>
        <w:ind w:left="720"/>
        <w:rPr>
          <w:rFonts w:ascii="Times New Roman" w:hAnsi="Times New Roman"/>
        </w:rPr>
      </w:pPr>
      <w:r w:rsidRPr="00AD6872">
        <w:rPr>
          <w:rFonts w:ascii="Times New Roman" w:hAnsi="Times New Roman"/>
        </w:rPr>
        <w:t>The data collection burden will vary by participant based on the range and intensity of services provided by the grantee as well as by the number of participants served.</w:t>
      </w:r>
    </w:p>
    <w:p w:rsidRPr="00AD6872" w:rsidR="00C50345" w:rsidP="00C50345" w:rsidRDefault="00C50345" w14:paraId="53940C74" w14:textId="77777777">
      <w:pPr>
        <w:ind w:left="720"/>
        <w:rPr>
          <w:rFonts w:ascii="Times New Roman" w:hAnsi="Times New Roman"/>
        </w:rPr>
      </w:pPr>
    </w:p>
    <w:p w:rsidRPr="00B6037F" w:rsidR="006626FF" w:rsidP="006626FF" w:rsidRDefault="006626FF" w14:paraId="3CD4954E" w14:textId="77777777">
      <w:pPr>
        <w:ind w:left="720"/>
        <w:jc w:val="center"/>
        <w:rPr>
          <w:rFonts w:ascii="Times New Roman" w:hAnsi="Times New Roman"/>
          <w:i/>
        </w:rPr>
      </w:pPr>
      <w:r w:rsidRPr="00B6037F">
        <w:rPr>
          <w:rFonts w:ascii="Times New Roman" w:hAnsi="Times New Roman"/>
          <w:b/>
        </w:rPr>
        <w:lastRenderedPageBreak/>
        <w:t>Estimated Annualized Respondent Cost and Hour Burden</w:t>
      </w:r>
    </w:p>
    <w:tbl>
      <w:tblPr>
        <w:tblStyle w:val="TableGrid"/>
        <w:tblW w:w="9720" w:type="dxa"/>
        <w:tblInd w:w="-5" w:type="dxa"/>
        <w:tblLook w:val="04A0" w:firstRow="1" w:lastRow="0" w:firstColumn="1" w:lastColumn="0" w:noHBand="0" w:noVBand="1"/>
      </w:tblPr>
      <w:tblGrid>
        <w:gridCol w:w="1341"/>
        <w:gridCol w:w="1523"/>
        <w:gridCol w:w="1430"/>
        <w:gridCol w:w="1270"/>
        <w:gridCol w:w="1069"/>
        <w:gridCol w:w="1021"/>
        <w:gridCol w:w="950"/>
        <w:gridCol w:w="1116"/>
      </w:tblGrid>
      <w:tr w:rsidR="00D63F03" w:rsidTr="0053728E" w14:paraId="02B0AC39" w14:textId="77777777">
        <w:tc>
          <w:tcPr>
            <w:tcW w:w="1341" w:type="dxa"/>
            <w:shd w:val="clear" w:color="auto" w:fill="9CC2E5" w:themeFill="accent1" w:themeFillTint="99"/>
          </w:tcPr>
          <w:p w:rsidRPr="0053728E" w:rsidR="0053728E" w:rsidP="00D54252" w:rsidRDefault="0053728E" w14:paraId="47071622" w14:textId="77777777">
            <w:pPr>
              <w:jc w:val="center"/>
              <w:rPr>
                <w:rFonts w:ascii="Times New Roman" w:hAnsi="Times New Roman" w:cs="Times New Roman"/>
                <w:b/>
              </w:rPr>
            </w:pPr>
            <w:r w:rsidRPr="0053728E">
              <w:rPr>
                <w:rFonts w:ascii="Times New Roman" w:hAnsi="Times New Roman"/>
                <w:b/>
              </w:rPr>
              <w:t>Activity</w:t>
            </w:r>
          </w:p>
        </w:tc>
        <w:tc>
          <w:tcPr>
            <w:tcW w:w="1523" w:type="dxa"/>
            <w:shd w:val="clear" w:color="auto" w:fill="9CC2E5" w:themeFill="accent1" w:themeFillTint="99"/>
          </w:tcPr>
          <w:p w:rsidRPr="00D63F03" w:rsidR="0053728E" w:rsidP="00D54252" w:rsidRDefault="00D63F03" w14:paraId="75E8E540" w14:textId="38365FDA">
            <w:pPr>
              <w:jc w:val="center"/>
              <w:rPr>
                <w:rFonts w:ascii="Times New Roman" w:hAnsi="Times New Roman" w:cs="Times New Roman"/>
                <w:b/>
              </w:rPr>
            </w:pPr>
            <w:r>
              <w:rPr>
                <w:rFonts w:ascii="Times New Roman" w:hAnsi="Times New Roman" w:cs="Times New Roman"/>
                <w:b/>
              </w:rPr>
              <w:t xml:space="preserve">PY 21 Estimated National </w:t>
            </w:r>
            <w:r w:rsidRPr="00D63F03" w:rsidR="0053728E">
              <w:rPr>
                <w:rFonts w:ascii="Times New Roman" w:hAnsi="Times New Roman" w:cs="Times New Roman"/>
                <w:b/>
              </w:rPr>
              <w:t>No. of Respondents</w:t>
            </w:r>
          </w:p>
        </w:tc>
        <w:tc>
          <w:tcPr>
            <w:tcW w:w="1430" w:type="dxa"/>
            <w:shd w:val="clear" w:color="auto" w:fill="9CC2E5" w:themeFill="accent1" w:themeFillTint="99"/>
          </w:tcPr>
          <w:p w:rsidRPr="00D63F03" w:rsidR="0053728E" w:rsidP="00D54252" w:rsidRDefault="00D63F03" w14:paraId="02AFAC5C" w14:textId="36102EA6">
            <w:pPr>
              <w:jc w:val="center"/>
              <w:rPr>
                <w:rFonts w:ascii="Times New Roman" w:hAnsi="Times New Roman" w:cs="Times New Roman"/>
                <w:b/>
              </w:rPr>
            </w:pPr>
            <w:r>
              <w:rPr>
                <w:rFonts w:ascii="Times New Roman" w:hAnsi="Times New Roman" w:cs="Times New Roman"/>
                <w:b/>
              </w:rPr>
              <w:t>No. of R</w:t>
            </w:r>
            <w:r w:rsidR="00D54252">
              <w:rPr>
                <w:rFonts w:ascii="Times New Roman" w:hAnsi="Times New Roman" w:cs="Times New Roman"/>
                <w:b/>
              </w:rPr>
              <w:t>e</w:t>
            </w:r>
            <w:r>
              <w:rPr>
                <w:rFonts w:ascii="Times New Roman" w:hAnsi="Times New Roman" w:cs="Times New Roman"/>
                <w:b/>
              </w:rPr>
              <w:t>cords per Participant</w:t>
            </w:r>
          </w:p>
        </w:tc>
        <w:tc>
          <w:tcPr>
            <w:tcW w:w="1270" w:type="dxa"/>
            <w:shd w:val="clear" w:color="auto" w:fill="9CC2E5" w:themeFill="accent1" w:themeFillTint="99"/>
          </w:tcPr>
          <w:p w:rsidRPr="00D63F03" w:rsidR="0053728E" w:rsidP="00D54252" w:rsidRDefault="0053728E" w14:paraId="2873EC50" w14:textId="77777777">
            <w:pPr>
              <w:jc w:val="center"/>
              <w:rPr>
                <w:rFonts w:ascii="Times New Roman" w:hAnsi="Times New Roman" w:cs="Times New Roman"/>
                <w:b/>
              </w:rPr>
            </w:pPr>
            <w:r w:rsidRPr="00D63F03">
              <w:rPr>
                <w:rFonts w:ascii="Times New Roman" w:hAnsi="Times New Roman" w:cs="Times New Roman"/>
                <w:b/>
              </w:rPr>
              <w:t>Total Responses</w:t>
            </w:r>
          </w:p>
        </w:tc>
        <w:tc>
          <w:tcPr>
            <w:tcW w:w="1069" w:type="dxa"/>
            <w:shd w:val="clear" w:color="auto" w:fill="9CC2E5" w:themeFill="accent1" w:themeFillTint="99"/>
          </w:tcPr>
          <w:p w:rsidRPr="00D63F03" w:rsidR="0053728E" w:rsidP="00D54252" w:rsidRDefault="0053728E" w14:paraId="023D76F6" w14:textId="4658CA24">
            <w:pPr>
              <w:jc w:val="center"/>
              <w:rPr>
                <w:rFonts w:ascii="Times New Roman" w:hAnsi="Times New Roman" w:cs="Times New Roman"/>
                <w:b/>
              </w:rPr>
            </w:pPr>
            <w:r w:rsidRPr="005729EB">
              <w:rPr>
                <w:rFonts w:ascii="Times New Roman" w:hAnsi="Times New Roman" w:cs="Times New Roman"/>
                <w:b/>
              </w:rPr>
              <w:t>Average Burden</w:t>
            </w:r>
            <w:r w:rsidR="00D63F03">
              <w:rPr>
                <w:rFonts w:ascii="Times New Roman" w:hAnsi="Times New Roman" w:cs="Times New Roman"/>
                <w:b/>
              </w:rPr>
              <w:t xml:space="preserve"> Hrs. Per Record</w:t>
            </w:r>
            <w:r w:rsidRPr="00D63F03">
              <w:rPr>
                <w:rFonts w:ascii="Times New Roman" w:hAnsi="Times New Roman" w:cs="Times New Roman"/>
                <w:b/>
              </w:rPr>
              <w:t xml:space="preserve"> (Hours)</w:t>
            </w:r>
          </w:p>
        </w:tc>
        <w:tc>
          <w:tcPr>
            <w:tcW w:w="1021" w:type="dxa"/>
            <w:shd w:val="clear" w:color="auto" w:fill="9CC2E5" w:themeFill="accent1" w:themeFillTint="99"/>
          </w:tcPr>
          <w:p w:rsidRPr="005729EB" w:rsidR="0053728E" w:rsidP="00D54252" w:rsidRDefault="0053728E" w14:paraId="0B0960D6" w14:textId="77777777">
            <w:pPr>
              <w:jc w:val="center"/>
              <w:rPr>
                <w:rFonts w:ascii="Times New Roman" w:hAnsi="Times New Roman" w:cs="Times New Roman"/>
                <w:b/>
              </w:rPr>
            </w:pPr>
            <w:r w:rsidRPr="005729EB">
              <w:rPr>
                <w:rFonts w:ascii="Times New Roman" w:hAnsi="Times New Roman" w:cs="Times New Roman"/>
                <w:b/>
              </w:rPr>
              <w:t>Total Burden (Hours)</w:t>
            </w:r>
          </w:p>
        </w:tc>
        <w:tc>
          <w:tcPr>
            <w:tcW w:w="950" w:type="dxa"/>
            <w:shd w:val="clear" w:color="auto" w:fill="9CC2E5" w:themeFill="accent1" w:themeFillTint="99"/>
          </w:tcPr>
          <w:p w:rsidRPr="0053728E" w:rsidR="0053728E" w:rsidP="00D54252" w:rsidRDefault="0053728E" w14:paraId="01D49E55" w14:textId="77777777">
            <w:pPr>
              <w:jc w:val="center"/>
              <w:rPr>
                <w:rFonts w:ascii="Times New Roman" w:hAnsi="Times New Roman" w:cs="Times New Roman"/>
                <w:b/>
              </w:rPr>
            </w:pPr>
            <w:r w:rsidRPr="0053728E">
              <w:rPr>
                <w:rFonts w:ascii="Times New Roman" w:hAnsi="Times New Roman"/>
                <w:b/>
              </w:rPr>
              <w:t>Hourly Wage Rate</w:t>
            </w:r>
          </w:p>
        </w:tc>
        <w:tc>
          <w:tcPr>
            <w:tcW w:w="1116" w:type="dxa"/>
            <w:shd w:val="clear" w:color="auto" w:fill="9CC2E5" w:themeFill="accent1" w:themeFillTint="99"/>
          </w:tcPr>
          <w:p w:rsidRPr="00D63F03" w:rsidR="0053728E" w:rsidP="00D54252" w:rsidRDefault="00D63F03" w14:paraId="54CAC9E8" w14:textId="40BBB973">
            <w:pPr>
              <w:jc w:val="center"/>
              <w:rPr>
                <w:rFonts w:ascii="Times New Roman" w:hAnsi="Times New Roman" w:cs="Times New Roman"/>
                <w:b/>
              </w:rPr>
            </w:pPr>
            <w:r>
              <w:rPr>
                <w:rFonts w:ascii="Times New Roman" w:hAnsi="Times New Roman" w:cs="Times New Roman"/>
                <w:b/>
              </w:rPr>
              <w:t xml:space="preserve">Annual National </w:t>
            </w:r>
            <w:r w:rsidRPr="00D63F03" w:rsidR="0053728E">
              <w:rPr>
                <w:rFonts w:ascii="Times New Roman" w:hAnsi="Times New Roman" w:cs="Times New Roman"/>
                <w:b/>
              </w:rPr>
              <w:t>Total Burden Cost</w:t>
            </w:r>
          </w:p>
        </w:tc>
      </w:tr>
      <w:tr w:rsidR="00D63F03" w:rsidTr="0053728E" w14:paraId="75459AE7" w14:textId="77777777">
        <w:trPr>
          <w:trHeight w:val="953"/>
        </w:trPr>
        <w:tc>
          <w:tcPr>
            <w:tcW w:w="1341" w:type="dxa"/>
          </w:tcPr>
          <w:p w:rsidRPr="004C5022" w:rsidR="0053728E" w:rsidP="00730183" w:rsidRDefault="0053728E" w14:paraId="4ECBA940" w14:textId="3C062983">
            <w:pPr>
              <w:rPr>
                <w:rFonts w:ascii="Times New Roman" w:hAnsi="Times New Roman" w:cs="Times New Roman"/>
              </w:rPr>
            </w:pPr>
            <w:r w:rsidRPr="00AD6872">
              <w:rPr>
                <w:rFonts w:ascii="Times New Roman" w:hAnsi="Times New Roman"/>
              </w:rPr>
              <w:t>Participant</w:t>
            </w:r>
            <w:r w:rsidR="00730183">
              <w:rPr>
                <w:rFonts w:ascii="Times New Roman" w:hAnsi="Times New Roman"/>
              </w:rPr>
              <w:t xml:space="preserve"> MIS Records</w:t>
            </w:r>
          </w:p>
        </w:tc>
        <w:tc>
          <w:tcPr>
            <w:tcW w:w="1523" w:type="dxa"/>
          </w:tcPr>
          <w:p w:rsidRPr="004C5022" w:rsidR="0053728E" w:rsidP="00261944" w:rsidRDefault="0053728E" w14:paraId="7628CBF9" w14:textId="77777777">
            <w:pPr>
              <w:jc w:val="center"/>
              <w:rPr>
                <w:rFonts w:ascii="Times New Roman" w:hAnsi="Times New Roman" w:cs="Times New Roman"/>
              </w:rPr>
            </w:pPr>
            <w:r w:rsidRPr="004C5022">
              <w:rPr>
                <w:rFonts w:ascii="Times New Roman" w:hAnsi="Times New Roman"/>
              </w:rPr>
              <w:t>6,000</w:t>
            </w:r>
          </w:p>
        </w:tc>
        <w:tc>
          <w:tcPr>
            <w:tcW w:w="1430" w:type="dxa"/>
          </w:tcPr>
          <w:p w:rsidRPr="004C5022" w:rsidR="0053728E" w:rsidP="00261944" w:rsidRDefault="0053728E" w14:paraId="16260A7E" w14:textId="77777777">
            <w:pPr>
              <w:jc w:val="center"/>
              <w:rPr>
                <w:rFonts w:ascii="Times New Roman" w:hAnsi="Times New Roman" w:cs="Times New Roman"/>
              </w:rPr>
            </w:pPr>
            <w:r w:rsidRPr="004C5022">
              <w:rPr>
                <w:rFonts w:ascii="Times New Roman" w:hAnsi="Times New Roman"/>
              </w:rPr>
              <w:t>1</w:t>
            </w:r>
          </w:p>
        </w:tc>
        <w:tc>
          <w:tcPr>
            <w:tcW w:w="1270" w:type="dxa"/>
          </w:tcPr>
          <w:p w:rsidRPr="004C5022" w:rsidR="0053728E" w:rsidP="00261944" w:rsidRDefault="0053728E" w14:paraId="4C6D4124" w14:textId="77777777">
            <w:pPr>
              <w:jc w:val="center"/>
              <w:rPr>
                <w:rFonts w:ascii="Times New Roman" w:hAnsi="Times New Roman" w:cs="Times New Roman"/>
              </w:rPr>
            </w:pPr>
            <w:r w:rsidRPr="004C5022">
              <w:rPr>
                <w:rFonts w:ascii="Times New Roman" w:hAnsi="Times New Roman"/>
              </w:rPr>
              <w:t>6,000</w:t>
            </w:r>
          </w:p>
        </w:tc>
        <w:tc>
          <w:tcPr>
            <w:tcW w:w="1069" w:type="dxa"/>
          </w:tcPr>
          <w:p w:rsidRPr="004C5022" w:rsidR="0053728E" w:rsidP="00261944" w:rsidRDefault="0053728E" w14:paraId="1668D2DB" w14:textId="77777777">
            <w:pPr>
              <w:jc w:val="center"/>
              <w:rPr>
                <w:rFonts w:ascii="Times New Roman" w:hAnsi="Times New Roman" w:cs="Times New Roman"/>
              </w:rPr>
            </w:pPr>
            <w:r w:rsidRPr="004C5022">
              <w:rPr>
                <w:rFonts w:ascii="Times New Roman" w:hAnsi="Times New Roman"/>
              </w:rPr>
              <w:t>1.8</w:t>
            </w:r>
          </w:p>
        </w:tc>
        <w:tc>
          <w:tcPr>
            <w:tcW w:w="1021" w:type="dxa"/>
          </w:tcPr>
          <w:p w:rsidRPr="004C5022" w:rsidR="0053728E" w:rsidP="00261944" w:rsidRDefault="0053728E" w14:paraId="4E6DC7B1" w14:textId="77777777">
            <w:pPr>
              <w:jc w:val="center"/>
              <w:rPr>
                <w:rFonts w:ascii="Times New Roman" w:hAnsi="Times New Roman" w:cs="Times New Roman"/>
              </w:rPr>
            </w:pPr>
            <w:r w:rsidRPr="004C5022">
              <w:rPr>
                <w:rFonts w:ascii="Times New Roman" w:hAnsi="Times New Roman"/>
              </w:rPr>
              <w:t>10,800</w:t>
            </w:r>
          </w:p>
        </w:tc>
        <w:tc>
          <w:tcPr>
            <w:tcW w:w="950" w:type="dxa"/>
          </w:tcPr>
          <w:p w:rsidRPr="004C5022" w:rsidR="0053728E" w:rsidP="00261944" w:rsidRDefault="0053728E" w14:paraId="6492AA9D" w14:textId="77777777">
            <w:pPr>
              <w:jc w:val="center"/>
              <w:rPr>
                <w:rFonts w:ascii="Times New Roman" w:hAnsi="Times New Roman" w:cs="Times New Roman"/>
              </w:rPr>
            </w:pPr>
            <w:r w:rsidRPr="004C5022">
              <w:rPr>
                <w:rFonts w:ascii="Times New Roman" w:hAnsi="Times New Roman"/>
              </w:rPr>
              <w:t>$16.33</w:t>
            </w:r>
          </w:p>
        </w:tc>
        <w:tc>
          <w:tcPr>
            <w:tcW w:w="1116" w:type="dxa"/>
          </w:tcPr>
          <w:p w:rsidRPr="004C5022" w:rsidR="0053728E" w:rsidP="00261944" w:rsidRDefault="0053728E" w14:paraId="69A836A7" w14:textId="77777777">
            <w:pPr>
              <w:jc w:val="center"/>
              <w:rPr>
                <w:rFonts w:ascii="Times New Roman" w:hAnsi="Times New Roman" w:cs="Times New Roman"/>
              </w:rPr>
            </w:pPr>
            <w:r w:rsidRPr="004C5022">
              <w:rPr>
                <w:rFonts w:ascii="Times New Roman" w:hAnsi="Times New Roman"/>
              </w:rPr>
              <w:t>$176,364</w:t>
            </w:r>
          </w:p>
        </w:tc>
      </w:tr>
    </w:tbl>
    <w:p w:rsidRPr="001E697A"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AD6872" w:rsidRDefault="0053728E" w14:paraId="6E445B0D" w14:textId="33F7C9F7">
      <w:pPr>
        <w:pStyle w:val="ListParagraph"/>
        <w:numPr>
          <w:ilvl w:val="0"/>
          <w:numId w:val="22"/>
        </w:numPr>
        <w:rPr>
          <w:rFonts w:ascii="Times New Roman" w:hAnsi="Times New Roman"/>
        </w:rPr>
      </w:pPr>
      <w:r>
        <w:rPr>
          <w:rFonts w:ascii="Times New Roman" w:hAnsi="Times New Roman"/>
        </w:rPr>
        <w:t>Quarterly Performance Repo</w:t>
      </w:r>
      <w:r w:rsidR="00A468C2">
        <w:rPr>
          <w:rFonts w:ascii="Times New Roman" w:hAnsi="Times New Roman"/>
        </w:rPr>
        <w:t>rt Burden, ETA-9136</w:t>
      </w:r>
    </w:p>
    <w:p w:rsidR="0053728E" w:rsidP="00AD6872" w:rsidRDefault="0053728E" w14:paraId="39C7F6C2" w14:textId="68D90513">
      <w:pPr>
        <w:rPr>
          <w:rFonts w:ascii="Times New Roman" w:hAnsi="Times New Roman"/>
        </w:rPr>
      </w:pPr>
    </w:p>
    <w:p w:rsidR="0053728E" w:rsidP="00AD6872" w:rsidRDefault="0053728E" w14:paraId="68A499C5" w14:textId="72AA2B20">
      <w:pPr>
        <w:ind w:left="720"/>
        <w:rPr>
          <w:rFonts w:ascii="Times New Roman" w:hAnsi="Times New Roman"/>
        </w:rPr>
      </w:pPr>
      <w:r>
        <w:rPr>
          <w:rFonts w:ascii="Times New Roman" w:hAnsi="Times New Roman"/>
        </w:rPr>
        <w:t xml:space="preserve">The quarterly performance report burden assumes that all grantees will use the ETA-provided </w:t>
      </w:r>
      <w:r w:rsidRPr="00AD6872">
        <w:rPr>
          <w:rFonts w:ascii="Times New Roman" w:hAnsi="Times New Roman"/>
        </w:rPr>
        <w:t>MIS to generate quarterly performance reports.  The MIS applies edit checks to participant data and generates facsimiles of the aggregate information on enrollee characteristics, services provided, placements, outcomes, and follow-up status in quarterly report format.  The burden includes reviewing and correcting errors identified by the MIS in the participant-level data and generating, reviewing, and approving the aggregate quarterly reports.</w:t>
      </w:r>
    </w:p>
    <w:p w:rsidR="00744362" w:rsidP="00AD6872" w:rsidRDefault="00744362" w14:paraId="05454E49" w14:textId="5745FECA">
      <w:pPr>
        <w:ind w:left="720"/>
        <w:rPr>
          <w:rFonts w:ascii="Times New Roman" w:hAnsi="Times New Roman"/>
        </w:rPr>
      </w:pPr>
    </w:p>
    <w:tbl>
      <w:tblPr>
        <w:tblStyle w:val="TableGrid"/>
        <w:tblW w:w="9715" w:type="dxa"/>
        <w:tblLook w:val="04A0" w:firstRow="1" w:lastRow="0" w:firstColumn="1" w:lastColumn="0" w:noHBand="0" w:noVBand="1"/>
      </w:tblPr>
      <w:tblGrid>
        <w:gridCol w:w="1340"/>
        <w:gridCol w:w="1311"/>
        <w:gridCol w:w="1285"/>
        <w:gridCol w:w="1182"/>
        <w:gridCol w:w="998"/>
        <w:gridCol w:w="1023"/>
        <w:gridCol w:w="1260"/>
        <w:gridCol w:w="1316"/>
      </w:tblGrid>
      <w:tr w:rsidRPr="00744362" w:rsidR="006E23BE" w:rsidTr="00744362" w14:paraId="155FC1ED" w14:textId="77777777">
        <w:tc>
          <w:tcPr>
            <w:tcW w:w="1340" w:type="dxa"/>
            <w:shd w:val="clear" w:color="auto" w:fill="9CC2E5" w:themeFill="accent1" w:themeFillTint="99"/>
          </w:tcPr>
          <w:p w:rsidRPr="00AD6872" w:rsidR="00744362" w:rsidP="00744362" w:rsidRDefault="00744362" w14:paraId="1AB3D808" w14:textId="77777777">
            <w:pPr>
              <w:widowControl/>
              <w:autoSpaceDE/>
              <w:autoSpaceDN/>
              <w:adjustRightInd/>
              <w:jc w:val="center"/>
              <w:rPr>
                <w:rFonts w:ascii="Times New Roman" w:hAnsi="Times New Roman"/>
                <w:b/>
                <w:sz w:val="22"/>
                <w:szCs w:val="22"/>
              </w:rPr>
            </w:pPr>
            <w:r w:rsidRPr="00AD6872">
              <w:rPr>
                <w:rFonts w:ascii="Times New Roman" w:hAnsi="Times New Roman"/>
                <w:b/>
                <w:sz w:val="22"/>
                <w:szCs w:val="22"/>
              </w:rPr>
              <w:t>Activity</w:t>
            </w:r>
          </w:p>
        </w:tc>
        <w:tc>
          <w:tcPr>
            <w:tcW w:w="1415" w:type="dxa"/>
            <w:shd w:val="clear" w:color="auto" w:fill="9CC2E5" w:themeFill="accent1" w:themeFillTint="99"/>
          </w:tcPr>
          <w:p w:rsidRPr="00AD6872" w:rsidR="00744362" w:rsidP="00744362" w:rsidRDefault="009813AF" w14:paraId="00735ADD" w14:textId="13E08AE3">
            <w:pPr>
              <w:widowControl/>
              <w:autoSpaceDE/>
              <w:autoSpaceDN/>
              <w:adjustRightInd/>
              <w:jc w:val="center"/>
              <w:rPr>
                <w:rFonts w:ascii="Times New Roman" w:hAnsi="Times New Roman"/>
                <w:b/>
                <w:sz w:val="22"/>
                <w:szCs w:val="22"/>
              </w:rPr>
            </w:pPr>
            <w:r w:rsidRPr="009813AF">
              <w:rPr>
                <w:rFonts w:ascii="Times New Roman" w:hAnsi="Times New Roman"/>
                <w:b/>
                <w:sz w:val="22"/>
                <w:szCs w:val="22"/>
              </w:rPr>
              <w:t>No. of Grantees</w:t>
            </w:r>
          </w:p>
        </w:tc>
        <w:tc>
          <w:tcPr>
            <w:tcW w:w="1329" w:type="dxa"/>
            <w:shd w:val="clear" w:color="auto" w:fill="9CC2E5" w:themeFill="accent1" w:themeFillTint="99"/>
          </w:tcPr>
          <w:p w:rsidRPr="00AD6872" w:rsidR="00744362" w:rsidP="00744362" w:rsidRDefault="006E23BE" w14:paraId="64718D5A" w14:textId="02C364DB">
            <w:pPr>
              <w:widowControl/>
              <w:autoSpaceDE/>
              <w:autoSpaceDN/>
              <w:adjustRightInd/>
              <w:jc w:val="center"/>
              <w:rPr>
                <w:rFonts w:ascii="Times New Roman" w:hAnsi="Times New Roman"/>
                <w:b/>
                <w:sz w:val="22"/>
                <w:szCs w:val="22"/>
              </w:rPr>
            </w:pPr>
            <w:r>
              <w:rPr>
                <w:rFonts w:ascii="Times New Roman" w:hAnsi="Times New Roman"/>
                <w:b/>
                <w:sz w:val="22"/>
                <w:szCs w:val="22"/>
              </w:rPr>
              <w:t>No. of Responses P</w:t>
            </w:r>
            <w:r w:rsidRPr="009813AF" w:rsidR="009813AF">
              <w:rPr>
                <w:rFonts w:ascii="Times New Roman" w:hAnsi="Times New Roman"/>
                <w:b/>
                <w:sz w:val="22"/>
                <w:szCs w:val="22"/>
              </w:rPr>
              <w:t xml:space="preserve">er </w:t>
            </w:r>
            <w:r>
              <w:rPr>
                <w:rFonts w:ascii="Times New Roman" w:hAnsi="Times New Roman"/>
                <w:b/>
                <w:sz w:val="22"/>
                <w:szCs w:val="22"/>
              </w:rPr>
              <w:t>Year P</w:t>
            </w:r>
            <w:r w:rsidR="009813AF">
              <w:rPr>
                <w:rFonts w:ascii="Times New Roman" w:hAnsi="Times New Roman"/>
                <w:b/>
                <w:sz w:val="22"/>
                <w:szCs w:val="22"/>
              </w:rPr>
              <w:t xml:space="preserve">er </w:t>
            </w:r>
            <w:r w:rsidRPr="009813AF" w:rsidR="009813AF">
              <w:rPr>
                <w:rFonts w:ascii="Times New Roman" w:hAnsi="Times New Roman"/>
                <w:b/>
                <w:sz w:val="22"/>
                <w:szCs w:val="22"/>
              </w:rPr>
              <w:t>Grantee</w:t>
            </w:r>
          </w:p>
        </w:tc>
        <w:tc>
          <w:tcPr>
            <w:tcW w:w="1182" w:type="dxa"/>
            <w:shd w:val="clear" w:color="auto" w:fill="9CC2E5" w:themeFill="accent1" w:themeFillTint="99"/>
          </w:tcPr>
          <w:p w:rsidRPr="00AD6872" w:rsidR="00744362" w:rsidP="00744362" w:rsidRDefault="00744362" w14:paraId="734890F5" w14:textId="2ADFC7F2">
            <w:pPr>
              <w:widowControl/>
              <w:autoSpaceDE/>
              <w:autoSpaceDN/>
              <w:adjustRightInd/>
              <w:jc w:val="center"/>
              <w:rPr>
                <w:rFonts w:ascii="Times New Roman" w:hAnsi="Times New Roman"/>
                <w:b/>
                <w:sz w:val="22"/>
                <w:szCs w:val="22"/>
              </w:rPr>
            </w:pPr>
            <w:r w:rsidRPr="00AD6872">
              <w:rPr>
                <w:rFonts w:ascii="Times New Roman" w:hAnsi="Times New Roman"/>
                <w:b/>
                <w:sz w:val="22"/>
                <w:szCs w:val="22"/>
              </w:rPr>
              <w:t>Total Responses</w:t>
            </w:r>
            <w:r w:rsidR="006E23BE">
              <w:rPr>
                <w:rFonts w:ascii="Times New Roman" w:hAnsi="Times New Roman"/>
                <w:b/>
                <w:sz w:val="22"/>
                <w:szCs w:val="22"/>
              </w:rPr>
              <w:t xml:space="preserve"> Per Year</w:t>
            </w:r>
          </w:p>
        </w:tc>
        <w:tc>
          <w:tcPr>
            <w:tcW w:w="998" w:type="dxa"/>
            <w:shd w:val="clear" w:color="auto" w:fill="9CC2E5" w:themeFill="accent1" w:themeFillTint="99"/>
          </w:tcPr>
          <w:p w:rsidRPr="00AD6872" w:rsidR="00744362" w:rsidP="00744362" w:rsidRDefault="00744362" w14:paraId="41EDF573" w14:textId="77777777">
            <w:pPr>
              <w:widowControl/>
              <w:autoSpaceDE/>
              <w:autoSpaceDN/>
              <w:adjustRightInd/>
              <w:jc w:val="center"/>
              <w:rPr>
                <w:rFonts w:ascii="Times New Roman" w:hAnsi="Times New Roman"/>
                <w:b/>
                <w:sz w:val="22"/>
                <w:szCs w:val="22"/>
              </w:rPr>
            </w:pPr>
            <w:r w:rsidRPr="00AD6872">
              <w:rPr>
                <w:rFonts w:ascii="Times New Roman" w:hAnsi="Times New Roman"/>
                <w:b/>
                <w:sz w:val="22"/>
                <w:szCs w:val="22"/>
              </w:rPr>
              <w:t>Average Burden (Hours)</w:t>
            </w:r>
          </w:p>
        </w:tc>
        <w:tc>
          <w:tcPr>
            <w:tcW w:w="950" w:type="dxa"/>
            <w:shd w:val="clear" w:color="auto" w:fill="9CC2E5" w:themeFill="accent1" w:themeFillTint="99"/>
          </w:tcPr>
          <w:p w:rsidRPr="00AD6872" w:rsidR="00744362" w:rsidP="00744362" w:rsidRDefault="006E23BE" w14:paraId="60EE0CB9" w14:textId="6CF474E8">
            <w:pPr>
              <w:widowControl/>
              <w:autoSpaceDE/>
              <w:autoSpaceDN/>
              <w:adjustRightInd/>
              <w:jc w:val="center"/>
              <w:rPr>
                <w:rFonts w:ascii="Times New Roman" w:hAnsi="Times New Roman"/>
                <w:b/>
                <w:sz w:val="22"/>
                <w:szCs w:val="22"/>
              </w:rPr>
            </w:pPr>
            <w:r>
              <w:rPr>
                <w:rFonts w:ascii="Times New Roman" w:hAnsi="Times New Roman"/>
                <w:b/>
                <w:sz w:val="22"/>
                <w:szCs w:val="22"/>
              </w:rPr>
              <w:t xml:space="preserve">Annual National </w:t>
            </w:r>
            <w:r w:rsidRPr="00AD6872" w:rsidR="00744362">
              <w:rPr>
                <w:rFonts w:ascii="Times New Roman" w:hAnsi="Times New Roman"/>
                <w:b/>
                <w:sz w:val="22"/>
                <w:szCs w:val="22"/>
              </w:rPr>
              <w:t>Total Burden (Hours)</w:t>
            </w:r>
          </w:p>
        </w:tc>
        <w:tc>
          <w:tcPr>
            <w:tcW w:w="1421" w:type="dxa"/>
            <w:shd w:val="clear" w:color="auto" w:fill="9CC2E5" w:themeFill="accent1" w:themeFillTint="99"/>
          </w:tcPr>
          <w:p w:rsidRPr="00AD6872" w:rsidR="00744362" w:rsidP="00744362" w:rsidRDefault="00744362" w14:paraId="276B0E25" w14:textId="77777777">
            <w:pPr>
              <w:widowControl/>
              <w:autoSpaceDE/>
              <w:autoSpaceDN/>
              <w:adjustRightInd/>
              <w:jc w:val="center"/>
              <w:rPr>
                <w:rFonts w:ascii="Times New Roman" w:hAnsi="Times New Roman"/>
                <w:b/>
                <w:sz w:val="22"/>
                <w:szCs w:val="22"/>
              </w:rPr>
            </w:pPr>
            <w:r w:rsidRPr="00AD6872">
              <w:rPr>
                <w:rFonts w:ascii="Times New Roman" w:hAnsi="Times New Roman"/>
                <w:b/>
                <w:sz w:val="22"/>
                <w:szCs w:val="22"/>
              </w:rPr>
              <w:t>Hourly Wage Rate</w:t>
            </w:r>
          </w:p>
        </w:tc>
        <w:tc>
          <w:tcPr>
            <w:tcW w:w="1080" w:type="dxa"/>
            <w:shd w:val="clear" w:color="auto" w:fill="9CC2E5" w:themeFill="accent1" w:themeFillTint="99"/>
          </w:tcPr>
          <w:p w:rsidRPr="00AD6872" w:rsidR="00744362" w:rsidP="00744362" w:rsidRDefault="006E23BE" w14:paraId="510A5B5C" w14:textId="6BFFB82C">
            <w:pPr>
              <w:widowControl/>
              <w:autoSpaceDE/>
              <w:autoSpaceDN/>
              <w:adjustRightInd/>
              <w:jc w:val="center"/>
              <w:rPr>
                <w:rFonts w:ascii="Times New Roman" w:hAnsi="Times New Roman"/>
                <w:b/>
                <w:sz w:val="22"/>
                <w:szCs w:val="22"/>
              </w:rPr>
            </w:pPr>
            <w:r>
              <w:rPr>
                <w:rFonts w:ascii="Times New Roman" w:hAnsi="Times New Roman"/>
                <w:b/>
                <w:sz w:val="22"/>
                <w:szCs w:val="22"/>
              </w:rPr>
              <w:t xml:space="preserve">Annual National </w:t>
            </w:r>
            <w:r w:rsidRPr="00AD6872" w:rsidR="00744362">
              <w:rPr>
                <w:rFonts w:ascii="Times New Roman" w:hAnsi="Times New Roman"/>
                <w:b/>
                <w:sz w:val="22"/>
                <w:szCs w:val="22"/>
              </w:rPr>
              <w:t>Total Burden Cost</w:t>
            </w:r>
          </w:p>
        </w:tc>
      </w:tr>
      <w:tr w:rsidRPr="00744362" w:rsidR="009813AF" w:rsidTr="00744362" w14:paraId="2313157E" w14:textId="77777777">
        <w:trPr>
          <w:trHeight w:val="953"/>
        </w:trPr>
        <w:tc>
          <w:tcPr>
            <w:tcW w:w="1340" w:type="dxa"/>
          </w:tcPr>
          <w:p w:rsidRPr="00AD6872" w:rsidR="00744362" w:rsidP="00AD6872" w:rsidRDefault="00744362" w14:paraId="159F4AFC"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Quarterly Performance</w:t>
            </w:r>
          </w:p>
          <w:p w:rsidRPr="00AD6872" w:rsidR="00744362" w:rsidP="00AD6872" w:rsidRDefault="00744362" w14:paraId="1B0C6DA1"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Report</w:t>
            </w:r>
          </w:p>
        </w:tc>
        <w:tc>
          <w:tcPr>
            <w:tcW w:w="1415" w:type="dxa"/>
          </w:tcPr>
          <w:p w:rsidRPr="00AD6872" w:rsidR="00744362" w:rsidP="00AD6872" w:rsidRDefault="00744362" w14:paraId="46D68949"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210</w:t>
            </w:r>
          </w:p>
        </w:tc>
        <w:tc>
          <w:tcPr>
            <w:tcW w:w="1329" w:type="dxa"/>
          </w:tcPr>
          <w:p w:rsidRPr="00AD6872" w:rsidR="00744362" w:rsidP="00AD6872" w:rsidRDefault="00744362" w14:paraId="2F5DA085"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4</w:t>
            </w:r>
          </w:p>
        </w:tc>
        <w:tc>
          <w:tcPr>
            <w:tcW w:w="1182" w:type="dxa"/>
          </w:tcPr>
          <w:p w:rsidRPr="00AD6872" w:rsidR="00744362" w:rsidP="00AD6872" w:rsidRDefault="00744362" w14:paraId="35E3D07B"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840</w:t>
            </w:r>
          </w:p>
        </w:tc>
        <w:tc>
          <w:tcPr>
            <w:tcW w:w="998" w:type="dxa"/>
          </w:tcPr>
          <w:p w:rsidRPr="00AD6872" w:rsidR="00744362" w:rsidP="00AD6872" w:rsidRDefault="00744362" w14:paraId="7FC1C111"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16</w:t>
            </w:r>
          </w:p>
        </w:tc>
        <w:tc>
          <w:tcPr>
            <w:tcW w:w="950" w:type="dxa"/>
          </w:tcPr>
          <w:p w:rsidRPr="00AD6872" w:rsidR="00744362" w:rsidP="00AD6872" w:rsidRDefault="00744362" w14:paraId="4718A6D5"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13,440</w:t>
            </w:r>
          </w:p>
        </w:tc>
        <w:tc>
          <w:tcPr>
            <w:tcW w:w="1421" w:type="dxa"/>
          </w:tcPr>
          <w:p w:rsidRPr="00AD6872" w:rsidR="00744362" w:rsidP="00AD6872" w:rsidRDefault="00744362" w14:paraId="17C50463"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$16.33</w:t>
            </w:r>
          </w:p>
        </w:tc>
        <w:tc>
          <w:tcPr>
            <w:tcW w:w="1080" w:type="dxa"/>
          </w:tcPr>
          <w:p w:rsidRPr="00AD6872" w:rsidR="00744362" w:rsidP="00AD6872" w:rsidRDefault="00744362" w14:paraId="7C45F69E" w14:textId="77777777">
            <w:pPr>
              <w:widowControl/>
              <w:autoSpaceDE/>
              <w:autoSpaceDN/>
              <w:adjustRightInd/>
              <w:jc w:val="center"/>
              <w:rPr>
                <w:rFonts w:ascii="Times New Roman" w:hAnsi="Times New Roman"/>
                <w:sz w:val="22"/>
                <w:szCs w:val="22"/>
              </w:rPr>
            </w:pPr>
            <w:r w:rsidRPr="00AD6872">
              <w:rPr>
                <w:rFonts w:ascii="Times New Roman" w:hAnsi="Times New Roman"/>
                <w:sz w:val="22"/>
                <w:szCs w:val="22"/>
              </w:rPr>
              <w:t>$219,475.20</w:t>
            </w:r>
          </w:p>
        </w:tc>
      </w:tr>
    </w:tbl>
    <w:p w:rsidR="00744362" w:rsidP="00AD6872" w:rsidRDefault="00744362" w14:paraId="334C6EBD" w14:textId="6B2566AA">
      <w:pPr>
        <w:ind w:left="720"/>
        <w:rPr>
          <w:rFonts w:ascii="Times New Roman" w:hAnsi="Times New Roman"/>
        </w:rPr>
      </w:pPr>
    </w:p>
    <w:p w:rsidR="00744362" w:rsidP="00AD6872" w:rsidRDefault="00744362" w14:paraId="14E06918" w14:textId="2BB45E21">
      <w:pPr>
        <w:pStyle w:val="ListParagraph"/>
        <w:numPr>
          <w:ilvl w:val="0"/>
          <w:numId w:val="22"/>
        </w:numPr>
        <w:rPr>
          <w:rFonts w:ascii="Times New Roman" w:hAnsi="Times New Roman"/>
        </w:rPr>
      </w:pPr>
      <w:r>
        <w:rPr>
          <w:rFonts w:ascii="Times New Roman" w:hAnsi="Times New Roman"/>
        </w:rPr>
        <w:t>Work Site Description, ETA-9143</w:t>
      </w:r>
    </w:p>
    <w:p w:rsidR="00744362" w:rsidP="00AD6872" w:rsidRDefault="00744362" w14:paraId="418BEE3B" w14:textId="77777777">
      <w:pPr>
        <w:pStyle w:val="ListParagraph"/>
        <w:ind w:left="1080"/>
        <w:rPr>
          <w:rFonts w:ascii="Times New Roman" w:hAnsi="Times New Roman"/>
        </w:rPr>
      </w:pPr>
    </w:p>
    <w:p w:rsidRPr="00AD6872" w:rsidR="00744362" w:rsidP="006C07F2" w:rsidRDefault="00744362" w14:paraId="34802753" w14:textId="7F4D2071">
      <w:pPr>
        <w:pStyle w:val="ListParagraph"/>
        <w:numPr>
          <w:ilvl w:val="0"/>
          <w:numId w:val="23"/>
        </w:numPr>
        <w:rPr>
          <w:rFonts w:ascii="Times New Roman" w:hAnsi="Times New Roman"/>
        </w:rPr>
      </w:pPr>
      <w:r w:rsidRPr="00AD6872">
        <w:rPr>
          <w:rFonts w:ascii="Times New Roman" w:hAnsi="Times New Roman"/>
        </w:rPr>
        <w:t xml:space="preserve">Work Site Description: As part of the grant application, prospective applicants are required to submit information about the work site(s) that will be used as training for YouthBuild participants using the Work Site Description form.  Grantees are also required to submit this form at any point when they </w:t>
      </w:r>
      <w:r w:rsidRPr="00AD6872">
        <w:rPr>
          <w:rFonts w:ascii="Times New Roman" w:hAnsi="Times New Roman"/>
        </w:rPr>
        <w:lastRenderedPageBreak/>
        <w:t>propose to utilize an additional work site during the period of performance to guarantee that the grantee has access to a suitable and qualifying work site property to use in the training of YouthBuild participants.  They must submit unique forms for each work site proposed.  This form includes information on estimated construction costs and sources of funding.  The burden is estimated at 30 minutes per submission with one submission per prospective applicant; this burden, annualized over the three-year period of this request for extension, is 10 minutes per year.</w:t>
      </w:r>
    </w:p>
    <w:p w:rsidR="00744362" w:rsidP="00AD6872" w:rsidRDefault="00744362" w14:paraId="2B458ED2" w14:textId="6E390AD8">
      <w:pPr>
        <w:rPr>
          <w:rFonts w:ascii="Times New Roman" w:hAnsi="Times New Roman"/>
        </w:rPr>
      </w:pPr>
    </w:p>
    <w:p w:rsidR="00744362" w:rsidP="00AD6872" w:rsidRDefault="00744362" w14:paraId="1D61FB21" w14:textId="6EFEEDA7">
      <w:pPr>
        <w:ind w:left="720"/>
        <w:rPr>
          <w:rFonts w:ascii="Times New Roman" w:hAnsi="Times New Roman"/>
        </w:rPr>
      </w:pPr>
      <w:r>
        <w:rPr>
          <w:rFonts w:ascii="Times New Roman" w:hAnsi="Times New Roman"/>
        </w:rPr>
        <w:t>Prospective Applicants</w:t>
      </w:r>
    </w:p>
    <w:p w:rsidR="009813AF" w:rsidP="00AD6872" w:rsidRDefault="009813AF" w14:paraId="44F01634" w14:textId="2163BCE6">
      <w:pPr>
        <w:ind w:left="720"/>
        <w:rPr>
          <w:rFonts w:ascii="Times New Roman" w:hAnsi="Times New Roman"/>
        </w:rPr>
      </w:pPr>
    </w:p>
    <w:tbl>
      <w:tblPr>
        <w:tblStyle w:val="TableGrid1"/>
        <w:tblW w:w="9770" w:type="dxa"/>
        <w:tblLook w:val="04A0" w:firstRow="1" w:lastRow="0" w:firstColumn="1" w:lastColumn="0" w:noHBand="0" w:noVBand="1"/>
      </w:tblPr>
      <w:tblGrid>
        <w:gridCol w:w="1336"/>
        <w:gridCol w:w="1443"/>
        <w:gridCol w:w="1430"/>
        <w:gridCol w:w="1270"/>
        <w:gridCol w:w="1403"/>
        <w:gridCol w:w="1097"/>
        <w:gridCol w:w="950"/>
        <w:gridCol w:w="1097"/>
      </w:tblGrid>
      <w:tr w:rsidRPr="009813AF" w:rsidR="009813AF" w:rsidTr="009813AF" w14:paraId="1AF6B79D" w14:textId="77777777">
        <w:tc>
          <w:tcPr>
            <w:tcW w:w="1336" w:type="dxa"/>
            <w:shd w:val="clear" w:color="auto" w:fill="9CC2E5" w:themeFill="accent1" w:themeFillTint="99"/>
          </w:tcPr>
          <w:p w:rsidRPr="009813AF" w:rsidR="009813AF" w:rsidP="009813AF" w:rsidRDefault="009813AF" w14:paraId="5CB2BCFB" w14:textId="77777777">
            <w:pPr>
              <w:widowControl/>
              <w:autoSpaceDE/>
              <w:autoSpaceDN/>
              <w:adjustRightInd/>
              <w:jc w:val="center"/>
              <w:rPr>
                <w:rFonts w:ascii="Times New Roman" w:hAnsi="Times New Roman"/>
                <w:b/>
              </w:rPr>
            </w:pPr>
            <w:r w:rsidRPr="009813AF">
              <w:rPr>
                <w:rFonts w:ascii="Times New Roman" w:hAnsi="Times New Roman"/>
                <w:b/>
              </w:rPr>
              <w:t>Activity</w:t>
            </w:r>
          </w:p>
        </w:tc>
        <w:tc>
          <w:tcPr>
            <w:tcW w:w="1523" w:type="dxa"/>
            <w:shd w:val="clear" w:color="auto" w:fill="9CC2E5" w:themeFill="accent1" w:themeFillTint="99"/>
          </w:tcPr>
          <w:p w:rsidRPr="009813AF" w:rsidR="009813AF" w:rsidP="009813AF" w:rsidRDefault="009813AF" w14:paraId="5008D887" w14:textId="13288D72">
            <w:pPr>
              <w:widowControl/>
              <w:autoSpaceDE/>
              <w:autoSpaceDN/>
              <w:adjustRightInd/>
              <w:jc w:val="center"/>
              <w:rPr>
                <w:rFonts w:ascii="Times New Roman" w:hAnsi="Times New Roman"/>
                <w:b/>
              </w:rPr>
            </w:pPr>
            <w:r>
              <w:rPr>
                <w:rFonts w:ascii="Times New Roman" w:hAnsi="Times New Roman"/>
                <w:b/>
              </w:rPr>
              <w:t>Average No. of Applicants*</w:t>
            </w:r>
          </w:p>
        </w:tc>
        <w:tc>
          <w:tcPr>
            <w:tcW w:w="1430" w:type="dxa"/>
            <w:shd w:val="clear" w:color="auto" w:fill="9CC2E5" w:themeFill="accent1" w:themeFillTint="99"/>
          </w:tcPr>
          <w:p w:rsidRPr="009813AF" w:rsidR="009813AF" w:rsidP="009813AF" w:rsidRDefault="009813AF" w14:paraId="7E6789BB" w14:textId="1CA2B840">
            <w:pPr>
              <w:widowControl/>
              <w:autoSpaceDE/>
              <w:autoSpaceDN/>
              <w:adjustRightInd/>
              <w:jc w:val="center"/>
              <w:rPr>
                <w:rFonts w:ascii="Times New Roman" w:hAnsi="Times New Roman"/>
                <w:b/>
              </w:rPr>
            </w:pPr>
            <w:r>
              <w:rPr>
                <w:rFonts w:ascii="Times New Roman" w:hAnsi="Times New Roman"/>
                <w:b/>
              </w:rPr>
              <w:t xml:space="preserve">Average Annual </w:t>
            </w:r>
            <w:r w:rsidRPr="009813AF">
              <w:rPr>
                <w:rFonts w:ascii="Times New Roman" w:hAnsi="Times New Roman"/>
                <w:b/>
              </w:rPr>
              <w:t>No. of Responses per Respondent</w:t>
            </w:r>
          </w:p>
        </w:tc>
        <w:tc>
          <w:tcPr>
            <w:tcW w:w="1270" w:type="dxa"/>
            <w:shd w:val="clear" w:color="auto" w:fill="9CC2E5" w:themeFill="accent1" w:themeFillTint="99"/>
          </w:tcPr>
          <w:p w:rsidRPr="009813AF" w:rsidR="009813AF" w:rsidP="009813AF" w:rsidRDefault="009813AF" w14:paraId="651BD134" w14:textId="77777777">
            <w:pPr>
              <w:widowControl/>
              <w:autoSpaceDE/>
              <w:autoSpaceDN/>
              <w:adjustRightInd/>
              <w:jc w:val="center"/>
              <w:rPr>
                <w:rFonts w:ascii="Times New Roman" w:hAnsi="Times New Roman"/>
                <w:b/>
              </w:rPr>
            </w:pPr>
            <w:r w:rsidRPr="009813AF">
              <w:rPr>
                <w:rFonts w:ascii="Times New Roman" w:hAnsi="Times New Roman"/>
                <w:b/>
              </w:rPr>
              <w:t>Total Responses</w:t>
            </w:r>
          </w:p>
        </w:tc>
        <w:tc>
          <w:tcPr>
            <w:tcW w:w="1069" w:type="dxa"/>
            <w:shd w:val="clear" w:color="auto" w:fill="9CC2E5" w:themeFill="accent1" w:themeFillTint="99"/>
          </w:tcPr>
          <w:p w:rsidRPr="009813AF" w:rsidR="009813AF" w:rsidP="009813AF" w:rsidRDefault="009813AF" w14:paraId="7735A4E9" w14:textId="7A8562FA">
            <w:pPr>
              <w:widowControl/>
              <w:autoSpaceDE/>
              <w:autoSpaceDN/>
              <w:adjustRightInd/>
              <w:jc w:val="center"/>
              <w:rPr>
                <w:rFonts w:ascii="Times New Roman" w:hAnsi="Times New Roman"/>
                <w:b/>
              </w:rPr>
            </w:pPr>
            <w:r w:rsidRPr="009813AF">
              <w:rPr>
                <w:rFonts w:ascii="Times New Roman" w:hAnsi="Times New Roman"/>
                <w:b/>
              </w:rPr>
              <w:t>Average</w:t>
            </w:r>
            <w:r>
              <w:rPr>
                <w:rFonts w:ascii="Times New Roman" w:hAnsi="Times New Roman"/>
                <w:b/>
              </w:rPr>
              <w:t xml:space="preserve"> Annualized Hrs. Per Year Per Prospective Applicant</w:t>
            </w:r>
            <w:r w:rsidRPr="009813AF">
              <w:rPr>
                <w:rFonts w:ascii="Times New Roman" w:hAnsi="Times New Roman"/>
                <w:b/>
              </w:rPr>
              <w:t xml:space="preserve"> Burden (Hours)</w:t>
            </w:r>
          </w:p>
        </w:tc>
        <w:tc>
          <w:tcPr>
            <w:tcW w:w="1016" w:type="dxa"/>
            <w:shd w:val="clear" w:color="auto" w:fill="9CC2E5" w:themeFill="accent1" w:themeFillTint="99"/>
          </w:tcPr>
          <w:p w:rsidRPr="009813AF" w:rsidR="009813AF" w:rsidP="009813AF" w:rsidRDefault="009813AF" w14:paraId="6004637F" w14:textId="03008200">
            <w:pPr>
              <w:widowControl/>
              <w:autoSpaceDE/>
              <w:autoSpaceDN/>
              <w:adjustRightInd/>
              <w:jc w:val="center"/>
              <w:rPr>
                <w:rFonts w:ascii="Times New Roman" w:hAnsi="Times New Roman"/>
                <w:b/>
              </w:rPr>
            </w:pPr>
            <w:r>
              <w:rPr>
                <w:rFonts w:ascii="Times New Roman" w:hAnsi="Times New Roman"/>
                <w:b/>
              </w:rPr>
              <w:t xml:space="preserve">Annual National </w:t>
            </w:r>
            <w:r w:rsidRPr="009813AF">
              <w:rPr>
                <w:rFonts w:ascii="Times New Roman" w:hAnsi="Times New Roman"/>
                <w:b/>
              </w:rPr>
              <w:t>Total Burden (Hours)</w:t>
            </w:r>
          </w:p>
        </w:tc>
        <w:tc>
          <w:tcPr>
            <w:tcW w:w="950" w:type="dxa"/>
            <w:shd w:val="clear" w:color="auto" w:fill="9CC2E5" w:themeFill="accent1" w:themeFillTint="99"/>
          </w:tcPr>
          <w:p w:rsidRPr="009813AF" w:rsidR="009813AF" w:rsidP="009813AF" w:rsidRDefault="009813AF" w14:paraId="2369EBDC" w14:textId="77777777">
            <w:pPr>
              <w:widowControl/>
              <w:autoSpaceDE/>
              <w:autoSpaceDN/>
              <w:adjustRightInd/>
              <w:jc w:val="center"/>
              <w:rPr>
                <w:rFonts w:ascii="Times New Roman" w:hAnsi="Times New Roman"/>
                <w:b/>
              </w:rPr>
            </w:pPr>
            <w:r w:rsidRPr="009813AF">
              <w:rPr>
                <w:rFonts w:ascii="Times New Roman" w:hAnsi="Times New Roman"/>
                <w:b/>
              </w:rPr>
              <w:t>Hourly Wage Rate</w:t>
            </w:r>
          </w:p>
        </w:tc>
        <w:tc>
          <w:tcPr>
            <w:tcW w:w="1176" w:type="dxa"/>
            <w:shd w:val="clear" w:color="auto" w:fill="9CC2E5" w:themeFill="accent1" w:themeFillTint="99"/>
          </w:tcPr>
          <w:p w:rsidRPr="009813AF" w:rsidR="009813AF" w:rsidP="009813AF" w:rsidRDefault="009813AF" w14:paraId="318A1FE7" w14:textId="60EB136C">
            <w:pPr>
              <w:widowControl/>
              <w:autoSpaceDE/>
              <w:autoSpaceDN/>
              <w:adjustRightInd/>
              <w:jc w:val="center"/>
              <w:rPr>
                <w:rFonts w:ascii="Times New Roman" w:hAnsi="Times New Roman"/>
                <w:b/>
              </w:rPr>
            </w:pPr>
            <w:r>
              <w:rPr>
                <w:rFonts w:ascii="Times New Roman" w:hAnsi="Times New Roman"/>
                <w:b/>
              </w:rPr>
              <w:t xml:space="preserve">Annual National </w:t>
            </w:r>
            <w:r w:rsidRPr="009813AF">
              <w:rPr>
                <w:rFonts w:ascii="Times New Roman" w:hAnsi="Times New Roman"/>
                <w:b/>
              </w:rPr>
              <w:t>Total Burden Cost</w:t>
            </w:r>
          </w:p>
        </w:tc>
      </w:tr>
      <w:tr w:rsidRPr="009813AF" w:rsidR="009813AF" w:rsidTr="009813AF" w14:paraId="3F41296F" w14:textId="77777777">
        <w:trPr>
          <w:trHeight w:val="953"/>
        </w:trPr>
        <w:tc>
          <w:tcPr>
            <w:tcW w:w="1336" w:type="dxa"/>
          </w:tcPr>
          <w:p w:rsidRPr="009813AF" w:rsidR="009813AF" w:rsidP="009813AF" w:rsidRDefault="009813AF" w14:paraId="05EEBB95" w14:textId="292FC1B0">
            <w:pPr>
              <w:widowControl/>
              <w:autoSpaceDE/>
              <w:autoSpaceDN/>
              <w:adjustRightInd/>
              <w:rPr>
                <w:rFonts w:ascii="Times New Roman" w:hAnsi="Times New Roman"/>
              </w:rPr>
            </w:pPr>
            <w:r w:rsidRPr="009813AF">
              <w:rPr>
                <w:rFonts w:ascii="Times New Roman" w:hAnsi="Times New Roman"/>
              </w:rPr>
              <w:t>Work</w:t>
            </w:r>
            <w:r>
              <w:rPr>
                <w:rFonts w:ascii="Times New Roman" w:hAnsi="Times New Roman"/>
              </w:rPr>
              <w:t xml:space="preserve"> S</w:t>
            </w:r>
            <w:r w:rsidRPr="009813AF">
              <w:rPr>
                <w:rFonts w:ascii="Times New Roman" w:hAnsi="Times New Roman"/>
              </w:rPr>
              <w:t>ite Description</w:t>
            </w:r>
          </w:p>
        </w:tc>
        <w:tc>
          <w:tcPr>
            <w:tcW w:w="1523" w:type="dxa"/>
          </w:tcPr>
          <w:p w:rsidRPr="009813AF" w:rsidR="009813AF" w:rsidP="00730183" w:rsidRDefault="009813AF" w14:paraId="329F09CA" w14:textId="17019A58">
            <w:pPr>
              <w:widowControl/>
              <w:autoSpaceDE/>
              <w:autoSpaceDN/>
              <w:adjustRightInd/>
              <w:rPr>
                <w:rFonts w:ascii="Times New Roman" w:hAnsi="Times New Roman"/>
              </w:rPr>
            </w:pPr>
            <w:r w:rsidRPr="009813AF">
              <w:rPr>
                <w:rFonts w:ascii="Times New Roman" w:hAnsi="Times New Roman"/>
              </w:rPr>
              <w:t>23</w:t>
            </w:r>
            <w:r w:rsidR="00730183">
              <w:rPr>
                <w:rFonts w:ascii="Times New Roman" w:hAnsi="Times New Roman"/>
              </w:rPr>
              <w:t>0</w:t>
            </w:r>
          </w:p>
        </w:tc>
        <w:tc>
          <w:tcPr>
            <w:tcW w:w="1430" w:type="dxa"/>
          </w:tcPr>
          <w:p w:rsidRPr="009813AF" w:rsidR="009813AF" w:rsidP="009813AF" w:rsidRDefault="009813AF" w14:paraId="1A4748E0" w14:textId="77777777">
            <w:pPr>
              <w:widowControl/>
              <w:autoSpaceDE/>
              <w:autoSpaceDN/>
              <w:adjustRightInd/>
              <w:rPr>
                <w:rFonts w:ascii="Times New Roman" w:hAnsi="Times New Roman"/>
              </w:rPr>
            </w:pPr>
            <w:r w:rsidRPr="009813AF">
              <w:rPr>
                <w:rFonts w:ascii="Times New Roman" w:hAnsi="Times New Roman"/>
              </w:rPr>
              <w:t>1</w:t>
            </w:r>
          </w:p>
        </w:tc>
        <w:tc>
          <w:tcPr>
            <w:tcW w:w="1270" w:type="dxa"/>
          </w:tcPr>
          <w:p w:rsidRPr="009813AF" w:rsidR="009813AF" w:rsidP="00730183" w:rsidRDefault="009813AF" w14:paraId="3BC37F95" w14:textId="0968A012">
            <w:pPr>
              <w:widowControl/>
              <w:autoSpaceDE/>
              <w:autoSpaceDN/>
              <w:adjustRightInd/>
              <w:rPr>
                <w:rFonts w:ascii="Times New Roman" w:hAnsi="Times New Roman"/>
              </w:rPr>
            </w:pPr>
            <w:r w:rsidRPr="009813AF">
              <w:rPr>
                <w:rFonts w:ascii="Times New Roman" w:hAnsi="Times New Roman"/>
              </w:rPr>
              <w:t>23</w:t>
            </w:r>
            <w:r w:rsidR="00730183">
              <w:rPr>
                <w:rFonts w:ascii="Times New Roman" w:hAnsi="Times New Roman"/>
              </w:rPr>
              <w:t>0</w:t>
            </w:r>
          </w:p>
        </w:tc>
        <w:tc>
          <w:tcPr>
            <w:tcW w:w="1069" w:type="dxa"/>
          </w:tcPr>
          <w:p w:rsidRPr="009813AF" w:rsidR="009813AF" w:rsidP="0050134B" w:rsidRDefault="009813AF" w14:paraId="56025889" w14:textId="2C9A2491">
            <w:pPr>
              <w:widowControl/>
              <w:autoSpaceDE/>
              <w:autoSpaceDN/>
              <w:adjustRightInd/>
              <w:rPr>
                <w:rFonts w:ascii="Times New Roman" w:hAnsi="Times New Roman"/>
              </w:rPr>
            </w:pPr>
            <w:r w:rsidRPr="009813AF">
              <w:rPr>
                <w:rFonts w:ascii="Times New Roman" w:hAnsi="Times New Roman"/>
              </w:rPr>
              <w:t>.</w:t>
            </w:r>
            <w:r w:rsidR="0050134B">
              <w:rPr>
                <w:rFonts w:ascii="Times New Roman" w:hAnsi="Times New Roman"/>
              </w:rPr>
              <w:t>17</w:t>
            </w:r>
          </w:p>
        </w:tc>
        <w:tc>
          <w:tcPr>
            <w:tcW w:w="1016" w:type="dxa"/>
          </w:tcPr>
          <w:p w:rsidRPr="009813AF" w:rsidR="009813AF" w:rsidP="0050134B" w:rsidRDefault="0050134B" w14:paraId="330B5EB4" w14:textId="621AA90C">
            <w:pPr>
              <w:widowControl/>
              <w:autoSpaceDE/>
              <w:autoSpaceDN/>
              <w:adjustRightInd/>
              <w:rPr>
                <w:rFonts w:ascii="Times New Roman" w:hAnsi="Times New Roman"/>
              </w:rPr>
            </w:pPr>
            <w:r>
              <w:rPr>
                <w:rFonts w:ascii="Times New Roman" w:hAnsi="Times New Roman"/>
              </w:rPr>
              <w:t>39.1</w:t>
            </w:r>
          </w:p>
        </w:tc>
        <w:tc>
          <w:tcPr>
            <w:tcW w:w="950" w:type="dxa"/>
          </w:tcPr>
          <w:p w:rsidRPr="009813AF" w:rsidR="009813AF" w:rsidP="009813AF" w:rsidRDefault="009813AF" w14:paraId="563CFE8C" w14:textId="77777777">
            <w:pPr>
              <w:widowControl/>
              <w:autoSpaceDE/>
              <w:autoSpaceDN/>
              <w:adjustRightInd/>
              <w:rPr>
                <w:rFonts w:ascii="Times New Roman" w:hAnsi="Times New Roman"/>
              </w:rPr>
            </w:pPr>
            <w:r w:rsidRPr="009813AF">
              <w:rPr>
                <w:rFonts w:ascii="Times New Roman" w:hAnsi="Times New Roman"/>
              </w:rPr>
              <w:t>$16.33</w:t>
            </w:r>
          </w:p>
        </w:tc>
        <w:tc>
          <w:tcPr>
            <w:tcW w:w="1176" w:type="dxa"/>
          </w:tcPr>
          <w:p w:rsidRPr="009813AF" w:rsidR="009813AF" w:rsidP="0050134B" w:rsidRDefault="009813AF" w14:paraId="7CFE34EB" w14:textId="5377C869">
            <w:pPr>
              <w:widowControl/>
              <w:autoSpaceDE/>
              <w:autoSpaceDN/>
              <w:adjustRightInd/>
              <w:rPr>
                <w:rFonts w:ascii="Times New Roman" w:hAnsi="Times New Roman"/>
              </w:rPr>
            </w:pPr>
            <w:r w:rsidRPr="009813AF">
              <w:rPr>
                <w:rFonts w:ascii="Times New Roman" w:hAnsi="Times New Roman"/>
              </w:rPr>
              <w:t>$</w:t>
            </w:r>
            <w:r w:rsidR="0050134B">
              <w:rPr>
                <w:rFonts w:ascii="Times New Roman" w:hAnsi="Times New Roman"/>
              </w:rPr>
              <w:t>638.50</w:t>
            </w:r>
          </w:p>
        </w:tc>
      </w:tr>
    </w:tbl>
    <w:p w:rsidR="009813AF" w:rsidP="004C5022" w:rsidRDefault="009813AF" w14:paraId="1F67FC42" w14:textId="0A0E615A">
      <w:pPr>
        <w:ind w:left="720"/>
        <w:rPr>
          <w:rFonts w:ascii="Times New Roman" w:hAnsi="Times New Roman"/>
        </w:rPr>
      </w:pPr>
      <w:r>
        <w:rPr>
          <w:rFonts w:ascii="Times New Roman" w:hAnsi="Times New Roman"/>
        </w:rPr>
        <w:t>*Based on the average number of applications received in ETA’s last three YouthBuild competitions.</w:t>
      </w:r>
    </w:p>
    <w:p w:rsidR="009813AF" w:rsidP="004C5022" w:rsidRDefault="009813AF" w14:paraId="079EB191" w14:textId="07A1D6A3">
      <w:pPr>
        <w:ind w:left="720"/>
        <w:rPr>
          <w:rFonts w:ascii="Times New Roman" w:hAnsi="Times New Roman"/>
        </w:rPr>
      </w:pPr>
    </w:p>
    <w:p w:rsidR="009813AF" w:rsidP="004C5022" w:rsidRDefault="009813AF" w14:paraId="66B3E223" w14:textId="56CD686B">
      <w:pPr>
        <w:ind w:left="720"/>
        <w:rPr>
          <w:rFonts w:ascii="Times New Roman" w:hAnsi="Times New Roman"/>
        </w:rPr>
      </w:pPr>
      <w:r>
        <w:rPr>
          <w:rFonts w:ascii="Times New Roman" w:hAnsi="Times New Roman"/>
        </w:rPr>
        <w:t>ETA estimates that grantees will submit three work site forms over the course of the two years of active program services for each grant period of performance. The burden is estimated at 30 minutes per submission with three submissions per grantee; this burden, annualized over the three-year period of this request for extension, is 30 minutes per year.</w:t>
      </w:r>
    </w:p>
    <w:p w:rsidR="009813AF" w:rsidP="004C5022" w:rsidRDefault="009813AF" w14:paraId="212BB235" w14:textId="24A0DC93">
      <w:pPr>
        <w:ind w:left="720"/>
        <w:rPr>
          <w:rFonts w:ascii="Times New Roman" w:hAnsi="Times New Roman"/>
        </w:rPr>
      </w:pPr>
    </w:p>
    <w:p w:rsidR="009813AF" w:rsidP="004C5022" w:rsidRDefault="009813AF" w14:paraId="4A3ABEEE" w14:textId="1C3CF2A1">
      <w:pPr>
        <w:ind w:left="720"/>
        <w:rPr>
          <w:rFonts w:ascii="Times New Roman" w:hAnsi="Times New Roman"/>
        </w:rPr>
      </w:pPr>
      <w:r>
        <w:rPr>
          <w:rFonts w:ascii="Times New Roman" w:hAnsi="Times New Roman"/>
        </w:rPr>
        <w:t>Existing YouthBuild Grantees</w:t>
      </w:r>
    </w:p>
    <w:p w:rsidR="009813AF" w:rsidP="004C5022" w:rsidRDefault="009813AF" w14:paraId="6934DD35" w14:textId="36EC2751">
      <w:pPr>
        <w:ind w:left="720"/>
        <w:rPr>
          <w:rFonts w:ascii="Times New Roman" w:hAnsi="Times New Roman"/>
        </w:rPr>
      </w:pPr>
    </w:p>
    <w:tbl>
      <w:tblPr>
        <w:tblStyle w:val="TableGrid2"/>
        <w:tblW w:w="10465" w:type="dxa"/>
        <w:tblLook w:val="04A0" w:firstRow="1" w:lastRow="0" w:firstColumn="1" w:lastColumn="0" w:noHBand="0" w:noVBand="1"/>
      </w:tblPr>
      <w:tblGrid>
        <w:gridCol w:w="1336"/>
        <w:gridCol w:w="1563"/>
        <w:gridCol w:w="1390"/>
        <w:gridCol w:w="1270"/>
        <w:gridCol w:w="1390"/>
        <w:gridCol w:w="1390"/>
        <w:gridCol w:w="950"/>
        <w:gridCol w:w="1176"/>
      </w:tblGrid>
      <w:tr w:rsidRPr="009813AF" w:rsidR="009813AF" w:rsidTr="00AD6872" w14:paraId="75C1C1AC" w14:textId="77777777">
        <w:tc>
          <w:tcPr>
            <w:tcW w:w="1336" w:type="dxa"/>
            <w:shd w:val="clear" w:color="auto" w:fill="9CC2E5" w:themeFill="accent1" w:themeFillTint="99"/>
          </w:tcPr>
          <w:p w:rsidRPr="009813AF" w:rsidR="009813AF" w:rsidP="009813AF" w:rsidRDefault="009813AF" w14:paraId="6F44EA82" w14:textId="77777777">
            <w:pPr>
              <w:widowControl/>
              <w:autoSpaceDE/>
              <w:autoSpaceDN/>
              <w:adjustRightInd/>
              <w:jc w:val="center"/>
              <w:rPr>
                <w:rFonts w:ascii="Times New Roman" w:hAnsi="Times New Roman"/>
                <w:b/>
              </w:rPr>
            </w:pPr>
            <w:r w:rsidRPr="009813AF">
              <w:rPr>
                <w:rFonts w:ascii="Times New Roman" w:hAnsi="Times New Roman"/>
                <w:b/>
              </w:rPr>
              <w:lastRenderedPageBreak/>
              <w:t>Activity</w:t>
            </w:r>
          </w:p>
        </w:tc>
        <w:tc>
          <w:tcPr>
            <w:tcW w:w="1629" w:type="dxa"/>
            <w:shd w:val="clear" w:color="auto" w:fill="9CC2E5" w:themeFill="accent1" w:themeFillTint="99"/>
          </w:tcPr>
          <w:p w:rsidRPr="009813AF" w:rsidR="009813AF" w:rsidP="009813AF" w:rsidRDefault="00D63F03" w14:paraId="41E57483" w14:textId="4636D87C">
            <w:pPr>
              <w:widowControl/>
              <w:autoSpaceDE/>
              <w:autoSpaceDN/>
              <w:adjustRightInd/>
              <w:jc w:val="center"/>
              <w:rPr>
                <w:rFonts w:ascii="Times New Roman" w:hAnsi="Times New Roman"/>
                <w:b/>
              </w:rPr>
            </w:pPr>
            <w:r>
              <w:rPr>
                <w:rFonts w:ascii="Times New Roman" w:hAnsi="Times New Roman"/>
                <w:b/>
              </w:rPr>
              <w:t>No. of Grantees</w:t>
            </w:r>
          </w:p>
        </w:tc>
        <w:tc>
          <w:tcPr>
            <w:tcW w:w="1324" w:type="dxa"/>
            <w:shd w:val="clear" w:color="auto" w:fill="9CC2E5" w:themeFill="accent1" w:themeFillTint="99"/>
          </w:tcPr>
          <w:p w:rsidRPr="009813AF" w:rsidR="009813AF" w:rsidP="009813AF" w:rsidRDefault="009813AF" w14:paraId="1AB3A606" w14:textId="7DCA7C80">
            <w:pPr>
              <w:widowControl/>
              <w:autoSpaceDE/>
              <w:autoSpaceDN/>
              <w:adjustRightInd/>
              <w:jc w:val="center"/>
              <w:rPr>
                <w:rFonts w:ascii="Times New Roman" w:hAnsi="Times New Roman"/>
                <w:b/>
              </w:rPr>
            </w:pPr>
            <w:r w:rsidRPr="009813AF">
              <w:rPr>
                <w:rFonts w:ascii="Times New Roman" w:hAnsi="Times New Roman"/>
                <w:b/>
              </w:rPr>
              <w:t xml:space="preserve">Annualized </w:t>
            </w:r>
            <w:r w:rsidR="00D63F03">
              <w:rPr>
                <w:rFonts w:ascii="Times New Roman" w:hAnsi="Times New Roman"/>
                <w:b/>
              </w:rPr>
              <w:t>No. of Responses per Grantee</w:t>
            </w:r>
          </w:p>
        </w:tc>
        <w:tc>
          <w:tcPr>
            <w:tcW w:w="1270" w:type="dxa"/>
            <w:shd w:val="clear" w:color="auto" w:fill="9CC2E5" w:themeFill="accent1" w:themeFillTint="99"/>
          </w:tcPr>
          <w:p w:rsidRPr="009813AF" w:rsidR="009813AF" w:rsidP="009813AF" w:rsidRDefault="009813AF" w14:paraId="78F50540" w14:textId="77777777">
            <w:pPr>
              <w:widowControl/>
              <w:autoSpaceDE/>
              <w:autoSpaceDN/>
              <w:adjustRightInd/>
              <w:jc w:val="center"/>
              <w:rPr>
                <w:rFonts w:ascii="Times New Roman" w:hAnsi="Times New Roman"/>
                <w:b/>
              </w:rPr>
            </w:pPr>
            <w:r w:rsidRPr="009813AF">
              <w:rPr>
                <w:rFonts w:ascii="Times New Roman" w:hAnsi="Times New Roman"/>
                <w:b/>
              </w:rPr>
              <w:t>Total Responses</w:t>
            </w:r>
          </w:p>
        </w:tc>
        <w:tc>
          <w:tcPr>
            <w:tcW w:w="1390" w:type="dxa"/>
            <w:shd w:val="clear" w:color="auto" w:fill="9CC2E5" w:themeFill="accent1" w:themeFillTint="99"/>
          </w:tcPr>
          <w:p w:rsidRPr="009813AF" w:rsidR="009813AF" w:rsidP="009813AF" w:rsidRDefault="009813AF" w14:paraId="6AD7569E" w14:textId="77777777">
            <w:pPr>
              <w:widowControl/>
              <w:autoSpaceDE/>
              <w:autoSpaceDN/>
              <w:adjustRightInd/>
              <w:jc w:val="center"/>
              <w:rPr>
                <w:rFonts w:ascii="Times New Roman" w:hAnsi="Times New Roman"/>
                <w:b/>
              </w:rPr>
            </w:pPr>
            <w:r w:rsidRPr="009813AF">
              <w:rPr>
                <w:rFonts w:ascii="Times New Roman" w:hAnsi="Times New Roman"/>
                <w:b/>
              </w:rPr>
              <w:t>Annualized Average Burden (Hours)</w:t>
            </w:r>
          </w:p>
        </w:tc>
        <w:tc>
          <w:tcPr>
            <w:tcW w:w="1390" w:type="dxa"/>
            <w:shd w:val="clear" w:color="auto" w:fill="9CC2E5" w:themeFill="accent1" w:themeFillTint="99"/>
          </w:tcPr>
          <w:p w:rsidRPr="009813AF" w:rsidR="009813AF" w:rsidP="009813AF" w:rsidRDefault="009813AF" w14:paraId="6222DAAA" w14:textId="77777777">
            <w:pPr>
              <w:widowControl/>
              <w:autoSpaceDE/>
              <w:autoSpaceDN/>
              <w:adjustRightInd/>
              <w:jc w:val="center"/>
              <w:rPr>
                <w:rFonts w:ascii="Times New Roman" w:hAnsi="Times New Roman"/>
                <w:b/>
              </w:rPr>
            </w:pPr>
            <w:r w:rsidRPr="009813AF">
              <w:rPr>
                <w:rFonts w:ascii="Times New Roman" w:hAnsi="Times New Roman"/>
                <w:b/>
              </w:rPr>
              <w:t>Annualized Total Burden (Hours)</w:t>
            </w:r>
          </w:p>
        </w:tc>
        <w:tc>
          <w:tcPr>
            <w:tcW w:w="950" w:type="dxa"/>
            <w:shd w:val="clear" w:color="auto" w:fill="9CC2E5" w:themeFill="accent1" w:themeFillTint="99"/>
          </w:tcPr>
          <w:p w:rsidRPr="009813AF" w:rsidR="009813AF" w:rsidP="009813AF" w:rsidRDefault="009813AF" w14:paraId="6E2BA1EB" w14:textId="77777777">
            <w:pPr>
              <w:widowControl/>
              <w:autoSpaceDE/>
              <w:autoSpaceDN/>
              <w:adjustRightInd/>
              <w:jc w:val="center"/>
              <w:rPr>
                <w:rFonts w:ascii="Times New Roman" w:hAnsi="Times New Roman"/>
                <w:b/>
              </w:rPr>
            </w:pPr>
            <w:r w:rsidRPr="009813AF">
              <w:rPr>
                <w:rFonts w:ascii="Times New Roman" w:hAnsi="Times New Roman"/>
                <w:b/>
              </w:rPr>
              <w:t>Hourly Wage Rate</w:t>
            </w:r>
          </w:p>
        </w:tc>
        <w:tc>
          <w:tcPr>
            <w:tcW w:w="1176" w:type="dxa"/>
            <w:shd w:val="clear" w:color="auto" w:fill="9CC2E5" w:themeFill="accent1" w:themeFillTint="99"/>
          </w:tcPr>
          <w:p w:rsidRPr="009813AF" w:rsidR="009813AF" w:rsidP="009813AF" w:rsidRDefault="009813AF" w14:paraId="1AEF9F5F" w14:textId="77777777">
            <w:pPr>
              <w:widowControl/>
              <w:autoSpaceDE/>
              <w:autoSpaceDN/>
              <w:adjustRightInd/>
              <w:jc w:val="center"/>
              <w:rPr>
                <w:rFonts w:ascii="Times New Roman" w:hAnsi="Times New Roman"/>
                <w:b/>
              </w:rPr>
            </w:pPr>
            <w:r w:rsidRPr="009813AF">
              <w:rPr>
                <w:rFonts w:ascii="Times New Roman" w:hAnsi="Times New Roman"/>
                <w:b/>
              </w:rPr>
              <w:t>Annual Total Burden Cost</w:t>
            </w:r>
          </w:p>
        </w:tc>
      </w:tr>
      <w:tr w:rsidRPr="009813AF" w:rsidR="009813AF" w:rsidTr="00AD6872" w14:paraId="6C4922FF" w14:textId="77777777">
        <w:trPr>
          <w:trHeight w:val="953"/>
        </w:trPr>
        <w:tc>
          <w:tcPr>
            <w:tcW w:w="1336" w:type="dxa"/>
          </w:tcPr>
          <w:p w:rsidRPr="009813AF" w:rsidR="009813AF" w:rsidP="0050134B" w:rsidRDefault="009813AF" w14:paraId="252FCC3C" w14:textId="7897156A">
            <w:pPr>
              <w:widowControl/>
              <w:autoSpaceDE/>
              <w:autoSpaceDN/>
              <w:adjustRightInd/>
              <w:rPr>
                <w:rFonts w:ascii="Times New Roman" w:hAnsi="Times New Roman"/>
              </w:rPr>
            </w:pPr>
            <w:r w:rsidRPr="009813AF">
              <w:rPr>
                <w:rFonts w:ascii="Times New Roman" w:hAnsi="Times New Roman"/>
              </w:rPr>
              <w:t>Work</w:t>
            </w:r>
            <w:r w:rsidR="0050134B">
              <w:rPr>
                <w:rFonts w:ascii="Times New Roman" w:hAnsi="Times New Roman"/>
              </w:rPr>
              <w:t xml:space="preserve"> S</w:t>
            </w:r>
            <w:r w:rsidRPr="009813AF">
              <w:rPr>
                <w:rFonts w:ascii="Times New Roman" w:hAnsi="Times New Roman"/>
              </w:rPr>
              <w:t>ite Description</w:t>
            </w:r>
          </w:p>
        </w:tc>
        <w:tc>
          <w:tcPr>
            <w:tcW w:w="1629" w:type="dxa"/>
          </w:tcPr>
          <w:p w:rsidRPr="009813AF" w:rsidR="009813AF" w:rsidP="009813AF" w:rsidRDefault="009813AF" w14:paraId="35BAF13D" w14:textId="77777777">
            <w:pPr>
              <w:widowControl/>
              <w:autoSpaceDE/>
              <w:autoSpaceDN/>
              <w:adjustRightInd/>
              <w:rPr>
                <w:rFonts w:ascii="Times New Roman" w:hAnsi="Times New Roman"/>
              </w:rPr>
            </w:pPr>
            <w:r w:rsidRPr="009813AF">
              <w:rPr>
                <w:rFonts w:ascii="Times New Roman" w:hAnsi="Times New Roman"/>
              </w:rPr>
              <w:t>210</w:t>
            </w:r>
          </w:p>
        </w:tc>
        <w:tc>
          <w:tcPr>
            <w:tcW w:w="1324" w:type="dxa"/>
          </w:tcPr>
          <w:p w:rsidRPr="009813AF" w:rsidR="009813AF" w:rsidP="009813AF" w:rsidRDefault="009813AF" w14:paraId="5FC58A06" w14:textId="77777777">
            <w:pPr>
              <w:widowControl/>
              <w:autoSpaceDE/>
              <w:autoSpaceDN/>
              <w:adjustRightInd/>
              <w:rPr>
                <w:rFonts w:ascii="Times New Roman" w:hAnsi="Times New Roman"/>
              </w:rPr>
            </w:pPr>
            <w:r w:rsidRPr="009813AF">
              <w:rPr>
                <w:rFonts w:ascii="Times New Roman" w:hAnsi="Times New Roman"/>
              </w:rPr>
              <w:t>1</w:t>
            </w:r>
          </w:p>
        </w:tc>
        <w:tc>
          <w:tcPr>
            <w:tcW w:w="1270" w:type="dxa"/>
          </w:tcPr>
          <w:p w:rsidRPr="009813AF" w:rsidR="009813AF" w:rsidP="009813AF" w:rsidRDefault="009813AF" w14:paraId="384CF25B" w14:textId="77777777">
            <w:pPr>
              <w:widowControl/>
              <w:autoSpaceDE/>
              <w:autoSpaceDN/>
              <w:adjustRightInd/>
              <w:rPr>
                <w:rFonts w:ascii="Times New Roman" w:hAnsi="Times New Roman"/>
              </w:rPr>
            </w:pPr>
            <w:r w:rsidRPr="009813AF">
              <w:rPr>
                <w:rFonts w:ascii="Times New Roman" w:hAnsi="Times New Roman"/>
              </w:rPr>
              <w:t>210</w:t>
            </w:r>
          </w:p>
        </w:tc>
        <w:tc>
          <w:tcPr>
            <w:tcW w:w="1390" w:type="dxa"/>
          </w:tcPr>
          <w:p w:rsidRPr="009813AF" w:rsidR="009813AF" w:rsidP="009813AF" w:rsidRDefault="009813AF" w14:paraId="7AFA4F4B" w14:textId="77777777">
            <w:pPr>
              <w:widowControl/>
              <w:autoSpaceDE/>
              <w:autoSpaceDN/>
              <w:adjustRightInd/>
              <w:rPr>
                <w:rFonts w:ascii="Times New Roman" w:hAnsi="Times New Roman"/>
              </w:rPr>
            </w:pPr>
            <w:r w:rsidRPr="009813AF">
              <w:rPr>
                <w:rFonts w:ascii="Times New Roman" w:hAnsi="Times New Roman"/>
              </w:rPr>
              <w:t>.5</w:t>
            </w:r>
          </w:p>
        </w:tc>
        <w:tc>
          <w:tcPr>
            <w:tcW w:w="1390" w:type="dxa"/>
          </w:tcPr>
          <w:p w:rsidRPr="009813AF" w:rsidR="009813AF" w:rsidP="009813AF" w:rsidRDefault="009813AF" w14:paraId="6FC0DFF6" w14:textId="77777777">
            <w:pPr>
              <w:widowControl/>
              <w:autoSpaceDE/>
              <w:autoSpaceDN/>
              <w:adjustRightInd/>
              <w:rPr>
                <w:rFonts w:ascii="Times New Roman" w:hAnsi="Times New Roman"/>
              </w:rPr>
            </w:pPr>
            <w:r w:rsidRPr="009813AF">
              <w:rPr>
                <w:rFonts w:ascii="Times New Roman" w:hAnsi="Times New Roman"/>
              </w:rPr>
              <w:t>105</w:t>
            </w:r>
          </w:p>
        </w:tc>
        <w:tc>
          <w:tcPr>
            <w:tcW w:w="950" w:type="dxa"/>
          </w:tcPr>
          <w:p w:rsidRPr="009813AF" w:rsidR="009813AF" w:rsidP="009813AF" w:rsidRDefault="009813AF" w14:paraId="555CD9FA" w14:textId="77777777">
            <w:pPr>
              <w:widowControl/>
              <w:autoSpaceDE/>
              <w:autoSpaceDN/>
              <w:adjustRightInd/>
              <w:rPr>
                <w:rFonts w:ascii="Times New Roman" w:hAnsi="Times New Roman"/>
              </w:rPr>
            </w:pPr>
            <w:r w:rsidRPr="009813AF">
              <w:rPr>
                <w:rFonts w:ascii="Times New Roman" w:hAnsi="Times New Roman"/>
              </w:rPr>
              <w:t>$16.33</w:t>
            </w:r>
          </w:p>
        </w:tc>
        <w:tc>
          <w:tcPr>
            <w:tcW w:w="1176" w:type="dxa"/>
          </w:tcPr>
          <w:p w:rsidRPr="009813AF" w:rsidR="009813AF" w:rsidP="009813AF" w:rsidRDefault="009813AF" w14:paraId="66231E2A" w14:textId="77777777">
            <w:pPr>
              <w:widowControl/>
              <w:autoSpaceDE/>
              <w:autoSpaceDN/>
              <w:adjustRightInd/>
              <w:rPr>
                <w:rFonts w:ascii="Times New Roman" w:hAnsi="Times New Roman"/>
              </w:rPr>
            </w:pPr>
            <w:r w:rsidRPr="009813AF">
              <w:rPr>
                <w:rFonts w:ascii="Times New Roman" w:hAnsi="Times New Roman"/>
              </w:rPr>
              <w:t>$1,714.65</w:t>
            </w:r>
          </w:p>
        </w:tc>
      </w:tr>
    </w:tbl>
    <w:p w:rsidRPr="00AD6872" w:rsidR="009813AF" w:rsidP="00AD6872" w:rsidRDefault="009813AF" w14:paraId="1CAD3036" w14:textId="77777777">
      <w:pPr>
        <w:ind w:left="720"/>
        <w:rPr>
          <w:rFonts w:ascii="Times New Roman" w:hAnsi="Times New Roman"/>
        </w:rPr>
      </w:pPr>
    </w:p>
    <w:p w:rsidRPr="00AD6872" w:rsidR="00744362" w:rsidP="00AD6872" w:rsidRDefault="00D63F03" w14:paraId="6F98D237" w14:textId="3E351AAF">
      <w:pPr>
        <w:pStyle w:val="ListParagraph"/>
        <w:numPr>
          <w:ilvl w:val="0"/>
          <w:numId w:val="23"/>
        </w:numPr>
        <w:rPr>
          <w:rFonts w:ascii="Times New Roman" w:hAnsi="Times New Roman"/>
        </w:rPr>
      </w:pPr>
      <w:r w:rsidRPr="00AD6872">
        <w:rPr>
          <w:rFonts w:ascii="Times New Roman" w:hAnsi="Times New Roman"/>
        </w:rPr>
        <w:t>Housing Census Form: Grantees are required to submit information on the number of houses or apartments buil</w:t>
      </w:r>
      <w:r w:rsidR="0050134B">
        <w:rPr>
          <w:rFonts w:ascii="Times New Roman" w:hAnsi="Times New Roman"/>
        </w:rPr>
        <w:t>t</w:t>
      </w:r>
      <w:r w:rsidRPr="00AD6872">
        <w:rPr>
          <w:rFonts w:ascii="Times New Roman" w:hAnsi="Times New Roman"/>
        </w:rPr>
        <w:t xml:space="preserve"> or renovated by YouthBuild participants on </w:t>
      </w:r>
      <w:r w:rsidR="0050134B">
        <w:rPr>
          <w:rFonts w:ascii="Times New Roman" w:hAnsi="Times New Roman"/>
        </w:rPr>
        <w:t xml:space="preserve">an </w:t>
      </w:r>
      <w:r w:rsidRPr="004C5022">
        <w:rPr>
          <w:rFonts w:ascii="Times New Roman" w:hAnsi="Times New Roman"/>
        </w:rPr>
        <w:t xml:space="preserve">annual basis. </w:t>
      </w:r>
      <w:r w:rsidR="0050134B">
        <w:rPr>
          <w:rFonts w:ascii="Times New Roman" w:hAnsi="Times New Roman"/>
        </w:rPr>
        <w:t xml:space="preserve"> </w:t>
      </w:r>
      <w:r w:rsidRPr="00AD6872">
        <w:rPr>
          <w:rFonts w:ascii="Times New Roman" w:hAnsi="Times New Roman"/>
        </w:rPr>
        <w:t>The burden is estimated at 30 minutes annually.</w:t>
      </w:r>
    </w:p>
    <w:p w:rsidR="00D63F03" w:rsidP="00AD6872" w:rsidRDefault="00D63F03" w14:paraId="51C7974B" w14:textId="36799274">
      <w:pPr>
        <w:rPr>
          <w:rFonts w:ascii="Times New Roman" w:hAnsi="Times New Roman"/>
        </w:rPr>
      </w:pPr>
    </w:p>
    <w:tbl>
      <w:tblPr>
        <w:tblStyle w:val="TableGrid3"/>
        <w:tblW w:w="10075" w:type="dxa"/>
        <w:tblLook w:val="04A0" w:firstRow="1" w:lastRow="0" w:firstColumn="1" w:lastColumn="0" w:noHBand="0" w:noVBand="1"/>
      </w:tblPr>
      <w:tblGrid>
        <w:gridCol w:w="1030"/>
        <w:gridCol w:w="1150"/>
        <w:gridCol w:w="1390"/>
        <w:gridCol w:w="1270"/>
        <w:gridCol w:w="1390"/>
        <w:gridCol w:w="1390"/>
        <w:gridCol w:w="1274"/>
        <w:gridCol w:w="1181"/>
      </w:tblGrid>
      <w:tr w:rsidRPr="00D63F03" w:rsidR="00D63F03" w:rsidTr="00D63F03" w14:paraId="68988386" w14:textId="77777777">
        <w:tc>
          <w:tcPr>
            <w:tcW w:w="1030" w:type="dxa"/>
            <w:shd w:val="clear" w:color="auto" w:fill="9CC2E5" w:themeFill="accent1" w:themeFillTint="99"/>
          </w:tcPr>
          <w:p w:rsidRPr="00D63F03" w:rsidR="00D63F03" w:rsidP="00D63F03" w:rsidRDefault="00D63F03" w14:paraId="010AA6A1" w14:textId="77777777">
            <w:pPr>
              <w:widowControl/>
              <w:autoSpaceDE/>
              <w:autoSpaceDN/>
              <w:adjustRightInd/>
              <w:jc w:val="center"/>
              <w:rPr>
                <w:rFonts w:ascii="Times New Roman" w:hAnsi="Times New Roman"/>
                <w:b/>
              </w:rPr>
            </w:pPr>
            <w:r w:rsidRPr="00D63F03">
              <w:rPr>
                <w:rFonts w:ascii="Times New Roman" w:hAnsi="Times New Roman"/>
                <w:b/>
              </w:rPr>
              <w:t>Activity</w:t>
            </w:r>
          </w:p>
        </w:tc>
        <w:tc>
          <w:tcPr>
            <w:tcW w:w="1150" w:type="dxa"/>
            <w:shd w:val="clear" w:color="auto" w:fill="9CC2E5" w:themeFill="accent1" w:themeFillTint="99"/>
          </w:tcPr>
          <w:p w:rsidRPr="00D63F03" w:rsidR="00D63F03" w:rsidP="00D63F03" w:rsidRDefault="00D63F03" w14:paraId="10A7275D" w14:textId="77777777">
            <w:pPr>
              <w:widowControl/>
              <w:autoSpaceDE/>
              <w:autoSpaceDN/>
              <w:adjustRightInd/>
              <w:jc w:val="center"/>
              <w:rPr>
                <w:rFonts w:ascii="Times New Roman" w:hAnsi="Times New Roman"/>
                <w:b/>
              </w:rPr>
            </w:pPr>
            <w:r w:rsidRPr="00D63F03">
              <w:rPr>
                <w:rFonts w:ascii="Times New Roman" w:hAnsi="Times New Roman"/>
                <w:b/>
              </w:rPr>
              <w:t xml:space="preserve">No. of Grantees         </w:t>
            </w:r>
          </w:p>
        </w:tc>
        <w:tc>
          <w:tcPr>
            <w:tcW w:w="1390" w:type="dxa"/>
            <w:shd w:val="clear" w:color="auto" w:fill="9CC2E5" w:themeFill="accent1" w:themeFillTint="99"/>
          </w:tcPr>
          <w:p w:rsidRPr="00D63F03" w:rsidR="00D63F03" w:rsidP="00D63F03" w:rsidRDefault="00D63F03" w14:paraId="779DC917" w14:textId="6C242E77">
            <w:pPr>
              <w:widowControl/>
              <w:autoSpaceDE/>
              <w:autoSpaceDN/>
              <w:adjustRightInd/>
              <w:jc w:val="center"/>
              <w:rPr>
                <w:rFonts w:ascii="Times New Roman" w:hAnsi="Times New Roman"/>
                <w:b/>
              </w:rPr>
            </w:pPr>
            <w:r w:rsidRPr="00D63F03">
              <w:rPr>
                <w:rFonts w:ascii="Times New Roman" w:hAnsi="Times New Roman"/>
                <w:b/>
              </w:rPr>
              <w:t>Annualized No. of Responses per Gra</w:t>
            </w:r>
            <w:r>
              <w:rPr>
                <w:rFonts w:ascii="Times New Roman" w:hAnsi="Times New Roman"/>
                <w:b/>
              </w:rPr>
              <w:t>ntee</w:t>
            </w:r>
          </w:p>
        </w:tc>
        <w:tc>
          <w:tcPr>
            <w:tcW w:w="1270" w:type="dxa"/>
            <w:shd w:val="clear" w:color="auto" w:fill="9CC2E5" w:themeFill="accent1" w:themeFillTint="99"/>
          </w:tcPr>
          <w:p w:rsidRPr="00D63F03" w:rsidR="00D63F03" w:rsidP="00D63F03" w:rsidRDefault="00D63F03" w14:paraId="7B38666F" w14:textId="77777777">
            <w:pPr>
              <w:widowControl/>
              <w:autoSpaceDE/>
              <w:autoSpaceDN/>
              <w:adjustRightInd/>
              <w:jc w:val="center"/>
              <w:rPr>
                <w:rFonts w:ascii="Times New Roman" w:hAnsi="Times New Roman"/>
                <w:b/>
              </w:rPr>
            </w:pPr>
            <w:r w:rsidRPr="00D63F03">
              <w:rPr>
                <w:rFonts w:ascii="Times New Roman" w:hAnsi="Times New Roman"/>
                <w:b/>
              </w:rPr>
              <w:t>Total Responses</w:t>
            </w:r>
          </w:p>
        </w:tc>
        <w:tc>
          <w:tcPr>
            <w:tcW w:w="1390" w:type="dxa"/>
            <w:shd w:val="clear" w:color="auto" w:fill="9CC2E5" w:themeFill="accent1" w:themeFillTint="99"/>
          </w:tcPr>
          <w:p w:rsidRPr="00D63F03" w:rsidR="00D63F03" w:rsidP="00D63F03" w:rsidRDefault="00D63F03" w14:paraId="3DBEA849" w14:textId="77777777">
            <w:pPr>
              <w:widowControl/>
              <w:autoSpaceDE/>
              <w:autoSpaceDN/>
              <w:adjustRightInd/>
              <w:jc w:val="center"/>
              <w:rPr>
                <w:rFonts w:ascii="Times New Roman" w:hAnsi="Times New Roman"/>
                <w:b/>
              </w:rPr>
            </w:pPr>
            <w:r w:rsidRPr="00D63F03">
              <w:rPr>
                <w:rFonts w:ascii="Times New Roman" w:hAnsi="Times New Roman"/>
                <w:b/>
              </w:rPr>
              <w:t>Annualized Average Burden (Hours)</w:t>
            </w:r>
          </w:p>
        </w:tc>
        <w:tc>
          <w:tcPr>
            <w:tcW w:w="1390" w:type="dxa"/>
            <w:shd w:val="clear" w:color="auto" w:fill="9CC2E5" w:themeFill="accent1" w:themeFillTint="99"/>
          </w:tcPr>
          <w:p w:rsidRPr="00D63F03" w:rsidR="00D63F03" w:rsidP="00D63F03" w:rsidRDefault="00D63F03" w14:paraId="564ACB04" w14:textId="77777777">
            <w:pPr>
              <w:widowControl/>
              <w:autoSpaceDE/>
              <w:autoSpaceDN/>
              <w:adjustRightInd/>
              <w:jc w:val="center"/>
              <w:rPr>
                <w:rFonts w:ascii="Times New Roman" w:hAnsi="Times New Roman"/>
                <w:b/>
              </w:rPr>
            </w:pPr>
            <w:r w:rsidRPr="00D63F03">
              <w:rPr>
                <w:rFonts w:ascii="Times New Roman" w:hAnsi="Times New Roman"/>
                <w:b/>
              </w:rPr>
              <w:t>Annualized Total Burden (Hours)</w:t>
            </w:r>
          </w:p>
        </w:tc>
        <w:tc>
          <w:tcPr>
            <w:tcW w:w="1274" w:type="dxa"/>
            <w:shd w:val="clear" w:color="auto" w:fill="9CC2E5" w:themeFill="accent1" w:themeFillTint="99"/>
          </w:tcPr>
          <w:p w:rsidRPr="00D63F03" w:rsidR="00D63F03" w:rsidP="00D63F03" w:rsidRDefault="00D63F03" w14:paraId="0E5B31C5" w14:textId="77777777">
            <w:pPr>
              <w:widowControl/>
              <w:autoSpaceDE/>
              <w:autoSpaceDN/>
              <w:adjustRightInd/>
              <w:jc w:val="center"/>
              <w:rPr>
                <w:rFonts w:ascii="Times New Roman" w:hAnsi="Times New Roman"/>
                <w:b/>
              </w:rPr>
            </w:pPr>
            <w:r w:rsidRPr="00D63F03">
              <w:rPr>
                <w:rFonts w:ascii="Times New Roman" w:hAnsi="Times New Roman"/>
                <w:b/>
              </w:rPr>
              <w:t>Hourly Wage Rate</w:t>
            </w:r>
          </w:p>
        </w:tc>
        <w:tc>
          <w:tcPr>
            <w:tcW w:w="1181" w:type="dxa"/>
            <w:shd w:val="clear" w:color="auto" w:fill="9CC2E5" w:themeFill="accent1" w:themeFillTint="99"/>
          </w:tcPr>
          <w:p w:rsidRPr="00D63F03" w:rsidR="00D63F03" w:rsidP="00D63F03" w:rsidRDefault="00D63F03" w14:paraId="5B9119D2" w14:textId="77777777">
            <w:pPr>
              <w:widowControl/>
              <w:autoSpaceDE/>
              <w:autoSpaceDN/>
              <w:adjustRightInd/>
              <w:jc w:val="center"/>
              <w:rPr>
                <w:rFonts w:ascii="Times New Roman" w:hAnsi="Times New Roman"/>
                <w:b/>
              </w:rPr>
            </w:pPr>
            <w:r w:rsidRPr="00D63F03">
              <w:rPr>
                <w:rFonts w:ascii="Times New Roman" w:hAnsi="Times New Roman"/>
                <w:b/>
              </w:rPr>
              <w:t>Annual Total Burden Cost</w:t>
            </w:r>
          </w:p>
        </w:tc>
      </w:tr>
      <w:tr w:rsidRPr="00D63F03" w:rsidR="00D63F03" w:rsidTr="00AD6872" w14:paraId="7457001E" w14:textId="77777777">
        <w:trPr>
          <w:trHeight w:val="953"/>
        </w:trPr>
        <w:tc>
          <w:tcPr>
            <w:tcW w:w="1030" w:type="dxa"/>
          </w:tcPr>
          <w:p w:rsidRPr="00D63F03" w:rsidR="00D63F03" w:rsidP="00D63F03" w:rsidRDefault="00D63F03" w14:paraId="3DFA9DA5" w14:textId="77777777">
            <w:pPr>
              <w:widowControl/>
              <w:autoSpaceDE/>
              <w:autoSpaceDN/>
              <w:adjustRightInd/>
              <w:rPr>
                <w:rFonts w:ascii="Times New Roman" w:hAnsi="Times New Roman"/>
              </w:rPr>
            </w:pPr>
            <w:r w:rsidRPr="00D63F03">
              <w:rPr>
                <w:rFonts w:ascii="Times New Roman" w:hAnsi="Times New Roman"/>
              </w:rPr>
              <w:t>Housing Census Form</w:t>
            </w:r>
          </w:p>
        </w:tc>
        <w:tc>
          <w:tcPr>
            <w:tcW w:w="1150" w:type="dxa"/>
          </w:tcPr>
          <w:p w:rsidRPr="00D63F03" w:rsidR="00D63F03" w:rsidP="00D63F03" w:rsidRDefault="00D63F03" w14:paraId="527EA758" w14:textId="77777777">
            <w:pPr>
              <w:widowControl/>
              <w:autoSpaceDE/>
              <w:autoSpaceDN/>
              <w:adjustRightInd/>
              <w:rPr>
                <w:rFonts w:ascii="Times New Roman" w:hAnsi="Times New Roman"/>
              </w:rPr>
            </w:pPr>
            <w:r w:rsidRPr="00D63F03">
              <w:rPr>
                <w:rFonts w:ascii="Times New Roman" w:hAnsi="Times New Roman"/>
              </w:rPr>
              <w:t>210</w:t>
            </w:r>
          </w:p>
        </w:tc>
        <w:tc>
          <w:tcPr>
            <w:tcW w:w="1390" w:type="dxa"/>
          </w:tcPr>
          <w:p w:rsidRPr="00D63F03" w:rsidR="00D63F03" w:rsidP="00D63F03" w:rsidRDefault="00D63F03" w14:paraId="5FE6C417" w14:textId="77777777">
            <w:pPr>
              <w:widowControl/>
              <w:autoSpaceDE/>
              <w:autoSpaceDN/>
              <w:adjustRightInd/>
              <w:rPr>
                <w:rFonts w:ascii="Times New Roman" w:hAnsi="Times New Roman"/>
              </w:rPr>
            </w:pPr>
            <w:r w:rsidRPr="00D63F03">
              <w:rPr>
                <w:rFonts w:ascii="Times New Roman" w:hAnsi="Times New Roman"/>
              </w:rPr>
              <w:t>1</w:t>
            </w:r>
          </w:p>
        </w:tc>
        <w:tc>
          <w:tcPr>
            <w:tcW w:w="1270" w:type="dxa"/>
          </w:tcPr>
          <w:p w:rsidRPr="00D63F03" w:rsidR="00D63F03" w:rsidP="00D63F03" w:rsidRDefault="00D63F03" w14:paraId="32FDA07D" w14:textId="77777777">
            <w:pPr>
              <w:widowControl/>
              <w:autoSpaceDE/>
              <w:autoSpaceDN/>
              <w:adjustRightInd/>
              <w:rPr>
                <w:rFonts w:ascii="Times New Roman" w:hAnsi="Times New Roman"/>
              </w:rPr>
            </w:pPr>
            <w:r w:rsidRPr="00D63F03">
              <w:rPr>
                <w:rFonts w:ascii="Times New Roman" w:hAnsi="Times New Roman"/>
              </w:rPr>
              <w:t>210</w:t>
            </w:r>
          </w:p>
        </w:tc>
        <w:tc>
          <w:tcPr>
            <w:tcW w:w="1390" w:type="dxa"/>
          </w:tcPr>
          <w:p w:rsidRPr="00D63F03" w:rsidR="00D63F03" w:rsidP="00D63F03" w:rsidRDefault="00D63F03" w14:paraId="4702B819" w14:textId="77777777">
            <w:pPr>
              <w:widowControl/>
              <w:autoSpaceDE/>
              <w:autoSpaceDN/>
              <w:adjustRightInd/>
              <w:rPr>
                <w:rFonts w:ascii="Times New Roman" w:hAnsi="Times New Roman"/>
              </w:rPr>
            </w:pPr>
            <w:r w:rsidRPr="00D63F03">
              <w:rPr>
                <w:rFonts w:ascii="Times New Roman" w:hAnsi="Times New Roman"/>
              </w:rPr>
              <w:t>.5</w:t>
            </w:r>
          </w:p>
        </w:tc>
        <w:tc>
          <w:tcPr>
            <w:tcW w:w="1390" w:type="dxa"/>
          </w:tcPr>
          <w:p w:rsidRPr="00D63F03" w:rsidR="00D63F03" w:rsidP="00D63F03" w:rsidRDefault="00D63F03" w14:paraId="4E5D6502" w14:textId="77777777">
            <w:pPr>
              <w:widowControl/>
              <w:autoSpaceDE/>
              <w:autoSpaceDN/>
              <w:adjustRightInd/>
              <w:rPr>
                <w:rFonts w:ascii="Times New Roman" w:hAnsi="Times New Roman"/>
              </w:rPr>
            </w:pPr>
            <w:r w:rsidRPr="00D63F03">
              <w:rPr>
                <w:rFonts w:ascii="Times New Roman" w:hAnsi="Times New Roman"/>
              </w:rPr>
              <w:t>105</w:t>
            </w:r>
          </w:p>
        </w:tc>
        <w:tc>
          <w:tcPr>
            <w:tcW w:w="1274" w:type="dxa"/>
          </w:tcPr>
          <w:p w:rsidRPr="00D63F03" w:rsidR="00D63F03" w:rsidP="00D63F03" w:rsidRDefault="00D63F03" w14:paraId="6FF8D3F7" w14:textId="77777777">
            <w:pPr>
              <w:widowControl/>
              <w:autoSpaceDE/>
              <w:autoSpaceDN/>
              <w:adjustRightInd/>
              <w:rPr>
                <w:rFonts w:ascii="Times New Roman" w:hAnsi="Times New Roman"/>
              </w:rPr>
            </w:pPr>
            <w:r w:rsidRPr="00D63F03">
              <w:rPr>
                <w:rFonts w:ascii="Times New Roman" w:hAnsi="Times New Roman"/>
              </w:rPr>
              <w:t>$16.33</w:t>
            </w:r>
          </w:p>
        </w:tc>
        <w:tc>
          <w:tcPr>
            <w:tcW w:w="1181" w:type="dxa"/>
          </w:tcPr>
          <w:p w:rsidRPr="00D63F03" w:rsidR="00D63F03" w:rsidP="00D63F03" w:rsidRDefault="00D63F03" w14:paraId="37E8AD8E" w14:textId="77777777">
            <w:pPr>
              <w:widowControl/>
              <w:autoSpaceDE/>
              <w:autoSpaceDN/>
              <w:adjustRightInd/>
              <w:rPr>
                <w:rFonts w:ascii="Times New Roman" w:hAnsi="Times New Roman"/>
              </w:rPr>
            </w:pPr>
            <w:r w:rsidRPr="00D63F03">
              <w:rPr>
                <w:rFonts w:ascii="Times New Roman" w:hAnsi="Times New Roman"/>
              </w:rPr>
              <w:t>$1,714.65</w:t>
            </w:r>
          </w:p>
        </w:tc>
      </w:tr>
    </w:tbl>
    <w:p w:rsidR="00261944" w:rsidP="00AD6872" w:rsidRDefault="00261944" w14:paraId="32164BB4" w14:textId="77777777">
      <w:pPr>
        <w:rPr>
          <w:rFonts w:ascii="Times New Roman" w:hAnsi="Times New Roman"/>
        </w:rPr>
      </w:pPr>
    </w:p>
    <w:p w:rsidR="00E20666" w:rsidP="00AD6872" w:rsidRDefault="00E20666" w14:paraId="5F9E42B8" w14:textId="0ACF46B3">
      <w:pPr>
        <w:rPr>
          <w:rFonts w:ascii="Times New Roman" w:hAnsi="Times New Roman"/>
        </w:rPr>
      </w:pPr>
      <w:r>
        <w:rPr>
          <w:rFonts w:ascii="Times New Roman" w:hAnsi="Times New Roman"/>
        </w:rPr>
        <w:t>TOTAL</w:t>
      </w:r>
    </w:p>
    <w:tbl>
      <w:tblPr>
        <w:tblStyle w:val="TableGrid4"/>
        <w:tblW w:w="9535" w:type="dxa"/>
        <w:tblLook w:val="04A0" w:firstRow="1" w:lastRow="0" w:firstColumn="1" w:lastColumn="0" w:noHBand="0" w:noVBand="1"/>
      </w:tblPr>
      <w:tblGrid>
        <w:gridCol w:w="1509"/>
        <w:gridCol w:w="1443"/>
        <w:gridCol w:w="1443"/>
        <w:gridCol w:w="1230"/>
        <w:gridCol w:w="1323"/>
        <w:gridCol w:w="1323"/>
        <w:gridCol w:w="896"/>
        <w:gridCol w:w="1416"/>
      </w:tblGrid>
      <w:tr w:rsidRPr="00730183" w:rsidR="005729EB" w:rsidTr="00AD6872" w14:paraId="385FCBA3" w14:textId="77777777">
        <w:tc>
          <w:tcPr>
            <w:tcW w:w="1334" w:type="dxa"/>
          </w:tcPr>
          <w:p w:rsidRPr="00AD6872" w:rsidR="005729EB" w:rsidP="005729EB" w:rsidRDefault="005729EB" w14:paraId="47629659" w14:textId="77777777">
            <w:pPr>
              <w:widowControl/>
              <w:autoSpaceDE/>
              <w:autoSpaceDN/>
              <w:adjustRightInd/>
              <w:rPr>
                <w:rFonts w:ascii="Times New Roman" w:hAnsi="Times New Roman" w:cs="Times New Roman"/>
              </w:rPr>
            </w:pPr>
            <w:r w:rsidRPr="00AD6872">
              <w:rPr>
                <w:rFonts w:ascii="Times New Roman" w:hAnsi="Times New Roman"/>
              </w:rPr>
              <w:t>Activity</w:t>
            </w:r>
          </w:p>
        </w:tc>
        <w:tc>
          <w:tcPr>
            <w:tcW w:w="1299" w:type="dxa"/>
          </w:tcPr>
          <w:p w:rsidRPr="00AD6872" w:rsidR="005729EB" w:rsidP="005729EB" w:rsidRDefault="005729EB" w14:paraId="2C2EBA3C" w14:textId="77777777">
            <w:pPr>
              <w:widowControl/>
              <w:autoSpaceDE/>
              <w:autoSpaceDN/>
              <w:adjustRightInd/>
              <w:rPr>
                <w:rFonts w:ascii="Times New Roman" w:hAnsi="Times New Roman" w:cs="Times New Roman"/>
              </w:rPr>
            </w:pPr>
            <w:r w:rsidRPr="00AD6872">
              <w:rPr>
                <w:rFonts w:ascii="Times New Roman" w:hAnsi="Times New Roman"/>
              </w:rPr>
              <w:t>Number of Respondents</w:t>
            </w:r>
          </w:p>
        </w:tc>
        <w:tc>
          <w:tcPr>
            <w:tcW w:w="1299" w:type="dxa"/>
          </w:tcPr>
          <w:p w:rsidRPr="00AD6872" w:rsidR="005729EB" w:rsidP="005729EB" w:rsidRDefault="005729EB" w14:paraId="17AB6AD6" w14:textId="77777777">
            <w:pPr>
              <w:widowControl/>
              <w:autoSpaceDE/>
              <w:autoSpaceDN/>
              <w:adjustRightInd/>
              <w:rPr>
                <w:rFonts w:ascii="Times New Roman" w:hAnsi="Times New Roman" w:cs="Times New Roman"/>
              </w:rPr>
            </w:pPr>
            <w:r w:rsidRPr="00AD6872">
              <w:rPr>
                <w:rFonts w:ascii="Times New Roman" w:hAnsi="Times New Roman"/>
              </w:rPr>
              <w:t>Number of Responses per Respondents</w:t>
            </w:r>
          </w:p>
        </w:tc>
        <w:tc>
          <w:tcPr>
            <w:tcW w:w="1095" w:type="dxa"/>
          </w:tcPr>
          <w:p w:rsidRPr="00AD6872" w:rsidR="005729EB" w:rsidP="005729EB" w:rsidRDefault="005729EB" w14:paraId="262E61D2" w14:textId="77777777">
            <w:pPr>
              <w:widowControl/>
              <w:autoSpaceDE/>
              <w:autoSpaceDN/>
              <w:adjustRightInd/>
              <w:rPr>
                <w:rFonts w:ascii="Times New Roman" w:hAnsi="Times New Roman" w:cs="Times New Roman"/>
              </w:rPr>
            </w:pPr>
            <w:r w:rsidRPr="00AD6872">
              <w:rPr>
                <w:rFonts w:ascii="Times New Roman" w:hAnsi="Times New Roman"/>
              </w:rPr>
              <w:t>Total Responses</w:t>
            </w:r>
          </w:p>
        </w:tc>
        <w:tc>
          <w:tcPr>
            <w:tcW w:w="1141" w:type="dxa"/>
          </w:tcPr>
          <w:p w:rsidRPr="00AD6872" w:rsidR="005729EB" w:rsidP="005729EB" w:rsidRDefault="005729EB" w14:paraId="5C6B731A" w14:textId="77777777">
            <w:pPr>
              <w:widowControl/>
              <w:autoSpaceDE/>
              <w:autoSpaceDN/>
              <w:adjustRightInd/>
              <w:rPr>
                <w:rFonts w:ascii="Times New Roman" w:hAnsi="Times New Roman" w:cs="Times New Roman"/>
              </w:rPr>
            </w:pPr>
            <w:r w:rsidRPr="00AD6872">
              <w:rPr>
                <w:rFonts w:ascii="Times New Roman" w:hAnsi="Times New Roman"/>
              </w:rPr>
              <w:t>Annualized Average Burden (Hours)</w:t>
            </w:r>
          </w:p>
        </w:tc>
        <w:tc>
          <w:tcPr>
            <w:tcW w:w="1141" w:type="dxa"/>
          </w:tcPr>
          <w:p w:rsidRPr="00AD6872" w:rsidR="005729EB" w:rsidP="005729EB" w:rsidRDefault="005729EB" w14:paraId="212BA708" w14:textId="77777777">
            <w:pPr>
              <w:widowControl/>
              <w:autoSpaceDE/>
              <w:autoSpaceDN/>
              <w:adjustRightInd/>
              <w:rPr>
                <w:rFonts w:ascii="Times New Roman" w:hAnsi="Times New Roman" w:cs="Times New Roman"/>
              </w:rPr>
            </w:pPr>
            <w:r w:rsidRPr="00AD6872">
              <w:rPr>
                <w:rFonts w:ascii="Times New Roman" w:hAnsi="Times New Roman"/>
              </w:rPr>
              <w:t>Annualized Total Burden (Hours)</w:t>
            </w:r>
          </w:p>
        </w:tc>
        <w:tc>
          <w:tcPr>
            <w:tcW w:w="788" w:type="dxa"/>
          </w:tcPr>
          <w:p w:rsidRPr="00AD6872" w:rsidR="005729EB" w:rsidP="005729EB" w:rsidRDefault="005729EB" w14:paraId="22B397AE" w14:textId="77777777">
            <w:pPr>
              <w:widowControl/>
              <w:autoSpaceDE/>
              <w:autoSpaceDN/>
              <w:adjustRightInd/>
              <w:rPr>
                <w:rFonts w:ascii="Times New Roman" w:hAnsi="Times New Roman" w:cs="Times New Roman"/>
              </w:rPr>
            </w:pPr>
            <w:r w:rsidRPr="00AD6872">
              <w:rPr>
                <w:rFonts w:ascii="Times New Roman" w:hAnsi="Times New Roman"/>
              </w:rPr>
              <w:t>Hourly Wage Rate</w:t>
            </w:r>
          </w:p>
        </w:tc>
        <w:tc>
          <w:tcPr>
            <w:tcW w:w="1438" w:type="dxa"/>
          </w:tcPr>
          <w:p w:rsidRPr="00AD6872" w:rsidR="005729EB" w:rsidP="005729EB" w:rsidRDefault="005729EB" w14:paraId="5ECEA369" w14:textId="77777777">
            <w:pPr>
              <w:widowControl/>
              <w:autoSpaceDE/>
              <w:autoSpaceDN/>
              <w:adjustRightInd/>
              <w:rPr>
                <w:rFonts w:ascii="Times New Roman" w:hAnsi="Times New Roman" w:cs="Times New Roman"/>
              </w:rPr>
            </w:pPr>
            <w:r w:rsidRPr="00AD6872">
              <w:rPr>
                <w:rFonts w:ascii="Times New Roman" w:hAnsi="Times New Roman"/>
              </w:rPr>
              <w:t>Annual Total Burden Cost</w:t>
            </w:r>
          </w:p>
        </w:tc>
      </w:tr>
      <w:tr w:rsidRPr="00730183" w:rsidR="005729EB" w:rsidTr="00AD6872" w14:paraId="505FD162" w14:textId="77777777">
        <w:tc>
          <w:tcPr>
            <w:tcW w:w="1334" w:type="dxa"/>
          </w:tcPr>
          <w:p w:rsidRPr="00D40B27" w:rsidR="005729EB" w:rsidP="005729EB" w:rsidRDefault="005729EB" w14:paraId="4E13F38C" w14:textId="77777777">
            <w:pPr>
              <w:widowControl/>
              <w:autoSpaceDE/>
              <w:autoSpaceDN/>
              <w:adjustRightInd/>
              <w:rPr>
                <w:rFonts w:ascii="Times New Roman" w:hAnsi="Times New Roman" w:cs="Times New Roman"/>
              </w:rPr>
            </w:pPr>
            <w:r w:rsidRPr="00D40B27">
              <w:rPr>
                <w:rFonts w:ascii="Times New Roman" w:hAnsi="Times New Roman"/>
              </w:rPr>
              <w:t>Participant Data Collection</w:t>
            </w:r>
          </w:p>
        </w:tc>
        <w:tc>
          <w:tcPr>
            <w:tcW w:w="1299" w:type="dxa"/>
          </w:tcPr>
          <w:p w:rsidRPr="00D40B27" w:rsidR="005729EB" w:rsidP="005729EB" w:rsidRDefault="005729EB" w14:paraId="6E7318B3" w14:textId="77777777">
            <w:pPr>
              <w:widowControl/>
              <w:autoSpaceDE/>
              <w:autoSpaceDN/>
              <w:adjustRightInd/>
              <w:rPr>
                <w:rFonts w:ascii="Times New Roman" w:hAnsi="Times New Roman" w:cs="Times New Roman"/>
              </w:rPr>
            </w:pPr>
            <w:r w:rsidRPr="00D40B27">
              <w:rPr>
                <w:rFonts w:ascii="Times New Roman" w:hAnsi="Times New Roman"/>
              </w:rPr>
              <w:t>6,000</w:t>
            </w:r>
          </w:p>
        </w:tc>
        <w:tc>
          <w:tcPr>
            <w:tcW w:w="1299" w:type="dxa"/>
          </w:tcPr>
          <w:p w:rsidRPr="00D40B27" w:rsidR="005729EB" w:rsidP="005729EB" w:rsidRDefault="005729EB" w14:paraId="508778DF" w14:textId="77777777">
            <w:pPr>
              <w:widowControl/>
              <w:autoSpaceDE/>
              <w:autoSpaceDN/>
              <w:adjustRightInd/>
              <w:rPr>
                <w:rFonts w:ascii="Times New Roman" w:hAnsi="Times New Roman" w:cs="Times New Roman"/>
              </w:rPr>
            </w:pPr>
            <w:r w:rsidRPr="00D40B27">
              <w:rPr>
                <w:rFonts w:ascii="Times New Roman" w:hAnsi="Times New Roman"/>
              </w:rPr>
              <w:t>1</w:t>
            </w:r>
          </w:p>
        </w:tc>
        <w:tc>
          <w:tcPr>
            <w:tcW w:w="1095" w:type="dxa"/>
          </w:tcPr>
          <w:p w:rsidRPr="00D40B27" w:rsidR="005729EB" w:rsidP="005729EB" w:rsidRDefault="005729EB" w14:paraId="7834E7F0" w14:textId="77777777">
            <w:pPr>
              <w:widowControl/>
              <w:autoSpaceDE/>
              <w:autoSpaceDN/>
              <w:adjustRightInd/>
              <w:rPr>
                <w:rFonts w:ascii="Times New Roman" w:hAnsi="Times New Roman" w:cs="Times New Roman"/>
              </w:rPr>
            </w:pPr>
            <w:r w:rsidRPr="00D40B27">
              <w:rPr>
                <w:rFonts w:ascii="Times New Roman" w:hAnsi="Times New Roman"/>
              </w:rPr>
              <w:t>6,000</w:t>
            </w:r>
          </w:p>
        </w:tc>
        <w:tc>
          <w:tcPr>
            <w:tcW w:w="1141" w:type="dxa"/>
          </w:tcPr>
          <w:p w:rsidRPr="00D40B27" w:rsidR="005729EB" w:rsidP="005729EB" w:rsidRDefault="005729EB" w14:paraId="20B2D5BB" w14:textId="77777777">
            <w:pPr>
              <w:widowControl/>
              <w:autoSpaceDE/>
              <w:autoSpaceDN/>
              <w:adjustRightInd/>
              <w:rPr>
                <w:rFonts w:ascii="Times New Roman" w:hAnsi="Times New Roman" w:cs="Times New Roman"/>
              </w:rPr>
            </w:pPr>
            <w:r w:rsidRPr="00D40B27">
              <w:rPr>
                <w:rFonts w:ascii="Times New Roman" w:hAnsi="Times New Roman"/>
              </w:rPr>
              <w:t>1.8</w:t>
            </w:r>
          </w:p>
        </w:tc>
        <w:tc>
          <w:tcPr>
            <w:tcW w:w="1141" w:type="dxa"/>
          </w:tcPr>
          <w:p w:rsidRPr="00D40B27" w:rsidR="005729EB" w:rsidP="005729EB" w:rsidRDefault="005729EB" w14:paraId="07BE1E02" w14:textId="77777777">
            <w:pPr>
              <w:widowControl/>
              <w:autoSpaceDE/>
              <w:autoSpaceDN/>
              <w:adjustRightInd/>
              <w:rPr>
                <w:rFonts w:ascii="Times New Roman" w:hAnsi="Times New Roman" w:cs="Times New Roman"/>
              </w:rPr>
            </w:pPr>
            <w:r w:rsidRPr="00D40B27">
              <w:rPr>
                <w:rFonts w:ascii="Times New Roman" w:hAnsi="Times New Roman"/>
              </w:rPr>
              <w:t>10,800</w:t>
            </w:r>
          </w:p>
        </w:tc>
        <w:tc>
          <w:tcPr>
            <w:tcW w:w="788" w:type="dxa"/>
          </w:tcPr>
          <w:p w:rsidRPr="00D40B27" w:rsidR="005729EB" w:rsidP="005729EB" w:rsidRDefault="005729EB" w14:paraId="2391F99C" w14:textId="77777777">
            <w:pPr>
              <w:widowControl/>
              <w:autoSpaceDE/>
              <w:autoSpaceDN/>
              <w:adjustRightInd/>
              <w:rPr>
                <w:rFonts w:ascii="Times New Roman" w:hAnsi="Times New Roman" w:cs="Times New Roman"/>
              </w:rPr>
            </w:pPr>
            <w:r w:rsidRPr="00D40B27">
              <w:rPr>
                <w:rFonts w:ascii="Times New Roman" w:hAnsi="Times New Roman"/>
              </w:rPr>
              <w:t>$16.33</w:t>
            </w:r>
          </w:p>
        </w:tc>
        <w:tc>
          <w:tcPr>
            <w:tcW w:w="1438" w:type="dxa"/>
          </w:tcPr>
          <w:p w:rsidRPr="00D40B27" w:rsidR="005729EB" w:rsidP="005729EB" w:rsidRDefault="005729EB" w14:paraId="3221A911" w14:textId="77777777">
            <w:pPr>
              <w:widowControl/>
              <w:autoSpaceDE/>
              <w:autoSpaceDN/>
              <w:adjustRightInd/>
              <w:rPr>
                <w:rFonts w:ascii="Times New Roman" w:hAnsi="Times New Roman" w:cs="Times New Roman"/>
              </w:rPr>
            </w:pPr>
            <w:r w:rsidRPr="00D40B27">
              <w:rPr>
                <w:rFonts w:ascii="Times New Roman" w:hAnsi="Times New Roman"/>
              </w:rPr>
              <w:t>$176,364.00</w:t>
            </w:r>
          </w:p>
        </w:tc>
      </w:tr>
      <w:tr w:rsidRPr="00730183" w:rsidR="005729EB" w:rsidTr="00AD6872" w14:paraId="1595BA0B" w14:textId="77777777">
        <w:tc>
          <w:tcPr>
            <w:tcW w:w="1334" w:type="dxa"/>
          </w:tcPr>
          <w:p w:rsidRPr="00D40B27" w:rsidR="005729EB" w:rsidP="005729EB" w:rsidRDefault="005729EB" w14:paraId="06F07F23" w14:textId="77777777">
            <w:pPr>
              <w:widowControl/>
              <w:autoSpaceDE/>
              <w:autoSpaceDN/>
              <w:adjustRightInd/>
              <w:rPr>
                <w:rFonts w:ascii="Times New Roman" w:hAnsi="Times New Roman" w:cs="Times New Roman"/>
              </w:rPr>
            </w:pPr>
            <w:r w:rsidRPr="00D40B27">
              <w:rPr>
                <w:rFonts w:ascii="Times New Roman" w:hAnsi="Times New Roman"/>
              </w:rPr>
              <w:t>Quarterly Performance Report</w:t>
            </w:r>
          </w:p>
        </w:tc>
        <w:tc>
          <w:tcPr>
            <w:tcW w:w="1299" w:type="dxa"/>
          </w:tcPr>
          <w:p w:rsidRPr="00D40B27" w:rsidR="005729EB" w:rsidP="005729EB" w:rsidRDefault="005729EB" w14:paraId="534A0FB8" w14:textId="77777777">
            <w:pPr>
              <w:widowControl/>
              <w:autoSpaceDE/>
              <w:autoSpaceDN/>
              <w:adjustRightInd/>
              <w:rPr>
                <w:rFonts w:ascii="Times New Roman" w:hAnsi="Times New Roman" w:cs="Times New Roman"/>
              </w:rPr>
            </w:pPr>
            <w:r w:rsidRPr="00D40B27">
              <w:rPr>
                <w:rFonts w:ascii="Times New Roman" w:hAnsi="Times New Roman"/>
              </w:rPr>
              <w:t>210</w:t>
            </w:r>
          </w:p>
        </w:tc>
        <w:tc>
          <w:tcPr>
            <w:tcW w:w="1299" w:type="dxa"/>
          </w:tcPr>
          <w:p w:rsidRPr="00D40B27" w:rsidR="005729EB" w:rsidP="005729EB" w:rsidRDefault="005729EB" w14:paraId="5B49F3E9" w14:textId="77777777">
            <w:pPr>
              <w:widowControl/>
              <w:autoSpaceDE/>
              <w:autoSpaceDN/>
              <w:adjustRightInd/>
              <w:rPr>
                <w:rFonts w:ascii="Times New Roman" w:hAnsi="Times New Roman" w:cs="Times New Roman"/>
              </w:rPr>
            </w:pPr>
            <w:r w:rsidRPr="00D40B27">
              <w:rPr>
                <w:rFonts w:ascii="Times New Roman" w:hAnsi="Times New Roman"/>
              </w:rPr>
              <w:t>4</w:t>
            </w:r>
          </w:p>
        </w:tc>
        <w:tc>
          <w:tcPr>
            <w:tcW w:w="1095" w:type="dxa"/>
          </w:tcPr>
          <w:p w:rsidRPr="00D40B27" w:rsidR="005729EB" w:rsidP="005729EB" w:rsidRDefault="005729EB" w14:paraId="3F1F2B54" w14:textId="77777777">
            <w:pPr>
              <w:widowControl/>
              <w:autoSpaceDE/>
              <w:autoSpaceDN/>
              <w:adjustRightInd/>
              <w:rPr>
                <w:rFonts w:ascii="Times New Roman" w:hAnsi="Times New Roman" w:cs="Times New Roman"/>
              </w:rPr>
            </w:pPr>
            <w:r w:rsidRPr="00D40B27">
              <w:rPr>
                <w:rFonts w:ascii="Times New Roman" w:hAnsi="Times New Roman"/>
              </w:rPr>
              <w:t>840</w:t>
            </w:r>
          </w:p>
        </w:tc>
        <w:tc>
          <w:tcPr>
            <w:tcW w:w="1141" w:type="dxa"/>
          </w:tcPr>
          <w:p w:rsidRPr="00D40B27" w:rsidR="005729EB" w:rsidP="005729EB" w:rsidRDefault="005729EB" w14:paraId="29CE0EC2" w14:textId="77777777">
            <w:pPr>
              <w:widowControl/>
              <w:autoSpaceDE/>
              <w:autoSpaceDN/>
              <w:adjustRightInd/>
              <w:rPr>
                <w:rFonts w:ascii="Times New Roman" w:hAnsi="Times New Roman" w:cs="Times New Roman"/>
              </w:rPr>
            </w:pPr>
            <w:r w:rsidRPr="00D40B27">
              <w:rPr>
                <w:rFonts w:ascii="Times New Roman" w:hAnsi="Times New Roman"/>
              </w:rPr>
              <w:t>16</w:t>
            </w:r>
          </w:p>
        </w:tc>
        <w:tc>
          <w:tcPr>
            <w:tcW w:w="1141" w:type="dxa"/>
          </w:tcPr>
          <w:p w:rsidRPr="00D40B27" w:rsidR="005729EB" w:rsidP="005729EB" w:rsidRDefault="005729EB" w14:paraId="6118E8C3" w14:textId="2AB9981B">
            <w:pPr>
              <w:widowControl/>
              <w:autoSpaceDE/>
              <w:autoSpaceDN/>
              <w:adjustRightInd/>
              <w:rPr>
                <w:rFonts w:ascii="Times New Roman" w:hAnsi="Times New Roman" w:cs="Times New Roman"/>
              </w:rPr>
            </w:pPr>
            <w:r w:rsidRPr="00D40B27">
              <w:rPr>
                <w:rFonts w:ascii="Times New Roman" w:hAnsi="Times New Roman"/>
              </w:rPr>
              <w:t>13,4</w:t>
            </w:r>
            <w:r w:rsidR="007A518B">
              <w:rPr>
                <w:rFonts w:ascii="Times New Roman" w:hAnsi="Times New Roman"/>
              </w:rPr>
              <w:t>4</w:t>
            </w:r>
            <w:r w:rsidRPr="00D40B27">
              <w:rPr>
                <w:rFonts w:ascii="Times New Roman" w:hAnsi="Times New Roman"/>
              </w:rPr>
              <w:t>0</w:t>
            </w:r>
          </w:p>
        </w:tc>
        <w:tc>
          <w:tcPr>
            <w:tcW w:w="788" w:type="dxa"/>
          </w:tcPr>
          <w:p w:rsidRPr="00D40B27" w:rsidR="005729EB" w:rsidP="005729EB" w:rsidRDefault="005729EB" w14:paraId="13A67B33" w14:textId="77777777">
            <w:pPr>
              <w:widowControl/>
              <w:autoSpaceDE/>
              <w:autoSpaceDN/>
              <w:adjustRightInd/>
              <w:rPr>
                <w:rFonts w:ascii="Times New Roman" w:hAnsi="Times New Roman" w:cs="Times New Roman"/>
              </w:rPr>
            </w:pPr>
            <w:r w:rsidRPr="00D40B27">
              <w:rPr>
                <w:rFonts w:ascii="Times New Roman" w:hAnsi="Times New Roman"/>
              </w:rPr>
              <w:t>$16.33</w:t>
            </w:r>
          </w:p>
        </w:tc>
        <w:tc>
          <w:tcPr>
            <w:tcW w:w="1438" w:type="dxa"/>
          </w:tcPr>
          <w:p w:rsidRPr="00D40B27" w:rsidR="005729EB" w:rsidP="005729EB" w:rsidRDefault="005729EB" w14:paraId="74D11EC1" w14:textId="77777777">
            <w:pPr>
              <w:widowControl/>
              <w:autoSpaceDE/>
              <w:autoSpaceDN/>
              <w:adjustRightInd/>
              <w:rPr>
                <w:rFonts w:ascii="Times New Roman" w:hAnsi="Times New Roman" w:cs="Times New Roman"/>
              </w:rPr>
            </w:pPr>
            <w:r w:rsidRPr="00D40B27">
              <w:rPr>
                <w:rFonts w:ascii="Times New Roman" w:hAnsi="Times New Roman"/>
              </w:rPr>
              <w:t>$219,475.20</w:t>
            </w:r>
          </w:p>
        </w:tc>
      </w:tr>
      <w:tr w:rsidRPr="00730183" w:rsidR="005729EB" w:rsidTr="00AD6872" w14:paraId="328F39FE" w14:textId="77777777">
        <w:tc>
          <w:tcPr>
            <w:tcW w:w="1334" w:type="dxa"/>
          </w:tcPr>
          <w:p w:rsidRPr="00BA69F1" w:rsidR="005729EB" w:rsidP="005729EB" w:rsidRDefault="005729EB" w14:paraId="2C0EE913" w14:textId="77777777">
            <w:pPr>
              <w:widowControl/>
              <w:autoSpaceDE/>
              <w:autoSpaceDN/>
              <w:adjustRightInd/>
              <w:rPr>
                <w:rFonts w:ascii="Times New Roman" w:hAnsi="Times New Roman" w:cs="Times New Roman"/>
              </w:rPr>
            </w:pPr>
            <w:r w:rsidRPr="00BA69F1">
              <w:rPr>
                <w:rFonts w:ascii="Times New Roman" w:hAnsi="Times New Roman"/>
              </w:rPr>
              <w:t>Work Site Description (Prospective Applicants)</w:t>
            </w:r>
          </w:p>
        </w:tc>
        <w:tc>
          <w:tcPr>
            <w:tcW w:w="1299" w:type="dxa"/>
          </w:tcPr>
          <w:p w:rsidRPr="00BA69F1" w:rsidR="005729EB" w:rsidP="005729EB" w:rsidRDefault="005729EB" w14:paraId="531056C4" w14:textId="2D0D1CFA">
            <w:pPr>
              <w:widowControl/>
              <w:autoSpaceDE/>
              <w:autoSpaceDN/>
              <w:adjustRightInd/>
              <w:rPr>
                <w:rFonts w:ascii="Times New Roman" w:hAnsi="Times New Roman" w:cs="Times New Roman"/>
              </w:rPr>
            </w:pPr>
            <w:r w:rsidRPr="00BA69F1">
              <w:rPr>
                <w:rFonts w:ascii="Times New Roman" w:hAnsi="Times New Roman"/>
              </w:rPr>
              <w:t>2</w:t>
            </w:r>
            <w:r w:rsidR="0076705F">
              <w:rPr>
                <w:rFonts w:ascii="Times New Roman" w:hAnsi="Times New Roman"/>
              </w:rPr>
              <w:t>30</w:t>
            </w:r>
          </w:p>
        </w:tc>
        <w:tc>
          <w:tcPr>
            <w:tcW w:w="1299" w:type="dxa"/>
          </w:tcPr>
          <w:p w:rsidRPr="00BA69F1" w:rsidR="005729EB" w:rsidP="005729EB" w:rsidRDefault="005729EB" w14:paraId="34DD8761" w14:textId="77777777">
            <w:pPr>
              <w:widowControl/>
              <w:autoSpaceDE/>
              <w:autoSpaceDN/>
              <w:adjustRightInd/>
              <w:rPr>
                <w:rFonts w:ascii="Times New Roman" w:hAnsi="Times New Roman" w:cs="Times New Roman"/>
              </w:rPr>
            </w:pPr>
            <w:r w:rsidRPr="00BA69F1">
              <w:rPr>
                <w:rFonts w:ascii="Times New Roman" w:hAnsi="Times New Roman"/>
              </w:rPr>
              <w:t>1</w:t>
            </w:r>
          </w:p>
        </w:tc>
        <w:tc>
          <w:tcPr>
            <w:tcW w:w="1095" w:type="dxa"/>
          </w:tcPr>
          <w:p w:rsidRPr="00BA69F1" w:rsidR="005729EB" w:rsidP="005729EB" w:rsidRDefault="005729EB" w14:paraId="319F567A" w14:textId="00652A13">
            <w:pPr>
              <w:widowControl/>
              <w:autoSpaceDE/>
              <w:autoSpaceDN/>
              <w:adjustRightInd/>
              <w:rPr>
                <w:rFonts w:ascii="Times New Roman" w:hAnsi="Times New Roman" w:cs="Times New Roman"/>
              </w:rPr>
            </w:pPr>
            <w:r w:rsidRPr="00BA69F1">
              <w:rPr>
                <w:rFonts w:ascii="Times New Roman" w:hAnsi="Times New Roman"/>
              </w:rPr>
              <w:t>23</w:t>
            </w:r>
            <w:r w:rsidR="0050134B">
              <w:rPr>
                <w:rFonts w:ascii="Times New Roman" w:hAnsi="Times New Roman" w:cs="Times New Roman"/>
              </w:rPr>
              <w:t>0</w:t>
            </w:r>
          </w:p>
        </w:tc>
        <w:tc>
          <w:tcPr>
            <w:tcW w:w="1141" w:type="dxa"/>
          </w:tcPr>
          <w:p w:rsidRPr="00BA69F1" w:rsidR="005729EB" w:rsidP="0050134B" w:rsidRDefault="005729EB" w14:paraId="48C54FAD" w14:textId="58922E80">
            <w:pPr>
              <w:widowControl/>
              <w:autoSpaceDE/>
              <w:autoSpaceDN/>
              <w:adjustRightInd/>
              <w:rPr>
                <w:rFonts w:ascii="Times New Roman" w:hAnsi="Times New Roman" w:cs="Times New Roman"/>
              </w:rPr>
            </w:pPr>
            <w:r w:rsidRPr="00BA69F1">
              <w:rPr>
                <w:rFonts w:ascii="Times New Roman" w:hAnsi="Times New Roman"/>
              </w:rPr>
              <w:t>.</w:t>
            </w:r>
            <w:r w:rsidR="0050134B">
              <w:rPr>
                <w:rFonts w:ascii="Times New Roman" w:hAnsi="Times New Roman" w:cs="Times New Roman"/>
              </w:rPr>
              <w:t>17</w:t>
            </w:r>
          </w:p>
        </w:tc>
        <w:tc>
          <w:tcPr>
            <w:tcW w:w="1141" w:type="dxa"/>
          </w:tcPr>
          <w:p w:rsidRPr="00BA69F1" w:rsidR="005729EB" w:rsidP="0050134B" w:rsidRDefault="0050134B" w14:paraId="548E7304" w14:textId="6B1D5C23">
            <w:pPr>
              <w:widowControl/>
              <w:autoSpaceDE/>
              <w:autoSpaceDN/>
              <w:adjustRightInd/>
              <w:rPr>
                <w:rFonts w:ascii="Times New Roman" w:hAnsi="Times New Roman" w:cs="Times New Roman"/>
              </w:rPr>
            </w:pPr>
            <w:r>
              <w:rPr>
                <w:rFonts w:ascii="Times New Roman" w:hAnsi="Times New Roman" w:cs="Times New Roman"/>
              </w:rPr>
              <w:t>39</w:t>
            </w:r>
          </w:p>
        </w:tc>
        <w:tc>
          <w:tcPr>
            <w:tcW w:w="788" w:type="dxa"/>
          </w:tcPr>
          <w:p w:rsidRPr="00BA69F1" w:rsidR="005729EB" w:rsidP="005729EB" w:rsidRDefault="005729EB" w14:paraId="77DF521E" w14:textId="77777777">
            <w:pPr>
              <w:widowControl/>
              <w:autoSpaceDE/>
              <w:autoSpaceDN/>
              <w:adjustRightInd/>
              <w:rPr>
                <w:rFonts w:ascii="Times New Roman" w:hAnsi="Times New Roman" w:cs="Times New Roman"/>
              </w:rPr>
            </w:pPr>
            <w:r w:rsidRPr="00BA69F1">
              <w:rPr>
                <w:rFonts w:ascii="Times New Roman" w:hAnsi="Times New Roman"/>
              </w:rPr>
              <w:t>$16.33</w:t>
            </w:r>
          </w:p>
        </w:tc>
        <w:tc>
          <w:tcPr>
            <w:tcW w:w="1438" w:type="dxa"/>
          </w:tcPr>
          <w:p w:rsidRPr="00BA69F1" w:rsidR="005729EB" w:rsidP="0050134B" w:rsidRDefault="005729EB" w14:paraId="4D5E37CB" w14:textId="59CFB104">
            <w:pPr>
              <w:widowControl/>
              <w:autoSpaceDE/>
              <w:autoSpaceDN/>
              <w:adjustRightInd/>
              <w:rPr>
                <w:rFonts w:ascii="Times New Roman" w:hAnsi="Times New Roman" w:cs="Times New Roman"/>
              </w:rPr>
            </w:pPr>
            <w:r w:rsidRPr="00BA69F1">
              <w:rPr>
                <w:rFonts w:ascii="Times New Roman" w:hAnsi="Times New Roman"/>
              </w:rPr>
              <w:t>$</w:t>
            </w:r>
            <w:r w:rsidR="0050134B">
              <w:rPr>
                <w:rFonts w:ascii="Times New Roman" w:hAnsi="Times New Roman" w:cs="Times New Roman"/>
              </w:rPr>
              <w:t>638.50</w:t>
            </w:r>
          </w:p>
        </w:tc>
      </w:tr>
      <w:tr w:rsidRPr="00730183" w:rsidR="005729EB" w:rsidTr="00AD6872" w14:paraId="087B2F53" w14:textId="77777777">
        <w:tc>
          <w:tcPr>
            <w:tcW w:w="1334" w:type="dxa"/>
          </w:tcPr>
          <w:p w:rsidRPr="00BA69F1" w:rsidR="005729EB" w:rsidP="005729EB" w:rsidRDefault="005729EB" w14:paraId="3BB0978C" w14:textId="77777777">
            <w:pPr>
              <w:widowControl/>
              <w:autoSpaceDE/>
              <w:autoSpaceDN/>
              <w:adjustRightInd/>
              <w:rPr>
                <w:rFonts w:ascii="Times New Roman" w:hAnsi="Times New Roman" w:cs="Times New Roman"/>
              </w:rPr>
            </w:pPr>
            <w:r w:rsidRPr="00BA69F1">
              <w:rPr>
                <w:rFonts w:ascii="Times New Roman" w:hAnsi="Times New Roman"/>
              </w:rPr>
              <w:t>Work Site Description (Existing Grantees)</w:t>
            </w:r>
          </w:p>
        </w:tc>
        <w:tc>
          <w:tcPr>
            <w:tcW w:w="1299" w:type="dxa"/>
          </w:tcPr>
          <w:p w:rsidRPr="00BA69F1" w:rsidR="005729EB" w:rsidP="005729EB" w:rsidRDefault="005729EB" w14:paraId="00B29A46" w14:textId="77777777">
            <w:pPr>
              <w:widowControl/>
              <w:autoSpaceDE/>
              <w:autoSpaceDN/>
              <w:adjustRightInd/>
              <w:rPr>
                <w:rFonts w:ascii="Times New Roman" w:hAnsi="Times New Roman" w:cs="Times New Roman"/>
              </w:rPr>
            </w:pPr>
            <w:r w:rsidRPr="00BA69F1">
              <w:rPr>
                <w:rFonts w:ascii="Times New Roman" w:hAnsi="Times New Roman"/>
              </w:rPr>
              <w:t>210</w:t>
            </w:r>
          </w:p>
        </w:tc>
        <w:tc>
          <w:tcPr>
            <w:tcW w:w="1299" w:type="dxa"/>
          </w:tcPr>
          <w:p w:rsidRPr="00BA69F1" w:rsidR="005729EB" w:rsidP="005729EB" w:rsidRDefault="005729EB" w14:paraId="5ED51CAF" w14:textId="77777777">
            <w:pPr>
              <w:widowControl/>
              <w:autoSpaceDE/>
              <w:autoSpaceDN/>
              <w:adjustRightInd/>
              <w:rPr>
                <w:rFonts w:ascii="Times New Roman" w:hAnsi="Times New Roman" w:cs="Times New Roman"/>
              </w:rPr>
            </w:pPr>
            <w:r w:rsidRPr="00BA69F1">
              <w:rPr>
                <w:rFonts w:ascii="Times New Roman" w:hAnsi="Times New Roman"/>
              </w:rPr>
              <w:t>1</w:t>
            </w:r>
          </w:p>
        </w:tc>
        <w:tc>
          <w:tcPr>
            <w:tcW w:w="1095" w:type="dxa"/>
          </w:tcPr>
          <w:p w:rsidRPr="00BA69F1" w:rsidR="005729EB" w:rsidP="005729EB" w:rsidRDefault="005729EB" w14:paraId="30BA5AB1" w14:textId="77777777">
            <w:pPr>
              <w:widowControl/>
              <w:autoSpaceDE/>
              <w:autoSpaceDN/>
              <w:adjustRightInd/>
              <w:rPr>
                <w:rFonts w:ascii="Times New Roman" w:hAnsi="Times New Roman" w:cs="Times New Roman"/>
              </w:rPr>
            </w:pPr>
            <w:r w:rsidRPr="00BA69F1">
              <w:rPr>
                <w:rFonts w:ascii="Times New Roman" w:hAnsi="Times New Roman"/>
              </w:rPr>
              <w:t>210</w:t>
            </w:r>
          </w:p>
        </w:tc>
        <w:tc>
          <w:tcPr>
            <w:tcW w:w="1141" w:type="dxa"/>
          </w:tcPr>
          <w:p w:rsidRPr="00BA69F1" w:rsidR="005729EB" w:rsidP="005729EB" w:rsidRDefault="005729EB" w14:paraId="7835F391" w14:textId="77777777">
            <w:pPr>
              <w:widowControl/>
              <w:autoSpaceDE/>
              <w:autoSpaceDN/>
              <w:adjustRightInd/>
              <w:rPr>
                <w:rFonts w:ascii="Times New Roman" w:hAnsi="Times New Roman" w:cs="Times New Roman"/>
              </w:rPr>
            </w:pPr>
            <w:r w:rsidRPr="00BA69F1">
              <w:rPr>
                <w:rFonts w:ascii="Times New Roman" w:hAnsi="Times New Roman"/>
              </w:rPr>
              <w:t>.5</w:t>
            </w:r>
          </w:p>
        </w:tc>
        <w:tc>
          <w:tcPr>
            <w:tcW w:w="1141" w:type="dxa"/>
          </w:tcPr>
          <w:p w:rsidRPr="00BA69F1" w:rsidR="005729EB" w:rsidP="005729EB" w:rsidRDefault="005729EB" w14:paraId="48CDF584" w14:textId="77777777">
            <w:pPr>
              <w:widowControl/>
              <w:autoSpaceDE/>
              <w:autoSpaceDN/>
              <w:adjustRightInd/>
              <w:rPr>
                <w:rFonts w:ascii="Times New Roman" w:hAnsi="Times New Roman" w:cs="Times New Roman"/>
              </w:rPr>
            </w:pPr>
            <w:r w:rsidRPr="00BA69F1">
              <w:rPr>
                <w:rFonts w:ascii="Times New Roman" w:hAnsi="Times New Roman"/>
              </w:rPr>
              <w:t>105</w:t>
            </w:r>
          </w:p>
        </w:tc>
        <w:tc>
          <w:tcPr>
            <w:tcW w:w="788" w:type="dxa"/>
          </w:tcPr>
          <w:p w:rsidRPr="00BA69F1" w:rsidR="005729EB" w:rsidP="005729EB" w:rsidRDefault="005729EB" w14:paraId="20509BE7" w14:textId="77777777">
            <w:pPr>
              <w:widowControl/>
              <w:autoSpaceDE/>
              <w:autoSpaceDN/>
              <w:adjustRightInd/>
              <w:rPr>
                <w:rFonts w:ascii="Times New Roman" w:hAnsi="Times New Roman" w:cs="Times New Roman"/>
              </w:rPr>
            </w:pPr>
            <w:r w:rsidRPr="00BA69F1">
              <w:rPr>
                <w:rFonts w:ascii="Times New Roman" w:hAnsi="Times New Roman"/>
              </w:rPr>
              <w:t>$16.33</w:t>
            </w:r>
          </w:p>
        </w:tc>
        <w:tc>
          <w:tcPr>
            <w:tcW w:w="1438" w:type="dxa"/>
          </w:tcPr>
          <w:p w:rsidRPr="00BA69F1" w:rsidR="005729EB" w:rsidP="005729EB" w:rsidRDefault="005729EB" w14:paraId="4F79A351" w14:textId="77777777">
            <w:pPr>
              <w:widowControl/>
              <w:autoSpaceDE/>
              <w:autoSpaceDN/>
              <w:adjustRightInd/>
              <w:rPr>
                <w:rFonts w:ascii="Times New Roman" w:hAnsi="Times New Roman" w:cs="Times New Roman"/>
              </w:rPr>
            </w:pPr>
            <w:r w:rsidRPr="00BA69F1">
              <w:rPr>
                <w:rFonts w:ascii="Times New Roman" w:hAnsi="Times New Roman"/>
              </w:rPr>
              <w:t>$1,714.65</w:t>
            </w:r>
          </w:p>
        </w:tc>
      </w:tr>
      <w:tr w:rsidRPr="00730183" w:rsidR="005729EB" w:rsidTr="00AD6872" w14:paraId="4EF192DC" w14:textId="77777777">
        <w:tc>
          <w:tcPr>
            <w:tcW w:w="1334" w:type="dxa"/>
          </w:tcPr>
          <w:p w:rsidRPr="00BA69F1" w:rsidR="005729EB" w:rsidP="005729EB" w:rsidRDefault="005729EB" w14:paraId="78D32EE8" w14:textId="77777777">
            <w:pPr>
              <w:widowControl/>
              <w:autoSpaceDE/>
              <w:autoSpaceDN/>
              <w:adjustRightInd/>
              <w:rPr>
                <w:rFonts w:ascii="Times New Roman" w:hAnsi="Times New Roman" w:cs="Times New Roman"/>
              </w:rPr>
            </w:pPr>
            <w:r w:rsidRPr="00BA69F1">
              <w:rPr>
                <w:rFonts w:ascii="Times New Roman" w:hAnsi="Times New Roman"/>
              </w:rPr>
              <w:lastRenderedPageBreak/>
              <w:t>Housing Census Form</w:t>
            </w:r>
          </w:p>
        </w:tc>
        <w:tc>
          <w:tcPr>
            <w:tcW w:w="1299" w:type="dxa"/>
          </w:tcPr>
          <w:p w:rsidRPr="00BA69F1" w:rsidR="005729EB" w:rsidP="005729EB" w:rsidRDefault="005729EB" w14:paraId="58BB7D7B" w14:textId="77777777">
            <w:pPr>
              <w:widowControl/>
              <w:autoSpaceDE/>
              <w:autoSpaceDN/>
              <w:adjustRightInd/>
              <w:rPr>
                <w:rFonts w:ascii="Times New Roman" w:hAnsi="Times New Roman" w:cs="Times New Roman"/>
              </w:rPr>
            </w:pPr>
            <w:r w:rsidRPr="00BA69F1">
              <w:rPr>
                <w:rFonts w:ascii="Times New Roman" w:hAnsi="Times New Roman"/>
              </w:rPr>
              <w:t>210</w:t>
            </w:r>
          </w:p>
        </w:tc>
        <w:tc>
          <w:tcPr>
            <w:tcW w:w="1299" w:type="dxa"/>
          </w:tcPr>
          <w:p w:rsidRPr="00BA69F1" w:rsidR="005729EB" w:rsidP="005729EB" w:rsidRDefault="005729EB" w14:paraId="2BC9B39F" w14:textId="77777777">
            <w:pPr>
              <w:widowControl/>
              <w:autoSpaceDE/>
              <w:autoSpaceDN/>
              <w:adjustRightInd/>
              <w:rPr>
                <w:rFonts w:ascii="Times New Roman" w:hAnsi="Times New Roman" w:cs="Times New Roman"/>
              </w:rPr>
            </w:pPr>
            <w:r w:rsidRPr="00BA69F1">
              <w:rPr>
                <w:rFonts w:ascii="Times New Roman" w:hAnsi="Times New Roman"/>
              </w:rPr>
              <w:t>1</w:t>
            </w:r>
          </w:p>
        </w:tc>
        <w:tc>
          <w:tcPr>
            <w:tcW w:w="1095" w:type="dxa"/>
          </w:tcPr>
          <w:p w:rsidRPr="00BA69F1" w:rsidR="005729EB" w:rsidP="005729EB" w:rsidRDefault="005729EB" w14:paraId="73FCAFBA" w14:textId="77777777">
            <w:pPr>
              <w:widowControl/>
              <w:autoSpaceDE/>
              <w:autoSpaceDN/>
              <w:adjustRightInd/>
              <w:rPr>
                <w:rFonts w:ascii="Times New Roman" w:hAnsi="Times New Roman" w:cs="Times New Roman"/>
              </w:rPr>
            </w:pPr>
            <w:r w:rsidRPr="00BA69F1">
              <w:rPr>
                <w:rFonts w:ascii="Times New Roman" w:hAnsi="Times New Roman"/>
              </w:rPr>
              <w:t>210</w:t>
            </w:r>
          </w:p>
        </w:tc>
        <w:tc>
          <w:tcPr>
            <w:tcW w:w="1141" w:type="dxa"/>
          </w:tcPr>
          <w:p w:rsidRPr="00BA69F1" w:rsidR="005729EB" w:rsidP="005729EB" w:rsidRDefault="005729EB" w14:paraId="3FEE7206" w14:textId="77777777">
            <w:pPr>
              <w:widowControl/>
              <w:autoSpaceDE/>
              <w:autoSpaceDN/>
              <w:adjustRightInd/>
              <w:rPr>
                <w:rFonts w:ascii="Times New Roman" w:hAnsi="Times New Roman" w:cs="Times New Roman"/>
              </w:rPr>
            </w:pPr>
            <w:r w:rsidRPr="00BA69F1">
              <w:rPr>
                <w:rFonts w:ascii="Times New Roman" w:hAnsi="Times New Roman"/>
              </w:rPr>
              <w:t>.5</w:t>
            </w:r>
          </w:p>
        </w:tc>
        <w:tc>
          <w:tcPr>
            <w:tcW w:w="1141" w:type="dxa"/>
          </w:tcPr>
          <w:p w:rsidRPr="00BA69F1" w:rsidR="005729EB" w:rsidP="005729EB" w:rsidRDefault="005729EB" w14:paraId="399928F8" w14:textId="77777777">
            <w:pPr>
              <w:widowControl/>
              <w:autoSpaceDE/>
              <w:autoSpaceDN/>
              <w:adjustRightInd/>
              <w:rPr>
                <w:rFonts w:ascii="Times New Roman" w:hAnsi="Times New Roman" w:cs="Times New Roman"/>
              </w:rPr>
            </w:pPr>
            <w:r w:rsidRPr="00BA69F1">
              <w:rPr>
                <w:rFonts w:ascii="Times New Roman" w:hAnsi="Times New Roman"/>
              </w:rPr>
              <w:t>105</w:t>
            </w:r>
          </w:p>
        </w:tc>
        <w:tc>
          <w:tcPr>
            <w:tcW w:w="788" w:type="dxa"/>
          </w:tcPr>
          <w:p w:rsidRPr="00BA69F1" w:rsidR="005729EB" w:rsidP="005729EB" w:rsidRDefault="005729EB" w14:paraId="43C5954D" w14:textId="77777777">
            <w:pPr>
              <w:widowControl/>
              <w:autoSpaceDE/>
              <w:autoSpaceDN/>
              <w:adjustRightInd/>
              <w:rPr>
                <w:rFonts w:ascii="Times New Roman" w:hAnsi="Times New Roman" w:cs="Times New Roman"/>
              </w:rPr>
            </w:pPr>
            <w:r w:rsidRPr="00BA69F1">
              <w:rPr>
                <w:rFonts w:ascii="Times New Roman" w:hAnsi="Times New Roman"/>
              </w:rPr>
              <w:t>$16.33</w:t>
            </w:r>
          </w:p>
        </w:tc>
        <w:tc>
          <w:tcPr>
            <w:tcW w:w="1438" w:type="dxa"/>
          </w:tcPr>
          <w:p w:rsidRPr="00BA69F1" w:rsidR="005729EB" w:rsidP="005729EB" w:rsidRDefault="005729EB" w14:paraId="0DFD7155" w14:textId="77777777">
            <w:pPr>
              <w:widowControl/>
              <w:autoSpaceDE/>
              <w:autoSpaceDN/>
              <w:adjustRightInd/>
              <w:rPr>
                <w:rFonts w:ascii="Times New Roman" w:hAnsi="Times New Roman" w:cs="Times New Roman"/>
              </w:rPr>
            </w:pPr>
            <w:r w:rsidRPr="00BA69F1">
              <w:rPr>
                <w:rFonts w:ascii="Times New Roman" w:hAnsi="Times New Roman"/>
              </w:rPr>
              <w:t>$1,714.65</w:t>
            </w:r>
          </w:p>
        </w:tc>
      </w:tr>
      <w:tr w:rsidRPr="00730183" w:rsidR="005729EB" w:rsidTr="007F1319" w14:paraId="7A09CE8D" w14:textId="77777777">
        <w:tc>
          <w:tcPr>
            <w:tcW w:w="1334" w:type="dxa"/>
          </w:tcPr>
          <w:p w:rsidRPr="00BA69F1" w:rsidR="005729EB" w:rsidP="005729EB" w:rsidRDefault="005729EB" w14:paraId="249BD89E" w14:textId="77777777">
            <w:pPr>
              <w:widowControl/>
              <w:autoSpaceDE/>
              <w:autoSpaceDN/>
              <w:adjustRightInd/>
              <w:rPr>
                <w:rFonts w:ascii="Times New Roman" w:hAnsi="Times New Roman" w:cs="Times New Roman"/>
              </w:rPr>
            </w:pPr>
            <w:r w:rsidRPr="00BA69F1">
              <w:rPr>
                <w:rFonts w:ascii="Times New Roman" w:hAnsi="Times New Roman"/>
              </w:rPr>
              <w:t>Unduplicated Totals</w:t>
            </w:r>
          </w:p>
        </w:tc>
        <w:tc>
          <w:tcPr>
            <w:tcW w:w="1299" w:type="dxa"/>
          </w:tcPr>
          <w:p w:rsidRPr="00BA69F1" w:rsidR="005729EB" w:rsidP="00E93270" w:rsidRDefault="006328A9" w14:paraId="09D1DEF2" w14:textId="6F093D45">
            <w:pPr>
              <w:widowControl/>
              <w:autoSpaceDE/>
              <w:autoSpaceDN/>
              <w:adjustRightInd/>
              <w:rPr>
                <w:rFonts w:ascii="Times New Roman" w:hAnsi="Times New Roman" w:cs="Times New Roman"/>
              </w:rPr>
            </w:pPr>
            <w:r>
              <w:rPr>
                <w:rFonts w:ascii="Times New Roman" w:hAnsi="Times New Roman" w:cs="Times New Roman"/>
              </w:rPr>
              <w:t>6,</w:t>
            </w:r>
            <w:r w:rsidR="00E93270">
              <w:rPr>
                <w:rFonts w:ascii="Times New Roman" w:hAnsi="Times New Roman" w:cs="Times New Roman"/>
              </w:rPr>
              <w:t xml:space="preserve"> 860</w:t>
            </w:r>
          </w:p>
        </w:tc>
        <w:tc>
          <w:tcPr>
            <w:tcW w:w="1299" w:type="dxa"/>
            <w:shd w:val="clear" w:color="auto" w:fill="D9D9D9" w:themeFill="background1" w:themeFillShade="D9"/>
          </w:tcPr>
          <w:p w:rsidRPr="00BA69F1" w:rsidR="005729EB" w:rsidP="005729EB" w:rsidRDefault="005729EB" w14:paraId="5362B092" w14:textId="77777777">
            <w:pPr>
              <w:widowControl/>
              <w:autoSpaceDE/>
              <w:autoSpaceDN/>
              <w:adjustRightInd/>
              <w:rPr>
                <w:rFonts w:ascii="Times New Roman" w:hAnsi="Times New Roman" w:cs="Times New Roman"/>
              </w:rPr>
            </w:pPr>
          </w:p>
        </w:tc>
        <w:tc>
          <w:tcPr>
            <w:tcW w:w="1095" w:type="dxa"/>
          </w:tcPr>
          <w:p w:rsidRPr="00BA69F1" w:rsidR="005729EB" w:rsidP="005729EB" w:rsidRDefault="006328A9" w14:paraId="0C1CB5E5" w14:textId="2F1BB6D4">
            <w:pPr>
              <w:widowControl/>
              <w:autoSpaceDE/>
              <w:autoSpaceDN/>
              <w:adjustRightInd/>
              <w:rPr>
                <w:rFonts w:ascii="Times New Roman" w:hAnsi="Times New Roman" w:cs="Times New Roman"/>
              </w:rPr>
            </w:pPr>
            <w:r>
              <w:rPr>
                <w:rFonts w:ascii="Times New Roman" w:hAnsi="Times New Roman" w:cs="Times New Roman"/>
              </w:rPr>
              <w:t>7,490</w:t>
            </w:r>
          </w:p>
        </w:tc>
        <w:tc>
          <w:tcPr>
            <w:tcW w:w="1141" w:type="dxa"/>
            <w:shd w:val="clear" w:color="auto" w:fill="D9D9D9" w:themeFill="background1" w:themeFillShade="D9"/>
          </w:tcPr>
          <w:p w:rsidRPr="00BA69F1" w:rsidR="005729EB" w:rsidP="005729EB" w:rsidRDefault="005729EB" w14:paraId="447AD866" w14:textId="77777777">
            <w:pPr>
              <w:widowControl/>
              <w:autoSpaceDE/>
              <w:autoSpaceDN/>
              <w:adjustRightInd/>
              <w:rPr>
                <w:rFonts w:ascii="Times New Roman" w:hAnsi="Times New Roman" w:cs="Times New Roman"/>
              </w:rPr>
            </w:pPr>
          </w:p>
        </w:tc>
        <w:tc>
          <w:tcPr>
            <w:tcW w:w="1141" w:type="dxa"/>
          </w:tcPr>
          <w:p w:rsidRPr="00BA69F1" w:rsidR="005729EB" w:rsidP="0076705F" w:rsidRDefault="005729EB" w14:paraId="37CCA276" w14:textId="10BBAE05">
            <w:pPr>
              <w:widowControl/>
              <w:autoSpaceDE/>
              <w:autoSpaceDN/>
              <w:adjustRightInd/>
              <w:rPr>
                <w:rFonts w:ascii="Times New Roman" w:hAnsi="Times New Roman" w:cs="Times New Roman"/>
              </w:rPr>
            </w:pPr>
            <w:r w:rsidRPr="00BA69F1">
              <w:rPr>
                <w:rFonts w:ascii="Times New Roman" w:hAnsi="Times New Roman"/>
              </w:rPr>
              <w:t>24,</w:t>
            </w:r>
            <w:r w:rsidR="0076705F">
              <w:rPr>
                <w:rFonts w:ascii="Times New Roman" w:hAnsi="Times New Roman" w:cs="Times New Roman"/>
              </w:rPr>
              <w:t>489</w:t>
            </w:r>
          </w:p>
        </w:tc>
        <w:tc>
          <w:tcPr>
            <w:tcW w:w="788" w:type="dxa"/>
          </w:tcPr>
          <w:p w:rsidRPr="00BA69F1" w:rsidR="005729EB" w:rsidP="005729EB" w:rsidRDefault="005729EB" w14:paraId="408167CD" w14:textId="77777777">
            <w:pPr>
              <w:widowControl/>
              <w:autoSpaceDE/>
              <w:autoSpaceDN/>
              <w:adjustRightInd/>
              <w:rPr>
                <w:rFonts w:ascii="Times New Roman" w:hAnsi="Times New Roman" w:cs="Times New Roman"/>
              </w:rPr>
            </w:pPr>
          </w:p>
        </w:tc>
        <w:tc>
          <w:tcPr>
            <w:tcW w:w="1438" w:type="dxa"/>
          </w:tcPr>
          <w:p w:rsidRPr="00D40B27" w:rsidR="005729EB" w:rsidP="0050134B" w:rsidRDefault="005729EB" w14:paraId="3F7802A2" w14:textId="4591E011">
            <w:pPr>
              <w:widowControl/>
              <w:autoSpaceDE/>
              <w:autoSpaceDN/>
              <w:adjustRightInd/>
              <w:rPr>
                <w:rFonts w:ascii="Times New Roman" w:hAnsi="Times New Roman" w:cs="Times New Roman"/>
              </w:rPr>
            </w:pPr>
            <w:r w:rsidRPr="00BA69F1">
              <w:rPr>
                <w:rFonts w:ascii="Times New Roman" w:hAnsi="Times New Roman"/>
              </w:rPr>
              <w:t>$</w:t>
            </w:r>
            <w:r w:rsidR="0050134B">
              <w:rPr>
                <w:rFonts w:ascii="Times New Roman" w:hAnsi="Times New Roman" w:cs="Times New Roman"/>
              </w:rPr>
              <w:t>399,907.00</w:t>
            </w:r>
          </w:p>
        </w:tc>
      </w:tr>
    </w:tbl>
    <w:p w:rsidR="00E20666" w:rsidP="00D40B27" w:rsidRDefault="00E20666" w14:paraId="71DA6A43" w14:textId="36A7EE8B">
      <w:pPr>
        <w:rPr>
          <w:rFonts w:ascii="Times New Roman" w:hAnsi="Times New Roman"/>
        </w:rPr>
      </w:pPr>
    </w:p>
    <w:p w:rsidRPr="00D40B27" w:rsidR="00A468C2" w:rsidP="00D40B27" w:rsidRDefault="00A468C2" w14:paraId="63771C2B" w14:textId="4D7A0BF5">
      <w:pPr>
        <w:rPr>
          <w:rFonts w:ascii="Times New Roman" w:hAnsi="Times New Roman"/>
        </w:rPr>
      </w:pPr>
      <w:r>
        <w:rPr>
          <w:rFonts w:ascii="Times New Roman" w:hAnsi="Times New Roman"/>
        </w:rPr>
        <w:t>*Hourly rates used to calculate cost depend upon the type of organization administering the program. For private non-profit grantees, the hourly rate is the averag</w:t>
      </w:r>
      <w:r w:rsidR="00000BBF">
        <w:rPr>
          <w:rFonts w:ascii="Times New Roman" w:hAnsi="Times New Roman"/>
        </w:rPr>
        <w:t xml:space="preserve">e hourly earnings in the U.S. </w:t>
      </w:r>
      <w:r>
        <w:rPr>
          <w:rFonts w:ascii="Times New Roman" w:hAnsi="Times New Roman"/>
        </w:rPr>
        <w:t>Bureau</w:t>
      </w:r>
      <w:r w:rsidR="00000BBF">
        <w:rPr>
          <w:rFonts w:ascii="Times New Roman" w:hAnsi="Times New Roman"/>
        </w:rPr>
        <w:t xml:space="preserve"> of Labor Statistics </w:t>
      </w:r>
      <w:r>
        <w:rPr>
          <w:rFonts w:ascii="Times New Roman" w:hAnsi="Times New Roman"/>
        </w:rPr>
        <w:t>social assistance industry category (July 2020, Current Employment Stati</w:t>
      </w:r>
      <w:r w:rsidR="00000BBF">
        <w:rPr>
          <w:rFonts w:ascii="Times New Roman" w:hAnsi="Times New Roman"/>
        </w:rPr>
        <w:t>stics Survey, U.S. Bureau of Labor Statistics</w:t>
      </w:r>
      <w:r>
        <w:rPr>
          <w:rFonts w:ascii="Times New Roman" w:hAnsi="Times New Roman"/>
        </w:rPr>
        <w:t>)</w:t>
      </w:r>
      <w:r w:rsidR="00000BBF">
        <w:rPr>
          <w:rFonts w:ascii="Times New Roman" w:hAnsi="Times New Roman"/>
        </w:rPr>
        <w:t xml:space="preserve">.  Source: </w:t>
      </w:r>
      <w:r w:rsidRPr="00000BBF" w:rsidR="00000BBF">
        <w:rPr>
          <w:rFonts w:ascii="Times New Roman" w:hAnsi="Times New Roman"/>
        </w:rPr>
        <w:t>https://www.bls.gov/web/empsit/ceseeb8a.htm#ce_ee_table8a.f.2</w:t>
      </w:r>
    </w:p>
    <w:p w:rsidR="00A468C2" w:rsidP="00D40B27" w:rsidRDefault="00A468C2" w14:paraId="07AC9261" w14:textId="64AA434B">
      <w:pPr>
        <w:rPr>
          <w:rFonts w:ascii="Times New Roman" w:hAnsi="Times New Roman"/>
        </w:rPr>
      </w:pPr>
    </w:p>
    <w:p w:rsidRPr="00D40B27" w:rsidR="00A468C2" w:rsidP="00D40B27" w:rsidRDefault="00A468C2" w14:paraId="72E48A7B" w14:textId="77777777">
      <w:pPr>
        <w:rPr>
          <w:rFonts w:ascii="Times New Roman" w:hAnsi="Times New Roman"/>
        </w:rPr>
      </w:pPr>
    </w:p>
    <w:p w:rsidRPr="0053728E"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5848EA">
        <w:rPr>
          <w:rFonts w:ascii="Times New Roman" w:hAnsi="Times New Roman"/>
          <w:b/>
        </w:rPr>
        <w:t xml:space="preserve">13.  Provide an estimate of </w:t>
      </w:r>
      <w:r w:rsidRPr="005848EA" w:rsidR="00C667F3">
        <w:rPr>
          <w:rFonts w:ascii="Times New Roman" w:hAnsi="Times New Roman"/>
          <w:b/>
        </w:rPr>
        <w:t>the tot</w:t>
      </w:r>
      <w:r w:rsidRPr="005848EA">
        <w:rPr>
          <w:rFonts w:ascii="Times New Roman" w:hAnsi="Times New Roman"/>
          <w:b/>
        </w:rPr>
        <w:t xml:space="preserve">al annual cost burden to respondents or recordkeepers resulting from the collection of information.  (Do not include the cost of any hour </w:t>
      </w:r>
      <w:r w:rsidRPr="005848EA" w:rsidR="00C667F3">
        <w:rPr>
          <w:rFonts w:ascii="Times New Roman" w:hAnsi="Times New Roman"/>
          <w:b/>
        </w:rPr>
        <w:t>burden shown in Items 12 and</w:t>
      </w:r>
      <w:r w:rsidRPr="0053728E" w:rsidR="00C667F3">
        <w:rPr>
          <w:rFonts w:ascii="Times New Roman" w:hAnsi="Times New Roman"/>
          <w:b/>
        </w:rPr>
        <w:t xml:space="preserve"> 14</w:t>
      </w:r>
      <w:r w:rsidRPr="0053728E">
        <w:rPr>
          <w:rFonts w:ascii="Times New Roman" w:hAnsi="Times New Roman"/>
          <w:b/>
        </w:rPr>
        <w:t>)</w:t>
      </w:r>
      <w:r w:rsidRPr="0053728E" w:rsidR="00C667F3">
        <w:rPr>
          <w:rFonts w:ascii="Times New Roman" w:hAnsi="Times New Roman"/>
          <w:b/>
        </w:rPr>
        <w:t>.</w:t>
      </w:r>
    </w:p>
    <w:p w:rsidRPr="0053728E"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53728E"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53728E">
        <w:rPr>
          <w:rFonts w:ascii="Times New Roman" w:hAnsi="Times New Roman"/>
          <w:b/>
        </w:rPr>
        <w:t>T</w:t>
      </w:r>
      <w:r w:rsidRPr="0053728E" w:rsidR="00CD215D">
        <w:rPr>
          <w:rFonts w:ascii="Times New Roman" w:hAnsi="Times New Roman"/>
          <w:b/>
        </w:rPr>
        <w:t>he cost estimate should be split into two components:</w:t>
      </w:r>
      <w:r w:rsidRPr="0053728E" w:rsidR="00AB4DC3">
        <w:rPr>
          <w:rFonts w:ascii="Times New Roman" w:hAnsi="Times New Roman"/>
          <w:b/>
        </w:rPr>
        <w:t xml:space="preserve">  (a) a total capital</w:t>
      </w:r>
    </w:p>
    <w:p w:rsidRPr="00744362"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744362">
        <w:rPr>
          <w:rFonts w:ascii="Times New Roman" w:hAnsi="Times New Roman"/>
          <w:b/>
        </w:rPr>
        <w:t>a</w:t>
      </w:r>
      <w:r w:rsidRPr="00744362" w:rsidR="00AB4DC3">
        <w:rPr>
          <w:rFonts w:ascii="Times New Roman" w:hAnsi="Times New Roman"/>
          <w:b/>
        </w:rPr>
        <w:t>nd</w:t>
      </w:r>
      <w:r w:rsidRPr="00744362" w:rsidR="00584F8D">
        <w:rPr>
          <w:rFonts w:ascii="Times New Roman" w:hAnsi="Times New Roman"/>
          <w:b/>
        </w:rPr>
        <w:t xml:space="preserve"> </w:t>
      </w:r>
      <w:r w:rsidRPr="00744362" w:rsidR="00AB4DC3">
        <w:rPr>
          <w:rFonts w:ascii="Times New Roman" w:hAnsi="Times New Roman"/>
          <w:b/>
        </w:rPr>
        <w:t xml:space="preserve">start </w:t>
      </w:r>
      <w:r w:rsidRPr="00744362" w:rsidR="00CD215D">
        <w:rPr>
          <w:rFonts w:ascii="Times New Roman" w:hAnsi="Times New Roman"/>
          <w:b/>
        </w:rPr>
        <w:t xml:space="preserve">up cost component </w:t>
      </w:r>
      <w:r w:rsidRPr="00744362" w:rsidR="00C667F3">
        <w:rPr>
          <w:rFonts w:ascii="Times New Roman" w:hAnsi="Times New Roman"/>
          <w:b/>
        </w:rPr>
        <w:t>(</w:t>
      </w:r>
      <w:r w:rsidRPr="00744362" w:rsidR="00CD215D">
        <w:rPr>
          <w:rFonts w:ascii="Times New Roman" w:hAnsi="Times New Roman"/>
          <w:b/>
        </w:rPr>
        <w:t>annualized over its expected useful life)</w:t>
      </w:r>
      <w:r w:rsidRPr="00744362" w:rsidR="00C667F3">
        <w:rPr>
          <w:rFonts w:ascii="Times New Roman" w:hAnsi="Times New Roman"/>
          <w:b/>
        </w:rPr>
        <w:t>;</w:t>
      </w:r>
      <w:r w:rsidRPr="00744362" w:rsidR="00CD215D">
        <w:rPr>
          <w:rFonts w:ascii="Times New Roman" w:hAnsi="Times New Roman"/>
          <w:b/>
        </w:rPr>
        <w:t xml:space="preserve"> and (b) a</w:t>
      </w:r>
    </w:p>
    <w:p w:rsidRPr="009813AF"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813AF">
        <w:rPr>
          <w:rFonts w:ascii="Times New Roman" w:hAnsi="Times New Roman"/>
          <w:b/>
        </w:rPr>
        <w:t xml:space="preserve">total operation and </w:t>
      </w:r>
      <w:r w:rsidRPr="009813AF" w:rsidR="006F6E13">
        <w:rPr>
          <w:rFonts w:ascii="Times New Roman" w:hAnsi="Times New Roman"/>
          <w:b/>
        </w:rPr>
        <w:t>m</w:t>
      </w:r>
      <w:r w:rsidRPr="009813AF">
        <w:rPr>
          <w:rFonts w:ascii="Times New Roman" w:hAnsi="Times New Roman"/>
          <w:b/>
        </w:rPr>
        <w:t>aintenance and purchase of se</w:t>
      </w:r>
      <w:r w:rsidRPr="009813AF" w:rsidR="006F6E13">
        <w:rPr>
          <w:rFonts w:ascii="Times New Roman" w:hAnsi="Times New Roman"/>
          <w:b/>
        </w:rPr>
        <w:t xml:space="preserve">rvice component.  </w:t>
      </w:r>
    </w:p>
    <w:p w:rsidRPr="001E697A"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E697A">
        <w:rPr>
          <w:rFonts w:ascii="Times New Roman" w:hAnsi="Times New Roman"/>
          <w:b/>
        </w:rPr>
        <w:tab/>
      </w:r>
      <w:r w:rsidRPr="001E697A">
        <w:rPr>
          <w:rFonts w:ascii="Times New Roman" w:hAnsi="Times New Roman"/>
          <w:b/>
        </w:rPr>
        <w:tab/>
      </w:r>
      <w:r w:rsidRPr="001E697A" w:rsidR="006F6E13">
        <w:rPr>
          <w:rFonts w:ascii="Times New Roman" w:hAnsi="Times New Roman"/>
          <w:b/>
        </w:rPr>
        <w:t>The estimates</w:t>
      </w:r>
      <w:r w:rsidRPr="001E697A">
        <w:rPr>
          <w:rFonts w:ascii="Times New Roman" w:hAnsi="Times New Roman"/>
          <w:b/>
        </w:rPr>
        <w:t xml:space="preserve"> </w:t>
      </w:r>
      <w:r w:rsidRPr="001E697A" w:rsidR="00CD215D">
        <w:rPr>
          <w:rFonts w:ascii="Times New Roman" w:hAnsi="Times New Roman"/>
          <w:b/>
        </w:rPr>
        <w:t xml:space="preserve">should take into account costs associated with generating, </w:t>
      </w:r>
    </w:p>
    <w:p w:rsidRPr="001E697A"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E697A">
        <w:rPr>
          <w:rFonts w:ascii="Times New Roman" w:hAnsi="Times New Roman"/>
          <w:b/>
        </w:rPr>
        <w:tab/>
      </w:r>
      <w:r w:rsidRPr="001E697A">
        <w:rPr>
          <w:rFonts w:ascii="Times New Roman" w:hAnsi="Times New Roman"/>
          <w:b/>
        </w:rPr>
        <w:tab/>
      </w:r>
      <w:r w:rsidRPr="001E697A" w:rsidR="00CD215D">
        <w:rPr>
          <w:rFonts w:ascii="Times New Roman" w:hAnsi="Times New Roman"/>
          <w:b/>
        </w:rPr>
        <w:t xml:space="preserve">maintaining, and disclosing or providing the information.  Include descriptions of </w:t>
      </w:r>
    </w:p>
    <w:p w:rsidRPr="001E697A"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E697A">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E697A"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1E697A"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E697A">
        <w:rPr>
          <w:rFonts w:ascii="Times New Roman" w:hAnsi="Times New Roman"/>
          <w:b/>
        </w:rPr>
        <w:lastRenderedPageBreak/>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E697A"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0BBF" w:rsidR="00000BBF" w:rsidP="00000BBF" w:rsidRDefault="00CD215D" w14:paraId="7A81DDAC" w14:textId="0463A4D9">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E697A">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40B27" w:rsidR="00000BBF" w:rsidP="00D40B27" w:rsidRDefault="00000BBF" w14:paraId="7BF51B1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0"/>
      </w:pPr>
    </w:p>
    <w:p w:rsidRPr="00D40B27" w:rsidR="00000BBF" w:rsidP="00D40B27" w:rsidRDefault="00000BBF" w14:paraId="7E44B335" w14:textId="1605EA2A">
      <w:pPr>
        <w:pStyle w:val="ListParagraph"/>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40B27">
        <w:rPr>
          <w:rFonts w:ascii="Times New Roman" w:hAnsi="Times New Roman"/>
          <w:b/>
        </w:rPr>
        <w:t>Start-up/capital costs:</w:t>
      </w:r>
      <w:r w:rsidRPr="00D40B27">
        <w:rPr>
          <w:rFonts w:ascii="Times New Roman" w:hAnsi="Times New Roman"/>
        </w:rPr>
        <w:t xml:space="preserve">  There are no start-up costs, as ETA provides grantees with a free, web-based, data collection and reporting system that grantees use to collect and maintain participant data, apply edit checks to the data, and generate the quarterly reports. </w:t>
      </w:r>
    </w:p>
    <w:p w:rsidRPr="00D40B27" w:rsidR="00000BBF" w:rsidP="00000BBF" w:rsidRDefault="00000BBF" w14:paraId="2C9BEDB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D40B27">
        <w:rPr>
          <w:rFonts w:ascii="Times New Roman" w:hAnsi="Times New Roman"/>
        </w:rPr>
        <w:t xml:space="preserve"> </w:t>
      </w:r>
    </w:p>
    <w:p w:rsidRPr="00000BBF" w:rsidR="00CD215D" w:rsidP="00D40B27" w:rsidRDefault="00000BBF" w14:paraId="0AAEE3FF" w14:textId="74FC64AB">
      <w:pPr>
        <w:pStyle w:val="ListParagraph"/>
        <w:widowControl/>
        <w:numPr>
          <w:ilvl w:val="0"/>
          <w:numId w:val="25"/>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40B27">
        <w:rPr>
          <w:rFonts w:ascii="Times New Roman" w:hAnsi="Times New Roman"/>
          <w:b/>
        </w:rPr>
        <w:t>Annual costs:</w:t>
      </w:r>
      <w:r w:rsidRPr="00D40B27">
        <w:rPr>
          <w:rFonts w:ascii="Times New Roman" w:hAnsi="Times New Roman"/>
        </w:rPr>
        <w:t xml:space="preserve">  There are no annual costs, as ETA covers the annual maintenance costs for the free, web-based, data collection and reporting system.</w:t>
      </w:r>
    </w:p>
    <w:p w:rsidRPr="004F5C5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97B43F9" w14:textId="01508B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E697A">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w:t>
      </w:r>
      <w:r w:rsidRPr="001E697A">
        <w:rPr>
          <w:rFonts w:ascii="Times New Roman" w:hAnsi="Times New Roman"/>
          <w:b/>
          <w:bCs/>
        </w:rPr>
        <w:lastRenderedPageBreak/>
        <w:t>ing, and support staff), any other expense that would not have been incurred</w:t>
      </w:r>
      <w:r w:rsidRPr="001E697A">
        <w:rPr>
          <w:rFonts w:ascii="Times New Roman" w:hAnsi="Times New Roman"/>
        </w:rPr>
        <w:t xml:space="preserve"> </w:t>
      </w:r>
      <w:r w:rsidRPr="001E697A">
        <w:rPr>
          <w:rFonts w:ascii="Times New Roman" w:hAnsi="Times New Roman"/>
          <w:b/>
          <w:bCs/>
        </w:rPr>
        <w:t>without this collection of information.  Agencies also may aggregate cost estimates from Items 12, 13, and 14 into a single table.</w:t>
      </w:r>
    </w:p>
    <w:p w:rsidR="00BA53C9" w:rsidP="00690F56" w:rsidRDefault="00BA53C9" w14:paraId="0A10DE52" w14:textId="3EC2F0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E697A" w:rsidR="00BA53C9" w:rsidP="00690F56" w:rsidRDefault="00BA53C9" w14:paraId="578D77C2" w14:textId="3859E2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There are no costs to the Federal G</w:t>
      </w:r>
      <w:bookmarkStart w:name="_GoBack" w:id="5"/>
      <w:bookmarkEnd w:id="5"/>
      <w:r>
        <w:rPr>
          <w:rFonts w:ascii="Times New Roman" w:hAnsi="Times New Roman"/>
          <w:b/>
          <w:bCs/>
        </w:rPr>
        <w:t xml:space="preserve">overnment.  </w:t>
      </w:r>
    </w:p>
    <w:p w:rsidRPr="001E697A"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F5C5C" w:rsidP="004F5C5C" w:rsidRDefault="004F5C5C" w14:paraId="2332DD56" w14:textId="6460AC52">
      <w:pPr>
        <w:rPr>
          <w:rFonts w:ascii="Times New Roman" w:hAnsi="Times New Roman"/>
        </w:rPr>
      </w:pPr>
    </w:p>
    <w:p w:rsidRPr="001E697A"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E697A" w:rsidR="00690F56" w:rsidP="00690F56" w:rsidRDefault="00690F56" w14:paraId="0BCEB47E" w14:textId="410548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1E697A">
        <w:rPr>
          <w:rFonts w:ascii="Times New Roman" w:hAnsi="Times New Roman"/>
          <w:b/>
          <w:bCs/>
        </w:rPr>
        <w:t>15.</w:t>
      </w:r>
      <w:r w:rsidRPr="001E697A">
        <w:rPr>
          <w:rFonts w:ascii="Times New Roman" w:hAnsi="Times New Roman"/>
          <w:b/>
          <w:bCs/>
        </w:rPr>
        <w:tab/>
        <w:t>Explain the reasons for any</w:t>
      </w:r>
      <w:r w:rsidRPr="001E697A" w:rsidR="00882AB5">
        <w:rPr>
          <w:rFonts w:ascii="Times New Roman" w:hAnsi="Times New Roman"/>
          <w:b/>
          <w:bCs/>
        </w:rPr>
        <w:t xml:space="preserve"> program changes or adjustments.</w:t>
      </w:r>
    </w:p>
    <w:p w:rsidR="0059576E" w:rsidP="0059576E" w:rsidRDefault="0059576E" w14:paraId="069B9ADA" w14:textId="6FD8CCB9">
      <w:pPr>
        <w:pStyle w:val="CommentText"/>
      </w:pPr>
    </w:p>
    <w:p w:rsidRPr="001E697A" w:rsidR="00690F56" w:rsidP="00690F56" w:rsidRDefault="008448FF" w14:paraId="13EF01B8" w14:textId="2EF02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decrease in </w:t>
      </w:r>
      <w:r w:rsidR="00472A7E">
        <w:rPr>
          <w:rFonts w:ascii="Times New Roman" w:hAnsi="Times New Roman"/>
        </w:rPr>
        <w:t>the overall burden</w:t>
      </w:r>
      <w:r>
        <w:rPr>
          <w:rFonts w:ascii="Times New Roman" w:hAnsi="Times New Roman"/>
        </w:rPr>
        <w:t xml:space="preserve"> is due to grantees increasing </w:t>
      </w:r>
      <w:r w:rsidR="00472A7E">
        <w:rPr>
          <w:rFonts w:ascii="Times New Roman" w:hAnsi="Times New Roman"/>
        </w:rPr>
        <w:t xml:space="preserve">their </w:t>
      </w:r>
      <w:r>
        <w:rPr>
          <w:rFonts w:ascii="Times New Roman" w:hAnsi="Times New Roman"/>
        </w:rPr>
        <w:t>focus on the Construction Plus component of the program.  G</w:t>
      </w:r>
      <w:r w:rsidR="0059576E">
        <w:rPr>
          <w:rFonts w:ascii="Times New Roman" w:hAnsi="Times New Roman"/>
        </w:rPr>
        <w:t>rantees are now averagin</w:t>
      </w:r>
      <w:r>
        <w:rPr>
          <w:rFonts w:ascii="Times New Roman" w:hAnsi="Times New Roman"/>
        </w:rPr>
        <w:t xml:space="preserve">g </w:t>
      </w:r>
      <w:r w:rsidR="00046822">
        <w:rPr>
          <w:rFonts w:ascii="Times New Roman" w:hAnsi="Times New Roman"/>
        </w:rPr>
        <w:t>three work site forms over the course of two years of active program services.</w:t>
      </w:r>
      <w:r w:rsidR="0059576E">
        <w:rPr>
          <w:rFonts w:ascii="Times New Roman" w:hAnsi="Times New Roman"/>
        </w:rPr>
        <w:t>.</w:t>
      </w:r>
      <w:r>
        <w:rPr>
          <w:rFonts w:ascii="Times New Roman" w:hAnsi="Times New Roman"/>
        </w:rPr>
        <w:t xml:space="preserve"> </w:t>
      </w:r>
      <w:r w:rsidR="0059576E">
        <w:rPr>
          <w:rFonts w:ascii="Times New Roman" w:hAnsi="Times New Roman"/>
        </w:rPr>
        <w:t xml:space="preserve"> </w:t>
      </w:r>
      <w:r>
        <w:rPr>
          <w:rFonts w:ascii="Times New Roman" w:hAnsi="Times New Roman"/>
        </w:rPr>
        <w:t>Thus, taking 10 minutes</w:t>
      </w:r>
      <w:r w:rsidR="00046822">
        <w:rPr>
          <w:rFonts w:ascii="Times New Roman" w:hAnsi="Times New Roman"/>
        </w:rPr>
        <w:t xml:space="preserve"> each</w:t>
      </w:r>
      <w:r>
        <w:rPr>
          <w:rFonts w:ascii="Times New Roman" w:hAnsi="Times New Roman"/>
        </w:rPr>
        <w:t xml:space="preserve"> to fill out, 30 minutes throughout the life of the grant. </w:t>
      </w:r>
      <w:r w:rsidR="0059576E">
        <w:rPr>
          <w:rFonts w:ascii="Times New Roman" w:hAnsi="Times New Roman"/>
        </w:rPr>
        <w:t xml:space="preserve"> </w:t>
      </w:r>
      <w:r w:rsidR="00F46B33">
        <w:rPr>
          <w:rFonts w:ascii="Times New Roman" w:hAnsi="Times New Roman"/>
        </w:rPr>
        <w:t xml:space="preserve">  </w:t>
      </w:r>
    </w:p>
    <w:p w:rsidRPr="005848EA"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3728E" w:rsidR="00690F56" w:rsidP="00690F56" w:rsidRDefault="00690F56" w14:paraId="4E4F3DC5" w14:textId="7A79B5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848EA">
        <w:rPr>
          <w:rFonts w:ascii="Times New Roman" w:hAnsi="Times New Roman"/>
          <w:b/>
          <w:bCs/>
        </w:rPr>
        <w:t>1</w:t>
      </w:r>
      <w:r w:rsidRPr="005848EA" w:rsidR="00882AB5">
        <w:rPr>
          <w:rFonts w:ascii="Times New Roman" w:hAnsi="Times New Roman"/>
          <w:b/>
          <w:bCs/>
        </w:rPr>
        <w:t xml:space="preserve">6. </w:t>
      </w:r>
      <w:r w:rsidRPr="005848EA">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w:t>
      </w:r>
      <w:r w:rsidRPr="0053728E">
        <w:rPr>
          <w:rFonts w:ascii="Times New Roman" w:hAnsi="Times New Roman"/>
          <w:b/>
          <w:bCs/>
        </w:rPr>
        <w:t>letion of report, publication dates, and other actions</w:t>
      </w:r>
      <w:r w:rsidRPr="0053728E">
        <w:rPr>
          <w:rFonts w:ascii="Times New Roman" w:hAnsi="Times New Roman"/>
        </w:rPr>
        <w:t>.</w:t>
      </w:r>
    </w:p>
    <w:p w:rsidRPr="0053728E" w:rsidR="00724FAF" w:rsidP="00690F56" w:rsidRDefault="00724FAF" w14:paraId="2A45C488" w14:textId="001318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3728E" w:rsidR="00724FAF" w:rsidP="00690F56" w:rsidRDefault="00724FAF" w14:paraId="77AF4BC7" w14:textId="127431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3728E">
        <w:rPr>
          <w:rFonts w:ascii="Times New Roman" w:hAnsi="Times New Roman"/>
        </w:rPr>
        <w:t>Grantees submit narrative progress and M</w:t>
      </w:r>
      <w:r w:rsidR="007A5771">
        <w:rPr>
          <w:rFonts w:ascii="Times New Roman" w:hAnsi="Times New Roman"/>
        </w:rPr>
        <w:t>I</w:t>
      </w:r>
      <w:r w:rsidRPr="0053728E">
        <w:rPr>
          <w:rFonts w:ascii="Times New Roman" w:hAnsi="Times New Roman"/>
        </w:rPr>
        <w:t>S performance reports on a quarterly basis to ETA within 45 days of the end of each quarter.</w:t>
      </w:r>
      <w:r w:rsidR="007A5771">
        <w:rPr>
          <w:rFonts w:ascii="Times New Roman" w:hAnsi="Times New Roman"/>
        </w:rPr>
        <w:t xml:space="preserve"> </w:t>
      </w:r>
      <w:r w:rsidRPr="0053728E">
        <w:rPr>
          <w:rFonts w:ascii="Times New Roman" w:hAnsi="Times New Roman"/>
        </w:rPr>
        <w:t xml:space="preserve"> </w:t>
      </w:r>
      <w:r w:rsidR="0076025E">
        <w:rPr>
          <w:rFonts w:ascii="Times New Roman" w:hAnsi="Times New Roman"/>
        </w:rPr>
        <w:t>ETA staff use q</w:t>
      </w:r>
      <w:r w:rsidRPr="0053728E">
        <w:rPr>
          <w:rFonts w:ascii="Times New Roman" w:hAnsi="Times New Roman"/>
        </w:rPr>
        <w:t xml:space="preserve">uarterly report data to evaluate performance outcomes and program effectiveness. </w:t>
      </w:r>
    </w:p>
    <w:p w:rsidRPr="00744362" w:rsidR="00724FAF" w:rsidP="00690F56" w:rsidRDefault="00724FAF" w14:paraId="711F69F7" w14:textId="0EB93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813AF" w:rsidR="00724FAF" w:rsidP="00690F56" w:rsidRDefault="00724FAF" w14:paraId="73BC4866" w14:textId="55EC3C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813AF">
        <w:rPr>
          <w:rFonts w:ascii="Times New Roman" w:hAnsi="Times New Roman"/>
        </w:rPr>
        <w:t xml:space="preserve">Each year, ETA issues an annual report summarizing program performance based on the Secretary’s goals. </w:t>
      </w:r>
      <w:r w:rsidR="007A5771">
        <w:rPr>
          <w:rFonts w:ascii="Times New Roman" w:hAnsi="Times New Roman"/>
        </w:rPr>
        <w:t xml:space="preserve"> </w:t>
      </w:r>
      <w:r w:rsidRPr="009813AF">
        <w:rPr>
          <w:rFonts w:ascii="Times New Roman" w:hAnsi="Times New Roman"/>
        </w:rPr>
        <w:t>Data contained in the YouthBuild QPR may be included in</w:t>
      </w:r>
      <w:r w:rsidR="007A5771">
        <w:rPr>
          <w:rFonts w:ascii="Times New Roman" w:hAnsi="Times New Roman"/>
        </w:rPr>
        <w:t xml:space="preserve"> </w:t>
      </w:r>
      <w:r w:rsidRPr="009813AF">
        <w:rPr>
          <w:rFonts w:ascii="Times New Roman" w:hAnsi="Times New Roman"/>
        </w:rPr>
        <w:t>these reports.</w:t>
      </w:r>
      <w:r w:rsidR="007A5771">
        <w:rPr>
          <w:rFonts w:ascii="Times New Roman" w:hAnsi="Times New Roman"/>
        </w:rPr>
        <w:t xml:space="preserve"> </w:t>
      </w:r>
      <w:r w:rsidRPr="009813AF">
        <w:rPr>
          <w:rFonts w:ascii="Times New Roman" w:hAnsi="Times New Roman"/>
        </w:rPr>
        <w:t xml:space="preserve"> The data will also be used to prepare GPRA reports, management and budget reports, and other ad hoc reports.</w:t>
      </w:r>
      <w:r w:rsidR="007A5771">
        <w:rPr>
          <w:rFonts w:ascii="Times New Roman" w:hAnsi="Times New Roman"/>
        </w:rPr>
        <w:t xml:space="preserve"> </w:t>
      </w:r>
      <w:r w:rsidRPr="009813AF">
        <w:rPr>
          <w:rFonts w:ascii="Times New Roman" w:hAnsi="Times New Roman"/>
        </w:rPr>
        <w:t xml:space="preserve"> All reports are available on the internet and accessible to the public. </w:t>
      </w:r>
    </w:p>
    <w:p w:rsidRPr="00D63F03" w:rsidR="00724FAF" w:rsidP="00690F56" w:rsidRDefault="00724FAF" w14:paraId="312FB0BD" w14:textId="60E8D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9180" w:type="dxa"/>
        <w:tblInd w:w="120" w:type="dxa"/>
        <w:tblLayout w:type="fixed"/>
        <w:tblCellMar>
          <w:left w:w="120" w:type="dxa"/>
          <w:right w:w="120" w:type="dxa"/>
        </w:tblCellMar>
        <w:tblLook w:val="0000" w:firstRow="0" w:lastRow="0" w:firstColumn="0" w:lastColumn="0" w:noHBand="0" w:noVBand="0"/>
      </w:tblPr>
      <w:tblGrid>
        <w:gridCol w:w="1710"/>
        <w:gridCol w:w="2970"/>
        <w:gridCol w:w="4500"/>
      </w:tblGrid>
      <w:tr w:rsidRPr="001E697A" w:rsidR="00724FAF" w:rsidTr="00D54252" w14:paraId="66FA500F" w14:textId="77777777">
        <w:tc>
          <w:tcPr>
            <w:tcW w:w="1710" w:type="dxa"/>
            <w:tcBorders>
              <w:top w:val="single" w:color="000000" w:sz="7" w:space="0"/>
              <w:left w:val="single" w:color="000000" w:sz="7" w:space="0"/>
              <w:bottom w:val="single" w:color="000000" w:sz="7" w:space="0"/>
              <w:right w:val="single" w:color="000000" w:sz="7" w:space="0"/>
            </w:tcBorders>
          </w:tcPr>
          <w:p w:rsidRPr="00D40B27" w:rsidR="00724FAF" w:rsidP="00D54252" w:rsidRDefault="00724FAF" w14:paraId="4773CA0E" w14:textId="77777777">
            <w:pPr>
              <w:rPr>
                <w:rFonts w:ascii="Times New Roman" w:hAnsi="Times New Roman"/>
              </w:rPr>
            </w:pPr>
          </w:p>
          <w:p w:rsidRPr="00D40B27" w:rsidR="00724FAF" w:rsidP="00D54252" w:rsidRDefault="00724FAF" w14:paraId="401B56B9" w14:textId="77777777">
            <w:pPr>
              <w:spacing w:after="58"/>
              <w:rPr>
                <w:rFonts w:ascii="Times New Roman" w:hAnsi="Times New Roman"/>
                <w:b/>
              </w:rPr>
            </w:pPr>
            <w:r w:rsidRPr="00D40B27">
              <w:rPr>
                <w:rFonts w:ascii="Times New Roman" w:hAnsi="Times New Roman"/>
                <w:b/>
              </w:rPr>
              <w:t>Product</w:t>
            </w:r>
          </w:p>
        </w:tc>
        <w:tc>
          <w:tcPr>
            <w:tcW w:w="2970" w:type="dxa"/>
            <w:tcBorders>
              <w:top w:val="single" w:color="000000" w:sz="7" w:space="0"/>
              <w:left w:val="single" w:color="000000" w:sz="7" w:space="0"/>
              <w:bottom w:val="single" w:color="000000" w:sz="7" w:space="0"/>
              <w:right w:val="single" w:color="000000" w:sz="7" w:space="0"/>
            </w:tcBorders>
          </w:tcPr>
          <w:p w:rsidRPr="00D40B27" w:rsidR="00724FAF" w:rsidP="00D54252" w:rsidRDefault="00724FAF" w14:paraId="73DAD6AA" w14:textId="77777777">
            <w:pPr>
              <w:spacing w:line="120" w:lineRule="exact"/>
              <w:rPr>
                <w:rFonts w:ascii="Times New Roman" w:hAnsi="Times New Roman"/>
                <w:b/>
              </w:rPr>
            </w:pPr>
          </w:p>
          <w:p w:rsidRPr="00D40B27" w:rsidR="00724FAF" w:rsidP="00D54252" w:rsidRDefault="00724FAF" w14:paraId="2D6A2155" w14:textId="77777777">
            <w:pPr>
              <w:spacing w:after="58" w:line="224" w:lineRule="auto"/>
              <w:jc w:val="center"/>
              <w:rPr>
                <w:rFonts w:ascii="Times New Roman" w:hAnsi="Times New Roman"/>
                <w:b/>
              </w:rPr>
            </w:pPr>
            <w:r w:rsidRPr="00D40B27">
              <w:rPr>
                <w:rFonts w:ascii="Times New Roman" w:hAnsi="Times New Roman"/>
                <w:b/>
              </w:rPr>
              <w:t>Submission Date</w:t>
            </w:r>
          </w:p>
        </w:tc>
        <w:tc>
          <w:tcPr>
            <w:tcW w:w="4500" w:type="dxa"/>
            <w:tcBorders>
              <w:top w:val="single" w:color="000000" w:sz="7" w:space="0"/>
              <w:left w:val="single" w:color="000000" w:sz="7" w:space="0"/>
              <w:bottom w:val="single" w:color="auto" w:sz="4" w:space="0"/>
              <w:right w:val="single" w:color="000000" w:sz="7" w:space="0"/>
            </w:tcBorders>
          </w:tcPr>
          <w:p w:rsidRPr="00D40B27" w:rsidR="00724FAF" w:rsidP="00D54252" w:rsidRDefault="00724FAF" w14:paraId="5B8D912B" w14:textId="77777777">
            <w:pPr>
              <w:spacing w:line="120" w:lineRule="exact"/>
              <w:rPr>
                <w:rFonts w:ascii="Times New Roman" w:hAnsi="Times New Roman"/>
                <w:b/>
              </w:rPr>
            </w:pPr>
          </w:p>
          <w:p w:rsidRPr="001E697A" w:rsidR="00724FAF" w:rsidP="00D54252" w:rsidRDefault="00724FAF" w14:paraId="61070FE9" w14:textId="77777777">
            <w:pPr>
              <w:pStyle w:val="MarkforAttachment"/>
              <w:widowControl w:val="0"/>
              <w:tabs>
                <w:tab w:val="clear" w:pos="432"/>
              </w:tabs>
              <w:autoSpaceDE w:val="0"/>
              <w:autoSpaceDN w:val="0"/>
              <w:adjustRightInd w:val="0"/>
              <w:spacing w:after="58" w:line="224" w:lineRule="auto"/>
              <w:rPr>
                <w:caps w:val="0"/>
                <w:szCs w:val="24"/>
              </w:rPr>
            </w:pPr>
            <w:r w:rsidRPr="001E697A">
              <w:rPr>
                <w:caps w:val="0"/>
                <w:szCs w:val="24"/>
              </w:rPr>
              <w:t>Comments</w:t>
            </w:r>
          </w:p>
        </w:tc>
      </w:tr>
      <w:tr w:rsidRPr="001E697A" w:rsidR="00724FAF" w:rsidTr="00D54252" w14:paraId="5D596604" w14:textId="77777777">
        <w:trPr>
          <w:trHeight w:val="1496"/>
        </w:trPr>
        <w:tc>
          <w:tcPr>
            <w:tcW w:w="1710" w:type="dxa"/>
            <w:tcBorders>
              <w:top w:val="single" w:color="000000" w:sz="7" w:space="0"/>
              <w:left w:val="single" w:color="000000" w:sz="7" w:space="0"/>
              <w:right w:val="single" w:color="000000" w:sz="7" w:space="0"/>
            </w:tcBorders>
          </w:tcPr>
          <w:p w:rsidRPr="00D40B27" w:rsidR="00724FAF" w:rsidP="00D54252" w:rsidRDefault="00724FAF" w14:paraId="2BDE374D" w14:textId="77777777">
            <w:pPr>
              <w:rPr>
                <w:rFonts w:ascii="Times New Roman" w:hAnsi="Times New Roman"/>
              </w:rPr>
            </w:pPr>
          </w:p>
          <w:p w:rsidRPr="00D40B27" w:rsidR="00724FAF" w:rsidP="00D54252" w:rsidRDefault="00724FAF" w14:paraId="06FC5560" w14:textId="77777777">
            <w:pPr>
              <w:spacing w:after="58"/>
              <w:rPr>
                <w:rFonts w:ascii="Times New Roman" w:hAnsi="Times New Roman"/>
                <w:b/>
              </w:rPr>
            </w:pPr>
            <w:r w:rsidRPr="00D40B27">
              <w:rPr>
                <w:rFonts w:ascii="Times New Roman" w:hAnsi="Times New Roman"/>
                <w:b/>
              </w:rPr>
              <w:t>Quarterly Performance Report</w:t>
            </w:r>
          </w:p>
        </w:tc>
        <w:tc>
          <w:tcPr>
            <w:tcW w:w="2970" w:type="dxa"/>
            <w:tcBorders>
              <w:top w:val="single" w:color="000000" w:sz="7" w:space="0"/>
              <w:left w:val="single" w:color="000000" w:sz="7" w:space="0"/>
              <w:right w:val="single" w:color="auto" w:sz="4" w:space="0"/>
            </w:tcBorders>
          </w:tcPr>
          <w:p w:rsidRPr="00D40B27" w:rsidR="00724FAF" w:rsidP="00D54252" w:rsidRDefault="00724FAF" w14:paraId="1963F388" w14:textId="77777777">
            <w:pPr>
              <w:spacing w:line="120" w:lineRule="exact"/>
              <w:rPr>
                <w:rFonts w:ascii="Times New Roman" w:hAnsi="Times New Roman"/>
                <w:b/>
              </w:rPr>
            </w:pPr>
          </w:p>
          <w:p w:rsidRPr="00D40B27" w:rsidR="00724FAF" w:rsidP="00D54252" w:rsidRDefault="00724FAF" w14:paraId="2A826FF7" w14:textId="77777777">
            <w:pPr>
              <w:spacing w:after="58" w:line="224" w:lineRule="auto"/>
              <w:rPr>
                <w:rFonts w:ascii="Times New Roman" w:hAnsi="Times New Roman"/>
              </w:rPr>
            </w:pPr>
            <w:r w:rsidRPr="00D40B27">
              <w:rPr>
                <w:rFonts w:ascii="Times New Roman" w:hAnsi="Times New Roman"/>
              </w:rPr>
              <w:t>Within 45 days after the end of the quarter.</w:t>
            </w:r>
          </w:p>
        </w:tc>
        <w:tc>
          <w:tcPr>
            <w:tcW w:w="4500" w:type="dxa"/>
            <w:tcBorders>
              <w:top w:val="single" w:color="auto" w:sz="4" w:space="0"/>
              <w:left w:val="single" w:color="auto" w:sz="4" w:space="0"/>
              <w:bottom w:val="single" w:color="auto" w:sz="4" w:space="0"/>
              <w:right w:val="single" w:color="auto" w:sz="4" w:space="0"/>
            </w:tcBorders>
          </w:tcPr>
          <w:p w:rsidRPr="00D40B27" w:rsidR="00724FAF" w:rsidP="007A5771" w:rsidRDefault="00724FAF" w14:paraId="690E1C1D" w14:textId="20D39E28">
            <w:pPr>
              <w:spacing w:after="58" w:line="224" w:lineRule="auto"/>
              <w:rPr>
                <w:rFonts w:ascii="Times New Roman" w:hAnsi="Times New Roman"/>
              </w:rPr>
            </w:pPr>
            <w:r w:rsidRPr="00D40B27">
              <w:rPr>
                <w:rFonts w:ascii="Times New Roman" w:hAnsi="Times New Roman"/>
              </w:rPr>
              <w:t>Quarterly progress reports and performance data will be submitted electronically using the YouthBuild MIS.</w:t>
            </w:r>
          </w:p>
        </w:tc>
      </w:tr>
      <w:tr w:rsidRPr="001E697A" w:rsidR="00724FAF" w:rsidTr="00D54252" w14:paraId="0EA37171" w14:textId="77777777">
        <w:trPr>
          <w:trHeight w:val="20"/>
        </w:trPr>
        <w:tc>
          <w:tcPr>
            <w:tcW w:w="1710" w:type="dxa"/>
            <w:tcBorders>
              <w:top w:val="single" w:color="000000" w:sz="7" w:space="0"/>
              <w:left w:val="single" w:color="000000" w:sz="7" w:space="0"/>
              <w:bottom w:val="single" w:color="000000" w:sz="7" w:space="0"/>
              <w:right w:val="single" w:color="000000" w:sz="7" w:space="0"/>
            </w:tcBorders>
            <w:vAlign w:val="center"/>
          </w:tcPr>
          <w:p w:rsidRPr="00952B25" w:rsidR="00724FAF" w:rsidP="00D54252" w:rsidRDefault="00724FAF" w14:paraId="49AB8D5B" w14:textId="77777777">
            <w:pPr>
              <w:rPr>
                <w:rFonts w:ascii="Times New Roman" w:hAnsi="Times New Roman"/>
                <w:b/>
              </w:rPr>
            </w:pPr>
            <w:r w:rsidRPr="00952B25">
              <w:rPr>
                <w:rFonts w:ascii="Times New Roman" w:hAnsi="Times New Roman"/>
                <w:b/>
              </w:rPr>
              <w:t>Work Site Description</w:t>
            </w:r>
          </w:p>
        </w:tc>
        <w:tc>
          <w:tcPr>
            <w:tcW w:w="2970" w:type="dxa"/>
            <w:tcBorders>
              <w:top w:val="single" w:color="000000" w:sz="7" w:space="0"/>
              <w:left w:val="single" w:color="000000" w:sz="7" w:space="0"/>
              <w:bottom w:val="single" w:color="000000" w:sz="7" w:space="0"/>
              <w:right w:val="single" w:color="auto" w:sz="4" w:space="0"/>
            </w:tcBorders>
          </w:tcPr>
          <w:p w:rsidRPr="00952B25" w:rsidR="00724FAF" w:rsidP="00D54252" w:rsidRDefault="00724FAF" w14:paraId="555AB718" w14:textId="77777777">
            <w:pPr>
              <w:rPr>
                <w:rFonts w:ascii="Times New Roman" w:hAnsi="Times New Roman"/>
              </w:rPr>
            </w:pPr>
            <w:r w:rsidRPr="00952B25">
              <w:rPr>
                <w:rFonts w:ascii="Times New Roman" w:hAnsi="Times New Roman"/>
              </w:rPr>
              <w:t xml:space="preserve">Prospective Applicants: Submit with grant application.  </w:t>
            </w:r>
          </w:p>
          <w:p w:rsidRPr="00952B25" w:rsidR="00724FAF" w:rsidP="00D54252" w:rsidRDefault="00724FAF" w14:paraId="142F0829" w14:textId="77777777">
            <w:pPr>
              <w:rPr>
                <w:rFonts w:ascii="Times New Roman" w:hAnsi="Times New Roman"/>
              </w:rPr>
            </w:pPr>
          </w:p>
          <w:p w:rsidRPr="00952B25" w:rsidR="00724FAF" w:rsidP="00D54252" w:rsidRDefault="00724FAF" w14:paraId="6B58CAB5" w14:textId="77777777">
            <w:pPr>
              <w:rPr>
                <w:rFonts w:ascii="Times New Roman" w:hAnsi="Times New Roman"/>
              </w:rPr>
            </w:pPr>
            <w:r w:rsidRPr="00952B25">
              <w:rPr>
                <w:rFonts w:ascii="Times New Roman" w:hAnsi="Times New Roman"/>
              </w:rPr>
              <w:t>Existing Grantees:</w:t>
            </w:r>
          </w:p>
          <w:p w:rsidRPr="00952B25" w:rsidR="00724FAF" w:rsidP="00D54252" w:rsidRDefault="00724FAF" w14:paraId="48657C56" w14:textId="55E8995A">
            <w:pPr>
              <w:rPr>
                <w:rFonts w:ascii="Times New Roman" w:hAnsi="Times New Roman"/>
              </w:rPr>
            </w:pPr>
            <w:r w:rsidRPr="00952B25">
              <w:rPr>
                <w:rFonts w:ascii="Times New Roman" w:hAnsi="Times New Roman"/>
              </w:rPr>
              <w:t>Submit an average of three additional Work Site Description forms during the life of the grant</w:t>
            </w:r>
            <w:r w:rsidR="007A5771">
              <w:rPr>
                <w:rFonts w:ascii="Times New Roman" w:hAnsi="Times New Roman"/>
              </w:rPr>
              <w:t>.</w:t>
            </w:r>
            <w:r w:rsidRPr="00952B25">
              <w:rPr>
                <w:rFonts w:ascii="Times New Roman" w:hAnsi="Times New Roman"/>
              </w:rPr>
              <w:t xml:space="preserve">  </w:t>
            </w:r>
          </w:p>
        </w:tc>
        <w:tc>
          <w:tcPr>
            <w:tcW w:w="4500" w:type="dxa"/>
            <w:tcBorders>
              <w:top w:val="single" w:color="auto" w:sz="4" w:space="0"/>
              <w:left w:val="single" w:color="auto" w:sz="4" w:space="0"/>
              <w:bottom w:val="single" w:color="auto" w:sz="4" w:space="0"/>
              <w:right w:val="single" w:color="auto" w:sz="4" w:space="0"/>
            </w:tcBorders>
            <w:vAlign w:val="center"/>
          </w:tcPr>
          <w:p w:rsidRPr="00952B25" w:rsidR="00724FAF" w:rsidP="007A5771" w:rsidRDefault="00724FAF" w14:paraId="785FCF5F" w14:textId="1BCE106B">
            <w:pPr>
              <w:spacing w:after="58" w:line="224" w:lineRule="auto"/>
              <w:rPr>
                <w:rFonts w:ascii="Times New Roman" w:hAnsi="Times New Roman"/>
              </w:rPr>
            </w:pPr>
            <w:r w:rsidRPr="00952B25">
              <w:rPr>
                <w:rFonts w:ascii="Times New Roman" w:hAnsi="Times New Roman"/>
              </w:rPr>
              <w:t xml:space="preserve">Work Site Descriptions </w:t>
            </w:r>
            <w:r w:rsidR="007A5771">
              <w:rPr>
                <w:rFonts w:ascii="Times New Roman" w:hAnsi="Times New Roman"/>
              </w:rPr>
              <w:t>will be</w:t>
            </w:r>
            <w:r w:rsidRPr="00952B25">
              <w:rPr>
                <w:rFonts w:ascii="Times New Roman" w:hAnsi="Times New Roman"/>
              </w:rPr>
              <w:t xml:space="preserve"> submitted electronically by both the prospective applicants and existing grantees.   </w:t>
            </w:r>
          </w:p>
        </w:tc>
      </w:tr>
      <w:tr w:rsidRPr="001E697A" w:rsidR="00724FAF" w:rsidTr="00D54252" w14:paraId="6F211DFD" w14:textId="77777777">
        <w:trPr>
          <w:trHeight w:val="20"/>
        </w:trPr>
        <w:tc>
          <w:tcPr>
            <w:tcW w:w="1710" w:type="dxa"/>
            <w:tcBorders>
              <w:top w:val="single" w:color="000000" w:sz="7" w:space="0"/>
              <w:left w:val="single" w:color="000000" w:sz="7" w:space="0"/>
              <w:bottom w:val="single" w:color="000000" w:sz="7" w:space="0"/>
              <w:right w:val="single" w:color="000000" w:sz="7" w:space="0"/>
            </w:tcBorders>
            <w:vAlign w:val="bottom"/>
          </w:tcPr>
          <w:p w:rsidRPr="00952B25" w:rsidR="00724FAF" w:rsidP="00D54252" w:rsidRDefault="00724FAF" w14:paraId="2F43AE54" w14:textId="77777777">
            <w:pPr>
              <w:rPr>
                <w:rFonts w:ascii="Times New Roman" w:hAnsi="Times New Roman"/>
                <w:b/>
              </w:rPr>
            </w:pPr>
            <w:r w:rsidRPr="00952B25">
              <w:rPr>
                <w:rFonts w:ascii="Times New Roman" w:hAnsi="Times New Roman"/>
                <w:b/>
              </w:rPr>
              <w:t>Annual Housing Census</w:t>
            </w:r>
          </w:p>
        </w:tc>
        <w:tc>
          <w:tcPr>
            <w:tcW w:w="2970" w:type="dxa"/>
            <w:tcBorders>
              <w:top w:val="single" w:color="000000" w:sz="7" w:space="0"/>
              <w:left w:val="single" w:color="000000" w:sz="7" w:space="0"/>
              <w:bottom w:val="single" w:color="000000" w:sz="7" w:space="0"/>
              <w:right w:val="single" w:color="000000" w:sz="7" w:space="0"/>
            </w:tcBorders>
          </w:tcPr>
          <w:p w:rsidRPr="00952B25" w:rsidR="00724FAF" w:rsidP="007A5771" w:rsidRDefault="00724FAF" w14:paraId="5283A1C9" w14:textId="55B38D4E">
            <w:pPr>
              <w:rPr>
                <w:rFonts w:ascii="Times New Roman" w:hAnsi="Times New Roman"/>
              </w:rPr>
            </w:pPr>
            <w:r w:rsidRPr="00952B25">
              <w:rPr>
                <w:rFonts w:ascii="Times New Roman" w:hAnsi="Times New Roman"/>
              </w:rPr>
              <w:t xml:space="preserve">Annually within 45 days of </w:t>
            </w:r>
            <w:r w:rsidR="007A5771">
              <w:rPr>
                <w:rFonts w:ascii="Times New Roman" w:hAnsi="Times New Roman"/>
              </w:rPr>
              <w:t>the end of the annual reporting period.</w:t>
            </w:r>
            <w:r w:rsidRPr="00952B25">
              <w:rPr>
                <w:rFonts w:ascii="Times New Roman" w:hAnsi="Times New Roman"/>
              </w:rPr>
              <w:t xml:space="preserve">  </w:t>
            </w:r>
          </w:p>
        </w:tc>
        <w:tc>
          <w:tcPr>
            <w:tcW w:w="4500" w:type="dxa"/>
            <w:tcBorders>
              <w:top w:val="single" w:color="auto" w:sz="4" w:space="0"/>
              <w:left w:val="single" w:color="000000" w:sz="7" w:space="0"/>
              <w:bottom w:val="single" w:color="000000" w:sz="7" w:space="0"/>
              <w:right w:val="single" w:color="000000" w:sz="7" w:space="0"/>
            </w:tcBorders>
          </w:tcPr>
          <w:p w:rsidRPr="00952B25" w:rsidR="00724FAF" w:rsidP="00D54252" w:rsidRDefault="00724FAF" w14:paraId="1EE26A9F" w14:textId="77777777">
            <w:pPr>
              <w:spacing w:after="58" w:line="224" w:lineRule="auto"/>
              <w:rPr>
                <w:rFonts w:ascii="Times New Roman" w:hAnsi="Times New Roman"/>
              </w:rPr>
            </w:pPr>
            <w:r w:rsidRPr="00952B25">
              <w:rPr>
                <w:rFonts w:ascii="Times New Roman" w:hAnsi="Times New Roman"/>
              </w:rPr>
              <w:t>Annual Census reports will be submitted electronically.</w:t>
            </w:r>
          </w:p>
        </w:tc>
      </w:tr>
    </w:tbl>
    <w:p w:rsidRPr="005848EA"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3728E" w:rsidR="00690F56" w:rsidP="00690F56" w:rsidRDefault="00690F56" w14:paraId="6F473DAE" w14:textId="35ED7A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48EA">
        <w:rPr>
          <w:rFonts w:ascii="Times New Roman" w:hAnsi="Times New Roman"/>
          <w:b/>
          <w:bCs/>
        </w:rPr>
        <w:t>17.  If seeking approval to not display the expiration date for OMB approval of the information collection, explain the reasons that display would be inappropriate.</w:t>
      </w:r>
    </w:p>
    <w:p w:rsidRPr="0053728E" w:rsidR="00724FAF" w:rsidP="00690F56" w:rsidRDefault="00724FAF" w14:paraId="7282DA45" w14:textId="2DB20B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E697A" w:rsidR="00724FAF" w:rsidP="00952B25" w:rsidRDefault="00724FAF" w14:paraId="227DDB7A" w14:textId="56508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52B25">
        <w:rPr>
          <w:rFonts w:ascii="Times New Roman" w:hAnsi="Times New Roman"/>
        </w:rPr>
        <w:t>ETA is not seeking approval to conceal the OMB Expiration Date</w:t>
      </w:r>
      <w:r w:rsidRPr="00952B25">
        <w:rPr>
          <w:rFonts w:ascii="Times New Roman" w:hAnsi="Times New Roman"/>
          <w:b/>
        </w:rPr>
        <w:t>.</w:t>
      </w:r>
    </w:p>
    <w:p w:rsidRPr="005848E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6037F" w:rsidR="000C3A92" w:rsidP="00690F56" w:rsidRDefault="000C3A92" w14:paraId="41EAB492" w14:textId="4FC220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5848EA">
        <w:rPr>
          <w:rFonts w:ascii="Times New Roman" w:hAnsi="Times New Roman"/>
          <w:b/>
        </w:rPr>
        <w:t>18.  Explain each exception to the certification statement.</w:t>
      </w:r>
    </w:p>
    <w:p w:rsidR="00690F56" w:rsidP="00690F56" w:rsidRDefault="00724FAF" w14:paraId="7282302F" w14:textId="141D72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50345">
        <w:rPr>
          <w:rFonts w:ascii="Times New Roman" w:hAnsi="Times New Roman"/>
        </w:rPr>
        <w:t xml:space="preserve">No exceptions are requested. </w:t>
      </w:r>
    </w:p>
    <w:p w:rsidRPr="005848EA" w:rsidR="00B74FEA" w:rsidP="00690F56" w:rsidRDefault="00B74FEA" w14:paraId="48CDCD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9192A" w:rsidR="00332F98" w:rsidP="00B9192A" w:rsidRDefault="007A7F79" w14:paraId="341B79B6" w14:textId="3FE0E552">
      <w:pPr>
        <w:widowControl/>
        <w:autoSpaceDE/>
        <w:autoSpaceDN/>
        <w:adjustRightInd/>
        <w:spacing w:after="200" w:line="276" w:lineRule="auto"/>
        <w:rPr>
          <w:rFonts w:ascii="Times New Roman" w:hAnsi="Times New Roman"/>
        </w:rPr>
      </w:pPr>
      <w:r w:rsidRPr="005848EA">
        <w:rPr>
          <w:rFonts w:ascii="Times New Roman" w:hAnsi="Times New Roman"/>
          <w:b/>
          <w:bCs/>
        </w:rPr>
        <w:t>B. COLLECTIONS OF INFORMATON EMPLOYING STATISTICAL METHODS.</w:t>
      </w:r>
    </w:p>
    <w:sectPr w:rsidRPr="00B9192A" w:rsidR="00332F98"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75FE0" w14:textId="77777777" w:rsidR="00BF035A" w:rsidRDefault="00BF035A">
      <w:r>
        <w:separator/>
      </w:r>
    </w:p>
  </w:endnote>
  <w:endnote w:type="continuationSeparator" w:id="0">
    <w:p w14:paraId="242BBEAC" w14:textId="77777777" w:rsidR="00BF035A" w:rsidRDefault="00BF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181146" w:rsidRDefault="00181146"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181146" w:rsidRDefault="00181146"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39F8D210" w:rsidR="00181146" w:rsidRPr="00B26E3E" w:rsidRDefault="00181146"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824A7">
      <w:rPr>
        <w:rStyle w:val="PageNumber"/>
        <w:rFonts w:ascii="Times New Roman" w:hAnsi="Times New Roman"/>
        <w:noProof/>
      </w:rPr>
      <w:t>13</w:t>
    </w:r>
    <w:r w:rsidRPr="00B26E3E">
      <w:rPr>
        <w:rStyle w:val="PageNumber"/>
        <w:rFonts w:ascii="Times New Roman" w:hAnsi="Times New Roman"/>
      </w:rPr>
      <w:fldChar w:fldCharType="end"/>
    </w:r>
  </w:p>
  <w:p w14:paraId="5808C3E4" w14:textId="77777777" w:rsidR="00181146" w:rsidRDefault="00181146"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59303" w14:textId="77777777" w:rsidR="00BF035A" w:rsidRDefault="00BF035A">
      <w:r>
        <w:separator/>
      </w:r>
    </w:p>
  </w:footnote>
  <w:footnote w:type="continuationSeparator" w:id="0">
    <w:p w14:paraId="47A03887" w14:textId="77777777" w:rsidR="00BF035A" w:rsidRDefault="00BF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56E5874D" w:rsidR="00181146" w:rsidRPr="006626FF" w:rsidRDefault="008F4480" w:rsidP="00F8164B">
    <w:pPr>
      <w:pStyle w:val="Header"/>
      <w:rPr>
        <w:rFonts w:ascii="Times New Roman" w:hAnsi="Times New Roman"/>
        <w:bCs/>
        <w:sz w:val="20"/>
        <w:szCs w:val="20"/>
      </w:rPr>
    </w:pPr>
    <w:r>
      <w:rPr>
        <w:rFonts w:ascii="Times New Roman" w:hAnsi="Times New Roman"/>
        <w:bCs/>
        <w:sz w:val="20"/>
        <w:szCs w:val="20"/>
      </w:rPr>
      <w:t>YOUTHBUILD REPORTING SYSTEM</w:t>
    </w:r>
  </w:p>
  <w:p w14:paraId="52F50703" w14:textId="6B79DFDE" w:rsidR="00181146" w:rsidRDefault="00181146">
    <w:pPr>
      <w:pStyle w:val="Header"/>
      <w:rPr>
        <w:rFonts w:ascii="Times New Roman" w:hAnsi="Times New Roman"/>
        <w:sz w:val="20"/>
        <w:szCs w:val="20"/>
      </w:rPr>
    </w:pPr>
    <w:r>
      <w:rPr>
        <w:rFonts w:ascii="Times New Roman" w:hAnsi="Times New Roman"/>
        <w:sz w:val="20"/>
        <w:szCs w:val="20"/>
      </w:rPr>
      <w:t xml:space="preserve">OMB Control Number </w:t>
    </w:r>
    <w:r w:rsidR="008F4480">
      <w:rPr>
        <w:rFonts w:ascii="Times New Roman" w:hAnsi="Times New Roman"/>
        <w:sz w:val="20"/>
        <w:szCs w:val="20"/>
      </w:rPr>
      <w:t>1205-0464</w:t>
    </w:r>
  </w:p>
  <w:p w14:paraId="1D1AD862" w14:textId="29BCD357" w:rsidR="00181146" w:rsidRPr="00F8164B" w:rsidRDefault="00181146">
    <w:pPr>
      <w:pStyle w:val="Header"/>
      <w:rPr>
        <w:rFonts w:ascii="Times New Roman" w:hAnsi="Times New Roman"/>
        <w:sz w:val="20"/>
        <w:szCs w:val="20"/>
      </w:rPr>
    </w:pPr>
    <w:r>
      <w:rPr>
        <w:rFonts w:ascii="Times New Roman" w:hAnsi="Times New Roman"/>
        <w:sz w:val="20"/>
        <w:szCs w:val="20"/>
      </w:rPr>
      <w:t xml:space="preserve">OMB Expiration Date: </w:t>
    </w:r>
    <w:r w:rsidR="00A96C89">
      <w:rPr>
        <w:rFonts w:ascii="Times New Roman" w:hAnsi="Times New Roman"/>
        <w:sz w:val="20"/>
        <w:szCs w:val="20"/>
      </w:rPr>
      <w:t>11/30/2021</w:t>
    </w:r>
  </w:p>
  <w:p w14:paraId="29EBD65C" w14:textId="77777777" w:rsidR="00181146" w:rsidRDefault="00181146">
    <w:pPr>
      <w:pStyle w:val="Header"/>
      <w:rPr>
        <w:rFonts w:ascii="Times New Roman" w:hAnsi="Times New Roman"/>
        <w:sz w:val="20"/>
        <w:szCs w:val="20"/>
      </w:rPr>
    </w:pPr>
  </w:p>
  <w:p w14:paraId="578B4815" w14:textId="77777777" w:rsidR="00181146" w:rsidRDefault="00181146">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181146" w:rsidRDefault="00181146">
    <w:pPr>
      <w:pStyle w:val="Header"/>
    </w:pPr>
    <w:r>
      <w:t>[Type text]</w:t>
    </w:r>
  </w:p>
  <w:p w14:paraId="29913AA8" w14:textId="77777777" w:rsidR="00181146" w:rsidRDefault="00181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0001B"/>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60A4B"/>
    <w:multiLevelType w:val="singleLevel"/>
    <w:tmpl w:val="3BA47DF4"/>
    <w:lvl w:ilvl="0">
      <w:numFmt w:val="bullet"/>
      <w:lvlText w:val="-"/>
      <w:lvlJc w:val="left"/>
      <w:pPr>
        <w:tabs>
          <w:tab w:val="num" w:pos="1080"/>
        </w:tabs>
        <w:ind w:left="1080" w:hanging="360"/>
      </w:pPr>
      <w:rPr>
        <w:rFonts w:hint="default"/>
      </w:rPr>
    </w:lvl>
  </w:abstractNum>
  <w:abstractNum w:abstractNumId="4"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D2604"/>
    <w:multiLevelType w:val="hybridMultilevel"/>
    <w:tmpl w:val="9A4A7E5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06BA6"/>
    <w:multiLevelType w:val="hybridMultilevel"/>
    <w:tmpl w:val="649AC4F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56EEC"/>
    <w:multiLevelType w:val="hybridMultilevel"/>
    <w:tmpl w:val="2C6A2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00E2C"/>
    <w:multiLevelType w:val="hybridMultilevel"/>
    <w:tmpl w:val="9AF4304C"/>
    <w:lvl w:ilvl="0" w:tplc="4DBA3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B6BA8"/>
    <w:multiLevelType w:val="hybridMultilevel"/>
    <w:tmpl w:val="30244EF0"/>
    <w:lvl w:ilvl="0" w:tplc="B89E40BC">
      <w:start w:val="1"/>
      <w:numFmt w:val="lowerLetter"/>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1EDC1D89"/>
    <w:multiLevelType w:val="hybridMultilevel"/>
    <w:tmpl w:val="87124862"/>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6DF2AFD"/>
    <w:multiLevelType w:val="hybridMultilevel"/>
    <w:tmpl w:val="C8EA2D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E127E0"/>
    <w:multiLevelType w:val="hybridMultilevel"/>
    <w:tmpl w:val="EE5A959E"/>
    <w:lvl w:ilvl="0" w:tplc="BF18A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97999"/>
    <w:multiLevelType w:val="hybridMultilevel"/>
    <w:tmpl w:val="5D8AD4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8"/>
  </w:num>
  <w:num w:numId="4">
    <w:abstractNumId w:val="19"/>
  </w:num>
  <w:num w:numId="5">
    <w:abstractNumId w:val="4"/>
  </w:num>
  <w:num w:numId="6">
    <w:abstractNumId w:val="9"/>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21"/>
  </w:num>
  <w:num w:numId="9">
    <w:abstractNumId w:val="2"/>
  </w:num>
  <w:num w:numId="10">
    <w:abstractNumId w:val="20"/>
  </w:num>
  <w:num w:numId="11">
    <w:abstractNumId w:val="15"/>
  </w:num>
  <w:num w:numId="12">
    <w:abstractNumId w:val="18"/>
  </w:num>
  <w:num w:numId="13">
    <w:abstractNumId w:val="14"/>
  </w:num>
  <w:num w:numId="14">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2"/>
  </w:num>
  <w:num w:numId="16">
    <w:abstractNumId w:val="7"/>
  </w:num>
  <w:num w:numId="17">
    <w:abstractNumId w:val="16"/>
  </w:num>
  <w:num w:numId="18">
    <w:abstractNumId w:val="6"/>
  </w:num>
  <w:num w:numId="19">
    <w:abstractNumId w:val="3"/>
  </w:num>
  <w:num w:numId="20">
    <w:abstractNumId w:val="10"/>
  </w:num>
  <w:num w:numId="21">
    <w:abstractNumId w:val="13"/>
  </w:num>
  <w:num w:numId="22">
    <w:abstractNumId w:val="11"/>
  </w:num>
  <w:num w:numId="23">
    <w:abstractNumId w:val="17"/>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C1F18AE-A8F2-49E4-845D-80D80626CD03}"/>
    <w:docVar w:name="dgnword-eventsink" w:val="2666569601664"/>
    <w:docVar w:name="dgnword-lastRevisionsView" w:val="0"/>
  </w:docVars>
  <w:rsids>
    <w:rsidRoot w:val="00690F56"/>
    <w:rsid w:val="00000BBF"/>
    <w:rsid w:val="000133FD"/>
    <w:rsid w:val="00014158"/>
    <w:rsid w:val="00020F69"/>
    <w:rsid w:val="00022303"/>
    <w:rsid w:val="0004107F"/>
    <w:rsid w:val="00042CBD"/>
    <w:rsid w:val="00046822"/>
    <w:rsid w:val="00052174"/>
    <w:rsid w:val="00061F6C"/>
    <w:rsid w:val="00064E28"/>
    <w:rsid w:val="0007383F"/>
    <w:rsid w:val="000751F9"/>
    <w:rsid w:val="000809E7"/>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171D4"/>
    <w:rsid w:val="00117244"/>
    <w:rsid w:val="00117E66"/>
    <w:rsid w:val="00133C47"/>
    <w:rsid w:val="0014556E"/>
    <w:rsid w:val="0015322B"/>
    <w:rsid w:val="0015365E"/>
    <w:rsid w:val="00155960"/>
    <w:rsid w:val="00157A90"/>
    <w:rsid w:val="00162984"/>
    <w:rsid w:val="00176864"/>
    <w:rsid w:val="00180E5A"/>
    <w:rsid w:val="00181146"/>
    <w:rsid w:val="001A47D9"/>
    <w:rsid w:val="001C2062"/>
    <w:rsid w:val="001D10ED"/>
    <w:rsid w:val="001D2D09"/>
    <w:rsid w:val="001D67BB"/>
    <w:rsid w:val="001E0E7F"/>
    <w:rsid w:val="001E2932"/>
    <w:rsid w:val="001E3596"/>
    <w:rsid w:val="001E49EB"/>
    <w:rsid w:val="001E5213"/>
    <w:rsid w:val="001E697A"/>
    <w:rsid w:val="001F2E8E"/>
    <w:rsid w:val="00202080"/>
    <w:rsid w:val="002036A1"/>
    <w:rsid w:val="002134B4"/>
    <w:rsid w:val="002203C9"/>
    <w:rsid w:val="002234DE"/>
    <w:rsid w:val="00237691"/>
    <w:rsid w:val="00242CA0"/>
    <w:rsid w:val="00243432"/>
    <w:rsid w:val="00243E6F"/>
    <w:rsid w:val="002440C5"/>
    <w:rsid w:val="00247146"/>
    <w:rsid w:val="00261944"/>
    <w:rsid w:val="0026466E"/>
    <w:rsid w:val="00273D58"/>
    <w:rsid w:val="00277C1F"/>
    <w:rsid w:val="002866AD"/>
    <w:rsid w:val="00286BE3"/>
    <w:rsid w:val="0029135D"/>
    <w:rsid w:val="00292951"/>
    <w:rsid w:val="00293CD1"/>
    <w:rsid w:val="002A3962"/>
    <w:rsid w:val="002A5972"/>
    <w:rsid w:val="002E238B"/>
    <w:rsid w:val="002E4200"/>
    <w:rsid w:val="00304132"/>
    <w:rsid w:val="00310529"/>
    <w:rsid w:val="00312124"/>
    <w:rsid w:val="00313820"/>
    <w:rsid w:val="00322DF7"/>
    <w:rsid w:val="0032649A"/>
    <w:rsid w:val="00332F98"/>
    <w:rsid w:val="003430A6"/>
    <w:rsid w:val="003448FC"/>
    <w:rsid w:val="00345266"/>
    <w:rsid w:val="00346C7F"/>
    <w:rsid w:val="003548D8"/>
    <w:rsid w:val="00363CC2"/>
    <w:rsid w:val="00371EEC"/>
    <w:rsid w:val="00381711"/>
    <w:rsid w:val="00383ECF"/>
    <w:rsid w:val="003876F3"/>
    <w:rsid w:val="00390426"/>
    <w:rsid w:val="0039116F"/>
    <w:rsid w:val="00394AEB"/>
    <w:rsid w:val="003A0F2A"/>
    <w:rsid w:val="003A6353"/>
    <w:rsid w:val="003C13C6"/>
    <w:rsid w:val="003C2F2F"/>
    <w:rsid w:val="003D5958"/>
    <w:rsid w:val="003D6AC7"/>
    <w:rsid w:val="003E49A6"/>
    <w:rsid w:val="003E5E34"/>
    <w:rsid w:val="003F53FB"/>
    <w:rsid w:val="00400B4D"/>
    <w:rsid w:val="00401F18"/>
    <w:rsid w:val="004056B7"/>
    <w:rsid w:val="00410AC8"/>
    <w:rsid w:val="00414664"/>
    <w:rsid w:val="00421B12"/>
    <w:rsid w:val="0044004C"/>
    <w:rsid w:val="00443460"/>
    <w:rsid w:val="00444AA7"/>
    <w:rsid w:val="0044773C"/>
    <w:rsid w:val="004672B5"/>
    <w:rsid w:val="00472A7E"/>
    <w:rsid w:val="004844D1"/>
    <w:rsid w:val="0048559D"/>
    <w:rsid w:val="00494A93"/>
    <w:rsid w:val="00494D75"/>
    <w:rsid w:val="004A1763"/>
    <w:rsid w:val="004B1E83"/>
    <w:rsid w:val="004C5022"/>
    <w:rsid w:val="004D1C78"/>
    <w:rsid w:val="004D441E"/>
    <w:rsid w:val="004D46D1"/>
    <w:rsid w:val="004E1D9E"/>
    <w:rsid w:val="004E6843"/>
    <w:rsid w:val="004F5C5C"/>
    <w:rsid w:val="0050134B"/>
    <w:rsid w:val="005164DC"/>
    <w:rsid w:val="00530EBD"/>
    <w:rsid w:val="0053728E"/>
    <w:rsid w:val="0054426F"/>
    <w:rsid w:val="005534C3"/>
    <w:rsid w:val="00567912"/>
    <w:rsid w:val="00570098"/>
    <w:rsid w:val="005729EB"/>
    <w:rsid w:val="00572D50"/>
    <w:rsid w:val="005805E7"/>
    <w:rsid w:val="00583F5D"/>
    <w:rsid w:val="0058424C"/>
    <w:rsid w:val="005848EA"/>
    <w:rsid w:val="00584F8D"/>
    <w:rsid w:val="0059576E"/>
    <w:rsid w:val="005A0350"/>
    <w:rsid w:val="005B5990"/>
    <w:rsid w:val="005B7A2C"/>
    <w:rsid w:val="005C6147"/>
    <w:rsid w:val="005D5F8C"/>
    <w:rsid w:val="005E5148"/>
    <w:rsid w:val="0060114B"/>
    <w:rsid w:val="0060365C"/>
    <w:rsid w:val="00611DE2"/>
    <w:rsid w:val="006227B3"/>
    <w:rsid w:val="006261A6"/>
    <w:rsid w:val="006328A9"/>
    <w:rsid w:val="00642220"/>
    <w:rsid w:val="0064317F"/>
    <w:rsid w:val="00652ED1"/>
    <w:rsid w:val="006626FF"/>
    <w:rsid w:val="006650A8"/>
    <w:rsid w:val="0066644A"/>
    <w:rsid w:val="006729E2"/>
    <w:rsid w:val="006732B1"/>
    <w:rsid w:val="0067772C"/>
    <w:rsid w:val="00685435"/>
    <w:rsid w:val="00690F56"/>
    <w:rsid w:val="006A4637"/>
    <w:rsid w:val="006B7CC1"/>
    <w:rsid w:val="006C07F2"/>
    <w:rsid w:val="006C39F8"/>
    <w:rsid w:val="006E1A08"/>
    <w:rsid w:val="006E23BE"/>
    <w:rsid w:val="006F66F9"/>
    <w:rsid w:val="006F6E13"/>
    <w:rsid w:val="0070049F"/>
    <w:rsid w:val="007010C5"/>
    <w:rsid w:val="007011F1"/>
    <w:rsid w:val="007127A1"/>
    <w:rsid w:val="00713ACE"/>
    <w:rsid w:val="00715F82"/>
    <w:rsid w:val="0071749C"/>
    <w:rsid w:val="00724FAF"/>
    <w:rsid w:val="00730183"/>
    <w:rsid w:val="007412B6"/>
    <w:rsid w:val="00744362"/>
    <w:rsid w:val="007554DF"/>
    <w:rsid w:val="0076025E"/>
    <w:rsid w:val="007636EC"/>
    <w:rsid w:val="0076705F"/>
    <w:rsid w:val="00767D37"/>
    <w:rsid w:val="00774503"/>
    <w:rsid w:val="00777CD2"/>
    <w:rsid w:val="0078038F"/>
    <w:rsid w:val="007842B5"/>
    <w:rsid w:val="00785FE9"/>
    <w:rsid w:val="00786E04"/>
    <w:rsid w:val="007A518B"/>
    <w:rsid w:val="007A5771"/>
    <w:rsid w:val="007A7F79"/>
    <w:rsid w:val="007D46C2"/>
    <w:rsid w:val="007F1319"/>
    <w:rsid w:val="007F5D12"/>
    <w:rsid w:val="008043E5"/>
    <w:rsid w:val="00804A1A"/>
    <w:rsid w:val="0081073D"/>
    <w:rsid w:val="008323ED"/>
    <w:rsid w:val="00834D8C"/>
    <w:rsid w:val="00835955"/>
    <w:rsid w:val="008448FF"/>
    <w:rsid w:val="00846701"/>
    <w:rsid w:val="008624D5"/>
    <w:rsid w:val="00871CA6"/>
    <w:rsid w:val="00882AB5"/>
    <w:rsid w:val="00882B1D"/>
    <w:rsid w:val="0088672C"/>
    <w:rsid w:val="008A1F0C"/>
    <w:rsid w:val="008A40D1"/>
    <w:rsid w:val="008B541B"/>
    <w:rsid w:val="008D0085"/>
    <w:rsid w:val="008D6B3A"/>
    <w:rsid w:val="008F4480"/>
    <w:rsid w:val="00901003"/>
    <w:rsid w:val="0090158E"/>
    <w:rsid w:val="00901D11"/>
    <w:rsid w:val="00901EF6"/>
    <w:rsid w:val="0090413E"/>
    <w:rsid w:val="00904B36"/>
    <w:rsid w:val="009271B1"/>
    <w:rsid w:val="009441E2"/>
    <w:rsid w:val="009468E3"/>
    <w:rsid w:val="009469A1"/>
    <w:rsid w:val="00952B25"/>
    <w:rsid w:val="00963680"/>
    <w:rsid w:val="00964D3F"/>
    <w:rsid w:val="009700D9"/>
    <w:rsid w:val="009813AF"/>
    <w:rsid w:val="00985C15"/>
    <w:rsid w:val="00985D15"/>
    <w:rsid w:val="009A6DCA"/>
    <w:rsid w:val="009B00FD"/>
    <w:rsid w:val="009B38D1"/>
    <w:rsid w:val="009B4116"/>
    <w:rsid w:val="009C2A10"/>
    <w:rsid w:val="009D1EA2"/>
    <w:rsid w:val="009E0141"/>
    <w:rsid w:val="009E234B"/>
    <w:rsid w:val="009F52F3"/>
    <w:rsid w:val="00A05250"/>
    <w:rsid w:val="00A10441"/>
    <w:rsid w:val="00A15094"/>
    <w:rsid w:val="00A21F98"/>
    <w:rsid w:val="00A252DC"/>
    <w:rsid w:val="00A375CD"/>
    <w:rsid w:val="00A40185"/>
    <w:rsid w:val="00A41C21"/>
    <w:rsid w:val="00A468C2"/>
    <w:rsid w:val="00A47DA7"/>
    <w:rsid w:val="00A52DE7"/>
    <w:rsid w:val="00A55023"/>
    <w:rsid w:val="00A56B86"/>
    <w:rsid w:val="00A575A2"/>
    <w:rsid w:val="00A632EF"/>
    <w:rsid w:val="00A677E9"/>
    <w:rsid w:val="00A740AB"/>
    <w:rsid w:val="00A834BF"/>
    <w:rsid w:val="00A90769"/>
    <w:rsid w:val="00A96C89"/>
    <w:rsid w:val="00A973AA"/>
    <w:rsid w:val="00AA177A"/>
    <w:rsid w:val="00AB4DC3"/>
    <w:rsid w:val="00AC775D"/>
    <w:rsid w:val="00AD022F"/>
    <w:rsid w:val="00AD6872"/>
    <w:rsid w:val="00AD75AC"/>
    <w:rsid w:val="00AF2C11"/>
    <w:rsid w:val="00AF3788"/>
    <w:rsid w:val="00AF5262"/>
    <w:rsid w:val="00AF6873"/>
    <w:rsid w:val="00AF7928"/>
    <w:rsid w:val="00B24DE5"/>
    <w:rsid w:val="00B35DAD"/>
    <w:rsid w:val="00B47443"/>
    <w:rsid w:val="00B5377A"/>
    <w:rsid w:val="00B6037F"/>
    <w:rsid w:val="00B6181C"/>
    <w:rsid w:val="00B66231"/>
    <w:rsid w:val="00B74FEA"/>
    <w:rsid w:val="00B86DB8"/>
    <w:rsid w:val="00B9192A"/>
    <w:rsid w:val="00BA53C9"/>
    <w:rsid w:val="00BA69F1"/>
    <w:rsid w:val="00BA6C9C"/>
    <w:rsid w:val="00BB3BEF"/>
    <w:rsid w:val="00BD1BE2"/>
    <w:rsid w:val="00BD34F2"/>
    <w:rsid w:val="00BF035A"/>
    <w:rsid w:val="00BF6126"/>
    <w:rsid w:val="00C019B5"/>
    <w:rsid w:val="00C02E4A"/>
    <w:rsid w:val="00C044AC"/>
    <w:rsid w:val="00C05B88"/>
    <w:rsid w:val="00C07F7F"/>
    <w:rsid w:val="00C1153A"/>
    <w:rsid w:val="00C12530"/>
    <w:rsid w:val="00C14429"/>
    <w:rsid w:val="00C247D8"/>
    <w:rsid w:val="00C25C8F"/>
    <w:rsid w:val="00C34009"/>
    <w:rsid w:val="00C4763A"/>
    <w:rsid w:val="00C50345"/>
    <w:rsid w:val="00C62CBD"/>
    <w:rsid w:val="00C63D1E"/>
    <w:rsid w:val="00C667F3"/>
    <w:rsid w:val="00C712D2"/>
    <w:rsid w:val="00C77B5C"/>
    <w:rsid w:val="00C824C6"/>
    <w:rsid w:val="00C8275F"/>
    <w:rsid w:val="00C87068"/>
    <w:rsid w:val="00C9162F"/>
    <w:rsid w:val="00CA2F0A"/>
    <w:rsid w:val="00CB2763"/>
    <w:rsid w:val="00CB3579"/>
    <w:rsid w:val="00CC0731"/>
    <w:rsid w:val="00CC770C"/>
    <w:rsid w:val="00CD215D"/>
    <w:rsid w:val="00CD6628"/>
    <w:rsid w:val="00D05EAB"/>
    <w:rsid w:val="00D2331B"/>
    <w:rsid w:val="00D36BB6"/>
    <w:rsid w:val="00D40B27"/>
    <w:rsid w:val="00D42978"/>
    <w:rsid w:val="00D53DEB"/>
    <w:rsid w:val="00D54252"/>
    <w:rsid w:val="00D55081"/>
    <w:rsid w:val="00D57DE8"/>
    <w:rsid w:val="00D63F03"/>
    <w:rsid w:val="00D6665A"/>
    <w:rsid w:val="00D73AAD"/>
    <w:rsid w:val="00D75842"/>
    <w:rsid w:val="00D86FF7"/>
    <w:rsid w:val="00DB7B7C"/>
    <w:rsid w:val="00DB7ECE"/>
    <w:rsid w:val="00DC688A"/>
    <w:rsid w:val="00DD6DF0"/>
    <w:rsid w:val="00E0031C"/>
    <w:rsid w:val="00E0138A"/>
    <w:rsid w:val="00E0473D"/>
    <w:rsid w:val="00E06430"/>
    <w:rsid w:val="00E20666"/>
    <w:rsid w:val="00E22463"/>
    <w:rsid w:val="00E23871"/>
    <w:rsid w:val="00E3202E"/>
    <w:rsid w:val="00E322E9"/>
    <w:rsid w:val="00E400EA"/>
    <w:rsid w:val="00E46EE5"/>
    <w:rsid w:val="00E57F5E"/>
    <w:rsid w:val="00E60FB0"/>
    <w:rsid w:val="00E614A1"/>
    <w:rsid w:val="00E6557D"/>
    <w:rsid w:val="00E700AD"/>
    <w:rsid w:val="00E74ABD"/>
    <w:rsid w:val="00E83023"/>
    <w:rsid w:val="00E833E4"/>
    <w:rsid w:val="00E92EED"/>
    <w:rsid w:val="00E93270"/>
    <w:rsid w:val="00E93A0F"/>
    <w:rsid w:val="00EA3E66"/>
    <w:rsid w:val="00EB3479"/>
    <w:rsid w:val="00EC0B43"/>
    <w:rsid w:val="00F11AA8"/>
    <w:rsid w:val="00F13AD1"/>
    <w:rsid w:val="00F21E34"/>
    <w:rsid w:val="00F24787"/>
    <w:rsid w:val="00F27223"/>
    <w:rsid w:val="00F3623C"/>
    <w:rsid w:val="00F41116"/>
    <w:rsid w:val="00F44D20"/>
    <w:rsid w:val="00F4518C"/>
    <w:rsid w:val="00F4529D"/>
    <w:rsid w:val="00F46B33"/>
    <w:rsid w:val="00F47C3F"/>
    <w:rsid w:val="00F53F09"/>
    <w:rsid w:val="00F56B20"/>
    <w:rsid w:val="00F6219B"/>
    <w:rsid w:val="00F64E0B"/>
    <w:rsid w:val="00F72D66"/>
    <w:rsid w:val="00F8164B"/>
    <w:rsid w:val="00F824A7"/>
    <w:rsid w:val="00F926E7"/>
    <w:rsid w:val="00F935EE"/>
    <w:rsid w:val="00FA1915"/>
    <w:rsid w:val="00FA35F1"/>
    <w:rsid w:val="00FA3D8C"/>
    <w:rsid w:val="00FB2A46"/>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semiHidden/>
    <w:unhideWhenUsed/>
    <w:qFormat/>
    <w:rsid w:val="00724FA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List-1stLevel">
    <w:name w:val="List - 1st Level"/>
    <w:basedOn w:val="Normal"/>
    <w:rsid w:val="00E3202E"/>
    <w:pPr>
      <w:widowControl/>
      <w:numPr>
        <w:numId w:val="18"/>
      </w:numPr>
      <w:autoSpaceDE/>
      <w:autoSpaceDN/>
      <w:adjustRightInd/>
      <w:spacing w:before="60" w:after="60" w:line="260" w:lineRule="atLeast"/>
    </w:pPr>
    <w:rPr>
      <w:rFonts w:ascii="Times" w:hAnsi="Times"/>
      <w:szCs w:val="20"/>
    </w:rPr>
  </w:style>
  <w:style w:type="paragraph" w:styleId="BodyText2">
    <w:name w:val="Body Text 2"/>
    <w:basedOn w:val="Normal"/>
    <w:link w:val="BodyText2Char"/>
    <w:rsid w:val="006732B1"/>
    <w:pPr>
      <w:widowControl/>
      <w:autoSpaceDE/>
      <w:autoSpaceDN/>
      <w:adjustRightInd/>
    </w:pPr>
    <w:rPr>
      <w:rFonts w:ascii="Times New Roman" w:hAnsi="Times New Roman"/>
      <w:color w:val="0000FF"/>
    </w:rPr>
  </w:style>
  <w:style w:type="character" w:customStyle="1" w:styleId="BodyText2Char">
    <w:name w:val="Body Text 2 Char"/>
    <w:basedOn w:val="DefaultParagraphFont"/>
    <w:link w:val="BodyText2"/>
    <w:rsid w:val="006732B1"/>
    <w:rPr>
      <w:color w:val="0000FF"/>
      <w:sz w:val="24"/>
      <w:szCs w:val="24"/>
    </w:rPr>
  </w:style>
  <w:style w:type="paragraph" w:customStyle="1" w:styleId="NormalSS">
    <w:name w:val="NormalSS"/>
    <w:basedOn w:val="Normal"/>
    <w:rsid w:val="006732B1"/>
    <w:pPr>
      <w:widowControl/>
      <w:tabs>
        <w:tab w:val="left" w:pos="432"/>
      </w:tabs>
      <w:autoSpaceDE/>
      <w:autoSpaceDN/>
      <w:adjustRightInd/>
      <w:ind w:firstLine="432"/>
      <w:jc w:val="both"/>
    </w:pPr>
    <w:rPr>
      <w:rFonts w:ascii="Times New Roman" w:hAnsi="Times New Roman"/>
      <w:szCs w:val="20"/>
    </w:rPr>
  </w:style>
  <w:style w:type="character" w:customStyle="1" w:styleId="Heading6Char">
    <w:name w:val="Heading 6 Char"/>
    <w:basedOn w:val="DefaultParagraphFont"/>
    <w:link w:val="Heading6"/>
    <w:semiHidden/>
    <w:rsid w:val="00724FAF"/>
    <w:rPr>
      <w:rFonts w:asciiTheme="majorHAnsi" w:eastAsiaTheme="majorEastAsia" w:hAnsiTheme="majorHAnsi" w:cstheme="majorBidi"/>
      <w:color w:val="1F4D78" w:themeColor="accent1" w:themeShade="7F"/>
      <w:sz w:val="24"/>
      <w:szCs w:val="24"/>
    </w:rPr>
  </w:style>
  <w:style w:type="paragraph" w:customStyle="1" w:styleId="MarkforAttachment">
    <w:name w:val="Mark for Attachment"/>
    <w:basedOn w:val="Normal"/>
    <w:next w:val="Normal"/>
    <w:rsid w:val="00724FAF"/>
    <w:pPr>
      <w:widowControl/>
      <w:tabs>
        <w:tab w:val="left" w:pos="432"/>
      </w:tabs>
      <w:autoSpaceDE/>
      <w:autoSpaceDN/>
      <w:adjustRightInd/>
      <w:jc w:val="center"/>
    </w:pPr>
    <w:rPr>
      <w:rFonts w:ascii="Times New Roman" w:hAnsi="Times New Roman"/>
      <w:b/>
      <w:caps/>
      <w:szCs w:val="20"/>
    </w:rPr>
  </w:style>
  <w:style w:type="table" w:styleId="TableGrid">
    <w:name w:val="Table Grid"/>
    <w:basedOn w:val="TableNormal"/>
    <w:uiPriority w:val="39"/>
    <w:rsid w:val="00537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813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13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63F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29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0DD36-63CB-4ED2-AB85-23B26DCC8AE0}">
  <ds:schemaRefs>
    <ds:schemaRef ds:uri="http://schemas.microsoft.com/office/infopath/2007/PartnerControls"/>
    <ds:schemaRef ds:uri="http://schemas.openxmlformats.org/package/2006/metadata/core-properties"/>
    <ds:schemaRef ds:uri="2b487234-2a61-45b0-86e3-998bf12a0e9d"/>
    <ds:schemaRef ds:uri="http://purl.org/dc/dcmitype/"/>
    <ds:schemaRef ds:uri="http://schemas.microsoft.com/office/2006/documentManagement/types"/>
    <ds:schemaRef ds:uri="http://purl.org/dc/elements/1.1/"/>
    <ds:schemaRef ds:uri="2a1ba486-ff2f-4459-80ac-1ab5aa17f82f"/>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58191DC-42E5-44BE-AEDC-D3FD46E4F7E4}">
  <ds:schemaRefs>
    <ds:schemaRef ds:uri="http://schemas.microsoft.com/sharepoint/v3/contenttype/forms"/>
  </ds:schemaRefs>
</ds:datastoreItem>
</file>

<file path=customXml/itemProps3.xml><?xml version="1.0" encoding="utf-8"?>
<ds:datastoreItem xmlns:ds="http://schemas.openxmlformats.org/officeDocument/2006/customXml" ds:itemID="{D8A280F1-4879-43EB-85F4-683B78A9B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372FD-7276-4EEC-A3B4-B7164B21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4692</Words>
  <Characters>26748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31378</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St.Onge, Emily - ETA</cp:lastModifiedBy>
  <cp:revision>2</cp:revision>
  <cp:lastPrinted>2020-02-19T15:46:00Z</cp:lastPrinted>
  <dcterms:created xsi:type="dcterms:W3CDTF">2021-08-20T11:48:00Z</dcterms:created>
  <dcterms:modified xsi:type="dcterms:W3CDTF">2021-08-20T11:48:00Z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