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0DAF" w:rsidR="00735BE9" w:rsidP="00EA5197" w:rsidRDefault="00735BE9" w14:paraId="442A8AAE" w14:textId="77777777">
      <w:pPr>
        <w:pStyle w:val="Header"/>
        <w:widowControl/>
        <w:tabs>
          <w:tab w:val="clear" w:pos="4320"/>
          <w:tab w:val="clear" w:pos="8640"/>
        </w:tabs>
      </w:pPr>
      <w:bookmarkStart w:name="QuickMark" w:id="0"/>
      <w:bookmarkEnd w:id="0"/>
      <w:r w:rsidRPr="000E0DAF">
        <w:t xml:space="preserve">SUPPORTING STATEMENT FOR PAPERWORK REDUCTION ACT </w:t>
      </w:r>
      <w:r w:rsidR="0027023C">
        <w:t xml:space="preserve">OF </w:t>
      </w:r>
      <w:r w:rsidRPr="000E0DAF">
        <w:t>1995 SUBMISSIONS</w:t>
      </w:r>
    </w:p>
    <w:p w:rsidRPr="0027023C" w:rsidR="0027023C" w:rsidP="0027023C" w:rsidRDefault="0027023C" w14:paraId="2F1712F3" w14:textId="77777777">
      <w:pPr>
        <w:widowControl/>
        <w:rPr>
          <w:bCs/>
        </w:rPr>
      </w:pPr>
    </w:p>
    <w:p w:rsidR="000C57E5" w:rsidP="0027023C" w:rsidRDefault="0027023C" w14:paraId="233EB0AC" w14:textId="237F21F6">
      <w:pPr>
        <w:widowControl/>
        <w:rPr>
          <w:bCs/>
        </w:rPr>
      </w:pPr>
      <w:r w:rsidRPr="0027023C">
        <w:rPr>
          <w:bCs/>
        </w:rPr>
        <w:t xml:space="preserve">The Department of Labor, Employee Benefits Security Administration </w:t>
      </w:r>
      <w:r w:rsidR="00624494">
        <w:rPr>
          <w:bCs/>
        </w:rPr>
        <w:t>requests</w:t>
      </w:r>
      <w:r w:rsidR="003F7E5D">
        <w:rPr>
          <w:bCs/>
        </w:rPr>
        <w:t xml:space="preserve"> a revision </w:t>
      </w:r>
      <w:r w:rsidR="00624494">
        <w:rPr>
          <w:bCs/>
        </w:rPr>
        <w:t xml:space="preserve">to the information collection </w:t>
      </w:r>
      <w:r w:rsidRPr="0027023C">
        <w:rPr>
          <w:bCs/>
        </w:rPr>
        <w:t>currently approved under OMB Control Number 1210-0</w:t>
      </w:r>
      <w:r>
        <w:rPr>
          <w:bCs/>
        </w:rPr>
        <w:t>040</w:t>
      </w:r>
      <w:r w:rsidRPr="0027023C">
        <w:rPr>
          <w:bCs/>
        </w:rPr>
        <w:t>.</w:t>
      </w:r>
    </w:p>
    <w:p w:rsidRPr="000E0DAF" w:rsidR="0027023C" w:rsidP="0027023C" w:rsidRDefault="0027023C" w14:paraId="370C7965" w14:textId="77777777">
      <w:pPr>
        <w:widowControl/>
        <w:rPr>
          <w:bCs/>
        </w:rPr>
      </w:pPr>
    </w:p>
    <w:p w:rsidRPr="000E0DAF" w:rsidR="00735BE9" w:rsidP="000E0DAF" w:rsidRDefault="00735BE9" w14:paraId="7499F965" w14:textId="77777777">
      <w:pPr>
        <w:pStyle w:val="ListParagraph"/>
        <w:widowControl/>
        <w:numPr>
          <w:ilvl w:val="0"/>
          <w:numId w:val="4"/>
        </w:numPr>
        <w:ind w:hanging="720"/>
        <w:rPr>
          <w:b/>
          <w:bCs/>
        </w:rPr>
      </w:pPr>
      <w:r w:rsidRPr="000E0DAF">
        <w:rPr>
          <w:b/>
          <w:bCs/>
        </w:rPr>
        <w:t>Justification</w:t>
      </w:r>
    </w:p>
    <w:p w:rsidRPr="000E0DAF" w:rsidR="00735BE9" w:rsidP="000E0DAF" w:rsidRDefault="00735BE9" w14:paraId="52019280" w14:textId="77777777">
      <w:pPr>
        <w:pStyle w:val="Header"/>
        <w:widowControl/>
        <w:tabs>
          <w:tab w:val="clear" w:pos="4320"/>
          <w:tab w:val="clear" w:pos="8640"/>
        </w:tabs>
      </w:pPr>
    </w:p>
    <w:p w:rsidRPr="000E0DAF" w:rsidR="00735BE9" w:rsidP="003E1C9B" w:rsidRDefault="00735BE9" w14:paraId="215E0740" w14:textId="77777777">
      <w:pPr>
        <w:pStyle w:val="Quick1"/>
        <w:widowControl/>
        <w:tabs>
          <w:tab w:val="clear" w:pos="360"/>
        </w:tabs>
        <w:ind w:left="720" w:hanging="720"/>
        <w:rPr>
          <w:i w:val="0"/>
          <w:sz w:val="24"/>
        </w:rPr>
      </w:pPr>
      <w:r w:rsidRPr="000E0DAF">
        <w:rPr>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E0DAF" w:rsidR="00735BE9" w:rsidP="003E1C9B" w:rsidRDefault="00735BE9" w14:paraId="2F48F86B" w14:textId="77777777">
      <w:pPr>
        <w:widowControl/>
        <w:ind w:left="720"/>
      </w:pPr>
    </w:p>
    <w:p w:rsidRPr="000E0DAF" w:rsidR="00735BE9" w:rsidP="003E1C9B" w:rsidRDefault="00735BE9" w14:paraId="1D6EF65E" w14:textId="3AD309F9">
      <w:pPr>
        <w:widowControl/>
        <w:ind w:left="720"/>
      </w:pPr>
      <w:r w:rsidRPr="000E0DAF">
        <w:t xml:space="preserve">Section 104(b)(3) of the Employee Retirement Income Security Act of 1974 (ERISA) generally requires employee benefit plan administrators </w:t>
      </w:r>
      <w:r w:rsidR="00DC4286">
        <w:t xml:space="preserve">that </w:t>
      </w:r>
      <w:r w:rsidR="00ED1999">
        <w:t xml:space="preserve">are required to </w:t>
      </w:r>
      <w:r w:rsidR="00DC4286">
        <w:t xml:space="preserve">file a Form 5500 annual return/report to </w:t>
      </w:r>
      <w:r w:rsidRPr="000E0DAF">
        <w:t xml:space="preserve">annually furnish a Summary Annual Report (SAR) to each plan participant and to certain beneficiaries.  </w:t>
      </w:r>
      <w:r w:rsidR="00DC4286">
        <w:t xml:space="preserve"> </w:t>
      </w:r>
      <w:r w:rsidRPr="000E0DAF" w:rsidR="005D5547">
        <w:t>Section 503(c)(1) of the Pension Protection Act of 2006 (Pub</w:t>
      </w:r>
      <w:r w:rsidRPr="000E0DAF" w:rsidR="00701313">
        <w:t xml:space="preserve">.  </w:t>
      </w:r>
      <w:r w:rsidRPr="000E0DAF" w:rsidR="005D5547">
        <w:t>L. No. 109-280) amended ERISA section 104(b)(3) to exempt defined benefit pension plans that are required to provide annual funding notices to participants and beneficiaries under ERISA section 101(f) from the SAR requirement.</w:t>
      </w:r>
    </w:p>
    <w:p w:rsidRPr="000E0DAF" w:rsidR="00735BE9" w:rsidP="003E1C9B" w:rsidRDefault="00735BE9" w14:paraId="44EE314A" w14:textId="77777777">
      <w:pPr>
        <w:widowControl/>
        <w:ind w:left="720"/>
      </w:pPr>
    </w:p>
    <w:p w:rsidRPr="000E0DAF" w:rsidR="00735BE9" w:rsidP="003E1C9B" w:rsidRDefault="00735BE9" w14:paraId="00E5C61E" w14:textId="4D32597E">
      <w:pPr>
        <w:widowControl/>
        <w:ind w:left="720"/>
      </w:pPr>
      <w:r w:rsidRPr="000E0DAF">
        <w:t>The Department</w:t>
      </w:r>
      <w:r w:rsidRPr="000E0DAF" w:rsidR="00EE3556">
        <w:t>’</w:t>
      </w:r>
      <w:r w:rsidRPr="000E0DAF" w:rsidR="0029718B">
        <w:t>s</w:t>
      </w:r>
      <w:r w:rsidRPr="000E0DAF">
        <w:t xml:space="preserve"> regulation under section ERISA section 104(b)(3), codified at 29 C</w:t>
      </w:r>
      <w:r w:rsidRPr="000E0DAF" w:rsidR="004B7B58">
        <w:t>.</w:t>
      </w:r>
      <w:r w:rsidRPr="000E0DAF">
        <w:t>F</w:t>
      </w:r>
      <w:r w:rsidRPr="000E0DAF" w:rsidR="004B7B58">
        <w:t>.</w:t>
      </w:r>
      <w:r w:rsidRPr="000E0DAF">
        <w:t>R</w:t>
      </w:r>
      <w:r w:rsidRPr="000E0DAF" w:rsidR="004B7B58">
        <w:t>.</w:t>
      </w:r>
      <w:r w:rsidRPr="000E0DAF">
        <w:t xml:space="preserve"> §</w:t>
      </w:r>
      <w:r w:rsidRPr="000E0DAF" w:rsidR="00C73F66">
        <w:t> </w:t>
      </w:r>
      <w:r w:rsidRPr="000E0DAF">
        <w:t>2520.104b-10, prescribes the timing and format of the SAR.  Plan administrators must furnish a copy of the SAR to each participant and to each beneficiary who is receiving benefits under the plan (other than welfare plan beneficiaries) within 9 months after the close of the plan year</w:t>
      </w:r>
      <w:r w:rsidR="00DC4286">
        <w:t xml:space="preserve"> or</w:t>
      </w:r>
      <w:r w:rsidR="00ED1999">
        <w:t>,</w:t>
      </w:r>
      <w:r w:rsidR="00DC4286">
        <w:t xml:space="preserve"> if the plan files its annual report under an extension of time,within 2 months after the close of the extension period</w:t>
      </w:r>
      <w:r w:rsidRPr="000E0DAF">
        <w:t xml:space="preserve">.  </w:t>
      </w:r>
    </w:p>
    <w:p w:rsidRPr="000E0DAF" w:rsidR="00735BE9" w:rsidP="003E1C9B" w:rsidRDefault="00735BE9" w14:paraId="09EE2566" w14:textId="77777777">
      <w:pPr>
        <w:widowControl/>
        <w:ind w:left="720"/>
      </w:pPr>
    </w:p>
    <w:p w:rsidRPr="000E0DAF" w:rsidR="00735BE9" w:rsidP="003E1C9B" w:rsidRDefault="00735BE9" w14:paraId="101D6BE3" w14:textId="3E9A3204">
      <w:pPr>
        <w:widowControl/>
        <w:ind w:left="720"/>
      </w:pPr>
      <w:r w:rsidRPr="000E0DAF">
        <w:t xml:space="preserve">To ease the administrative burdens of preparing the SAR, the regulation provides </w:t>
      </w:r>
      <w:r w:rsidR="00DC4286">
        <w:t xml:space="preserve"> </w:t>
      </w:r>
      <w:r w:rsidRPr="000E0DAF">
        <w:t>forms</w:t>
      </w:r>
      <w:r w:rsidR="00DC4286">
        <w:t xml:space="preserve"> for the SAR</w:t>
      </w:r>
      <w:r w:rsidRPr="000E0DAF">
        <w:t>, one for pension plans and one for welfare plans. The forms were designed to allow information from specific line items on the plan</w:t>
      </w:r>
      <w:r w:rsidRPr="000E0DAF" w:rsidR="00EE3556">
        <w:t>’</w:t>
      </w:r>
      <w:r w:rsidRPr="000E0DAF">
        <w:t>s annual report (Form 5500) to be transferred directly to the SAR.  A guide that correlates the SAR items to the annual report line items is included in an appendix to the regulation.  Also, the regulation and the forms require plans to state that specified additional information, such as the full annual report and a statement of the plan</w:t>
      </w:r>
      <w:r w:rsidRPr="000E0DAF" w:rsidR="00EE3556">
        <w:t>’</w:t>
      </w:r>
      <w:r w:rsidRPr="000E0DAF">
        <w:t>s assets and liabilities, will be provided to participants and beneficiaries upon request.</w:t>
      </w:r>
    </w:p>
    <w:p w:rsidRPr="000E0DAF" w:rsidR="00735BE9" w:rsidP="003E1C9B" w:rsidRDefault="00735BE9" w14:paraId="53C09A6D" w14:textId="77777777">
      <w:pPr>
        <w:widowControl/>
        <w:ind w:left="720"/>
      </w:pPr>
    </w:p>
    <w:p w:rsidR="00735BE9" w:rsidP="003E1C9B" w:rsidRDefault="00735BE9" w14:paraId="1EF11736" w14:textId="7DD0A19E">
      <w:pPr>
        <w:widowControl/>
        <w:ind w:left="720"/>
      </w:pPr>
      <w:r w:rsidRPr="000E0DAF">
        <w:t>A separate regulation</w:t>
      </w:r>
      <w:r w:rsidRPr="000E0DAF" w:rsidR="0029718B">
        <w:t>,</w:t>
      </w:r>
      <w:r w:rsidRPr="000E0DAF">
        <w:t xml:space="preserve"> codified at 29 </w:t>
      </w:r>
      <w:r w:rsidRPr="000E0DAF" w:rsidR="0084089D">
        <w:t xml:space="preserve">C.F.R. </w:t>
      </w:r>
      <w:r w:rsidRPr="000E0DAF" w:rsidR="00DF43AB">
        <w:t>§</w:t>
      </w:r>
      <w:r w:rsidRPr="000E0DAF" w:rsidR="00EA5197">
        <w:t> </w:t>
      </w:r>
      <w:r w:rsidRPr="000E0DAF">
        <w:t>2520.104b-1(b)</w:t>
      </w:r>
      <w:r w:rsidRPr="000E0DAF" w:rsidR="0029718B">
        <w:t>,</w:t>
      </w:r>
      <w:r w:rsidRPr="000E0DAF">
        <w:t xml:space="preserve"> specifies the standards for distribution of the SAR.  Examples of permissible delivery methods provided in the regulation include in-hand delivery, mail, or inclusion of the SAR as a special insert in a </w:t>
      </w:r>
      <w:r w:rsidRPr="000E0DAF">
        <w:lastRenderedPageBreak/>
        <w:t xml:space="preserve">periodical distributed to all employees, such as a union newspaper or company publication.  As further discussed in the answer to question 3, below, the regulation at 29 </w:t>
      </w:r>
      <w:r w:rsidRPr="000E0DAF" w:rsidR="0084089D">
        <w:t xml:space="preserve">C.F.R. </w:t>
      </w:r>
      <w:r w:rsidRPr="000E0DAF" w:rsidR="00DF43AB">
        <w:t>§</w:t>
      </w:r>
      <w:r w:rsidRPr="000E0DAF" w:rsidR="00440A8C">
        <w:t>§</w:t>
      </w:r>
      <w:r w:rsidRPr="000E0DAF">
        <w:t xml:space="preserve"> 2520.104b-1(c) </w:t>
      </w:r>
      <w:r w:rsidR="00DC4286">
        <w:t xml:space="preserve">and 2520.104b-31 </w:t>
      </w:r>
      <w:r w:rsidR="00440A8C">
        <w:t xml:space="preserve">(in the case of pension plans) </w:t>
      </w:r>
      <w:r w:rsidRPr="000E0DAF">
        <w:t>allow plan administrators to distribute SARs electronically if certain requirements are met.</w:t>
      </w:r>
    </w:p>
    <w:p w:rsidR="00630BB3" w:rsidP="003E1C9B" w:rsidRDefault="00630BB3" w14:paraId="2214390D" w14:textId="77777777">
      <w:pPr>
        <w:widowControl/>
        <w:ind w:left="720"/>
      </w:pPr>
    </w:p>
    <w:p w:rsidRPr="004B7EE6" w:rsidR="00630BB3" w:rsidP="003E1C9B" w:rsidRDefault="00630BB3" w14:paraId="7CDD77AB" w14:textId="77777777">
      <w:pPr>
        <w:widowControl/>
        <w:ind w:left="720"/>
        <w:rPr>
          <w:i/>
        </w:rPr>
      </w:pPr>
      <w:r w:rsidRPr="004B7EE6">
        <w:rPr>
          <w:i/>
        </w:rPr>
        <w:t xml:space="preserve">SECURE Act </w:t>
      </w:r>
    </w:p>
    <w:p w:rsidR="00630BB3" w:rsidP="003E1C9B" w:rsidRDefault="00630BB3" w14:paraId="5744D40E" w14:textId="77777777">
      <w:pPr>
        <w:widowControl/>
        <w:ind w:left="720"/>
      </w:pPr>
    </w:p>
    <w:p w:rsidR="00630BB3" w:rsidP="003E1C9B" w:rsidRDefault="00630BB3" w14:paraId="0687FD86" w14:textId="313BE617">
      <w:pPr>
        <w:widowControl/>
        <w:ind w:left="720"/>
      </w:pPr>
      <w:r>
        <w:t xml:space="preserve">The DOL proposes updating </w:t>
      </w:r>
      <w:r w:rsidR="00440A8C">
        <w:t xml:space="preserve">29 C.F.R. </w:t>
      </w:r>
      <w:r w:rsidRPr="000E0DAF" w:rsidR="00440A8C">
        <w:t>§</w:t>
      </w:r>
      <w:r w:rsidRPr="009A5011" w:rsidR="00293D94">
        <w:t xml:space="preserve"> 2520.104b–10 </w:t>
      </w:r>
      <w:r w:rsidR="00440A8C">
        <w:t xml:space="preserve">in light of </w:t>
      </w:r>
      <w:r>
        <w:t xml:space="preserve"> the</w:t>
      </w:r>
      <w:r w:rsidRPr="00D834C1">
        <w:t xml:space="preserve"> </w:t>
      </w:r>
      <w:r>
        <w:t xml:space="preserve">new </w:t>
      </w:r>
      <w:r w:rsidRPr="00FD1569">
        <w:t xml:space="preserve">filing </w:t>
      </w:r>
      <w:r>
        <w:t xml:space="preserve">option </w:t>
      </w:r>
      <w:r w:rsidRPr="00FD1569">
        <w:t xml:space="preserve">for DCG reporting arrangements </w:t>
      </w:r>
      <w:r>
        <w:t xml:space="preserve">and the </w:t>
      </w:r>
      <w:r w:rsidRPr="00D834C1">
        <w:t xml:space="preserve">addition of </w:t>
      </w:r>
      <w:r>
        <w:t xml:space="preserve">the </w:t>
      </w:r>
      <w:r w:rsidRPr="00D834C1">
        <w:t>new</w:t>
      </w:r>
      <w:r w:rsidRPr="008817F3">
        <w:t xml:space="preserve"> </w:t>
      </w:r>
      <w:r>
        <w:t>Schedule MEP and Schedule DCG to the</w:t>
      </w:r>
      <w:r w:rsidRPr="00D834C1">
        <w:t xml:space="preserve"> 5500</w:t>
      </w:r>
      <w:r>
        <w:t xml:space="preserve"> Annual Report/Return.  The proposal includes adding to the existing language in the DOL’s regulation new text that plans would use to provide a brief description of the plan based on the plan characteristic codes listed for the plan on the Form 5500, including whether it is a defined contribution or defined benefit plan, and whether the plan is a pooled employer plan, another type of multiple employer plan, a single employer plan, or a plan participating in a DCG reporting arrangement, respectively.  The proposed new regulatory language also includes text for plans to use that states a copy of the Schedule DCG and the Schedule MEP are available on request, as applicable.  For plans participating in a DCG reporting arrangement, </w:t>
      </w:r>
      <w:r w:rsidR="00051F6F">
        <w:t xml:space="preserve">a </w:t>
      </w:r>
      <w:r>
        <w:t>new</w:t>
      </w:r>
      <w:r w:rsidR="00440A8C">
        <w:t xml:space="preserve"> </w:t>
      </w:r>
      <w:r w:rsidR="00051F6F">
        <w:t>text</w:t>
      </w:r>
      <w:r w:rsidR="00ED1999">
        <w:t xml:space="preserve"> </w:t>
      </w:r>
      <w:r w:rsidR="00440A8C">
        <w:t>is added to parallel the requirements for plan filers</w:t>
      </w:r>
      <w:r w:rsidR="00ED1999">
        <w:t>, which would advise</w:t>
      </w:r>
      <w:r w:rsidR="009D1A56">
        <w:t xml:space="preserve"> </w:t>
      </w:r>
      <w:r w:rsidR="00440A8C">
        <w:t xml:space="preserve">participants and beneficiaries in the plans covered by the DCG consolidated annual report </w:t>
      </w:r>
      <w:r>
        <w:t xml:space="preserve">that </w:t>
      </w:r>
      <w:r w:rsidRPr="00951E37">
        <w:t>a statement of the aggregate assets and liabilities of all the plans in the DCG reporting arrangement and accompanying notes, a statement of aggregate income and expenses of the DC</w:t>
      </w:r>
      <w:r>
        <w:t xml:space="preserve">G </w:t>
      </w:r>
      <w:r w:rsidRPr="00951E37">
        <w:t>reporting arrangement and accompanying notes, and a copy of the audit report filed for the trust of the DCG reporting arrangement</w:t>
      </w:r>
      <w:r>
        <w:t xml:space="preserve"> are available on request</w:t>
      </w:r>
      <w:r w:rsidRPr="00951E37">
        <w:t xml:space="preserve">.  </w:t>
      </w:r>
      <w:r w:rsidR="00ED1999">
        <w:t>T</w:t>
      </w:r>
      <w:r>
        <w:t xml:space="preserve">he new SAR language </w:t>
      </w:r>
      <w:r w:rsidR="00ED1999">
        <w:t xml:space="preserve">also </w:t>
      </w:r>
      <w:r>
        <w:t xml:space="preserve">would state that a copy of the Form 5500 annual report filed for the plan or DCG is available online from EBSA via a DOL website at </w:t>
      </w:r>
      <w:r w:rsidRPr="00E812C6">
        <w:t>www.efast.dol.gov</w:t>
      </w:r>
      <w:r>
        <w:t>.</w:t>
      </w:r>
    </w:p>
    <w:p w:rsidRPr="000E0DAF" w:rsidR="00FB1E74" w:rsidP="00FB1E74" w:rsidRDefault="00FB1E74" w14:paraId="7350C812" w14:textId="77777777">
      <w:pPr>
        <w:widowControl/>
      </w:pPr>
    </w:p>
    <w:p w:rsidRPr="000E0DAF" w:rsidR="00735BE9" w:rsidP="003E1C9B" w:rsidRDefault="00735BE9" w14:paraId="7D1849A8" w14:textId="77777777">
      <w:pPr>
        <w:pStyle w:val="Quick1"/>
        <w:widowControl/>
        <w:tabs>
          <w:tab w:val="clear" w:pos="360"/>
        </w:tabs>
        <w:ind w:left="720" w:hanging="720"/>
        <w:rPr>
          <w:sz w:val="24"/>
        </w:rPr>
      </w:pPr>
      <w:r w:rsidRPr="000E0DAF">
        <w:rPr>
          <w:sz w:val="24"/>
        </w:rPr>
        <w:t>Indicate how, by whom, and for what purpose the information is to be used.  Except for a new collection, indicate the actual use the agency has made of the information received from the current collection.</w:t>
      </w:r>
    </w:p>
    <w:p w:rsidRPr="000E0DAF" w:rsidR="00735BE9" w:rsidP="003E1C9B" w:rsidRDefault="00735BE9" w14:paraId="27CE9A42" w14:textId="77777777">
      <w:pPr>
        <w:widowControl/>
        <w:ind w:left="720"/>
      </w:pPr>
    </w:p>
    <w:p w:rsidR="00735BE9" w:rsidP="003E1C9B" w:rsidRDefault="00735BE9" w14:paraId="3C00A2EE" w14:textId="742CB31D">
      <w:pPr>
        <w:widowControl/>
        <w:ind w:left="720"/>
      </w:pPr>
      <w:r w:rsidRPr="000E0DAF">
        <w:t>The SAR provides p</w:t>
      </w:r>
      <w:r w:rsidRPr="000E0DAF" w:rsidR="002C302A">
        <w:t>articipants</w:t>
      </w:r>
      <w:r w:rsidR="003217D1">
        <w:t xml:space="preserve"> and beneficiaries </w:t>
      </w:r>
      <w:r w:rsidR="0027023C">
        <w:t>with</w:t>
      </w:r>
      <w:r w:rsidRPr="000E0DAF">
        <w:t xml:space="preserve"> a</w:t>
      </w:r>
      <w:r w:rsidR="00440A8C">
        <w:t xml:space="preserve"> summary of the annual report filed with the government that describes </w:t>
      </w:r>
      <w:r w:rsidRPr="000E0DAF">
        <w:t>their plan</w:t>
      </w:r>
      <w:r w:rsidRPr="000E0DAF" w:rsidR="00EE3556">
        <w:t>’</w:t>
      </w:r>
      <w:r w:rsidRPr="000E0DAF">
        <w:t>s financial condition.  The participants and beneficiaries who receive the SAR can determine whether they have concerns with the operation of the plan</w:t>
      </w:r>
      <w:r w:rsidR="00440A8C">
        <w:t xml:space="preserve"> based on the information in the SAR</w:t>
      </w:r>
      <w:r w:rsidRPr="000E0DAF">
        <w:t xml:space="preserve"> and whether to contact the Department when </w:t>
      </w:r>
      <w:r w:rsidR="00440A8C">
        <w:t xml:space="preserve">they believe </w:t>
      </w:r>
      <w:r w:rsidRPr="000E0DAF">
        <w:t>problems with the plan are identified.  Concerned calls from participants and beneficiaries are a critical component of the Department</w:t>
      </w:r>
      <w:r w:rsidRPr="000E0DAF" w:rsidR="00EE3556">
        <w:t>’</w:t>
      </w:r>
      <w:r w:rsidRPr="000E0DAF">
        <w:t>s compliance assistance and enforcement efforts.</w:t>
      </w:r>
    </w:p>
    <w:p w:rsidRPr="000E0DAF" w:rsidR="0027023C" w:rsidP="003E1C9B" w:rsidRDefault="0027023C" w14:paraId="7F774CD7" w14:textId="77777777">
      <w:pPr>
        <w:widowControl/>
        <w:ind w:left="720"/>
      </w:pPr>
    </w:p>
    <w:p w:rsidRPr="000E0DAF" w:rsidR="00735BE9" w:rsidP="00B95276" w:rsidRDefault="00735BE9" w14:paraId="1ECBBFC8" w14:textId="77777777">
      <w:pPr>
        <w:pStyle w:val="Quick1"/>
        <w:widowControl/>
        <w:tabs>
          <w:tab w:val="clear" w:pos="360"/>
        </w:tabs>
        <w:ind w:left="720" w:hanging="720"/>
        <w:rPr>
          <w:sz w:val="24"/>
        </w:rPr>
      </w:pPr>
      <w:r w:rsidRPr="000E0DAF">
        <w:rPr>
          <w:sz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0E0DAF" w:rsidR="00735BE9" w:rsidP="00B95276" w:rsidRDefault="00735BE9" w14:paraId="09890FE3" w14:textId="77777777">
      <w:pPr>
        <w:widowControl/>
        <w:ind w:left="720"/>
      </w:pPr>
    </w:p>
    <w:p w:rsidR="00735BE9" w:rsidP="00B95276" w:rsidRDefault="00735BE9" w14:paraId="6A331BBA" w14:textId="4DA35AB1">
      <w:pPr>
        <w:widowControl/>
        <w:ind w:left="720"/>
      </w:pPr>
      <w:r w:rsidRPr="000E0DAF">
        <w:t>The Department</w:t>
      </w:r>
      <w:r w:rsidRPr="000E0DAF" w:rsidR="00EE3556">
        <w:t>’</w:t>
      </w:r>
      <w:r w:rsidRPr="000E0DAF">
        <w:t>s regulation</w:t>
      </w:r>
      <w:r w:rsidRPr="000E0DAF" w:rsidR="002C302A">
        <w:t>,</w:t>
      </w:r>
      <w:r w:rsidRPr="000E0DAF">
        <w:t xml:space="preserve"> codified at 29 </w:t>
      </w:r>
      <w:r w:rsidRPr="000E0DAF" w:rsidR="0084089D">
        <w:t xml:space="preserve">C.F.R. </w:t>
      </w:r>
      <w:r w:rsidRPr="000E0DAF" w:rsidR="00DF43AB">
        <w:t>§</w:t>
      </w:r>
      <w:r w:rsidRPr="000E0DAF">
        <w:t xml:space="preserve"> 2520.104b-1(c)</w:t>
      </w:r>
      <w:r w:rsidRPr="002E6551" w:rsidR="002E6551">
        <w:t xml:space="preserve"> and 2520.104b-31 (in the case of pension plans)</w:t>
      </w:r>
      <w:r w:rsidRPr="000E0DAF" w:rsidR="002C302A">
        <w:t>,</w:t>
      </w:r>
      <w:r w:rsidRPr="000E0DAF">
        <w:t xml:space="preserve"> allows plan administrators to use electronic media to make disclosures required under Title I of ERISA, including the information collection requirements of this ICR, provided certain conditions are met. These conditions generally are designed to ensure that participants and beneficiaries are able to receive the required disclosures </w:t>
      </w:r>
      <w:r w:rsidR="002E6551">
        <w:t xml:space="preserve">electronically </w:t>
      </w:r>
      <w:r w:rsidRPr="000E0DAF">
        <w:t>from plan administrators, and that plan administrators take measures to verify that the electronic system results in actu</w:t>
      </w:r>
      <w:r w:rsidR="00B95276">
        <w:t>al receipt of the disclosures.</w:t>
      </w:r>
    </w:p>
    <w:p w:rsidRPr="000E0DAF" w:rsidR="0027023C" w:rsidP="00B95276" w:rsidRDefault="0027023C" w14:paraId="45BBAB7A" w14:textId="77777777">
      <w:pPr>
        <w:widowControl/>
        <w:ind w:left="720"/>
      </w:pPr>
    </w:p>
    <w:p w:rsidRPr="000E0DAF" w:rsidR="00735BE9" w:rsidP="00B95276" w:rsidRDefault="00735BE9" w14:paraId="4BAE394B" w14:textId="77777777">
      <w:pPr>
        <w:pStyle w:val="Quick1"/>
        <w:widowControl/>
        <w:tabs>
          <w:tab w:val="clear" w:pos="360"/>
        </w:tabs>
        <w:ind w:left="720" w:hanging="720"/>
        <w:rPr>
          <w:sz w:val="24"/>
        </w:rPr>
      </w:pPr>
      <w:r w:rsidRPr="000E0DAF">
        <w:rPr>
          <w:sz w:val="24"/>
        </w:rPr>
        <w:t>Describe efforts to identify duplication.  Show specifically why any similar information already available cannot be used or modified for use for the purpo</w:t>
      </w:r>
      <w:r w:rsidR="00B95276">
        <w:rPr>
          <w:sz w:val="24"/>
        </w:rPr>
        <w:t>ses described in Item 2 above.</w:t>
      </w:r>
    </w:p>
    <w:p w:rsidRPr="000E0DAF" w:rsidR="00735BE9" w:rsidP="00B95276" w:rsidRDefault="00735BE9" w14:paraId="75D8C125" w14:textId="77777777">
      <w:pPr>
        <w:widowControl/>
        <w:ind w:left="720"/>
      </w:pPr>
    </w:p>
    <w:p w:rsidRPr="000E0DAF" w:rsidR="00735BE9" w:rsidP="00B95276" w:rsidRDefault="00735BE9" w14:paraId="17768C8C" w14:textId="2B7789CA">
      <w:pPr>
        <w:widowControl/>
        <w:ind w:left="720"/>
      </w:pPr>
      <w:r w:rsidRPr="000E0DAF">
        <w:t>The SAR contains selected information from the more comprehensive financial data required to be included in the plan</w:t>
      </w:r>
      <w:r w:rsidRPr="000E0DAF" w:rsidR="00EE3556">
        <w:t>’</w:t>
      </w:r>
      <w:r w:rsidRPr="000E0DAF">
        <w:t xml:space="preserve">s most recent annual report, which is filed with the Department using the Form 5500 </w:t>
      </w:r>
      <w:r w:rsidR="005F6805">
        <w:t>a</w:t>
      </w:r>
      <w:r w:rsidR="002E6551">
        <w:t xml:space="preserve">nnual </w:t>
      </w:r>
      <w:r w:rsidR="005F6805">
        <w:t>r</w:t>
      </w:r>
      <w:r w:rsidR="002E6551">
        <w:t>eturn/</w:t>
      </w:r>
      <w:r w:rsidR="005F6805">
        <w:t>r</w:t>
      </w:r>
      <w:r w:rsidR="002E6551">
        <w:t>eport s</w:t>
      </w:r>
      <w:r w:rsidRPr="000E0DAF">
        <w:t>eries (forms and schedules jointly developed by the Department, the Internal Revenue Service, and the Pension Benefit Guaranty Corporation</w:t>
      </w:r>
      <w:r w:rsidR="0027023C">
        <w:t xml:space="preserve"> and approved under OMB Control Number 1210-0110</w:t>
      </w:r>
      <w:r w:rsidRPr="000E0DAF">
        <w:t xml:space="preserve">).  The plan is not required to send the entire annual report to </w:t>
      </w:r>
      <w:r w:rsidR="002E6551">
        <w:t xml:space="preserve">all </w:t>
      </w:r>
      <w:r w:rsidRPr="000E0DAF">
        <w:t>participants and beneficiaries, although these individuals can request a copy of the annual report under ERISA section 104(b)(4).  The SAR summarizes, rather than duplicates, the annual report information and provides the summary information in a simpler format.</w:t>
      </w:r>
    </w:p>
    <w:p w:rsidRPr="000E0DAF" w:rsidR="00C131D4" w:rsidP="00B95276" w:rsidRDefault="00C131D4" w14:paraId="39FAA41C" w14:textId="77777777">
      <w:pPr>
        <w:widowControl/>
        <w:ind w:left="720"/>
      </w:pPr>
    </w:p>
    <w:p w:rsidRPr="000E0DAF" w:rsidR="00735BE9" w:rsidP="00B95276" w:rsidRDefault="00735BE9" w14:paraId="5F76AA6D" w14:textId="77777777">
      <w:pPr>
        <w:pStyle w:val="Quick1"/>
        <w:widowControl/>
        <w:tabs>
          <w:tab w:val="clear" w:pos="360"/>
        </w:tabs>
        <w:ind w:left="720" w:hanging="720"/>
        <w:rPr>
          <w:sz w:val="24"/>
        </w:rPr>
      </w:pPr>
      <w:r w:rsidRPr="000E0DAF">
        <w:rPr>
          <w:sz w:val="24"/>
        </w:rPr>
        <w:t>If the collection of information impacts small businesses or other small entities</w:t>
      </w:r>
      <w:r w:rsidRPr="000E0DAF" w:rsidR="002C302A">
        <w:rPr>
          <w:sz w:val="24"/>
        </w:rPr>
        <w:t xml:space="preserve"> </w:t>
      </w:r>
      <w:r w:rsidRPr="000E0DAF">
        <w:rPr>
          <w:sz w:val="24"/>
        </w:rPr>
        <w:t>describe any methods used to minimize burden.</w:t>
      </w:r>
    </w:p>
    <w:p w:rsidRPr="000E0DAF" w:rsidR="00735BE9" w:rsidP="00134D0A" w:rsidRDefault="00735BE9" w14:paraId="6674F2C9" w14:textId="77777777">
      <w:pPr>
        <w:widowControl/>
        <w:ind w:left="720"/>
      </w:pPr>
    </w:p>
    <w:p w:rsidRPr="000E0DAF" w:rsidR="00735BE9" w:rsidP="00134D0A" w:rsidRDefault="00735BE9" w14:paraId="2F92E508" w14:textId="26DC1506">
      <w:pPr>
        <w:widowControl/>
        <w:ind w:left="720"/>
      </w:pPr>
      <w:r w:rsidRPr="000E0DAF">
        <w:t xml:space="preserve">For purposes of this information collection (and more generally for purposes of economic analysis under ERISA), the Department considers </w:t>
      </w:r>
      <w:r w:rsidRPr="000E0DAF" w:rsidR="00EE3556">
        <w:t>“</w:t>
      </w:r>
      <w:r w:rsidRPr="000E0DAF">
        <w:t>small entities</w:t>
      </w:r>
      <w:r w:rsidRPr="000E0DAF" w:rsidR="00EE3556">
        <w:t>”</w:t>
      </w:r>
      <w:r w:rsidRPr="000E0DAF">
        <w:t xml:space="preserve"> to be employee benefit plans with fewer than 100 participants (i.e., </w:t>
      </w:r>
      <w:r w:rsidRPr="000E0DAF" w:rsidR="00EE3556">
        <w:t>“</w:t>
      </w:r>
      <w:r w:rsidRPr="000E0DAF">
        <w:t>small plans</w:t>
      </w:r>
      <w:r w:rsidRPr="000E0DAF" w:rsidR="00EE3556">
        <w:t>”</w:t>
      </w:r>
      <w:r w:rsidRPr="000E0DAF">
        <w:t xml:space="preserve">).  In fashioning reporting and disclosure regulations, including the SAR regulation, the Department has modified the statutory requirements to reduce burden on small plans.  </w:t>
      </w:r>
      <w:r w:rsidR="002E6551">
        <w:t xml:space="preserve">Some small plans are exempt from the requirement to file an annual report, and therefore, are not required to distribute an SAR, e.g., certain small unfunded or fully insured single employer welfare benefit plans are exempt under regulation 2520.104-20.  </w:t>
      </w:r>
      <w:r w:rsidR="00485428">
        <w:t xml:space="preserve">The SAR regulation at </w:t>
      </w:r>
      <w:r w:rsidRPr="000E0DAF" w:rsidR="00485428">
        <w:t>§ 2520.104b-1</w:t>
      </w:r>
      <w:r w:rsidR="00485428">
        <w:t xml:space="preserve">0 includes a list of exemptions that cover large and small plans that meet certain conditions. </w:t>
      </w:r>
      <w:r w:rsidRPr="002E6551" w:rsidR="00485428">
        <w:t xml:space="preserve"> </w:t>
      </w:r>
      <w:r w:rsidR="00485428">
        <w:lastRenderedPageBreak/>
        <w:t>Further, s</w:t>
      </w:r>
      <w:r w:rsidRPr="000E0DAF">
        <w:t xml:space="preserve">mall plans that must file annual reports normally are required to enter fewer data elements </w:t>
      </w:r>
      <w:r w:rsidR="002E6551">
        <w:t xml:space="preserve">on the SAR form </w:t>
      </w:r>
      <w:r w:rsidRPr="000E0DAF">
        <w:t xml:space="preserve">and therefore their SARs are simpler.  </w:t>
      </w:r>
      <w:r w:rsidR="00F84553">
        <w:t>The Department estimates</w:t>
      </w:r>
      <w:r w:rsidRPr="000E0DAF">
        <w:t xml:space="preserve"> approximately </w:t>
      </w:r>
      <w:r w:rsidR="00F84553">
        <w:t>672,268</w:t>
      </w:r>
      <w:r w:rsidR="00332120">
        <w:t xml:space="preserve"> </w:t>
      </w:r>
      <w:r w:rsidR="00F84553">
        <w:t xml:space="preserve">pension </w:t>
      </w:r>
      <w:r w:rsidRPr="000E0DAF">
        <w:t xml:space="preserve">plans </w:t>
      </w:r>
      <w:r w:rsidR="00F84553">
        <w:t>will be</w:t>
      </w:r>
      <w:r w:rsidRPr="000E0DAF" w:rsidR="00F84553">
        <w:t xml:space="preserve"> </w:t>
      </w:r>
      <w:r w:rsidRPr="000E0DAF">
        <w:t xml:space="preserve">subject to the SAR requirements.  Of these, approximately </w:t>
      </w:r>
      <w:r w:rsidR="00F84553">
        <w:t>607,445</w:t>
      </w:r>
      <w:r w:rsidR="00BB6D75">
        <w:t xml:space="preserve"> </w:t>
      </w:r>
      <w:r w:rsidR="00F84553">
        <w:t>will be</w:t>
      </w:r>
      <w:r w:rsidRPr="000E0DAF" w:rsidR="00F84553">
        <w:t xml:space="preserve"> </w:t>
      </w:r>
      <w:r w:rsidRPr="000E0DAF">
        <w:t>small plans.</w:t>
      </w:r>
    </w:p>
    <w:p w:rsidRPr="000E0DAF" w:rsidR="00735BE9" w:rsidP="00134D0A" w:rsidRDefault="00735BE9" w14:paraId="31693FD8" w14:textId="77777777">
      <w:pPr>
        <w:widowControl/>
        <w:ind w:left="720"/>
      </w:pPr>
    </w:p>
    <w:p w:rsidRPr="000E0DAF" w:rsidR="00735BE9" w:rsidP="00134D0A" w:rsidRDefault="00735BE9" w14:paraId="2DC31670" w14:textId="77777777">
      <w:pPr>
        <w:pStyle w:val="Quick1"/>
        <w:widowControl/>
        <w:tabs>
          <w:tab w:val="clear" w:pos="360"/>
        </w:tabs>
        <w:ind w:left="720" w:hanging="720"/>
        <w:rPr>
          <w:sz w:val="24"/>
        </w:rPr>
      </w:pPr>
      <w:r w:rsidRPr="000E0DAF">
        <w:rPr>
          <w:sz w:val="24"/>
        </w:rPr>
        <w:t>Describe the consequence to Federal program or policy activities if the collection is not conducted or is conducted less frequently, as well as any technical or legal obstacles to reducing burden.</w:t>
      </w:r>
    </w:p>
    <w:p w:rsidRPr="000E0DAF" w:rsidR="00735BE9" w:rsidP="00134D0A" w:rsidRDefault="00735BE9" w14:paraId="30409FC7" w14:textId="77777777">
      <w:pPr>
        <w:widowControl/>
        <w:ind w:left="720"/>
      </w:pPr>
    </w:p>
    <w:p w:rsidRPr="000E0DAF" w:rsidR="00735BE9" w:rsidP="00134D0A" w:rsidRDefault="00735BE9" w14:paraId="3A3E6E02" w14:textId="03EC21C1">
      <w:pPr>
        <w:widowControl/>
        <w:ind w:left="720"/>
      </w:pPr>
      <w:r w:rsidRPr="000E0DAF">
        <w:t xml:space="preserve">This information collection is a third-party disclosure, and there is no </w:t>
      </w:r>
      <w:r w:rsidR="002E6551">
        <w:t xml:space="preserve">automatic </w:t>
      </w:r>
      <w:r w:rsidRPr="000E0DAF">
        <w:t xml:space="preserve">requirement to </w:t>
      </w:r>
      <w:r w:rsidR="002E6551">
        <w:t xml:space="preserve">file </w:t>
      </w:r>
      <w:r w:rsidRPr="000E0DAF">
        <w:t>the SAR to the Federal government</w:t>
      </w:r>
      <w:r w:rsidR="00ED1999">
        <w:t>, although</w:t>
      </w:r>
      <w:r w:rsidR="002E6551">
        <w:t xml:space="preserve"> the government </w:t>
      </w:r>
      <w:r w:rsidR="00ED1999">
        <w:t>can</w:t>
      </w:r>
      <w:r w:rsidR="002E6551">
        <w:t xml:space="preserve"> ask individual plans for copies of the SAR, for example, as part of an investigation</w:t>
      </w:r>
      <w:r w:rsidRPr="000E0DAF">
        <w:t>.  Failure to impose the information collection requirement would mean that participants and beneficiaries would not receive important financial information about their plans in a format designed to be understandable for them, and they would be less likely to be aware of the plan</w:t>
      </w:r>
      <w:r w:rsidRPr="000E0DAF" w:rsidR="00EE3556">
        <w:t>’</w:t>
      </w:r>
      <w:r w:rsidRPr="000E0DAF">
        <w:t>s financial condition and to be able to effectively protect their benefits and exercise their rights under their plans and ERISA.  Furthermore, the Department</w:t>
      </w:r>
      <w:r w:rsidRPr="000E0DAF" w:rsidR="00EE3556">
        <w:t>’</w:t>
      </w:r>
      <w:r w:rsidRPr="000E0DAF">
        <w:t>s compliance assistance and enforcement efforts would likely be adversely affected because the Department would receive fewer calls from participants and beneficiaries about potential problems with their plans.  These participant and beneficiary contacts are a critical component of the Department</w:t>
      </w:r>
      <w:r w:rsidRPr="000E0DAF" w:rsidR="00EE3556">
        <w:t>’</w:t>
      </w:r>
      <w:r w:rsidRPr="000E0DAF">
        <w:t>s compliance assistance and enforcement program.</w:t>
      </w:r>
    </w:p>
    <w:p w:rsidRPr="000E0DAF" w:rsidR="00735BE9" w:rsidP="00134D0A" w:rsidRDefault="00735BE9" w14:paraId="080F1EF8" w14:textId="77777777">
      <w:pPr>
        <w:widowControl/>
        <w:ind w:left="720"/>
      </w:pPr>
    </w:p>
    <w:p w:rsidRPr="000E0DAF" w:rsidR="00735BE9" w:rsidP="00134D0A" w:rsidRDefault="00735BE9" w14:paraId="4723B436" w14:textId="77777777">
      <w:pPr>
        <w:pStyle w:val="Quick1"/>
        <w:widowControl/>
        <w:tabs>
          <w:tab w:val="clear" w:pos="360"/>
        </w:tabs>
        <w:ind w:left="720" w:hanging="720"/>
        <w:rPr>
          <w:sz w:val="24"/>
        </w:rPr>
      </w:pPr>
      <w:r w:rsidRPr="000E0DAF">
        <w:rPr>
          <w:sz w:val="24"/>
        </w:rPr>
        <w:t>Explain any special circumstances that would cause an information collection to be conducted in a manner:</w:t>
      </w:r>
    </w:p>
    <w:p w:rsidRPr="000E0DAF" w:rsidR="00735BE9" w:rsidP="00134D0A" w:rsidRDefault="00735BE9" w14:paraId="3FC54439" w14:textId="77777777">
      <w:pPr>
        <w:pStyle w:val="bulletlist"/>
        <w:widowControl/>
        <w:tabs>
          <w:tab w:val="clear" w:pos="-1440"/>
          <w:tab w:val="clear" w:pos="1080"/>
        </w:tabs>
        <w:ind w:left="1440"/>
        <w:rPr>
          <w:sz w:val="24"/>
        </w:rPr>
      </w:pPr>
      <w:r w:rsidRPr="000E0DAF">
        <w:rPr>
          <w:sz w:val="24"/>
        </w:rPr>
        <w:t>requiring respondents to report information to the agency more often than quarterly;</w:t>
      </w:r>
    </w:p>
    <w:p w:rsidRPr="000E0DAF" w:rsidR="00735BE9" w:rsidP="00134D0A" w:rsidRDefault="00735BE9" w14:paraId="0DD718ED" w14:textId="77777777">
      <w:pPr>
        <w:pStyle w:val="bulletlist"/>
        <w:widowControl/>
        <w:tabs>
          <w:tab w:val="clear" w:pos="-1440"/>
          <w:tab w:val="clear" w:pos="1080"/>
        </w:tabs>
        <w:ind w:left="1440"/>
        <w:rPr>
          <w:sz w:val="24"/>
        </w:rPr>
      </w:pPr>
      <w:r w:rsidRPr="000E0DAF">
        <w:rPr>
          <w:sz w:val="24"/>
        </w:rPr>
        <w:t>requiring respondents to prepare a written response to a collection of information in fewer than 30 days after receipt of it;</w:t>
      </w:r>
    </w:p>
    <w:p w:rsidRPr="000E0DAF" w:rsidR="00735BE9" w:rsidP="00134D0A" w:rsidRDefault="00735BE9" w14:paraId="0FE3E3E3" w14:textId="77777777">
      <w:pPr>
        <w:pStyle w:val="bulletlist"/>
        <w:widowControl/>
        <w:tabs>
          <w:tab w:val="clear" w:pos="-1440"/>
          <w:tab w:val="clear" w:pos="1080"/>
        </w:tabs>
        <w:ind w:left="1440"/>
        <w:rPr>
          <w:sz w:val="24"/>
        </w:rPr>
      </w:pPr>
      <w:r w:rsidRPr="000E0DAF">
        <w:rPr>
          <w:sz w:val="24"/>
        </w:rPr>
        <w:t>requiring respondents to submit more than an original and two copies of any document;</w:t>
      </w:r>
    </w:p>
    <w:p w:rsidRPr="000E0DAF" w:rsidR="00735BE9" w:rsidP="00134D0A" w:rsidRDefault="00735BE9" w14:paraId="34AA4040" w14:textId="77777777">
      <w:pPr>
        <w:pStyle w:val="bulletlist"/>
        <w:widowControl/>
        <w:tabs>
          <w:tab w:val="clear" w:pos="-1440"/>
          <w:tab w:val="clear" w:pos="1080"/>
        </w:tabs>
        <w:ind w:left="1440"/>
        <w:rPr>
          <w:sz w:val="24"/>
        </w:rPr>
      </w:pPr>
      <w:r w:rsidRPr="000E0DAF">
        <w:rPr>
          <w:sz w:val="24"/>
        </w:rPr>
        <w:t>requiring respondents to retain records, other than health, medical, government contract, grant-in-aid, or tax records for more than three years;</w:t>
      </w:r>
    </w:p>
    <w:p w:rsidRPr="000E0DAF" w:rsidR="00735BE9" w:rsidP="00134D0A" w:rsidRDefault="00735BE9" w14:paraId="026FA75A" w14:textId="77777777">
      <w:pPr>
        <w:pStyle w:val="bulletlist"/>
        <w:widowControl/>
        <w:tabs>
          <w:tab w:val="clear" w:pos="-1440"/>
          <w:tab w:val="clear" w:pos="1080"/>
        </w:tabs>
        <w:ind w:left="1440"/>
        <w:rPr>
          <w:sz w:val="24"/>
        </w:rPr>
      </w:pPr>
      <w:r w:rsidRPr="000E0DAF">
        <w:rPr>
          <w:sz w:val="24"/>
        </w:rPr>
        <w:t>in connection with a statistical survey, that is not designed to produce valid and reliable results that can be generalized to the universe of study;</w:t>
      </w:r>
    </w:p>
    <w:p w:rsidRPr="000E0DAF" w:rsidR="00735BE9" w:rsidP="00134D0A" w:rsidRDefault="00735BE9" w14:paraId="1073E1D8" w14:textId="77777777">
      <w:pPr>
        <w:pStyle w:val="bulletlist"/>
        <w:widowControl/>
        <w:tabs>
          <w:tab w:val="clear" w:pos="-1440"/>
          <w:tab w:val="clear" w:pos="1080"/>
        </w:tabs>
        <w:ind w:left="1440"/>
        <w:rPr>
          <w:sz w:val="24"/>
        </w:rPr>
      </w:pPr>
      <w:r w:rsidRPr="000E0DAF">
        <w:rPr>
          <w:sz w:val="24"/>
        </w:rPr>
        <w:t>requiring the use of a statistical data classification that has not been reviewed and approved by OMB;</w:t>
      </w:r>
    </w:p>
    <w:p w:rsidRPr="000E0DAF" w:rsidR="00735BE9" w:rsidP="00134D0A" w:rsidRDefault="00735BE9" w14:paraId="48ABCD26" w14:textId="77777777">
      <w:pPr>
        <w:pStyle w:val="bulletlist"/>
        <w:widowControl/>
        <w:tabs>
          <w:tab w:val="clear" w:pos="-1440"/>
          <w:tab w:val="clear" w:pos="1080"/>
        </w:tabs>
        <w:ind w:left="1440"/>
        <w:rPr>
          <w:sz w:val="24"/>
        </w:rPr>
      </w:pPr>
      <w:r w:rsidRPr="000E0DAF">
        <w:rPr>
          <w:sz w:val="24"/>
        </w:rPr>
        <w:t xml:space="preserve">that includes a pledge of confidentiality that is not supported by authority established in statute or regulation, that is not supported by disclosure and data </w:t>
      </w:r>
      <w:r w:rsidRPr="000E0DAF">
        <w:rPr>
          <w:sz w:val="24"/>
        </w:rPr>
        <w:lastRenderedPageBreak/>
        <w:t>security policies that are consistent with the pledge, or which unnecessarily impedes sharing of data with other agencies for compatible confidential use; or</w:t>
      </w:r>
    </w:p>
    <w:p w:rsidRPr="000E0DAF" w:rsidR="00735BE9" w:rsidP="00134D0A" w:rsidRDefault="00735BE9" w14:paraId="01EA05B2" w14:textId="77777777">
      <w:pPr>
        <w:pStyle w:val="bulletlist"/>
        <w:widowControl/>
        <w:tabs>
          <w:tab w:val="clear" w:pos="-1440"/>
          <w:tab w:val="clear" w:pos="1080"/>
        </w:tabs>
        <w:ind w:left="1440"/>
        <w:rPr>
          <w:sz w:val="24"/>
        </w:rPr>
      </w:pPr>
      <w:r w:rsidRPr="000E0DAF">
        <w:rPr>
          <w:sz w:val="24"/>
        </w:rPr>
        <w:t>requiring respondents to submit proprietary trade secret, or other confidential information unless the agency can demonstrate that it has instituted procedures to protect the information</w:t>
      </w:r>
      <w:r w:rsidRPr="000E0DAF" w:rsidR="00EE3556">
        <w:rPr>
          <w:sz w:val="24"/>
        </w:rPr>
        <w:t>’</w:t>
      </w:r>
      <w:r w:rsidRPr="000E0DAF">
        <w:rPr>
          <w:sz w:val="24"/>
        </w:rPr>
        <w:t>s confidentiality to the extent permitted by law.</w:t>
      </w:r>
    </w:p>
    <w:p w:rsidRPr="000E0DAF" w:rsidR="00735BE9" w:rsidP="00134D0A" w:rsidRDefault="00735BE9" w14:paraId="09E93DCE" w14:textId="77777777">
      <w:pPr>
        <w:widowControl/>
        <w:ind w:left="720"/>
      </w:pPr>
    </w:p>
    <w:p w:rsidR="0027023C" w:rsidP="00134D0A" w:rsidRDefault="0027023C" w14:paraId="53F4CDE5" w14:textId="77777777">
      <w:pPr>
        <w:widowControl/>
        <w:ind w:left="720"/>
      </w:pPr>
      <w:r w:rsidRPr="0027023C">
        <w:t>There are no special circumstances that require the collection to be conducted in a manner inconsistent with the guidelines in 5 CFR 1320.5.</w:t>
      </w:r>
    </w:p>
    <w:p w:rsidRPr="000E0DAF" w:rsidR="00735BE9" w:rsidP="00134D0A" w:rsidRDefault="00735BE9" w14:paraId="718BB4A7" w14:textId="77777777">
      <w:pPr>
        <w:widowControl/>
        <w:ind w:left="720"/>
      </w:pPr>
    </w:p>
    <w:p w:rsidRPr="000E0DAF" w:rsidR="00735BE9" w:rsidP="00134D0A" w:rsidRDefault="00735BE9" w14:paraId="179E5FDC" w14:textId="77777777">
      <w:pPr>
        <w:pStyle w:val="Quick1"/>
        <w:widowControl/>
        <w:tabs>
          <w:tab w:val="clear" w:pos="360"/>
        </w:tabs>
        <w:ind w:left="720" w:hanging="720"/>
        <w:rPr>
          <w:sz w:val="24"/>
        </w:rPr>
      </w:pPr>
      <w:r w:rsidRPr="000E0DAF">
        <w:rPr>
          <w:sz w:val="24"/>
        </w:rPr>
        <w:t>If applicable, provide a copy and identify the date and page number of publication in the Federal Register of the agency</w:t>
      </w:r>
      <w:r w:rsidRPr="000E0DAF" w:rsidR="00EE3556">
        <w:rPr>
          <w:sz w:val="24"/>
        </w:rPr>
        <w:t>’</w:t>
      </w:r>
      <w:r w:rsidRPr="000E0DAF">
        <w:rPr>
          <w:sz w:val="24"/>
        </w:rPr>
        <w:t xml:space="preserve">s notice, required by 5 </w:t>
      </w:r>
      <w:r w:rsidRPr="000E0DAF" w:rsidR="0084089D">
        <w:rPr>
          <w:sz w:val="24"/>
        </w:rPr>
        <w:t xml:space="preserve">C.F.R. </w:t>
      </w:r>
      <w:r w:rsidRPr="000E0DAF" w:rsidR="00DF43AB">
        <w:rPr>
          <w:sz w:val="24"/>
        </w:rPr>
        <w:t>§</w:t>
      </w:r>
      <w:r w:rsidRPr="000E0DAF">
        <w:rPr>
          <w:sz w:val="24"/>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E0DAF" w:rsidR="00735BE9" w:rsidP="00134D0A" w:rsidRDefault="00735BE9" w14:paraId="31D031B2" w14:textId="77777777">
      <w:pPr>
        <w:widowControl/>
        <w:ind w:left="720"/>
        <w:rPr>
          <w:i/>
          <w:iCs/>
        </w:rPr>
      </w:pPr>
    </w:p>
    <w:p w:rsidRPr="000E0DAF" w:rsidR="00735BE9" w:rsidP="00134D0A" w:rsidRDefault="00735BE9" w14:paraId="1B0F4B0A" w14:textId="77777777">
      <w:pPr>
        <w:widowControl/>
        <w:ind w:left="720"/>
        <w:rPr>
          <w:b/>
          <w:i/>
          <w:iCs/>
        </w:rPr>
      </w:pPr>
      <w:r w:rsidRPr="000E0DAF">
        <w:rPr>
          <w:b/>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E0DAF" w:rsidR="00735BE9" w:rsidP="00134D0A" w:rsidRDefault="00735BE9" w14:paraId="34BE7C26" w14:textId="77777777">
      <w:pPr>
        <w:widowControl/>
        <w:ind w:left="720"/>
        <w:rPr>
          <w:b/>
          <w:i/>
          <w:iCs/>
        </w:rPr>
      </w:pPr>
    </w:p>
    <w:p w:rsidRPr="000E0DAF" w:rsidR="00735BE9" w:rsidP="00134D0A" w:rsidRDefault="00735BE9" w14:paraId="0AAD9C85" w14:textId="77777777">
      <w:pPr>
        <w:widowControl/>
        <w:ind w:left="720"/>
        <w:rPr>
          <w:b/>
          <w:i/>
          <w:iCs/>
        </w:rPr>
      </w:pPr>
      <w:r w:rsidRPr="000E0DAF">
        <w:rPr>
          <w:b/>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E0DAF" w:rsidR="00735BE9" w:rsidP="00134D0A" w:rsidRDefault="00735BE9" w14:paraId="415A3E35" w14:textId="77777777">
      <w:pPr>
        <w:widowControl/>
        <w:ind w:left="720"/>
        <w:rPr>
          <w:b/>
        </w:rPr>
      </w:pPr>
    </w:p>
    <w:p w:rsidR="00772D42" w:rsidP="00772D42" w:rsidRDefault="00772D42" w14:paraId="1057D76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DOL published a Notice of Proposed Rulemaking that proposes amendments to regulations relating to annual reporting requirements under Title I of ERISA.  DOL, Treasury/IRS, and PBGC also published in the Federal Register a separate Notice of Proposed Forms Revision containing proposed form changes and these proposed regulatory amendments.  Both notices were published in the Federal Register on September 15, 2021.  The Federal Register citations are 86 FR </w:t>
      </w:r>
      <w:r w:rsidRPr="009B27CA">
        <w:t>51284</w:t>
      </w:r>
      <w:r>
        <w:t xml:space="preserve"> and 86 FR </w:t>
      </w:r>
      <w:r w:rsidRPr="009B27CA">
        <w:t>51488</w:t>
      </w:r>
      <w:r>
        <w:t xml:space="preserve"> respectively.  Comments are due by November 1, 2021. To avoid unnecessary duplication of effort, the Agencies also will treat public comments submitted in response to this notice of proposed rulemaking as public comments on the Notice of Proposed Forms Revisions to the extent they include information relevant to the proposed regulatory amendments.</w:t>
      </w:r>
    </w:p>
    <w:p w:rsidRPr="000E0DAF" w:rsidR="00735BE9" w:rsidP="004B7EE6" w:rsidRDefault="00423551" w14:paraId="1E072E64" w14:textId="14D789C9">
      <w:pPr>
        <w:widowControl/>
        <w:ind w:left="720"/>
      </w:pPr>
      <w:r w:rsidRPr="00423551">
        <w:t xml:space="preserve"> </w:t>
      </w:r>
    </w:p>
    <w:p w:rsidRPr="000E0DAF" w:rsidR="00735BE9" w:rsidP="004964C6" w:rsidRDefault="00735BE9" w14:paraId="148B81AE" w14:textId="77777777">
      <w:pPr>
        <w:pStyle w:val="Quick1"/>
        <w:widowControl/>
        <w:tabs>
          <w:tab w:val="clear" w:pos="360"/>
        </w:tabs>
        <w:ind w:left="720" w:hanging="720"/>
        <w:rPr>
          <w:sz w:val="24"/>
        </w:rPr>
      </w:pPr>
      <w:r w:rsidRPr="000E0DAF">
        <w:rPr>
          <w:sz w:val="24"/>
        </w:rPr>
        <w:lastRenderedPageBreak/>
        <w:t>Explain any decision to provide any payment or gift to respondents, other than remuneration of contractors or grantees.</w:t>
      </w:r>
    </w:p>
    <w:p w:rsidRPr="000E0DAF" w:rsidR="00735BE9" w:rsidP="004964C6" w:rsidRDefault="00735BE9" w14:paraId="46FAB166" w14:textId="77777777">
      <w:pPr>
        <w:widowControl/>
        <w:ind w:left="720"/>
      </w:pPr>
      <w:bookmarkStart w:name="_GoBack" w:id="1"/>
      <w:bookmarkEnd w:id="1"/>
    </w:p>
    <w:p w:rsidRPr="000E0DAF" w:rsidR="00735BE9" w:rsidP="004964C6" w:rsidRDefault="00735BE9" w14:paraId="1A7470F2" w14:textId="77777777">
      <w:pPr>
        <w:widowControl/>
        <w:ind w:left="720"/>
      </w:pPr>
      <w:r w:rsidRPr="000E0DAF">
        <w:t>No payments or gifts are provided to respondents.</w:t>
      </w:r>
    </w:p>
    <w:p w:rsidRPr="000E0DAF" w:rsidR="00735BE9" w:rsidP="004964C6" w:rsidRDefault="00735BE9" w14:paraId="001DB40F" w14:textId="77777777">
      <w:pPr>
        <w:widowControl/>
        <w:ind w:left="720"/>
      </w:pPr>
    </w:p>
    <w:p w:rsidRPr="000E0DAF" w:rsidR="00735BE9" w:rsidP="004964C6" w:rsidRDefault="00735BE9" w14:paraId="0E914326" w14:textId="77777777">
      <w:pPr>
        <w:pStyle w:val="Quick1"/>
        <w:widowControl/>
        <w:tabs>
          <w:tab w:val="clear" w:pos="360"/>
        </w:tabs>
        <w:ind w:left="720" w:hanging="720"/>
        <w:rPr>
          <w:sz w:val="24"/>
        </w:rPr>
      </w:pPr>
      <w:r w:rsidRPr="000E0DAF">
        <w:rPr>
          <w:sz w:val="24"/>
        </w:rPr>
        <w:t>Describe any assurance of confidentiality provided to respondents and the basis for the assurance in statute, regulation, or agency policy.</w:t>
      </w:r>
    </w:p>
    <w:p w:rsidRPr="000E0DAF" w:rsidR="00735BE9" w:rsidP="004964C6" w:rsidRDefault="00735BE9" w14:paraId="75C9B5E9" w14:textId="77777777">
      <w:pPr>
        <w:widowControl/>
        <w:ind w:left="720"/>
      </w:pPr>
    </w:p>
    <w:p w:rsidRPr="000E0DAF" w:rsidR="00735BE9" w:rsidP="004964C6" w:rsidRDefault="0027023C" w14:paraId="5654A130" w14:textId="77777777">
      <w:pPr>
        <w:widowControl/>
        <w:ind w:left="720"/>
      </w:pPr>
      <w:r>
        <w:t>There is no assurance of confidentiality provided to respondents.</w:t>
      </w:r>
    </w:p>
    <w:p w:rsidRPr="000E0DAF" w:rsidR="00735BE9" w:rsidP="004964C6" w:rsidRDefault="00735BE9" w14:paraId="07B88FEC" w14:textId="77777777">
      <w:pPr>
        <w:widowControl/>
        <w:ind w:left="720"/>
      </w:pPr>
    </w:p>
    <w:p w:rsidRPr="000E0DAF" w:rsidR="00735BE9" w:rsidP="004964C6" w:rsidRDefault="00735BE9" w14:paraId="4E761046" w14:textId="77777777">
      <w:pPr>
        <w:pStyle w:val="Quick1"/>
        <w:widowControl/>
        <w:tabs>
          <w:tab w:val="clear" w:pos="360"/>
        </w:tabs>
        <w:ind w:left="720" w:hanging="720"/>
        <w:rPr>
          <w:sz w:val="24"/>
        </w:rPr>
      </w:pPr>
      <w:r w:rsidRPr="000E0DAF">
        <w:rPr>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13F70" w:rsidR="00735BE9" w:rsidP="004964C6" w:rsidRDefault="00735BE9" w14:paraId="225B2878" w14:textId="77777777">
      <w:pPr>
        <w:widowControl/>
        <w:ind w:left="720"/>
        <w:rPr>
          <w:iCs/>
        </w:rPr>
      </w:pPr>
    </w:p>
    <w:p w:rsidRPr="00E13F70" w:rsidR="00735BE9" w:rsidP="004964C6" w:rsidRDefault="0027023C" w14:paraId="1E2C51AC" w14:textId="77777777">
      <w:pPr>
        <w:widowControl/>
        <w:ind w:left="720"/>
      </w:pPr>
      <w:r>
        <w:t>There are no questions of a sensitive nature.</w:t>
      </w:r>
    </w:p>
    <w:p w:rsidRPr="00E13F70" w:rsidR="00735BE9" w:rsidP="004964C6" w:rsidRDefault="00735BE9" w14:paraId="2545F14D" w14:textId="77777777">
      <w:pPr>
        <w:pStyle w:val="BodyTextIndent"/>
        <w:widowControl/>
        <w:ind w:left="720" w:firstLine="0"/>
      </w:pPr>
    </w:p>
    <w:p w:rsidRPr="000E0DAF" w:rsidR="00735BE9" w:rsidP="00E13F70" w:rsidRDefault="00735BE9" w14:paraId="0746EB32" w14:textId="77777777">
      <w:pPr>
        <w:pStyle w:val="Quick1"/>
        <w:widowControl/>
        <w:tabs>
          <w:tab w:val="clear" w:pos="360"/>
        </w:tabs>
        <w:ind w:left="720" w:hanging="720"/>
        <w:rPr>
          <w:sz w:val="24"/>
        </w:rPr>
      </w:pPr>
      <w:r w:rsidRPr="000E0DAF">
        <w:rPr>
          <w:sz w:val="24"/>
        </w:rPr>
        <w:t>Provide estimates of the hour burden of the collection of information.  The statement should:</w:t>
      </w:r>
    </w:p>
    <w:p w:rsidRPr="000E0DAF" w:rsidR="00735BE9" w:rsidP="00E13F70" w:rsidRDefault="00735BE9" w14:paraId="46B996EF" w14:textId="77777777">
      <w:pPr>
        <w:pStyle w:val="bulletlist"/>
        <w:widowControl/>
        <w:tabs>
          <w:tab w:val="clear" w:pos="-1440"/>
          <w:tab w:val="clear" w:pos="1080"/>
        </w:tabs>
        <w:ind w:left="1440"/>
        <w:rPr>
          <w:sz w:val="24"/>
        </w:rPr>
      </w:pPr>
      <w:r w:rsidRPr="000E0DAF">
        <w:rPr>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E0DAF" w:rsidR="00735BE9" w:rsidP="00E13F70" w:rsidRDefault="00735BE9" w14:paraId="58E02A63" w14:textId="77777777">
      <w:pPr>
        <w:pStyle w:val="bulletlist"/>
        <w:widowControl/>
        <w:tabs>
          <w:tab w:val="clear" w:pos="-1440"/>
          <w:tab w:val="clear" w:pos="1080"/>
        </w:tabs>
        <w:ind w:left="1440"/>
        <w:rPr>
          <w:sz w:val="24"/>
        </w:rPr>
      </w:pPr>
      <w:r w:rsidRPr="000E0DAF">
        <w:rPr>
          <w:sz w:val="24"/>
        </w:rPr>
        <w:t>If this request for approval covers more than one form, provide separate hour burden estimates for each form and aggregate the hour burdens in Item 13.</w:t>
      </w:r>
    </w:p>
    <w:p w:rsidRPr="000E0DAF" w:rsidR="00735BE9" w:rsidP="00E13F70" w:rsidRDefault="00735BE9" w14:paraId="2AC6F075" w14:textId="77777777">
      <w:pPr>
        <w:pStyle w:val="bulletlist"/>
        <w:widowControl/>
        <w:tabs>
          <w:tab w:val="clear" w:pos="-1440"/>
          <w:tab w:val="clear" w:pos="1080"/>
        </w:tabs>
        <w:ind w:left="1440"/>
        <w:rPr>
          <w:sz w:val="24"/>
        </w:rPr>
      </w:pPr>
      <w:r w:rsidRPr="000E0DAF">
        <w:rPr>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E13F70">
        <w:rPr>
          <w:sz w:val="24"/>
        </w:rPr>
        <w:t>should be included in Item 14.</w:t>
      </w:r>
    </w:p>
    <w:p w:rsidRPr="000E0DAF" w:rsidR="00735BE9" w:rsidP="00E13F70" w:rsidRDefault="00735BE9" w14:paraId="2D037FD6" w14:textId="77777777">
      <w:pPr>
        <w:widowControl/>
        <w:ind w:left="720"/>
      </w:pPr>
    </w:p>
    <w:p w:rsidRPr="000E0DAF" w:rsidR="009817FC" w:rsidP="00E13F70" w:rsidRDefault="009817FC" w14:paraId="7A4C0B95" w14:textId="77777777">
      <w:pPr>
        <w:widowControl/>
        <w:ind w:left="720"/>
      </w:pPr>
      <w:r w:rsidRPr="000E0DAF">
        <w:t xml:space="preserve">The information collection provisions of this regulation consist of three separate requirements:  (1) preparing the SAR; (2) distributing the SAR to the specified </w:t>
      </w:r>
      <w:r w:rsidRPr="000E0DAF">
        <w:lastRenderedPageBreak/>
        <w:t>participants and beneficiaries; and (3) responding to requests from participants and beneficiaries for any of the additional information specified in the regulation.</w:t>
      </w:r>
    </w:p>
    <w:p w:rsidRPr="000E0DAF" w:rsidR="009817FC" w:rsidP="00E13F70" w:rsidRDefault="009817FC" w14:paraId="526540F9" w14:textId="77777777">
      <w:pPr>
        <w:widowControl/>
        <w:ind w:left="720"/>
      </w:pPr>
    </w:p>
    <w:p w:rsidRPr="000E0DAF" w:rsidR="009817FC" w:rsidP="00E13F70" w:rsidRDefault="009817FC" w14:paraId="117A7563" w14:textId="3A73C207">
      <w:pPr>
        <w:widowControl/>
        <w:ind w:left="720"/>
      </w:pPr>
      <w:r w:rsidRPr="000E0DAF">
        <w:t>In estimating paperwork burden for this regulation, the Department estimated the time that would be required to comply with its information collection requirements, assuming that all disclosures will be prepared and distributed in-house by the plans.  Because most of the information that must be included in the SAR is derived directly from the Form 5500 annual report, the plans</w:t>
      </w:r>
      <w:r w:rsidRPr="000E0DAF" w:rsidR="00EE3556">
        <w:t>’</w:t>
      </w:r>
      <w:r w:rsidRPr="000E0DAF">
        <w:t xml:space="preserve"> professional and clerical staffs need only transfer the pertinent information from the Form 5500 to the </w:t>
      </w:r>
      <w:r w:rsidR="00485428">
        <w:t xml:space="preserve">SAR </w:t>
      </w:r>
      <w:r w:rsidRPr="000E0DAF">
        <w:t>form and</w:t>
      </w:r>
      <w:r w:rsidR="00485428">
        <w:t xml:space="preserve">, per the regulation, add an additional explanation section if the plan administrator determines that additional information is necessary to fairly </w:t>
      </w:r>
      <w:r w:rsidR="00ED1999">
        <w:t>summarize</w:t>
      </w:r>
      <w:r w:rsidR="00485428">
        <w:t xml:space="preserve"> the annual report.</w:t>
      </w:r>
      <w:r w:rsidRPr="000E0DAF">
        <w:t xml:space="preserve">  Additional time is required to reproduce and distribute the SAR to each participant and/or beneficiary.</w:t>
      </w:r>
    </w:p>
    <w:p w:rsidRPr="000E0DAF" w:rsidR="009817FC" w:rsidP="00E13F70" w:rsidRDefault="009817FC" w14:paraId="21F62425" w14:textId="77777777">
      <w:pPr>
        <w:widowControl/>
        <w:ind w:left="720"/>
      </w:pPr>
    </w:p>
    <w:p w:rsidRPr="000E0DAF" w:rsidR="009817FC" w:rsidP="00E13F70" w:rsidRDefault="009817FC" w14:paraId="7AD5565C" w14:textId="05E7475C">
      <w:pPr>
        <w:widowControl/>
        <w:ind w:left="720"/>
      </w:pPr>
      <w:r w:rsidRPr="000E0DAF">
        <w:t xml:space="preserve">Although the Department believes that a number of plans will </w:t>
      </w:r>
      <w:r w:rsidR="00485428">
        <w:t xml:space="preserve">use the plan’s third-party recordkeepers or other </w:t>
      </w:r>
      <w:r w:rsidRPr="000E0DAF">
        <w:t>service providers to comply with these information collection requirements, the Department has decided, for purposes of this burden estimate, to assume that all affected plans will use their own resources to do so.  The burden of preparation of the notices, therefore, is reported solely as an hour burden.</w:t>
      </w:r>
      <w:r w:rsidRPr="000E0DAF">
        <w:rPr>
          <w:rStyle w:val="FootnoteReference"/>
          <w:vertAlign w:val="superscript"/>
        </w:rPr>
        <w:footnoteReference w:id="1"/>
      </w:r>
    </w:p>
    <w:p w:rsidR="003217D1" w:rsidP="00E13F70" w:rsidRDefault="003217D1" w14:paraId="655F0D18" w14:textId="77777777">
      <w:pPr>
        <w:widowControl/>
        <w:ind w:left="720"/>
      </w:pPr>
    </w:p>
    <w:p w:rsidR="006C2C81" w:rsidP="00E13F70" w:rsidRDefault="009817FC" w14:paraId="0A862D5C" w14:textId="3EC4A931">
      <w:pPr>
        <w:widowControl/>
        <w:ind w:left="720"/>
      </w:pPr>
      <w:r w:rsidRPr="000E0DAF">
        <w:t xml:space="preserve">In order to develop estimates of the paperwork burden </w:t>
      </w:r>
      <w:r w:rsidR="003217D1">
        <w:t xml:space="preserve">associated </w:t>
      </w:r>
      <w:r w:rsidR="009C48FD">
        <w:t xml:space="preserve">with </w:t>
      </w:r>
      <w:r w:rsidRPr="000E0DAF" w:rsidR="009C48FD">
        <w:t>this</w:t>
      </w:r>
      <w:r w:rsidRPr="000E0DAF">
        <w:t xml:space="preserve"> regulation, the </w:t>
      </w:r>
      <w:r w:rsidRPr="004776B9">
        <w:t xml:space="preserve">Department first developed an estimate of the number of plans that will have to comply with the information collection requirements.  Based on Form 5500 data for the </w:t>
      </w:r>
      <w:r w:rsidRPr="004776B9" w:rsidR="002A47E8">
        <w:t>201</w:t>
      </w:r>
      <w:r w:rsidR="002A47E8">
        <w:t>8</w:t>
      </w:r>
      <w:r w:rsidRPr="004776B9" w:rsidR="002A47E8">
        <w:t xml:space="preserve"> </w:t>
      </w:r>
      <w:r w:rsidRPr="004776B9">
        <w:t>plan year</w:t>
      </w:r>
      <w:r w:rsidR="00485428">
        <w:t>, the latest research file for the Form 5500 data</w:t>
      </w:r>
      <w:r w:rsidRPr="004776B9">
        <w:t xml:space="preserve"> </w:t>
      </w:r>
      <w:r w:rsidR="003D08E9">
        <w:t xml:space="preserve">that </w:t>
      </w:r>
      <w:r w:rsidRPr="004776B9">
        <w:t>provide</w:t>
      </w:r>
      <w:r w:rsidR="00151605">
        <w:t>s</w:t>
      </w:r>
      <w:r w:rsidRPr="004776B9">
        <w:t xml:space="preserve"> the most reliable information available, the Department estimates that approximately </w:t>
      </w:r>
      <w:r w:rsidR="002A47E8">
        <w:t>761,170</w:t>
      </w:r>
      <w:r w:rsidR="00CB31B5">
        <w:t xml:space="preserve"> </w:t>
      </w:r>
      <w:r w:rsidRPr="004776B9">
        <w:t>plans</w:t>
      </w:r>
      <w:r w:rsidRPr="004776B9">
        <w:rPr>
          <w:rStyle w:val="FootnoteReference"/>
          <w:color w:val="000000"/>
          <w:vertAlign w:val="superscript"/>
        </w:rPr>
        <w:footnoteReference w:id="2"/>
      </w:r>
      <w:r w:rsidRPr="004776B9">
        <w:rPr>
          <w:vertAlign w:val="superscript"/>
        </w:rPr>
        <w:t xml:space="preserve"> </w:t>
      </w:r>
      <w:r w:rsidRPr="004776B9">
        <w:t xml:space="preserve">annually must provide an SAR under the regulation.  </w:t>
      </w:r>
      <w:r w:rsidRPr="004776B9" w:rsidR="004C75F5">
        <w:t>Next, t</w:t>
      </w:r>
      <w:r w:rsidRPr="004776B9">
        <w:t>he Department developed an estimate of the number of participants and beneficiaries to whom the SAR</w:t>
      </w:r>
      <w:r w:rsidRPr="000E0DAF">
        <w:t xml:space="preserve"> must be provided.  Based on </w:t>
      </w:r>
      <w:r w:rsidR="009E5FA5">
        <w:t>2018</w:t>
      </w:r>
      <w:r w:rsidRPr="000E0DAF" w:rsidR="009E5FA5">
        <w:t xml:space="preserve"> </w:t>
      </w:r>
      <w:r w:rsidRPr="000E0DAF">
        <w:t xml:space="preserve">Form 5500 data, the Department estimates that </w:t>
      </w:r>
      <w:r w:rsidRPr="004776B9">
        <w:t xml:space="preserve">each year a total of </w:t>
      </w:r>
      <w:r w:rsidR="009E5FA5">
        <w:t>177</w:t>
      </w:r>
      <w:r w:rsidRPr="004776B9">
        <w:rPr>
          <w:color w:val="000000"/>
        </w:rPr>
        <w:t xml:space="preserve"> million</w:t>
      </w:r>
      <w:r w:rsidRPr="000E0DAF">
        <w:t xml:space="preserve"> participants and beneficiaries will receive an SAR.  </w:t>
      </w:r>
    </w:p>
    <w:p w:rsidR="006C2C81" w:rsidP="00E13F70" w:rsidRDefault="006C2C81" w14:paraId="5886DB84" w14:textId="77777777">
      <w:pPr>
        <w:widowControl/>
        <w:ind w:left="720"/>
      </w:pPr>
    </w:p>
    <w:p w:rsidR="00F31EA3" w:rsidP="0076144D" w:rsidRDefault="006C2C81" w14:paraId="48A04087" w14:textId="77777777">
      <w:pPr>
        <w:widowControl/>
        <w:ind w:left="720"/>
      </w:pPr>
      <w:r>
        <w:t>A</w:t>
      </w:r>
      <w:r w:rsidR="0076144D">
        <w:t xml:space="preserve"> </w:t>
      </w:r>
      <w:r>
        <w:t>one-time transition cost</w:t>
      </w:r>
      <w:r w:rsidR="0076144D">
        <w:t xml:space="preserve"> is included</w:t>
      </w:r>
      <w:r w:rsidR="00F31EA3">
        <w:t xml:space="preserve"> </w:t>
      </w:r>
      <w:r w:rsidR="0076144D">
        <w:t xml:space="preserve">to reflect additions to the SAR in response to the new filing option for DCG reporting arrangements and the addition of the new Schedule </w:t>
      </w:r>
      <w:r w:rsidR="0076144D">
        <w:lastRenderedPageBreak/>
        <w:t>MEP and Schedule</w:t>
      </w:r>
      <w:r w:rsidRPr="0076144D" w:rsidR="0076144D">
        <w:t xml:space="preserve"> </w:t>
      </w:r>
      <w:r w:rsidR="0076144D">
        <w:t>DCG to the</w:t>
      </w:r>
      <w:r w:rsidRPr="00D834C1" w:rsidR="0076144D">
        <w:t xml:space="preserve"> 5500</w:t>
      </w:r>
      <w:r w:rsidR="0076144D">
        <w:t xml:space="preserve"> Annual Report/Return he SECURE Act. T</w:t>
      </w:r>
      <w:r w:rsidR="00A32D26">
        <w:t xml:space="preserve">he Department estimates there will be 4,805 plans using </w:t>
      </w:r>
      <w:r w:rsidR="00EF5E42">
        <w:t xml:space="preserve">the </w:t>
      </w:r>
      <w:r w:rsidR="00A32D26">
        <w:t xml:space="preserve">Schedule MEP for reporting </w:t>
      </w:r>
      <w:r w:rsidR="001076AD">
        <w:t>purposes</w:t>
      </w:r>
      <w:r w:rsidR="00A32D26">
        <w:t xml:space="preserve"> (4,730 MEPs and 75 PEPs)</w:t>
      </w:r>
      <w:r w:rsidR="00EF5E42">
        <w:t>, and 15,350 plans associated with a DCG.</w:t>
      </w:r>
      <w:r w:rsidR="00A32D26">
        <w:t xml:space="preserve"> </w:t>
      </w:r>
    </w:p>
    <w:p w:rsidR="00F31EA3" w:rsidP="00E13F70" w:rsidRDefault="00F31EA3" w14:paraId="46D85242" w14:textId="77777777">
      <w:pPr>
        <w:widowControl/>
        <w:ind w:left="720"/>
      </w:pPr>
    </w:p>
    <w:p w:rsidRPr="000E0DAF" w:rsidR="009817FC" w:rsidP="00CD2CA3" w:rsidRDefault="00612D29" w14:paraId="73D8984C" w14:textId="77777777">
      <w:pPr>
        <w:widowControl/>
      </w:pPr>
      <w:r>
        <w:tab/>
      </w:r>
      <w:r w:rsidRPr="000E0DAF" w:rsidR="009817FC">
        <w:t>The</w:t>
      </w:r>
      <w:r w:rsidR="006C2C81">
        <w:t xml:space="preserve"> total</w:t>
      </w:r>
      <w:r w:rsidRPr="000E0DAF" w:rsidR="009817FC">
        <w:t xml:space="preserve"> burden is described as hour burden below.</w:t>
      </w:r>
    </w:p>
    <w:p w:rsidRPr="000E0DAF" w:rsidR="009817FC" w:rsidP="00E13F70" w:rsidRDefault="009817FC" w14:paraId="57579225" w14:textId="77777777">
      <w:pPr>
        <w:widowControl/>
        <w:ind w:left="720"/>
      </w:pPr>
    </w:p>
    <w:p w:rsidR="009817FC" w:rsidP="00E13F70" w:rsidRDefault="009817FC" w14:paraId="558E7D11" w14:textId="5D02FFB1">
      <w:pPr>
        <w:widowControl/>
        <w:ind w:left="720"/>
      </w:pPr>
      <w:r w:rsidRPr="000E0DAF">
        <w:rPr>
          <w:i/>
          <w:u w:val="single"/>
        </w:rPr>
        <w:t>Preparation.</w:t>
      </w:r>
      <w:r w:rsidRPr="000E0DAF">
        <w:rPr>
          <w:i/>
        </w:rPr>
        <w:t xml:space="preserve">  </w:t>
      </w:r>
      <w:r w:rsidR="00693D91">
        <w:t>T</w:t>
      </w:r>
      <w:r w:rsidRPr="000E0DAF">
        <w:t xml:space="preserve">he Department </w:t>
      </w:r>
      <w:r w:rsidRPr="004776B9">
        <w:t xml:space="preserve">assumes that preparing the SAR will take each plan 30 minutes of </w:t>
      </w:r>
      <w:r w:rsidR="0001270A">
        <w:t xml:space="preserve">a </w:t>
      </w:r>
      <w:r w:rsidR="00716EE8">
        <w:t>benefit specialist</w:t>
      </w:r>
      <w:r w:rsidRPr="004776B9">
        <w:t xml:space="preserve"> time.  The Department estimates that </w:t>
      </w:r>
      <w:r w:rsidR="005B738F">
        <w:t xml:space="preserve">761,170 </w:t>
      </w:r>
      <w:r w:rsidRPr="004776B9">
        <w:t>plans (</w:t>
      </w:r>
      <w:r w:rsidR="005B738F">
        <w:t>672,268</w:t>
      </w:r>
      <w:r w:rsidRPr="004776B9" w:rsidR="001F4C96">
        <w:t xml:space="preserve"> </w:t>
      </w:r>
      <w:r w:rsidRPr="004776B9">
        <w:t xml:space="preserve">pension plans and </w:t>
      </w:r>
      <w:r w:rsidR="005B738F">
        <w:t>88,902</w:t>
      </w:r>
      <w:r w:rsidRPr="004776B9" w:rsidR="001F4C96">
        <w:t xml:space="preserve"> </w:t>
      </w:r>
      <w:r w:rsidRPr="004776B9">
        <w:t xml:space="preserve">welfare benefit plans) will prepare SARs annually. </w:t>
      </w:r>
      <w:r w:rsidRPr="004776B9" w:rsidR="004C75F5">
        <w:t xml:space="preserve"> </w:t>
      </w:r>
      <w:r w:rsidRPr="004776B9">
        <w:t xml:space="preserve">The annual hour burden estimate for </w:t>
      </w:r>
      <w:r w:rsidR="006B46ED">
        <w:t xml:space="preserve">this </w:t>
      </w:r>
      <w:r w:rsidR="00761C08">
        <w:t>recurrent</w:t>
      </w:r>
      <w:r w:rsidR="00A93219">
        <w:t xml:space="preserve"> </w:t>
      </w:r>
      <w:r w:rsidR="006B46ED">
        <w:t>preparation</w:t>
      </w:r>
      <w:r w:rsidRPr="004776B9">
        <w:t xml:space="preserve"> is therefore </w:t>
      </w:r>
      <w:r w:rsidR="00242B4A">
        <w:t xml:space="preserve">380,585 </w:t>
      </w:r>
      <w:r w:rsidRPr="000E0DAF">
        <w:t xml:space="preserve">hours of </w:t>
      </w:r>
      <w:r w:rsidR="0001270A">
        <w:t xml:space="preserve">a </w:t>
      </w:r>
      <w:r w:rsidRPr="00716EE8" w:rsidR="00716EE8">
        <w:t>benefit specialist</w:t>
      </w:r>
      <w:r w:rsidRPr="000E0DAF">
        <w:t xml:space="preserve"> time. </w:t>
      </w:r>
      <w:r w:rsidRPr="000E0DAF" w:rsidR="004C75F5">
        <w:t xml:space="preserve"> </w:t>
      </w:r>
      <w:r w:rsidRPr="000E0DAF">
        <w:t xml:space="preserve">The </w:t>
      </w:r>
      <w:r w:rsidRPr="004776B9">
        <w:t>equivalent cost of these hours, at $</w:t>
      </w:r>
      <w:r w:rsidR="00716EE8">
        <w:t>102.9</w:t>
      </w:r>
      <w:r w:rsidRPr="00EF5D8F">
        <w:t xml:space="preserve"> per hour for a </w:t>
      </w:r>
      <w:r w:rsidRPr="00716EE8" w:rsidR="00716EE8">
        <w:t>benefit specialist</w:t>
      </w:r>
      <w:r w:rsidRPr="00EF5D8F" w:rsidR="00EE3556">
        <w:t>’</w:t>
      </w:r>
      <w:r w:rsidRPr="00EF5D8F">
        <w:t>s time</w:t>
      </w:r>
      <w:r w:rsidRPr="00EF5D8F" w:rsidR="00B21F9C">
        <w:t>,</w:t>
      </w:r>
      <w:r w:rsidRPr="004776B9">
        <w:rPr>
          <w:rStyle w:val="FootnoteReference"/>
          <w:vertAlign w:val="superscript"/>
        </w:rPr>
        <w:footnoteReference w:id="3"/>
      </w:r>
      <w:r w:rsidRPr="004776B9">
        <w:t xml:space="preserve"> would be $</w:t>
      </w:r>
      <w:r w:rsidR="00716EE8">
        <w:t>39.1</w:t>
      </w:r>
      <w:r w:rsidRPr="00EF5D8F">
        <w:t xml:space="preserve"> million.</w:t>
      </w:r>
    </w:p>
    <w:p w:rsidR="00693D91" w:rsidP="00E13F70" w:rsidRDefault="00693D91" w14:paraId="5660D708" w14:textId="77777777">
      <w:pPr>
        <w:widowControl/>
        <w:ind w:left="720"/>
      </w:pPr>
    </w:p>
    <w:p w:rsidR="00693D91" w:rsidP="00E13F70" w:rsidRDefault="00070C04" w14:paraId="5C263049" w14:textId="654E9197">
      <w:pPr>
        <w:widowControl/>
        <w:ind w:left="720"/>
      </w:pPr>
      <w:r>
        <w:t>The Department estimates a</w:t>
      </w:r>
      <w:r w:rsidR="00C802B4">
        <w:t xml:space="preserve"> </w:t>
      </w:r>
      <w:r w:rsidRPr="00693D91" w:rsidR="00693D91">
        <w:t>one-time transition cost</w:t>
      </w:r>
      <w:r w:rsidR="00693D91">
        <w:t xml:space="preserve"> corresponding</w:t>
      </w:r>
      <w:r w:rsidR="00C802B4">
        <w:t xml:space="preserve"> to the proposed requirement</w:t>
      </w:r>
      <w:r w:rsidR="00693D91">
        <w:t xml:space="preserve"> </w:t>
      </w:r>
      <w:r>
        <w:t xml:space="preserve">of </w:t>
      </w:r>
      <w:r w:rsidR="00C802B4">
        <w:t>adding</w:t>
      </w:r>
      <w:r>
        <w:t xml:space="preserve"> </w:t>
      </w:r>
      <w:r w:rsidRPr="00070C04">
        <w:t>new text</w:t>
      </w:r>
      <w:r w:rsidR="00C802B4">
        <w:t xml:space="preserve"> to the existing </w:t>
      </w:r>
      <w:r w:rsidR="00485428">
        <w:t xml:space="preserve">form </w:t>
      </w:r>
      <w:r w:rsidR="00C802B4">
        <w:t>language in the DOL’s regulation</w:t>
      </w:r>
      <w:r>
        <w:t>.</w:t>
      </w:r>
      <w:r w:rsidR="00C802B4">
        <w:t xml:space="preserve"> </w:t>
      </w:r>
      <w:r>
        <w:t>P</w:t>
      </w:r>
      <w:r w:rsidR="00C802B4">
        <w:t>lans would use</w:t>
      </w:r>
      <w:r>
        <w:t xml:space="preserve"> this text</w:t>
      </w:r>
      <w:r w:rsidR="00C802B4">
        <w:t xml:space="preserve"> to provide a brief description of the plan based on the plan characteristic codes</w:t>
      </w:r>
      <w:r w:rsidR="003C4481">
        <w:t>, which are</w:t>
      </w:r>
      <w:r w:rsidR="00C802B4">
        <w:t xml:space="preserve"> listed for the plan on the Form 5500, including whether it is a defined contribution or defined benefit plan, and whether the plan is a pooled employer plan, another type of multiple employer plan, a single employer plan, or a plan participating in a DCG reporting arrangement, respectively. </w:t>
      </w:r>
      <w:r w:rsidR="00693D91">
        <w:t xml:space="preserve"> </w:t>
      </w:r>
      <w:r w:rsidR="00C802B4">
        <w:t>Making this addition</w:t>
      </w:r>
      <w:r w:rsidR="00693D91">
        <w:t xml:space="preserve"> will take 5 minutes of </w:t>
      </w:r>
      <w:r w:rsidR="0001270A">
        <w:t xml:space="preserve">a </w:t>
      </w:r>
      <w:r w:rsidRPr="00716EE8" w:rsidR="00716EE8">
        <w:t xml:space="preserve">benefit specialist </w:t>
      </w:r>
      <w:r w:rsidR="00693D91">
        <w:t xml:space="preserve">time for each plan, making a total </w:t>
      </w:r>
      <w:r w:rsidR="001076AD">
        <w:t xml:space="preserve">annual hour burden of </w:t>
      </w:r>
      <w:r w:rsidR="00693D91">
        <w:t>63.431 hours</w:t>
      </w:r>
      <w:r w:rsidR="001076AD">
        <w:t xml:space="preserve"> of </w:t>
      </w:r>
      <w:r w:rsidR="0001270A">
        <w:t xml:space="preserve">a </w:t>
      </w:r>
      <w:r w:rsidRPr="00716EE8" w:rsidR="00716EE8">
        <w:t xml:space="preserve">benefit specialist </w:t>
      </w:r>
      <w:r w:rsidR="001076AD">
        <w:t>time.</w:t>
      </w:r>
      <w:r w:rsidRPr="001076AD" w:rsidR="001076AD">
        <w:t xml:space="preserve"> The equivalent cost of these hours, at $</w:t>
      </w:r>
      <w:r w:rsidRPr="00716EE8" w:rsidR="00716EE8">
        <w:t xml:space="preserve">102.9 </w:t>
      </w:r>
      <w:r w:rsidRPr="001076AD" w:rsidR="001076AD">
        <w:t xml:space="preserve">per hour for a </w:t>
      </w:r>
      <w:r w:rsidR="00300843">
        <w:t>benefit specialist’s</w:t>
      </w:r>
      <w:r w:rsidRPr="001076AD" w:rsidR="001076AD">
        <w:t xml:space="preserve"> time, would be $</w:t>
      </w:r>
      <w:r w:rsidR="00716EE8">
        <w:t>6.5</w:t>
      </w:r>
      <w:r w:rsidRPr="001076AD" w:rsidR="001076AD">
        <w:t xml:space="preserve"> million.</w:t>
      </w:r>
    </w:p>
    <w:p w:rsidR="001076AD" w:rsidP="00E13F70" w:rsidRDefault="001076AD" w14:paraId="40174D51" w14:textId="77777777">
      <w:pPr>
        <w:widowControl/>
        <w:ind w:left="720"/>
      </w:pPr>
    </w:p>
    <w:p w:rsidR="006B46ED" w:rsidP="001076AD" w:rsidRDefault="00070C04" w14:paraId="687882B2" w14:textId="43B782E0">
      <w:pPr>
        <w:widowControl/>
        <w:ind w:left="720"/>
      </w:pPr>
      <w:r>
        <w:t>The Department estimates a</w:t>
      </w:r>
      <w:r w:rsidRPr="001076AD" w:rsidR="001076AD">
        <w:t xml:space="preserve"> one-time transition cost </w:t>
      </w:r>
      <w:r w:rsidR="00575FDC">
        <w:t>of $</w:t>
      </w:r>
      <w:r w:rsidR="00716EE8">
        <w:t>131,624</w:t>
      </w:r>
      <w:r w:rsidR="00575FDC">
        <w:t xml:space="preserve"> </w:t>
      </w:r>
      <w:r w:rsidRPr="001076AD" w:rsidR="001076AD">
        <w:t xml:space="preserve">corresponding to </w:t>
      </w:r>
      <w:r w:rsidR="00095C80">
        <w:t>the</w:t>
      </w:r>
      <w:r w:rsidR="00C802B4">
        <w:t xml:space="preserve"> proposed requirement </w:t>
      </w:r>
      <w:r>
        <w:t xml:space="preserve">of </w:t>
      </w:r>
      <w:r w:rsidR="00C802B4">
        <w:t>adding new regulatory language</w:t>
      </w:r>
      <w:r w:rsidR="00575FDC">
        <w:t xml:space="preserve"> described above  </w:t>
      </w:r>
      <w:r w:rsidR="00C802B4">
        <w:t>T</w:t>
      </w:r>
      <w:r w:rsidRPr="001076AD" w:rsidR="001076AD">
        <w:t xml:space="preserve">he Department estimates </w:t>
      </w:r>
      <w:r w:rsidR="00B852D3">
        <w:t>that making this addition</w:t>
      </w:r>
      <w:r w:rsidRPr="001076AD" w:rsidR="001076AD">
        <w:t xml:space="preserve"> will take 5 minutes of </w:t>
      </w:r>
      <w:r w:rsidR="0001270A">
        <w:t xml:space="preserve">a </w:t>
      </w:r>
      <w:r w:rsidR="004A00A9">
        <w:t>benefit specialist</w:t>
      </w:r>
      <w:r w:rsidRPr="001076AD" w:rsidR="001076AD">
        <w:t xml:space="preserve"> time for each plan</w:t>
      </w:r>
      <w:r w:rsidR="001076AD">
        <w:t xml:space="preserve">. </w:t>
      </w:r>
      <w:r w:rsidRPr="001076AD" w:rsidR="001076AD">
        <w:t xml:space="preserve">The Department estimates there will be 4,805 plans using the Schedule MEP for reporting </w:t>
      </w:r>
      <w:r w:rsidR="001076AD">
        <w:t xml:space="preserve">purposes, </w:t>
      </w:r>
      <w:r w:rsidR="00575FDC">
        <w:t>and</w:t>
      </w:r>
      <w:r w:rsidR="001076AD">
        <w:t xml:space="preserve"> 15,350 </w:t>
      </w:r>
      <w:r w:rsidRPr="001076AD" w:rsidR="001076AD">
        <w:t xml:space="preserve">plans </w:t>
      </w:r>
      <w:r w:rsidR="001076AD">
        <w:t>associated with a DCG</w:t>
      </w:r>
      <w:r w:rsidR="009D1A56">
        <w:t xml:space="preserve">.  </w:t>
      </w:r>
      <w:r w:rsidR="006B46ED">
        <w:t xml:space="preserve">In total, </w:t>
      </w:r>
      <w:r w:rsidR="00575FDC">
        <w:t xml:space="preserve">adding this one time transition cost, </w:t>
      </w:r>
      <w:r w:rsidR="006B46ED">
        <w:t>the Department estimates t</w:t>
      </w:r>
      <w:r w:rsidRPr="006B46ED" w:rsidR="006B46ED">
        <w:t xml:space="preserve">he </w:t>
      </w:r>
      <w:r w:rsidR="00575FDC">
        <w:t xml:space="preserve">overall </w:t>
      </w:r>
      <w:r w:rsidRPr="006B46ED" w:rsidR="006B46ED">
        <w:t>annual hour burden for</w:t>
      </w:r>
      <w:r w:rsidR="006B46ED">
        <w:t xml:space="preserve"> the</w:t>
      </w:r>
      <w:r w:rsidRPr="006B46ED" w:rsidR="006B46ED">
        <w:t xml:space="preserve"> preparation of the SAR</w:t>
      </w:r>
      <w:r w:rsidR="0027495E">
        <w:t>, for the first year,</w:t>
      </w:r>
      <w:r w:rsidR="006B46ED">
        <w:t xml:space="preserve"> is 445,695 hours of </w:t>
      </w:r>
      <w:r w:rsidR="0001270A">
        <w:t xml:space="preserve">a </w:t>
      </w:r>
      <w:r w:rsidRPr="00716EE8" w:rsidR="00300843">
        <w:t>benefit specialist</w:t>
      </w:r>
      <w:r w:rsidR="006B46ED">
        <w:t xml:space="preserve"> time, which </w:t>
      </w:r>
      <w:r w:rsidRPr="006B46ED" w:rsidR="006B46ED">
        <w:t>at $</w:t>
      </w:r>
      <w:r w:rsidR="00300843">
        <w:t>102.9</w:t>
      </w:r>
      <w:r w:rsidRPr="00EF5D8F" w:rsidR="00300843">
        <w:t xml:space="preserve"> </w:t>
      </w:r>
      <w:r w:rsidRPr="006B46ED" w:rsidR="006B46ED">
        <w:t xml:space="preserve">per hour for a </w:t>
      </w:r>
      <w:r w:rsidRPr="00716EE8" w:rsidR="00300843">
        <w:t>benefit specialist</w:t>
      </w:r>
      <w:r w:rsidRPr="006B46ED" w:rsidR="006B46ED">
        <w:t>’s time</w:t>
      </w:r>
      <w:r w:rsidR="006B46ED">
        <w:t xml:space="preserve"> is equivalent</w:t>
      </w:r>
      <w:r w:rsidRPr="006B46ED" w:rsidR="006B46ED">
        <w:t xml:space="preserve"> </w:t>
      </w:r>
      <w:r w:rsidR="006B46ED">
        <w:t>to</w:t>
      </w:r>
      <w:r w:rsidRPr="006B46ED" w:rsidR="006B46ED">
        <w:t xml:space="preserve"> $</w:t>
      </w:r>
      <w:r w:rsidR="00300843">
        <w:t>45.8</w:t>
      </w:r>
      <w:r w:rsidRPr="006B46ED" w:rsidR="006B46ED">
        <w:t xml:space="preserve"> million.</w:t>
      </w:r>
    </w:p>
    <w:p w:rsidR="009870B2" w:rsidP="001076AD" w:rsidRDefault="009870B2" w14:paraId="723AD029" w14:textId="77777777">
      <w:pPr>
        <w:widowControl/>
        <w:ind w:left="720"/>
      </w:pPr>
    </w:p>
    <w:p w:rsidRPr="000E0DAF" w:rsidR="009817FC" w:rsidP="00E13F70" w:rsidRDefault="009817FC" w14:paraId="5550AB81" w14:textId="42E55AC4">
      <w:pPr>
        <w:widowControl/>
        <w:ind w:left="720"/>
      </w:pPr>
      <w:r w:rsidRPr="000E0DAF">
        <w:rPr>
          <w:i/>
          <w:u w:val="single"/>
        </w:rPr>
        <w:t>Distribution.</w:t>
      </w:r>
      <w:r w:rsidRPr="000E0DAF">
        <w:t xml:space="preserve">  The Department </w:t>
      </w:r>
      <w:r w:rsidRPr="00EF5D8F">
        <w:t xml:space="preserve">estimates that </w:t>
      </w:r>
      <w:r w:rsidR="00930F42">
        <w:t>177</w:t>
      </w:r>
      <w:r w:rsidRPr="00EF5D8F">
        <w:rPr>
          <w:color w:val="000000"/>
        </w:rPr>
        <w:t xml:space="preserve"> million</w:t>
      </w:r>
      <w:r w:rsidRPr="00EF5D8F">
        <w:t xml:space="preserve"> </w:t>
      </w:r>
      <w:r w:rsidRPr="00EF5D8F" w:rsidR="00E32639">
        <w:t>policyholders</w:t>
      </w:r>
      <w:r w:rsidRPr="00EF5D8F">
        <w:t xml:space="preserve"> will receive SARs annually.  </w:t>
      </w:r>
      <w:r w:rsidRPr="00EF5D8F" w:rsidR="004C07AF">
        <w:t>T</w:t>
      </w:r>
      <w:r w:rsidRPr="00EF5D8F">
        <w:t xml:space="preserve">he Department has assumed that </w:t>
      </w:r>
      <w:r w:rsidR="003110DE">
        <w:t>83.3</w:t>
      </w:r>
      <w:r w:rsidRPr="00EF5D8F" w:rsidR="004C07AF">
        <w:t xml:space="preserve"> </w:t>
      </w:r>
      <w:r w:rsidRPr="00EF5D8F">
        <w:t>percent of these individuals (</w:t>
      </w:r>
      <w:r w:rsidR="003110DE">
        <w:t>147.5</w:t>
      </w:r>
      <w:r w:rsidRPr="00EF5D8F" w:rsidR="00DD48A0">
        <w:t xml:space="preserve"> </w:t>
      </w:r>
      <w:r w:rsidRPr="00EF5D8F">
        <w:t>million individuals) annually will receive SARs through electronic means in accordance with the Department</w:t>
      </w:r>
      <w:r w:rsidRPr="00EF5D8F" w:rsidR="00EE3556">
        <w:t>’</w:t>
      </w:r>
      <w:r w:rsidRPr="00EF5D8F">
        <w:t>s standards for electronic communication of required information</w:t>
      </w:r>
      <w:r w:rsidRPr="000E0DAF">
        <w:t xml:space="preserve"> under 29 </w:t>
      </w:r>
      <w:r w:rsidRPr="000E0DAF" w:rsidR="0084089D">
        <w:t xml:space="preserve">C.F.R. </w:t>
      </w:r>
      <w:r w:rsidRPr="000E0DAF" w:rsidR="00DF43AB">
        <w:t>§</w:t>
      </w:r>
      <w:r w:rsidRPr="000E0DAF">
        <w:t xml:space="preserve"> 2520.104b-1(c)</w:t>
      </w:r>
      <w:r w:rsidR="006B676A">
        <w:t xml:space="preserve"> </w:t>
      </w:r>
      <w:r w:rsidRPr="002E6551" w:rsidR="006B676A">
        <w:t>and 2520.104b-31 (in the case of pension plans)</w:t>
      </w:r>
      <w:r w:rsidRPr="000E0DAF">
        <w:t xml:space="preserve">.  </w:t>
      </w:r>
      <w:r w:rsidRPr="000E0DAF" w:rsidR="00997736">
        <w:t>T</w:t>
      </w:r>
      <w:r w:rsidRPr="000E0DAF">
        <w:t>he Department believes that plans will use their existing electronic communications systems for these purposes</w:t>
      </w:r>
      <w:r w:rsidRPr="000E0DAF" w:rsidR="007B4E4E">
        <w:t>.</w:t>
      </w:r>
      <w:r w:rsidRPr="000E0DAF">
        <w:t xml:space="preserve"> </w:t>
      </w:r>
      <w:r w:rsidRPr="000E0DAF" w:rsidR="002D6094">
        <w:t xml:space="preserve"> </w:t>
      </w:r>
      <w:r w:rsidRPr="000E0DAF" w:rsidR="007B4E4E">
        <w:t>T</w:t>
      </w:r>
      <w:r w:rsidRPr="000E0DAF">
        <w:t xml:space="preserve">he process of preparation and distribution </w:t>
      </w:r>
      <w:r w:rsidRPr="000E0DAF" w:rsidR="00997736">
        <w:t xml:space="preserve">will require </w:t>
      </w:r>
      <w:r w:rsidRPr="00EF5D8F" w:rsidR="00997736">
        <w:t xml:space="preserve">each of the </w:t>
      </w:r>
      <w:r w:rsidR="009B6D2A">
        <w:t xml:space="preserve">761,170 </w:t>
      </w:r>
      <w:r w:rsidRPr="00EF5D8F" w:rsidR="00997736">
        <w:t>plans to use</w:t>
      </w:r>
      <w:r w:rsidRPr="000E0DAF" w:rsidR="00997736">
        <w:t xml:space="preserve"> an </w:t>
      </w:r>
      <w:r w:rsidRPr="00EF5D8F" w:rsidR="00997736">
        <w:t xml:space="preserve">additional two minutes of clerical time </w:t>
      </w:r>
      <w:r w:rsidRPr="00EF5D8F" w:rsidR="00A81B9B">
        <w:t xml:space="preserve">per plan </w:t>
      </w:r>
      <w:r w:rsidRPr="00EF5D8F" w:rsidR="00997736">
        <w:t xml:space="preserve">to distribute the electronically provided SARs.  </w:t>
      </w:r>
      <w:r w:rsidRPr="00EF5D8F" w:rsidR="00A81B9B">
        <w:t xml:space="preserve">This will result in an annual burden estimate of </w:t>
      </w:r>
      <w:r w:rsidR="009B6D2A">
        <w:t>25,372</w:t>
      </w:r>
      <w:r w:rsidRPr="00EF5D8F" w:rsidR="00A81B9B">
        <w:t xml:space="preserve"> hours</w:t>
      </w:r>
      <w:r w:rsidRPr="00EF5D8F" w:rsidR="005963EB">
        <w:t>.  The equivalent cost of these hours, at $</w:t>
      </w:r>
      <w:r w:rsidR="002234FF">
        <w:t>55.23</w:t>
      </w:r>
      <w:r w:rsidRPr="00EF5D8F" w:rsidR="005963EB">
        <w:t xml:space="preserve"> per hour for a </w:t>
      </w:r>
      <w:r w:rsidRPr="00EF5D8F" w:rsidR="006B62B9">
        <w:t xml:space="preserve">mail </w:t>
      </w:r>
      <w:r w:rsidRPr="00EF5D8F" w:rsidR="005963EB">
        <w:t xml:space="preserve">clerical staff person’s time, would be </w:t>
      </w:r>
      <w:r w:rsidRPr="00EF5D8F" w:rsidR="00F14D82">
        <w:t>$</w:t>
      </w:r>
      <w:r w:rsidR="009B6D2A">
        <w:t>1.</w:t>
      </w:r>
      <w:r w:rsidR="00F147A9">
        <w:t>40</w:t>
      </w:r>
      <w:r w:rsidRPr="00EF5D8F" w:rsidR="004C07AF">
        <w:t xml:space="preserve"> million</w:t>
      </w:r>
      <w:r w:rsidRPr="000E0DAF" w:rsidR="00A81B9B">
        <w:t>.</w:t>
      </w:r>
    </w:p>
    <w:p w:rsidRPr="000E0DAF" w:rsidR="009817FC" w:rsidP="00E13F70" w:rsidRDefault="009817FC" w14:paraId="12D06263" w14:textId="77777777">
      <w:pPr>
        <w:widowControl/>
        <w:ind w:left="720"/>
      </w:pPr>
    </w:p>
    <w:p w:rsidRPr="000E0DAF" w:rsidR="009817FC" w:rsidP="00E13F70" w:rsidRDefault="009817FC" w14:paraId="5F5B205E" w14:textId="77777777">
      <w:pPr>
        <w:widowControl/>
        <w:ind w:left="720"/>
      </w:pPr>
      <w:r w:rsidRPr="000E0DAF">
        <w:t>The Department assumes that the remai</w:t>
      </w:r>
      <w:r w:rsidRPr="00EF5D8F">
        <w:t xml:space="preserve">ning </w:t>
      </w:r>
      <w:r w:rsidR="003110DE">
        <w:t>29.6</w:t>
      </w:r>
      <w:r w:rsidRPr="00EF5D8F" w:rsidR="003732E8">
        <w:t xml:space="preserve"> </w:t>
      </w:r>
      <w:r w:rsidRPr="00EF5D8F">
        <w:t>million participants and beneficiaries (</w:t>
      </w:r>
      <w:r w:rsidR="003110DE">
        <w:t>16.7</w:t>
      </w:r>
      <w:r w:rsidRPr="00EF5D8F" w:rsidR="00C57F13">
        <w:t xml:space="preserve"> </w:t>
      </w:r>
      <w:r w:rsidRPr="00EF5D8F">
        <w:t xml:space="preserve">percent of </w:t>
      </w:r>
      <w:r w:rsidR="00C2413F">
        <w:t>177</w:t>
      </w:r>
      <w:r w:rsidRPr="00EF5D8F">
        <w:rPr>
          <w:color w:val="000000"/>
        </w:rPr>
        <w:t xml:space="preserve"> million</w:t>
      </w:r>
      <w:r w:rsidRPr="00EF5D8F">
        <w:t xml:space="preserve"> individuals) will annually receive SARs by mail.  Reproduction and distribution of each SAR is estimated to take one minute of clerical time.  Therefore, the Department estimates an additional annual hour burden for </w:t>
      </w:r>
      <w:r w:rsidRPr="00EF5D8F" w:rsidR="00A81B9B">
        <w:t xml:space="preserve">mail </w:t>
      </w:r>
      <w:r w:rsidRPr="00EF5D8F">
        <w:t xml:space="preserve">distribution of </w:t>
      </w:r>
      <w:r w:rsidR="003110DE">
        <w:rPr>
          <w:color w:val="000000"/>
        </w:rPr>
        <w:t>492,739</w:t>
      </w:r>
      <w:r w:rsidRPr="00EF5D8F">
        <w:t xml:space="preserve"> hours.  The equivalent cost of these hours, at </w:t>
      </w:r>
      <w:r w:rsidRPr="002234FF" w:rsidR="002234FF">
        <w:t xml:space="preserve">$55.23 </w:t>
      </w:r>
      <w:r w:rsidRPr="00EF5D8F">
        <w:t xml:space="preserve">per hour, is </w:t>
      </w:r>
      <w:r w:rsidRPr="00EF5D8F">
        <w:rPr>
          <w:color w:val="000000"/>
        </w:rPr>
        <w:t>$</w:t>
      </w:r>
      <w:r w:rsidR="003110DE">
        <w:rPr>
          <w:color w:val="000000"/>
        </w:rPr>
        <w:t>27</w:t>
      </w:r>
      <w:r w:rsidRPr="00EF5D8F">
        <w:rPr>
          <w:color w:val="000000"/>
        </w:rPr>
        <w:t xml:space="preserve"> million.</w:t>
      </w:r>
      <w:r w:rsidRPr="000E0DAF">
        <w:t xml:space="preserve"> </w:t>
      </w:r>
    </w:p>
    <w:p w:rsidRPr="000E0DAF" w:rsidR="009817FC" w:rsidP="00E13F70" w:rsidRDefault="009817FC" w14:paraId="45F59D06" w14:textId="77777777">
      <w:pPr>
        <w:widowControl/>
        <w:ind w:left="720"/>
      </w:pPr>
    </w:p>
    <w:p w:rsidR="009817FC" w:rsidP="00E13F70" w:rsidRDefault="009817FC" w14:paraId="7A95D813" w14:textId="73D7D66F">
      <w:pPr>
        <w:widowControl/>
        <w:ind w:left="720"/>
      </w:pPr>
      <w:r w:rsidRPr="000E0DAF">
        <w:rPr>
          <w:i/>
          <w:u w:val="single"/>
        </w:rPr>
        <w:t>Providing Information on Request.</w:t>
      </w:r>
      <w:r w:rsidRPr="000E0DAF">
        <w:rPr>
          <w:i/>
        </w:rPr>
        <w:t xml:space="preserve">  </w:t>
      </w:r>
      <w:r w:rsidRPr="000E0DAF">
        <w:t xml:space="preserve">Plans subject to the SAR requirement must be prepared to provide certain information upon request. </w:t>
      </w:r>
      <w:r w:rsidRPr="000E0DAF" w:rsidR="00ED6EB5">
        <w:t xml:space="preserve"> </w:t>
      </w:r>
      <w:r w:rsidR="008F05C4">
        <w:t>The Department believes that such requests are rare in general.  Although not</w:t>
      </w:r>
      <w:r w:rsidR="006B676A">
        <w:t xml:space="preserve"> all plans will receive such requests each year</w:t>
      </w:r>
      <w:r w:rsidR="008F05C4">
        <w:t>, t</w:t>
      </w:r>
      <w:r w:rsidRPr="000E0DAF">
        <w:t xml:space="preserve">he Department has assumed </w:t>
      </w:r>
      <w:r w:rsidR="006B676A">
        <w:t xml:space="preserve">for calculating burden </w:t>
      </w:r>
      <w:r w:rsidRPr="000E0DAF">
        <w:t xml:space="preserve">that each plan </w:t>
      </w:r>
      <w:r w:rsidR="006B676A">
        <w:t xml:space="preserve">subject to the SAR requirement </w:t>
      </w:r>
      <w:r w:rsidRPr="000E0DAF" w:rsidR="008F05C4">
        <w:t>will be required to respond to one request for information per year</w:t>
      </w:r>
      <w:r w:rsidR="008F05C4">
        <w:t xml:space="preserve"> and </w:t>
      </w:r>
      <w:r w:rsidRPr="000E0DAF">
        <w:t xml:space="preserve">will need to devote, on average, 15 minutes of clerical time per year to meet such requests. </w:t>
      </w:r>
      <w:r w:rsidRPr="000E0DAF" w:rsidR="00ED6EB5">
        <w:t xml:space="preserve"> </w:t>
      </w:r>
      <w:r w:rsidRPr="000E0DAF">
        <w:t xml:space="preserve">This includes the preparation as well as the distribution of the requested materials.  For the </w:t>
      </w:r>
      <w:r w:rsidRPr="00EF5D8F">
        <w:t xml:space="preserve">estimated </w:t>
      </w:r>
      <w:r w:rsidR="005446A2">
        <w:t xml:space="preserve">761,170 </w:t>
      </w:r>
      <w:r w:rsidRPr="00EF5D8F">
        <w:t>affected</w:t>
      </w:r>
      <w:r w:rsidRPr="000E0DAF">
        <w:t xml:space="preserve"> plans, this creates an additional hour </w:t>
      </w:r>
      <w:r w:rsidRPr="00EF5D8F">
        <w:t xml:space="preserve">burden of </w:t>
      </w:r>
      <w:r w:rsidR="005446A2">
        <w:rPr>
          <w:color w:val="000000"/>
        </w:rPr>
        <w:t>190,293</w:t>
      </w:r>
      <w:r w:rsidRPr="00EF5D8F">
        <w:t xml:space="preserve"> hours of clerical time, with an equivalent cost, at </w:t>
      </w:r>
      <w:r w:rsidRPr="00F147A9" w:rsidR="00F147A9">
        <w:t xml:space="preserve">$55.23 </w:t>
      </w:r>
      <w:r w:rsidRPr="00EF5D8F">
        <w:t xml:space="preserve">per hour, of </w:t>
      </w:r>
      <w:r w:rsidRPr="00EF5D8F">
        <w:rPr>
          <w:color w:val="000000"/>
        </w:rPr>
        <w:t>$</w:t>
      </w:r>
      <w:r w:rsidR="00F147A9">
        <w:rPr>
          <w:color w:val="000000"/>
        </w:rPr>
        <w:t>10.5</w:t>
      </w:r>
      <w:r w:rsidRPr="00EF5D8F">
        <w:rPr>
          <w:color w:val="000000"/>
        </w:rPr>
        <w:t xml:space="preserve"> million</w:t>
      </w:r>
      <w:r w:rsidRPr="000E0DAF">
        <w:t>.</w:t>
      </w:r>
    </w:p>
    <w:p w:rsidR="004B22E7" w:rsidP="00E13F70" w:rsidRDefault="004B22E7" w14:paraId="618F5C7E" w14:textId="77777777">
      <w:pPr>
        <w:widowControl/>
        <w:ind w:left="720"/>
      </w:pPr>
    </w:p>
    <w:p w:rsidRPr="004B22E7" w:rsidR="004B22E7" w:rsidP="00E13F70" w:rsidRDefault="004B22E7" w14:paraId="53DC36E6" w14:textId="77777777">
      <w:pPr>
        <w:widowControl/>
        <w:ind w:left="720"/>
      </w:pPr>
      <w:r>
        <w:rPr>
          <w:i/>
          <w:u w:val="single"/>
        </w:rPr>
        <w:t>Recordkeeping.</w:t>
      </w:r>
      <w:r>
        <w:t xml:space="preserve">  </w:t>
      </w:r>
      <w:r w:rsidR="00DC521B">
        <w:t>The SAR requirement does not specify any recordkeeping requirement; however, plans may, at times, be required to demonstrate that they have fulfilled the SAR requirements.  The Department believes that maintaining any records necessary to demonstrate compliance with the SAR requirements would be a regular and customary business practice.  As such, the Department has not assessed any additional burden for recordkeeping.</w:t>
      </w:r>
    </w:p>
    <w:p w:rsidR="009817FC" w:rsidP="00E13F70" w:rsidRDefault="009817FC" w14:paraId="362DF1D7" w14:textId="77777777">
      <w:pPr>
        <w:widowControl/>
        <w:ind w:left="720"/>
      </w:pPr>
      <w:r w:rsidRPr="000E0DAF">
        <w:t>.</w:t>
      </w:r>
    </w:p>
    <w:p w:rsidRPr="0027495E" w:rsidR="0027495E" w:rsidP="0027495E" w:rsidRDefault="0027495E" w14:paraId="1BA39309" w14:textId="72045F52">
      <w:pPr>
        <w:widowControl/>
        <w:ind w:left="720"/>
        <w:rPr>
          <w:b/>
          <w:bCs/>
        </w:rPr>
      </w:pPr>
      <w:r w:rsidRPr="0027495E">
        <w:t xml:space="preserve">In total, the ICR is estimated to have a burden of </w:t>
      </w:r>
      <w:r w:rsidRPr="00CA7B38" w:rsidR="00CA7B38">
        <w:t>1,154,099</w:t>
      </w:r>
      <w:r w:rsidR="00CA7B38">
        <w:t xml:space="preserve"> </w:t>
      </w:r>
      <w:r w:rsidRPr="0027495E">
        <w:t>ho</w:t>
      </w:r>
      <w:r w:rsidR="006E2AA6">
        <w:t xml:space="preserve">urs with an equivalent cost of </w:t>
      </w:r>
      <w:r w:rsidRPr="006E2AA6" w:rsidR="006E2AA6">
        <w:t>$</w:t>
      </w:r>
      <w:r w:rsidRPr="00CA7B38" w:rsidR="00CA7B38">
        <w:t xml:space="preserve"> $84,984,118</w:t>
      </w:r>
      <w:r w:rsidR="00CA7B38">
        <w:t xml:space="preserve"> </w:t>
      </w:r>
      <w:r w:rsidRPr="0027495E">
        <w:t xml:space="preserve">in the first year, and </w:t>
      </w:r>
      <w:r w:rsidRPr="00CA7B38" w:rsidR="00CA7B38">
        <w:t>1,088,989</w:t>
      </w:r>
      <w:r w:rsidR="00CA7B38">
        <w:t xml:space="preserve"> </w:t>
      </w:r>
      <w:r w:rsidRPr="0027495E">
        <w:t xml:space="preserve">hours with an equivalent cost of </w:t>
      </w:r>
      <w:r w:rsidRPr="002234FF" w:rsidR="002234FF">
        <w:t>$</w:t>
      </w:r>
      <w:r w:rsidRPr="00CA7B38" w:rsidR="00CA7B38">
        <w:t xml:space="preserve"> </w:t>
      </w:r>
      <w:r w:rsidRPr="00CA7B38" w:rsidR="00CA7B38">
        <w:lastRenderedPageBreak/>
        <w:t>$78,284,371</w:t>
      </w:r>
      <w:r w:rsidRPr="0027495E">
        <w:t xml:space="preserve">in subsequent years.  The three-year average burden is </w:t>
      </w:r>
      <w:r w:rsidR="00CA7B38">
        <w:t>1,</w:t>
      </w:r>
      <w:r w:rsidRPr="00CA7B38" w:rsidR="00CA7B38">
        <w:t xml:space="preserve">110,692 </w:t>
      </w:r>
      <w:r w:rsidRPr="0027495E">
        <w:t>hours with an equivalent cost of $</w:t>
      </w:r>
      <w:r w:rsidRPr="00CA7B38" w:rsidR="00CA7B38">
        <w:t xml:space="preserve"> $80,517,620</w:t>
      </w:r>
      <w:r w:rsidRPr="0027495E">
        <w:t>.</w:t>
      </w:r>
    </w:p>
    <w:p w:rsidR="0027495E" w:rsidP="00E13F70" w:rsidRDefault="0027495E" w14:paraId="6D4C7025" w14:textId="77777777">
      <w:pPr>
        <w:widowControl/>
        <w:ind w:left="720"/>
      </w:pPr>
    </w:p>
    <w:p w:rsidR="00A30F5F" w:rsidP="00E13F70" w:rsidRDefault="00A30F5F" w14:paraId="28773E45" w14:textId="77777777">
      <w:pPr>
        <w:widowControl/>
        <w:ind w:left="720"/>
      </w:pPr>
    </w:p>
    <w:tbl>
      <w:tblPr>
        <w:tblStyle w:val="TableGrid"/>
        <w:tblW w:w="10297" w:type="dxa"/>
        <w:tblInd w:w="-5" w:type="dxa"/>
        <w:tblLayout w:type="fixed"/>
        <w:tblLook w:val="04A0" w:firstRow="1" w:lastRow="0" w:firstColumn="1" w:lastColumn="0" w:noHBand="0" w:noVBand="1"/>
      </w:tblPr>
      <w:tblGrid>
        <w:gridCol w:w="1328"/>
        <w:gridCol w:w="1516"/>
        <w:gridCol w:w="1061"/>
        <w:gridCol w:w="1516"/>
        <w:gridCol w:w="983"/>
        <w:gridCol w:w="1516"/>
        <w:gridCol w:w="990"/>
        <w:gridCol w:w="1387"/>
      </w:tblGrid>
      <w:tr w:rsidRPr="00BD00EF" w:rsidR="00D91919" w:rsidTr="00D91919" w14:paraId="38E98658" w14:textId="77777777">
        <w:trPr>
          <w:trHeight w:val="1177"/>
        </w:trPr>
        <w:tc>
          <w:tcPr>
            <w:tcW w:w="1328" w:type="dxa"/>
          </w:tcPr>
          <w:p w:rsidRPr="00BD00EF" w:rsidR="00A30F5F" w:rsidP="00C56DD2" w:rsidRDefault="00A30F5F" w14:paraId="019C963E" w14:textId="77777777">
            <w:pPr>
              <w:rPr>
                <w:sz w:val="20"/>
                <w:szCs w:val="20"/>
              </w:rPr>
            </w:pPr>
            <w:r w:rsidRPr="00BD00EF">
              <w:rPr>
                <w:sz w:val="20"/>
                <w:szCs w:val="20"/>
              </w:rPr>
              <w:t>Activity</w:t>
            </w:r>
          </w:p>
        </w:tc>
        <w:tc>
          <w:tcPr>
            <w:tcW w:w="1516" w:type="dxa"/>
          </w:tcPr>
          <w:p w:rsidRPr="00BD00EF" w:rsidR="00A30F5F" w:rsidP="00C56DD2" w:rsidRDefault="00A30F5F" w14:paraId="6F3C6C56" w14:textId="77777777">
            <w:pPr>
              <w:rPr>
                <w:sz w:val="20"/>
                <w:szCs w:val="20"/>
              </w:rPr>
            </w:pPr>
            <w:r w:rsidRPr="00BD00EF">
              <w:rPr>
                <w:sz w:val="20"/>
                <w:szCs w:val="20"/>
              </w:rPr>
              <w:t>Number of Respondents</w:t>
            </w:r>
          </w:p>
        </w:tc>
        <w:tc>
          <w:tcPr>
            <w:tcW w:w="1061" w:type="dxa"/>
          </w:tcPr>
          <w:p w:rsidRPr="00BD00EF" w:rsidR="00A30F5F" w:rsidP="00C56DD2" w:rsidRDefault="00A30F5F" w14:paraId="7C1518B3" w14:textId="77777777">
            <w:pPr>
              <w:rPr>
                <w:sz w:val="20"/>
                <w:szCs w:val="20"/>
              </w:rPr>
            </w:pPr>
            <w:r w:rsidRPr="00BD00EF">
              <w:rPr>
                <w:sz w:val="20"/>
                <w:szCs w:val="20"/>
              </w:rPr>
              <w:t>Frequency</w:t>
            </w:r>
          </w:p>
        </w:tc>
        <w:tc>
          <w:tcPr>
            <w:tcW w:w="1516" w:type="dxa"/>
          </w:tcPr>
          <w:p w:rsidRPr="00BD00EF" w:rsidR="00A30F5F" w:rsidP="00C56DD2" w:rsidRDefault="00A30F5F" w14:paraId="50618157" w14:textId="77777777">
            <w:pPr>
              <w:rPr>
                <w:sz w:val="20"/>
                <w:szCs w:val="20"/>
              </w:rPr>
            </w:pPr>
            <w:r w:rsidRPr="00BD00EF">
              <w:rPr>
                <w:sz w:val="20"/>
                <w:szCs w:val="20"/>
              </w:rPr>
              <w:t>Total Annual Responses</w:t>
            </w:r>
          </w:p>
        </w:tc>
        <w:tc>
          <w:tcPr>
            <w:tcW w:w="983" w:type="dxa"/>
          </w:tcPr>
          <w:p w:rsidRPr="00BD00EF" w:rsidR="00A30F5F" w:rsidP="00C56DD2" w:rsidRDefault="00A30F5F" w14:paraId="47ABB940" w14:textId="77777777">
            <w:pPr>
              <w:rPr>
                <w:sz w:val="20"/>
                <w:szCs w:val="20"/>
              </w:rPr>
            </w:pPr>
            <w:r w:rsidRPr="00BD00EF">
              <w:rPr>
                <w:sz w:val="20"/>
                <w:szCs w:val="20"/>
              </w:rPr>
              <w:t>Time Per Response (Hours)</w:t>
            </w:r>
          </w:p>
        </w:tc>
        <w:tc>
          <w:tcPr>
            <w:tcW w:w="1516" w:type="dxa"/>
          </w:tcPr>
          <w:p w:rsidRPr="00BD00EF" w:rsidR="00A30F5F" w:rsidP="00C56DD2" w:rsidRDefault="00A30F5F" w14:paraId="21EEB381" w14:textId="77777777">
            <w:pPr>
              <w:rPr>
                <w:sz w:val="20"/>
                <w:szCs w:val="20"/>
              </w:rPr>
            </w:pPr>
            <w:r w:rsidRPr="00BD00EF">
              <w:rPr>
                <w:sz w:val="20"/>
                <w:szCs w:val="20"/>
              </w:rPr>
              <w:t>Total Annual Burden (Hours)</w:t>
            </w:r>
          </w:p>
        </w:tc>
        <w:tc>
          <w:tcPr>
            <w:tcW w:w="990" w:type="dxa"/>
          </w:tcPr>
          <w:p w:rsidRPr="00BD00EF" w:rsidR="00A30F5F" w:rsidP="00C56DD2" w:rsidRDefault="00A30F5F" w14:paraId="5D691AE0" w14:textId="77777777">
            <w:pPr>
              <w:rPr>
                <w:sz w:val="20"/>
                <w:szCs w:val="20"/>
              </w:rPr>
            </w:pPr>
            <w:r w:rsidRPr="00BD00EF">
              <w:rPr>
                <w:sz w:val="20"/>
                <w:szCs w:val="20"/>
              </w:rPr>
              <w:t>Hourly Rate*</w:t>
            </w:r>
          </w:p>
        </w:tc>
        <w:tc>
          <w:tcPr>
            <w:tcW w:w="1387" w:type="dxa"/>
          </w:tcPr>
          <w:p w:rsidRPr="00BD00EF" w:rsidR="00A30F5F" w:rsidP="00C56DD2" w:rsidRDefault="00A30F5F" w14:paraId="2438FA5D" w14:textId="77777777">
            <w:pPr>
              <w:rPr>
                <w:sz w:val="20"/>
                <w:szCs w:val="20"/>
              </w:rPr>
            </w:pPr>
            <w:r w:rsidRPr="00BD00EF">
              <w:rPr>
                <w:sz w:val="20"/>
                <w:szCs w:val="20"/>
              </w:rPr>
              <w:t>Monetized Value of Respondent Time</w:t>
            </w:r>
          </w:p>
        </w:tc>
      </w:tr>
      <w:tr w:rsidRPr="00BD00EF" w:rsidR="00D91919" w:rsidTr="00D91919" w14:paraId="6B008B24" w14:textId="77777777">
        <w:trPr>
          <w:trHeight w:val="696"/>
        </w:trPr>
        <w:tc>
          <w:tcPr>
            <w:tcW w:w="1328" w:type="dxa"/>
          </w:tcPr>
          <w:p w:rsidRPr="00BD00EF" w:rsidR="009C7181" w:rsidP="004A00A9" w:rsidRDefault="009C7181" w14:paraId="71D3BF86" w14:textId="2CC9B325">
            <w:pPr>
              <w:rPr>
                <w:sz w:val="20"/>
                <w:szCs w:val="20"/>
              </w:rPr>
            </w:pPr>
            <w:r w:rsidRPr="00BD00EF">
              <w:rPr>
                <w:sz w:val="20"/>
                <w:szCs w:val="20"/>
              </w:rPr>
              <w:t>Preparation of SAR (</w:t>
            </w:r>
            <w:r w:rsidR="004A00A9">
              <w:rPr>
                <w:sz w:val="20"/>
                <w:szCs w:val="20"/>
              </w:rPr>
              <w:t>Benefit Specialist</w:t>
            </w:r>
            <w:r w:rsidRPr="00BD00EF">
              <w:rPr>
                <w:sz w:val="20"/>
                <w:szCs w:val="20"/>
              </w:rPr>
              <w:t>)</w:t>
            </w:r>
            <w:r w:rsidR="00095C80">
              <w:rPr>
                <w:sz w:val="20"/>
                <w:szCs w:val="20"/>
              </w:rPr>
              <w:t xml:space="preserve"> – Recurrent</w:t>
            </w:r>
          </w:p>
        </w:tc>
        <w:tc>
          <w:tcPr>
            <w:tcW w:w="1516" w:type="dxa"/>
            <w:vAlign w:val="bottom"/>
          </w:tcPr>
          <w:p w:rsidRPr="00BD00EF" w:rsidR="009C7181" w:rsidP="00C56DD2" w:rsidRDefault="00A04842" w14:paraId="6367648C" w14:textId="77777777">
            <w:pPr>
              <w:jc w:val="right"/>
              <w:rPr>
                <w:sz w:val="20"/>
                <w:szCs w:val="20"/>
              </w:rPr>
            </w:pPr>
            <w:r w:rsidRPr="00A04842">
              <w:rPr>
                <w:sz w:val="20"/>
                <w:szCs w:val="20"/>
              </w:rPr>
              <w:t>761,170</w:t>
            </w:r>
          </w:p>
        </w:tc>
        <w:tc>
          <w:tcPr>
            <w:tcW w:w="1061" w:type="dxa"/>
            <w:vAlign w:val="bottom"/>
          </w:tcPr>
          <w:p w:rsidRPr="00BD00EF" w:rsidR="009C7181" w:rsidP="00C56DD2" w:rsidRDefault="009C7181" w14:paraId="10894C38" w14:textId="77777777">
            <w:pPr>
              <w:jc w:val="right"/>
              <w:rPr>
                <w:sz w:val="20"/>
                <w:szCs w:val="20"/>
              </w:rPr>
            </w:pPr>
            <w:r w:rsidRPr="00BD00EF">
              <w:rPr>
                <w:sz w:val="20"/>
                <w:szCs w:val="20"/>
              </w:rPr>
              <w:t>1</w:t>
            </w:r>
          </w:p>
        </w:tc>
        <w:tc>
          <w:tcPr>
            <w:tcW w:w="1516" w:type="dxa"/>
            <w:vAlign w:val="bottom"/>
          </w:tcPr>
          <w:p w:rsidRPr="00BD00EF" w:rsidR="009C7181" w:rsidP="00C56DD2" w:rsidRDefault="00A04842" w14:paraId="7E3DAF65" w14:textId="77777777">
            <w:pPr>
              <w:jc w:val="right"/>
              <w:rPr>
                <w:sz w:val="20"/>
                <w:szCs w:val="20"/>
              </w:rPr>
            </w:pPr>
            <w:r w:rsidRPr="00A04842">
              <w:rPr>
                <w:sz w:val="20"/>
                <w:szCs w:val="20"/>
              </w:rPr>
              <w:t>761,170</w:t>
            </w:r>
          </w:p>
        </w:tc>
        <w:tc>
          <w:tcPr>
            <w:tcW w:w="983" w:type="dxa"/>
            <w:vAlign w:val="bottom"/>
          </w:tcPr>
          <w:p w:rsidRPr="00BD00EF" w:rsidR="009C7181" w:rsidP="00C56DD2" w:rsidRDefault="009C7181" w14:paraId="1F7EB898" w14:textId="77777777">
            <w:pPr>
              <w:jc w:val="right"/>
              <w:rPr>
                <w:sz w:val="20"/>
                <w:szCs w:val="20"/>
              </w:rPr>
            </w:pPr>
            <w:r w:rsidRPr="00BD00EF">
              <w:rPr>
                <w:sz w:val="20"/>
                <w:szCs w:val="20"/>
              </w:rPr>
              <w:t>0.5</w:t>
            </w:r>
          </w:p>
        </w:tc>
        <w:tc>
          <w:tcPr>
            <w:tcW w:w="1516" w:type="dxa"/>
            <w:vAlign w:val="bottom"/>
          </w:tcPr>
          <w:p w:rsidRPr="00BD00EF" w:rsidR="009C7181" w:rsidP="00C56DD2" w:rsidRDefault="00095C80" w14:paraId="5B7C5F48" w14:textId="77777777">
            <w:pPr>
              <w:jc w:val="right"/>
              <w:rPr>
                <w:sz w:val="20"/>
                <w:szCs w:val="20"/>
              </w:rPr>
            </w:pPr>
            <w:r>
              <w:rPr>
                <w:sz w:val="20"/>
                <w:szCs w:val="20"/>
              </w:rPr>
              <w:t>380,585</w:t>
            </w:r>
          </w:p>
        </w:tc>
        <w:tc>
          <w:tcPr>
            <w:tcW w:w="990" w:type="dxa"/>
            <w:vAlign w:val="bottom"/>
          </w:tcPr>
          <w:p w:rsidRPr="00BD00EF" w:rsidR="009C7181" w:rsidP="00C00FAE" w:rsidRDefault="000B7E67" w14:paraId="4D60329C" w14:textId="50EA4AB6">
            <w:pPr>
              <w:jc w:val="right"/>
              <w:rPr>
                <w:sz w:val="20"/>
                <w:szCs w:val="20"/>
              </w:rPr>
            </w:pPr>
            <w:r w:rsidRPr="000B7E67">
              <w:rPr>
                <w:sz w:val="20"/>
                <w:szCs w:val="20"/>
              </w:rPr>
              <w:t>$</w:t>
            </w:r>
            <w:r w:rsidR="00C00FAE">
              <w:rPr>
                <w:sz w:val="20"/>
                <w:szCs w:val="20"/>
              </w:rPr>
              <w:t>102.9</w:t>
            </w:r>
          </w:p>
        </w:tc>
        <w:tc>
          <w:tcPr>
            <w:tcW w:w="1387" w:type="dxa"/>
            <w:vAlign w:val="bottom"/>
          </w:tcPr>
          <w:p w:rsidRPr="00BD00EF" w:rsidR="009C7181" w:rsidP="00C00FAE" w:rsidRDefault="00C40930" w14:paraId="7E826242" w14:textId="474111C4">
            <w:pPr>
              <w:jc w:val="right"/>
              <w:rPr>
                <w:sz w:val="20"/>
                <w:szCs w:val="20"/>
              </w:rPr>
            </w:pPr>
            <w:r w:rsidRPr="00BD00EF">
              <w:rPr>
                <w:sz w:val="20"/>
                <w:szCs w:val="20"/>
              </w:rPr>
              <w:t>$</w:t>
            </w:r>
            <w:r w:rsidR="00C00FAE">
              <w:rPr>
                <w:sz w:val="20"/>
                <w:szCs w:val="20"/>
              </w:rPr>
              <w:t>39.1</w:t>
            </w:r>
            <w:r w:rsidRPr="00BD00EF">
              <w:rPr>
                <w:sz w:val="20"/>
                <w:szCs w:val="20"/>
              </w:rPr>
              <w:t xml:space="preserve"> million</w:t>
            </w:r>
          </w:p>
        </w:tc>
      </w:tr>
      <w:tr w:rsidRPr="00BD00EF" w:rsidR="00095C80" w:rsidTr="00D91919" w14:paraId="0B5FDC0D" w14:textId="77777777">
        <w:trPr>
          <w:trHeight w:val="1409"/>
        </w:trPr>
        <w:tc>
          <w:tcPr>
            <w:tcW w:w="1328" w:type="dxa"/>
          </w:tcPr>
          <w:p w:rsidRPr="00BD00EF" w:rsidR="00095C80" w:rsidP="00095C80" w:rsidRDefault="00095C80" w14:paraId="0EE6C603" w14:textId="26536A64">
            <w:pPr>
              <w:rPr>
                <w:sz w:val="20"/>
                <w:szCs w:val="20"/>
              </w:rPr>
            </w:pPr>
            <w:r w:rsidRPr="00095C80">
              <w:rPr>
                <w:sz w:val="20"/>
                <w:szCs w:val="20"/>
              </w:rPr>
              <w:t>Preparation of SAR (</w:t>
            </w:r>
            <w:r w:rsidRPr="004A00A9" w:rsidR="004A00A9">
              <w:rPr>
                <w:sz w:val="20"/>
                <w:szCs w:val="20"/>
              </w:rPr>
              <w:t>Benefit Specialist</w:t>
            </w:r>
            <w:r w:rsidRPr="00095C80">
              <w:rPr>
                <w:sz w:val="20"/>
                <w:szCs w:val="20"/>
              </w:rPr>
              <w:t xml:space="preserve">) – </w:t>
            </w:r>
            <w:r>
              <w:rPr>
                <w:sz w:val="20"/>
                <w:szCs w:val="20"/>
              </w:rPr>
              <w:t>One-time Transition cost, Descriptive text</w:t>
            </w:r>
          </w:p>
        </w:tc>
        <w:tc>
          <w:tcPr>
            <w:tcW w:w="1516" w:type="dxa"/>
            <w:vAlign w:val="bottom"/>
          </w:tcPr>
          <w:p w:rsidRPr="00A04842" w:rsidR="00095C80" w:rsidP="002A5B24" w:rsidRDefault="00095C80" w14:paraId="46472427" w14:textId="77777777">
            <w:pPr>
              <w:jc w:val="right"/>
              <w:rPr>
                <w:sz w:val="20"/>
                <w:szCs w:val="20"/>
              </w:rPr>
            </w:pPr>
            <w:r>
              <w:rPr>
                <w:sz w:val="20"/>
                <w:szCs w:val="20"/>
              </w:rPr>
              <w:t>761,170</w:t>
            </w:r>
          </w:p>
        </w:tc>
        <w:tc>
          <w:tcPr>
            <w:tcW w:w="1061" w:type="dxa"/>
            <w:vAlign w:val="bottom"/>
          </w:tcPr>
          <w:p w:rsidR="00095C80" w:rsidDel="00D56A9B" w:rsidP="002A5B24" w:rsidRDefault="00095C80" w14:paraId="3242B573" w14:textId="77777777">
            <w:pPr>
              <w:jc w:val="right"/>
              <w:rPr>
                <w:sz w:val="20"/>
                <w:szCs w:val="20"/>
              </w:rPr>
            </w:pPr>
            <w:r>
              <w:rPr>
                <w:sz w:val="20"/>
                <w:szCs w:val="20"/>
              </w:rPr>
              <w:t>1</w:t>
            </w:r>
          </w:p>
        </w:tc>
        <w:tc>
          <w:tcPr>
            <w:tcW w:w="1516" w:type="dxa"/>
            <w:vAlign w:val="bottom"/>
          </w:tcPr>
          <w:p w:rsidRPr="00A04842" w:rsidR="00095C80" w:rsidP="00F26DEB" w:rsidRDefault="00095C80" w14:paraId="4437C8FB" w14:textId="77777777">
            <w:pPr>
              <w:jc w:val="right"/>
              <w:rPr>
                <w:sz w:val="20"/>
                <w:szCs w:val="20"/>
              </w:rPr>
            </w:pPr>
            <w:r>
              <w:rPr>
                <w:sz w:val="20"/>
                <w:szCs w:val="20"/>
              </w:rPr>
              <w:t>761,170</w:t>
            </w:r>
          </w:p>
        </w:tc>
        <w:tc>
          <w:tcPr>
            <w:tcW w:w="983" w:type="dxa"/>
            <w:vAlign w:val="bottom"/>
          </w:tcPr>
          <w:p w:rsidR="00095C80" w:rsidP="00C56DD2" w:rsidRDefault="00095C80" w14:paraId="2B26149C" w14:textId="77777777">
            <w:pPr>
              <w:jc w:val="right"/>
              <w:rPr>
                <w:sz w:val="20"/>
                <w:szCs w:val="20"/>
              </w:rPr>
            </w:pPr>
            <w:r>
              <w:rPr>
                <w:sz w:val="20"/>
                <w:szCs w:val="20"/>
              </w:rPr>
              <w:t>0.08</w:t>
            </w:r>
          </w:p>
        </w:tc>
        <w:tc>
          <w:tcPr>
            <w:tcW w:w="1516" w:type="dxa"/>
            <w:vAlign w:val="bottom"/>
          </w:tcPr>
          <w:p w:rsidR="00095C80" w:rsidP="000250BC" w:rsidRDefault="00095C80" w14:paraId="6EF16CD3" w14:textId="77777777">
            <w:pPr>
              <w:jc w:val="right"/>
              <w:rPr>
                <w:sz w:val="20"/>
                <w:szCs w:val="20"/>
              </w:rPr>
            </w:pPr>
            <w:r>
              <w:rPr>
                <w:sz w:val="20"/>
                <w:szCs w:val="20"/>
              </w:rPr>
              <w:t>63,431</w:t>
            </w:r>
          </w:p>
        </w:tc>
        <w:tc>
          <w:tcPr>
            <w:tcW w:w="990" w:type="dxa"/>
            <w:vAlign w:val="bottom"/>
          </w:tcPr>
          <w:p w:rsidRPr="00BD00EF" w:rsidR="00095C80" w:rsidP="00193CC5" w:rsidRDefault="000B7E67" w14:paraId="3EE8D7C8" w14:textId="69253E2A">
            <w:pPr>
              <w:jc w:val="right"/>
              <w:rPr>
                <w:sz w:val="20"/>
                <w:szCs w:val="20"/>
              </w:rPr>
            </w:pPr>
            <w:r w:rsidRPr="000B7E67">
              <w:rPr>
                <w:sz w:val="20"/>
                <w:szCs w:val="20"/>
              </w:rPr>
              <w:t>$</w:t>
            </w:r>
            <w:r w:rsidRPr="00C00FAE" w:rsidR="00C00FAE">
              <w:rPr>
                <w:sz w:val="20"/>
                <w:szCs w:val="20"/>
              </w:rPr>
              <w:t>102.9</w:t>
            </w:r>
          </w:p>
        </w:tc>
        <w:tc>
          <w:tcPr>
            <w:tcW w:w="1387" w:type="dxa"/>
            <w:vAlign w:val="bottom"/>
          </w:tcPr>
          <w:p w:rsidRPr="00BD00EF" w:rsidR="00095C80" w:rsidP="00C00FAE" w:rsidRDefault="00095C80" w14:paraId="05AAFAB0" w14:textId="54CEC82B">
            <w:pPr>
              <w:jc w:val="right"/>
              <w:rPr>
                <w:sz w:val="20"/>
                <w:szCs w:val="20"/>
              </w:rPr>
            </w:pPr>
            <w:r w:rsidRPr="00095C80">
              <w:rPr>
                <w:sz w:val="20"/>
                <w:szCs w:val="20"/>
              </w:rPr>
              <w:t>$</w:t>
            </w:r>
            <w:r w:rsidR="00C00FAE">
              <w:rPr>
                <w:sz w:val="20"/>
                <w:szCs w:val="20"/>
              </w:rPr>
              <w:t>6.5</w:t>
            </w:r>
            <w:r w:rsidRPr="00095C80">
              <w:rPr>
                <w:sz w:val="20"/>
                <w:szCs w:val="20"/>
              </w:rPr>
              <w:t xml:space="preserve"> million</w:t>
            </w:r>
          </w:p>
        </w:tc>
      </w:tr>
      <w:tr w:rsidRPr="00BD00EF" w:rsidR="00095C80" w:rsidTr="00D91919" w14:paraId="7DEA8C47" w14:textId="77777777">
        <w:trPr>
          <w:trHeight w:val="1409"/>
        </w:trPr>
        <w:tc>
          <w:tcPr>
            <w:tcW w:w="1328" w:type="dxa"/>
          </w:tcPr>
          <w:p w:rsidRPr="00BD00EF" w:rsidR="00095C80" w:rsidP="00095C80" w:rsidRDefault="00095C80" w14:paraId="77899558" w14:textId="1BE1FD94">
            <w:pPr>
              <w:rPr>
                <w:sz w:val="20"/>
                <w:szCs w:val="20"/>
              </w:rPr>
            </w:pPr>
            <w:r w:rsidRPr="00095C80">
              <w:rPr>
                <w:sz w:val="20"/>
                <w:szCs w:val="20"/>
              </w:rPr>
              <w:t>Preparation of SAR (</w:t>
            </w:r>
            <w:r w:rsidRPr="004A00A9" w:rsidR="004A00A9">
              <w:rPr>
                <w:sz w:val="20"/>
                <w:szCs w:val="20"/>
              </w:rPr>
              <w:t>Benefit Specialist</w:t>
            </w:r>
            <w:r w:rsidRPr="00095C80">
              <w:rPr>
                <w:sz w:val="20"/>
                <w:szCs w:val="20"/>
              </w:rPr>
              <w:t>) – One-time Transition</w:t>
            </w:r>
            <w:r>
              <w:rPr>
                <w:sz w:val="20"/>
                <w:szCs w:val="20"/>
              </w:rPr>
              <w:t xml:space="preserve"> cost</w:t>
            </w:r>
            <w:r w:rsidRPr="00095C80">
              <w:rPr>
                <w:sz w:val="20"/>
                <w:szCs w:val="20"/>
              </w:rPr>
              <w:t xml:space="preserve">, </w:t>
            </w:r>
            <w:r>
              <w:rPr>
                <w:sz w:val="20"/>
                <w:szCs w:val="20"/>
              </w:rPr>
              <w:t xml:space="preserve">Schedule MEP availability </w:t>
            </w:r>
            <w:r w:rsidRPr="00095C80">
              <w:rPr>
                <w:sz w:val="20"/>
                <w:szCs w:val="20"/>
              </w:rPr>
              <w:t>text</w:t>
            </w:r>
          </w:p>
        </w:tc>
        <w:tc>
          <w:tcPr>
            <w:tcW w:w="1516" w:type="dxa"/>
            <w:vAlign w:val="bottom"/>
          </w:tcPr>
          <w:p w:rsidRPr="00A04842" w:rsidR="00095C80" w:rsidP="002A5B24" w:rsidRDefault="00095C80" w14:paraId="74333AC4" w14:textId="77777777">
            <w:pPr>
              <w:jc w:val="right"/>
              <w:rPr>
                <w:sz w:val="20"/>
                <w:szCs w:val="20"/>
              </w:rPr>
            </w:pPr>
            <w:r>
              <w:rPr>
                <w:sz w:val="20"/>
                <w:szCs w:val="20"/>
              </w:rPr>
              <w:t>4,805</w:t>
            </w:r>
          </w:p>
        </w:tc>
        <w:tc>
          <w:tcPr>
            <w:tcW w:w="1061" w:type="dxa"/>
            <w:vAlign w:val="bottom"/>
          </w:tcPr>
          <w:p w:rsidR="00095C80" w:rsidDel="00D56A9B" w:rsidP="002A5B24" w:rsidRDefault="00095C80" w14:paraId="6C625D53" w14:textId="77777777">
            <w:pPr>
              <w:jc w:val="right"/>
              <w:rPr>
                <w:sz w:val="20"/>
                <w:szCs w:val="20"/>
              </w:rPr>
            </w:pPr>
            <w:r>
              <w:rPr>
                <w:sz w:val="20"/>
                <w:szCs w:val="20"/>
              </w:rPr>
              <w:t>1</w:t>
            </w:r>
          </w:p>
        </w:tc>
        <w:tc>
          <w:tcPr>
            <w:tcW w:w="1516" w:type="dxa"/>
            <w:vAlign w:val="bottom"/>
          </w:tcPr>
          <w:p w:rsidRPr="00A04842" w:rsidR="00095C80" w:rsidP="00F26DEB" w:rsidRDefault="00095C80" w14:paraId="14A31731" w14:textId="77777777">
            <w:pPr>
              <w:jc w:val="right"/>
              <w:rPr>
                <w:sz w:val="20"/>
                <w:szCs w:val="20"/>
              </w:rPr>
            </w:pPr>
            <w:r>
              <w:rPr>
                <w:sz w:val="20"/>
                <w:szCs w:val="20"/>
              </w:rPr>
              <w:t>4,805</w:t>
            </w:r>
          </w:p>
        </w:tc>
        <w:tc>
          <w:tcPr>
            <w:tcW w:w="983" w:type="dxa"/>
            <w:vAlign w:val="bottom"/>
          </w:tcPr>
          <w:p w:rsidR="00095C80" w:rsidP="00C56DD2" w:rsidRDefault="00095C80" w14:paraId="4FBD64C7" w14:textId="77777777">
            <w:pPr>
              <w:jc w:val="right"/>
              <w:rPr>
                <w:sz w:val="20"/>
                <w:szCs w:val="20"/>
              </w:rPr>
            </w:pPr>
            <w:r>
              <w:rPr>
                <w:sz w:val="20"/>
                <w:szCs w:val="20"/>
              </w:rPr>
              <w:t>0.08</w:t>
            </w:r>
          </w:p>
        </w:tc>
        <w:tc>
          <w:tcPr>
            <w:tcW w:w="1516" w:type="dxa"/>
            <w:vAlign w:val="bottom"/>
          </w:tcPr>
          <w:p w:rsidR="00095C80" w:rsidP="000250BC" w:rsidRDefault="00095C80" w14:paraId="2FD0060D" w14:textId="77777777">
            <w:pPr>
              <w:jc w:val="right"/>
              <w:rPr>
                <w:sz w:val="20"/>
                <w:szCs w:val="20"/>
              </w:rPr>
            </w:pPr>
            <w:r>
              <w:rPr>
                <w:sz w:val="20"/>
                <w:szCs w:val="20"/>
              </w:rPr>
              <w:t>400</w:t>
            </w:r>
          </w:p>
        </w:tc>
        <w:tc>
          <w:tcPr>
            <w:tcW w:w="990" w:type="dxa"/>
            <w:vAlign w:val="bottom"/>
          </w:tcPr>
          <w:p w:rsidRPr="00BD00EF" w:rsidR="00095C80" w:rsidP="00193CC5" w:rsidRDefault="000B7E67" w14:paraId="5A84FFCE" w14:textId="47C9D614">
            <w:pPr>
              <w:jc w:val="right"/>
              <w:rPr>
                <w:sz w:val="20"/>
                <w:szCs w:val="20"/>
              </w:rPr>
            </w:pPr>
            <w:r w:rsidRPr="000B7E67">
              <w:rPr>
                <w:sz w:val="20"/>
                <w:szCs w:val="20"/>
              </w:rPr>
              <w:t>$</w:t>
            </w:r>
            <w:r w:rsidRPr="00C00FAE" w:rsidR="00C00FAE">
              <w:rPr>
                <w:sz w:val="20"/>
                <w:szCs w:val="20"/>
              </w:rPr>
              <w:t>102.9</w:t>
            </w:r>
          </w:p>
        </w:tc>
        <w:tc>
          <w:tcPr>
            <w:tcW w:w="1387" w:type="dxa"/>
            <w:vAlign w:val="bottom"/>
          </w:tcPr>
          <w:p w:rsidRPr="00BD00EF" w:rsidR="00095C80" w:rsidP="00C00FAE" w:rsidRDefault="00105764" w14:paraId="3B566EEF" w14:textId="2526A9C4">
            <w:pPr>
              <w:jc w:val="right"/>
              <w:rPr>
                <w:sz w:val="20"/>
                <w:szCs w:val="20"/>
              </w:rPr>
            </w:pPr>
            <w:r>
              <w:rPr>
                <w:sz w:val="20"/>
                <w:szCs w:val="20"/>
              </w:rPr>
              <w:t>$</w:t>
            </w:r>
            <w:r w:rsidR="00C00FAE">
              <w:rPr>
                <w:sz w:val="20"/>
                <w:szCs w:val="20"/>
              </w:rPr>
              <w:t>41,202</w:t>
            </w:r>
          </w:p>
        </w:tc>
      </w:tr>
      <w:tr w:rsidRPr="00BD00EF" w:rsidR="00095C80" w:rsidTr="00D91919" w14:paraId="51317D9A" w14:textId="77777777">
        <w:trPr>
          <w:trHeight w:val="1409"/>
        </w:trPr>
        <w:tc>
          <w:tcPr>
            <w:tcW w:w="1328" w:type="dxa"/>
          </w:tcPr>
          <w:p w:rsidRPr="00BD00EF" w:rsidR="00095C80" w:rsidP="00095C80" w:rsidRDefault="00095C80" w14:paraId="2A148E9C" w14:textId="574B7847">
            <w:pPr>
              <w:rPr>
                <w:sz w:val="20"/>
                <w:szCs w:val="20"/>
              </w:rPr>
            </w:pPr>
            <w:r w:rsidRPr="00095C80">
              <w:rPr>
                <w:sz w:val="20"/>
                <w:szCs w:val="20"/>
              </w:rPr>
              <w:t>Preparation of SAR (</w:t>
            </w:r>
            <w:r w:rsidRPr="004A00A9" w:rsidR="004A00A9">
              <w:rPr>
                <w:sz w:val="20"/>
                <w:szCs w:val="20"/>
              </w:rPr>
              <w:t>Benefit Specialist</w:t>
            </w:r>
            <w:r w:rsidRPr="00095C80">
              <w:rPr>
                <w:sz w:val="20"/>
                <w:szCs w:val="20"/>
              </w:rPr>
              <w:t>) – One-time Transition</w:t>
            </w:r>
            <w:r>
              <w:rPr>
                <w:sz w:val="20"/>
                <w:szCs w:val="20"/>
              </w:rPr>
              <w:t xml:space="preserve"> cost</w:t>
            </w:r>
            <w:r w:rsidRPr="00095C80">
              <w:rPr>
                <w:sz w:val="20"/>
                <w:szCs w:val="20"/>
              </w:rPr>
              <w:t xml:space="preserve">, Schedule </w:t>
            </w:r>
            <w:r>
              <w:rPr>
                <w:sz w:val="20"/>
                <w:szCs w:val="20"/>
              </w:rPr>
              <w:t>DCG</w:t>
            </w:r>
            <w:r w:rsidRPr="00095C80">
              <w:rPr>
                <w:sz w:val="20"/>
                <w:szCs w:val="20"/>
              </w:rPr>
              <w:t xml:space="preserve"> availability text</w:t>
            </w:r>
          </w:p>
        </w:tc>
        <w:tc>
          <w:tcPr>
            <w:tcW w:w="1516" w:type="dxa"/>
            <w:vAlign w:val="bottom"/>
          </w:tcPr>
          <w:p w:rsidRPr="00A04842" w:rsidR="00095C80" w:rsidP="002A5B24" w:rsidRDefault="00095C80" w14:paraId="71AFB23D" w14:textId="77777777">
            <w:pPr>
              <w:jc w:val="right"/>
              <w:rPr>
                <w:sz w:val="20"/>
                <w:szCs w:val="20"/>
              </w:rPr>
            </w:pPr>
            <w:r>
              <w:rPr>
                <w:sz w:val="20"/>
                <w:szCs w:val="20"/>
              </w:rPr>
              <w:t>15,350</w:t>
            </w:r>
          </w:p>
        </w:tc>
        <w:tc>
          <w:tcPr>
            <w:tcW w:w="1061" w:type="dxa"/>
            <w:vAlign w:val="bottom"/>
          </w:tcPr>
          <w:p w:rsidR="00095C80" w:rsidDel="00D56A9B" w:rsidP="002A5B24" w:rsidRDefault="00095C80" w14:paraId="7C55B782" w14:textId="77777777">
            <w:pPr>
              <w:jc w:val="right"/>
              <w:rPr>
                <w:sz w:val="20"/>
                <w:szCs w:val="20"/>
              </w:rPr>
            </w:pPr>
            <w:r>
              <w:rPr>
                <w:sz w:val="20"/>
                <w:szCs w:val="20"/>
              </w:rPr>
              <w:t>1</w:t>
            </w:r>
          </w:p>
        </w:tc>
        <w:tc>
          <w:tcPr>
            <w:tcW w:w="1516" w:type="dxa"/>
            <w:vAlign w:val="bottom"/>
          </w:tcPr>
          <w:p w:rsidRPr="00A04842" w:rsidR="00095C80" w:rsidP="00F26DEB" w:rsidRDefault="00095C80" w14:paraId="7F6DDF0C" w14:textId="77777777">
            <w:pPr>
              <w:jc w:val="right"/>
              <w:rPr>
                <w:sz w:val="20"/>
                <w:szCs w:val="20"/>
              </w:rPr>
            </w:pPr>
            <w:r>
              <w:rPr>
                <w:sz w:val="20"/>
                <w:szCs w:val="20"/>
              </w:rPr>
              <w:t>15,350</w:t>
            </w:r>
          </w:p>
        </w:tc>
        <w:tc>
          <w:tcPr>
            <w:tcW w:w="983" w:type="dxa"/>
            <w:vAlign w:val="bottom"/>
          </w:tcPr>
          <w:p w:rsidR="00095C80" w:rsidP="00C56DD2" w:rsidRDefault="00095C80" w14:paraId="3512D40F" w14:textId="77777777">
            <w:pPr>
              <w:jc w:val="right"/>
              <w:rPr>
                <w:sz w:val="20"/>
                <w:szCs w:val="20"/>
              </w:rPr>
            </w:pPr>
            <w:r>
              <w:rPr>
                <w:sz w:val="20"/>
                <w:szCs w:val="20"/>
              </w:rPr>
              <w:t>0.08</w:t>
            </w:r>
          </w:p>
        </w:tc>
        <w:tc>
          <w:tcPr>
            <w:tcW w:w="1516" w:type="dxa"/>
            <w:vAlign w:val="bottom"/>
          </w:tcPr>
          <w:p w:rsidR="00095C80" w:rsidP="000250BC" w:rsidRDefault="00095C80" w14:paraId="2E5E114D" w14:textId="77777777">
            <w:pPr>
              <w:jc w:val="right"/>
              <w:rPr>
                <w:sz w:val="20"/>
                <w:szCs w:val="20"/>
              </w:rPr>
            </w:pPr>
            <w:r>
              <w:rPr>
                <w:sz w:val="20"/>
                <w:szCs w:val="20"/>
              </w:rPr>
              <w:t>1,279</w:t>
            </w:r>
          </w:p>
        </w:tc>
        <w:tc>
          <w:tcPr>
            <w:tcW w:w="990" w:type="dxa"/>
            <w:vAlign w:val="bottom"/>
          </w:tcPr>
          <w:p w:rsidRPr="00BD00EF" w:rsidR="00095C80" w:rsidP="00193CC5" w:rsidRDefault="000B7E67" w14:paraId="69CA863F" w14:textId="05521EDA">
            <w:pPr>
              <w:jc w:val="right"/>
              <w:rPr>
                <w:sz w:val="20"/>
                <w:szCs w:val="20"/>
              </w:rPr>
            </w:pPr>
            <w:r w:rsidRPr="000B7E67">
              <w:rPr>
                <w:sz w:val="20"/>
                <w:szCs w:val="20"/>
              </w:rPr>
              <w:t>$</w:t>
            </w:r>
            <w:r w:rsidRPr="00C00FAE" w:rsidR="00C00FAE">
              <w:rPr>
                <w:sz w:val="20"/>
                <w:szCs w:val="20"/>
              </w:rPr>
              <w:t>102.9</w:t>
            </w:r>
          </w:p>
        </w:tc>
        <w:tc>
          <w:tcPr>
            <w:tcW w:w="1387" w:type="dxa"/>
            <w:vAlign w:val="bottom"/>
          </w:tcPr>
          <w:p w:rsidRPr="00BD00EF" w:rsidR="00095C80" w:rsidP="00C00FAE" w:rsidRDefault="00095C80" w14:paraId="198CFF79" w14:textId="3A76499E">
            <w:pPr>
              <w:jc w:val="right"/>
              <w:rPr>
                <w:sz w:val="20"/>
                <w:szCs w:val="20"/>
              </w:rPr>
            </w:pPr>
            <w:r>
              <w:rPr>
                <w:sz w:val="20"/>
                <w:szCs w:val="20"/>
              </w:rPr>
              <w:t>$</w:t>
            </w:r>
            <w:r w:rsidR="00C00FAE">
              <w:rPr>
                <w:sz w:val="20"/>
                <w:szCs w:val="20"/>
              </w:rPr>
              <w:t>131,624</w:t>
            </w:r>
          </w:p>
        </w:tc>
      </w:tr>
      <w:tr w:rsidRPr="00BD00EF" w:rsidR="00D91919" w:rsidTr="00D91919" w14:paraId="177656BA" w14:textId="77777777">
        <w:trPr>
          <w:trHeight w:val="1409"/>
        </w:trPr>
        <w:tc>
          <w:tcPr>
            <w:tcW w:w="1328" w:type="dxa"/>
          </w:tcPr>
          <w:p w:rsidRPr="00BD00EF" w:rsidR="00A30F5F" w:rsidP="00F13E7C" w:rsidRDefault="00A30F5F" w14:paraId="72AC6312" w14:textId="77777777">
            <w:pPr>
              <w:rPr>
                <w:sz w:val="20"/>
                <w:szCs w:val="20"/>
              </w:rPr>
            </w:pPr>
            <w:r w:rsidRPr="00BD00EF">
              <w:rPr>
                <w:sz w:val="20"/>
                <w:szCs w:val="20"/>
              </w:rPr>
              <w:lastRenderedPageBreak/>
              <w:t xml:space="preserve">Production and Distribution of </w:t>
            </w:r>
            <w:r w:rsidRPr="00BD00EF" w:rsidR="00F13E7C">
              <w:rPr>
                <w:sz w:val="20"/>
                <w:szCs w:val="20"/>
              </w:rPr>
              <w:t>SAR</w:t>
            </w:r>
            <w:r w:rsidRPr="00BD00EF">
              <w:rPr>
                <w:sz w:val="20"/>
                <w:szCs w:val="20"/>
              </w:rPr>
              <w:t xml:space="preserve"> (</w:t>
            </w:r>
            <w:r w:rsidRPr="00BD00EF" w:rsidR="00F13E7C">
              <w:rPr>
                <w:sz w:val="20"/>
                <w:szCs w:val="20"/>
              </w:rPr>
              <w:t>Electronic</w:t>
            </w:r>
            <w:r w:rsidRPr="00BD00EF">
              <w:rPr>
                <w:sz w:val="20"/>
                <w:szCs w:val="20"/>
              </w:rPr>
              <w:t xml:space="preserve"> Copies)</w:t>
            </w:r>
          </w:p>
        </w:tc>
        <w:tc>
          <w:tcPr>
            <w:tcW w:w="1516" w:type="dxa"/>
            <w:vAlign w:val="bottom"/>
          </w:tcPr>
          <w:p w:rsidRPr="00BD00EF" w:rsidR="00A30F5F" w:rsidP="002A5B24" w:rsidRDefault="00A04842" w14:paraId="5A61997B" w14:textId="77777777">
            <w:pPr>
              <w:jc w:val="right"/>
              <w:rPr>
                <w:sz w:val="20"/>
                <w:szCs w:val="20"/>
              </w:rPr>
            </w:pPr>
            <w:r w:rsidRPr="00A04842">
              <w:rPr>
                <w:sz w:val="20"/>
                <w:szCs w:val="20"/>
              </w:rPr>
              <w:t>761,170</w:t>
            </w:r>
          </w:p>
        </w:tc>
        <w:tc>
          <w:tcPr>
            <w:tcW w:w="1061" w:type="dxa"/>
            <w:vAlign w:val="bottom"/>
          </w:tcPr>
          <w:p w:rsidRPr="00BD00EF" w:rsidR="00A30F5F" w:rsidP="002A5B24" w:rsidRDefault="007D771E" w14:paraId="6D49EBE8" w14:textId="77777777">
            <w:pPr>
              <w:jc w:val="right"/>
              <w:rPr>
                <w:sz w:val="20"/>
                <w:szCs w:val="20"/>
              </w:rPr>
            </w:pPr>
            <w:r>
              <w:rPr>
                <w:sz w:val="20"/>
                <w:szCs w:val="20"/>
              </w:rPr>
              <w:t>193.8</w:t>
            </w:r>
          </w:p>
        </w:tc>
        <w:tc>
          <w:tcPr>
            <w:tcW w:w="1516" w:type="dxa"/>
            <w:vAlign w:val="bottom"/>
          </w:tcPr>
          <w:p w:rsidRPr="00BD00EF" w:rsidR="00A30F5F" w:rsidP="00F26DEB" w:rsidRDefault="007D771E" w14:paraId="47EC1685" w14:textId="77777777">
            <w:pPr>
              <w:jc w:val="right"/>
              <w:rPr>
                <w:sz w:val="20"/>
                <w:szCs w:val="20"/>
              </w:rPr>
            </w:pPr>
            <w:r w:rsidRPr="007D771E">
              <w:rPr>
                <w:sz w:val="20"/>
                <w:szCs w:val="20"/>
              </w:rPr>
              <w:t xml:space="preserve">147.5 </w:t>
            </w:r>
            <w:r w:rsidRPr="00BD00EF" w:rsidR="00F26DEB">
              <w:rPr>
                <w:sz w:val="20"/>
                <w:szCs w:val="20"/>
              </w:rPr>
              <w:t>million</w:t>
            </w:r>
          </w:p>
        </w:tc>
        <w:tc>
          <w:tcPr>
            <w:tcW w:w="983" w:type="dxa"/>
            <w:vAlign w:val="bottom"/>
          </w:tcPr>
          <w:p w:rsidRPr="00BD00EF" w:rsidR="00A30F5F" w:rsidP="00C56DD2" w:rsidRDefault="00031FCD" w14:paraId="4728D43E" w14:textId="77777777">
            <w:pPr>
              <w:jc w:val="right"/>
              <w:rPr>
                <w:sz w:val="20"/>
                <w:szCs w:val="20"/>
              </w:rPr>
            </w:pPr>
            <w:r>
              <w:rPr>
                <w:sz w:val="20"/>
                <w:szCs w:val="20"/>
              </w:rPr>
              <w:t>0.0333</w:t>
            </w:r>
          </w:p>
        </w:tc>
        <w:tc>
          <w:tcPr>
            <w:tcW w:w="1516" w:type="dxa"/>
            <w:vAlign w:val="bottom"/>
          </w:tcPr>
          <w:p w:rsidRPr="00BD00EF" w:rsidR="00A30F5F" w:rsidP="000250BC" w:rsidRDefault="000250BC" w14:paraId="046325E5" w14:textId="77777777">
            <w:pPr>
              <w:jc w:val="right"/>
              <w:rPr>
                <w:sz w:val="20"/>
                <w:szCs w:val="20"/>
              </w:rPr>
            </w:pPr>
            <w:r>
              <w:rPr>
                <w:sz w:val="20"/>
                <w:szCs w:val="20"/>
              </w:rPr>
              <w:t>25,372</w:t>
            </w:r>
            <w:r w:rsidDel="000250BC">
              <w:rPr>
                <w:sz w:val="20"/>
                <w:szCs w:val="20"/>
              </w:rPr>
              <w:t xml:space="preserve"> </w:t>
            </w:r>
          </w:p>
        </w:tc>
        <w:tc>
          <w:tcPr>
            <w:tcW w:w="990" w:type="dxa"/>
            <w:vAlign w:val="bottom"/>
          </w:tcPr>
          <w:p w:rsidRPr="00BD00EF" w:rsidR="00A30F5F" w:rsidP="00193CC5" w:rsidRDefault="000B7E67" w14:paraId="6AB16DB9" w14:textId="77777777">
            <w:pPr>
              <w:jc w:val="right"/>
              <w:rPr>
                <w:sz w:val="20"/>
                <w:szCs w:val="20"/>
              </w:rPr>
            </w:pPr>
            <w:r w:rsidRPr="000B7E67">
              <w:rPr>
                <w:sz w:val="20"/>
                <w:szCs w:val="20"/>
              </w:rPr>
              <w:t>$55.23</w:t>
            </w:r>
          </w:p>
        </w:tc>
        <w:tc>
          <w:tcPr>
            <w:tcW w:w="1387" w:type="dxa"/>
            <w:vAlign w:val="bottom"/>
          </w:tcPr>
          <w:p w:rsidRPr="00BD00EF" w:rsidR="00A30F5F" w:rsidP="00105764" w:rsidRDefault="00A30F5F" w14:paraId="33CB4081" w14:textId="77777777">
            <w:pPr>
              <w:jc w:val="right"/>
              <w:rPr>
                <w:sz w:val="20"/>
                <w:szCs w:val="20"/>
              </w:rPr>
            </w:pPr>
            <w:r w:rsidRPr="00BD00EF">
              <w:rPr>
                <w:sz w:val="20"/>
                <w:szCs w:val="20"/>
              </w:rPr>
              <w:t>$</w:t>
            </w:r>
            <w:r w:rsidR="000250BC">
              <w:rPr>
                <w:sz w:val="20"/>
                <w:szCs w:val="20"/>
              </w:rPr>
              <w:t>1.</w:t>
            </w:r>
            <w:r w:rsidR="00105764">
              <w:rPr>
                <w:sz w:val="20"/>
                <w:szCs w:val="20"/>
              </w:rPr>
              <w:t>40</w:t>
            </w:r>
            <w:r w:rsidR="00193CC5">
              <w:rPr>
                <w:sz w:val="20"/>
                <w:szCs w:val="20"/>
              </w:rPr>
              <w:t xml:space="preserve"> million</w:t>
            </w:r>
          </w:p>
        </w:tc>
      </w:tr>
      <w:tr w:rsidRPr="00BD00EF" w:rsidR="00D91919" w:rsidTr="00D91919" w14:paraId="021C22BC" w14:textId="77777777">
        <w:trPr>
          <w:trHeight w:val="1409"/>
        </w:trPr>
        <w:tc>
          <w:tcPr>
            <w:tcW w:w="1328" w:type="dxa"/>
          </w:tcPr>
          <w:p w:rsidRPr="00BD00EF" w:rsidR="00A30F5F" w:rsidP="00F13E7C" w:rsidRDefault="00A30F5F" w14:paraId="31E9EA73" w14:textId="77777777">
            <w:pPr>
              <w:rPr>
                <w:sz w:val="20"/>
                <w:szCs w:val="20"/>
              </w:rPr>
            </w:pPr>
            <w:r w:rsidRPr="00BD00EF">
              <w:rPr>
                <w:sz w:val="20"/>
                <w:szCs w:val="20"/>
              </w:rPr>
              <w:t xml:space="preserve">Production and Distribution of </w:t>
            </w:r>
            <w:r w:rsidRPr="00BD00EF" w:rsidR="00F13E7C">
              <w:rPr>
                <w:sz w:val="20"/>
                <w:szCs w:val="20"/>
              </w:rPr>
              <w:t>SAR</w:t>
            </w:r>
            <w:r w:rsidRPr="00BD00EF">
              <w:rPr>
                <w:sz w:val="20"/>
                <w:szCs w:val="20"/>
              </w:rPr>
              <w:t xml:space="preserve"> (</w:t>
            </w:r>
            <w:r w:rsidRPr="00BD00EF" w:rsidR="00F13E7C">
              <w:rPr>
                <w:sz w:val="20"/>
                <w:szCs w:val="20"/>
              </w:rPr>
              <w:t>Paper</w:t>
            </w:r>
            <w:r w:rsidRPr="00BD00EF">
              <w:rPr>
                <w:sz w:val="20"/>
                <w:szCs w:val="20"/>
              </w:rPr>
              <w:t xml:space="preserve"> Copies)</w:t>
            </w:r>
          </w:p>
        </w:tc>
        <w:tc>
          <w:tcPr>
            <w:tcW w:w="1516" w:type="dxa"/>
            <w:vAlign w:val="bottom"/>
          </w:tcPr>
          <w:p w:rsidRPr="00BD00EF" w:rsidR="00193CC5" w:rsidP="00193CC5" w:rsidRDefault="00A04842" w14:paraId="75D3FF30" w14:textId="77777777">
            <w:pPr>
              <w:jc w:val="right"/>
              <w:rPr>
                <w:sz w:val="20"/>
                <w:szCs w:val="20"/>
              </w:rPr>
            </w:pPr>
            <w:r w:rsidRPr="00A04842">
              <w:rPr>
                <w:sz w:val="20"/>
                <w:szCs w:val="20"/>
              </w:rPr>
              <w:t>761,170</w:t>
            </w:r>
          </w:p>
        </w:tc>
        <w:tc>
          <w:tcPr>
            <w:tcW w:w="1061" w:type="dxa"/>
            <w:vAlign w:val="bottom"/>
          </w:tcPr>
          <w:p w:rsidRPr="00BD00EF" w:rsidR="00A30F5F" w:rsidP="006147A4" w:rsidRDefault="007D771E" w14:paraId="60F1C43B" w14:textId="77777777">
            <w:pPr>
              <w:jc w:val="right"/>
              <w:rPr>
                <w:sz w:val="20"/>
                <w:szCs w:val="20"/>
              </w:rPr>
            </w:pPr>
            <w:r>
              <w:rPr>
                <w:sz w:val="20"/>
                <w:szCs w:val="20"/>
              </w:rPr>
              <w:t>38.8</w:t>
            </w:r>
          </w:p>
        </w:tc>
        <w:tc>
          <w:tcPr>
            <w:tcW w:w="1516" w:type="dxa"/>
            <w:vAlign w:val="bottom"/>
          </w:tcPr>
          <w:p w:rsidRPr="00BD00EF" w:rsidR="00A30F5F" w:rsidP="006147A4" w:rsidRDefault="007D771E" w14:paraId="3601E593" w14:textId="77777777">
            <w:pPr>
              <w:jc w:val="right"/>
              <w:rPr>
                <w:sz w:val="20"/>
                <w:szCs w:val="20"/>
              </w:rPr>
            </w:pPr>
            <w:r w:rsidRPr="007D771E">
              <w:rPr>
                <w:sz w:val="20"/>
                <w:szCs w:val="20"/>
              </w:rPr>
              <w:t xml:space="preserve">29.6 </w:t>
            </w:r>
            <w:r w:rsidRPr="00BD00EF" w:rsidR="006147A4">
              <w:rPr>
                <w:sz w:val="20"/>
                <w:szCs w:val="20"/>
              </w:rPr>
              <w:t>million</w:t>
            </w:r>
          </w:p>
        </w:tc>
        <w:tc>
          <w:tcPr>
            <w:tcW w:w="983" w:type="dxa"/>
            <w:vAlign w:val="bottom"/>
          </w:tcPr>
          <w:p w:rsidRPr="00BD00EF" w:rsidR="00A30F5F" w:rsidP="00C56DD2" w:rsidRDefault="00A30F5F" w14:paraId="01D0FF97" w14:textId="77777777">
            <w:pPr>
              <w:jc w:val="right"/>
              <w:rPr>
                <w:sz w:val="20"/>
                <w:szCs w:val="20"/>
              </w:rPr>
            </w:pPr>
            <w:r w:rsidRPr="00BD00EF">
              <w:rPr>
                <w:sz w:val="20"/>
                <w:szCs w:val="20"/>
              </w:rPr>
              <w:t>0</w:t>
            </w:r>
            <w:r w:rsidRPr="00BD00EF" w:rsidR="006147A4">
              <w:rPr>
                <w:sz w:val="20"/>
                <w:szCs w:val="20"/>
              </w:rPr>
              <w:t>.017</w:t>
            </w:r>
          </w:p>
        </w:tc>
        <w:tc>
          <w:tcPr>
            <w:tcW w:w="1516" w:type="dxa"/>
            <w:vAlign w:val="bottom"/>
          </w:tcPr>
          <w:p w:rsidRPr="00BD00EF" w:rsidR="00A30F5F" w:rsidP="006147A4" w:rsidRDefault="007D771E" w14:paraId="49E9E666" w14:textId="77777777">
            <w:pPr>
              <w:jc w:val="right"/>
              <w:rPr>
                <w:sz w:val="20"/>
                <w:szCs w:val="20"/>
              </w:rPr>
            </w:pPr>
            <w:r>
              <w:rPr>
                <w:sz w:val="20"/>
                <w:szCs w:val="20"/>
              </w:rPr>
              <w:t>492,738</w:t>
            </w:r>
          </w:p>
        </w:tc>
        <w:tc>
          <w:tcPr>
            <w:tcW w:w="990" w:type="dxa"/>
            <w:vAlign w:val="bottom"/>
          </w:tcPr>
          <w:p w:rsidRPr="00BD00EF" w:rsidR="00A30F5F" w:rsidP="0090550D" w:rsidRDefault="000B7E67" w14:paraId="2D38A6C8" w14:textId="77777777">
            <w:pPr>
              <w:jc w:val="right"/>
              <w:rPr>
                <w:sz w:val="20"/>
                <w:szCs w:val="20"/>
              </w:rPr>
            </w:pPr>
            <w:r w:rsidRPr="000B7E67">
              <w:rPr>
                <w:sz w:val="20"/>
                <w:szCs w:val="20"/>
              </w:rPr>
              <w:t>$55.23</w:t>
            </w:r>
          </w:p>
        </w:tc>
        <w:tc>
          <w:tcPr>
            <w:tcW w:w="1387" w:type="dxa"/>
            <w:vAlign w:val="bottom"/>
          </w:tcPr>
          <w:p w:rsidRPr="00BD00EF" w:rsidR="00A30F5F" w:rsidP="00105764" w:rsidRDefault="00A30F5F" w14:paraId="71631B53" w14:textId="77777777">
            <w:pPr>
              <w:jc w:val="right"/>
              <w:rPr>
                <w:sz w:val="20"/>
                <w:szCs w:val="20"/>
              </w:rPr>
            </w:pPr>
            <w:r w:rsidRPr="00BD00EF">
              <w:rPr>
                <w:sz w:val="20"/>
                <w:szCs w:val="20"/>
              </w:rPr>
              <w:t>$</w:t>
            </w:r>
            <w:r w:rsidR="007D771E">
              <w:rPr>
                <w:sz w:val="20"/>
                <w:szCs w:val="20"/>
              </w:rPr>
              <w:t>27</w:t>
            </w:r>
            <w:r w:rsidRPr="00BD00EF" w:rsidR="00740D24">
              <w:rPr>
                <w:sz w:val="20"/>
                <w:szCs w:val="20"/>
              </w:rPr>
              <w:t xml:space="preserve"> million</w:t>
            </w:r>
          </w:p>
        </w:tc>
      </w:tr>
      <w:tr w:rsidRPr="00BD00EF" w:rsidR="00D91919" w:rsidTr="00D91919" w14:paraId="6B58BA2E" w14:textId="77777777">
        <w:trPr>
          <w:trHeight w:val="696"/>
        </w:trPr>
        <w:tc>
          <w:tcPr>
            <w:tcW w:w="1328" w:type="dxa"/>
          </w:tcPr>
          <w:p w:rsidRPr="00BD00EF" w:rsidR="00A30F5F" w:rsidP="00C56DD2" w:rsidRDefault="00A30F5F" w14:paraId="0C6D4936" w14:textId="77777777">
            <w:pPr>
              <w:rPr>
                <w:sz w:val="20"/>
                <w:szCs w:val="20"/>
              </w:rPr>
            </w:pPr>
            <w:r w:rsidRPr="00BD00EF">
              <w:rPr>
                <w:sz w:val="20"/>
                <w:szCs w:val="20"/>
              </w:rPr>
              <w:t>Information on Request (Clerical)</w:t>
            </w:r>
          </w:p>
        </w:tc>
        <w:tc>
          <w:tcPr>
            <w:tcW w:w="1516" w:type="dxa"/>
            <w:vAlign w:val="bottom"/>
          </w:tcPr>
          <w:p w:rsidRPr="00BD00EF" w:rsidR="00A30F5F" w:rsidP="00C56DD2" w:rsidRDefault="00A04842" w14:paraId="579E57F6" w14:textId="77777777">
            <w:pPr>
              <w:jc w:val="right"/>
              <w:rPr>
                <w:sz w:val="20"/>
                <w:szCs w:val="20"/>
              </w:rPr>
            </w:pPr>
            <w:r w:rsidRPr="00A04842">
              <w:rPr>
                <w:sz w:val="20"/>
                <w:szCs w:val="20"/>
              </w:rPr>
              <w:t>761,170</w:t>
            </w:r>
          </w:p>
        </w:tc>
        <w:tc>
          <w:tcPr>
            <w:tcW w:w="1061" w:type="dxa"/>
            <w:vAlign w:val="bottom"/>
          </w:tcPr>
          <w:p w:rsidRPr="00BD00EF" w:rsidR="00A30F5F" w:rsidP="00C56DD2" w:rsidRDefault="00A30F5F" w14:paraId="70A163CD" w14:textId="77777777">
            <w:pPr>
              <w:jc w:val="right"/>
              <w:rPr>
                <w:sz w:val="20"/>
                <w:szCs w:val="20"/>
              </w:rPr>
            </w:pPr>
            <w:r w:rsidRPr="00BD00EF">
              <w:rPr>
                <w:sz w:val="20"/>
                <w:szCs w:val="20"/>
              </w:rPr>
              <w:t>1</w:t>
            </w:r>
          </w:p>
        </w:tc>
        <w:tc>
          <w:tcPr>
            <w:tcW w:w="1516" w:type="dxa"/>
            <w:vAlign w:val="bottom"/>
          </w:tcPr>
          <w:p w:rsidRPr="00BD00EF" w:rsidR="00A30F5F" w:rsidP="00740D24" w:rsidRDefault="00A04842" w14:paraId="7A7EB285" w14:textId="77777777">
            <w:pPr>
              <w:jc w:val="right"/>
              <w:rPr>
                <w:sz w:val="20"/>
                <w:szCs w:val="20"/>
              </w:rPr>
            </w:pPr>
            <w:r w:rsidRPr="00A04842">
              <w:rPr>
                <w:sz w:val="20"/>
                <w:szCs w:val="20"/>
              </w:rPr>
              <w:t>761,170</w:t>
            </w:r>
          </w:p>
        </w:tc>
        <w:tc>
          <w:tcPr>
            <w:tcW w:w="983" w:type="dxa"/>
            <w:vAlign w:val="bottom"/>
          </w:tcPr>
          <w:p w:rsidRPr="00BD00EF" w:rsidR="00A30F5F" w:rsidP="00C56DD2" w:rsidRDefault="00740D24" w14:paraId="69938CAE" w14:textId="77777777">
            <w:pPr>
              <w:jc w:val="right"/>
              <w:rPr>
                <w:sz w:val="20"/>
                <w:szCs w:val="20"/>
              </w:rPr>
            </w:pPr>
            <w:r w:rsidRPr="00BD00EF">
              <w:rPr>
                <w:sz w:val="20"/>
                <w:szCs w:val="20"/>
              </w:rPr>
              <w:t>0.25</w:t>
            </w:r>
          </w:p>
        </w:tc>
        <w:tc>
          <w:tcPr>
            <w:tcW w:w="1516" w:type="dxa"/>
            <w:vAlign w:val="bottom"/>
          </w:tcPr>
          <w:p w:rsidRPr="00BD00EF" w:rsidR="00A30F5F" w:rsidP="0091725A" w:rsidRDefault="000250BC" w14:paraId="5C88CC7F" w14:textId="77777777">
            <w:pPr>
              <w:jc w:val="right"/>
              <w:rPr>
                <w:sz w:val="20"/>
                <w:szCs w:val="20"/>
              </w:rPr>
            </w:pPr>
            <w:r>
              <w:rPr>
                <w:sz w:val="20"/>
                <w:szCs w:val="20"/>
              </w:rPr>
              <w:t>190,293</w:t>
            </w:r>
          </w:p>
        </w:tc>
        <w:tc>
          <w:tcPr>
            <w:tcW w:w="990" w:type="dxa"/>
            <w:vAlign w:val="bottom"/>
          </w:tcPr>
          <w:p w:rsidRPr="00BD00EF" w:rsidR="00A30F5F" w:rsidP="00D91919" w:rsidRDefault="000B7E67" w14:paraId="071A0373" w14:textId="77777777">
            <w:pPr>
              <w:jc w:val="right"/>
              <w:rPr>
                <w:sz w:val="20"/>
                <w:szCs w:val="20"/>
              </w:rPr>
            </w:pPr>
            <w:r w:rsidRPr="000B7E67">
              <w:rPr>
                <w:sz w:val="20"/>
                <w:szCs w:val="20"/>
              </w:rPr>
              <w:t>$55.23</w:t>
            </w:r>
          </w:p>
        </w:tc>
        <w:tc>
          <w:tcPr>
            <w:tcW w:w="1387" w:type="dxa"/>
            <w:vAlign w:val="bottom"/>
          </w:tcPr>
          <w:p w:rsidRPr="00BD00EF" w:rsidR="00A30F5F" w:rsidP="00105764" w:rsidRDefault="00A30F5F" w14:paraId="0C03080E" w14:textId="77777777">
            <w:pPr>
              <w:jc w:val="right"/>
              <w:rPr>
                <w:sz w:val="20"/>
                <w:szCs w:val="20"/>
              </w:rPr>
            </w:pPr>
            <w:r w:rsidRPr="00BD00EF">
              <w:rPr>
                <w:sz w:val="20"/>
                <w:szCs w:val="20"/>
              </w:rPr>
              <w:t>$</w:t>
            </w:r>
            <w:r w:rsidR="00105764">
              <w:rPr>
                <w:sz w:val="20"/>
                <w:szCs w:val="20"/>
              </w:rPr>
              <w:t>10.5</w:t>
            </w:r>
            <w:r w:rsidRPr="00BD00EF">
              <w:rPr>
                <w:sz w:val="20"/>
                <w:szCs w:val="20"/>
              </w:rPr>
              <w:t xml:space="preserve"> million</w:t>
            </w:r>
          </w:p>
        </w:tc>
      </w:tr>
      <w:tr w:rsidRPr="00BD00EF" w:rsidR="00D91919" w:rsidTr="00D91919" w14:paraId="4E489391" w14:textId="77777777">
        <w:trPr>
          <w:trHeight w:val="464"/>
        </w:trPr>
        <w:tc>
          <w:tcPr>
            <w:tcW w:w="1328" w:type="dxa"/>
          </w:tcPr>
          <w:p w:rsidRPr="00BD00EF" w:rsidR="00A30F5F" w:rsidP="00EB265D" w:rsidRDefault="00A64222" w14:paraId="45EB6049" w14:textId="77777777">
            <w:pPr>
              <w:rPr>
                <w:b/>
                <w:i/>
                <w:sz w:val="20"/>
                <w:szCs w:val="20"/>
              </w:rPr>
            </w:pPr>
            <w:r>
              <w:rPr>
                <w:b/>
                <w:i/>
                <w:sz w:val="20"/>
                <w:szCs w:val="20"/>
              </w:rPr>
              <w:t>Total (First Year)</w:t>
            </w:r>
          </w:p>
        </w:tc>
        <w:tc>
          <w:tcPr>
            <w:tcW w:w="1516" w:type="dxa"/>
            <w:vAlign w:val="bottom"/>
          </w:tcPr>
          <w:p w:rsidRPr="00BD00EF" w:rsidR="00A30F5F" w:rsidP="00567EAB" w:rsidRDefault="00A04842" w14:paraId="71D9A7CF" w14:textId="77777777">
            <w:pPr>
              <w:jc w:val="right"/>
              <w:rPr>
                <w:b/>
                <w:i/>
                <w:sz w:val="20"/>
                <w:szCs w:val="20"/>
              </w:rPr>
            </w:pPr>
            <w:r w:rsidRPr="00A04842">
              <w:rPr>
                <w:b/>
                <w:i/>
                <w:sz w:val="20"/>
                <w:szCs w:val="20"/>
              </w:rPr>
              <w:t>761,170</w:t>
            </w:r>
          </w:p>
        </w:tc>
        <w:tc>
          <w:tcPr>
            <w:tcW w:w="1061" w:type="dxa"/>
            <w:vAlign w:val="bottom"/>
          </w:tcPr>
          <w:p w:rsidRPr="00BD00EF" w:rsidR="00A30F5F" w:rsidP="00C56DD2" w:rsidRDefault="00A30F5F" w14:paraId="4607A17E" w14:textId="77777777">
            <w:pPr>
              <w:jc w:val="right"/>
              <w:rPr>
                <w:b/>
                <w:i/>
                <w:sz w:val="20"/>
                <w:szCs w:val="20"/>
              </w:rPr>
            </w:pPr>
          </w:p>
        </w:tc>
        <w:tc>
          <w:tcPr>
            <w:tcW w:w="1516" w:type="dxa"/>
            <w:vAlign w:val="bottom"/>
          </w:tcPr>
          <w:p w:rsidRPr="00BD00EF" w:rsidR="00A30F5F" w:rsidP="00C56DD2" w:rsidRDefault="00EC2567" w14:paraId="2DCB2AD4" w14:textId="77777777">
            <w:pPr>
              <w:jc w:val="right"/>
              <w:rPr>
                <w:b/>
                <w:i/>
                <w:sz w:val="20"/>
                <w:szCs w:val="20"/>
              </w:rPr>
            </w:pPr>
            <w:r>
              <w:rPr>
                <w:b/>
                <w:i/>
                <w:sz w:val="20"/>
                <w:szCs w:val="20"/>
              </w:rPr>
              <w:t>179</w:t>
            </w:r>
            <w:r w:rsidRPr="00BD00EF" w:rsidR="00416C55">
              <w:rPr>
                <w:b/>
                <w:i/>
                <w:sz w:val="20"/>
                <w:szCs w:val="20"/>
              </w:rPr>
              <w:t xml:space="preserve"> </w:t>
            </w:r>
            <w:r w:rsidRPr="00BD00EF" w:rsidR="00FC70AF">
              <w:rPr>
                <w:b/>
                <w:i/>
                <w:sz w:val="20"/>
                <w:szCs w:val="20"/>
              </w:rPr>
              <w:t>million</w:t>
            </w:r>
          </w:p>
        </w:tc>
        <w:tc>
          <w:tcPr>
            <w:tcW w:w="983" w:type="dxa"/>
            <w:vAlign w:val="bottom"/>
          </w:tcPr>
          <w:p w:rsidRPr="00BD00EF" w:rsidR="00A30F5F" w:rsidP="00C56DD2" w:rsidRDefault="00A30F5F" w14:paraId="6636C880" w14:textId="77777777">
            <w:pPr>
              <w:jc w:val="right"/>
              <w:rPr>
                <w:b/>
                <w:i/>
                <w:sz w:val="20"/>
                <w:szCs w:val="20"/>
              </w:rPr>
            </w:pPr>
          </w:p>
        </w:tc>
        <w:tc>
          <w:tcPr>
            <w:tcW w:w="1516" w:type="dxa"/>
            <w:vAlign w:val="bottom"/>
          </w:tcPr>
          <w:p w:rsidRPr="00BD00EF" w:rsidR="00A30F5F" w:rsidP="00277D1D" w:rsidRDefault="00416C55" w14:paraId="5EB6CD43" w14:textId="77777777">
            <w:pPr>
              <w:jc w:val="right"/>
              <w:rPr>
                <w:b/>
                <w:i/>
                <w:sz w:val="20"/>
                <w:szCs w:val="20"/>
              </w:rPr>
            </w:pPr>
            <w:r>
              <w:rPr>
                <w:b/>
                <w:i/>
                <w:sz w:val="20"/>
                <w:szCs w:val="20"/>
              </w:rPr>
              <w:t>1.</w:t>
            </w:r>
            <w:r w:rsidR="00277D1D">
              <w:rPr>
                <w:b/>
                <w:i/>
                <w:sz w:val="20"/>
                <w:szCs w:val="20"/>
              </w:rPr>
              <w:t>15</w:t>
            </w:r>
            <w:r w:rsidRPr="00BD00EF" w:rsidR="00A30F5F">
              <w:rPr>
                <w:b/>
                <w:i/>
                <w:sz w:val="20"/>
                <w:szCs w:val="20"/>
              </w:rPr>
              <w:t xml:space="preserve"> million</w:t>
            </w:r>
          </w:p>
        </w:tc>
        <w:tc>
          <w:tcPr>
            <w:tcW w:w="990" w:type="dxa"/>
            <w:vAlign w:val="bottom"/>
          </w:tcPr>
          <w:p w:rsidRPr="00BD00EF" w:rsidR="00A30F5F" w:rsidP="00C56DD2" w:rsidRDefault="00A30F5F" w14:paraId="25ED595C" w14:textId="77777777">
            <w:pPr>
              <w:jc w:val="right"/>
              <w:rPr>
                <w:b/>
                <w:i/>
                <w:sz w:val="20"/>
                <w:szCs w:val="20"/>
              </w:rPr>
            </w:pPr>
          </w:p>
        </w:tc>
        <w:tc>
          <w:tcPr>
            <w:tcW w:w="1387" w:type="dxa"/>
            <w:vAlign w:val="bottom"/>
          </w:tcPr>
          <w:p w:rsidRPr="00BD00EF" w:rsidR="00A30F5F" w:rsidP="008E1796" w:rsidRDefault="00A30F5F" w14:paraId="1D89E5FB" w14:textId="13DEC0B5">
            <w:pPr>
              <w:jc w:val="right"/>
              <w:rPr>
                <w:b/>
                <w:i/>
                <w:sz w:val="20"/>
                <w:szCs w:val="20"/>
              </w:rPr>
            </w:pPr>
            <w:r w:rsidRPr="00BD00EF">
              <w:rPr>
                <w:b/>
                <w:i/>
                <w:sz w:val="20"/>
                <w:szCs w:val="20"/>
              </w:rPr>
              <w:t>$</w:t>
            </w:r>
            <w:r w:rsidR="004A00A9">
              <w:rPr>
                <w:b/>
                <w:i/>
                <w:sz w:val="20"/>
                <w:szCs w:val="20"/>
              </w:rPr>
              <w:t>84.6</w:t>
            </w:r>
            <w:r w:rsidRPr="00BD00EF">
              <w:rPr>
                <w:b/>
                <w:i/>
                <w:sz w:val="20"/>
                <w:szCs w:val="20"/>
              </w:rPr>
              <w:t xml:space="preserve"> million</w:t>
            </w:r>
          </w:p>
        </w:tc>
      </w:tr>
      <w:tr w:rsidRPr="00BD00EF" w:rsidR="00EB265D" w:rsidTr="00D91919" w14:paraId="60B8E1D1" w14:textId="77777777">
        <w:trPr>
          <w:trHeight w:val="464"/>
        </w:trPr>
        <w:tc>
          <w:tcPr>
            <w:tcW w:w="1328" w:type="dxa"/>
          </w:tcPr>
          <w:p w:rsidRPr="00BD00EF" w:rsidR="00EB265D" w:rsidP="00A64222" w:rsidRDefault="00A64222" w14:paraId="51520328" w14:textId="77777777">
            <w:pPr>
              <w:rPr>
                <w:b/>
                <w:i/>
                <w:sz w:val="20"/>
                <w:szCs w:val="20"/>
              </w:rPr>
            </w:pPr>
            <w:r>
              <w:rPr>
                <w:b/>
                <w:i/>
                <w:sz w:val="20"/>
                <w:szCs w:val="20"/>
              </w:rPr>
              <w:t>Total (</w:t>
            </w:r>
            <w:r w:rsidR="00EB265D">
              <w:rPr>
                <w:b/>
                <w:i/>
                <w:sz w:val="20"/>
                <w:szCs w:val="20"/>
              </w:rPr>
              <w:t>Subsequent</w:t>
            </w:r>
            <w:r w:rsidRPr="00EB265D" w:rsidR="00EB265D">
              <w:rPr>
                <w:b/>
                <w:i/>
                <w:sz w:val="20"/>
                <w:szCs w:val="20"/>
              </w:rPr>
              <w:t xml:space="preserve"> Year</w:t>
            </w:r>
            <w:r w:rsidR="00EB265D">
              <w:rPr>
                <w:b/>
                <w:i/>
                <w:sz w:val="20"/>
                <w:szCs w:val="20"/>
              </w:rPr>
              <w:t>s</w:t>
            </w:r>
            <w:r>
              <w:rPr>
                <w:b/>
                <w:i/>
                <w:sz w:val="20"/>
                <w:szCs w:val="20"/>
              </w:rPr>
              <w:t>)</w:t>
            </w:r>
          </w:p>
        </w:tc>
        <w:tc>
          <w:tcPr>
            <w:tcW w:w="1516" w:type="dxa"/>
            <w:vAlign w:val="bottom"/>
          </w:tcPr>
          <w:p w:rsidRPr="00A04842" w:rsidR="00EB265D" w:rsidP="00567EAB" w:rsidRDefault="00A64222" w14:paraId="524FFB6F" w14:textId="77777777">
            <w:pPr>
              <w:jc w:val="right"/>
              <w:rPr>
                <w:b/>
                <w:i/>
                <w:sz w:val="20"/>
                <w:szCs w:val="20"/>
              </w:rPr>
            </w:pPr>
            <w:r w:rsidRPr="00A64222">
              <w:rPr>
                <w:b/>
                <w:i/>
                <w:sz w:val="20"/>
                <w:szCs w:val="20"/>
              </w:rPr>
              <w:t>761,170</w:t>
            </w:r>
          </w:p>
        </w:tc>
        <w:tc>
          <w:tcPr>
            <w:tcW w:w="1061" w:type="dxa"/>
            <w:vAlign w:val="bottom"/>
          </w:tcPr>
          <w:p w:rsidRPr="00BD00EF" w:rsidR="00EB265D" w:rsidP="00C56DD2" w:rsidRDefault="00EB265D" w14:paraId="616DAC5C" w14:textId="77777777">
            <w:pPr>
              <w:jc w:val="right"/>
              <w:rPr>
                <w:b/>
                <w:i/>
                <w:sz w:val="20"/>
                <w:szCs w:val="20"/>
              </w:rPr>
            </w:pPr>
          </w:p>
        </w:tc>
        <w:tc>
          <w:tcPr>
            <w:tcW w:w="1516" w:type="dxa"/>
            <w:vAlign w:val="bottom"/>
          </w:tcPr>
          <w:p w:rsidR="00EB265D" w:rsidDel="00416C55" w:rsidP="00277D1D" w:rsidRDefault="00A64222" w14:paraId="477A39DC" w14:textId="77777777">
            <w:pPr>
              <w:jc w:val="right"/>
              <w:rPr>
                <w:b/>
                <w:i/>
                <w:sz w:val="20"/>
                <w:szCs w:val="20"/>
              </w:rPr>
            </w:pPr>
            <w:r w:rsidRPr="00A64222">
              <w:rPr>
                <w:b/>
                <w:i/>
                <w:sz w:val="20"/>
                <w:szCs w:val="20"/>
              </w:rPr>
              <w:t>17</w:t>
            </w:r>
            <w:r>
              <w:rPr>
                <w:b/>
                <w:i/>
                <w:sz w:val="20"/>
                <w:szCs w:val="20"/>
              </w:rPr>
              <w:t>8</w:t>
            </w:r>
            <w:r w:rsidRPr="00A64222">
              <w:rPr>
                <w:b/>
                <w:i/>
                <w:sz w:val="20"/>
                <w:szCs w:val="20"/>
              </w:rPr>
              <w:t xml:space="preserve"> million</w:t>
            </w:r>
          </w:p>
        </w:tc>
        <w:tc>
          <w:tcPr>
            <w:tcW w:w="983" w:type="dxa"/>
            <w:vAlign w:val="bottom"/>
          </w:tcPr>
          <w:p w:rsidRPr="00BD00EF" w:rsidR="00EB265D" w:rsidP="00C56DD2" w:rsidRDefault="00EB265D" w14:paraId="370A911A" w14:textId="77777777">
            <w:pPr>
              <w:jc w:val="right"/>
              <w:rPr>
                <w:b/>
                <w:i/>
                <w:sz w:val="20"/>
                <w:szCs w:val="20"/>
              </w:rPr>
            </w:pPr>
          </w:p>
        </w:tc>
        <w:tc>
          <w:tcPr>
            <w:tcW w:w="1516" w:type="dxa"/>
            <w:vAlign w:val="bottom"/>
          </w:tcPr>
          <w:p w:rsidR="00EB265D" w:rsidDel="00416C55" w:rsidP="00277D1D" w:rsidRDefault="00277D1D" w14:paraId="2B6D66AB" w14:textId="77777777">
            <w:pPr>
              <w:jc w:val="right"/>
              <w:rPr>
                <w:b/>
                <w:i/>
                <w:sz w:val="20"/>
                <w:szCs w:val="20"/>
              </w:rPr>
            </w:pPr>
            <w:r>
              <w:rPr>
                <w:b/>
                <w:i/>
                <w:sz w:val="20"/>
                <w:szCs w:val="20"/>
              </w:rPr>
              <w:t>1</w:t>
            </w:r>
            <w:r w:rsidRPr="00A64222" w:rsidR="00A64222">
              <w:rPr>
                <w:b/>
                <w:i/>
                <w:sz w:val="20"/>
                <w:szCs w:val="20"/>
              </w:rPr>
              <w:t xml:space="preserve"> million</w:t>
            </w:r>
          </w:p>
        </w:tc>
        <w:tc>
          <w:tcPr>
            <w:tcW w:w="990" w:type="dxa"/>
            <w:vAlign w:val="bottom"/>
          </w:tcPr>
          <w:p w:rsidRPr="00BD00EF" w:rsidR="00EB265D" w:rsidP="00C56DD2" w:rsidRDefault="00EB265D" w14:paraId="1F0867E5" w14:textId="77777777">
            <w:pPr>
              <w:jc w:val="right"/>
              <w:rPr>
                <w:b/>
                <w:i/>
                <w:sz w:val="20"/>
                <w:szCs w:val="20"/>
              </w:rPr>
            </w:pPr>
          </w:p>
        </w:tc>
        <w:tc>
          <w:tcPr>
            <w:tcW w:w="1387" w:type="dxa"/>
            <w:vAlign w:val="bottom"/>
          </w:tcPr>
          <w:p w:rsidRPr="00BD00EF" w:rsidR="00EB265D" w:rsidP="004A00A9" w:rsidRDefault="00A64222" w14:paraId="20867165" w14:textId="317B197A">
            <w:pPr>
              <w:jc w:val="right"/>
              <w:rPr>
                <w:b/>
                <w:i/>
                <w:sz w:val="20"/>
                <w:szCs w:val="20"/>
              </w:rPr>
            </w:pPr>
            <w:r w:rsidRPr="00A64222">
              <w:rPr>
                <w:b/>
                <w:i/>
                <w:sz w:val="20"/>
                <w:szCs w:val="20"/>
              </w:rPr>
              <w:t>$</w:t>
            </w:r>
            <w:r w:rsidR="004A00A9">
              <w:rPr>
                <w:b/>
                <w:i/>
                <w:sz w:val="20"/>
                <w:szCs w:val="20"/>
              </w:rPr>
              <w:t>78</w:t>
            </w:r>
            <w:r w:rsidRPr="00A64222">
              <w:rPr>
                <w:b/>
                <w:i/>
                <w:sz w:val="20"/>
                <w:szCs w:val="20"/>
              </w:rPr>
              <w:t xml:space="preserve"> million</w:t>
            </w:r>
          </w:p>
        </w:tc>
      </w:tr>
      <w:tr w:rsidRPr="00BD00EF" w:rsidR="00EB265D" w:rsidTr="00D91919" w14:paraId="5FF127DB" w14:textId="77777777">
        <w:trPr>
          <w:trHeight w:val="464"/>
        </w:trPr>
        <w:tc>
          <w:tcPr>
            <w:tcW w:w="1328" w:type="dxa"/>
          </w:tcPr>
          <w:p w:rsidRPr="00BD00EF" w:rsidR="00EB265D" w:rsidP="00A64222" w:rsidRDefault="00A64222" w14:paraId="2FBBFC9F" w14:textId="77777777">
            <w:pPr>
              <w:rPr>
                <w:b/>
                <w:i/>
                <w:sz w:val="20"/>
                <w:szCs w:val="20"/>
              </w:rPr>
            </w:pPr>
            <w:r>
              <w:rPr>
                <w:b/>
                <w:i/>
                <w:sz w:val="20"/>
                <w:szCs w:val="20"/>
              </w:rPr>
              <w:t>Total (</w:t>
            </w:r>
            <w:r w:rsidR="00EB265D">
              <w:rPr>
                <w:b/>
                <w:i/>
                <w:sz w:val="20"/>
                <w:szCs w:val="20"/>
              </w:rPr>
              <w:t>Three-Year Average</w:t>
            </w:r>
            <w:r>
              <w:rPr>
                <w:b/>
                <w:i/>
                <w:sz w:val="20"/>
                <w:szCs w:val="20"/>
              </w:rPr>
              <w:t>)</w:t>
            </w:r>
          </w:p>
        </w:tc>
        <w:tc>
          <w:tcPr>
            <w:tcW w:w="1516" w:type="dxa"/>
            <w:vAlign w:val="bottom"/>
          </w:tcPr>
          <w:p w:rsidRPr="00A04842" w:rsidR="00EB265D" w:rsidP="00567EAB" w:rsidRDefault="00A64222" w14:paraId="59D7369A" w14:textId="77777777">
            <w:pPr>
              <w:jc w:val="right"/>
              <w:rPr>
                <w:b/>
                <w:i/>
                <w:sz w:val="20"/>
                <w:szCs w:val="20"/>
              </w:rPr>
            </w:pPr>
            <w:r w:rsidRPr="00A64222">
              <w:rPr>
                <w:b/>
                <w:i/>
                <w:sz w:val="20"/>
                <w:szCs w:val="20"/>
              </w:rPr>
              <w:t>761,170</w:t>
            </w:r>
          </w:p>
        </w:tc>
        <w:tc>
          <w:tcPr>
            <w:tcW w:w="1061" w:type="dxa"/>
            <w:vAlign w:val="bottom"/>
          </w:tcPr>
          <w:p w:rsidRPr="00BD00EF" w:rsidR="00EB265D" w:rsidP="00C56DD2" w:rsidRDefault="00EB265D" w14:paraId="30569FCB" w14:textId="77777777">
            <w:pPr>
              <w:jc w:val="right"/>
              <w:rPr>
                <w:b/>
                <w:i/>
                <w:sz w:val="20"/>
                <w:szCs w:val="20"/>
              </w:rPr>
            </w:pPr>
          </w:p>
        </w:tc>
        <w:tc>
          <w:tcPr>
            <w:tcW w:w="1516" w:type="dxa"/>
            <w:vAlign w:val="bottom"/>
          </w:tcPr>
          <w:p w:rsidR="00EB265D" w:rsidDel="00416C55" w:rsidP="00277D1D" w:rsidRDefault="00A64222" w14:paraId="063CED2A" w14:textId="77777777">
            <w:pPr>
              <w:jc w:val="right"/>
              <w:rPr>
                <w:b/>
                <w:i/>
                <w:sz w:val="20"/>
                <w:szCs w:val="20"/>
              </w:rPr>
            </w:pPr>
            <w:r w:rsidRPr="00A64222">
              <w:rPr>
                <w:b/>
                <w:i/>
                <w:sz w:val="20"/>
                <w:szCs w:val="20"/>
              </w:rPr>
              <w:t>17</w:t>
            </w:r>
            <w:r w:rsidR="007C4FA1">
              <w:rPr>
                <w:b/>
                <w:i/>
                <w:sz w:val="20"/>
                <w:szCs w:val="20"/>
              </w:rPr>
              <w:t>8</w:t>
            </w:r>
            <w:r w:rsidRPr="00A64222">
              <w:rPr>
                <w:b/>
                <w:i/>
                <w:sz w:val="20"/>
                <w:szCs w:val="20"/>
              </w:rPr>
              <w:t xml:space="preserve"> million</w:t>
            </w:r>
          </w:p>
        </w:tc>
        <w:tc>
          <w:tcPr>
            <w:tcW w:w="983" w:type="dxa"/>
            <w:vAlign w:val="bottom"/>
          </w:tcPr>
          <w:p w:rsidRPr="00BD00EF" w:rsidR="00EB265D" w:rsidP="00C56DD2" w:rsidRDefault="00EB265D" w14:paraId="6A63237F" w14:textId="77777777">
            <w:pPr>
              <w:jc w:val="right"/>
              <w:rPr>
                <w:b/>
                <w:i/>
                <w:sz w:val="20"/>
                <w:szCs w:val="20"/>
              </w:rPr>
            </w:pPr>
          </w:p>
        </w:tc>
        <w:tc>
          <w:tcPr>
            <w:tcW w:w="1516" w:type="dxa"/>
            <w:vAlign w:val="bottom"/>
          </w:tcPr>
          <w:p w:rsidR="00EB265D" w:rsidDel="00416C55" w:rsidP="00A64222" w:rsidRDefault="00277D1D" w14:paraId="7855A4A9" w14:textId="77777777">
            <w:pPr>
              <w:jc w:val="right"/>
              <w:rPr>
                <w:b/>
                <w:i/>
                <w:sz w:val="20"/>
                <w:szCs w:val="20"/>
              </w:rPr>
            </w:pPr>
            <w:r>
              <w:rPr>
                <w:b/>
                <w:i/>
                <w:sz w:val="20"/>
                <w:szCs w:val="20"/>
              </w:rPr>
              <w:t>1.11</w:t>
            </w:r>
            <w:r w:rsidRPr="00A64222" w:rsidR="00A64222">
              <w:rPr>
                <w:b/>
                <w:i/>
                <w:sz w:val="20"/>
                <w:szCs w:val="20"/>
              </w:rPr>
              <w:t xml:space="preserve"> million</w:t>
            </w:r>
          </w:p>
        </w:tc>
        <w:tc>
          <w:tcPr>
            <w:tcW w:w="990" w:type="dxa"/>
            <w:vAlign w:val="bottom"/>
          </w:tcPr>
          <w:p w:rsidRPr="00BD00EF" w:rsidR="00EB265D" w:rsidP="00C56DD2" w:rsidRDefault="00EB265D" w14:paraId="089AEC52" w14:textId="77777777">
            <w:pPr>
              <w:jc w:val="right"/>
              <w:rPr>
                <w:b/>
                <w:i/>
                <w:sz w:val="20"/>
                <w:szCs w:val="20"/>
              </w:rPr>
            </w:pPr>
          </w:p>
        </w:tc>
        <w:tc>
          <w:tcPr>
            <w:tcW w:w="1387" w:type="dxa"/>
            <w:vAlign w:val="bottom"/>
          </w:tcPr>
          <w:p w:rsidRPr="00BD00EF" w:rsidR="00EB265D" w:rsidP="004A00A9" w:rsidRDefault="00A64222" w14:paraId="3A68C242" w14:textId="71E1073C">
            <w:pPr>
              <w:jc w:val="right"/>
              <w:rPr>
                <w:b/>
                <w:i/>
                <w:sz w:val="20"/>
                <w:szCs w:val="20"/>
              </w:rPr>
            </w:pPr>
            <w:r w:rsidRPr="00A64222">
              <w:rPr>
                <w:b/>
                <w:i/>
                <w:sz w:val="20"/>
                <w:szCs w:val="20"/>
              </w:rPr>
              <w:t>$</w:t>
            </w:r>
            <w:r w:rsidR="004A00A9">
              <w:rPr>
                <w:b/>
                <w:i/>
                <w:sz w:val="20"/>
                <w:szCs w:val="20"/>
              </w:rPr>
              <w:t>80.2</w:t>
            </w:r>
            <w:r w:rsidRPr="00A64222">
              <w:rPr>
                <w:b/>
                <w:i/>
                <w:sz w:val="20"/>
                <w:szCs w:val="20"/>
              </w:rPr>
              <w:t xml:space="preserve"> million</w:t>
            </w:r>
          </w:p>
        </w:tc>
      </w:tr>
    </w:tbl>
    <w:p w:rsidRPr="000E0DAF" w:rsidR="00A30F5F" w:rsidP="00E13F70" w:rsidRDefault="00A30F5F" w14:paraId="4192DA25" w14:textId="77777777">
      <w:pPr>
        <w:widowControl/>
        <w:ind w:left="720"/>
      </w:pPr>
    </w:p>
    <w:p w:rsidRPr="000E0DAF" w:rsidR="00735BE9" w:rsidP="00E13F70" w:rsidRDefault="00735BE9" w14:paraId="39C79243" w14:textId="77777777">
      <w:pPr>
        <w:pStyle w:val="Quick1"/>
        <w:widowControl/>
        <w:tabs>
          <w:tab w:val="clear" w:pos="360"/>
        </w:tabs>
        <w:ind w:left="720" w:hanging="720"/>
        <w:rPr>
          <w:sz w:val="24"/>
        </w:rPr>
      </w:pPr>
      <w:r w:rsidRPr="000E0DAF">
        <w:rPr>
          <w:sz w:val="24"/>
        </w:rPr>
        <w:t>Provide an estimate of the total annual cost burden to respondents or recordkeepers resulting from the collection of information.  (Do not include the cost of any hour burden shown in Items 12 or 14)</w:t>
      </w:r>
    </w:p>
    <w:p w:rsidRPr="000E0DAF" w:rsidR="00735BE9" w:rsidP="00104099" w:rsidRDefault="00735BE9" w14:paraId="3842DF7E" w14:textId="77777777">
      <w:pPr>
        <w:widowControl/>
        <w:ind w:left="720"/>
      </w:pPr>
    </w:p>
    <w:p w:rsidRPr="000E0DAF" w:rsidR="0014311E" w:rsidP="00104099" w:rsidRDefault="0014311E" w14:paraId="7884C5BA" w14:textId="77777777">
      <w:pPr>
        <w:widowControl/>
        <w:ind w:left="720"/>
      </w:pPr>
      <w:r w:rsidRPr="000E0DAF">
        <w:t xml:space="preserve">As explained in the answer to question 12, above, the Department has decided to assume that all affected plans will use their own resources to comply with these information collection requirements.  </w:t>
      </w:r>
      <w:r w:rsidRPr="00EF5D8F">
        <w:t>Costs reported in this answer to question 13 relate to costs for material</w:t>
      </w:r>
      <w:r w:rsidRPr="00EF5D8F" w:rsidR="00541048">
        <w:t>s</w:t>
      </w:r>
      <w:r w:rsidRPr="00EF5D8F">
        <w:t xml:space="preserve"> and postage.  The Department has estimated the total annual cost burden for this information collection at $</w:t>
      </w:r>
      <w:r w:rsidR="003110DE">
        <w:t>20</w:t>
      </w:r>
      <w:r w:rsidR="007E75C4">
        <w:t>.3</w:t>
      </w:r>
      <w:r w:rsidRPr="00EF5D8F" w:rsidR="009E601F">
        <w:t xml:space="preserve"> </w:t>
      </w:r>
      <w:r w:rsidRPr="00EF5D8F">
        <w:t>million, calculated as follows:</w:t>
      </w:r>
    </w:p>
    <w:p w:rsidRPr="000E0DAF" w:rsidR="0014311E" w:rsidP="00104099" w:rsidRDefault="0014311E" w14:paraId="18A2726C" w14:textId="77777777">
      <w:pPr>
        <w:widowControl/>
        <w:ind w:left="720"/>
      </w:pPr>
    </w:p>
    <w:p w:rsidRPr="000E0DAF" w:rsidR="0014311E" w:rsidP="00104099" w:rsidRDefault="0014311E" w14:paraId="2B0C6AD5" w14:textId="77777777">
      <w:pPr>
        <w:widowControl/>
        <w:ind w:left="720"/>
      </w:pPr>
      <w:r w:rsidRPr="000E0DAF">
        <w:rPr>
          <w:i/>
          <w:u w:val="single"/>
        </w:rPr>
        <w:t>Distribution of SAR.</w:t>
      </w:r>
      <w:r w:rsidRPr="000E0DAF">
        <w:t xml:space="preserve">  We have assumed that each plan</w:t>
      </w:r>
      <w:r w:rsidRPr="000E0DAF" w:rsidR="00EE3556">
        <w:t>’</w:t>
      </w:r>
      <w:r w:rsidRPr="000E0DAF">
        <w:t xml:space="preserve">s </w:t>
      </w:r>
      <w:r w:rsidRPr="00EF5D8F">
        <w:t>SAR will consist of two pages</w:t>
      </w:r>
      <w:r w:rsidR="008F05C4">
        <w:t xml:space="preserve"> based on the form in the SAR regulation</w:t>
      </w:r>
      <w:r w:rsidRPr="00EF5D8F">
        <w:t xml:space="preserve">.  As explained in the answer to question 12, above, we have assumed that </w:t>
      </w:r>
      <w:r w:rsidR="003110DE">
        <w:t>29.6</w:t>
      </w:r>
      <w:r w:rsidRPr="00EF5D8F">
        <w:rPr>
          <w:color w:val="000000"/>
        </w:rPr>
        <w:t xml:space="preserve"> million</w:t>
      </w:r>
      <w:r w:rsidRPr="00EF5D8F">
        <w:t xml:space="preserve"> </w:t>
      </w:r>
      <w:r w:rsidRPr="00EF5D8F" w:rsidR="00811647">
        <w:t>policyholders</w:t>
      </w:r>
      <w:r w:rsidRPr="00EF5D8F">
        <w:t xml:space="preserve"> will receive notices by mail and </w:t>
      </w:r>
      <w:r w:rsidR="003110DE">
        <w:t>147.5</w:t>
      </w:r>
      <w:r w:rsidRPr="00EF5D8F">
        <w:t xml:space="preserve"> million </w:t>
      </w:r>
      <w:r w:rsidRPr="00EF5D8F" w:rsidR="000956D3">
        <w:t>policyholders</w:t>
      </w:r>
      <w:r w:rsidRPr="00EF5D8F">
        <w:t xml:space="preserve"> will receive these disclosures electronically.  </w:t>
      </w:r>
      <w:r w:rsidRPr="00EF5D8F" w:rsidR="001A5AA4">
        <w:t>With standard postage costing $</w:t>
      </w:r>
      <w:r w:rsidRPr="00EF5D8F" w:rsidR="002C1A80">
        <w:t>0.65</w:t>
      </w:r>
      <w:r w:rsidRPr="00EF5D8F" w:rsidR="006E4385">
        <w:t xml:space="preserve"> </w:t>
      </w:r>
      <w:r w:rsidRPr="00EF5D8F" w:rsidR="001A5AA4">
        <w:t>per notice and</w:t>
      </w:r>
      <w:r w:rsidRPr="00EF5D8F">
        <w:t xml:space="preserve"> reproduction costs of $</w:t>
      </w:r>
      <w:r w:rsidRPr="00EF5D8F">
        <w:rPr>
          <w:color w:val="000000"/>
        </w:rPr>
        <w:t>0.10 ($0.05 per page</w:t>
      </w:r>
      <w:r w:rsidRPr="00EF5D8F">
        <w:t xml:space="preserve">), aggregate annual costs to provide the SAR amount to </w:t>
      </w:r>
      <w:r w:rsidRPr="00EF5D8F">
        <w:rPr>
          <w:color w:val="000000"/>
        </w:rPr>
        <w:t>$</w:t>
      </w:r>
      <w:r w:rsidR="003110DE">
        <w:rPr>
          <w:color w:val="000000"/>
        </w:rPr>
        <w:t>19.2</w:t>
      </w:r>
      <w:r w:rsidRPr="00EF5D8F">
        <w:rPr>
          <w:color w:val="000000"/>
        </w:rPr>
        <w:t xml:space="preserve"> million</w:t>
      </w:r>
      <w:r w:rsidRPr="000E0DAF">
        <w:rPr>
          <w:color w:val="000000"/>
        </w:rPr>
        <w:t>.</w:t>
      </w:r>
    </w:p>
    <w:p w:rsidRPr="000E0DAF" w:rsidR="0014311E" w:rsidP="00104099" w:rsidRDefault="0014311E" w14:paraId="166B3FCE" w14:textId="77777777">
      <w:pPr>
        <w:widowControl/>
        <w:ind w:left="720"/>
      </w:pPr>
    </w:p>
    <w:p w:rsidR="0014311E" w:rsidP="00104099" w:rsidRDefault="0014311E" w14:paraId="2B7B6DD2" w14:textId="77777777">
      <w:pPr>
        <w:widowControl/>
        <w:ind w:left="720"/>
      </w:pPr>
      <w:r w:rsidRPr="000E0DAF">
        <w:rPr>
          <w:i/>
          <w:u w:val="single"/>
        </w:rPr>
        <w:t>Information on Request.</w:t>
      </w:r>
      <w:r w:rsidRPr="000E0DAF">
        <w:t xml:space="preserve">  The regulation requires plans to provide certain information on request.  The Department</w:t>
      </w:r>
      <w:r w:rsidRPr="000E0DAF" w:rsidR="00EE3556">
        <w:t>’</w:t>
      </w:r>
      <w:r w:rsidRPr="000E0DAF">
        <w:t xml:space="preserve">s knowledge and experience indicates that such requests are </w:t>
      </w:r>
      <w:r w:rsidRPr="000E0DAF">
        <w:lastRenderedPageBreak/>
        <w:t xml:space="preserve">rare.  Therefore, for purposes of this burden analysis, the Department has assumed that each plan will be required to respond to only one request for information per year.  The Department assumes that the documentation responding to a </w:t>
      </w:r>
      <w:r w:rsidRPr="00EF5D8F">
        <w:t xml:space="preserve">request is, on average, </w:t>
      </w:r>
      <w:r w:rsidRPr="00EF5D8F">
        <w:rPr>
          <w:color w:val="000000"/>
        </w:rPr>
        <w:t>25</w:t>
      </w:r>
      <w:r w:rsidRPr="00EF5D8F">
        <w:t xml:space="preserve"> pages of material with a postage cost of </w:t>
      </w:r>
      <w:r w:rsidRPr="00EF5D8F">
        <w:rPr>
          <w:color w:val="000000"/>
        </w:rPr>
        <w:t>$1.</w:t>
      </w:r>
      <w:r w:rsidRPr="00EF5D8F" w:rsidR="00E00F93">
        <w:rPr>
          <w:color w:val="000000"/>
        </w:rPr>
        <w:t>4</w:t>
      </w:r>
      <w:r w:rsidRPr="00EF5D8F" w:rsidR="006E4385">
        <w:rPr>
          <w:color w:val="000000"/>
        </w:rPr>
        <w:t>5</w:t>
      </w:r>
      <w:r w:rsidRPr="00EF5D8F">
        <w:rPr>
          <w:color w:val="000000"/>
        </w:rPr>
        <w:t xml:space="preserve"> per request</w:t>
      </w:r>
      <w:r w:rsidRPr="00EF5D8F">
        <w:t>.  This information collection results in an estimated additional annual cost burden of $</w:t>
      </w:r>
      <w:r w:rsidRPr="00EF5D8F" w:rsidR="009B5364">
        <w:t>1.</w:t>
      </w:r>
      <w:r w:rsidRPr="00EF5D8F" w:rsidR="00313DD5">
        <w:t>1</w:t>
      </w:r>
      <w:r w:rsidRPr="00EF5D8F" w:rsidR="006E4385">
        <w:t xml:space="preserve"> </w:t>
      </w:r>
      <w:r w:rsidRPr="00EF5D8F" w:rsidR="009B5364">
        <w:t>million</w:t>
      </w:r>
      <w:r w:rsidRPr="00EF5D8F">
        <w:t xml:space="preserve"> (1 </w:t>
      </w:r>
      <w:r w:rsidRPr="00EF5D8F" w:rsidR="009B5364">
        <w:t xml:space="preserve">request </w:t>
      </w:r>
      <w:r w:rsidRPr="00EF5D8F">
        <w:t xml:space="preserve">x </w:t>
      </w:r>
      <w:r w:rsidRPr="004B00E5" w:rsidR="004B00E5">
        <w:rPr>
          <w:color w:val="000000"/>
        </w:rPr>
        <w:t>761,170</w:t>
      </w:r>
      <w:r w:rsidR="004B00E5">
        <w:rPr>
          <w:color w:val="000000"/>
        </w:rPr>
        <w:t xml:space="preserve"> </w:t>
      </w:r>
      <w:r w:rsidRPr="00EF5D8F">
        <w:t xml:space="preserve">plans x </w:t>
      </w:r>
      <w:r w:rsidRPr="00EF5D8F">
        <w:rPr>
          <w:color w:val="000000"/>
        </w:rPr>
        <w:t>$1.</w:t>
      </w:r>
      <w:r w:rsidRPr="00EF5D8F" w:rsidR="009B5364">
        <w:rPr>
          <w:color w:val="000000"/>
        </w:rPr>
        <w:t>4</w:t>
      </w:r>
      <w:r w:rsidRPr="00EF5D8F" w:rsidR="006E4385">
        <w:rPr>
          <w:color w:val="000000"/>
        </w:rPr>
        <w:t>5</w:t>
      </w:r>
      <w:r w:rsidRPr="00EF5D8F">
        <w:t>).  The Department assumes no additional cost for material</w:t>
      </w:r>
      <w:r w:rsidRPr="00EF5D8F" w:rsidR="009B5364">
        <w:t>s</w:t>
      </w:r>
      <w:r w:rsidRPr="00EF5D8F">
        <w:t xml:space="preserve"> for this information collection because the plan is permitted, under the</w:t>
      </w:r>
      <w:r w:rsidRPr="000E0DAF">
        <w:t xml:space="preserve"> regulation, to charge the requesting participant or beneficiary for copying costs.</w:t>
      </w:r>
    </w:p>
    <w:p w:rsidR="00FC70AF" w:rsidP="00104099" w:rsidRDefault="00FC70AF" w14:paraId="3930DCAB" w14:textId="77777777">
      <w:pPr>
        <w:widowControl/>
        <w:ind w:left="720"/>
      </w:pPr>
    </w:p>
    <w:tbl>
      <w:tblPr>
        <w:tblStyle w:val="TableGrid"/>
        <w:tblW w:w="0" w:type="auto"/>
        <w:tblInd w:w="720" w:type="dxa"/>
        <w:tblLook w:val="04A0" w:firstRow="1" w:lastRow="0" w:firstColumn="1" w:lastColumn="0" w:noHBand="0" w:noVBand="1"/>
      </w:tblPr>
      <w:tblGrid>
        <w:gridCol w:w="3888"/>
        <w:gridCol w:w="1216"/>
        <w:gridCol w:w="1440"/>
        <w:gridCol w:w="1530"/>
      </w:tblGrid>
      <w:tr w:rsidRPr="00BD00EF" w:rsidR="00FC70AF" w:rsidTr="00F36ADC" w14:paraId="58A76D9C" w14:textId="77777777">
        <w:tc>
          <w:tcPr>
            <w:tcW w:w="3888" w:type="dxa"/>
          </w:tcPr>
          <w:p w:rsidRPr="00BD00EF" w:rsidR="00FC70AF" w:rsidP="00C56DD2" w:rsidRDefault="00FC70AF" w14:paraId="228E5B9F" w14:textId="77777777">
            <w:pPr>
              <w:rPr>
                <w:sz w:val="20"/>
                <w:szCs w:val="20"/>
              </w:rPr>
            </w:pPr>
            <w:r w:rsidRPr="00BD00EF">
              <w:rPr>
                <w:sz w:val="20"/>
                <w:szCs w:val="20"/>
              </w:rPr>
              <w:t>Activity</w:t>
            </w:r>
          </w:p>
        </w:tc>
        <w:tc>
          <w:tcPr>
            <w:tcW w:w="1216" w:type="dxa"/>
          </w:tcPr>
          <w:p w:rsidRPr="00BD00EF" w:rsidR="00FC70AF" w:rsidP="00C56DD2" w:rsidRDefault="00FC70AF" w14:paraId="4A5DB1E3" w14:textId="77777777">
            <w:pPr>
              <w:rPr>
                <w:sz w:val="20"/>
                <w:szCs w:val="20"/>
              </w:rPr>
            </w:pPr>
            <w:r w:rsidRPr="00BD00EF">
              <w:rPr>
                <w:sz w:val="20"/>
                <w:szCs w:val="20"/>
              </w:rPr>
              <w:t>Number of Responses</w:t>
            </w:r>
          </w:p>
        </w:tc>
        <w:tc>
          <w:tcPr>
            <w:tcW w:w="1440" w:type="dxa"/>
          </w:tcPr>
          <w:p w:rsidRPr="00BD00EF" w:rsidR="00FC70AF" w:rsidP="00C56DD2" w:rsidRDefault="00FC70AF" w14:paraId="077E241D" w14:textId="77777777">
            <w:pPr>
              <w:rPr>
                <w:sz w:val="20"/>
                <w:szCs w:val="20"/>
              </w:rPr>
            </w:pPr>
            <w:r w:rsidRPr="00BD00EF">
              <w:rPr>
                <w:sz w:val="20"/>
                <w:szCs w:val="20"/>
              </w:rPr>
              <w:t>Average Cost per Response</w:t>
            </w:r>
          </w:p>
        </w:tc>
        <w:tc>
          <w:tcPr>
            <w:tcW w:w="1530" w:type="dxa"/>
          </w:tcPr>
          <w:p w:rsidRPr="00BD00EF" w:rsidR="00FC70AF" w:rsidP="00C56DD2" w:rsidRDefault="00FC70AF" w14:paraId="0D3C2D6D" w14:textId="77777777">
            <w:pPr>
              <w:rPr>
                <w:sz w:val="20"/>
                <w:szCs w:val="20"/>
              </w:rPr>
            </w:pPr>
            <w:r w:rsidRPr="00BD00EF">
              <w:rPr>
                <w:sz w:val="20"/>
                <w:szCs w:val="20"/>
              </w:rPr>
              <w:t>Total Cost</w:t>
            </w:r>
          </w:p>
        </w:tc>
      </w:tr>
      <w:tr w:rsidRPr="00BD00EF" w:rsidR="00FC70AF" w:rsidTr="00F36ADC" w14:paraId="65C5F42F" w14:textId="77777777">
        <w:tc>
          <w:tcPr>
            <w:tcW w:w="3888" w:type="dxa"/>
          </w:tcPr>
          <w:p w:rsidRPr="00BD00EF" w:rsidR="00FC70AF" w:rsidP="00BD00EF" w:rsidRDefault="00BD00EF" w14:paraId="2A24F0A9" w14:textId="77777777">
            <w:pPr>
              <w:rPr>
                <w:sz w:val="20"/>
                <w:szCs w:val="20"/>
              </w:rPr>
            </w:pPr>
            <w:r>
              <w:rPr>
                <w:sz w:val="20"/>
                <w:szCs w:val="20"/>
              </w:rPr>
              <w:t>Summary Annual Report</w:t>
            </w:r>
            <w:r w:rsidRPr="00BD00EF" w:rsidR="00FC70AF">
              <w:rPr>
                <w:sz w:val="20"/>
                <w:szCs w:val="20"/>
              </w:rPr>
              <w:t xml:space="preserve"> (Paper)</w:t>
            </w:r>
          </w:p>
        </w:tc>
        <w:tc>
          <w:tcPr>
            <w:tcW w:w="1216" w:type="dxa"/>
          </w:tcPr>
          <w:p w:rsidRPr="00EF5D8F" w:rsidR="00FC70AF" w:rsidP="00F36ADC" w:rsidRDefault="006C67FE" w14:paraId="663147F4" w14:textId="77777777">
            <w:pPr>
              <w:rPr>
                <w:sz w:val="20"/>
                <w:szCs w:val="20"/>
              </w:rPr>
            </w:pPr>
            <w:r>
              <w:rPr>
                <w:sz w:val="20"/>
                <w:szCs w:val="20"/>
              </w:rPr>
              <w:t>29.6</w:t>
            </w:r>
            <w:r w:rsidRPr="004B00E5" w:rsidR="004B00E5">
              <w:rPr>
                <w:sz w:val="20"/>
                <w:szCs w:val="20"/>
              </w:rPr>
              <w:t xml:space="preserve"> </w:t>
            </w:r>
            <w:r w:rsidRPr="00EF5D8F" w:rsidR="00F36ADC">
              <w:rPr>
                <w:sz w:val="20"/>
                <w:szCs w:val="20"/>
              </w:rPr>
              <w:t>million</w:t>
            </w:r>
          </w:p>
        </w:tc>
        <w:tc>
          <w:tcPr>
            <w:tcW w:w="1440" w:type="dxa"/>
          </w:tcPr>
          <w:p w:rsidRPr="00EF5D8F" w:rsidR="00FC70AF" w:rsidP="00350FD0" w:rsidRDefault="00FC70AF" w14:paraId="0BA23D33" w14:textId="77777777">
            <w:pPr>
              <w:rPr>
                <w:sz w:val="20"/>
                <w:szCs w:val="20"/>
              </w:rPr>
            </w:pPr>
            <w:r w:rsidRPr="00EF5D8F">
              <w:rPr>
                <w:sz w:val="20"/>
                <w:szCs w:val="20"/>
              </w:rPr>
              <w:t>$</w:t>
            </w:r>
            <w:r w:rsidRPr="00EF5D8F" w:rsidR="00350FD0">
              <w:rPr>
                <w:sz w:val="20"/>
                <w:szCs w:val="20"/>
              </w:rPr>
              <w:t>0.</w:t>
            </w:r>
            <w:r w:rsidRPr="00EF5D8F" w:rsidR="008165B6">
              <w:rPr>
                <w:sz w:val="20"/>
                <w:szCs w:val="20"/>
              </w:rPr>
              <w:t>65</w:t>
            </w:r>
          </w:p>
        </w:tc>
        <w:tc>
          <w:tcPr>
            <w:tcW w:w="1530" w:type="dxa"/>
          </w:tcPr>
          <w:p w:rsidRPr="00EF5D8F" w:rsidR="00FC70AF" w:rsidP="006C67FE" w:rsidRDefault="00FC70AF" w14:paraId="6A129408" w14:textId="77777777">
            <w:pPr>
              <w:rPr>
                <w:sz w:val="20"/>
                <w:szCs w:val="20"/>
              </w:rPr>
            </w:pPr>
            <w:r w:rsidRPr="00EF5D8F">
              <w:rPr>
                <w:sz w:val="20"/>
                <w:szCs w:val="20"/>
              </w:rPr>
              <w:t>$</w:t>
            </w:r>
            <w:r w:rsidR="006C67FE">
              <w:rPr>
                <w:sz w:val="20"/>
                <w:szCs w:val="20"/>
              </w:rPr>
              <w:t>19.2</w:t>
            </w:r>
            <w:r w:rsidRPr="00EF5D8F">
              <w:rPr>
                <w:sz w:val="20"/>
                <w:szCs w:val="20"/>
              </w:rPr>
              <w:t xml:space="preserve"> million</w:t>
            </w:r>
          </w:p>
        </w:tc>
      </w:tr>
      <w:tr w:rsidRPr="00BD00EF" w:rsidR="00FC70AF" w:rsidTr="00F36ADC" w14:paraId="5D1B036F" w14:textId="77777777">
        <w:tc>
          <w:tcPr>
            <w:tcW w:w="3888" w:type="dxa"/>
          </w:tcPr>
          <w:p w:rsidRPr="00BD00EF" w:rsidR="00FC70AF" w:rsidP="00BD00EF" w:rsidRDefault="00BD00EF" w14:paraId="7635A3E2" w14:textId="77777777">
            <w:pPr>
              <w:rPr>
                <w:sz w:val="20"/>
                <w:szCs w:val="20"/>
              </w:rPr>
            </w:pPr>
            <w:r>
              <w:rPr>
                <w:sz w:val="20"/>
                <w:szCs w:val="20"/>
              </w:rPr>
              <w:t xml:space="preserve">Summary Annual Report </w:t>
            </w:r>
            <w:r w:rsidRPr="00BD00EF" w:rsidR="00FC70AF">
              <w:rPr>
                <w:sz w:val="20"/>
                <w:szCs w:val="20"/>
              </w:rPr>
              <w:t>(Electronic)</w:t>
            </w:r>
          </w:p>
        </w:tc>
        <w:tc>
          <w:tcPr>
            <w:tcW w:w="1216" w:type="dxa"/>
          </w:tcPr>
          <w:p w:rsidRPr="00EF5D8F" w:rsidR="00FC70AF" w:rsidP="00350FD0" w:rsidRDefault="006C67FE" w14:paraId="02DD1C20" w14:textId="77777777">
            <w:pPr>
              <w:rPr>
                <w:sz w:val="20"/>
                <w:szCs w:val="20"/>
              </w:rPr>
            </w:pPr>
            <w:r>
              <w:rPr>
                <w:sz w:val="20"/>
                <w:szCs w:val="20"/>
              </w:rPr>
              <w:t>147.5</w:t>
            </w:r>
            <w:r w:rsidRPr="00EF5D8F" w:rsidR="00350FD0">
              <w:rPr>
                <w:sz w:val="20"/>
                <w:szCs w:val="20"/>
              </w:rPr>
              <w:t xml:space="preserve"> million</w:t>
            </w:r>
          </w:p>
        </w:tc>
        <w:tc>
          <w:tcPr>
            <w:tcW w:w="1440" w:type="dxa"/>
          </w:tcPr>
          <w:p w:rsidRPr="00EF5D8F" w:rsidR="00FC70AF" w:rsidP="00C56DD2" w:rsidRDefault="00FC70AF" w14:paraId="778CB763" w14:textId="77777777">
            <w:pPr>
              <w:rPr>
                <w:sz w:val="20"/>
                <w:szCs w:val="20"/>
              </w:rPr>
            </w:pPr>
            <w:r w:rsidRPr="00EF5D8F">
              <w:rPr>
                <w:sz w:val="20"/>
                <w:szCs w:val="20"/>
              </w:rPr>
              <w:t>$0.00</w:t>
            </w:r>
          </w:p>
        </w:tc>
        <w:tc>
          <w:tcPr>
            <w:tcW w:w="1530" w:type="dxa"/>
          </w:tcPr>
          <w:p w:rsidRPr="00EF5D8F" w:rsidR="00FC70AF" w:rsidP="00C56DD2" w:rsidRDefault="00FC70AF" w14:paraId="6C6440E8" w14:textId="77777777">
            <w:pPr>
              <w:rPr>
                <w:sz w:val="20"/>
                <w:szCs w:val="20"/>
              </w:rPr>
            </w:pPr>
            <w:r w:rsidRPr="00EF5D8F">
              <w:rPr>
                <w:sz w:val="20"/>
                <w:szCs w:val="20"/>
              </w:rPr>
              <w:t>$0</w:t>
            </w:r>
          </w:p>
        </w:tc>
      </w:tr>
      <w:tr w:rsidRPr="00BD00EF" w:rsidR="00FC70AF" w:rsidTr="00F36ADC" w14:paraId="7FFB5A7A" w14:textId="77777777">
        <w:tc>
          <w:tcPr>
            <w:tcW w:w="3888" w:type="dxa"/>
          </w:tcPr>
          <w:p w:rsidRPr="00BD00EF" w:rsidR="00FC70AF" w:rsidP="00F36ADC" w:rsidRDefault="00F36ADC" w14:paraId="705F9C9A" w14:textId="77777777">
            <w:pPr>
              <w:rPr>
                <w:sz w:val="20"/>
                <w:szCs w:val="20"/>
              </w:rPr>
            </w:pPr>
            <w:r>
              <w:rPr>
                <w:sz w:val="20"/>
                <w:szCs w:val="20"/>
              </w:rPr>
              <w:t>Information on Request</w:t>
            </w:r>
          </w:p>
        </w:tc>
        <w:tc>
          <w:tcPr>
            <w:tcW w:w="1216" w:type="dxa"/>
          </w:tcPr>
          <w:p w:rsidRPr="00EF5D8F" w:rsidR="00FC70AF" w:rsidP="00C56DD2" w:rsidRDefault="004B00E5" w14:paraId="1F07B3A3" w14:textId="77777777">
            <w:pPr>
              <w:rPr>
                <w:sz w:val="20"/>
                <w:szCs w:val="20"/>
              </w:rPr>
            </w:pPr>
            <w:r w:rsidRPr="004B00E5">
              <w:rPr>
                <w:sz w:val="20"/>
                <w:szCs w:val="20"/>
              </w:rPr>
              <w:t>761,170</w:t>
            </w:r>
          </w:p>
        </w:tc>
        <w:tc>
          <w:tcPr>
            <w:tcW w:w="1440" w:type="dxa"/>
          </w:tcPr>
          <w:p w:rsidRPr="00EF5D8F" w:rsidR="00FC70AF" w:rsidP="00B638E5" w:rsidRDefault="00FC70AF" w14:paraId="05833914" w14:textId="77777777">
            <w:pPr>
              <w:rPr>
                <w:sz w:val="20"/>
                <w:szCs w:val="20"/>
              </w:rPr>
            </w:pPr>
            <w:r w:rsidRPr="00EF5D8F">
              <w:rPr>
                <w:sz w:val="20"/>
                <w:szCs w:val="20"/>
              </w:rPr>
              <w:t>$</w:t>
            </w:r>
            <w:r w:rsidRPr="00EF5D8F" w:rsidR="00B638E5">
              <w:rPr>
                <w:sz w:val="20"/>
                <w:szCs w:val="20"/>
              </w:rPr>
              <w:t>1.4</w:t>
            </w:r>
            <w:r w:rsidRPr="00EF5D8F" w:rsidR="006E4385">
              <w:rPr>
                <w:sz w:val="20"/>
                <w:szCs w:val="20"/>
              </w:rPr>
              <w:t>5</w:t>
            </w:r>
          </w:p>
        </w:tc>
        <w:tc>
          <w:tcPr>
            <w:tcW w:w="1530" w:type="dxa"/>
          </w:tcPr>
          <w:p w:rsidRPr="00EF5D8F" w:rsidR="00FC70AF" w:rsidP="00B638E5" w:rsidRDefault="00FC70AF" w14:paraId="163164F9" w14:textId="77777777">
            <w:pPr>
              <w:rPr>
                <w:sz w:val="20"/>
                <w:szCs w:val="20"/>
              </w:rPr>
            </w:pPr>
            <w:r w:rsidRPr="00EF5D8F">
              <w:rPr>
                <w:sz w:val="20"/>
                <w:szCs w:val="20"/>
              </w:rPr>
              <w:t>$1.</w:t>
            </w:r>
            <w:r w:rsidRPr="00EF5D8F" w:rsidR="00313DD5">
              <w:rPr>
                <w:sz w:val="20"/>
                <w:szCs w:val="20"/>
              </w:rPr>
              <w:t>1</w:t>
            </w:r>
            <w:r w:rsidRPr="00EF5D8F">
              <w:rPr>
                <w:sz w:val="20"/>
                <w:szCs w:val="20"/>
              </w:rPr>
              <w:t xml:space="preserve"> million</w:t>
            </w:r>
          </w:p>
        </w:tc>
      </w:tr>
      <w:tr w:rsidRPr="00BD00EF" w:rsidR="00FC70AF" w:rsidTr="00F36ADC" w14:paraId="7EA6C415" w14:textId="77777777">
        <w:tc>
          <w:tcPr>
            <w:tcW w:w="3888" w:type="dxa"/>
          </w:tcPr>
          <w:p w:rsidRPr="00BD00EF" w:rsidR="00FC70AF" w:rsidP="00C56DD2" w:rsidRDefault="00FC70AF" w14:paraId="68CAF919" w14:textId="77777777">
            <w:pPr>
              <w:rPr>
                <w:b/>
                <w:i/>
                <w:sz w:val="20"/>
                <w:szCs w:val="20"/>
              </w:rPr>
            </w:pPr>
            <w:r w:rsidRPr="00BD00EF">
              <w:rPr>
                <w:b/>
                <w:i/>
                <w:sz w:val="20"/>
                <w:szCs w:val="20"/>
              </w:rPr>
              <w:t>Unduplicated Totals</w:t>
            </w:r>
          </w:p>
        </w:tc>
        <w:tc>
          <w:tcPr>
            <w:tcW w:w="1216" w:type="dxa"/>
          </w:tcPr>
          <w:p w:rsidRPr="00EF5D8F" w:rsidR="00FC70AF" w:rsidP="00C56DD2" w:rsidRDefault="00FC70AF" w14:paraId="4DC31ACF" w14:textId="77777777">
            <w:pPr>
              <w:rPr>
                <w:b/>
                <w:i/>
                <w:sz w:val="20"/>
                <w:szCs w:val="20"/>
              </w:rPr>
            </w:pPr>
          </w:p>
        </w:tc>
        <w:tc>
          <w:tcPr>
            <w:tcW w:w="1440" w:type="dxa"/>
          </w:tcPr>
          <w:p w:rsidRPr="00EF5D8F" w:rsidR="00FC70AF" w:rsidP="00C56DD2" w:rsidRDefault="00FC70AF" w14:paraId="50E85229" w14:textId="77777777">
            <w:pPr>
              <w:rPr>
                <w:b/>
                <w:i/>
                <w:sz w:val="20"/>
                <w:szCs w:val="20"/>
              </w:rPr>
            </w:pPr>
          </w:p>
        </w:tc>
        <w:tc>
          <w:tcPr>
            <w:tcW w:w="1530" w:type="dxa"/>
          </w:tcPr>
          <w:p w:rsidRPr="00EF5D8F" w:rsidR="00FC70AF" w:rsidP="00E252C0" w:rsidRDefault="00FC70AF" w14:paraId="7BA4DC5D" w14:textId="77777777">
            <w:pPr>
              <w:rPr>
                <w:b/>
                <w:i/>
                <w:sz w:val="20"/>
                <w:szCs w:val="20"/>
              </w:rPr>
            </w:pPr>
            <w:r w:rsidRPr="00EF5D8F">
              <w:rPr>
                <w:b/>
                <w:i/>
                <w:sz w:val="20"/>
                <w:szCs w:val="20"/>
              </w:rPr>
              <w:t>$</w:t>
            </w:r>
            <w:r w:rsidR="006C67FE">
              <w:rPr>
                <w:b/>
                <w:i/>
                <w:sz w:val="20"/>
                <w:szCs w:val="20"/>
              </w:rPr>
              <w:t>20</w:t>
            </w:r>
            <w:r w:rsidR="004B00E5">
              <w:rPr>
                <w:b/>
                <w:i/>
                <w:sz w:val="20"/>
                <w:szCs w:val="20"/>
              </w:rPr>
              <w:t>.</w:t>
            </w:r>
            <w:r w:rsidR="006C67FE">
              <w:rPr>
                <w:b/>
                <w:i/>
                <w:sz w:val="20"/>
                <w:szCs w:val="20"/>
              </w:rPr>
              <w:t>3</w:t>
            </w:r>
            <w:r w:rsidRPr="00EF5D8F">
              <w:rPr>
                <w:b/>
                <w:i/>
                <w:sz w:val="20"/>
                <w:szCs w:val="20"/>
              </w:rPr>
              <w:t xml:space="preserve"> million</w:t>
            </w:r>
          </w:p>
        </w:tc>
      </w:tr>
    </w:tbl>
    <w:p w:rsidRPr="000E0DAF" w:rsidR="00FC70AF" w:rsidP="00104099" w:rsidRDefault="00FC70AF" w14:paraId="5EBD53D6" w14:textId="77777777">
      <w:pPr>
        <w:widowControl/>
        <w:ind w:left="720"/>
      </w:pPr>
    </w:p>
    <w:p w:rsidRPr="000E0DAF" w:rsidR="00D6572F" w:rsidP="005D4816" w:rsidRDefault="00D6572F" w14:paraId="20461C79" w14:textId="77777777">
      <w:pPr>
        <w:widowControl/>
      </w:pPr>
    </w:p>
    <w:p w:rsidRPr="000E0DAF" w:rsidR="00735BE9" w:rsidP="00104099" w:rsidRDefault="00735BE9" w14:paraId="3CBF1EBB" w14:textId="77777777">
      <w:pPr>
        <w:pStyle w:val="Quick1"/>
        <w:widowControl/>
        <w:tabs>
          <w:tab w:val="clear" w:pos="360"/>
        </w:tabs>
        <w:ind w:left="720" w:hanging="720"/>
        <w:rPr>
          <w:sz w:val="24"/>
        </w:rPr>
      </w:pPr>
      <w:r w:rsidRPr="000E0DAF">
        <w:rPr>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0E0DAF" w:rsidR="00735BE9" w:rsidP="00104099" w:rsidRDefault="00735BE9" w14:paraId="0B0ABE6F" w14:textId="77777777">
      <w:pPr>
        <w:widowControl/>
        <w:ind w:left="720"/>
      </w:pPr>
    </w:p>
    <w:p w:rsidRPr="000E0DAF" w:rsidR="00735BE9" w:rsidP="00104099" w:rsidRDefault="0027023C" w14:paraId="36385B47" w14:textId="77777777">
      <w:pPr>
        <w:widowControl/>
        <w:ind w:left="720"/>
      </w:pPr>
      <w:r>
        <w:t>T</w:t>
      </w:r>
      <w:r w:rsidRPr="000E0DAF" w:rsidR="00735BE9">
        <w:t>here are no ongoing costs to the Federal government.</w:t>
      </w:r>
    </w:p>
    <w:p w:rsidRPr="000E0DAF" w:rsidR="00735BE9" w:rsidP="00104099" w:rsidRDefault="00735BE9" w14:paraId="2B127A0D" w14:textId="77777777">
      <w:pPr>
        <w:widowControl/>
        <w:ind w:left="720"/>
      </w:pPr>
    </w:p>
    <w:p w:rsidRPr="000E0DAF" w:rsidR="00735BE9" w:rsidP="00104099" w:rsidRDefault="00735BE9" w14:paraId="7EE11498" w14:textId="77777777">
      <w:pPr>
        <w:pStyle w:val="Quick1"/>
        <w:widowControl/>
        <w:tabs>
          <w:tab w:val="clear" w:pos="360"/>
        </w:tabs>
        <w:ind w:left="720" w:hanging="720"/>
        <w:rPr>
          <w:sz w:val="24"/>
        </w:rPr>
      </w:pPr>
      <w:r w:rsidRPr="000E0DAF">
        <w:rPr>
          <w:sz w:val="24"/>
        </w:rPr>
        <w:t>Explain the reasons for any program changes or adjustments reporting in Items 13 or 14.</w:t>
      </w:r>
    </w:p>
    <w:p w:rsidR="00735BE9" w:rsidP="00104099" w:rsidRDefault="00735BE9" w14:paraId="1BDFFD30" w14:textId="77777777">
      <w:pPr>
        <w:widowControl/>
        <w:ind w:left="720"/>
      </w:pPr>
    </w:p>
    <w:p w:rsidR="00952056" w:rsidP="00104099" w:rsidRDefault="00C3431A" w14:paraId="6A808950" w14:textId="49E0B6CF">
      <w:pPr>
        <w:widowControl/>
        <w:ind w:left="720"/>
        <w:rPr>
          <w:iCs/>
        </w:rPr>
      </w:pPr>
      <w:r w:rsidRPr="00C3431A">
        <w:rPr>
          <w:iCs/>
        </w:rPr>
        <w:t>Adjustments to the burden estimates result from updated estimates on the number of plans and policyholders affected by the regulations and increases in wage rates. These new estimates are also the result of adjustments to the estimate of the share of SARs assumed to be distributed electronically. Furthermore, these estimates also consider a one-time burden to make changes to the SAR reflecting requirements resulting from changes made in response to the SECURE Act.</w:t>
      </w:r>
    </w:p>
    <w:p w:rsidRPr="000E0DAF" w:rsidR="00C3431A" w:rsidP="00104099" w:rsidRDefault="00C3431A" w14:paraId="4CD21161" w14:textId="77777777">
      <w:pPr>
        <w:widowControl/>
        <w:ind w:left="720"/>
      </w:pPr>
    </w:p>
    <w:p w:rsidRPr="000E0DAF" w:rsidR="00735BE9" w:rsidP="00104099" w:rsidRDefault="00735BE9" w14:paraId="6020B813" w14:textId="77777777">
      <w:pPr>
        <w:pStyle w:val="Quick1"/>
        <w:widowControl/>
        <w:tabs>
          <w:tab w:val="clear" w:pos="360"/>
        </w:tabs>
        <w:ind w:left="720" w:hanging="720"/>
        <w:rPr>
          <w:sz w:val="24"/>
        </w:rPr>
      </w:pPr>
      <w:r w:rsidRPr="000E0DAF">
        <w:rPr>
          <w:sz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0E0DAF">
        <w:rPr>
          <w:sz w:val="24"/>
        </w:rPr>
        <w:lastRenderedPageBreak/>
        <w:t>dates of the collection of information, completion of report, publication dates, and other actions.</w:t>
      </w:r>
    </w:p>
    <w:p w:rsidRPr="000E0DAF" w:rsidR="00735BE9" w:rsidP="00104099" w:rsidRDefault="00735BE9" w14:paraId="62428DF6" w14:textId="77777777">
      <w:pPr>
        <w:widowControl/>
        <w:ind w:left="720"/>
      </w:pPr>
    </w:p>
    <w:p w:rsidRPr="000E0DAF" w:rsidR="00735BE9" w:rsidP="00104099" w:rsidRDefault="00735BE9" w14:paraId="2E4D0723" w14:textId="77777777">
      <w:pPr>
        <w:widowControl/>
        <w:ind w:left="720"/>
      </w:pPr>
      <w:r w:rsidRPr="000E0DAF">
        <w:t>This is not a collection of information for statistical use and there are no plans to publish the results of this col</w:t>
      </w:r>
      <w:r w:rsidR="00104099">
        <w:t>lection.</w:t>
      </w:r>
    </w:p>
    <w:p w:rsidRPr="000E0DAF" w:rsidR="00735BE9" w:rsidP="00104099" w:rsidRDefault="00735BE9" w14:paraId="5C178B5A" w14:textId="77777777">
      <w:pPr>
        <w:widowControl/>
        <w:tabs>
          <w:tab w:val="left" w:pos="-1440"/>
        </w:tabs>
        <w:ind w:left="720"/>
      </w:pPr>
    </w:p>
    <w:p w:rsidRPr="000E0DAF" w:rsidR="00735BE9" w:rsidP="00104099" w:rsidRDefault="00735BE9" w14:paraId="0E49DA09" w14:textId="77777777">
      <w:pPr>
        <w:pStyle w:val="Quick1"/>
        <w:widowControl/>
        <w:tabs>
          <w:tab w:val="clear" w:pos="360"/>
        </w:tabs>
        <w:ind w:left="720" w:hanging="720"/>
        <w:rPr>
          <w:sz w:val="24"/>
        </w:rPr>
      </w:pPr>
      <w:r w:rsidRPr="000E0DAF">
        <w:rPr>
          <w:sz w:val="24"/>
        </w:rPr>
        <w:t>If seeking approval to not display the expiration date for OMB approval of the information collection, explain the reasons that display would be inappropriate.</w:t>
      </w:r>
    </w:p>
    <w:p w:rsidRPr="000E0DAF" w:rsidR="00735BE9" w:rsidP="00104099" w:rsidRDefault="00735BE9" w14:paraId="423E32AF" w14:textId="77777777">
      <w:pPr>
        <w:widowControl/>
        <w:ind w:left="720"/>
      </w:pPr>
    </w:p>
    <w:p w:rsidRPr="000E0DAF" w:rsidR="00735BE9" w:rsidP="00104099" w:rsidRDefault="00AB2B9F" w14:paraId="672B2BE1" w14:textId="77777777">
      <w:pPr>
        <w:widowControl/>
        <w:ind w:left="720"/>
      </w:pPr>
      <w:r w:rsidRPr="000E0DAF">
        <w:t>The OMB expiration date will be published in the Federal Register following OMB approval.</w:t>
      </w:r>
    </w:p>
    <w:p w:rsidRPr="000E0DAF" w:rsidR="00AB2B9F" w:rsidP="00104099" w:rsidRDefault="00AB2B9F" w14:paraId="7E3F3B70" w14:textId="77777777">
      <w:pPr>
        <w:widowControl/>
        <w:ind w:left="720"/>
      </w:pPr>
    </w:p>
    <w:p w:rsidRPr="000E0DAF" w:rsidR="00735BE9" w:rsidP="00104099" w:rsidRDefault="00735BE9" w14:paraId="5AD83CAF" w14:textId="77777777">
      <w:pPr>
        <w:pStyle w:val="Quick1"/>
        <w:widowControl/>
        <w:tabs>
          <w:tab w:val="clear" w:pos="360"/>
        </w:tabs>
        <w:ind w:left="720" w:hanging="720"/>
        <w:rPr>
          <w:sz w:val="24"/>
        </w:rPr>
      </w:pPr>
      <w:r w:rsidRPr="000E0DAF">
        <w:rPr>
          <w:sz w:val="24"/>
        </w:rPr>
        <w:t xml:space="preserve">Explain each exception to the certification statement identified in Item 19, </w:t>
      </w:r>
      <w:r w:rsidRPr="000E0DAF" w:rsidR="00EE3556">
        <w:rPr>
          <w:sz w:val="24"/>
        </w:rPr>
        <w:t>“</w:t>
      </w:r>
      <w:r w:rsidRPr="000E0DAF">
        <w:rPr>
          <w:sz w:val="24"/>
        </w:rPr>
        <w:t>Certification for Paperwork Reduction Act Submission</w:t>
      </w:r>
      <w:r w:rsidRPr="000E0DAF" w:rsidR="00CF61BB">
        <w:rPr>
          <w:sz w:val="24"/>
        </w:rPr>
        <w:t>.</w:t>
      </w:r>
      <w:r w:rsidRPr="000E0DAF" w:rsidR="00EE3556">
        <w:rPr>
          <w:sz w:val="24"/>
        </w:rPr>
        <w:t>”</w:t>
      </w:r>
    </w:p>
    <w:p w:rsidRPr="000E0DAF" w:rsidR="00735BE9" w:rsidP="00104099" w:rsidRDefault="00735BE9" w14:paraId="349CEF4D" w14:textId="77777777">
      <w:pPr>
        <w:widowControl/>
        <w:ind w:left="720"/>
      </w:pPr>
    </w:p>
    <w:p w:rsidRPr="000E0DAF" w:rsidR="00735BE9" w:rsidP="00952056" w:rsidRDefault="00952056" w14:paraId="03951BC4" w14:textId="77777777">
      <w:pPr>
        <w:widowControl/>
        <w:ind w:left="720"/>
      </w:pPr>
      <w:r>
        <w:t>There are</w:t>
      </w:r>
      <w:r w:rsidRPr="000E0DAF" w:rsidR="00735BE9">
        <w:t xml:space="preserve"> no exceptions to the certification statement</w:t>
      </w:r>
      <w:r w:rsidRPr="000E0DAF" w:rsidR="00D370B3">
        <w:t>.</w:t>
      </w:r>
    </w:p>
    <w:sectPr w:rsidRPr="000E0DAF" w:rsidR="00735BE9">
      <w:headerReference w:type="default" r:id="rId11"/>
      <w:footerReference w:type="default" r:id="rId12"/>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2179B" w14:textId="77777777" w:rsidR="00C8488D" w:rsidRDefault="00C8488D">
      <w:r>
        <w:separator/>
      </w:r>
    </w:p>
  </w:endnote>
  <w:endnote w:type="continuationSeparator" w:id="0">
    <w:p w14:paraId="58DE224D" w14:textId="77777777" w:rsidR="00C8488D" w:rsidRDefault="00C8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70B41" w14:textId="77777777" w:rsidR="007B4E4E" w:rsidRDefault="007B4E4E">
    <w:pPr>
      <w:spacing w:line="348" w:lineRule="exact"/>
    </w:pPr>
  </w:p>
  <w:p w14:paraId="54B797BA" w14:textId="4D0E575B" w:rsidR="007B4E4E" w:rsidRDefault="007B4E4E">
    <w:pPr>
      <w:framePr w:w="9361" w:wrap="notBeside" w:vAnchor="text" w:hAnchor="text" w:x="1" w:y="1"/>
      <w:jc w:val="center"/>
    </w:pPr>
    <w:r>
      <w:fldChar w:fldCharType="begin"/>
    </w:r>
    <w:r>
      <w:instrText xml:space="preserve">PAGE </w:instrText>
    </w:r>
    <w:r>
      <w:fldChar w:fldCharType="separate"/>
    </w:r>
    <w:r w:rsidR="00772D42">
      <w:rPr>
        <w:noProof/>
      </w:rPr>
      <w:t>5</w:t>
    </w:r>
    <w:r>
      <w:fldChar w:fldCharType="end"/>
    </w:r>
  </w:p>
  <w:p w14:paraId="2244A69E" w14:textId="77777777" w:rsidR="007B4E4E" w:rsidRDefault="007B4E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72D4F" w14:textId="77777777" w:rsidR="00C8488D" w:rsidRDefault="00C8488D">
      <w:r>
        <w:separator/>
      </w:r>
    </w:p>
  </w:footnote>
  <w:footnote w:type="continuationSeparator" w:id="0">
    <w:p w14:paraId="585ADB91" w14:textId="77777777" w:rsidR="00C8488D" w:rsidRDefault="00C8488D">
      <w:r>
        <w:continuationSeparator/>
      </w:r>
    </w:p>
  </w:footnote>
  <w:footnote w:id="1">
    <w:p w14:paraId="75714AEC" w14:textId="77777777" w:rsidR="007B4E4E" w:rsidRPr="004776B9" w:rsidRDefault="007B4E4E" w:rsidP="009817FC">
      <w:pPr>
        <w:pStyle w:val="FootnoteText"/>
        <w:widowControl/>
      </w:pPr>
      <w:r w:rsidRPr="009F5B34">
        <w:rPr>
          <w:rStyle w:val="FootnoteReference"/>
          <w:vertAlign w:val="superscript"/>
        </w:rPr>
        <w:footnoteRef/>
      </w:r>
      <w:r w:rsidRPr="009F5B34">
        <w:rPr>
          <w:vertAlign w:val="superscript"/>
        </w:rPr>
        <w:t xml:space="preserve"> </w:t>
      </w:r>
      <w:r w:rsidRPr="009F5B34">
        <w:t xml:space="preserve">This method has been chosen for several reasons.  First, the Department does not presently have a reliable source of information to estimate how many plans would hire service providers for this purpose.  Second, the Department does not have adequate information on which to base an estimate of the cost to plans of purchasing these services, particularly since the Department has reason to believe that the pricing of such services will be based on competitive factors and bundled with other related services.  Finally, the Department believes that this method will provide a more accurate estimate of the paperwork burden by relying solely on the Department’s estimate of the time necessary to create and distribute the disclosures and eliminating the artificial and arbitrary distinction between tasks performed by the </w:t>
      </w:r>
      <w:r w:rsidRPr="004776B9">
        <w:t>respondents and tasks performed by a service provider.  Translation of the total hour burden into dollars, with appropriate allocation between professional and clerical time, provides a reliable cost comparison.</w:t>
      </w:r>
    </w:p>
  </w:footnote>
  <w:footnote w:id="2">
    <w:p w14:paraId="16542617" w14:textId="60DF7870" w:rsidR="007B4E4E" w:rsidRPr="009F5B34" w:rsidRDefault="007B4E4E" w:rsidP="009817FC">
      <w:pPr>
        <w:pStyle w:val="FootnoteText"/>
      </w:pPr>
      <w:r w:rsidRPr="004776B9">
        <w:rPr>
          <w:rStyle w:val="FootnoteReference"/>
          <w:vertAlign w:val="superscript"/>
        </w:rPr>
        <w:footnoteRef/>
      </w:r>
      <w:r w:rsidRPr="004776B9">
        <w:rPr>
          <w:vertAlign w:val="superscript"/>
        </w:rPr>
        <w:t xml:space="preserve"> </w:t>
      </w:r>
      <w:r w:rsidRPr="004776B9">
        <w:t xml:space="preserve">This number includes </w:t>
      </w:r>
      <w:r w:rsidR="00E547DB">
        <w:t>67</w:t>
      </w:r>
      <w:r w:rsidR="003D08E9">
        <w:t>,</w:t>
      </w:r>
      <w:r w:rsidR="00E547DB">
        <w:t>.268</w:t>
      </w:r>
      <w:r w:rsidRPr="004776B9">
        <w:t xml:space="preserve"> </w:t>
      </w:r>
      <w:r w:rsidR="0027023C" w:rsidRPr="004776B9">
        <w:t>pension</w:t>
      </w:r>
      <w:r w:rsidRPr="004776B9">
        <w:t xml:space="preserve"> plans and </w:t>
      </w:r>
      <w:r w:rsidR="00E547DB">
        <w:t>88,902</w:t>
      </w:r>
      <w:r w:rsidRPr="004776B9">
        <w:t xml:space="preserve"> welfare</w:t>
      </w:r>
      <w:r w:rsidRPr="009F5B34">
        <w:t xml:space="preserve"> plans.</w:t>
      </w:r>
    </w:p>
  </w:footnote>
  <w:footnote w:id="3">
    <w:p w14:paraId="3545F8A1" w14:textId="77777777" w:rsidR="007B4E4E" w:rsidRPr="009F5B34" w:rsidRDefault="007B4E4E" w:rsidP="009817FC">
      <w:pPr>
        <w:pStyle w:val="FootnoteText"/>
      </w:pPr>
      <w:r w:rsidRPr="009F5B34">
        <w:rPr>
          <w:rStyle w:val="FootnoteReference"/>
          <w:vertAlign w:val="superscript"/>
        </w:rPr>
        <w:footnoteRef/>
      </w:r>
      <w:r w:rsidRPr="009F5B34">
        <w:t xml:space="preserve"> </w:t>
      </w:r>
      <w:r w:rsidR="00B852D3" w:rsidRPr="00B852D3">
        <w:t>DOL estimates of labor costs by occupation reflect estimates of total compensation and overhead costs.  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All values are in 2020 dollars</w:t>
      </w:r>
      <w:r w:rsidR="00B852D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C1E9E" w14:textId="77777777" w:rsidR="007B4E4E" w:rsidRDefault="007B4E4E" w:rsidP="00CD2CA3">
    <w:pPr>
      <w:rPr>
        <w:b/>
        <w:bCs/>
        <w:sz w:val="20"/>
        <w:szCs w:val="20"/>
      </w:rPr>
    </w:pPr>
    <w:r>
      <w:rPr>
        <w:b/>
        <w:bCs/>
        <w:sz w:val="20"/>
        <w:szCs w:val="20"/>
      </w:rPr>
      <w:t>Summary Annual Report under ERISA</w:t>
    </w:r>
  </w:p>
  <w:p w14:paraId="1B1F5437" w14:textId="77777777" w:rsidR="007B4E4E" w:rsidRDefault="007B4E4E" w:rsidP="00CD2CA3">
    <w:pPr>
      <w:rPr>
        <w:sz w:val="20"/>
        <w:szCs w:val="20"/>
      </w:rPr>
    </w:pPr>
    <w:r>
      <w:rPr>
        <w:b/>
        <w:bCs/>
        <w:sz w:val="20"/>
        <w:szCs w:val="20"/>
      </w:rPr>
      <w:t>OMB Number 1210-0040</w:t>
    </w:r>
  </w:p>
  <w:p w14:paraId="1BEE7A08" w14:textId="77777777" w:rsidR="007B4E4E" w:rsidRDefault="003F7E5D" w:rsidP="00CD2CA3">
    <w:pPr>
      <w:spacing w:line="240" w:lineRule="exact"/>
      <w:rPr>
        <w:b/>
        <w:bCs/>
        <w:sz w:val="20"/>
        <w:szCs w:val="20"/>
      </w:rPr>
    </w:pPr>
    <w:r>
      <w:rPr>
        <w:b/>
        <w:bCs/>
        <w:sz w:val="20"/>
        <w:szCs w:val="20"/>
      </w:rPr>
      <w:t>Expiration Date: 7/31/2023</w:t>
    </w:r>
  </w:p>
  <w:p w14:paraId="26CC334A" w14:textId="77777777" w:rsidR="007B4E4E" w:rsidRDefault="007B4E4E">
    <w:pPr>
      <w:spacing w:line="240" w:lineRule="exact"/>
      <w:jc w:val="right"/>
      <w:rPr>
        <w:b/>
        <w:bCs/>
        <w:sz w:val="20"/>
        <w:szCs w:val="20"/>
      </w:rPr>
    </w:pPr>
    <w:r>
      <w:rPr>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347402D0"/>
    <w:multiLevelType w:val="hybridMultilevel"/>
    <w:tmpl w:val="27E836B8"/>
    <w:lvl w:ilvl="0" w:tplc="3D102204">
      <w:start w:val="1"/>
      <w:numFmt w:val="bullet"/>
      <w:pStyle w:val="bulletlis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86D7F1A"/>
    <w:multiLevelType w:val="hybridMultilevel"/>
    <w:tmpl w:val="A5120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95E09"/>
    <w:multiLevelType w:val="hybridMultilevel"/>
    <w:tmpl w:val="7922A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lvl>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48"/>
    <w:rsid w:val="000004AD"/>
    <w:rsid w:val="000009D3"/>
    <w:rsid w:val="0001270A"/>
    <w:rsid w:val="00014A61"/>
    <w:rsid w:val="000250BC"/>
    <w:rsid w:val="00031FCD"/>
    <w:rsid w:val="00033F8B"/>
    <w:rsid w:val="00051F6F"/>
    <w:rsid w:val="000646CF"/>
    <w:rsid w:val="00070C04"/>
    <w:rsid w:val="000775D7"/>
    <w:rsid w:val="000956D3"/>
    <w:rsid w:val="00095C80"/>
    <w:rsid w:val="000B4D46"/>
    <w:rsid w:val="000B7E67"/>
    <w:rsid w:val="000C088E"/>
    <w:rsid w:val="000C57E5"/>
    <w:rsid w:val="000E0DAF"/>
    <w:rsid w:val="000E179A"/>
    <w:rsid w:val="000E7670"/>
    <w:rsid w:val="000F0B48"/>
    <w:rsid w:val="000F5182"/>
    <w:rsid w:val="00104099"/>
    <w:rsid w:val="00105764"/>
    <w:rsid w:val="001076AD"/>
    <w:rsid w:val="00115345"/>
    <w:rsid w:val="001229A8"/>
    <w:rsid w:val="00134D0A"/>
    <w:rsid w:val="0014311E"/>
    <w:rsid w:val="0014490D"/>
    <w:rsid w:val="00151605"/>
    <w:rsid w:val="00193CC5"/>
    <w:rsid w:val="001966DC"/>
    <w:rsid w:val="001A5AA4"/>
    <w:rsid w:val="001A5EB6"/>
    <w:rsid w:val="001B7037"/>
    <w:rsid w:val="001C0D58"/>
    <w:rsid w:val="001E059D"/>
    <w:rsid w:val="001E7525"/>
    <w:rsid w:val="001F4651"/>
    <w:rsid w:val="001F4C96"/>
    <w:rsid w:val="002016E5"/>
    <w:rsid w:val="00216175"/>
    <w:rsid w:val="002234FF"/>
    <w:rsid w:val="00242B4A"/>
    <w:rsid w:val="0027023C"/>
    <w:rsid w:val="0027495E"/>
    <w:rsid w:val="00277D1D"/>
    <w:rsid w:val="00284643"/>
    <w:rsid w:val="00292B67"/>
    <w:rsid w:val="00293D94"/>
    <w:rsid w:val="0029718B"/>
    <w:rsid w:val="00297C35"/>
    <w:rsid w:val="002A47E8"/>
    <w:rsid w:val="002A5B24"/>
    <w:rsid w:val="002C1A80"/>
    <w:rsid w:val="002C302A"/>
    <w:rsid w:val="002D1507"/>
    <w:rsid w:val="002D16D7"/>
    <w:rsid w:val="002D6094"/>
    <w:rsid w:val="002E6551"/>
    <w:rsid w:val="002F05CF"/>
    <w:rsid w:val="0030001A"/>
    <w:rsid w:val="00300843"/>
    <w:rsid w:val="003110DE"/>
    <w:rsid w:val="003138DD"/>
    <w:rsid w:val="00313DD5"/>
    <w:rsid w:val="003217D1"/>
    <w:rsid w:val="00332120"/>
    <w:rsid w:val="00332B44"/>
    <w:rsid w:val="00341BD4"/>
    <w:rsid w:val="00350FD0"/>
    <w:rsid w:val="00361799"/>
    <w:rsid w:val="003732E8"/>
    <w:rsid w:val="00374ECF"/>
    <w:rsid w:val="00381998"/>
    <w:rsid w:val="00383111"/>
    <w:rsid w:val="00397072"/>
    <w:rsid w:val="003B0CC3"/>
    <w:rsid w:val="003B3BBD"/>
    <w:rsid w:val="003B7565"/>
    <w:rsid w:val="003C0306"/>
    <w:rsid w:val="003C4481"/>
    <w:rsid w:val="003D08E9"/>
    <w:rsid w:val="003E1C9B"/>
    <w:rsid w:val="003E727E"/>
    <w:rsid w:val="003F7E5D"/>
    <w:rsid w:val="00400B2F"/>
    <w:rsid w:val="00416C55"/>
    <w:rsid w:val="00422E82"/>
    <w:rsid w:val="00423551"/>
    <w:rsid w:val="00426F58"/>
    <w:rsid w:val="00430649"/>
    <w:rsid w:val="00440A8C"/>
    <w:rsid w:val="00445CFC"/>
    <w:rsid w:val="00447B3A"/>
    <w:rsid w:val="00462A9A"/>
    <w:rsid w:val="00467662"/>
    <w:rsid w:val="004776B9"/>
    <w:rsid w:val="00485428"/>
    <w:rsid w:val="004964C6"/>
    <w:rsid w:val="004A00A9"/>
    <w:rsid w:val="004A1810"/>
    <w:rsid w:val="004A6F16"/>
    <w:rsid w:val="004B00E5"/>
    <w:rsid w:val="004B22E7"/>
    <w:rsid w:val="004B3412"/>
    <w:rsid w:val="004B7B58"/>
    <w:rsid w:val="004B7EE6"/>
    <w:rsid w:val="004C07AF"/>
    <w:rsid w:val="004C75F5"/>
    <w:rsid w:val="004C7ED9"/>
    <w:rsid w:val="004D2867"/>
    <w:rsid w:val="004F2DD4"/>
    <w:rsid w:val="005030EC"/>
    <w:rsid w:val="00504C18"/>
    <w:rsid w:val="00507DE2"/>
    <w:rsid w:val="0052776C"/>
    <w:rsid w:val="005311A7"/>
    <w:rsid w:val="00533D15"/>
    <w:rsid w:val="00541048"/>
    <w:rsid w:val="005446A2"/>
    <w:rsid w:val="0055459B"/>
    <w:rsid w:val="00567EAB"/>
    <w:rsid w:val="00575FDC"/>
    <w:rsid w:val="005779A7"/>
    <w:rsid w:val="0058411C"/>
    <w:rsid w:val="005963EB"/>
    <w:rsid w:val="005A5116"/>
    <w:rsid w:val="005B6190"/>
    <w:rsid w:val="005B738F"/>
    <w:rsid w:val="005D4816"/>
    <w:rsid w:val="005D5547"/>
    <w:rsid w:val="005E6664"/>
    <w:rsid w:val="005E6698"/>
    <w:rsid w:val="005F06DB"/>
    <w:rsid w:val="005F1CD9"/>
    <w:rsid w:val="005F6805"/>
    <w:rsid w:val="00605043"/>
    <w:rsid w:val="00612D29"/>
    <w:rsid w:val="006130F3"/>
    <w:rsid w:val="006147A4"/>
    <w:rsid w:val="00614AE7"/>
    <w:rsid w:val="0062262F"/>
    <w:rsid w:val="00624494"/>
    <w:rsid w:val="00630BB3"/>
    <w:rsid w:val="0063117A"/>
    <w:rsid w:val="00662F64"/>
    <w:rsid w:val="00663D78"/>
    <w:rsid w:val="00674933"/>
    <w:rsid w:val="0067571C"/>
    <w:rsid w:val="00681A97"/>
    <w:rsid w:val="00690B3E"/>
    <w:rsid w:val="00693D91"/>
    <w:rsid w:val="006A2AC5"/>
    <w:rsid w:val="006A5845"/>
    <w:rsid w:val="006B0CE8"/>
    <w:rsid w:val="006B46ED"/>
    <w:rsid w:val="006B62B9"/>
    <w:rsid w:val="006B676A"/>
    <w:rsid w:val="006B7BFE"/>
    <w:rsid w:val="006C2C81"/>
    <w:rsid w:val="006C67FE"/>
    <w:rsid w:val="006E2AA6"/>
    <w:rsid w:val="006E4385"/>
    <w:rsid w:val="006E5AC0"/>
    <w:rsid w:val="00701313"/>
    <w:rsid w:val="00716EE8"/>
    <w:rsid w:val="00717863"/>
    <w:rsid w:val="00735BE9"/>
    <w:rsid w:val="00740D24"/>
    <w:rsid w:val="00745607"/>
    <w:rsid w:val="007466B5"/>
    <w:rsid w:val="00747C04"/>
    <w:rsid w:val="007553AF"/>
    <w:rsid w:val="0076144D"/>
    <w:rsid w:val="00761C08"/>
    <w:rsid w:val="007637FF"/>
    <w:rsid w:val="00766EB4"/>
    <w:rsid w:val="00772D42"/>
    <w:rsid w:val="007A2E8A"/>
    <w:rsid w:val="007A2EA6"/>
    <w:rsid w:val="007B4E4E"/>
    <w:rsid w:val="007C3805"/>
    <w:rsid w:val="007C4FA1"/>
    <w:rsid w:val="007D58DF"/>
    <w:rsid w:val="007D771E"/>
    <w:rsid w:val="007E42AF"/>
    <w:rsid w:val="007E75C4"/>
    <w:rsid w:val="00811647"/>
    <w:rsid w:val="008165B6"/>
    <w:rsid w:val="00824454"/>
    <w:rsid w:val="00833F44"/>
    <w:rsid w:val="0084089D"/>
    <w:rsid w:val="00844C41"/>
    <w:rsid w:val="00866AAF"/>
    <w:rsid w:val="0089045C"/>
    <w:rsid w:val="008A0551"/>
    <w:rsid w:val="008A54AD"/>
    <w:rsid w:val="008A600C"/>
    <w:rsid w:val="008C63B6"/>
    <w:rsid w:val="008E1796"/>
    <w:rsid w:val="008F05C4"/>
    <w:rsid w:val="0090550D"/>
    <w:rsid w:val="0091725A"/>
    <w:rsid w:val="00930F42"/>
    <w:rsid w:val="009407EC"/>
    <w:rsid w:val="00952056"/>
    <w:rsid w:val="00955378"/>
    <w:rsid w:val="00963CD7"/>
    <w:rsid w:val="009817FC"/>
    <w:rsid w:val="009870B2"/>
    <w:rsid w:val="00997736"/>
    <w:rsid w:val="009A24EB"/>
    <w:rsid w:val="009A7B60"/>
    <w:rsid w:val="009B4CF6"/>
    <w:rsid w:val="009B5364"/>
    <w:rsid w:val="009B6D2A"/>
    <w:rsid w:val="009C07B1"/>
    <w:rsid w:val="009C38BF"/>
    <w:rsid w:val="009C48FD"/>
    <w:rsid w:val="009C7181"/>
    <w:rsid w:val="009D1A56"/>
    <w:rsid w:val="009E5FA5"/>
    <w:rsid w:val="009E601F"/>
    <w:rsid w:val="009F5B34"/>
    <w:rsid w:val="00A02BB2"/>
    <w:rsid w:val="00A03D4E"/>
    <w:rsid w:val="00A045C4"/>
    <w:rsid w:val="00A04842"/>
    <w:rsid w:val="00A2165B"/>
    <w:rsid w:val="00A30F5F"/>
    <w:rsid w:val="00A318A1"/>
    <w:rsid w:val="00A32D26"/>
    <w:rsid w:val="00A64222"/>
    <w:rsid w:val="00A81B9B"/>
    <w:rsid w:val="00A93219"/>
    <w:rsid w:val="00A97B57"/>
    <w:rsid w:val="00AB04F1"/>
    <w:rsid w:val="00AB2B9F"/>
    <w:rsid w:val="00AB6F39"/>
    <w:rsid w:val="00AC4F66"/>
    <w:rsid w:val="00AE693A"/>
    <w:rsid w:val="00B15580"/>
    <w:rsid w:val="00B158F8"/>
    <w:rsid w:val="00B20590"/>
    <w:rsid w:val="00B21F9C"/>
    <w:rsid w:val="00B259F4"/>
    <w:rsid w:val="00B277FF"/>
    <w:rsid w:val="00B638E5"/>
    <w:rsid w:val="00B63B7B"/>
    <w:rsid w:val="00B75E6A"/>
    <w:rsid w:val="00B852D3"/>
    <w:rsid w:val="00B916DB"/>
    <w:rsid w:val="00B95276"/>
    <w:rsid w:val="00B97FEE"/>
    <w:rsid w:val="00BA6D04"/>
    <w:rsid w:val="00BB6D75"/>
    <w:rsid w:val="00BC32BE"/>
    <w:rsid w:val="00BC78FD"/>
    <w:rsid w:val="00BD00EF"/>
    <w:rsid w:val="00BD7666"/>
    <w:rsid w:val="00C00FAE"/>
    <w:rsid w:val="00C131D4"/>
    <w:rsid w:val="00C2413F"/>
    <w:rsid w:val="00C26716"/>
    <w:rsid w:val="00C3431A"/>
    <w:rsid w:val="00C35F4C"/>
    <w:rsid w:val="00C40930"/>
    <w:rsid w:val="00C57F13"/>
    <w:rsid w:val="00C674F3"/>
    <w:rsid w:val="00C73F66"/>
    <w:rsid w:val="00C802B4"/>
    <w:rsid w:val="00C8488D"/>
    <w:rsid w:val="00CA7B38"/>
    <w:rsid w:val="00CB31B5"/>
    <w:rsid w:val="00CC06BB"/>
    <w:rsid w:val="00CC3A87"/>
    <w:rsid w:val="00CD01D6"/>
    <w:rsid w:val="00CD2316"/>
    <w:rsid w:val="00CD2CA3"/>
    <w:rsid w:val="00CE21C4"/>
    <w:rsid w:val="00CE675E"/>
    <w:rsid w:val="00CF1E3A"/>
    <w:rsid w:val="00CF3A64"/>
    <w:rsid w:val="00CF61BB"/>
    <w:rsid w:val="00D1300A"/>
    <w:rsid w:val="00D22676"/>
    <w:rsid w:val="00D243D3"/>
    <w:rsid w:val="00D30DB3"/>
    <w:rsid w:val="00D370B3"/>
    <w:rsid w:val="00D40AC7"/>
    <w:rsid w:val="00D56A9B"/>
    <w:rsid w:val="00D6572F"/>
    <w:rsid w:val="00D91919"/>
    <w:rsid w:val="00D95014"/>
    <w:rsid w:val="00D951E5"/>
    <w:rsid w:val="00DB3FA9"/>
    <w:rsid w:val="00DC4286"/>
    <w:rsid w:val="00DC521B"/>
    <w:rsid w:val="00DD48A0"/>
    <w:rsid w:val="00DE17D2"/>
    <w:rsid w:val="00DE4857"/>
    <w:rsid w:val="00DF09CF"/>
    <w:rsid w:val="00DF43AB"/>
    <w:rsid w:val="00DF48BD"/>
    <w:rsid w:val="00E00F93"/>
    <w:rsid w:val="00E13F70"/>
    <w:rsid w:val="00E2207C"/>
    <w:rsid w:val="00E252C0"/>
    <w:rsid w:val="00E27131"/>
    <w:rsid w:val="00E32639"/>
    <w:rsid w:val="00E459B7"/>
    <w:rsid w:val="00E50C3A"/>
    <w:rsid w:val="00E54267"/>
    <w:rsid w:val="00E547DB"/>
    <w:rsid w:val="00E6681C"/>
    <w:rsid w:val="00E931EB"/>
    <w:rsid w:val="00EA5197"/>
    <w:rsid w:val="00EA5AAA"/>
    <w:rsid w:val="00EA5B7B"/>
    <w:rsid w:val="00EB265D"/>
    <w:rsid w:val="00EB3D45"/>
    <w:rsid w:val="00EC2567"/>
    <w:rsid w:val="00ED1999"/>
    <w:rsid w:val="00ED2BAD"/>
    <w:rsid w:val="00ED6EB5"/>
    <w:rsid w:val="00EE3556"/>
    <w:rsid w:val="00EF5D8F"/>
    <w:rsid w:val="00EF5E42"/>
    <w:rsid w:val="00F13E7C"/>
    <w:rsid w:val="00F147A9"/>
    <w:rsid w:val="00F14D82"/>
    <w:rsid w:val="00F200D6"/>
    <w:rsid w:val="00F26DEB"/>
    <w:rsid w:val="00F278F6"/>
    <w:rsid w:val="00F31CED"/>
    <w:rsid w:val="00F31EA3"/>
    <w:rsid w:val="00F36ADC"/>
    <w:rsid w:val="00F4405B"/>
    <w:rsid w:val="00F83AB5"/>
    <w:rsid w:val="00F84553"/>
    <w:rsid w:val="00F93EA2"/>
    <w:rsid w:val="00FA2BA1"/>
    <w:rsid w:val="00FA44A9"/>
    <w:rsid w:val="00FB1B62"/>
    <w:rsid w:val="00FB1E74"/>
    <w:rsid w:val="00FB262C"/>
    <w:rsid w:val="00FC70AF"/>
    <w:rsid w:val="00FD3732"/>
    <w:rsid w:val="00FF02A9"/>
    <w:rsid w:val="00FF4D81"/>
    <w:rsid w:val="00FF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AC73BD"/>
  <w15:docId w15:val="{556CE87F-DBE8-4EEB-9FD3-7A59441D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D00"/>
    <w:pPr>
      <w:widowControl w:val="0"/>
      <w:autoSpaceDE w:val="0"/>
      <w:autoSpaceDN w:val="0"/>
      <w:adjustRightInd w:val="0"/>
    </w:pPr>
    <w:rPr>
      <w:sz w:val="24"/>
      <w:szCs w:val="24"/>
    </w:rPr>
  </w:style>
  <w:style w:type="paragraph" w:styleId="Heading3">
    <w:name w:val="heading 3"/>
    <w:basedOn w:val="Normal"/>
    <w:next w:val="Normal"/>
    <w:qFormat/>
    <w:rsid w:val="00AF0348"/>
    <w:pPr>
      <w:keepNext/>
      <w:widowControl/>
      <w:tabs>
        <w:tab w:val="left" w:pos="-1440"/>
      </w:tabs>
      <w:ind w:left="720" w:hanging="7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A6D00"/>
    <w:pPr>
      <w:numPr>
        <w:numId w:val="2"/>
      </w:numPr>
    </w:pPr>
    <w:rPr>
      <w:b/>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FootnoteText">
    <w:name w:val="footnote text"/>
    <w:basedOn w:val="Normal"/>
    <w:semiHidden/>
    <w:rPr>
      <w:sz w:val="20"/>
      <w:szCs w:val="20"/>
    </w:rPr>
  </w:style>
  <w:style w:type="paragraph" w:styleId="BalloonText">
    <w:name w:val="Balloon Text"/>
    <w:basedOn w:val="Normal"/>
    <w:semiHidden/>
    <w:rsid w:val="00A9796F"/>
    <w:rPr>
      <w:rFonts w:ascii="Tahoma" w:hAnsi="Tahoma" w:cs="Tahoma"/>
      <w:sz w:val="16"/>
      <w:szCs w:val="16"/>
    </w:rPr>
  </w:style>
  <w:style w:type="character" w:styleId="CommentReference">
    <w:name w:val="annotation reference"/>
    <w:basedOn w:val="DefaultParagraphFont"/>
    <w:semiHidden/>
    <w:rsid w:val="00AB10FC"/>
    <w:rPr>
      <w:sz w:val="16"/>
      <w:szCs w:val="16"/>
    </w:rPr>
  </w:style>
  <w:style w:type="paragraph" w:styleId="CommentText">
    <w:name w:val="annotation text"/>
    <w:basedOn w:val="Normal"/>
    <w:link w:val="CommentTextChar"/>
    <w:semiHidden/>
    <w:rsid w:val="00AB10FC"/>
    <w:rPr>
      <w:sz w:val="20"/>
      <w:szCs w:val="20"/>
    </w:rPr>
  </w:style>
  <w:style w:type="paragraph" w:styleId="CommentSubject">
    <w:name w:val="annotation subject"/>
    <w:basedOn w:val="CommentText"/>
    <w:next w:val="CommentText"/>
    <w:semiHidden/>
    <w:rsid w:val="00AB10FC"/>
    <w:rPr>
      <w:b/>
      <w:bCs/>
    </w:rPr>
  </w:style>
  <w:style w:type="paragraph" w:customStyle="1" w:styleId="bulletlist">
    <w:name w:val="bullet list"/>
    <w:basedOn w:val="Normal"/>
    <w:rsid w:val="00FA6D00"/>
    <w:pPr>
      <w:numPr>
        <w:numId w:val="3"/>
      </w:numPr>
      <w:tabs>
        <w:tab w:val="left" w:pos="-1440"/>
      </w:tabs>
    </w:pPr>
    <w:rPr>
      <w:b/>
      <w:i/>
      <w:iCs/>
      <w:sz w:val="22"/>
    </w:rPr>
  </w:style>
  <w:style w:type="paragraph" w:styleId="ListParagraph">
    <w:name w:val="List Paragraph"/>
    <w:basedOn w:val="Normal"/>
    <w:uiPriority w:val="34"/>
    <w:qFormat/>
    <w:rsid w:val="000E0DAF"/>
    <w:pPr>
      <w:ind w:left="720"/>
      <w:contextualSpacing/>
    </w:pPr>
  </w:style>
  <w:style w:type="table" w:styleId="TableGrid">
    <w:name w:val="Table Grid"/>
    <w:basedOn w:val="TableNormal"/>
    <w:uiPriority w:val="59"/>
    <w:rsid w:val="00A30F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63B7B"/>
    <w:rPr>
      <w:color w:val="0000FF" w:themeColor="hyperlink"/>
      <w:u w:val="single"/>
    </w:rPr>
  </w:style>
  <w:style w:type="character" w:customStyle="1" w:styleId="CommentTextChar">
    <w:name w:val="Comment Text Char"/>
    <w:basedOn w:val="DefaultParagraphFont"/>
    <w:link w:val="CommentText"/>
    <w:semiHidden/>
    <w:rsid w:val="00575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9854">
      <w:bodyDiv w:val="1"/>
      <w:marLeft w:val="0"/>
      <w:marRight w:val="0"/>
      <w:marTop w:val="0"/>
      <w:marBottom w:val="0"/>
      <w:divBdr>
        <w:top w:val="none" w:sz="0" w:space="0" w:color="auto"/>
        <w:left w:val="none" w:sz="0" w:space="0" w:color="auto"/>
        <w:bottom w:val="none" w:sz="0" w:space="0" w:color="auto"/>
        <w:right w:val="none" w:sz="0" w:space="0" w:color="auto"/>
      </w:divBdr>
    </w:div>
    <w:div w:id="576138589">
      <w:bodyDiv w:val="1"/>
      <w:marLeft w:val="0"/>
      <w:marRight w:val="0"/>
      <w:marTop w:val="0"/>
      <w:marBottom w:val="0"/>
      <w:divBdr>
        <w:top w:val="none" w:sz="0" w:space="0" w:color="auto"/>
        <w:left w:val="none" w:sz="0" w:space="0" w:color="auto"/>
        <w:bottom w:val="none" w:sz="0" w:space="0" w:color="auto"/>
        <w:right w:val="none" w:sz="0" w:space="0" w:color="auto"/>
      </w:divBdr>
    </w:div>
    <w:div w:id="703289459">
      <w:bodyDiv w:val="1"/>
      <w:marLeft w:val="0"/>
      <w:marRight w:val="0"/>
      <w:marTop w:val="0"/>
      <w:marBottom w:val="0"/>
      <w:divBdr>
        <w:top w:val="none" w:sz="0" w:space="0" w:color="auto"/>
        <w:left w:val="none" w:sz="0" w:space="0" w:color="auto"/>
        <w:bottom w:val="none" w:sz="0" w:space="0" w:color="auto"/>
        <w:right w:val="none" w:sz="0" w:space="0" w:color="auto"/>
      </w:divBdr>
    </w:div>
    <w:div w:id="1203248257">
      <w:bodyDiv w:val="1"/>
      <w:marLeft w:val="0"/>
      <w:marRight w:val="0"/>
      <w:marTop w:val="0"/>
      <w:marBottom w:val="0"/>
      <w:divBdr>
        <w:top w:val="none" w:sz="0" w:space="0" w:color="auto"/>
        <w:left w:val="none" w:sz="0" w:space="0" w:color="auto"/>
        <w:bottom w:val="none" w:sz="0" w:space="0" w:color="auto"/>
        <w:right w:val="none" w:sz="0" w:space="0" w:color="auto"/>
      </w:divBdr>
    </w:div>
    <w:div w:id="1337728352">
      <w:bodyDiv w:val="1"/>
      <w:marLeft w:val="0"/>
      <w:marRight w:val="0"/>
      <w:marTop w:val="0"/>
      <w:marBottom w:val="0"/>
      <w:divBdr>
        <w:top w:val="none" w:sz="0" w:space="0" w:color="auto"/>
        <w:left w:val="none" w:sz="0" w:space="0" w:color="auto"/>
        <w:bottom w:val="none" w:sz="0" w:space="0" w:color="auto"/>
        <w:right w:val="none" w:sz="0" w:space="0" w:color="auto"/>
      </w:divBdr>
    </w:div>
    <w:div w:id="1357539181">
      <w:bodyDiv w:val="1"/>
      <w:marLeft w:val="0"/>
      <w:marRight w:val="0"/>
      <w:marTop w:val="0"/>
      <w:marBottom w:val="0"/>
      <w:divBdr>
        <w:top w:val="none" w:sz="0" w:space="0" w:color="auto"/>
        <w:left w:val="none" w:sz="0" w:space="0" w:color="auto"/>
        <w:bottom w:val="none" w:sz="0" w:space="0" w:color="auto"/>
        <w:right w:val="none" w:sz="0" w:space="0" w:color="auto"/>
      </w:divBdr>
    </w:div>
    <w:div w:id="1670524711">
      <w:bodyDiv w:val="1"/>
      <w:marLeft w:val="0"/>
      <w:marRight w:val="0"/>
      <w:marTop w:val="0"/>
      <w:marBottom w:val="0"/>
      <w:divBdr>
        <w:top w:val="none" w:sz="0" w:space="0" w:color="auto"/>
        <w:left w:val="none" w:sz="0" w:space="0" w:color="auto"/>
        <w:bottom w:val="none" w:sz="0" w:space="0" w:color="auto"/>
        <w:right w:val="none" w:sz="0" w:space="0" w:color="auto"/>
      </w:divBdr>
    </w:div>
    <w:div w:id="1689867727">
      <w:bodyDiv w:val="1"/>
      <w:marLeft w:val="0"/>
      <w:marRight w:val="0"/>
      <w:marTop w:val="0"/>
      <w:marBottom w:val="0"/>
      <w:divBdr>
        <w:top w:val="none" w:sz="0" w:space="0" w:color="auto"/>
        <w:left w:val="none" w:sz="0" w:space="0" w:color="auto"/>
        <w:bottom w:val="none" w:sz="0" w:space="0" w:color="auto"/>
        <w:right w:val="none" w:sz="0" w:space="0" w:color="auto"/>
      </w:divBdr>
    </w:div>
    <w:div w:id="1892841323">
      <w:bodyDiv w:val="1"/>
      <w:marLeft w:val="0"/>
      <w:marRight w:val="0"/>
      <w:marTop w:val="0"/>
      <w:marBottom w:val="0"/>
      <w:divBdr>
        <w:top w:val="none" w:sz="0" w:space="0" w:color="auto"/>
        <w:left w:val="none" w:sz="0" w:space="0" w:color="auto"/>
        <w:bottom w:val="none" w:sz="0" w:space="0" w:color="auto"/>
        <w:right w:val="none" w:sz="0" w:space="0" w:color="auto"/>
      </w:divBdr>
    </w:div>
    <w:div w:id="19307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ACD4B-77B7-439F-B9C1-B336565FD5B1}">
  <ds:schemaRefs>
    <ds:schemaRef ds:uri="http://schemas.microsoft.com/sharepoint/v3/contenttype/forms"/>
  </ds:schemaRefs>
</ds:datastoreItem>
</file>

<file path=customXml/itemProps2.xml><?xml version="1.0" encoding="utf-8"?>
<ds:datastoreItem xmlns:ds="http://schemas.openxmlformats.org/officeDocument/2006/customXml" ds:itemID="{A5DA5EC2-E63E-4B0B-A4B3-77D7117338A3}">
  <ds:schemaRefs>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2a1ba486-ff2f-4459-80ac-1ab5aa17f82f"/>
    <ds:schemaRef ds:uri="http://schemas.openxmlformats.org/package/2006/metadata/core-properties"/>
    <ds:schemaRef ds:uri="2b487234-2a61-45b0-86e3-998bf12a0e9d"/>
    <ds:schemaRef ds:uri="http://schemas.microsoft.com/office/2006/metadata/properties"/>
  </ds:schemaRefs>
</ds:datastoreItem>
</file>

<file path=customXml/itemProps3.xml><?xml version="1.0" encoding="utf-8"?>
<ds:datastoreItem xmlns:ds="http://schemas.openxmlformats.org/officeDocument/2006/customXml" ds:itemID="{A130E167-D4D4-43E4-89D9-F6F6857CB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670CF-E731-49A8-BE0C-7FDCE11E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4248</Words>
  <Characters>24219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MSB</cp:lastModifiedBy>
  <cp:revision>3</cp:revision>
  <cp:lastPrinted>2015-10-20T15:48:00Z</cp:lastPrinted>
  <dcterms:created xsi:type="dcterms:W3CDTF">2021-09-15T15:25:00Z</dcterms:created>
  <dcterms:modified xsi:type="dcterms:W3CDTF">2021-09-15T15:26:00Z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