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ABC" w:rsidR="00AB0588" w:rsidP="00427ABC" w:rsidRDefault="00AB0588" w14:paraId="5FCC00A7" w14:textId="26BBE460">
      <w:pPr>
        <w:tabs>
          <w:tab w:val="center" w:pos="4680"/>
          <w:tab w:val="left" w:pos="7440"/>
        </w:tabs>
        <w:jc w:val="center"/>
        <w:rPr>
          <w:rFonts w:asciiTheme="minorHAnsi" w:hAnsiTheme="minorHAnsi" w:cstheme="minorHAnsi"/>
          <w:b/>
          <w:bCs/>
        </w:rPr>
      </w:pPr>
      <w:r w:rsidRPr="00427ABC">
        <w:rPr>
          <w:rFonts w:asciiTheme="minorHAnsi" w:hAnsiTheme="minorHAnsi" w:cstheme="minorHAnsi"/>
          <w:b/>
          <w:bCs/>
        </w:rPr>
        <w:t>SUPPORTING STATEMENT</w:t>
      </w:r>
    </w:p>
    <w:p w:rsidRPr="00427ABC" w:rsidR="005D5756" w:rsidP="00427ABC" w:rsidRDefault="005D5756" w14:paraId="3041E228" w14:textId="77777777">
      <w:pPr>
        <w:tabs>
          <w:tab w:val="center" w:pos="4680"/>
        </w:tabs>
        <w:jc w:val="center"/>
        <w:rPr>
          <w:rFonts w:asciiTheme="minorHAnsi" w:hAnsiTheme="minorHAnsi" w:cstheme="minorHAnsi"/>
        </w:rPr>
      </w:pPr>
      <w:r w:rsidRPr="00427ABC">
        <w:rPr>
          <w:rFonts w:asciiTheme="minorHAnsi" w:hAnsiTheme="minorHAnsi" w:cstheme="minorHAnsi"/>
        </w:rPr>
        <w:t>Internal Revenue Service</w:t>
      </w:r>
    </w:p>
    <w:p w:rsidRPr="00427ABC" w:rsidR="00427ABC" w:rsidP="00427ABC" w:rsidRDefault="0071627E" w14:paraId="72359690" w14:textId="77777777">
      <w:pPr>
        <w:tabs>
          <w:tab w:val="center" w:pos="4680"/>
        </w:tabs>
        <w:jc w:val="center"/>
        <w:rPr>
          <w:rFonts w:asciiTheme="minorHAnsi" w:hAnsiTheme="minorHAnsi" w:cstheme="minorHAnsi"/>
        </w:rPr>
      </w:pPr>
      <w:r w:rsidRPr="00427ABC">
        <w:rPr>
          <w:rFonts w:asciiTheme="minorHAnsi" w:hAnsiTheme="minorHAnsi" w:cstheme="minorHAnsi"/>
        </w:rPr>
        <w:t>TD 8395</w:t>
      </w:r>
      <w:r w:rsidRPr="00427ABC" w:rsidR="00AC021B">
        <w:rPr>
          <w:rFonts w:asciiTheme="minorHAnsi" w:hAnsiTheme="minorHAnsi" w:cstheme="minorHAnsi"/>
        </w:rPr>
        <w:t xml:space="preserve"> (</w:t>
      </w:r>
      <w:r w:rsidRPr="00427ABC" w:rsidR="005D5756">
        <w:rPr>
          <w:rFonts w:asciiTheme="minorHAnsi" w:hAnsiTheme="minorHAnsi" w:cstheme="minorHAnsi"/>
        </w:rPr>
        <w:t>Special Valuation Rules</w:t>
      </w:r>
      <w:r w:rsidRPr="00427ABC" w:rsidR="00AC021B">
        <w:rPr>
          <w:rFonts w:asciiTheme="minorHAnsi" w:hAnsiTheme="minorHAnsi" w:cstheme="minorHAnsi"/>
        </w:rPr>
        <w:t>)</w:t>
      </w:r>
    </w:p>
    <w:p w:rsidRPr="00427ABC" w:rsidR="00EB64D5" w:rsidP="00427ABC" w:rsidRDefault="00EB64D5" w14:paraId="2A91129A" w14:textId="468B89E3">
      <w:pPr>
        <w:tabs>
          <w:tab w:val="center" w:pos="4680"/>
        </w:tabs>
        <w:jc w:val="center"/>
        <w:rPr>
          <w:rFonts w:asciiTheme="minorHAnsi" w:hAnsiTheme="minorHAnsi" w:cstheme="minorHAnsi"/>
        </w:rPr>
      </w:pPr>
      <w:r w:rsidRPr="00427ABC">
        <w:rPr>
          <w:rFonts w:asciiTheme="minorHAnsi" w:hAnsiTheme="minorHAnsi" w:cstheme="minorHAnsi"/>
        </w:rPr>
        <w:t>OMB Control Number 1545-1241</w:t>
      </w:r>
    </w:p>
    <w:p w:rsidRPr="00427ABC" w:rsidR="00EB64D5" w:rsidP="00EB64D5" w:rsidRDefault="00EB64D5" w14:paraId="1A8368F3" w14:textId="77777777">
      <w:pPr>
        <w:ind w:left="2304" w:firstLine="720"/>
        <w:jc w:val="center"/>
        <w:rPr>
          <w:rFonts w:asciiTheme="minorHAnsi" w:hAnsiTheme="minorHAnsi" w:cstheme="minorHAnsi"/>
        </w:rPr>
      </w:pPr>
    </w:p>
    <w:p w:rsidRPr="00427ABC" w:rsidR="00861516" w:rsidP="005D5756" w:rsidRDefault="00861516" w14:paraId="3E5E054C" w14:textId="77777777">
      <w:pPr>
        <w:jc w:val="center"/>
        <w:rPr>
          <w:rFonts w:asciiTheme="minorHAnsi" w:hAnsiTheme="minorHAnsi" w:cstheme="minorHAnsi"/>
        </w:rPr>
      </w:pPr>
    </w:p>
    <w:p w:rsidRPr="00427ABC" w:rsidR="00AB0588" w:rsidP="000664BE" w:rsidRDefault="00AB0588" w14:paraId="37FE1857" w14:textId="77777777">
      <w:pPr>
        <w:tabs>
          <w:tab w:val="left" w:pos="-1440"/>
          <w:tab w:val="left" w:pos="540"/>
        </w:tabs>
        <w:ind w:left="540" w:hanging="540"/>
        <w:rPr>
          <w:rFonts w:asciiTheme="minorHAnsi" w:hAnsiTheme="minorHAnsi" w:cstheme="minorHAnsi"/>
          <w:b/>
          <w:bCs/>
          <w:u w:val="single"/>
        </w:rPr>
      </w:pPr>
      <w:r w:rsidRPr="00427ABC">
        <w:rPr>
          <w:rFonts w:asciiTheme="minorHAnsi" w:hAnsiTheme="minorHAnsi" w:cstheme="minorHAnsi"/>
        </w:rPr>
        <w:t>1.</w:t>
      </w:r>
      <w:r w:rsidRPr="00427ABC">
        <w:rPr>
          <w:rFonts w:asciiTheme="minorHAnsi" w:hAnsiTheme="minorHAnsi" w:cstheme="minorHAnsi"/>
        </w:rPr>
        <w:tab/>
      </w:r>
      <w:r w:rsidRPr="00427ABC">
        <w:rPr>
          <w:rFonts w:asciiTheme="minorHAnsi" w:hAnsiTheme="minorHAnsi" w:cstheme="minorHAnsi"/>
          <w:b/>
          <w:bCs/>
          <w:u w:val="single"/>
        </w:rPr>
        <w:t>CIRCUMSTANCES NECESSITATING COLLECTION OF INFORMATION</w:t>
      </w:r>
    </w:p>
    <w:p w:rsidRPr="00427ABC" w:rsidR="00AB0588" w:rsidP="000664BE" w:rsidRDefault="00AB0588" w14:paraId="29F89261" w14:textId="77777777">
      <w:pPr>
        <w:tabs>
          <w:tab w:val="left" w:pos="540"/>
        </w:tabs>
        <w:ind w:left="540" w:hanging="540"/>
        <w:rPr>
          <w:rFonts w:asciiTheme="minorHAnsi" w:hAnsiTheme="minorHAnsi" w:cstheme="minorHAnsi"/>
        </w:rPr>
      </w:pPr>
    </w:p>
    <w:p w:rsidRPr="00427ABC" w:rsidR="00AB0588" w:rsidP="000664BE" w:rsidRDefault="00AB0588" w14:paraId="401465BC"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Section 2701(c)(3)(C) of the Internal Revenue Code provides that a transferor (or applicable family member) of a junior interest in an entity (</w:t>
      </w:r>
      <w:r w:rsidRPr="00427ABC">
        <w:rPr>
          <w:rFonts w:asciiTheme="minorHAnsi" w:hAnsiTheme="minorHAnsi" w:cstheme="minorHAnsi"/>
          <w:i/>
        </w:rPr>
        <w:t>i.e.</w:t>
      </w:r>
      <w:r w:rsidRPr="00427ABC">
        <w:rPr>
          <w:rFonts w:asciiTheme="minorHAnsi" w:hAnsiTheme="minorHAnsi" w:cstheme="minorHAnsi"/>
        </w:rPr>
        <w:t xml:space="preserve">, common stock in a closely held corporation) who retains a preferred interest in the same entity, may either waive treatment or elect to treat payments by the entity as qualified payments. </w:t>
      </w:r>
      <w:r w:rsidRPr="00427ABC" w:rsidR="000664BE">
        <w:rPr>
          <w:rFonts w:asciiTheme="minorHAnsi" w:hAnsiTheme="minorHAnsi" w:cstheme="minorHAnsi"/>
        </w:rPr>
        <w:t xml:space="preserve"> </w:t>
      </w:r>
      <w:r w:rsidRPr="00427ABC">
        <w:rPr>
          <w:rFonts w:asciiTheme="minorHAnsi" w:hAnsiTheme="minorHAnsi" w:cstheme="minorHAnsi"/>
        </w:rPr>
        <w:t>Based on the valuation method set forth in the statute, such a waiver or election will affect the value of the gift of the junior interest for gift tax purposes.</w:t>
      </w:r>
    </w:p>
    <w:p w:rsidRPr="00427ABC" w:rsidR="00AB0588" w:rsidP="000664BE" w:rsidRDefault="00AB0588" w14:paraId="698FB69C" w14:textId="77777777">
      <w:pPr>
        <w:tabs>
          <w:tab w:val="left" w:pos="540"/>
        </w:tabs>
        <w:ind w:left="540" w:hanging="540"/>
        <w:rPr>
          <w:rFonts w:asciiTheme="minorHAnsi" w:hAnsiTheme="minorHAnsi" w:cstheme="minorHAnsi"/>
        </w:rPr>
      </w:pPr>
    </w:p>
    <w:p w:rsidRPr="00427ABC" w:rsidR="00AB0588" w:rsidP="000664BE" w:rsidRDefault="00AB0588" w14:paraId="495D6C4B"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Section 2701(d)(3)(A)(iii) of the Code provides that a taxpayer may elect to treat a late qualified payment by an entity as a taxable event and thereby recognize an increase in taxable gifts in the year of the election.</w:t>
      </w:r>
    </w:p>
    <w:p w:rsidRPr="00427ABC" w:rsidR="00AB0588" w:rsidP="000664BE" w:rsidRDefault="00AB0588" w14:paraId="2010491F" w14:textId="77777777">
      <w:pPr>
        <w:tabs>
          <w:tab w:val="left" w:pos="540"/>
        </w:tabs>
        <w:ind w:left="540" w:hanging="540"/>
        <w:rPr>
          <w:rFonts w:asciiTheme="minorHAnsi" w:hAnsiTheme="minorHAnsi" w:cstheme="minorHAnsi"/>
        </w:rPr>
      </w:pPr>
    </w:p>
    <w:p w:rsidRPr="00427ABC" w:rsidR="00AB0588" w:rsidP="000664BE" w:rsidRDefault="00AB0588" w14:paraId="2BD1F5DE"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Section 6501(c) of the Code provides that the gift tax statute of limitations for assessment will run only if transfers subject to section 2701 and 2702 are adequately disclosed on a gift tax return.</w:t>
      </w:r>
    </w:p>
    <w:p w:rsidRPr="00427ABC" w:rsidR="00AB0588" w:rsidP="000664BE" w:rsidRDefault="00AB0588" w14:paraId="30D203B1" w14:textId="77777777">
      <w:pPr>
        <w:tabs>
          <w:tab w:val="left" w:pos="540"/>
        </w:tabs>
        <w:ind w:left="540" w:hanging="540"/>
        <w:rPr>
          <w:rFonts w:asciiTheme="minorHAnsi" w:hAnsiTheme="minorHAnsi" w:cstheme="minorHAnsi"/>
        </w:rPr>
      </w:pPr>
    </w:p>
    <w:p w:rsidRPr="00427ABC" w:rsidR="00AB0588" w:rsidP="000664BE" w:rsidRDefault="00AB0588" w14:paraId="03E46011"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The regulations provide guidance on how taxpayers make these elections, what information is required, and how (and in what detail) the transfer is to be disclosed on the gift tax return (Form 709).</w:t>
      </w:r>
    </w:p>
    <w:p w:rsidRPr="00427ABC" w:rsidR="00AB0588" w:rsidP="000664BE" w:rsidRDefault="00AB0588" w14:paraId="6B461994" w14:textId="77777777">
      <w:pPr>
        <w:tabs>
          <w:tab w:val="left" w:pos="540"/>
        </w:tabs>
        <w:ind w:left="540" w:hanging="540"/>
        <w:rPr>
          <w:rFonts w:asciiTheme="minorHAnsi" w:hAnsiTheme="minorHAnsi" w:cstheme="minorHAnsi"/>
        </w:rPr>
      </w:pPr>
    </w:p>
    <w:p w:rsidRPr="00427ABC" w:rsidR="00AB0588" w:rsidP="000664BE" w:rsidRDefault="00AB0588" w14:paraId="7B5045D0" w14:textId="77777777">
      <w:pPr>
        <w:tabs>
          <w:tab w:val="left" w:pos="-1440"/>
          <w:tab w:val="left" w:pos="540"/>
        </w:tabs>
        <w:ind w:left="540" w:hanging="540"/>
        <w:rPr>
          <w:rFonts w:asciiTheme="minorHAnsi" w:hAnsiTheme="minorHAnsi" w:cstheme="minorHAnsi"/>
          <w:b/>
          <w:bCs/>
        </w:rPr>
      </w:pPr>
      <w:r w:rsidRPr="00427ABC">
        <w:rPr>
          <w:rFonts w:asciiTheme="minorHAnsi" w:hAnsiTheme="minorHAnsi" w:cstheme="minorHAnsi"/>
          <w:b/>
          <w:bCs/>
        </w:rPr>
        <w:t>2.</w:t>
      </w:r>
      <w:r w:rsidRPr="00427ABC">
        <w:rPr>
          <w:rFonts w:asciiTheme="minorHAnsi" w:hAnsiTheme="minorHAnsi" w:cstheme="minorHAnsi"/>
          <w:b/>
          <w:bCs/>
        </w:rPr>
        <w:tab/>
      </w:r>
      <w:r w:rsidRPr="00427ABC">
        <w:rPr>
          <w:rFonts w:asciiTheme="minorHAnsi" w:hAnsiTheme="minorHAnsi" w:cstheme="minorHAnsi"/>
          <w:b/>
          <w:bCs/>
          <w:u w:val="single"/>
        </w:rPr>
        <w:t>USE OF DATA</w:t>
      </w:r>
      <w:r w:rsidRPr="00427ABC">
        <w:rPr>
          <w:rFonts w:asciiTheme="minorHAnsi" w:hAnsiTheme="minorHAnsi" w:cstheme="minorHAnsi"/>
          <w:b/>
          <w:bCs/>
        </w:rPr>
        <w:t xml:space="preserve"> </w:t>
      </w:r>
    </w:p>
    <w:p w:rsidRPr="00427ABC" w:rsidR="00AB0588" w:rsidP="000664BE" w:rsidRDefault="00AB0588" w14:paraId="519330ED" w14:textId="77777777">
      <w:pPr>
        <w:tabs>
          <w:tab w:val="left" w:pos="540"/>
        </w:tabs>
        <w:ind w:left="540" w:hanging="540"/>
        <w:rPr>
          <w:rFonts w:asciiTheme="minorHAnsi" w:hAnsiTheme="minorHAnsi" w:cstheme="minorHAnsi"/>
        </w:rPr>
      </w:pPr>
    </w:p>
    <w:p w:rsidRPr="00427ABC" w:rsidR="00AB0588" w:rsidP="000664BE" w:rsidRDefault="00AB0588" w14:paraId="16C8D163" w14:textId="28B58A6E">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The information will be used on audit to verify that the statutory elections have been made or waived and whether disclosure has been adequately made. In addition, the information is required to determine the proper increase in a transferor's taxable transfers upon the happening of a subsequent taxable event and to determine the applicable tax rate for such transfers.</w:t>
      </w:r>
    </w:p>
    <w:p w:rsidRPr="00427ABC" w:rsidR="004868A3" w:rsidP="004868A3" w:rsidRDefault="004868A3" w14:paraId="1AFA4FC9" w14:textId="77777777">
      <w:pPr>
        <w:tabs>
          <w:tab w:val="left" w:pos="-1440"/>
          <w:tab w:val="left" w:pos="7820"/>
        </w:tabs>
        <w:ind w:left="540" w:hanging="540"/>
        <w:rPr>
          <w:rFonts w:asciiTheme="minorHAnsi" w:hAnsiTheme="minorHAnsi" w:cstheme="minorHAnsi"/>
        </w:rPr>
      </w:pPr>
    </w:p>
    <w:p w:rsidRPr="00427ABC" w:rsidR="000664BE" w:rsidP="000664BE" w:rsidRDefault="000664BE" w14:paraId="31157BE9" w14:textId="77777777">
      <w:pPr>
        <w:tabs>
          <w:tab w:val="left" w:pos="-1440"/>
          <w:tab w:val="left" w:pos="540"/>
        </w:tabs>
        <w:ind w:left="540" w:hanging="540"/>
        <w:rPr>
          <w:rFonts w:asciiTheme="minorHAnsi" w:hAnsiTheme="minorHAnsi" w:cstheme="minorHAnsi"/>
        </w:rPr>
      </w:pPr>
    </w:p>
    <w:p w:rsidRPr="002D1A9C" w:rsidR="00AB0588" w:rsidP="002D1A9C" w:rsidRDefault="00AB0588" w14:paraId="3D832A9E" w14:textId="077B6C3C">
      <w:pPr>
        <w:tabs>
          <w:tab w:val="left" w:pos="-1440"/>
          <w:tab w:val="left" w:pos="540"/>
        </w:tabs>
        <w:ind w:left="540" w:hanging="540"/>
        <w:rPr>
          <w:rFonts w:asciiTheme="minorHAnsi" w:hAnsiTheme="minorHAnsi" w:cstheme="minorHAnsi"/>
          <w:b/>
          <w:bCs/>
          <w:u w:val="single"/>
        </w:rPr>
      </w:pPr>
      <w:r w:rsidRPr="002D1A9C">
        <w:rPr>
          <w:rFonts w:asciiTheme="minorHAnsi" w:hAnsiTheme="minorHAnsi" w:cstheme="minorHAnsi"/>
          <w:b/>
          <w:bCs/>
        </w:rPr>
        <w:t>3.</w:t>
      </w:r>
      <w:r w:rsidRPr="002D1A9C">
        <w:rPr>
          <w:rFonts w:asciiTheme="minorHAnsi" w:hAnsiTheme="minorHAnsi" w:cstheme="minorHAnsi"/>
          <w:b/>
          <w:bCs/>
        </w:rPr>
        <w:tab/>
      </w:r>
      <w:r w:rsidRPr="002D1A9C">
        <w:rPr>
          <w:rFonts w:asciiTheme="minorHAnsi" w:hAnsiTheme="minorHAnsi" w:cstheme="minorHAnsi"/>
          <w:b/>
          <w:bCs/>
          <w:u w:val="single"/>
        </w:rPr>
        <w:t>USE OF IMPROVED INFORMATION TECHNOLOGY TO REDUCE BURDEN</w:t>
      </w:r>
    </w:p>
    <w:p w:rsidRPr="00427ABC" w:rsidR="002D1A9C" w:rsidP="002D1A9C" w:rsidRDefault="002D1A9C" w14:paraId="24F3FB10" w14:textId="77777777">
      <w:pPr>
        <w:tabs>
          <w:tab w:val="left" w:pos="-1440"/>
          <w:tab w:val="left" w:pos="540"/>
        </w:tabs>
        <w:ind w:left="540" w:hanging="540"/>
        <w:rPr>
          <w:rFonts w:asciiTheme="minorHAnsi" w:hAnsiTheme="minorHAnsi" w:cstheme="minorHAnsi"/>
        </w:rPr>
      </w:pPr>
    </w:p>
    <w:p w:rsidRPr="00427ABC" w:rsidR="00AB0588" w:rsidP="000664BE" w:rsidRDefault="00AB0588" w14:paraId="6C06B29B"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IRS Publications, Regulations, Notices and Letters are to be electronically enabled on an as practicable basis in accordance with the IRS Reform and Restructuring Act of 1998.</w:t>
      </w:r>
    </w:p>
    <w:p w:rsidRPr="00427ABC" w:rsidR="00B85E1D" w:rsidP="002D1A9C" w:rsidRDefault="00912635" w14:paraId="4EF0A76A" w14:textId="114AFA18">
      <w:pPr>
        <w:widowControl/>
        <w:ind w:firstLine="540"/>
        <w:rPr>
          <w:rFonts w:asciiTheme="minorHAnsi" w:hAnsiTheme="minorHAnsi" w:cstheme="minorHAnsi"/>
          <w:bCs/>
        </w:rPr>
      </w:pPr>
      <w:r w:rsidRPr="00427ABC">
        <w:rPr>
          <w:rFonts w:asciiTheme="minorHAnsi" w:hAnsiTheme="minorHAnsi" w:cstheme="minorHAnsi"/>
          <w:bCs/>
        </w:rPr>
        <w:t xml:space="preserve">There are no plans to provide electronic filing because </w:t>
      </w:r>
    </w:p>
    <w:p w:rsidRPr="00427ABC" w:rsidR="0071627E" w:rsidP="00741620" w:rsidRDefault="00912635" w14:paraId="14C7348F" w14:textId="5DA20C63">
      <w:pPr>
        <w:widowControl/>
        <w:ind w:left="540"/>
        <w:rPr>
          <w:rFonts w:asciiTheme="minorHAnsi" w:hAnsiTheme="minorHAnsi" w:cstheme="minorHAnsi"/>
          <w:bCs/>
        </w:rPr>
      </w:pPr>
      <w:r w:rsidRPr="00427ABC">
        <w:rPr>
          <w:rFonts w:asciiTheme="minorHAnsi" w:hAnsiTheme="minorHAnsi" w:cstheme="minorHAnsi"/>
          <w:bCs/>
        </w:rPr>
        <w:t>electronic filing is not appropriate for the collection of information in this submission due to the</w:t>
      </w:r>
      <w:r w:rsidRPr="00427ABC" w:rsidR="00741620">
        <w:rPr>
          <w:rFonts w:asciiTheme="minorHAnsi" w:hAnsiTheme="minorHAnsi" w:cstheme="minorHAnsi"/>
          <w:bCs/>
        </w:rPr>
        <w:t xml:space="preserve"> </w:t>
      </w:r>
      <w:r w:rsidRPr="00427ABC">
        <w:rPr>
          <w:rFonts w:asciiTheme="minorHAnsi" w:hAnsiTheme="minorHAnsi" w:cstheme="minorHAnsi"/>
          <w:bCs/>
        </w:rPr>
        <w:t>requirement to attach the document of record.</w:t>
      </w:r>
    </w:p>
    <w:p w:rsidRPr="00427ABC" w:rsidR="00741620" w:rsidP="00741620" w:rsidRDefault="00741620" w14:paraId="2CC21D6A" w14:textId="77777777">
      <w:pPr>
        <w:widowControl/>
        <w:ind w:left="540"/>
        <w:rPr>
          <w:rFonts w:asciiTheme="minorHAnsi" w:hAnsiTheme="minorHAnsi" w:cstheme="minorHAnsi"/>
        </w:rPr>
      </w:pPr>
    </w:p>
    <w:p w:rsidRPr="002D1A9C" w:rsidR="00AB0588" w:rsidP="000664BE" w:rsidRDefault="00AB0588" w14:paraId="39381310" w14:textId="77777777">
      <w:pPr>
        <w:tabs>
          <w:tab w:val="left" w:pos="-1440"/>
          <w:tab w:val="left" w:pos="540"/>
        </w:tabs>
        <w:ind w:left="540" w:hanging="540"/>
        <w:rPr>
          <w:rFonts w:asciiTheme="minorHAnsi" w:hAnsiTheme="minorHAnsi" w:cstheme="minorHAnsi"/>
          <w:b/>
          <w:bCs/>
          <w:u w:val="single"/>
        </w:rPr>
      </w:pPr>
      <w:r w:rsidRPr="002D1A9C">
        <w:rPr>
          <w:rFonts w:asciiTheme="minorHAnsi" w:hAnsiTheme="minorHAnsi" w:cstheme="minorHAnsi"/>
          <w:b/>
          <w:bCs/>
        </w:rPr>
        <w:lastRenderedPageBreak/>
        <w:t>4.</w:t>
      </w:r>
      <w:r w:rsidRPr="002D1A9C">
        <w:rPr>
          <w:rFonts w:asciiTheme="minorHAnsi" w:hAnsiTheme="minorHAnsi" w:cstheme="minorHAnsi"/>
          <w:b/>
          <w:bCs/>
        </w:rPr>
        <w:tab/>
      </w:r>
      <w:r w:rsidRPr="002D1A9C">
        <w:rPr>
          <w:rFonts w:asciiTheme="minorHAnsi" w:hAnsiTheme="minorHAnsi" w:cstheme="minorHAnsi"/>
          <w:b/>
          <w:bCs/>
          <w:u w:val="single"/>
        </w:rPr>
        <w:t>EFFORTS TO IDENTIFY DUPLICATION</w:t>
      </w:r>
    </w:p>
    <w:p w:rsidRPr="00427ABC" w:rsidR="00AB0588" w:rsidP="000664BE" w:rsidRDefault="00AB0588" w14:paraId="374020BC" w14:textId="77777777">
      <w:pPr>
        <w:tabs>
          <w:tab w:val="left" w:pos="540"/>
        </w:tabs>
        <w:ind w:left="540" w:hanging="540"/>
        <w:rPr>
          <w:rFonts w:asciiTheme="minorHAnsi" w:hAnsiTheme="minorHAnsi" w:cstheme="minorHAnsi"/>
        </w:rPr>
      </w:pPr>
    </w:p>
    <w:p w:rsidRPr="00427ABC" w:rsidR="00625516" w:rsidP="000664BE" w:rsidRDefault="00AB0588" w14:paraId="3234908F" w14:textId="3268B569">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r>
      <w:r w:rsidRPr="00427ABC" w:rsidR="00070DAA">
        <w:rPr>
          <w:rFonts w:asciiTheme="minorHAnsi" w:hAnsiTheme="minorHAnsi" w:cstheme="minorHAnsi"/>
        </w:rPr>
        <w:t xml:space="preserve">The information obtained through this collection is unique and is not already available or use or adaption from another source. </w:t>
      </w:r>
      <w:r w:rsidRPr="00427ABC">
        <w:rPr>
          <w:rFonts w:asciiTheme="minorHAnsi" w:hAnsiTheme="minorHAnsi" w:cstheme="minorHAnsi"/>
        </w:rPr>
        <w:t xml:space="preserve"> </w:t>
      </w:r>
    </w:p>
    <w:p w:rsidRPr="00427ABC" w:rsidR="00861516" w:rsidP="000664BE" w:rsidRDefault="00861516" w14:paraId="33B8B4D8" w14:textId="77777777">
      <w:pPr>
        <w:tabs>
          <w:tab w:val="left" w:pos="-1440"/>
          <w:tab w:val="left" w:pos="540"/>
        </w:tabs>
        <w:ind w:left="540" w:hanging="540"/>
        <w:rPr>
          <w:rFonts w:asciiTheme="minorHAnsi" w:hAnsiTheme="minorHAnsi" w:cstheme="minorHAnsi"/>
        </w:rPr>
      </w:pPr>
    </w:p>
    <w:p w:rsidRPr="002D1A9C" w:rsidR="00AB0588" w:rsidP="000664BE" w:rsidRDefault="00AB0588" w14:paraId="4FFE97E3" w14:textId="77777777">
      <w:pPr>
        <w:tabs>
          <w:tab w:val="left" w:pos="-1440"/>
          <w:tab w:val="left" w:pos="540"/>
        </w:tabs>
        <w:ind w:left="540" w:hanging="540"/>
        <w:rPr>
          <w:rFonts w:asciiTheme="minorHAnsi" w:hAnsiTheme="minorHAnsi" w:cstheme="minorHAnsi"/>
          <w:b/>
          <w:bCs/>
          <w:u w:val="single"/>
        </w:rPr>
      </w:pPr>
      <w:r w:rsidRPr="002D1A9C">
        <w:rPr>
          <w:rFonts w:asciiTheme="minorHAnsi" w:hAnsiTheme="minorHAnsi" w:cstheme="minorHAnsi"/>
          <w:b/>
          <w:bCs/>
        </w:rPr>
        <w:t>5.</w:t>
      </w:r>
      <w:r w:rsidRPr="002D1A9C">
        <w:rPr>
          <w:rFonts w:asciiTheme="minorHAnsi" w:hAnsiTheme="minorHAnsi" w:cstheme="minorHAnsi"/>
          <w:b/>
          <w:bCs/>
        </w:rPr>
        <w:tab/>
      </w:r>
      <w:r w:rsidRPr="002D1A9C">
        <w:rPr>
          <w:rFonts w:asciiTheme="minorHAnsi" w:hAnsiTheme="minorHAnsi" w:cstheme="minorHAnsi"/>
          <w:b/>
          <w:bCs/>
          <w:u w:val="single"/>
        </w:rPr>
        <w:t>METHODS TO MINIMIZE BURDEN ON SMALL BUSINESSES OR OTHER</w:t>
      </w:r>
      <w:r w:rsidRPr="002D1A9C" w:rsidR="000664BE">
        <w:rPr>
          <w:rFonts w:asciiTheme="minorHAnsi" w:hAnsiTheme="minorHAnsi" w:cstheme="minorHAnsi"/>
          <w:b/>
          <w:bCs/>
          <w:u w:val="single"/>
        </w:rPr>
        <w:t xml:space="preserve"> </w:t>
      </w:r>
      <w:r w:rsidRPr="002D1A9C">
        <w:rPr>
          <w:rFonts w:asciiTheme="minorHAnsi" w:hAnsiTheme="minorHAnsi" w:cstheme="minorHAnsi"/>
          <w:b/>
          <w:bCs/>
          <w:u w:val="single"/>
        </w:rPr>
        <w:t>SMALL ENTITIES</w:t>
      </w:r>
    </w:p>
    <w:p w:rsidRPr="00427ABC" w:rsidR="00AB0588" w:rsidP="000664BE" w:rsidRDefault="00AB0588" w14:paraId="7515BC00" w14:textId="77777777">
      <w:pPr>
        <w:tabs>
          <w:tab w:val="left" w:pos="540"/>
        </w:tabs>
        <w:ind w:left="540" w:hanging="540"/>
        <w:rPr>
          <w:rFonts w:asciiTheme="minorHAnsi" w:hAnsiTheme="minorHAnsi" w:cstheme="minorHAnsi"/>
        </w:rPr>
      </w:pPr>
    </w:p>
    <w:p w:rsidRPr="00427ABC" w:rsidR="00AB0588" w:rsidP="000664BE" w:rsidRDefault="00AB0588" w14:paraId="5DDA325A" w14:textId="13F08226">
      <w:pPr>
        <w:tabs>
          <w:tab w:val="left" w:pos="-1440"/>
          <w:tab w:val="left" w:pos="540"/>
        </w:tabs>
        <w:ind w:left="540" w:hanging="540"/>
        <w:rPr>
          <w:rFonts w:asciiTheme="minorHAnsi" w:hAnsiTheme="minorHAnsi" w:cstheme="minorHAnsi"/>
        </w:rPr>
      </w:pPr>
      <w:r w:rsidRPr="00427ABC">
        <w:rPr>
          <w:rFonts w:asciiTheme="minorHAnsi" w:hAnsiTheme="minorHAnsi" w:cstheme="minorHAnsi"/>
        </w:rPr>
        <w:t xml:space="preserve"> </w:t>
      </w:r>
      <w:r w:rsidRPr="00427ABC">
        <w:rPr>
          <w:rFonts w:asciiTheme="minorHAnsi" w:hAnsiTheme="minorHAnsi" w:cstheme="minorHAnsi"/>
        </w:rPr>
        <w:tab/>
      </w:r>
      <w:r w:rsidRPr="00427ABC" w:rsidR="00580297">
        <w:rPr>
          <w:rFonts w:asciiTheme="minorHAnsi" w:hAnsiTheme="minorHAnsi" w:cstheme="minorHAnsi"/>
          <w:bCs/>
        </w:rPr>
        <w:t>There is no burden on small businesses or other small entities due to the inapplicability of the authorizing statue to this type of entity.</w:t>
      </w:r>
    </w:p>
    <w:p w:rsidRPr="00427ABC" w:rsidR="00AB0588" w:rsidP="000664BE" w:rsidRDefault="00AB0588" w14:paraId="16CA8555" w14:textId="77777777">
      <w:pPr>
        <w:tabs>
          <w:tab w:val="left" w:pos="540"/>
        </w:tabs>
        <w:ind w:left="540" w:hanging="540"/>
        <w:rPr>
          <w:rFonts w:asciiTheme="minorHAnsi" w:hAnsiTheme="minorHAnsi" w:cstheme="minorHAnsi"/>
        </w:rPr>
      </w:pPr>
    </w:p>
    <w:p w:rsidRPr="002D1A9C" w:rsidR="00AB0588" w:rsidP="000664BE" w:rsidRDefault="00AB0588" w14:paraId="7269D129" w14:textId="77777777">
      <w:pPr>
        <w:tabs>
          <w:tab w:val="left" w:pos="540"/>
        </w:tabs>
        <w:ind w:left="540" w:hanging="540"/>
        <w:rPr>
          <w:rFonts w:asciiTheme="minorHAnsi" w:hAnsiTheme="minorHAnsi" w:cstheme="minorHAnsi"/>
          <w:b/>
          <w:bCs/>
        </w:rPr>
      </w:pPr>
      <w:r w:rsidRPr="002D1A9C">
        <w:rPr>
          <w:rFonts w:asciiTheme="minorHAnsi" w:hAnsiTheme="minorHAnsi" w:cstheme="minorHAnsi"/>
          <w:b/>
          <w:bCs/>
        </w:rPr>
        <w:t>6.</w:t>
      </w:r>
      <w:r w:rsidRPr="002D1A9C">
        <w:rPr>
          <w:rFonts w:asciiTheme="minorHAnsi" w:hAnsiTheme="minorHAnsi" w:cstheme="minorHAnsi"/>
          <w:b/>
          <w:bCs/>
        </w:rPr>
        <w:tab/>
      </w:r>
      <w:r w:rsidRPr="002D1A9C">
        <w:rPr>
          <w:rFonts w:asciiTheme="minorHAnsi" w:hAnsiTheme="minorHAnsi" w:cstheme="minorHAnsi"/>
          <w:b/>
          <w:bCs/>
          <w:u w:val="single"/>
        </w:rPr>
        <w:t>CONSEQUENCES OF LESS FREQUENT COLLECTION ON FEDERAL</w:t>
      </w:r>
      <w:r w:rsidRPr="002D1A9C" w:rsidR="000664BE">
        <w:rPr>
          <w:rFonts w:asciiTheme="minorHAnsi" w:hAnsiTheme="minorHAnsi" w:cstheme="minorHAnsi"/>
          <w:b/>
          <w:bCs/>
          <w:u w:val="single"/>
        </w:rPr>
        <w:t xml:space="preserve"> </w:t>
      </w:r>
      <w:r w:rsidRPr="002D1A9C">
        <w:rPr>
          <w:rFonts w:asciiTheme="minorHAnsi" w:hAnsiTheme="minorHAnsi" w:cstheme="minorHAnsi"/>
          <w:b/>
          <w:bCs/>
          <w:u w:val="single"/>
        </w:rPr>
        <w:t>PROGRAMS OR POLICY ACTIVITIES</w:t>
      </w:r>
    </w:p>
    <w:p w:rsidRPr="00427ABC" w:rsidR="00AB0588" w:rsidP="000664BE" w:rsidRDefault="00AB0588" w14:paraId="608A1671" w14:textId="77777777">
      <w:pPr>
        <w:tabs>
          <w:tab w:val="left" w:pos="540"/>
        </w:tabs>
        <w:ind w:left="540" w:hanging="540"/>
        <w:rPr>
          <w:rFonts w:asciiTheme="minorHAnsi" w:hAnsiTheme="minorHAnsi" w:cstheme="minorHAnsi"/>
        </w:rPr>
      </w:pPr>
    </w:p>
    <w:p w:rsidRPr="00427ABC" w:rsidR="00AB0588" w:rsidP="00D34D7C" w:rsidRDefault="00AB0588" w14:paraId="2C8BD354" w14:textId="59281874">
      <w:pPr>
        <w:widowControl/>
        <w:ind w:left="576" w:hanging="720"/>
        <w:rPr>
          <w:rFonts w:asciiTheme="minorHAnsi" w:hAnsiTheme="minorHAnsi" w:cstheme="minorHAnsi"/>
        </w:rPr>
      </w:pPr>
      <w:r w:rsidRPr="00427ABC">
        <w:rPr>
          <w:rFonts w:asciiTheme="minorHAnsi" w:hAnsiTheme="minorHAnsi" w:cstheme="minorHAnsi"/>
        </w:rPr>
        <w:t xml:space="preserve"> </w:t>
      </w:r>
      <w:r w:rsidRPr="00427ABC" w:rsidR="00580297">
        <w:rPr>
          <w:rFonts w:asciiTheme="minorHAnsi" w:hAnsiTheme="minorHAnsi" w:cstheme="minorHAnsi"/>
        </w:rPr>
        <w:t xml:space="preserve">   </w:t>
      </w:r>
      <w:r w:rsidR="002D1A9C">
        <w:rPr>
          <w:rFonts w:asciiTheme="minorHAnsi" w:hAnsiTheme="minorHAnsi" w:cstheme="minorHAnsi"/>
        </w:rPr>
        <w:tab/>
      </w:r>
      <w:r w:rsidRPr="00427ABC" w:rsidR="00580297">
        <w:rPr>
          <w:rFonts w:asciiTheme="minorHAnsi" w:hAnsiTheme="minorHAnsi" w:cstheme="minorHAnsi"/>
        </w:rPr>
        <w:t xml:space="preserve">Consequences of less frequent collection on federal programs or policy activities, could result in </w:t>
      </w:r>
      <w:r w:rsidRPr="00427ABC" w:rsidR="00DF0A95">
        <w:rPr>
          <w:rFonts w:asciiTheme="minorHAnsi" w:hAnsiTheme="minorHAnsi" w:cstheme="minorHAnsi"/>
        </w:rPr>
        <w:t>taxpa</w:t>
      </w:r>
      <w:r w:rsidRPr="00427ABC" w:rsidR="00966AF9">
        <w:rPr>
          <w:rFonts w:asciiTheme="minorHAnsi" w:hAnsiTheme="minorHAnsi" w:cstheme="minorHAnsi"/>
        </w:rPr>
        <w:t>yers not reporting payments or increases from gift tax on returns or correct amount of tax due; thereby endangering the ability of the IRS to verify that taxpayers are complying with section 2701</w:t>
      </w:r>
      <w:r w:rsidRPr="00427ABC" w:rsidR="00D34D7C">
        <w:rPr>
          <w:rFonts w:asciiTheme="minorHAnsi" w:hAnsiTheme="minorHAnsi" w:cstheme="minorHAnsi"/>
        </w:rPr>
        <w:t xml:space="preserve"> of the code </w:t>
      </w:r>
      <w:proofErr w:type="gramStart"/>
      <w:r w:rsidRPr="00427ABC" w:rsidR="00D34D7C">
        <w:rPr>
          <w:rFonts w:asciiTheme="minorHAnsi" w:hAnsiTheme="minorHAnsi" w:cstheme="minorHAnsi"/>
        </w:rPr>
        <w:t>in order to</w:t>
      </w:r>
      <w:proofErr w:type="gramEnd"/>
      <w:r w:rsidRPr="00427ABC" w:rsidR="00A83B03">
        <w:rPr>
          <w:rFonts w:asciiTheme="minorHAnsi" w:hAnsiTheme="minorHAnsi" w:cstheme="minorHAnsi"/>
        </w:rPr>
        <w:t xml:space="preserve"> </w:t>
      </w:r>
      <w:r w:rsidRPr="00427ABC" w:rsidR="00D34D7C">
        <w:rPr>
          <w:rFonts w:asciiTheme="minorHAnsi" w:hAnsiTheme="minorHAnsi" w:cstheme="minorHAnsi"/>
        </w:rPr>
        <w:t xml:space="preserve">make timely and accurate assessments. </w:t>
      </w:r>
      <w:r w:rsidRPr="00427ABC" w:rsidR="00895197">
        <w:rPr>
          <w:rFonts w:asciiTheme="minorHAnsi" w:hAnsiTheme="minorHAnsi" w:cstheme="minorHAnsi"/>
        </w:rPr>
        <w:t xml:space="preserve"> </w:t>
      </w:r>
    </w:p>
    <w:p w:rsidRPr="00427ABC" w:rsidR="00D34D7C" w:rsidP="00D34D7C" w:rsidRDefault="00D34D7C" w14:paraId="0B371509" w14:textId="77777777">
      <w:pPr>
        <w:widowControl/>
        <w:ind w:left="576" w:hanging="720"/>
        <w:rPr>
          <w:rFonts w:asciiTheme="minorHAnsi" w:hAnsiTheme="minorHAnsi" w:cstheme="minorHAnsi"/>
        </w:rPr>
      </w:pPr>
    </w:p>
    <w:p w:rsidRPr="002D1A9C" w:rsidR="00AB0588" w:rsidP="000664BE" w:rsidRDefault="00AB0588" w14:paraId="5B2EB3BD" w14:textId="63312485">
      <w:pPr>
        <w:tabs>
          <w:tab w:val="left" w:pos="-1440"/>
          <w:tab w:val="left" w:pos="540"/>
        </w:tabs>
        <w:ind w:left="540" w:hanging="540"/>
        <w:rPr>
          <w:rFonts w:asciiTheme="minorHAnsi" w:hAnsiTheme="minorHAnsi" w:cstheme="minorHAnsi"/>
          <w:b/>
          <w:bCs/>
        </w:rPr>
      </w:pPr>
      <w:r w:rsidRPr="002D1A9C">
        <w:rPr>
          <w:rFonts w:asciiTheme="minorHAnsi" w:hAnsiTheme="minorHAnsi" w:cstheme="minorHAnsi"/>
          <w:b/>
          <w:bCs/>
        </w:rPr>
        <w:t>7.</w:t>
      </w:r>
      <w:r w:rsidRPr="002D1A9C">
        <w:rPr>
          <w:rFonts w:asciiTheme="minorHAnsi" w:hAnsiTheme="minorHAnsi" w:cstheme="minorHAnsi"/>
          <w:b/>
          <w:bCs/>
        </w:rPr>
        <w:tab/>
      </w:r>
      <w:r w:rsidRPr="002D1A9C">
        <w:rPr>
          <w:rFonts w:asciiTheme="minorHAnsi" w:hAnsiTheme="minorHAnsi" w:cstheme="minorHAnsi"/>
          <w:b/>
          <w:bCs/>
          <w:u w:val="single"/>
        </w:rPr>
        <w:t>SPECIAL CIRCUMSTANCES REQUIRING DATA COLLECTION TO BE</w:t>
      </w:r>
      <w:r w:rsidRPr="002D1A9C" w:rsidR="000664BE">
        <w:rPr>
          <w:rFonts w:asciiTheme="minorHAnsi" w:hAnsiTheme="minorHAnsi" w:cstheme="minorHAnsi"/>
          <w:b/>
          <w:bCs/>
          <w:u w:val="single"/>
        </w:rPr>
        <w:t xml:space="preserve"> </w:t>
      </w:r>
      <w:r w:rsidRPr="002D1A9C">
        <w:rPr>
          <w:rFonts w:asciiTheme="minorHAnsi" w:hAnsiTheme="minorHAnsi" w:cstheme="minorHAnsi"/>
          <w:b/>
          <w:bCs/>
          <w:u w:val="single"/>
        </w:rPr>
        <w:t>INCONSISTENT WITH GUIDELINES IN 5 CFR 1320.5(d)(2)</w:t>
      </w:r>
      <w:r w:rsidRPr="002D1A9C" w:rsidR="002D1A9C">
        <w:rPr>
          <w:rFonts w:asciiTheme="minorHAnsi" w:hAnsiTheme="minorHAnsi" w:cstheme="minorHAnsi"/>
          <w:b/>
          <w:bCs/>
        </w:rPr>
        <w:tab/>
      </w:r>
    </w:p>
    <w:p w:rsidRPr="00427ABC" w:rsidR="00AB0588" w:rsidP="000664BE" w:rsidRDefault="00AB0588" w14:paraId="29B23FB7" w14:textId="77777777">
      <w:pPr>
        <w:tabs>
          <w:tab w:val="left" w:pos="540"/>
        </w:tabs>
        <w:ind w:left="540" w:hanging="540"/>
        <w:rPr>
          <w:rFonts w:asciiTheme="minorHAnsi" w:hAnsiTheme="minorHAnsi" w:cstheme="minorHAnsi"/>
        </w:rPr>
      </w:pPr>
    </w:p>
    <w:p w:rsidRPr="00427ABC" w:rsidR="00B85E1D" w:rsidP="00861516" w:rsidRDefault="00861516" w14:paraId="0537547C" w14:textId="5DDF75F8">
      <w:pPr>
        <w:widowControl/>
        <w:rPr>
          <w:rFonts w:asciiTheme="minorHAnsi" w:hAnsiTheme="minorHAnsi" w:cstheme="minorHAnsi"/>
        </w:rPr>
      </w:pPr>
      <w:r w:rsidRPr="00427ABC">
        <w:rPr>
          <w:rFonts w:asciiTheme="minorHAnsi" w:hAnsiTheme="minorHAnsi" w:cstheme="minorHAnsi"/>
        </w:rPr>
        <w:t xml:space="preserve">    </w:t>
      </w:r>
      <w:r w:rsidR="002D1A9C">
        <w:rPr>
          <w:rFonts w:asciiTheme="minorHAnsi" w:hAnsiTheme="minorHAnsi" w:cstheme="minorHAnsi"/>
        </w:rPr>
        <w:tab/>
      </w:r>
      <w:r w:rsidRPr="00427ABC" w:rsidR="00E25F9C">
        <w:rPr>
          <w:rFonts w:asciiTheme="minorHAnsi" w:hAnsiTheme="minorHAnsi" w:cstheme="minorHAnsi"/>
        </w:rPr>
        <w:t>There are no special circumstances reporting data collection</w:t>
      </w:r>
    </w:p>
    <w:p w:rsidRPr="00427ABC" w:rsidR="00E25F9C" w:rsidP="00861516" w:rsidRDefault="00E25F9C" w14:paraId="36431218" w14:textId="60BD8F59">
      <w:pPr>
        <w:widowControl/>
        <w:rPr>
          <w:rFonts w:asciiTheme="minorHAnsi" w:hAnsiTheme="minorHAnsi" w:cstheme="minorHAnsi"/>
        </w:rPr>
      </w:pPr>
      <w:r w:rsidRPr="00427ABC">
        <w:rPr>
          <w:rFonts w:asciiTheme="minorHAnsi" w:hAnsiTheme="minorHAnsi" w:cstheme="minorHAnsi"/>
        </w:rPr>
        <w:t xml:space="preserve"> </w:t>
      </w:r>
      <w:r w:rsidRPr="00427ABC" w:rsidR="00580297">
        <w:rPr>
          <w:rFonts w:asciiTheme="minorHAnsi" w:hAnsiTheme="minorHAnsi" w:cstheme="minorHAnsi"/>
        </w:rPr>
        <w:t xml:space="preserve">  </w:t>
      </w:r>
      <w:r w:rsidRPr="00427ABC" w:rsidR="00B85E1D">
        <w:rPr>
          <w:rFonts w:asciiTheme="minorHAnsi" w:hAnsiTheme="minorHAnsi" w:cstheme="minorHAnsi"/>
        </w:rPr>
        <w:t xml:space="preserve"> </w:t>
      </w:r>
      <w:r w:rsidR="002D1A9C">
        <w:rPr>
          <w:rFonts w:asciiTheme="minorHAnsi" w:hAnsiTheme="minorHAnsi" w:cstheme="minorHAnsi"/>
        </w:rPr>
        <w:tab/>
      </w:r>
      <w:r w:rsidRPr="00427ABC">
        <w:rPr>
          <w:rFonts w:asciiTheme="minorHAnsi" w:hAnsiTheme="minorHAnsi" w:cstheme="minorHAnsi"/>
        </w:rPr>
        <w:t>to be inconsistent with Guidelines in 5 CFR 1320.5(d)(2).</w:t>
      </w:r>
    </w:p>
    <w:p w:rsidRPr="00427ABC" w:rsidR="00E25F9C" w:rsidP="00E25F9C" w:rsidRDefault="00E25F9C" w14:paraId="4619E88D" w14:textId="77777777">
      <w:pPr>
        <w:widowControl/>
        <w:rPr>
          <w:rFonts w:asciiTheme="minorHAnsi" w:hAnsiTheme="minorHAnsi" w:cstheme="minorHAnsi"/>
        </w:rPr>
      </w:pPr>
    </w:p>
    <w:p w:rsidRPr="002D1A9C" w:rsidR="00AB0588" w:rsidP="000664BE" w:rsidRDefault="00AB0588" w14:paraId="6AFB4E26" w14:textId="77777777">
      <w:pPr>
        <w:tabs>
          <w:tab w:val="left" w:pos="-1440"/>
          <w:tab w:val="left" w:pos="540"/>
        </w:tabs>
        <w:ind w:left="540" w:hanging="540"/>
        <w:rPr>
          <w:rFonts w:asciiTheme="minorHAnsi" w:hAnsiTheme="minorHAnsi" w:cstheme="minorHAnsi"/>
          <w:b/>
          <w:bCs/>
        </w:rPr>
      </w:pPr>
      <w:r w:rsidRPr="002D1A9C">
        <w:rPr>
          <w:rFonts w:asciiTheme="minorHAnsi" w:hAnsiTheme="minorHAnsi" w:cstheme="minorHAnsi"/>
          <w:b/>
          <w:bCs/>
        </w:rPr>
        <w:t>8.</w:t>
      </w:r>
      <w:r w:rsidRPr="002D1A9C">
        <w:rPr>
          <w:rFonts w:asciiTheme="minorHAnsi" w:hAnsiTheme="minorHAnsi" w:cstheme="minorHAnsi"/>
          <w:b/>
          <w:bCs/>
        </w:rPr>
        <w:tab/>
      </w:r>
      <w:r w:rsidRPr="002D1A9C">
        <w:rPr>
          <w:rFonts w:asciiTheme="minorHAnsi" w:hAnsiTheme="minorHAnsi" w:cstheme="minorHAnsi"/>
          <w:b/>
          <w:bCs/>
          <w:u w:val="single"/>
        </w:rPr>
        <w:t>CONSULTATION WITH INDIVIDUALS OUTSIDE OF THE AGENCY ON</w:t>
      </w:r>
      <w:r w:rsidRPr="002D1A9C" w:rsidR="000664BE">
        <w:rPr>
          <w:rFonts w:asciiTheme="minorHAnsi" w:hAnsiTheme="minorHAnsi" w:cstheme="minorHAnsi"/>
          <w:b/>
          <w:bCs/>
          <w:u w:val="single"/>
        </w:rPr>
        <w:t xml:space="preserve"> </w:t>
      </w:r>
      <w:r w:rsidRPr="002D1A9C">
        <w:rPr>
          <w:rFonts w:asciiTheme="minorHAnsi" w:hAnsiTheme="minorHAnsi" w:cstheme="minorHAnsi"/>
          <w:b/>
          <w:bCs/>
          <w:u w:val="single"/>
        </w:rPr>
        <w:t>AVAILABILITY OF DATA, FREQUENCY OF COLLECTION, CLARITY</w:t>
      </w:r>
      <w:r w:rsidRPr="002D1A9C" w:rsidR="000664BE">
        <w:rPr>
          <w:rFonts w:asciiTheme="minorHAnsi" w:hAnsiTheme="minorHAnsi" w:cstheme="minorHAnsi"/>
          <w:b/>
          <w:bCs/>
          <w:u w:val="single"/>
        </w:rPr>
        <w:t xml:space="preserve"> </w:t>
      </w:r>
      <w:r w:rsidRPr="002D1A9C">
        <w:rPr>
          <w:rFonts w:asciiTheme="minorHAnsi" w:hAnsiTheme="minorHAnsi" w:cstheme="minorHAnsi"/>
          <w:b/>
          <w:bCs/>
          <w:u w:val="single"/>
        </w:rPr>
        <w:t>OF INSTRUCTIONS AND FORMS, AND DATA ELEMENTS</w:t>
      </w:r>
    </w:p>
    <w:p w:rsidRPr="00427ABC" w:rsidR="00AB0588" w:rsidP="000664BE" w:rsidRDefault="00AB0588" w14:paraId="45F1FB58" w14:textId="77777777">
      <w:pPr>
        <w:tabs>
          <w:tab w:val="left" w:pos="540"/>
        </w:tabs>
        <w:ind w:left="540" w:hanging="540"/>
        <w:rPr>
          <w:rFonts w:asciiTheme="minorHAnsi" w:hAnsiTheme="minorHAnsi" w:cstheme="minorHAnsi"/>
        </w:rPr>
      </w:pPr>
    </w:p>
    <w:p w:rsidRPr="00427ABC" w:rsidR="00AB0588" w:rsidP="000664BE" w:rsidRDefault="00AB0588" w14:paraId="6F443C67" w14:textId="0AEDD23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r>
      <w:r w:rsidRPr="00427ABC" w:rsidR="00625516">
        <w:rPr>
          <w:rFonts w:asciiTheme="minorHAnsi" w:hAnsiTheme="minorHAnsi" w:cstheme="minorHAnsi"/>
        </w:rPr>
        <w:t xml:space="preserve">In response to the </w:t>
      </w:r>
      <w:bookmarkStart w:name="OLE_LINK1" w:id="0"/>
      <w:bookmarkStart w:name="OLE_LINK2" w:id="1"/>
      <w:r w:rsidRPr="00427ABC" w:rsidR="00625516">
        <w:rPr>
          <w:rFonts w:asciiTheme="minorHAnsi" w:hAnsiTheme="minorHAnsi" w:cstheme="minorHAnsi"/>
          <w:iCs/>
        </w:rPr>
        <w:t>Federal Register</w:t>
      </w:r>
      <w:r w:rsidRPr="00427ABC" w:rsidR="00625516">
        <w:rPr>
          <w:rFonts w:asciiTheme="minorHAnsi" w:hAnsiTheme="minorHAnsi" w:cstheme="minorHAnsi"/>
        </w:rPr>
        <w:t xml:space="preserve"> </w:t>
      </w:r>
      <w:r w:rsidRPr="00427ABC" w:rsidR="00861516">
        <w:rPr>
          <w:rFonts w:asciiTheme="minorHAnsi" w:hAnsiTheme="minorHAnsi" w:cstheme="minorHAnsi"/>
        </w:rPr>
        <w:t>n</w:t>
      </w:r>
      <w:r w:rsidRPr="00427ABC" w:rsidR="00625516">
        <w:rPr>
          <w:rFonts w:asciiTheme="minorHAnsi" w:hAnsiTheme="minorHAnsi" w:cstheme="minorHAnsi"/>
        </w:rPr>
        <w:t xml:space="preserve">otice dated </w:t>
      </w:r>
      <w:bookmarkEnd w:id="0"/>
      <w:bookmarkEnd w:id="1"/>
      <w:r w:rsidRPr="00427ABC" w:rsidR="00F17F27">
        <w:rPr>
          <w:rFonts w:asciiTheme="minorHAnsi" w:hAnsiTheme="minorHAnsi" w:cstheme="minorHAnsi"/>
        </w:rPr>
        <w:t>July 26, 2021</w:t>
      </w:r>
      <w:r w:rsidRPr="00427ABC" w:rsidR="00953F76">
        <w:rPr>
          <w:rFonts w:asciiTheme="minorHAnsi" w:hAnsiTheme="minorHAnsi" w:cstheme="minorHAnsi"/>
          <w:b/>
        </w:rPr>
        <w:t xml:space="preserve"> </w:t>
      </w:r>
      <w:r w:rsidRPr="00427ABC" w:rsidR="00953F76">
        <w:rPr>
          <w:rFonts w:asciiTheme="minorHAnsi" w:hAnsiTheme="minorHAnsi" w:cstheme="minorHAnsi"/>
        </w:rPr>
        <w:t>(</w:t>
      </w:r>
      <w:r w:rsidRPr="00427ABC" w:rsidR="00861516">
        <w:rPr>
          <w:rFonts w:asciiTheme="minorHAnsi" w:hAnsiTheme="minorHAnsi" w:cstheme="minorHAnsi"/>
        </w:rPr>
        <w:t>8</w:t>
      </w:r>
      <w:r w:rsidRPr="00427ABC" w:rsidR="00F17F27">
        <w:rPr>
          <w:rFonts w:asciiTheme="minorHAnsi" w:hAnsiTheme="minorHAnsi" w:cstheme="minorHAnsi"/>
        </w:rPr>
        <w:t>6</w:t>
      </w:r>
      <w:r w:rsidRPr="00427ABC" w:rsidR="005D5756">
        <w:rPr>
          <w:rFonts w:asciiTheme="minorHAnsi" w:hAnsiTheme="minorHAnsi" w:cstheme="minorHAnsi"/>
        </w:rPr>
        <w:t xml:space="preserve"> </w:t>
      </w:r>
      <w:r w:rsidRPr="00427ABC" w:rsidR="0071627E">
        <w:rPr>
          <w:rFonts w:asciiTheme="minorHAnsi" w:hAnsiTheme="minorHAnsi" w:cstheme="minorHAnsi"/>
        </w:rPr>
        <w:t xml:space="preserve">FR </w:t>
      </w:r>
      <w:r w:rsidRPr="00427ABC" w:rsidR="00F17F27">
        <w:rPr>
          <w:rFonts w:asciiTheme="minorHAnsi" w:hAnsiTheme="minorHAnsi" w:cstheme="minorHAnsi"/>
        </w:rPr>
        <w:t>40138</w:t>
      </w:r>
      <w:r w:rsidRPr="00427ABC" w:rsidR="0071627E">
        <w:rPr>
          <w:rFonts w:asciiTheme="minorHAnsi" w:hAnsiTheme="minorHAnsi" w:cstheme="minorHAnsi"/>
        </w:rPr>
        <w:t>)</w:t>
      </w:r>
      <w:r w:rsidRPr="00427ABC" w:rsidR="00625516">
        <w:rPr>
          <w:rFonts w:asciiTheme="minorHAnsi" w:hAnsiTheme="minorHAnsi" w:cstheme="minorHAnsi"/>
        </w:rPr>
        <w:t xml:space="preserve">, </w:t>
      </w:r>
      <w:r w:rsidRPr="00427ABC" w:rsidR="004868A3">
        <w:rPr>
          <w:rFonts w:asciiTheme="minorHAnsi" w:hAnsiTheme="minorHAnsi" w:cstheme="minorHAnsi"/>
        </w:rPr>
        <w:t>IRS</w:t>
      </w:r>
      <w:r w:rsidRPr="00427ABC" w:rsidR="00625516">
        <w:rPr>
          <w:rFonts w:asciiTheme="minorHAnsi" w:hAnsiTheme="minorHAnsi" w:cstheme="minorHAnsi"/>
        </w:rPr>
        <w:t xml:space="preserve"> received no comments during the comment period regarding </w:t>
      </w:r>
      <w:r w:rsidRPr="00427ABC" w:rsidR="0071627E">
        <w:rPr>
          <w:rFonts w:asciiTheme="minorHAnsi" w:hAnsiTheme="minorHAnsi" w:cstheme="minorHAnsi"/>
        </w:rPr>
        <w:t>TD 8395</w:t>
      </w:r>
      <w:r w:rsidRPr="00427ABC" w:rsidR="00625516">
        <w:rPr>
          <w:rFonts w:asciiTheme="minorHAnsi" w:hAnsiTheme="minorHAnsi" w:cstheme="minorHAnsi"/>
        </w:rPr>
        <w:t>.</w:t>
      </w:r>
    </w:p>
    <w:p w:rsidRPr="00427ABC" w:rsidR="00AB0588" w:rsidP="000664BE" w:rsidRDefault="00AB0588" w14:paraId="27CE28AA" w14:textId="77777777">
      <w:pPr>
        <w:tabs>
          <w:tab w:val="left" w:pos="540"/>
          <w:tab w:val="center" w:pos="4680"/>
        </w:tabs>
        <w:ind w:left="540" w:hanging="540"/>
        <w:rPr>
          <w:rFonts w:asciiTheme="minorHAnsi" w:hAnsiTheme="minorHAnsi" w:cstheme="minorHAnsi"/>
        </w:rPr>
      </w:pPr>
    </w:p>
    <w:p w:rsidRPr="002D1A9C" w:rsidR="00AB0588" w:rsidP="000664BE" w:rsidRDefault="00AB0588" w14:paraId="2AFAD54E" w14:textId="77777777">
      <w:pPr>
        <w:tabs>
          <w:tab w:val="left" w:pos="-1440"/>
          <w:tab w:val="left" w:pos="540"/>
        </w:tabs>
        <w:ind w:left="540" w:hanging="540"/>
        <w:rPr>
          <w:rFonts w:asciiTheme="minorHAnsi" w:hAnsiTheme="minorHAnsi" w:cstheme="minorHAnsi"/>
          <w:b/>
          <w:bCs/>
        </w:rPr>
      </w:pPr>
      <w:r w:rsidRPr="002D1A9C">
        <w:rPr>
          <w:rFonts w:asciiTheme="minorHAnsi" w:hAnsiTheme="minorHAnsi" w:cstheme="minorHAnsi"/>
          <w:b/>
          <w:bCs/>
        </w:rPr>
        <w:t>9.</w:t>
      </w:r>
      <w:r w:rsidRPr="002D1A9C">
        <w:rPr>
          <w:rFonts w:asciiTheme="minorHAnsi" w:hAnsiTheme="minorHAnsi" w:cstheme="minorHAnsi"/>
          <w:b/>
          <w:bCs/>
        </w:rPr>
        <w:tab/>
      </w:r>
      <w:r w:rsidRPr="002D1A9C">
        <w:rPr>
          <w:rFonts w:asciiTheme="minorHAnsi" w:hAnsiTheme="minorHAnsi" w:cstheme="minorHAnsi"/>
          <w:b/>
          <w:bCs/>
          <w:u w:val="single"/>
        </w:rPr>
        <w:t>EXPLANATION OF DECISION TO PROVIDE ANY PAYMENT OR GIFT TO</w:t>
      </w:r>
      <w:r w:rsidRPr="002D1A9C" w:rsidR="000664BE">
        <w:rPr>
          <w:rFonts w:asciiTheme="minorHAnsi" w:hAnsiTheme="minorHAnsi" w:cstheme="minorHAnsi"/>
          <w:b/>
          <w:bCs/>
          <w:u w:val="single"/>
        </w:rPr>
        <w:t xml:space="preserve"> </w:t>
      </w:r>
      <w:r w:rsidRPr="002D1A9C">
        <w:rPr>
          <w:rFonts w:asciiTheme="minorHAnsi" w:hAnsiTheme="minorHAnsi" w:cstheme="minorHAnsi"/>
          <w:b/>
          <w:bCs/>
          <w:u w:val="single"/>
        </w:rPr>
        <w:t>RESPONDENTS</w:t>
      </w:r>
    </w:p>
    <w:p w:rsidRPr="00427ABC" w:rsidR="00AB0588" w:rsidP="000664BE" w:rsidRDefault="00AB0588" w14:paraId="73D5D91D" w14:textId="77777777">
      <w:pPr>
        <w:tabs>
          <w:tab w:val="left" w:pos="540"/>
        </w:tabs>
        <w:ind w:left="540" w:hanging="540"/>
        <w:rPr>
          <w:rFonts w:asciiTheme="minorHAnsi" w:hAnsiTheme="minorHAnsi" w:cstheme="minorHAnsi"/>
        </w:rPr>
      </w:pPr>
    </w:p>
    <w:p w:rsidRPr="00427ABC" w:rsidR="00AB0588" w:rsidP="000664BE" w:rsidRDefault="000664BE" w14:paraId="6DF72E2F" w14:textId="77777777">
      <w:pPr>
        <w:tabs>
          <w:tab w:val="left" w:pos="540"/>
        </w:tabs>
        <w:ind w:left="540" w:hanging="540"/>
        <w:rPr>
          <w:rFonts w:asciiTheme="minorHAnsi" w:hAnsiTheme="minorHAnsi" w:cstheme="minorHAnsi"/>
        </w:rPr>
      </w:pPr>
      <w:r w:rsidRPr="00427ABC">
        <w:rPr>
          <w:rFonts w:asciiTheme="minorHAnsi" w:hAnsiTheme="minorHAnsi" w:cstheme="minorHAnsi"/>
        </w:rPr>
        <w:tab/>
      </w:r>
      <w:r w:rsidRPr="00427ABC" w:rsidR="00E25F9C">
        <w:rPr>
          <w:rFonts w:asciiTheme="minorHAnsi" w:hAnsiTheme="minorHAnsi" w:cstheme="minorHAnsi"/>
        </w:rPr>
        <w:t>No payment or gift has been provided to any respondents.</w:t>
      </w:r>
    </w:p>
    <w:p w:rsidRPr="00427ABC" w:rsidR="00AB0588" w:rsidP="000664BE" w:rsidRDefault="00AB0588" w14:paraId="3EB3BCA2" w14:textId="77777777">
      <w:pPr>
        <w:tabs>
          <w:tab w:val="left" w:pos="540"/>
        </w:tabs>
        <w:ind w:left="540" w:hanging="540"/>
        <w:rPr>
          <w:rFonts w:asciiTheme="minorHAnsi" w:hAnsiTheme="minorHAnsi" w:cstheme="minorHAnsi"/>
        </w:rPr>
      </w:pPr>
    </w:p>
    <w:p w:rsidRPr="002D1A9C" w:rsidR="00AB0588" w:rsidP="000664BE" w:rsidRDefault="00AB0588" w14:paraId="10585A90" w14:textId="77777777">
      <w:pPr>
        <w:tabs>
          <w:tab w:val="left" w:pos="-1440"/>
          <w:tab w:val="left" w:pos="540"/>
        </w:tabs>
        <w:ind w:left="540" w:hanging="540"/>
        <w:rPr>
          <w:rFonts w:asciiTheme="minorHAnsi" w:hAnsiTheme="minorHAnsi" w:cstheme="minorHAnsi"/>
          <w:b/>
          <w:bCs/>
        </w:rPr>
      </w:pPr>
      <w:r w:rsidRPr="002D1A9C">
        <w:rPr>
          <w:rFonts w:asciiTheme="minorHAnsi" w:hAnsiTheme="minorHAnsi" w:cstheme="minorHAnsi"/>
          <w:b/>
          <w:bCs/>
        </w:rPr>
        <w:t>10.</w:t>
      </w:r>
      <w:r w:rsidRPr="002D1A9C">
        <w:rPr>
          <w:rFonts w:asciiTheme="minorHAnsi" w:hAnsiTheme="minorHAnsi" w:cstheme="minorHAnsi"/>
          <w:b/>
          <w:bCs/>
        </w:rPr>
        <w:tab/>
      </w:r>
      <w:r w:rsidRPr="002D1A9C">
        <w:rPr>
          <w:rFonts w:asciiTheme="minorHAnsi" w:hAnsiTheme="minorHAnsi" w:cstheme="minorHAnsi"/>
          <w:b/>
          <w:bCs/>
          <w:u w:val="single"/>
        </w:rPr>
        <w:t>ASSURANCE OF CONFIDENTIALITY OF RESPONSES</w:t>
      </w:r>
    </w:p>
    <w:p w:rsidRPr="00427ABC" w:rsidR="00AB0588" w:rsidP="000664BE" w:rsidRDefault="00AB0588" w14:paraId="2896F345" w14:textId="77777777">
      <w:pPr>
        <w:tabs>
          <w:tab w:val="left" w:pos="540"/>
        </w:tabs>
        <w:ind w:left="540" w:hanging="540"/>
        <w:rPr>
          <w:rFonts w:asciiTheme="minorHAnsi" w:hAnsiTheme="minorHAnsi" w:cstheme="minorHAnsi"/>
        </w:rPr>
      </w:pPr>
    </w:p>
    <w:p w:rsidR="00AB0588" w:rsidP="000664BE" w:rsidRDefault="000664BE" w14:paraId="41FF774E" w14:textId="0BE1F59D">
      <w:pPr>
        <w:tabs>
          <w:tab w:val="left" w:pos="540"/>
        </w:tabs>
        <w:ind w:left="540" w:hanging="540"/>
        <w:rPr>
          <w:rFonts w:asciiTheme="minorHAnsi" w:hAnsiTheme="minorHAnsi" w:cstheme="minorHAnsi"/>
        </w:rPr>
      </w:pPr>
      <w:r w:rsidRPr="00427ABC">
        <w:rPr>
          <w:rFonts w:asciiTheme="minorHAnsi" w:hAnsiTheme="minorHAnsi" w:cstheme="minorHAnsi"/>
        </w:rPr>
        <w:tab/>
      </w:r>
      <w:r w:rsidRPr="00427ABC" w:rsidR="00AB0588">
        <w:rPr>
          <w:rFonts w:asciiTheme="minorHAnsi" w:hAnsiTheme="minorHAnsi" w:cstheme="minorHAnsi"/>
        </w:rPr>
        <w:t>Generally, tax returns and tax return information are confidential as required by 26 USC 6103.</w:t>
      </w:r>
    </w:p>
    <w:p w:rsidR="002D1A9C" w:rsidP="000664BE" w:rsidRDefault="002D1A9C" w14:paraId="76985116" w14:textId="4C6BBD04">
      <w:pPr>
        <w:tabs>
          <w:tab w:val="left" w:pos="540"/>
        </w:tabs>
        <w:ind w:left="540" w:hanging="540"/>
        <w:rPr>
          <w:rFonts w:asciiTheme="minorHAnsi" w:hAnsiTheme="minorHAnsi" w:cstheme="minorHAnsi"/>
        </w:rPr>
      </w:pPr>
    </w:p>
    <w:p w:rsidR="002D1A9C" w:rsidP="000664BE" w:rsidRDefault="002D1A9C" w14:paraId="5C3F1E64" w14:textId="7C7DB74B">
      <w:pPr>
        <w:tabs>
          <w:tab w:val="left" w:pos="540"/>
        </w:tabs>
        <w:ind w:left="540" w:hanging="540"/>
        <w:rPr>
          <w:rFonts w:asciiTheme="minorHAnsi" w:hAnsiTheme="minorHAnsi" w:cstheme="minorHAnsi"/>
        </w:rPr>
      </w:pPr>
    </w:p>
    <w:p w:rsidRPr="00427ABC" w:rsidR="002D1A9C" w:rsidP="000664BE" w:rsidRDefault="002D1A9C" w14:paraId="7DEDB7B2" w14:textId="77777777">
      <w:pPr>
        <w:tabs>
          <w:tab w:val="left" w:pos="540"/>
        </w:tabs>
        <w:ind w:left="540" w:hanging="540"/>
        <w:rPr>
          <w:rFonts w:asciiTheme="minorHAnsi" w:hAnsiTheme="minorHAnsi" w:cstheme="minorHAnsi"/>
        </w:rPr>
      </w:pPr>
    </w:p>
    <w:p w:rsidRPr="00427ABC" w:rsidR="00AB0588" w:rsidP="000664BE" w:rsidRDefault="00AB0588" w14:paraId="0090D1FE" w14:textId="77777777">
      <w:pPr>
        <w:tabs>
          <w:tab w:val="left" w:pos="540"/>
        </w:tabs>
        <w:ind w:left="540" w:hanging="540"/>
        <w:rPr>
          <w:rFonts w:asciiTheme="minorHAnsi" w:hAnsiTheme="minorHAnsi" w:cstheme="minorHAnsi"/>
        </w:rPr>
      </w:pPr>
    </w:p>
    <w:p w:rsidRPr="002D1A9C" w:rsidR="00AB0588" w:rsidP="000664BE" w:rsidRDefault="00AB0588" w14:paraId="4ED4AAE7" w14:textId="22417CB2">
      <w:pPr>
        <w:tabs>
          <w:tab w:val="left" w:pos="-1440"/>
          <w:tab w:val="left" w:pos="540"/>
        </w:tabs>
        <w:ind w:left="540" w:hanging="540"/>
        <w:rPr>
          <w:rFonts w:asciiTheme="minorHAnsi" w:hAnsiTheme="minorHAnsi" w:cstheme="minorHAnsi"/>
          <w:b/>
          <w:bCs/>
        </w:rPr>
      </w:pPr>
      <w:r w:rsidRPr="002D1A9C">
        <w:rPr>
          <w:rFonts w:asciiTheme="minorHAnsi" w:hAnsiTheme="minorHAnsi" w:cstheme="minorHAnsi"/>
          <w:b/>
          <w:bCs/>
        </w:rPr>
        <w:lastRenderedPageBreak/>
        <w:t>11.</w:t>
      </w:r>
      <w:r w:rsidRPr="002D1A9C">
        <w:rPr>
          <w:rFonts w:asciiTheme="minorHAnsi" w:hAnsiTheme="minorHAnsi" w:cstheme="minorHAnsi"/>
          <w:b/>
          <w:bCs/>
        </w:rPr>
        <w:tab/>
      </w:r>
      <w:r w:rsidRPr="002D1A9C">
        <w:rPr>
          <w:rFonts w:asciiTheme="minorHAnsi" w:hAnsiTheme="minorHAnsi" w:cstheme="minorHAnsi"/>
          <w:b/>
          <w:bCs/>
          <w:u w:val="single"/>
        </w:rPr>
        <w:t>JUSTIFICATION OF SENSITIVE QUESTIONS</w:t>
      </w:r>
    </w:p>
    <w:p w:rsidRPr="00427ABC" w:rsidR="00AB0588" w:rsidP="000664BE" w:rsidRDefault="00AB0588" w14:paraId="4FAD5183" w14:textId="77777777">
      <w:pPr>
        <w:tabs>
          <w:tab w:val="left" w:pos="540"/>
        </w:tabs>
        <w:ind w:left="540" w:hanging="540"/>
        <w:rPr>
          <w:rFonts w:asciiTheme="minorHAnsi" w:hAnsiTheme="minorHAnsi" w:cstheme="minorHAnsi"/>
        </w:rPr>
      </w:pPr>
    </w:p>
    <w:p w:rsidRPr="002D1A9C" w:rsidR="002D1A9C" w:rsidP="002D1A9C" w:rsidRDefault="002D1A9C" w14:paraId="22245B81" w14:textId="7D8D5ECB">
      <w:pPr>
        <w:tabs>
          <w:tab w:val="left" w:pos="-1440"/>
          <w:tab w:val="left" w:pos="540"/>
        </w:tabs>
        <w:ind w:left="540"/>
        <w:rPr>
          <w:rFonts w:asciiTheme="minorHAnsi" w:hAnsiTheme="minorHAnsi" w:cstheme="minorHAnsi"/>
        </w:rPr>
      </w:pPr>
      <w:bookmarkStart w:name="_Hlk79162640" w:id="2"/>
      <w:bookmarkStart w:name="_Hlk70362291" w:id="3"/>
      <w:r>
        <w:rPr>
          <w:rFonts w:asciiTheme="minorHAnsi" w:hAnsiTheme="minorHAnsi" w:cstheme="minorHAnsi"/>
        </w:rPr>
        <w:tab/>
      </w:r>
      <w:r w:rsidRPr="002D1A9C">
        <w:rPr>
          <w:rFonts w:asciiTheme="minorHAnsi" w:hAnsiTheme="minorHAnsi" w:cstheme="minorHAnsi"/>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2D1A9C">
          <w:rPr>
            <w:rStyle w:val="Hyperlink"/>
            <w:rFonts w:asciiTheme="minorHAnsi" w:hAnsiTheme="minorHAnsi" w:cstheme="minorHAnsi"/>
          </w:rPr>
          <w:t>https://www.irs.gov/uac/Privacy-Impact-Assessments-PIA</w:t>
        </w:r>
      </w:hyperlink>
      <w:r w:rsidRPr="002D1A9C">
        <w:rPr>
          <w:rFonts w:asciiTheme="minorHAnsi" w:hAnsiTheme="minorHAnsi" w:cstheme="minorHAnsi"/>
        </w:rPr>
        <w:t>.</w:t>
      </w:r>
    </w:p>
    <w:bookmarkEnd w:id="2"/>
    <w:p w:rsidRPr="002D1A9C" w:rsidR="002D1A9C" w:rsidP="002D1A9C" w:rsidRDefault="002D1A9C" w14:paraId="67D73323" w14:textId="77777777">
      <w:pPr>
        <w:tabs>
          <w:tab w:val="left" w:pos="-1440"/>
          <w:tab w:val="left" w:pos="540"/>
        </w:tabs>
        <w:rPr>
          <w:rFonts w:asciiTheme="minorHAnsi" w:hAnsiTheme="minorHAnsi" w:cstheme="minorHAnsi"/>
        </w:rPr>
      </w:pPr>
    </w:p>
    <w:p w:rsidRPr="002D1A9C" w:rsidR="002D1A9C" w:rsidP="002D1A9C" w:rsidRDefault="002D1A9C" w14:paraId="45D1A64C" w14:textId="7DC86545">
      <w:pPr>
        <w:tabs>
          <w:tab w:val="left" w:pos="-1440"/>
          <w:tab w:val="left" w:pos="540"/>
        </w:tabs>
        <w:ind w:left="540"/>
        <w:rPr>
          <w:rFonts w:asciiTheme="minorHAnsi" w:hAnsiTheme="minorHAnsi" w:cstheme="minorHAnsi"/>
        </w:rPr>
      </w:pPr>
      <w:r w:rsidRPr="002D1A9C">
        <w:rPr>
          <w:rFonts w:asciiTheme="minorHAnsi" w:hAnsiTheme="minorHAnsi" w:cstheme="minorHAns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Pr="00427ABC" w:rsidR="005E4EA5" w:rsidP="005E4EA5" w:rsidRDefault="005E4EA5" w14:paraId="39220BC0" w14:textId="77777777">
      <w:pPr>
        <w:tabs>
          <w:tab w:val="left" w:pos="-1440"/>
          <w:tab w:val="left" w:pos="540"/>
        </w:tabs>
        <w:rPr>
          <w:rFonts w:asciiTheme="minorHAnsi" w:hAnsiTheme="minorHAnsi" w:cstheme="minorHAnsi"/>
        </w:rPr>
      </w:pPr>
    </w:p>
    <w:p w:rsidRPr="002D1A9C" w:rsidR="00AB0588" w:rsidP="005E4EA5" w:rsidRDefault="00AB0588" w14:paraId="6A2985EF" w14:textId="77777777">
      <w:pPr>
        <w:tabs>
          <w:tab w:val="left" w:pos="-1440"/>
          <w:tab w:val="left" w:pos="540"/>
        </w:tabs>
        <w:rPr>
          <w:rFonts w:asciiTheme="minorHAnsi" w:hAnsiTheme="minorHAnsi" w:cstheme="minorHAnsi"/>
          <w:b/>
          <w:bCs/>
        </w:rPr>
      </w:pPr>
      <w:r w:rsidRPr="002D1A9C">
        <w:rPr>
          <w:rFonts w:asciiTheme="minorHAnsi" w:hAnsiTheme="minorHAnsi" w:cstheme="minorHAnsi"/>
          <w:b/>
          <w:bCs/>
        </w:rPr>
        <w:t>12.</w:t>
      </w:r>
      <w:r w:rsidRPr="002D1A9C">
        <w:rPr>
          <w:rFonts w:asciiTheme="minorHAnsi" w:hAnsiTheme="minorHAnsi" w:cstheme="minorHAnsi"/>
          <w:b/>
          <w:bCs/>
        </w:rPr>
        <w:tab/>
      </w:r>
      <w:r w:rsidRPr="002D1A9C">
        <w:rPr>
          <w:rFonts w:asciiTheme="minorHAnsi" w:hAnsiTheme="minorHAnsi" w:cstheme="minorHAnsi"/>
          <w:b/>
          <w:bCs/>
          <w:u w:val="single"/>
        </w:rPr>
        <w:t>ESTIMATED BURDEN OF INFORMATION COLLECTION</w:t>
      </w:r>
    </w:p>
    <w:p w:rsidRPr="00427ABC" w:rsidR="00AB0588" w:rsidP="000664BE" w:rsidRDefault="00AB0588" w14:paraId="56042313" w14:textId="77777777">
      <w:pPr>
        <w:tabs>
          <w:tab w:val="left" w:pos="540"/>
        </w:tabs>
        <w:ind w:left="540" w:hanging="540"/>
        <w:rPr>
          <w:rFonts w:asciiTheme="minorHAnsi" w:hAnsiTheme="minorHAnsi" w:cstheme="minorHAnsi"/>
        </w:rPr>
      </w:pPr>
    </w:p>
    <w:p w:rsidRPr="00427ABC" w:rsidR="00AB0588" w:rsidP="000664BE" w:rsidRDefault="00AB0588" w14:paraId="77C27667"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Burden Estimation:</w:t>
      </w:r>
    </w:p>
    <w:p w:rsidRPr="00427ABC" w:rsidR="00AB0588" w:rsidP="000664BE" w:rsidRDefault="00AB0588" w14:paraId="7A4539D6" w14:textId="77777777">
      <w:pPr>
        <w:tabs>
          <w:tab w:val="left" w:pos="540"/>
        </w:tabs>
        <w:ind w:left="540" w:hanging="540"/>
        <w:rPr>
          <w:rFonts w:asciiTheme="minorHAnsi" w:hAnsiTheme="minorHAnsi" w:cstheme="minorHAnsi"/>
        </w:rPr>
      </w:pPr>
    </w:p>
    <w:p w:rsidRPr="00427ABC" w:rsidR="00AB0588" w:rsidP="000664BE" w:rsidRDefault="00AB0588" w14:paraId="4CC8C0A6"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Section 25.2701</w:t>
      </w:r>
      <w:r w:rsidRPr="00427ABC">
        <w:rPr>
          <w:rFonts w:asciiTheme="minorHAnsi" w:hAnsiTheme="minorHAnsi" w:cstheme="minorHAnsi"/>
        </w:rPr>
        <w:noBreakHyphen/>
        <w:t>2(c) of the regulations sets forth rules pursuant to section 2701(c)(3)(C) of the Code that permits taxpayers to waive or elect payments by an entity as</w:t>
      </w:r>
      <w:r w:rsidRPr="00427ABC" w:rsidR="00B67546">
        <w:rPr>
          <w:rFonts w:asciiTheme="minorHAnsi" w:hAnsiTheme="minorHAnsi" w:cstheme="minorHAnsi"/>
        </w:rPr>
        <w:t xml:space="preserve"> </w:t>
      </w:r>
      <w:r w:rsidRPr="00427ABC" w:rsidR="00D34D7C">
        <w:rPr>
          <w:rFonts w:asciiTheme="minorHAnsi" w:hAnsiTheme="minorHAnsi" w:cstheme="minorHAnsi"/>
        </w:rPr>
        <w:t xml:space="preserve"> </w:t>
      </w:r>
      <w:r w:rsidRPr="00427ABC">
        <w:rPr>
          <w:rFonts w:asciiTheme="minorHAnsi" w:hAnsiTheme="minorHAnsi" w:cstheme="minorHAnsi"/>
        </w:rPr>
        <w:t xml:space="preserve"> qualified payments. The election is made by attaching a statement setting forth the terms of the election to a Form 709, Federal Gift Tax Return. We estimate that this requirement will affect 150 taxpayers annually and that they will expend approximately .20 hours each in such activities. The total burden for this requirement is 30 hours.</w:t>
      </w:r>
    </w:p>
    <w:p w:rsidRPr="00427ABC" w:rsidR="00AB0588" w:rsidP="000664BE" w:rsidRDefault="00AB0588" w14:paraId="4C938E86" w14:textId="77777777">
      <w:pPr>
        <w:tabs>
          <w:tab w:val="left" w:pos="540"/>
        </w:tabs>
        <w:ind w:left="540" w:hanging="540"/>
        <w:rPr>
          <w:rFonts w:asciiTheme="minorHAnsi" w:hAnsiTheme="minorHAnsi" w:cstheme="minorHAnsi"/>
        </w:rPr>
      </w:pPr>
    </w:p>
    <w:p w:rsidRPr="00427ABC" w:rsidR="00AB0588" w:rsidP="000664BE" w:rsidRDefault="00AB0588" w14:paraId="53CF8BF0"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 xml:space="preserve"> </w:t>
      </w:r>
      <w:r w:rsidRPr="00427ABC">
        <w:rPr>
          <w:rFonts w:asciiTheme="minorHAnsi" w:hAnsiTheme="minorHAnsi" w:cstheme="minorHAnsi"/>
        </w:rPr>
        <w:tab/>
        <w:t>In addition, section 25.2701</w:t>
      </w:r>
      <w:r w:rsidRPr="00427ABC">
        <w:rPr>
          <w:rFonts w:asciiTheme="minorHAnsi" w:hAnsiTheme="minorHAnsi" w:cstheme="minorHAnsi"/>
        </w:rPr>
        <w:noBreakHyphen/>
        <w:t>4(d) of the regulations sets forth rules pursuant to section 2701(d)(3)(A)(iii) of the Code that allows taxpayers to treat late entity payments as a taxable event and thereby increase taxable gifts in the year of the election. The election is made by attaching a statement setting forth the terms of the election to a Form 709, Federal Gift Tax Return. We estimate that this requirement will affect 20 taxpayers annually and that they will expend approximately .15 hours each in such activities. The total burden for this requirement is 3 hours.</w:t>
      </w:r>
    </w:p>
    <w:p w:rsidRPr="00427ABC" w:rsidR="00AB0588" w:rsidP="000664BE" w:rsidRDefault="00AB0588" w14:paraId="5C38472F" w14:textId="45597FFF">
      <w:pPr>
        <w:tabs>
          <w:tab w:val="left" w:pos="540"/>
        </w:tabs>
        <w:ind w:left="540" w:hanging="540"/>
        <w:rPr>
          <w:rFonts w:asciiTheme="minorHAnsi" w:hAnsiTheme="minorHAnsi" w:cstheme="minorHAnsi"/>
        </w:rPr>
      </w:pPr>
    </w:p>
    <w:p w:rsidRPr="00427ABC" w:rsidR="00AB0588" w:rsidP="000664BE" w:rsidRDefault="00AB0588" w14:paraId="760FBD79" w14:textId="77777777">
      <w:pPr>
        <w:tabs>
          <w:tab w:val="left" w:pos="-1440"/>
          <w:tab w:val="left" w:pos="540"/>
        </w:tabs>
        <w:ind w:left="540" w:hanging="540"/>
        <w:rPr>
          <w:rFonts w:asciiTheme="minorHAnsi" w:hAnsiTheme="minorHAnsi" w:cstheme="minorHAnsi"/>
        </w:rPr>
      </w:pPr>
      <w:r w:rsidRPr="00427ABC">
        <w:rPr>
          <w:rFonts w:asciiTheme="minorHAnsi" w:hAnsiTheme="minorHAnsi" w:cstheme="minorHAnsi"/>
        </w:rPr>
        <w:t xml:space="preserve"> </w:t>
      </w:r>
      <w:r w:rsidRPr="00427ABC">
        <w:rPr>
          <w:rFonts w:asciiTheme="minorHAnsi" w:hAnsiTheme="minorHAnsi" w:cstheme="minorHAnsi"/>
        </w:rPr>
        <w:tab/>
        <w:t>Finally, section 301.6501(c)</w:t>
      </w:r>
      <w:r w:rsidRPr="00427ABC">
        <w:rPr>
          <w:rFonts w:asciiTheme="minorHAnsi" w:hAnsiTheme="minorHAnsi" w:cstheme="minorHAnsi"/>
        </w:rPr>
        <w:noBreakHyphen/>
        <w:t>l(e) of the regulations sets forth rules pursuant to section 6501(c) of the Code to provide guidance to taxpayers on how to report and describe transactions subject to section 2701 and 2702. The description of the transaction must be adequately shown on a Form 709, Federal Gift Tax Return. We estimate that this requirement will affect 1030 taxpayers annually and that they will expend approximately .45 hours each in such activities. The total burden for this requirement is 463 hours.</w:t>
      </w:r>
    </w:p>
    <w:p w:rsidRPr="00427ABC" w:rsidR="00AB0588" w:rsidP="000664BE" w:rsidRDefault="00AB0588" w14:paraId="54E4BE45" w14:textId="77777777">
      <w:pPr>
        <w:tabs>
          <w:tab w:val="left" w:pos="540"/>
        </w:tabs>
        <w:ind w:left="540" w:hanging="540"/>
        <w:rPr>
          <w:rFonts w:asciiTheme="minorHAnsi" w:hAnsiTheme="minorHAnsi" w:cstheme="minorHAnsi"/>
        </w:rPr>
      </w:pPr>
    </w:p>
    <w:p w:rsidRPr="00427ABC" w:rsidR="00AB0588" w:rsidP="000664BE" w:rsidRDefault="00AB0588" w14:paraId="66644BE2" w14:textId="1FDD94D8">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The total burden</w:t>
      </w:r>
      <w:r w:rsidRPr="00427ABC" w:rsidR="00A02444">
        <w:rPr>
          <w:rFonts w:asciiTheme="minorHAnsi" w:hAnsiTheme="minorHAnsi" w:cstheme="minorHAnsi"/>
        </w:rPr>
        <w:t xml:space="preserve"> estimate</w:t>
      </w:r>
      <w:r w:rsidRPr="00427ABC" w:rsidR="00961C3A">
        <w:rPr>
          <w:rFonts w:asciiTheme="minorHAnsi" w:hAnsiTheme="minorHAnsi" w:cstheme="minorHAnsi"/>
        </w:rPr>
        <w:t xml:space="preserve">s </w:t>
      </w:r>
      <w:r w:rsidRPr="00427ABC">
        <w:rPr>
          <w:rFonts w:asciiTheme="minorHAnsi" w:hAnsiTheme="minorHAnsi" w:cstheme="minorHAnsi"/>
        </w:rPr>
        <w:t>for this c</w:t>
      </w:r>
      <w:r w:rsidRPr="00427ABC" w:rsidR="00D34D7C">
        <w:rPr>
          <w:rFonts w:asciiTheme="minorHAnsi" w:hAnsiTheme="minorHAnsi" w:cstheme="minorHAnsi"/>
        </w:rPr>
        <w:t>ollection</w:t>
      </w:r>
      <w:r w:rsidRPr="00427ABC">
        <w:rPr>
          <w:rFonts w:asciiTheme="minorHAnsi" w:hAnsiTheme="minorHAnsi" w:cstheme="minorHAnsi"/>
        </w:rPr>
        <w:t xml:space="preserve"> </w:t>
      </w:r>
      <w:r w:rsidRPr="00427ABC" w:rsidR="00A02444">
        <w:rPr>
          <w:rFonts w:asciiTheme="minorHAnsi" w:hAnsiTheme="minorHAnsi" w:cstheme="minorHAnsi"/>
        </w:rPr>
        <w:t>are as follows:</w:t>
      </w:r>
    </w:p>
    <w:p w:rsidRPr="00427ABC" w:rsidR="004868A3" w:rsidP="000664BE" w:rsidRDefault="004868A3" w14:paraId="09B4AC55" w14:textId="77777777">
      <w:pPr>
        <w:tabs>
          <w:tab w:val="left" w:pos="-1440"/>
          <w:tab w:val="left" w:pos="540"/>
        </w:tabs>
        <w:ind w:left="540" w:hanging="540"/>
        <w:rPr>
          <w:rFonts w:asciiTheme="minorHAnsi" w:hAnsiTheme="minorHAnsi" w:cstheme="minorHAnsi"/>
        </w:rPr>
      </w:pPr>
    </w:p>
    <w:tbl>
      <w:tblPr>
        <w:tblW w:w="10080" w:type="dxa"/>
        <w:tblInd w:w="-252" w:type="dxa"/>
        <w:tblLayout w:type="fixed"/>
        <w:tblLook w:val="04A0" w:firstRow="1" w:lastRow="0" w:firstColumn="1" w:lastColumn="0" w:noHBand="0" w:noVBand="1"/>
      </w:tblPr>
      <w:tblGrid>
        <w:gridCol w:w="1440"/>
        <w:gridCol w:w="1260"/>
        <w:gridCol w:w="1440"/>
        <w:gridCol w:w="1710"/>
        <w:gridCol w:w="1620"/>
        <w:gridCol w:w="1350"/>
        <w:gridCol w:w="1260"/>
      </w:tblGrid>
      <w:tr w:rsidRPr="00427ABC" w:rsidR="00A02444" w:rsidTr="00A02444" w14:paraId="18068913" w14:textId="77777777">
        <w:trPr>
          <w:trHeight w:val="675"/>
        </w:trPr>
        <w:tc>
          <w:tcPr>
            <w:tcW w:w="1440" w:type="dxa"/>
            <w:tcBorders>
              <w:top w:val="single" w:color="auto" w:sz="8" w:space="0"/>
              <w:left w:val="single" w:color="auto" w:sz="8" w:space="0"/>
              <w:bottom w:val="single" w:color="auto" w:sz="8" w:space="0"/>
              <w:right w:val="single" w:color="auto" w:sz="8" w:space="0"/>
            </w:tcBorders>
          </w:tcPr>
          <w:p w:rsidRPr="00427ABC" w:rsidR="00A02444" w:rsidP="00290906" w:rsidRDefault="00A02444" w14:paraId="30C00FBE" w14:textId="77777777">
            <w:pPr>
              <w:keepNext/>
              <w:keepLines/>
              <w:jc w:val="center"/>
              <w:rPr>
                <w:rFonts w:asciiTheme="minorHAnsi" w:hAnsiTheme="minorHAnsi" w:cstheme="minorHAnsi"/>
                <w:color w:val="000000"/>
                <w:sz w:val="22"/>
                <w:szCs w:val="22"/>
              </w:rPr>
            </w:pPr>
          </w:p>
          <w:p w:rsidRPr="00427ABC" w:rsidR="00A02444" w:rsidP="00290906" w:rsidRDefault="00A02444" w14:paraId="5328C26A" w14:textId="77777777">
            <w:pPr>
              <w:rPr>
                <w:rFonts w:asciiTheme="minorHAnsi" w:hAnsiTheme="minorHAnsi" w:cstheme="minorHAnsi"/>
                <w:sz w:val="22"/>
                <w:szCs w:val="22"/>
              </w:rPr>
            </w:pPr>
            <w:r w:rsidRPr="00427ABC">
              <w:rPr>
                <w:rFonts w:asciiTheme="minorHAnsi" w:hAnsiTheme="minorHAnsi" w:cstheme="minorHAnsi"/>
                <w:sz w:val="22"/>
                <w:szCs w:val="22"/>
              </w:rPr>
              <w:t>Authorit</w:t>
            </w:r>
            <w:r w:rsidRPr="00427ABC" w:rsidR="00B67546">
              <w:rPr>
                <w:rFonts w:asciiTheme="minorHAnsi" w:hAnsiTheme="minorHAnsi" w:cstheme="minorHAnsi"/>
                <w:sz w:val="22"/>
                <w:szCs w:val="22"/>
              </w:rPr>
              <w:t>y</w:t>
            </w:r>
          </w:p>
        </w:tc>
        <w:tc>
          <w:tcPr>
            <w:tcW w:w="1260" w:type="dxa"/>
            <w:tcBorders>
              <w:top w:val="single" w:color="auto" w:sz="8" w:space="0"/>
              <w:left w:val="single" w:color="auto" w:sz="8" w:space="0"/>
              <w:bottom w:val="single" w:color="auto" w:sz="8" w:space="0"/>
              <w:right w:val="single" w:color="auto" w:sz="8" w:space="0"/>
            </w:tcBorders>
            <w:noWrap/>
            <w:vAlign w:val="center"/>
            <w:hideMark/>
          </w:tcPr>
          <w:p w:rsidRPr="00427ABC" w:rsidR="00A02444" w:rsidP="00290906" w:rsidRDefault="00A02444" w14:paraId="5DB746E8"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Document</w:t>
            </w:r>
          </w:p>
        </w:tc>
        <w:tc>
          <w:tcPr>
            <w:tcW w:w="1440" w:type="dxa"/>
            <w:tcBorders>
              <w:top w:val="single" w:color="auto" w:sz="8" w:space="0"/>
              <w:left w:val="nil"/>
              <w:bottom w:val="single" w:color="auto" w:sz="8" w:space="0"/>
              <w:right w:val="single" w:color="auto" w:sz="8" w:space="0"/>
            </w:tcBorders>
            <w:vAlign w:val="center"/>
            <w:hideMark/>
          </w:tcPr>
          <w:p w:rsidRPr="00427ABC" w:rsidR="00A02444" w:rsidP="00290906" w:rsidRDefault="00A02444" w14:paraId="5B28096C"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 Respondents</w:t>
            </w:r>
          </w:p>
        </w:tc>
        <w:tc>
          <w:tcPr>
            <w:tcW w:w="1710" w:type="dxa"/>
            <w:tcBorders>
              <w:top w:val="single" w:color="auto" w:sz="8" w:space="0"/>
              <w:left w:val="nil"/>
              <w:bottom w:val="single" w:color="auto" w:sz="8" w:space="0"/>
              <w:right w:val="single" w:color="auto" w:sz="8" w:space="0"/>
            </w:tcBorders>
            <w:vAlign w:val="center"/>
            <w:hideMark/>
          </w:tcPr>
          <w:p w:rsidRPr="00427ABC" w:rsidR="00A02444" w:rsidP="00290906" w:rsidRDefault="00A02444" w14:paraId="29FE5797"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 Responses Per Respondent</w:t>
            </w:r>
          </w:p>
        </w:tc>
        <w:tc>
          <w:tcPr>
            <w:tcW w:w="1620" w:type="dxa"/>
            <w:tcBorders>
              <w:top w:val="single" w:color="auto" w:sz="8" w:space="0"/>
              <w:left w:val="nil"/>
              <w:bottom w:val="single" w:color="auto" w:sz="8" w:space="0"/>
              <w:right w:val="single" w:color="auto" w:sz="8" w:space="0"/>
            </w:tcBorders>
            <w:vAlign w:val="center"/>
            <w:hideMark/>
          </w:tcPr>
          <w:p w:rsidRPr="00427ABC" w:rsidR="00A02444" w:rsidP="00290906" w:rsidRDefault="00A02444" w14:paraId="1D731027"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Total Annual Responses</w:t>
            </w:r>
          </w:p>
        </w:tc>
        <w:tc>
          <w:tcPr>
            <w:tcW w:w="1350" w:type="dxa"/>
            <w:tcBorders>
              <w:top w:val="single" w:color="auto" w:sz="8" w:space="0"/>
              <w:left w:val="nil"/>
              <w:bottom w:val="single" w:color="auto" w:sz="8" w:space="0"/>
              <w:right w:val="single" w:color="auto" w:sz="8" w:space="0"/>
            </w:tcBorders>
            <w:vAlign w:val="center"/>
            <w:hideMark/>
          </w:tcPr>
          <w:p w:rsidRPr="00427ABC" w:rsidR="00A02444" w:rsidP="00290906" w:rsidRDefault="00A02444" w14:paraId="623F68E7"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Hours Per Response</w:t>
            </w:r>
          </w:p>
        </w:tc>
        <w:tc>
          <w:tcPr>
            <w:tcW w:w="1260" w:type="dxa"/>
            <w:tcBorders>
              <w:top w:val="single" w:color="auto" w:sz="8" w:space="0"/>
              <w:left w:val="nil"/>
              <w:bottom w:val="single" w:color="auto" w:sz="8" w:space="0"/>
              <w:right w:val="single" w:color="auto" w:sz="8" w:space="0"/>
            </w:tcBorders>
            <w:vAlign w:val="center"/>
            <w:hideMark/>
          </w:tcPr>
          <w:p w:rsidRPr="00427ABC" w:rsidR="00A02444" w:rsidP="00290906" w:rsidRDefault="00A02444" w14:paraId="35A863B9"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Total Burden</w:t>
            </w:r>
          </w:p>
        </w:tc>
      </w:tr>
      <w:tr w:rsidRPr="00427ABC" w:rsidR="00A02444" w:rsidTr="002D1A9C" w14:paraId="00837FEC" w14:textId="77777777">
        <w:trPr>
          <w:trHeight w:val="345"/>
        </w:trPr>
        <w:tc>
          <w:tcPr>
            <w:tcW w:w="1440" w:type="dxa"/>
            <w:tcBorders>
              <w:top w:val="single" w:color="auto" w:sz="8" w:space="0"/>
              <w:left w:val="single" w:color="auto" w:sz="8" w:space="0"/>
              <w:bottom w:val="single" w:color="auto" w:sz="8" w:space="0"/>
              <w:right w:val="single" w:color="auto" w:sz="8" w:space="0"/>
            </w:tcBorders>
          </w:tcPr>
          <w:p w:rsidRPr="00427ABC" w:rsidR="00B67546" w:rsidP="00290906" w:rsidRDefault="00B67546" w14:paraId="4DC561B6"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 xml:space="preserve">IRC </w:t>
            </w:r>
          </w:p>
          <w:p w:rsidRPr="00427ABC" w:rsidR="00A02444" w:rsidP="00290906" w:rsidRDefault="00B67546" w14:paraId="28426BB8"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2701</w:t>
            </w:r>
            <w:r w:rsidRPr="00427ABC" w:rsidR="00A02444">
              <w:rPr>
                <w:rFonts w:asciiTheme="minorHAnsi" w:hAnsiTheme="minorHAnsi" w:cstheme="minorHAnsi"/>
                <w:color w:val="000000"/>
                <w:sz w:val="22"/>
                <w:szCs w:val="22"/>
              </w:rPr>
              <w:t xml:space="preserve">     </w:t>
            </w:r>
          </w:p>
          <w:p w:rsidRPr="00427ABC" w:rsidR="00A02444" w:rsidP="00290906" w:rsidRDefault="00A02444" w14:paraId="172B3B34" w14:textId="77777777">
            <w:pPr>
              <w:keepNext/>
              <w:keepLines/>
              <w:jc w:val="center"/>
              <w:rPr>
                <w:rFonts w:asciiTheme="minorHAnsi" w:hAnsiTheme="minorHAnsi" w:cstheme="minorHAnsi"/>
                <w:color w:val="000000"/>
                <w:sz w:val="22"/>
                <w:szCs w:val="22"/>
              </w:rPr>
            </w:pPr>
          </w:p>
        </w:tc>
        <w:tc>
          <w:tcPr>
            <w:tcW w:w="1260" w:type="dxa"/>
            <w:tcBorders>
              <w:top w:val="single" w:color="auto" w:sz="8" w:space="0"/>
              <w:left w:val="single" w:color="auto" w:sz="8" w:space="0"/>
              <w:bottom w:val="single" w:color="auto" w:sz="8" w:space="0"/>
              <w:right w:val="single" w:color="auto" w:sz="8" w:space="0"/>
            </w:tcBorders>
            <w:noWrap/>
            <w:vAlign w:val="center"/>
          </w:tcPr>
          <w:p w:rsidRPr="00427ABC" w:rsidR="00A02444" w:rsidP="00290906" w:rsidRDefault="00A02444" w14:paraId="708AE6B2"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TD 8395</w:t>
            </w:r>
          </w:p>
        </w:tc>
        <w:tc>
          <w:tcPr>
            <w:tcW w:w="1440" w:type="dxa"/>
            <w:tcBorders>
              <w:top w:val="single" w:color="auto" w:sz="8" w:space="0"/>
              <w:left w:val="nil"/>
              <w:bottom w:val="single" w:color="auto" w:sz="8" w:space="0"/>
              <w:right w:val="single" w:color="auto" w:sz="8" w:space="0"/>
            </w:tcBorders>
            <w:noWrap/>
            <w:vAlign w:val="center"/>
          </w:tcPr>
          <w:p w:rsidRPr="00427ABC" w:rsidR="00A02444" w:rsidP="00290906" w:rsidRDefault="00A02444" w14:paraId="1BC12C55" w14:textId="093E79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1</w:t>
            </w:r>
            <w:r w:rsidR="002D1A9C">
              <w:rPr>
                <w:rFonts w:asciiTheme="minorHAnsi" w:hAnsiTheme="minorHAnsi" w:cstheme="minorHAnsi"/>
                <w:color w:val="000000"/>
                <w:sz w:val="22"/>
                <w:szCs w:val="22"/>
              </w:rPr>
              <w:t>,</w:t>
            </w:r>
            <w:r w:rsidRPr="00427ABC">
              <w:rPr>
                <w:rFonts w:asciiTheme="minorHAnsi" w:hAnsiTheme="minorHAnsi" w:cstheme="minorHAnsi"/>
                <w:color w:val="000000"/>
                <w:sz w:val="22"/>
                <w:szCs w:val="22"/>
              </w:rPr>
              <w:t>200</w:t>
            </w:r>
          </w:p>
        </w:tc>
        <w:tc>
          <w:tcPr>
            <w:tcW w:w="1710" w:type="dxa"/>
            <w:tcBorders>
              <w:top w:val="single" w:color="auto" w:sz="8" w:space="0"/>
              <w:left w:val="nil"/>
              <w:bottom w:val="single" w:color="auto" w:sz="8" w:space="0"/>
              <w:right w:val="single" w:color="auto" w:sz="8" w:space="0"/>
            </w:tcBorders>
            <w:noWrap/>
            <w:vAlign w:val="center"/>
          </w:tcPr>
          <w:p w:rsidRPr="00427ABC" w:rsidR="00A02444" w:rsidP="00290906" w:rsidRDefault="00A02444" w14:paraId="5CCE817C"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1</w:t>
            </w:r>
          </w:p>
        </w:tc>
        <w:tc>
          <w:tcPr>
            <w:tcW w:w="1620" w:type="dxa"/>
            <w:tcBorders>
              <w:top w:val="single" w:color="auto" w:sz="8" w:space="0"/>
              <w:left w:val="nil"/>
              <w:bottom w:val="single" w:color="auto" w:sz="8" w:space="0"/>
              <w:right w:val="single" w:color="auto" w:sz="8" w:space="0"/>
            </w:tcBorders>
            <w:noWrap/>
            <w:vAlign w:val="center"/>
          </w:tcPr>
          <w:p w:rsidRPr="00427ABC" w:rsidR="00A02444" w:rsidP="00290906" w:rsidRDefault="00A02444" w14:paraId="794A4C42" w14:textId="3CC6911D">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1</w:t>
            </w:r>
            <w:r w:rsidR="002D1A9C">
              <w:rPr>
                <w:rFonts w:asciiTheme="minorHAnsi" w:hAnsiTheme="minorHAnsi" w:cstheme="minorHAnsi"/>
                <w:color w:val="000000"/>
                <w:sz w:val="22"/>
                <w:szCs w:val="22"/>
              </w:rPr>
              <w:t>,</w:t>
            </w:r>
            <w:r w:rsidRPr="00427ABC">
              <w:rPr>
                <w:rFonts w:asciiTheme="minorHAnsi" w:hAnsiTheme="minorHAnsi" w:cstheme="minorHAnsi"/>
                <w:color w:val="000000"/>
                <w:sz w:val="22"/>
                <w:szCs w:val="22"/>
              </w:rPr>
              <w:t>200</w:t>
            </w:r>
          </w:p>
        </w:tc>
        <w:tc>
          <w:tcPr>
            <w:tcW w:w="1350" w:type="dxa"/>
            <w:tcBorders>
              <w:top w:val="single" w:color="auto" w:sz="8" w:space="0"/>
              <w:left w:val="nil"/>
              <w:bottom w:val="single" w:color="auto" w:sz="8" w:space="0"/>
              <w:right w:val="single" w:color="auto" w:sz="8" w:space="0"/>
            </w:tcBorders>
            <w:noWrap/>
            <w:vAlign w:val="center"/>
          </w:tcPr>
          <w:p w:rsidRPr="00427ABC" w:rsidR="00A02444" w:rsidP="00290906" w:rsidRDefault="00A02444" w14:paraId="325C747E"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.413 hrs.</w:t>
            </w:r>
          </w:p>
        </w:tc>
        <w:tc>
          <w:tcPr>
            <w:tcW w:w="1260" w:type="dxa"/>
            <w:tcBorders>
              <w:top w:val="single" w:color="auto" w:sz="8" w:space="0"/>
              <w:left w:val="nil"/>
              <w:bottom w:val="single" w:color="auto" w:sz="8" w:space="0"/>
              <w:right w:val="single" w:color="auto" w:sz="8" w:space="0"/>
            </w:tcBorders>
            <w:noWrap/>
            <w:vAlign w:val="center"/>
          </w:tcPr>
          <w:p w:rsidRPr="00427ABC" w:rsidR="00A02444" w:rsidP="00290906" w:rsidRDefault="00A02444" w14:paraId="1FEDCAA3" w14:textId="77777777">
            <w:pPr>
              <w:keepNext/>
              <w:keepLines/>
              <w:jc w:val="center"/>
              <w:rPr>
                <w:rFonts w:asciiTheme="minorHAnsi" w:hAnsiTheme="minorHAnsi" w:cstheme="minorHAnsi"/>
                <w:color w:val="000000"/>
                <w:sz w:val="22"/>
                <w:szCs w:val="22"/>
              </w:rPr>
            </w:pPr>
            <w:r w:rsidRPr="00427ABC">
              <w:rPr>
                <w:rFonts w:asciiTheme="minorHAnsi" w:hAnsiTheme="minorHAnsi" w:cstheme="minorHAnsi"/>
                <w:color w:val="000000"/>
                <w:sz w:val="22"/>
                <w:szCs w:val="22"/>
              </w:rPr>
              <w:t>496</w:t>
            </w:r>
          </w:p>
        </w:tc>
      </w:tr>
      <w:tr w:rsidRPr="00427ABC" w:rsidR="002D1A9C" w:rsidTr="00A02444" w14:paraId="192631A5" w14:textId="77777777">
        <w:trPr>
          <w:trHeight w:val="345"/>
        </w:trPr>
        <w:tc>
          <w:tcPr>
            <w:tcW w:w="1440" w:type="dxa"/>
            <w:tcBorders>
              <w:top w:val="single" w:color="auto" w:sz="8" w:space="0"/>
              <w:left w:val="single" w:color="auto" w:sz="8" w:space="0"/>
              <w:bottom w:val="single" w:color="000000" w:sz="8" w:space="0"/>
              <w:right w:val="single" w:color="auto" w:sz="8" w:space="0"/>
            </w:tcBorders>
          </w:tcPr>
          <w:p w:rsidRPr="00427ABC" w:rsidR="002D1A9C" w:rsidP="00290906" w:rsidRDefault="002D1A9C" w14:paraId="7E2E255F" w14:textId="77777777">
            <w:pPr>
              <w:keepNext/>
              <w:keepLines/>
              <w:jc w:val="center"/>
              <w:rPr>
                <w:rFonts w:asciiTheme="minorHAnsi" w:hAnsiTheme="minorHAnsi" w:cstheme="minorHAnsi"/>
                <w:color w:val="000000"/>
                <w:sz w:val="22"/>
                <w:szCs w:val="22"/>
              </w:rPr>
            </w:pPr>
          </w:p>
        </w:tc>
        <w:tc>
          <w:tcPr>
            <w:tcW w:w="1260" w:type="dxa"/>
            <w:tcBorders>
              <w:top w:val="single" w:color="auto" w:sz="8" w:space="0"/>
              <w:left w:val="single" w:color="auto" w:sz="8" w:space="0"/>
              <w:bottom w:val="single" w:color="000000" w:sz="8" w:space="0"/>
              <w:right w:val="single" w:color="auto" w:sz="8" w:space="0"/>
            </w:tcBorders>
            <w:noWrap/>
            <w:vAlign w:val="center"/>
          </w:tcPr>
          <w:p w:rsidRPr="00427ABC" w:rsidR="002D1A9C" w:rsidP="00290906" w:rsidRDefault="002D1A9C" w14:paraId="4B5CAF23" w14:textId="634555CC">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Total</w:t>
            </w:r>
          </w:p>
        </w:tc>
        <w:tc>
          <w:tcPr>
            <w:tcW w:w="1440" w:type="dxa"/>
            <w:tcBorders>
              <w:top w:val="single" w:color="auto" w:sz="8" w:space="0"/>
              <w:left w:val="nil"/>
              <w:bottom w:val="single" w:color="auto" w:sz="8" w:space="0"/>
              <w:right w:val="single" w:color="auto" w:sz="8" w:space="0"/>
            </w:tcBorders>
            <w:noWrap/>
            <w:vAlign w:val="center"/>
          </w:tcPr>
          <w:p w:rsidRPr="00427ABC" w:rsidR="002D1A9C" w:rsidP="00290906" w:rsidRDefault="002D1A9C" w14:paraId="3DB7C03C" w14:textId="30535DB3">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1,200</w:t>
            </w:r>
          </w:p>
        </w:tc>
        <w:tc>
          <w:tcPr>
            <w:tcW w:w="1710" w:type="dxa"/>
            <w:tcBorders>
              <w:top w:val="single" w:color="auto" w:sz="8" w:space="0"/>
              <w:left w:val="nil"/>
              <w:bottom w:val="single" w:color="auto" w:sz="8" w:space="0"/>
              <w:right w:val="single" w:color="auto" w:sz="8" w:space="0"/>
            </w:tcBorders>
            <w:noWrap/>
            <w:vAlign w:val="center"/>
          </w:tcPr>
          <w:p w:rsidRPr="00427ABC" w:rsidR="002D1A9C" w:rsidP="00290906" w:rsidRDefault="002D1A9C" w14:paraId="4D569490" w14:textId="77777777">
            <w:pPr>
              <w:keepNext/>
              <w:keepLines/>
              <w:jc w:val="center"/>
              <w:rPr>
                <w:rFonts w:asciiTheme="minorHAnsi" w:hAnsiTheme="minorHAnsi" w:cstheme="minorHAnsi"/>
                <w:color w:val="000000"/>
                <w:sz w:val="22"/>
                <w:szCs w:val="22"/>
              </w:rPr>
            </w:pPr>
          </w:p>
        </w:tc>
        <w:tc>
          <w:tcPr>
            <w:tcW w:w="1620" w:type="dxa"/>
            <w:tcBorders>
              <w:top w:val="single" w:color="auto" w:sz="8" w:space="0"/>
              <w:left w:val="nil"/>
              <w:bottom w:val="single" w:color="auto" w:sz="8" w:space="0"/>
              <w:right w:val="single" w:color="auto" w:sz="8" w:space="0"/>
            </w:tcBorders>
            <w:noWrap/>
            <w:vAlign w:val="center"/>
          </w:tcPr>
          <w:p w:rsidRPr="00427ABC" w:rsidR="002D1A9C" w:rsidP="00290906" w:rsidRDefault="002D1A9C" w14:paraId="0D8E3F31" w14:textId="77777777">
            <w:pPr>
              <w:keepNext/>
              <w:keepLines/>
              <w:jc w:val="center"/>
              <w:rPr>
                <w:rFonts w:asciiTheme="minorHAnsi" w:hAnsiTheme="minorHAnsi" w:cstheme="minorHAnsi"/>
                <w:color w:val="000000"/>
                <w:sz w:val="22"/>
                <w:szCs w:val="22"/>
              </w:rPr>
            </w:pPr>
          </w:p>
        </w:tc>
        <w:tc>
          <w:tcPr>
            <w:tcW w:w="1350" w:type="dxa"/>
            <w:tcBorders>
              <w:top w:val="single" w:color="auto" w:sz="8" w:space="0"/>
              <w:left w:val="nil"/>
              <w:bottom w:val="single" w:color="auto" w:sz="8" w:space="0"/>
              <w:right w:val="single" w:color="auto" w:sz="8" w:space="0"/>
            </w:tcBorders>
            <w:noWrap/>
            <w:vAlign w:val="center"/>
          </w:tcPr>
          <w:p w:rsidRPr="00427ABC" w:rsidR="002D1A9C" w:rsidP="00290906" w:rsidRDefault="002D1A9C" w14:paraId="251AFD57" w14:textId="77777777">
            <w:pPr>
              <w:keepNext/>
              <w:keepLines/>
              <w:jc w:val="center"/>
              <w:rPr>
                <w:rFonts w:asciiTheme="minorHAnsi" w:hAnsiTheme="minorHAnsi" w:cstheme="minorHAnsi"/>
                <w:color w:val="000000"/>
                <w:sz w:val="22"/>
                <w:szCs w:val="22"/>
              </w:rPr>
            </w:pPr>
          </w:p>
        </w:tc>
        <w:tc>
          <w:tcPr>
            <w:tcW w:w="1260" w:type="dxa"/>
            <w:tcBorders>
              <w:top w:val="single" w:color="auto" w:sz="8" w:space="0"/>
              <w:left w:val="nil"/>
              <w:bottom w:val="single" w:color="auto" w:sz="8" w:space="0"/>
              <w:right w:val="single" w:color="auto" w:sz="8" w:space="0"/>
            </w:tcBorders>
            <w:noWrap/>
            <w:vAlign w:val="center"/>
          </w:tcPr>
          <w:p w:rsidRPr="00427ABC" w:rsidR="002D1A9C" w:rsidP="00290906" w:rsidRDefault="002D1A9C" w14:paraId="1775B179" w14:textId="06A73CA8">
            <w:pPr>
              <w:keepNext/>
              <w:keepLines/>
              <w:jc w:val="center"/>
              <w:rPr>
                <w:rFonts w:asciiTheme="minorHAnsi" w:hAnsiTheme="minorHAnsi" w:cstheme="minorHAnsi"/>
                <w:color w:val="000000"/>
                <w:sz w:val="22"/>
                <w:szCs w:val="22"/>
              </w:rPr>
            </w:pPr>
            <w:r>
              <w:rPr>
                <w:rFonts w:asciiTheme="minorHAnsi" w:hAnsiTheme="minorHAnsi" w:cstheme="minorHAnsi"/>
                <w:color w:val="000000"/>
                <w:sz w:val="22"/>
                <w:szCs w:val="22"/>
              </w:rPr>
              <w:t>496</w:t>
            </w:r>
          </w:p>
        </w:tc>
      </w:tr>
    </w:tbl>
    <w:p w:rsidRPr="002D1A9C" w:rsidR="002D1A9C" w:rsidP="002D1A9C" w:rsidRDefault="002D1A9C" w14:paraId="3398E898" w14:textId="3498C39C">
      <w:pPr>
        <w:spacing w:line="233" w:lineRule="auto"/>
        <w:ind w:left="720"/>
        <w:rPr>
          <w:rFonts w:asciiTheme="minorHAnsi" w:hAnsiTheme="minorHAnsi" w:cstheme="minorHAnsi"/>
          <w:bCs/>
        </w:rPr>
      </w:pPr>
      <w:r w:rsidRPr="002D1A9C">
        <w:rPr>
          <w:rFonts w:asciiTheme="minorHAnsi" w:hAnsiTheme="minorHAnsi" w:cstheme="minorHAnsi"/>
          <w:bCs/>
        </w:rPr>
        <w:t>The following regulations impose no additional burden. Please continue to assign OMB number 1545-1</w:t>
      </w:r>
      <w:r>
        <w:rPr>
          <w:rFonts w:asciiTheme="minorHAnsi" w:hAnsiTheme="minorHAnsi" w:cstheme="minorHAnsi"/>
          <w:bCs/>
        </w:rPr>
        <w:t>241</w:t>
      </w:r>
      <w:r w:rsidRPr="002D1A9C">
        <w:rPr>
          <w:rFonts w:asciiTheme="minorHAnsi" w:hAnsiTheme="minorHAnsi" w:cstheme="minorHAnsi"/>
          <w:bCs/>
        </w:rPr>
        <w:t xml:space="preserve"> to these regulations.</w:t>
      </w:r>
    </w:p>
    <w:p w:rsidRPr="002D1A9C" w:rsidR="002D1A9C" w:rsidP="002D1A9C" w:rsidRDefault="002D1A9C" w14:paraId="0C1FEEAE" w14:textId="77777777">
      <w:pPr>
        <w:spacing w:line="233" w:lineRule="auto"/>
        <w:ind w:left="720"/>
        <w:rPr>
          <w:rFonts w:asciiTheme="minorHAnsi" w:hAnsiTheme="minorHAnsi" w:cstheme="minorHAnsi"/>
          <w:bCs/>
        </w:rPr>
      </w:pPr>
      <w:r w:rsidRPr="002D1A9C">
        <w:rPr>
          <w:rFonts w:asciiTheme="minorHAnsi" w:hAnsiTheme="minorHAnsi" w:cstheme="minorHAnsi"/>
          <w:bCs/>
        </w:rPr>
        <w:tab/>
      </w:r>
      <w:r w:rsidRPr="002D1A9C">
        <w:rPr>
          <w:rFonts w:asciiTheme="minorHAnsi" w:hAnsiTheme="minorHAnsi" w:cstheme="minorHAnsi"/>
          <w:bCs/>
        </w:rPr>
        <w:tab/>
      </w:r>
    </w:p>
    <w:tbl>
      <w:tblPr>
        <w:tblStyle w:val="TableGrid"/>
        <w:tblW w:w="0" w:type="auto"/>
        <w:tblInd w:w="745" w:type="dxa"/>
        <w:tblLook w:val="04A0" w:firstRow="1" w:lastRow="0" w:firstColumn="1" w:lastColumn="0" w:noHBand="0" w:noVBand="1"/>
      </w:tblPr>
      <w:tblGrid>
        <w:gridCol w:w="5030"/>
      </w:tblGrid>
      <w:tr w:rsidRPr="002D1A9C" w:rsidR="002D1A9C" w:rsidTr="00030DE7" w14:paraId="65C4A273" w14:textId="77777777">
        <w:tc>
          <w:tcPr>
            <w:tcW w:w="5030" w:type="dxa"/>
          </w:tcPr>
          <w:p w:rsidRPr="002D1A9C" w:rsidR="002D1A9C" w:rsidP="002D1A9C" w:rsidRDefault="002D1A9C" w14:paraId="40144C6C" w14:textId="4FD053A4">
            <w:pPr>
              <w:spacing w:line="233" w:lineRule="auto"/>
              <w:ind w:left="720"/>
              <w:rPr>
                <w:rFonts w:asciiTheme="minorHAnsi" w:hAnsiTheme="minorHAnsi" w:cstheme="minorHAnsi"/>
                <w:bCs/>
              </w:rPr>
            </w:pPr>
            <w:r>
              <w:rPr>
                <w:rFonts w:asciiTheme="minorHAnsi" w:hAnsiTheme="minorHAnsi" w:cstheme="minorHAnsi"/>
                <w:bCs/>
              </w:rPr>
              <w:t>25</w:t>
            </w:r>
            <w:r w:rsidRPr="002D1A9C">
              <w:rPr>
                <w:rFonts w:asciiTheme="minorHAnsi" w:hAnsiTheme="minorHAnsi" w:cstheme="minorHAnsi"/>
                <w:bCs/>
              </w:rPr>
              <w:t>.</w:t>
            </w:r>
            <w:r>
              <w:rPr>
                <w:rFonts w:asciiTheme="minorHAnsi" w:hAnsiTheme="minorHAnsi" w:cstheme="minorHAnsi"/>
                <w:bCs/>
              </w:rPr>
              <w:t>2701-2</w:t>
            </w:r>
          </w:p>
        </w:tc>
      </w:tr>
      <w:tr w:rsidRPr="002D1A9C" w:rsidR="002D1A9C" w:rsidTr="00030DE7" w14:paraId="5FA5B59E" w14:textId="77777777">
        <w:tc>
          <w:tcPr>
            <w:tcW w:w="5030" w:type="dxa"/>
          </w:tcPr>
          <w:p w:rsidRPr="002D1A9C" w:rsidR="002D1A9C" w:rsidP="002D1A9C" w:rsidRDefault="002D1A9C" w14:paraId="4399001A" w14:textId="07CF9FF3">
            <w:pPr>
              <w:spacing w:line="233" w:lineRule="auto"/>
              <w:ind w:left="720"/>
              <w:rPr>
                <w:rFonts w:asciiTheme="minorHAnsi" w:hAnsiTheme="minorHAnsi" w:cstheme="minorHAnsi"/>
                <w:bCs/>
              </w:rPr>
            </w:pPr>
            <w:r>
              <w:rPr>
                <w:rFonts w:asciiTheme="minorHAnsi" w:hAnsiTheme="minorHAnsi" w:cstheme="minorHAnsi"/>
                <w:bCs/>
              </w:rPr>
              <w:t>25</w:t>
            </w:r>
            <w:r w:rsidRPr="002D1A9C">
              <w:rPr>
                <w:rFonts w:asciiTheme="minorHAnsi" w:hAnsiTheme="minorHAnsi" w:cstheme="minorHAnsi"/>
                <w:bCs/>
              </w:rPr>
              <w:t>.</w:t>
            </w:r>
            <w:r>
              <w:rPr>
                <w:rFonts w:asciiTheme="minorHAnsi" w:hAnsiTheme="minorHAnsi" w:cstheme="minorHAnsi"/>
                <w:bCs/>
              </w:rPr>
              <w:t>2701-</w:t>
            </w:r>
            <w:r>
              <w:rPr>
                <w:rFonts w:asciiTheme="minorHAnsi" w:hAnsiTheme="minorHAnsi" w:cstheme="minorHAnsi"/>
                <w:bCs/>
              </w:rPr>
              <w:t>4</w:t>
            </w:r>
          </w:p>
        </w:tc>
      </w:tr>
      <w:tr w:rsidRPr="002D1A9C" w:rsidR="002D1A9C" w:rsidTr="00030DE7" w14:paraId="602C464B" w14:textId="77777777">
        <w:tc>
          <w:tcPr>
            <w:tcW w:w="5030" w:type="dxa"/>
          </w:tcPr>
          <w:p w:rsidRPr="002D1A9C" w:rsidR="002D1A9C" w:rsidP="002D1A9C" w:rsidRDefault="002D1A9C" w14:paraId="733555DF" w14:textId="15C52119">
            <w:pPr>
              <w:spacing w:line="233" w:lineRule="auto"/>
              <w:ind w:left="720"/>
              <w:rPr>
                <w:rFonts w:asciiTheme="minorHAnsi" w:hAnsiTheme="minorHAnsi" w:cstheme="minorHAnsi"/>
                <w:bCs/>
              </w:rPr>
            </w:pPr>
            <w:r>
              <w:rPr>
                <w:rFonts w:asciiTheme="minorHAnsi" w:hAnsiTheme="minorHAnsi" w:cstheme="minorHAnsi"/>
                <w:bCs/>
              </w:rPr>
              <w:t>301.6501(c)</w:t>
            </w:r>
            <w:r w:rsidRPr="002D1A9C">
              <w:rPr>
                <w:rFonts w:asciiTheme="minorHAnsi" w:hAnsiTheme="minorHAnsi" w:cstheme="minorHAnsi"/>
                <w:bCs/>
              </w:rPr>
              <w:t>-</w:t>
            </w:r>
            <w:r>
              <w:rPr>
                <w:rFonts w:asciiTheme="minorHAnsi" w:hAnsiTheme="minorHAnsi" w:cstheme="minorHAnsi"/>
                <w:bCs/>
              </w:rPr>
              <w:t>1</w:t>
            </w:r>
          </w:p>
        </w:tc>
      </w:tr>
    </w:tbl>
    <w:p w:rsidRPr="00427ABC" w:rsidR="00A02444" w:rsidP="00A02444" w:rsidRDefault="00A02444" w14:paraId="4FCF36C2" w14:textId="77777777">
      <w:pPr>
        <w:spacing w:line="233" w:lineRule="auto"/>
        <w:ind w:left="720"/>
        <w:rPr>
          <w:rFonts w:asciiTheme="minorHAnsi" w:hAnsiTheme="minorHAnsi" w:cstheme="minorHAnsi"/>
          <w:bCs/>
        </w:rPr>
      </w:pPr>
    </w:p>
    <w:p w:rsidRPr="00427ABC" w:rsidR="00AB0588" w:rsidP="000664BE" w:rsidRDefault="00AB0588" w14:paraId="21B18C9A" w14:textId="77777777">
      <w:pPr>
        <w:tabs>
          <w:tab w:val="left" w:pos="-1440"/>
          <w:tab w:val="left" w:pos="540"/>
        </w:tabs>
        <w:ind w:left="540" w:hanging="540"/>
        <w:rPr>
          <w:rFonts w:asciiTheme="minorHAnsi" w:hAnsiTheme="minorHAnsi" w:cstheme="minorHAnsi"/>
          <w:b/>
          <w:bCs/>
          <w:u w:val="single"/>
        </w:rPr>
      </w:pPr>
      <w:r w:rsidRPr="00427ABC">
        <w:rPr>
          <w:rFonts w:asciiTheme="minorHAnsi" w:hAnsiTheme="minorHAnsi" w:cstheme="minorHAnsi"/>
          <w:b/>
          <w:bCs/>
        </w:rPr>
        <w:t>13.</w:t>
      </w:r>
      <w:r w:rsidRPr="00427ABC">
        <w:rPr>
          <w:rFonts w:asciiTheme="minorHAnsi" w:hAnsiTheme="minorHAnsi" w:cstheme="minorHAnsi"/>
          <w:b/>
          <w:bCs/>
        </w:rPr>
        <w:tab/>
      </w:r>
      <w:r w:rsidRPr="00427ABC">
        <w:rPr>
          <w:rFonts w:asciiTheme="minorHAnsi" w:hAnsiTheme="minorHAnsi" w:cstheme="minorHAnsi"/>
          <w:b/>
          <w:bCs/>
          <w:u w:val="single"/>
        </w:rPr>
        <w:t>ESTIMATED TOTAL ANNUAL COST BURDEN TO RESPONDENTS</w:t>
      </w:r>
    </w:p>
    <w:p w:rsidRPr="00427ABC" w:rsidR="00AB0588" w:rsidP="000664BE" w:rsidRDefault="00AB0588" w14:paraId="336BC4D7" w14:textId="77777777">
      <w:pPr>
        <w:tabs>
          <w:tab w:val="left" w:pos="540"/>
        </w:tabs>
        <w:ind w:left="540" w:hanging="540"/>
        <w:rPr>
          <w:rFonts w:asciiTheme="minorHAnsi" w:hAnsiTheme="minorHAnsi" w:cstheme="minorHAnsi"/>
        </w:rPr>
      </w:pPr>
    </w:p>
    <w:p w:rsidRPr="00427ABC" w:rsidR="004C0450" w:rsidP="004C0450" w:rsidRDefault="004C0450" w14:paraId="486B3E3A" w14:textId="36D7B0A2">
      <w:pPr>
        <w:ind w:left="288"/>
        <w:rPr>
          <w:rFonts w:asciiTheme="minorHAnsi" w:hAnsiTheme="minorHAnsi" w:cstheme="minorHAnsi"/>
        </w:rPr>
      </w:pPr>
      <w:r w:rsidRPr="00427ABC">
        <w:rPr>
          <w:rFonts w:asciiTheme="minorHAnsi" w:hAnsiTheme="minorHAnsi" w:cstheme="minorHAnsi"/>
        </w:rPr>
        <w:t>To ensure more accuracy and consistency across its information collections, IRS is currently in the process of</w:t>
      </w:r>
      <w:r w:rsidR="00427ABC">
        <w:rPr>
          <w:rFonts w:asciiTheme="minorHAnsi" w:hAnsiTheme="minorHAnsi" w:cstheme="minorHAnsi"/>
        </w:rPr>
        <w:t xml:space="preserve"> </w:t>
      </w:r>
      <w:r w:rsidRPr="00427ABC">
        <w:rPr>
          <w:rFonts w:asciiTheme="minorHAnsi" w:hAnsiTheme="minorHAnsi" w:cstheme="minorHAnsi"/>
        </w:rPr>
        <w:t>revising the</w:t>
      </w:r>
      <w:r w:rsidRPr="00427ABC" w:rsidR="00961C3A">
        <w:rPr>
          <w:rFonts w:asciiTheme="minorHAnsi" w:hAnsiTheme="minorHAnsi" w:cstheme="minorHAnsi"/>
        </w:rPr>
        <w:t xml:space="preserve"> </w:t>
      </w:r>
      <w:r w:rsidRPr="00427ABC">
        <w:rPr>
          <w:rFonts w:asciiTheme="minorHAnsi" w:hAnsiTheme="minorHAnsi" w:cstheme="minorHAnsi"/>
        </w:rPr>
        <w:t>methodology</w:t>
      </w:r>
      <w:r w:rsidRPr="00427ABC" w:rsidR="00AD2A72">
        <w:rPr>
          <w:rFonts w:asciiTheme="minorHAnsi" w:hAnsiTheme="minorHAnsi" w:cstheme="minorHAnsi"/>
        </w:rPr>
        <w:t xml:space="preserve"> </w:t>
      </w:r>
      <w:r w:rsidRPr="00427ABC">
        <w:rPr>
          <w:rFonts w:asciiTheme="minorHAnsi" w:hAnsiTheme="minorHAnsi" w:cstheme="minorHAnsi"/>
        </w:rPr>
        <w:t>it uses to estimate burden and costs. Once this methodology is complete, IRS will update this information collection to reflect a more precise estimate of burden and costs.</w:t>
      </w:r>
    </w:p>
    <w:p w:rsidRPr="00427ABC" w:rsidR="00DC5A5F" w:rsidP="000664BE" w:rsidRDefault="00DC5A5F" w14:paraId="6FEB8724" w14:textId="77777777">
      <w:pPr>
        <w:tabs>
          <w:tab w:val="left" w:pos="-1440"/>
          <w:tab w:val="left" w:pos="540"/>
        </w:tabs>
        <w:ind w:left="540" w:hanging="540"/>
        <w:rPr>
          <w:rFonts w:asciiTheme="minorHAnsi" w:hAnsiTheme="minorHAnsi" w:cstheme="minorHAnsi"/>
        </w:rPr>
      </w:pPr>
    </w:p>
    <w:p w:rsidRPr="00427ABC" w:rsidR="00AB0588" w:rsidP="000664BE" w:rsidRDefault="00AB0588" w14:paraId="39AC6471" w14:textId="77777777">
      <w:pPr>
        <w:tabs>
          <w:tab w:val="left" w:pos="-1440"/>
          <w:tab w:val="left" w:pos="540"/>
        </w:tabs>
        <w:ind w:left="540" w:hanging="540"/>
        <w:rPr>
          <w:rFonts w:asciiTheme="minorHAnsi" w:hAnsiTheme="minorHAnsi" w:cstheme="minorHAnsi"/>
          <w:b/>
          <w:bCs/>
          <w:u w:val="single"/>
        </w:rPr>
      </w:pPr>
      <w:r w:rsidRPr="00427ABC">
        <w:rPr>
          <w:rFonts w:asciiTheme="minorHAnsi" w:hAnsiTheme="minorHAnsi" w:cstheme="minorHAnsi"/>
          <w:b/>
          <w:bCs/>
        </w:rPr>
        <w:t>14.</w:t>
      </w:r>
      <w:r w:rsidRPr="00427ABC">
        <w:rPr>
          <w:rFonts w:asciiTheme="minorHAnsi" w:hAnsiTheme="minorHAnsi" w:cstheme="minorHAnsi"/>
          <w:b/>
          <w:bCs/>
        </w:rPr>
        <w:tab/>
      </w:r>
      <w:r w:rsidRPr="00427ABC">
        <w:rPr>
          <w:rFonts w:asciiTheme="minorHAnsi" w:hAnsiTheme="minorHAnsi" w:cstheme="minorHAnsi"/>
          <w:b/>
          <w:bCs/>
          <w:u w:val="single"/>
        </w:rPr>
        <w:t>ESTIMATED ANNUALIZED COST TO THE FEDERAL GOVERNMENT</w:t>
      </w:r>
    </w:p>
    <w:p w:rsidRPr="00427ABC" w:rsidR="00AB0588" w:rsidP="000664BE" w:rsidRDefault="00AB0588" w14:paraId="25962057" w14:textId="77777777">
      <w:pPr>
        <w:tabs>
          <w:tab w:val="left" w:pos="540"/>
        </w:tabs>
        <w:ind w:left="540" w:hanging="540"/>
        <w:rPr>
          <w:rFonts w:asciiTheme="minorHAnsi" w:hAnsiTheme="minorHAnsi" w:cstheme="minorHAnsi"/>
        </w:rPr>
      </w:pPr>
    </w:p>
    <w:p w:rsidRPr="00427ABC" w:rsidR="004C0450" w:rsidP="004868A3" w:rsidRDefault="004C0450" w14:paraId="0B63628E" w14:textId="170693C4">
      <w:pPr>
        <w:ind w:left="480"/>
        <w:rPr>
          <w:rFonts w:asciiTheme="minorHAnsi" w:hAnsiTheme="minorHAnsi" w:cstheme="minorHAnsi"/>
        </w:rPr>
      </w:pPr>
      <w:r w:rsidRPr="00427ABC">
        <w:rPr>
          <w:rFonts w:asciiTheme="minorHAnsi" w:hAnsiTheme="minorHAnsi" w:cs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w:t>
      </w:r>
      <w:r w:rsidRPr="00427ABC" w:rsidR="004868A3">
        <w:rPr>
          <w:rFonts w:asciiTheme="minorHAnsi" w:hAnsiTheme="minorHAnsi" w:cstheme="minorHAnsi"/>
        </w:rPr>
        <w:t xml:space="preserve"> </w:t>
      </w:r>
      <w:r w:rsidRPr="00427ABC">
        <w:rPr>
          <w:rFonts w:asciiTheme="minorHAnsi" w:hAnsiTheme="minorHAnsi" w:cstheme="minorHAnsi"/>
        </w:rPr>
        <w:t>burden and costs.</w:t>
      </w:r>
    </w:p>
    <w:p w:rsidRPr="00427ABC" w:rsidR="00AB0588" w:rsidP="000664BE" w:rsidRDefault="00AB0588" w14:paraId="70505561" w14:textId="60794D6C">
      <w:pPr>
        <w:tabs>
          <w:tab w:val="left" w:pos="540"/>
        </w:tabs>
        <w:ind w:left="540" w:hanging="540"/>
        <w:rPr>
          <w:rFonts w:asciiTheme="minorHAnsi" w:hAnsiTheme="minorHAnsi" w:cstheme="minorHAnsi"/>
        </w:rPr>
      </w:pPr>
    </w:p>
    <w:p w:rsidRPr="00427ABC" w:rsidR="00AB0588" w:rsidP="000664BE" w:rsidRDefault="00AB0588" w14:paraId="54E853F6" w14:textId="77777777">
      <w:pPr>
        <w:tabs>
          <w:tab w:val="left" w:pos="-1440"/>
          <w:tab w:val="left" w:pos="540"/>
        </w:tabs>
        <w:ind w:left="540" w:hanging="540"/>
        <w:rPr>
          <w:rFonts w:asciiTheme="minorHAnsi" w:hAnsiTheme="minorHAnsi" w:cstheme="minorHAnsi"/>
          <w:b/>
          <w:bCs/>
          <w:u w:val="single"/>
        </w:rPr>
      </w:pPr>
      <w:r w:rsidRPr="00427ABC">
        <w:rPr>
          <w:rFonts w:asciiTheme="minorHAnsi" w:hAnsiTheme="minorHAnsi" w:cstheme="minorHAnsi"/>
          <w:b/>
          <w:bCs/>
        </w:rPr>
        <w:t>15.</w:t>
      </w:r>
      <w:r w:rsidRPr="00427ABC">
        <w:rPr>
          <w:rFonts w:asciiTheme="minorHAnsi" w:hAnsiTheme="minorHAnsi" w:cstheme="minorHAnsi"/>
          <w:b/>
          <w:bCs/>
        </w:rPr>
        <w:tab/>
      </w:r>
      <w:r w:rsidRPr="00427ABC">
        <w:rPr>
          <w:rFonts w:asciiTheme="minorHAnsi" w:hAnsiTheme="minorHAnsi" w:cstheme="minorHAnsi"/>
          <w:b/>
          <w:bCs/>
          <w:u w:val="single"/>
        </w:rPr>
        <w:t>REASONS FOR CHANGE IN BURDEN</w:t>
      </w:r>
    </w:p>
    <w:p w:rsidRPr="00427ABC" w:rsidR="00AB0588" w:rsidP="000664BE" w:rsidRDefault="00AB0588" w14:paraId="6FE9E998" w14:textId="77777777">
      <w:pPr>
        <w:tabs>
          <w:tab w:val="left" w:pos="540"/>
        </w:tabs>
        <w:ind w:left="540" w:hanging="540"/>
        <w:rPr>
          <w:rFonts w:asciiTheme="minorHAnsi" w:hAnsiTheme="minorHAnsi" w:cstheme="minorHAnsi"/>
        </w:rPr>
      </w:pPr>
    </w:p>
    <w:p w:rsidRPr="00427ABC" w:rsidR="004868A3" w:rsidP="000664BE" w:rsidRDefault="00AB0588" w14:paraId="29CCC34D" w14:textId="150C35E2">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t xml:space="preserve">There is no change in the paperwork burden previously approved by OMB.  </w:t>
      </w:r>
      <w:r w:rsidRPr="00427ABC" w:rsidR="00AC021B">
        <w:rPr>
          <w:rFonts w:asciiTheme="minorHAnsi" w:hAnsiTheme="minorHAnsi" w:cstheme="minorHAnsi"/>
        </w:rPr>
        <w:t xml:space="preserve">IRS is making </w:t>
      </w:r>
      <w:r w:rsidRPr="00427ABC">
        <w:rPr>
          <w:rFonts w:asciiTheme="minorHAnsi" w:hAnsiTheme="minorHAnsi" w:cstheme="minorHAnsi"/>
        </w:rPr>
        <w:t xml:space="preserve">this submission to renew the OMB approval. </w:t>
      </w:r>
    </w:p>
    <w:p w:rsidRPr="00427ABC" w:rsidR="00AC021B" w:rsidP="00AC021B" w:rsidRDefault="00AC021B" w14:paraId="3DFFADB0" w14:textId="613EDC0E">
      <w:pPr>
        <w:numPr>
          <w:ilvl w:val="12"/>
          <w:numId w:val="0"/>
        </w:numPr>
        <w:ind w:left="720"/>
        <w:rPr>
          <w:rFonts w:asciiTheme="minorHAnsi" w:hAnsiTheme="minorHAnsi" w:cstheme="minorHAnsi"/>
          <w:sz w:val="22"/>
          <w:szCs w:val="22"/>
        </w:rPr>
      </w:pPr>
    </w:p>
    <w:p w:rsidRPr="00427ABC" w:rsidR="00AB0588" w:rsidP="000664BE" w:rsidRDefault="00AB0588" w14:paraId="525C5945" w14:textId="77777777">
      <w:pPr>
        <w:tabs>
          <w:tab w:val="left" w:pos="-1440"/>
          <w:tab w:val="left" w:pos="540"/>
        </w:tabs>
        <w:ind w:left="540" w:hanging="540"/>
        <w:rPr>
          <w:rFonts w:asciiTheme="minorHAnsi" w:hAnsiTheme="minorHAnsi" w:cstheme="minorHAnsi"/>
          <w:b/>
          <w:bCs/>
          <w:u w:val="single"/>
        </w:rPr>
      </w:pPr>
      <w:r w:rsidRPr="00427ABC">
        <w:rPr>
          <w:rFonts w:asciiTheme="minorHAnsi" w:hAnsiTheme="minorHAnsi" w:cstheme="minorHAnsi"/>
          <w:b/>
          <w:bCs/>
        </w:rPr>
        <w:t>16.</w:t>
      </w:r>
      <w:r w:rsidRPr="00427ABC">
        <w:rPr>
          <w:rFonts w:asciiTheme="minorHAnsi" w:hAnsiTheme="minorHAnsi" w:cstheme="minorHAnsi"/>
          <w:b/>
          <w:bCs/>
        </w:rPr>
        <w:tab/>
      </w:r>
      <w:r w:rsidRPr="00427ABC">
        <w:rPr>
          <w:rFonts w:asciiTheme="minorHAnsi" w:hAnsiTheme="minorHAnsi" w:cstheme="minorHAnsi"/>
          <w:b/>
          <w:bCs/>
          <w:u w:val="single"/>
        </w:rPr>
        <w:t>PLANS FOR TABULATION, STATISTICAL ANALYSIS AND PUBLICATION</w:t>
      </w:r>
    </w:p>
    <w:p w:rsidRPr="00427ABC" w:rsidR="00AB0588" w:rsidP="000664BE" w:rsidRDefault="00AB0588" w14:paraId="3BD99EB5" w14:textId="77777777">
      <w:pPr>
        <w:tabs>
          <w:tab w:val="left" w:pos="540"/>
        </w:tabs>
        <w:ind w:left="540" w:hanging="540"/>
        <w:rPr>
          <w:rFonts w:asciiTheme="minorHAnsi" w:hAnsiTheme="minorHAnsi" w:cstheme="minorHAnsi"/>
        </w:rPr>
      </w:pPr>
    </w:p>
    <w:p w:rsidRPr="00427ABC" w:rsidR="00E25F9C" w:rsidP="00861516" w:rsidRDefault="00E25F9C" w14:paraId="26AA5C26" w14:textId="77777777">
      <w:pPr>
        <w:widowControl/>
        <w:ind w:left="540"/>
        <w:rPr>
          <w:rFonts w:asciiTheme="minorHAnsi" w:hAnsiTheme="minorHAnsi" w:cstheme="minorHAnsi"/>
        </w:rPr>
      </w:pPr>
      <w:r w:rsidRPr="00427ABC">
        <w:rPr>
          <w:rFonts w:asciiTheme="minorHAnsi" w:hAnsiTheme="minorHAnsi" w:cstheme="minorHAnsi"/>
        </w:rPr>
        <w:t xml:space="preserve">There are no plans for tabulation, statistical </w:t>
      </w:r>
      <w:proofErr w:type="gramStart"/>
      <w:r w:rsidRPr="00427ABC">
        <w:rPr>
          <w:rFonts w:asciiTheme="minorHAnsi" w:hAnsiTheme="minorHAnsi" w:cstheme="minorHAnsi"/>
        </w:rPr>
        <w:t>analysis</w:t>
      </w:r>
      <w:proofErr w:type="gramEnd"/>
      <w:r w:rsidRPr="00427ABC">
        <w:rPr>
          <w:rFonts w:asciiTheme="minorHAnsi" w:hAnsiTheme="minorHAnsi" w:cstheme="minorHAnsi"/>
        </w:rPr>
        <w:t xml:space="preserve"> and publication.</w:t>
      </w:r>
    </w:p>
    <w:p w:rsidRPr="00427ABC" w:rsidR="00AB0588" w:rsidP="000664BE" w:rsidRDefault="00AB0588" w14:paraId="709DE1D6" w14:textId="77777777">
      <w:pPr>
        <w:tabs>
          <w:tab w:val="left" w:pos="540"/>
        </w:tabs>
        <w:ind w:left="540" w:hanging="540"/>
        <w:rPr>
          <w:rFonts w:asciiTheme="minorHAnsi" w:hAnsiTheme="minorHAnsi" w:cstheme="minorHAnsi"/>
        </w:rPr>
      </w:pPr>
    </w:p>
    <w:p w:rsidRPr="00427ABC" w:rsidR="00AB0588" w:rsidP="000664BE" w:rsidRDefault="00AB0588" w14:paraId="73EDCC3F" w14:textId="77777777">
      <w:pPr>
        <w:tabs>
          <w:tab w:val="left" w:pos="-1440"/>
          <w:tab w:val="left" w:pos="540"/>
        </w:tabs>
        <w:ind w:left="540" w:hanging="540"/>
        <w:rPr>
          <w:rFonts w:asciiTheme="minorHAnsi" w:hAnsiTheme="minorHAnsi" w:cstheme="minorHAnsi"/>
          <w:b/>
          <w:bCs/>
        </w:rPr>
      </w:pPr>
      <w:r w:rsidRPr="00427ABC">
        <w:rPr>
          <w:rFonts w:asciiTheme="minorHAnsi" w:hAnsiTheme="minorHAnsi" w:cstheme="minorHAnsi"/>
          <w:b/>
          <w:bCs/>
        </w:rPr>
        <w:t>17.</w:t>
      </w:r>
      <w:r w:rsidRPr="00427ABC">
        <w:rPr>
          <w:rFonts w:asciiTheme="minorHAnsi" w:hAnsiTheme="minorHAnsi" w:cstheme="minorHAnsi"/>
          <w:b/>
          <w:bCs/>
        </w:rPr>
        <w:tab/>
      </w:r>
      <w:r w:rsidRPr="00427ABC">
        <w:rPr>
          <w:rFonts w:asciiTheme="minorHAnsi" w:hAnsiTheme="minorHAnsi" w:cstheme="minorHAnsi"/>
          <w:b/>
          <w:bCs/>
          <w:u w:val="single"/>
        </w:rPr>
        <w:t>REASONS WHY DISPLAYING THE OMB EXPIRATION DATE IS</w:t>
      </w:r>
      <w:r w:rsidRPr="00427ABC" w:rsidR="000664BE">
        <w:rPr>
          <w:rFonts w:asciiTheme="minorHAnsi" w:hAnsiTheme="minorHAnsi" w:cstheme="minorHAnsi"/>
          <w:b/>
          <w:bCs/>
          <w:u w:val="single"/>
        </w:rPr>
        <w:t xml:space="preserve"> </w:t>
      </w:r>
      <w:r w:rsidRPr="00427ABC">
        <w:rPr>
          <w:rFonts w:asciiTheme="minorHAnsi" w:hAnsiTheme="minorHAnsi" w:cstheme="minorHAnsi"/>
          <w:b/>
          <w:bCs/>
          <w:u w:val="single"/>
        </w:rPr>
        <w:t>INAPPROPRIATE</w:t>
      </w:r>
    </w:p>
    <w:p w:rsidRPr="00427ABC" w:rsidR="00AB0588" w:rsidP="000664BE" w:rsidRDefault="00AB0588" w14:paraId="04C17052" w14:textId="77777777">
      <w:pPr>
        <w:tabs>
          <w:tab w:val="left" w:pos="540"/>
        </w:tabs>
        <w:ind w:left="540" w:hanging="540"/>
        <w:rPr>
          <w:rFonts w:asciiTheme="minorHAnsi" w:hAnsiTheme="minorHAnsi" w:cstheme="minorHAnsi"/>
        </w:rPr>
      </w:pPr>
    </w:p>
    <w:p w:rsidRPr="00427ABC" w:rsidR="00AB0588" w:rsidP="000664BE" w:rsidRDefault="00AB0588" w14:paraId="0BFEAEC4" w14:textId="57EB2959">
      <w:pPr>
        <w:tabs>
          <w:tab w:val="left" w:pos="-1440"/>
          <w:tab w:val="left" w:pos="540"/>
        </w:tabs>
        <w:ind w:left="540" w:hanging="540"/>
        <w:rPr>
          <w:rFonts w:asciiTheme="minorHAnsi" w:hAnsiTheme="minorHAnsi" w:cstheme="minorHAnsi"/>
        </w:rPr>
      </w:pPr>
      <w:r w:rsidRPr="00427ABC">
        <w:rPr>
          <w:rFonts w:asciiTheme="minorHAnsi" w:hAnsiTheme="minorHAnsi" w:cstheme="minorHAnsi"/>
        </w:rPr>
        <w:tab/>
      </w:r>
      <w:r w:rsidRPr="00427ABC" w:rsidR="004868A3">
        <w:rPr>
          <w:rFonts w:asciiTheme="minorHAnsi" w:hAnsiTheme="minorHAnsi" w:cstheme="minorHAnsi"/>
        </w:rPr>
        <w:t xml:space="preserve">IRS </w:t>
      </w:r>
      <w:r w:rsidRPr="00427ABC">
        <w:rPr>
          <w:rFonts w:asciiTheme="minorHAnsi" w:hAnsiTheme="minorHAnsi" w:cstheme="minorHAnsi"/>
        </w:rPr>
        <w:t>believe</w:t>
      </w:r>
      <w:r w:rsidRPr="00427ABC" w:rsidR="004868A3">
        <w:rPr>
          <w:rFonts w:asciiTheme="minorHAnsi" w:hAnsiTheme="minorHAnsi" w:cstheme="minorHAnsi"/>
        </w:rPr>
        <w:t>s</w:t>
      </w:r>
      <w:r w:rsidRPr="00427ABC">
        <w:rPr>
          <w:rFonts w:asciiTheme="minorHAnsi" w:hAnsiTheme="minorHAnsi" w:cstheme="minorHAnsi"/>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427ABC" w:rsidR="00AB0588" w:rsidP="000664BE" w:rsidRDefault="00AB0588" w14:paraId="7DF21113" w14:textId="77777777">
      <w:pPr>
        <w:tabs>
          <w:tab w:val="left" w:pos="-1440"/>
          <w:tab w:val="left" w:pos="540"/>
        </w:tabs>
        <w:ind w:left="540" w:hanging="540"/>
        <w:rPr>
          <w:rFonts w:asciiTheme="minorHAnsi" w:hAnsiTheme="minorHAnsi" w:cstheme="minorHAnsi"/>
          <w:b/>
          <w:bCs/>
        </w:rPr>
      </w:pPr>
      <w:r w:rsidRPr="00427ABC">
        <w:rPr>
          <w:rFonts w:asciiTheme="minorHAnsi" w:hAnsiTheme="minorHAnsi" w:cstheme="minorHAnsi"/>
          <w:b/>
          <w:bCs/>
        </w:rPr>
        <w:lastRenderedPageBreak/>
        <w:t>18.</w:t>
      </w:r>
      <w:r w:rsidRPr="00427ABC">
        <w:rPr>
          <w:rFonts w:asciiTheme="minorHAnsi" w:hAnsiTheme="minorHAnsi" w:cstheme="minorHAnsi"/>
          <w:b/>
          <w:bCs/>
        </w:rPr>
        <w:tab/>
      </w:r>
      <w:r w:rsidRPr="00427ABC">
        <w:rPr>
          <w:rFonts w:asciiTheme="minorHAnsi" w:hAnsiTheme="minorHAnsi" w:cstheme="minorHAnsi"/>
          <w:b/>
          <w:bCs/>
          <w:u w:val="single"/>
        </w:rPr>
        <w:t>EXCEPTIONS TO THE CERTIFICATION STATEMENT</w:t>
      </w:r>
      <w:r w:rsidRPr="00427ABC">
        <w:rPr>
          <w:rFonts w:asciiTheme="minorHAnsi" w:hAnsiTheme="minorHAnsi" w:cstheme="minorHAnsi"/>
          <w:b/>
          <w:bCs/>
        </w:rPr>
        <w:t xml:space="preserve"> </w:t>
      </w:r>
    </w:p>
    <w:p w:rsidRPr="00427ABC" w:rsidR="00AB0588" w:rsidP="000664BE" w:rsidRDefault="00AB0588" w14:paraId="4A8601FC" w14:textId="77777777">
      <w:pPr>
        <w:tabs>
          <w:tab w:val="left" w:pos="540"/>
        </w:tabs>
        <w:ind w:left="540" w:hanging="540"/>
        <w:rPr>
          <w:rFonts w:asciiTheme="minorHAnsi" w:hAnsiTheme="minorHAnsi" w:cstheme="minorHAnsi"/>
        </w:rPr>
      </w:pPr>
    </w:p>
    <w:p w:rsidRPr="00427ABC" w:rsidR="00AB0588" w:rsidP="000664BE" w:rsidRDefault="00AB0588" w14:paraId="1206F299" w14:textId="13B47D58">
      <w:pPr>
        <w:tabs>
          <w:tab w:val="left" w:pos="-1440"/>
          <w:tab w:val="left" w:pos="540"/>
        </w:tabs>
        <w:ind w:left="540" w:hanging="540"/>
        <w:rPr>
          <w:rFonts w:asciiTheme="minorHAnsi" w:hAnsiTheme="minorHAnsi" w:cstheme="minorHAnsi"/>
        </w:rPr>
      </w:pPr>
      <w:r w:rsidRPr="00427ABC">
        <w:rPr>
          <w:rFonts w:asciiTheme="minorHAnsi" w:hAnsiTheme="minorHAnsi" w:cstheme="minorHAnsi"/>
        </w:rPr>
        <w:t xml:space="preserve"> </w:t>
      </w:r>
      <w:r w:rsidRPr="00427ABC">
        <w:rPr>
          <w:rFonts w:asciiTheme="minorHAnsi" w:hAnsiTheme="minorHAnsi" w:cstheme="minorHAnsi"/>
        </w:rPr>
        <w:tab/>
      </w:r>
      <w:r w:rsidRPr="00427ABC" w:rsidR="00EB64D5">
        <w:rPr>
          <w:rFonts w:asciiTheme="minorHAnsi" w:hAnsiTheme="minorHAnsi" w:cstheme="minorHAnsi"/>
        </w:rPr>
        <w:t>There are n</w:t>
      </w:r>
      <w:r w:rsidRPr="00427ABC" w:rsidR="00861516">
        <w:rPr>
          <w:rFonts w:asciiTheme="minorHAnsi" w:hAnsiTheme="minorHAnsi" w:cstheme="minorHAnsi"/>
        </w:rPr>
        <w:t>o exceptions</w:t>
      </w:r>
      <w:r w:rsidRPr="00427ABC" w:rsidR="00EB64D5">
        <w:rPr>
          <w:rFonts w:asciiTheme="minorHAnsi" w:hAnsiTheme="minorHAnsi" w:cstheme="minorHAnsi"/>
        </w:rPr>
        <w:t xml:space="preserve"> to the certification statement</w:t>
      </w:r>
      <w:r w:rsidRPr="00427ABC" w:rsidR="003A6CB4">
        <w:rPr>
          <w:rFonts w:asciiTheme="minorHAnsi" w:hAnsiTheme="minorHAnsi" w:cstheme="minorHAnsi"/>
        </w:rPr>
        <w:t xml:space="preserve"> for this collection</w:t>
      </w:r>
      <w:r w:rsidRPr="00427ABC" w:rsidR="00861516">
        <w:rPr>
          <w:rFonts w:asciiTheme="minorHAnsi" w:hAnsiTheme="minorHAnsi" w:cstheme="minorHAnsi"/>
        </w:rPr>
        <w:t>.</w:t>
      </w:r>
    </w:p>
    <w:p w:rsidRPr="00427ABC" w:rsidR="00AB0588" w:rsidRDefault="00AB0588" w14:paraId="2F958717" w14:textId="77777777">
      <w:pPr>
        <w:rPr>
          <w:rFonts w:asciiTheme="minorHAnsi" w:hAnsiTheme="minorHAnsi" w:cstheme="minorHAnsi"/>
        </w:rPr>
      </w:pPr>
    </w:p>
    <w:p w:rsidRPr="00427ABC" w:rsidR="00AB0588" w:rsidP="003A6CB4" w:rsidRDefault="00AB0588" w14:paraId="166C36FA" w14:textId="77777777">
      <w:pPr>
        <w:ind w:left="540"/>
        <w:rPr>
          <w:rFonts w:asciiTheme="minorHAnsi" w:hAnsiTheme="minorHAnsi" w:cstheme="minorHAnsi"/>
        </w:rPr>
      </w:pPr>
      <w:r w:rsidRPr="00427ABC">
        <w:rPr>
          <w:rFonts w:asciiTheme="minorHAnsi" w:hAnsiTheme="minorHAnsi" w:cstheme="minorHAnsi"/>
          <w:u w:val="single"/>
        </w:rPr>
        <w:t>Note:</w:t>
      </w:r>
      <w:r w:rsidRPr="00427ABC">
        <w:rPr>
          <w:rFonts w:asciiTheme="minorHAnsi" w:hAnsiTheme="minorHAnsi" w:cstheme="minorHAnsi"/>
        </w:rPr>
        <w:t xml:space="preserve">   The following paragraph applies to </w:t>
      </w:r>
      <w:proofErr w:type="gramStart"/>
      <w:r w:rsidRPr="00427ABC">
        <w:rPr>
          <w:rFonts w:asciiTheme="minorHAnsi" w:hAnsiTheme="minorHAnsi" w:cstheme="minorHAnsi"/>
        </w:rPr>
        <w:t>all</w:t>
      </w:r>
      <w:r w:rsidRPr="00427ABC" w:rsidR="001E5094">
        <w:rPr>
          <w:rFonts w:asciiTheme="minorHAnsi" w:hAnsiTheme="minorHAnsi" w:cstheme="minorHAnsi"/>
        </w:rPr>
        <w:t xml:space="preserve"> </w:t>
      </w:r>
      <w:r w:rsidRPr="00427ABC">
        <w:rPr>
          <w:rFonts w:asciiTheme="minorHAnsi" w:hAnsiTheme="minorHAnsi" w:cstheme="minorHAnsi"/>
        </w:rPr>
        <w:t>of</w:t>
      </w:r>
      <w:proofErr w:type="gramEnd"/>
      <w:r w:rsidRPr="00427ABC">
        <w:rPr>
          <w:rFonts w:asciiTheme="minorHAnsi" w:hAnsiTheme="minorHAnsi" w:cstheme="minorHAnsi"/>
        </w:rPr>
        <w:t xml:space="preserve"> the collections of information in this submission:</w:t>
      </w:r>
    </w:p>
    <w:p w:rsidRPr="00427ABC" w:rsidR="00AB0588" w:rsidRDefault="00AB0588" w14:paraId="5085E272" w14:textId="77777777">
      <w:pPr>
        <w:rPr>
          <w:rFonts w:asciiTheme="minorHAnsi" w:hAnsiTheme="minorHAnsi" w:cstheme="minorHAnsi"/>
        </w:rPr>
      </w:pPr>
    </w:p>
    <w:p w:rsidRPr="00427ABC" w:rsidR="00AB0588" w:rsidP="003A6CB4" w:rsidRDefault="00AB0588" w14:paraId="3B4D1026" w14:textId="77777777">
      <w:pPr>
        <w:ind w:left="540"/>
        <w:rPr>
          <w:rFonts w:asciiTheme="minorHAnsi" w:hAnsiTheme="minorHAnsi" w:cstheme="minorHAnsi"/>
        </w:rPr>
      </w:pPr>
      <w:r w:rsidRPr="00427ABC">
        <w:rPr>
          <w:rFonts w:asciiTheme="minorHAnsi" w:hAnsiTheme="minorHAnsi" w:cstheme="minorHAns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427ABC">
        <w:rPr>
          <w:rFonts w:asciiTheme="minorHAnsi" w:hAnsiTheme="minorHAnsi" w:cstheme="minorHAnsi"/>
        </w:rPr>
        <w:t>as long as</w:t>
      </w:r>
      <w:proofErr w:type="gramEnd"/>
      <w:r w:rsidRPr="00427ABC">
        <w:rPr>
          <w:rFonts w:asciiTheme="minorHAnsi" w:hAnsiTheme="minorHAnsi" w:cstheme="minorHAnsi"/>
        </w:rPr>
        <w:t xml:space="preserve"> their contents may become material in the administration of any internal revenue law.  Generally, tax returns and tax return information are confidential, as required by 26 U.S.C. 6103.</w:t>
      </w:r>
    </w:p>
    <w:p w:rsidRPr="00427ABC" w:rsidR="00AB0588" w:rsidRDefault="00AB0588" w14:paraId="16714864" w14:textId="77777777">
      <w:pPr>
        <w:rPr>
          <w:rFonts w:asciiTheme="minorHAnsi" w:hAnsiTheme="minorHAnsi" w:cstheme="minorHAnsi"/>
        </w:rPr>
      </w:pPr>
    </w:p>
    <w:p w:rsidRPr="00427ABC" w:rsidR="00AB0588" w:rsidRDefault="00AB0588" w14:paraId="12F2DBDA" w14:textId="77777777">
      <w:pPr>
        <w:rPr>
          <w:rFonts w:asciiTheme="minorHAnsi" w:hAnsiTheme="minorHAnsi" w:cstheme="minorHAnsi"/>
        </w:rPr>
      </w:pPr>
    </w:p>
    <w:sectPr w:rsidRPr="00427ABC" w:rsidR="00AB0588" w:rsidSect="000664BE">
      <w:foot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D4D48" w14:textId="77777777" w:rsidR="00FC15DD" w:rsidRDefault="00FC15DD">
      <w:r>
        <w:separator/>
      </w:r>
    </w:p>
  </w:endnote>
  <w:endnote w:type="continuationSeparator" w:id="0">
    <w:p w14:paraId="0A2FBEA9" w14:textId="77777777" w:rsidR="00FC15DD" w:rsidRDefault="00FC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25523" w14:textId="77777777" w:rsidR="000664BE" w:rsidRPr="000664BE" w:rsidRDefault="000664BE">
    <w:pPr>
      <w:pStyle w:val="Footer"/>
      <w:jc w:val="right"/>
      <w:rPr>
        <w:rFonts w:ascii="Times New Roman" w:hAnsi="Times New Roman"/>
      </w:rPr>
    </w:pPr>
  </w:p>
  <w:p w14:paraId="6778EF36" w14:textId="77777777" w:rsidR="000664BE" w:rsidRDefault="00066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A0DAC" w14:textId="77777777" w:rsidR="00FC15DD" w:rsidRDefault="00FC15DD">
      <w:r>
        <w:separator/>
      </w:r>
    </w:p>
  </w:footnote>
  <w:footnote w:type="continuationSeparator" w:id="0">
    <w:p w14:paraId="2BBD42CC" w14:textId="77777777" w:rsidR="00FC15DD" w:rsidRDefault="00FC1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88"/>
    <w:rsid w:val="000649EE"/>
    <w:rsid w:val="000664BE"/>
    <w:rsid w:val="00070DAA"/>
    <w:rsid w:val="000A403E"/>
    <w:rsid w:val="00181444"/>
    <w:rsid w:val="00181C40"/>
    <w:rsid w:val="001E5094"/>
    <w:rsid w:val="002175C5"/>
    <w:rsid w:val="00275E10"/>
    <w:rsid w:val="00290906"/>
    <w:rsid w:val="002D1A9C"/>
    <w:rsid w:val="002E30CB"/>
    <w:rsid w:val="0035283D"/>
    <w:rsid w:val="003951FF"/>
    <w:rsid w:val="003A6CB4"/>
    <w:rsid w:val="00427ABC"/>
    <w:rsid w:val="00457301"/>
    <w:rsid w:val="004868A3"/>
    <w:rsid w:val="004C0450"/>
    <w:rsid w:val="00500850"/>
    <w:rsid w:val="00523478"/>
    <w:rsid w:val="0055443A"/>
    <w:rsid w:val="00571231"/>
    <w:rsid w:val="00580297"/>
    <w:rsid w:val="00586C24"/>
    <w:rsid w:val="005D1AF5"/>
    <w:rsid w:val="005D5756"/>
    <w:rsid w:val="005E0769"/>
    <w:rsid w:val="005E4EA5"/>
    <w:rsid w:val="00625516"/>
    <w:rsid w:val="00662CC3"/>
    <w:rsid w:val="00696D8E"/>
    <w:rsid w:val="0071627E"/>
    <w:rsid w:val="007233B1"/>
    <w:rsid w:val="00741620"/>
    <w:rsid w:val="007471DD"/>
    <w:rsid w:val="007E3ECE"/>
    <w:rsid w:val="00802888"/>
    <w:rsid w:val="008114FA"/>
    <w:rsid w:val="00813EA8"/>
    <w:rsid w:val="00845525"/>
    <w:rsid w:val="00861516"/>
    <w:rsid w:val="00890AC0"/>
    <w:rsid w:val="00895197"/>
    <w:rsid w:val="008F7A6E"/>
    <w:rsid w:val="00912635"/>
    <w:rsid w:val="00953F76"/>
    <w:rsid w:val="00961C3A"/>
    <w:rsid w:val="00966AF9"/>
    <w:rsid w:val="009E1731"/>
    <w:rsid w:val="00A02444"/>
    <w:rsid w:val="00A269FC"/>
    <w:rsid w:val="00A26F27"/>
    <w:rsid w:val="00A40749"/>
    <w:rsid w:val="00A83B03"/>
    <w:rsid w:val="00AB0588"/>
    <w:rsid w:val="00AC021B"/>
    <w:rsid w:val="00AD2A72"/>
    <w:rsid w:val="00B07F94"/>
    <w:rsid w:val="00B472E2"/>
    <w:rsid w:val="00B67546"/>
    <w:rsid w:val="00B85E1D"/>
    <w:rsid w:val="00B9663B"/>
    <w:rsid w:val="00BA5E25"/>
    <w:rsid w:val="00BD2A52"/>
    <w:rsid w:val="00C34442"/>
    <w:rsid w:val="00C74003"/>
    <w:rsid w:val="00D04F81"/>
    <w:rsid w:val="00D34D7C"/>
    <w:rsid w:val="00D63A29"/>
    <w:rsid w:val="00DC5A5F"/>
    <w:rsid w:val="00DF0A95"/>
    <w:rsid w:val="00DF3738"/>
    <w:rsid w:val="00E02B25"/>
    <w:rsid w:val="00E25F9C"/>
    <w:rsid w:val="00EB0C38"/>
    <w:rsid w:val="00EB25A6"/>
    <w:rsid w:val="00EB64D5"/>
    <w:rsid w:val="00F11A79"/>
    <w:rsid w:val="00F17F27"/>
    <w:rsid w:val="00F260C2"/>
    <w:rsid w:val="00FC15DD"/>
    <w:rsid w:val="00FC5DF8"/>
    <w:rsid w:val="00FF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8C14B4"/>
  <w15:chartTrackingRefBased/>
  <w15:docId w15:val="{0154ED13-29D2-4632-A8F7-DF5857EE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0664BE"/>
    <w:pPr>
      <w:tabs>
        <w:tab w:val="center" w:pos="4680"/>
        <w:tab w:val="right" w:pos="9360"/>
      </w:tabs>
    </w:pPr>
  </w:style>
  <w:style w:type="character" w:customStyle="1" w:styleId="HeaderChar">
    <w:name w:val="Header Char"/>
    <w:link w:val="Header"/>
    <w:rsid w:val="000664BE"/>
    <w:rPr>
      <w:rFonts w:ascii="Shruti" w:hAnsi="Shruti"/>
      <w:sz w:val="24"/>
      <w:szCs w:val="24"/>
    </w:rPr>
  </w:style>
  <w:style w:type="paragraph" w:styleId="Footer">
    <w:name w:val="footer"/>
    <w:basedOn w:val="Normal"/>
    <w:link w:val="FooterChar"/>
    <w:uiPriority w:val="99"/>
    <w:rsid w:val="000664BE"/>
    <w:pPr>
      <w:tabs>
        <w:tab w:val="center" w:pos="4680"/>
        <w:tab w:val="right" w:pos="9360"/>
      </w:tabs>
    </w:pPr>
  </w:style>
  <w:style w:type="character" w:customStyle="1" w:styleId="FooterChar">
    <w:name w:val="Footer Char"/>
    <w:link w:val="Footer"/>
    <w:uiPriority w:val="99"/>
    <w:rsid w:val="000664BE"/>
    <w:rPr>
      <w:rFonts w:ascii="Shruti" w:hAnsi="Shruti"/>
      <w:sz w:val="24"/>
      <w:szCs w:val="24"/>
    </w:rPr>
  </w:style>
  <w:style w:type="paragraph" w:styleId="BalloonText">
    <w:name w:val="Balloon Text"/>
    <w:basedOn w:val="Normal"/>
    <w:link w:val="BalloonTextChar"/>
    <w:rsid w:val="00BA5E25"/>
    <w:rPr>
      <w:rFonts w:ascii="Tahoma" w:hAnsi="Tahoma" w:cs="Tahoma"/>
      <w:sz w:val="16"/>
      <w:szCs w:val="16"/>
    </w:rPr>
  </w:style>
  <w:style w:type="character" w:customStyle="1" w:styleId="BalloonTextChar">
    <w:name w:val="Balloon Text Char"/>
    <w:link w:val="BalloonText"/>
    <w:rsid w:val="00BA5E25"/>
    <w:rPr>
      <w:rFonts w:ascii="Tahoma" w:hAnsi="Tahoma" w:cs="Tahoma"/>
      <w:sz w:val="16"/>
      <w:szCs w:val="16"/>
    </w:rPr>
  </w:style>
  <w:style w:type="table" w:styleId="TableGrid">
    <w:name w:val="Table Grid"/>
    <w:basedOn w:val="TableNormal"/>
    <w:rsid w:val="002D1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1A9C"/>
    <w:rPr>
      <w:color w:val="0563C1" w:themeColor="hyperlink"/>
      <w:u w:val="single"/>
    </w:rPr>
  </w:style>
  <w:style w:type="character" w:styleId="UnresolvedMention">
    <w:name w:val="Unresolved Mention"/>
    <w:basedOn w:val="DefaultParagraphFont"/>
    <w:uiPriority w:val="99"/>
    <w:semiHidden/>
    <w:unhideWhenUsed/>
    <w:rsid w:val="002D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2F70-8DDE-4691-919C-FC698C59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Adams Paul D</cp:lastModifiedBy>
  <cp:revision>2</cp:revision>
  <cp:lastPrinted>2015-08-17T13:25:00Z</cp:lastPrinted>
  <dcterms:created xsi:type="dcterms:W3CDTF">2021-11-28T03:03:00Z</dcterms:created>
  <dcterms:modified xsi:type="dcterms:W3CDTF">2021-11-28T03:03:00Z</dcterms:modified>
</cp:coreProperties>
</file>