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A4F9A" w:rsidR="00E9076D" w:rsidP="00E9076D" w:rsidRDefault="007E2EEB" w14:paraId="3FBA4D0E" w14:textId="77777777">
      <w:pPr>
        <w:tabs>
          <w:tab w:val="center" w:pos="4680"/>
        </w:tabs>
        <w:rPr>
          <w:rFonts w:ascii="Calibri" w:hAnsi="Calibri" w:cs="Berylium"/>
          <w:b/>
          <w:bCs/>
          <w:sz w:val="22"/>
          <w:szCs w:val="22"/>
        </w:rPr>
      </w:pPr>
      <w:r>
        <w:rPr>
          <w:rFonts w:ascii="Berylium" w:hAnsi="Berylium" w:cs="Berylium"/>
          <w:b/>
          <w:bCs/>
        </w:rPr>
        <w:tab/>
      </w:r>
      <w:r w:rsidRPr="005A4F9A" w:rsidR="00E9076D">
        <w:rPr>
          <w:rFonts w:ascii="Calibri" w:hAnsi="Calibri" w:cs="Berylium"/>
          <w:b/>
          <w:bCs/>
          <w:sz w:val="22"/>
          <w:szCs w:val="22"/>
        </w:rPr>
        <w:t>SUPPORTING STATEMENT</w:t>
      </w:r>
    </w:p>
    <w:p w:rsidRPr="005A4F9A" w:rsidR="00E9076D" w:rsidP="00E9076D" w:rsidRDefault="00E9076D" w14:paraId="692AEB53" w14:textId="77777777">
      <w:pPr>
        <w:tabs>
          <w:tab w:val="center" w:pos="4680"/>
        </w:tabs>
        <w:jc w:val="center"/>
        <w:rPr>
          <w:rFonts w:ascii="Calibri" w:hAnsi="Calibri" w:cs="Berylium"/>
          <w:b/>
          <w:bCs/>
          <w:sz w:val="22"/>
          <w:szCs w:val="22"/>
        </w:rPr>
      </w:pPr>
      <w:r w:rsidRPr="005A4F9A">
        <w:rPr>
          <w:rFonts w:ascii="Calibri" w:hAnsi="Calibri" w:cs="Berylium"/>
          <w:b/>
          <w:bCs/>
          <w:sz w:val="22"/>
          <w:szCs w:val="22"/>
        </w:rPr>
        <w:t>Internal Revenue Service</w:t>
      </w:r>
      <w:r w:rsidRPr="005A4F9A" w:rsidR="004B6E0C">
        <w:rPr>
          <w:rFonts w:ascii="Calibri" w:hAnsi="Calibri" w:cs="Berylium"/>
          <w:b/>
          <w:bCs/>
          <w:sz w:val="22"/>
          <w:szCs w:val="22"/>
        </w:rPr>
        <w:t xml:space="preserve"> (IRS)</w:t>
      </w:r>
    </w:p>
    <w:p w:rsidRPr="005A4F9A" w:rsidR="009501AC" w:rsidP="00E9076D" w:rsidRDefault="00DE215B" w14:paraId="2E92B5CE" w14:textId="77777777">
      <w:pPr>
        <w:tabs>
          <w:tab w:val="center" w:pos="4680"/>
        </w:tabs>
        <w:jc w:val="center"/>
        <w:rPr>
          <w:rFonts w:ascii="Calibri" w:hAnsi="Calibri" w:cs="Berylium"/>
          <w:b/>
          <w:bCs/>
          <w:sz w:val="22"/>
          <w:szCs w:val="22"/>
        </w:rPr>
      </w:pPr>
      <w:r w:rsidRPr="00DE215B">
        <w:rPr>
          <w:rFonts w:ascii="Calibri" w:hAnsi="Calibri" w:cs="Berylium"/>
          <w:b/>
          <w:bCs/>
          <w:sz w:val="22"/>
          <w:szCs w:val="22"/>
        </w:rPr>
        <w:t>Performance &amp; Quality for Small Wind Energy Property</w:t>
      </w:r>
    </w:p>
    <w:p w:rsidRPr="005A4F9A" w:rsidR="009501AC" w:rsidP="00E9076D" w:rsidRDefault="00DE215B" w14:paraId="4D5573D4" w14:textId="77777777">
      <w:pPr>
        <w:tabs>
          <w:tab w:val="center" w:pos="4680"/>
        </w:tabs>
        <w:jc w:val="center"/>
        <w:rPr>
          <w:rFonts w:ascii="Calibri" w:hAnsi="Calibri" w:cs="Berylium"/>
          <w:b/>
          <w:bCs/>
          <w:sz w:val="22"/>
          <w:szCs w:val="22"/>
        </w:rPr>
      </w:pPr>
      <w:r w:rsidRPr="00DE215B">
        <w:rPr>
          <w:rFonts w:ascii="Calibri" w:hAnsi="Calibri" w:cs="Berylium"/>
          <w:b/>
          <w:bCs/>
          <w:sz w:val="22"/>
          <w:szCs w:val="22"/>
        </w:rPr>
        <w:t>Notice 2015-4</w:t>
      </w:r>
    </w:p>
    <w:p w:rsidRPr="005A4F9A" w:rsidR="00E9076D" w:rsidP="00E9076D" w:rsidRDefault="00E9076D" w14:paraId="62497D9B" w14:textId="77777777">
      <w:pPr>
        <w:tabs>
          <w:tab w:val="center" w:pos="4680"/>
        </w:tabs>
        <w:jc w:val="center"/>
        <w:rPr>
          <w:rFonts w:ascii="Calibri" w:hAnsi="Calibri" w:cs="Berylium"/>
          <w:b/>
          <w:bCs/>
          <w:sz w:val="22"/>
          <w:szCs w:val="22"/>
        </w:rPr>
      </w:pPr>
      <w:r w:rsidRPr="005A4F9A">
        <w:rPr>
          <w:rFonts w:ascii="Calibri" w:hAnsi="Calibri" w:cs="Berylium"/>
          <w:b/>
          <w:bCs/>
          <w:sz w:val="22"/>
          <w:szCs w:val="22"/>
        </w:rPr>
        <w:t>OMB Number 1545-</w:t>
      </w:r>
      <w:r w:rsidR="00DE215B">
        <w:rPr>
          <w:rFonts w:ascii="Calibri" w:hAnsi="Calibri" w:cs="Berylium"/>
          <w:b/>
          <w:bCs/>
          <w:sz w:val="22"/>
          <w:szCs w:val="22"/>
        </w:rPr>
        <w:t>2259</w:t>
      </w:r>
    </w:p>
    <w:p w:rsidRPr="005A4F9A" w:rsidR="007E2EEB" w:rsidRDefault="007E2EEB" w14:paraId="38648B3C" w14:textId="77777777">
      <w:pPr>
        <w:rPr>
          <w:rFonts w:ascii="Calibri" w:hAnsi="Calibri" w:cs="Berylium"/>
          <w:b/>
          <w:bCs/>
          <w:sz w:val="22"/>
          <w:szCs w:val="22"/>
        </w:rPr>
      </w:pPr>
    </w:p>
    <w:p w:rsidRPr="00DE215B" w:rsidR="007E2EEB" w:rsidRDefault="007E2EEB" w14:paraId="043E542B" w14:textId="77777777">
      <w:pPr>
        <w:pStyle w:val="Level1"/>
        <w:numPr>
          <w:ilvl w:val="0"/>
          <w:numId w:val="1"/>
        </w:numPr>
        <w:tabs>
          <w:tab w:val="left" w:pos="-1440"/>
          <w:tab w:val="num" w:pos="720"/>
        </w:tabs>
        <w:rPr>
          <w:rFonts w:ascii="Calibri" w:hAnsi="Calibri"/>
          <w:b/>
          <w:sz w:val="22"/>
          <w:szCs w:val="22"/>
        </w:rPr>
      </w:pPr>
      <w:r w:rsidRPr="005A4F9A">
        <w:rPr>
          <w:rFonts w:ascii="Calibri" w:hAnsi="Calibri"/>
          <w:b/>
          <w:sz w:val="22"/>
          <w:szCs w:val="22"/>
          <w:u w:val="single"/>
        </w:rPr>
        <w:t>CIRCUMSTANCES NECESSITATING COLLECTION OF INFORMATION</w:t>
      </w:r>
      <w:r w:rsidRPr="005A4F9A" w:rsidR="009501AC">
        <w:rPr>
          <w:rFonts w:ascii="Calibri" w:hAnsi="Calibri"/>
          <w:b/>
          <w:sz w:val="22"/>
          <w:szCs w:val="22"/>
          <w:u w:val="single"/>
        </w:rPr>
        <w:t xml:space="preserve"> </w:t>
      </w:r>
    </w:p>
    <w:p w:rsidR="00DE215B" w:rsidP="00DE215B" w:rsidRDefault="00DE215B" w14:paraId="662FA127" w14:textId="77777777">
      <w:pPr>
        <w:pStyle w:val="Level1"/>
        <w:numPr>
          <w:ilvl w:val="0"/>
          <w:numId w:val="0"/>
        </w:numPr>
        <w:tabs>
          <w:tab w:val="left" w:pos="-1440"/>
        </w:tabs>
        <w:ind w:left="720" w:hanging="720"/>
        <w:rPr>
          <w:rFonts w:ascii="Calibri" w:hAnsi="Calibri"/>
          <w:b/>
          <w:sz w:val="22"/>
          <w:szCs w:val="22"/>
          <w:u w:val="single"/>
        </w:rPr>
      </w:pPr>
    </w:p>
    <w:p w:rsidRPr="00E75F78" w:rsidR="00DE215B" w:rsidP="00DE215B" w:rsidRDefault="00DE215B" w14:paraId="4C464376" w14:textId="77777777">
      <w:pPr>
        <w:ind w:left="720"/>
        <w:rPr>
          <w:rFonts w:ascii="Calibri" w:hAnsi="Calibri" w:cs="Courier New"/>
          <w:sz w:val="22"/>
          <w:szCs w:val="22"/>
        </w:rPr>
      </w:pPr>
      <w:r w:rsidRPr="00E75F78">
        <w:rPr>
          <w:rFonts w:ascii="Calibri" w:hAnsi="Calibri" w:cs="Courier New"/>
          <w:sz w:val="22"/>
          <w:szCs w:val="22"/>
        </w:rPr>
        <w:t>Section 48(a)(3)(D) of the Internal Revenue Code allows a credit for energy property which meets, among other requirements, the performance and quality standards (if any) which have been prescribed by the Secretary by regulations (after consultation with the Secretary of Energy</w:t>
      </w:r>
      <w:proofErr w:type="gramStart"/>
      <w:r w:rsidRPr="00E75F78">
        <w:rPr>
          <w:rFonts w:ascii="Calibri" w:hAnsi="Calibri" w:cs="Courier New"/>
          <w:sz w:val="22"/>
          <w:szCs w:val="22"/>
        </w:rPr>
        <w:t>), and</w:t>
      </w:r>
      <w:proofErr w:type="gramEnd"/>
      <w:r w:rsidRPr="00E75F78">
        <w:rPr>
          <w:rFonts w:ascii="Calibri" w:hAnsi="Calibri" w:cs="Courier New"/>
          <w:sz w:val="22"/>
          <w:szCs w:val="22"/>
        </w:rPr>
        <w:t xml:space="preserve"> are in effect at the time of the acquisition of the property. Energy property includes small wind energy property.  </w:t>
      </w:r>
    </w:p>
    <w:p w:rsidRPr="00E75F78" w:rsidR="00DE215B" w:rsidP="00DE215B" w:rsidRDefault="00DE215B" w14:paraId="3E96EE18" w14:textId="77777777">
      <w:pPr>
        <w:ind w:left="720"/>
        <w:rPr>
          <w:rFonts w:ascii="Calibri" w:hAnsi="Calibri" w:cs="Courier New"/>
          <w:sz w:val="22"/>
          <w:szCs w:val="22"/>
        </w:rPr>
      </w:pPr>
    </w:p>
    <w:p w:rsidR="00DE215B" w:rsidP="00DE215B" w:rsidRDefault="00DE215B" w14:paraId="3F38DB98" w14:textId="77777777">
      <w:pPr>
        <w:ind w:left="720"/>
        <w:rPr>
          <w:rFonts w:ascii="Calibri" w:hAnsi="Calibri" w:cs="Courier New"/>
          <w:sz w:val="22"/>
          <w:szCs w:val="22"/>
        </w:rPr>
      </w:pPr>
      <w:r w:rsidRPr="00E75F78">
        <w:rPr>
          <w:rFonts w:ascii="Calibri" w:hAnsi="Calibri" w:cs="Courier New"/>
          <w:sz w:val="22"/>
          <w:szCs w:val="22"/>
        </w:rPr>
        <w:t xml:space="preserve">This notice provides performance and quality standards for small wind energy property that such property must meet </w:t>
      </w:r>
      <w:proofErr w:type="gramStart"/>
      <w:r w:rsidRPr="00E75F78">
        <w:rPr>
          <w:rFonts w:ascii="Calibri" w:hAnsi="Calibri" w:cs="Courier New"/>
          <w:sz w:val="22"/>
          <w:szCs w:val="22"/>
        </w:rPr>
        <w:t>in order to</w:t>
      </w:r>
      <w:proofErr w:type="gramEnd"/>
      <w:r w:rsidRPr="00E75F78">
        <w:rPr>
          <w:rFonts w:ascii="Calibri" w:hAnsi="Calibri" w:cs="Courier New"/>
          <w:sz w:val="22"/>
          <w:szCs w:val="22"/>
        </w:rPr>
        <w:t xml:space="preserve"> qualify for the energy credit under § 48.  Although a certification is not required, this notice provides that a taxpayer may rely on a certification from an eligible certifier in determining whether the wind turbine meets the performance and quality standards as provided in the notice.  </w:t>
      </w:r>
    </w:p>
    <w:p w:rsidRPr="00E75F78" w:rsidR="007C110A" w:rsidP="00DE215B" w:rsidRDefault="007C110A" w14:paraId="034D3E00" w14:textId="77777777">
      <w:pPr>
        <w:ind w:left="720"/>
        <w:rPr>
          <w:rFonts w:ascii="Calibri" w:hAnsi="Calibri" w:cs="Courier New"/>
          <w:sz w:val="22"/>
          <w:szCs w:val="22"/>
        </w:rPr>
      </w:pPr>
    </w:p>
    <w:p w:rsidRPr="00E75F78" w:rsidR="00DE215B" w:rsidP="00DE215B" w:rsidRDefault="00DE215B" w14:paraId="45502911" w14:textId="77777777">
      <w:pPr>
        <w:ind w:left="720"/>
        <w:rPr>
          <w:rFonts w:ascii="Calibri" w:hAnsi="Calibri" w:cs="Courier New"/>
          <w:sz w:val="22"/>
          <w:szCs w:val="22"/>
        </w:rPr>
      </w:pPr>
      <w:r w:rsidRPr="00E75F78">
        <w:rPr>
          <w:rFonts w:ascii="Calibri" w:hAnsi="Calibri" w:cs="Courier New"/>
          <w:sz w:val="22"/>
          <w:szCs w:val="22"/>
        </w:rPr>
        <w:t>This notice also includes the required contents of a certification and defines an eligible certifier.</w:t>
      </w:r>
    </w:p>
    <w:p w:rsidRPr="00E75F78" w:rsidR="00DE215B" w:rsidP="00DE215B" w:rsidRDefault="00DE215B" w14:paraId="2F444B51" w14:textId="77777777">
      <w:pPr>
        <w:ind w:left="720"/>
        <w:rPr>
          <w:rFonts w:ascii="Calibri" w:hAnsi="Calibri" w:cs="Courier New"/>
          <w:sz w:val="22"/>
          <w:szCs w:val="22"/>
        </w:rPr>
      </w:pPr>
    </w:p>
    <w:p w:rsidRPr="00E75F78" w:rsidR="00DE215B" w:rsidP="00DE215B" w:rsidRDefault="00DE215B" w14:paraId="6A0A409C" w14:textId="77777777">
      <w:pPr>
        <w:ind w:left="720"/>
        <w:rPr>
          <w:rFonts w:ascii="Calibri" w:hAnsi="Calibri" w:cs="Courier New"/>
          <w:sz w:val="22"/>
          <w:szCs w:val="22"/>
        </w:rPr>
      </w:pPr>
      <w:r w:rsidRPr="00E75F78">
        <w:rPr>
          <w:rFonts w:ascii="Calibri" w:hAnsi="Calibri" w:cs="Courier New"/>
          <w:sz w:val="22"/>
          <w:szCs w:val="22"/>
        </w:rPr>
        <w:t>The certification, requires the following information:</w:t>
      </w:r>
    </w:p>
    <w:p w:rsidRPr="00E75F78" w:rsidR="00DE215B" w:rsidP="00DE215B" w:rsidRDefault="00DE215B" w14:paraId="265D86E0" w14:textId="77777777">
      <w:pPr>
        <w:ind w:left="720"/>
        <w:rPr>
          <w:rFonts w:ascii="Calibri" w:hAnsi="Calibri" w:cs="Courier New"/>
          <w:sz w:val="22"/>
          <w:szCs w:val="22"/>
        </w:rPr>
      </w:pPr>
    </w:p>
    <w:p w:rsidRPr="00E75F78" w:rsidR="00DE215B" w:rsidP="00DE215B" w:rsidRDefault="00DE215B" w14:paraId="6D0C0FEC" w14:textId="77777777">
      <w:pPr>
        <w:ind w:left="720"/>
        <w:rPr>
          <w:rFonts w:ascii="Calibri" w:hAnsi="Calibri" w:cs="Courier New"/>
          <w:sz w:val="22"/>
          <w:szCs w:val="22"/>
        </w:rPr>
      </w:pPr>
      <w:r w:rsidRPr="00E75F78">
        <w:rPr>
          <w:rFonts w:ascii="Calibri" w:hAnsi="Calibri" w:cs="Courier New"/>
          <w:sz w:val="22"/>
          <w:szCs w:val="22"/>
        </w:rPr>
        <w:t>CERTIFICATION</w:t>
      </w:r>
    </w:p>
    <w:p w:rsidRPr="00E75F78" w:rsidR="00DE215B" w:rsidP="00DE215B" w:rsidRDefault="00DE215B" w14:paraId="02CBB4B1" w14:textId="77777777">
      <w:pPr>
        <w:ind w:left="720"/>
        <w:rPr>
          <w:rFonts w:ascii="Calibri" w:hAnsi="Calibri" w:cs="Courier New"/>
          <w:sz w:val="22"/>
          <w:szCs w:val="22"/>
        </w:rPr>
      </w:pPr>
      <w:r w:rsidRPr="00E75F78">
        <w:rPr>
          <w:rFonts w:ascii="Calibri" w:hAnsi="Calibri" w:cs="Courier New"/>
          <w:i/>
          <w:sz w:val="22"/>
          <w:szCs w:val="22"/>
        </w:rPr>
        <w:t>In General</w:t>
      </w:r>
      <w:r w:rsidRPr="00E75F78">
        <w:rPr>
          <w:rFonts w:ascii="Calibri" w:hAnsi="Calibri" w:cs="Courier New"/>
          <w:sz w:val="22"/>
          <w:szCs w:val="22"/>
        </w:rPr>
        <w:t xml:space="preserve">.  A taxpayer may rely on a certification from an eligible certifier in determining whether the wind turbine meets the performance and quality standards of American Wind Energy Association (AWEA) or International Electrotechnical Commission (IEC). </w:t>
      </w:r>
    </w:p>
    <w:p w:rsidRPr="00E75F78" w:rsidR="00DE215B" w:rsidP="00DE215B" w:rsidRDefault="00DE215B" w14:paraId="5BDFA9C4" w14:textId="77777777">
      <w:pPr>
        <w:ind w:left="720"/>
        <w:rPr>
          <w:rFonts w:ascii="Calibri" w:hAnsi="Calibri" w:cs="Courier New"/>
          <w:sz w:val="22"/>
          <w:szCs w:val="22"/>
        </w:rPr>
      </w:pPr>
      <w:r w:rsidRPr="00E75F78">
        <w:rPr>
          <w:rFonts w:ascii="Calibri" w:hAnsi="Calibri" w:cs="Courier New"/>
          <w:i/>
          <w:sz w:val="22"/>
          <w:szCs w:val="22"/>
        </w:rPr>
        <w:t>Content of the Certification</w:t>
      </w:r>
      <w:r w:rsidRPr="00E75F78">
        <w:rPr>
          <w:rFonts w:ascii="Calibri" w:hAnsi="Calibri" w:cs="Courier New"/>
          <w:sz w:val="22"/>
          <w:szCs w:val="22"/>
        </w:rPr>
        <w:t>.  The certification statement must contain the following:</w:t>
      </w:r>
    </w:p>
    <w:p w:rsidRPr="00E75F78" w:rsidR="00DE215B" w:rsidP="00DE215B" w:rsidRDefault="00DE215B" w14:paraId="2E809847" w14:textId="77777777">
      <w:pPr>
        <w:ind w:left="720"/>
        <w:rPr>
          <w:rFonts w:ascii="Calibri" w:hAnsi="Calibri" w:cs="Courier New"/>
          <w:sz w:val="22"/>
          <w:szCs w:val="22"/>
        </w:rPr>
      </w:pPr>
      <w:r w:rsidRPr="00E75F78">
        <w:rPr>
          <w:rFonts w:ascii="Calibri" w:hAnsi="Calibri" w:cs="Courier New"/>
          <w:sz w:val="22"/>
          <w:szCs w:val="22"/>
        </w:rPr>
        <w:t xml:space="preserve">(a) The name and address of the </w:t>
      </w:r>
      <w:proofErr w:type="gramStart"/>
      <w:r w:rsidRPr="00E75F78">
        <w:rPr>
          <w:rFonts w:ascii="Calibri" w:hAnsi="Calibri" w:cs="Courier New"/>
          <w:sz w:val="22"/>
          <w:szCs w:val="22"/>
        </w:rPr>
        <w:t>manufacturer;</w:t>
      </w:r>
      <w:proofErr w:type="gramEnd"/>
    </w:p>
    <w:p w:rsidRPr="00E75F78" w:rsidR="00DE215B" w:rsidP="00DE215B" w:rsidRDefault="00DE215B" w14:paraId="165E9EA2" w14:textId="77777777">
      <w:pPr>
        <w:ind w:left="720"/>
        <w:rPr>
          <w:rFonts w:ascii="Calibri" w:hAnsi="Calibri" w:cs="Courier New"/>
          <w:sz w:val="22"/>
          <w:szCs w:val="22"/>
        </w:rPr>
      </w:pPr>
      <w:r w:rsidRPr="00E75F78">
        <w:rPr>
          <w:rFonts w:ascii="Calibri" w:hAnsi="Calibri" w:cs="Courier New"/>
          <w:sz w:val="22"/>
          <w:szCs w:val="22"/>
        </w:rPr>
        <w:t>(b) The name and address of the eligible certifier; and</w:t>
      </w:r>
    </w:p>
    <w:p w:rsidRPr="005A4F9A" w:rsidR="00DE215B" w:rsidP="00DE215B" w:rsidRDefault="00DE215B" w14:paraId="46F8613A" w14:textId="77777777">
      <w:pPr>
        <w:ind w:left="720"/>
        <w:rPr>
          <w:rFonts w:ascii="Calibri" w:hAnsi="Calibri"/>
          <w:b/>
          <w:sz w:val="22"/>
          <w:szCs w:val="22"/>
        </w:rPr>
      </w:pPr>
      <w:r w:rsidRPr="00E75F78">
        <w:rPr>
          <w:rFonts w:ascii="Calibri" w:hAnsi="Calibri" w:cs="Courier New"/>
          <w:sz w:val="22"/>
          <w:szCs w:val="22"/>
        </w:rPr>
        <w:t>(c) A statement specifying the nameplate capacity of the wind turbine.</w:t>
      </w:r>
      <w:r>
        <w:rPr>
          <w:rFonts w:ascii="Calibri" w:hAnsi="Calibri"/>
          <w:b/>
          <w:sz w:val="22"/>
          <w:szCs w:val="22"/>
        </w:rPr>
        <w:t xml:space="preserve"> </w:t>
      </w:r>
    </w:p>
    <w:p w:rsidRPr="005A4F9A" w:rsidR="009501AC" w:rsidP="009501AC" w:rsidRDefault="009501AC" w14:paraId="41B6C6A3" w14:textId="77777777">
      <w:pPr>
        <w:pStyle w:val="Level1"/>
        <w:numPr>
          <w:ilvl w:val="0"/>
          <w:numId w:val="0"/>
        </w:numPr>
        <w:tabs>
          <w:tab w:val="left" w:pos="-1440"/>
        </w:tabs>
        <w:ind w:left="720" w:hanging="720"/>
        <w:rPr>
          <w:rFonts w:ascii="Calibri" w:hAnsi="Calibri"/>
          <w:b/>
          <w:sz w:val="22"/>
          <w:szCs w:val="22"/>
          <w:u w:val="single"/>
        </w:rPr>
      </w:pPr>
    </w:p>
    <w:p w:rsidRPr="005A4F9A" w:rsidR="007E2EEB" w:rsidRDefault="007E2EEB" w14:paraId="1BEF2984" w14:textId="77777777">
      <w:pPr>
        <w:pStyle w:val="Level1"/>
        <w:numPr>
          <w:ilvl w:val="0"/>
          <w:numId w:val="1"/>
        </w:numPr>
        <w:tabs>
          <w:tab w:val="left" w:pos="-1440"/>
          <w:tab w:val="num" w:pos="720"/>
        </w:tabs>
        <w:rPr>
          <w:rFonts w:ascii="Calibri" w:hAnsi="Calibri"/>
          <w:b/>
          <w:sz w:val="22"/>
          <w:szCs w:val="22"/>
        </w:rPr>
      </w:pPr>
      <w:r w:rsidRPr="005A4F9A">
        <w:rPr>
          <w:rFonts w:ascii="Calibri" w:hAnsi="Calibri"/>
          <w:b/>
          <w:sz w:val="22"/>
          <w:szCs w:val="22"/>
          <w:u w:val="single"/>
        </w:rPr>
        <w:t>USE OF DATA</w:t>
      </w:r>
      <w:r w:rsidRPr="005A4F9A">
        <w:rPr>
          <w:rFonts w:ascii="Calibri" w:hAnsi="Calibri"/>
          <w:b/>
          <w:sz w:val="22"/>
          <w:szCs w:val="22"/>
        </w:rPr>
        <w:t xml:space="preserve">              </w:t>
      </w:r>
    </w:p>
    <w:p w:rsidRPr="005A4F9A" w:rsidR="007E2EEB" w:rsidRDefault="007E2EEB" w14:paraId="41187FAD" w14:textId="77777777">
      <w:pPr>
        <w:rPr>
          <w:rFonts w:ascii="Calibri" w:hAnsi="Calibri"/>
          <w:sz w:val="22"/>
          <w:szCs w:val="22"/>
        </w:rPr>
      </w:pPr>
    </w:p>
    <w:p w:rsidRPr="00DE215B" w:rsidR="00DE215B" w:rsidP="00DE215B" w:rsidRDefault="00DE215B" w14:paraId="63E6D7B4" w14:textId="77777777">
      <w:pPr>
        <w:ind w:left="720"/>
        <w:rPr>
          <w:rFonts w:ascii="Calibri" w:hAnsi="Calibri"/>
          <w:bCs/>
          <w:sz w:val="22"/>
          <w:szCs w:val="22"/>
        </w:rPr>
      </w:pPr>
      <w:r w:rsidRPr="00DE215B">
        <w:rPr>
          <w:rFonts w:ascii="Calibri" w:hAnsi="Calibri"/>
          <w:bCs/>
          <w:sz w:val="22"/>
          <w:szCs w:val="22"/>
        </w:rPr>
        <w:t xml:space="preserve">The data will be used by (1) manufacturers for the purposes of determining if the manufacturer’s small wind energy property is considered qualified under § 48 and determining the methods by which certifications will be obtained and provided to taxpayers, and (2) taxpayers for the purpose of determining if small wind energy property which is constructed, reconstructed, erected, or acquired by the taxpayer meets the standards in the notice and thus whether the credit is allowed with respect to specific small wind energy property. </w:t>
      </w:r>
    </w:p>
    <w:p w:rsidRPr="00DE215B" w:rsidR="00DE215B" w:rsidP="00DE215B" w:rsidRDefault="00DE215B" w14:paraId="29EDF5A6" w14:textId="77777777">
      <w:pPr>
        <w:ind w:left="720"/>
        <w:rPr>
          <w:rFonts w:ascii="Calibri" w:hAnsi="Calibri"/>
          <w:bCs/>
          <w:sz w:val="22"/>
          <w:szCs w:val="22"/>
        </w:rPr>
      </w:pPr>
    </w:p>
    <w:p w:rsidRPr="00C349E3" w:rsidR="007E2EEB" w:rsidP="00C349E3" w:rsidRDefault="00DE215B" w14:paraId="74C61B5F" w14:textId="26D184E7">
      <w:pPr>
        <w:ind w:left="720"/>
        <w:rPr>
          <w:rFonts w:ascii="Calibri" w:hAnsi="Calibri"/>
          <w:bCs/>
          <w:sz w:val="22"/>
          <w:szCs w:val="22"/>
        </w:rPr>
      </w:pPr>
      <w:r w:rsidRPr="00DE215B">
        <w:rPr>
          <w:rFonts w:ascii="Calibri" w:hAnsi="Calibri"/>
          <w:bCs/>
          <w:sz w:val="22"/>
          <w:szCs w:val="22"/>
        </w:rPr>
        <w:t xml:space="preserve">This information will be used by the Internal Revenue Service to determine whether the small wind energy property qualifies for the energy credit. The collection of information is required to ensure that property meets certain requirements that must be satisfied to qualify for the credit. The likely respondents are corporations, partnerships, and individuals. </w:t>
      </w:r>
      <w:r w:rsidRPr="005A4F9A" w:rsidR="00190553">
        <w:rPr>
          <w:rFonts w:ascii="Calibri" w:hAnsi="Calibri"/>
          <w:bCs/>
          <w:sz w:val="22"/>
          <w:szCs w:val="22"/>
        </w:rPr>
        <w:t xml:space="preserve">  </w:t>
      </w:r>
    </w:p>
    <w:p w:rsidRPr="005A4F9A" w:rsidR="007E2EEB" w:rsidRDefault="007E2EEB" w14:paraId="6F14FED3" w14:textId="77777777">
      <w:pPr>
        <w:pStyle w:val="Level1"/>
        <w:numPr>
          <w:ilvl w:val="0"/>
          <w:numId w:val="1"/>
        </w:numPr>
        <w:tabs>
          <w:tab w:val="left" w:pos="-1440"/>
          <w:tab w:val="num" w:pos="720"/>
        </w:tabs>
        <w:rPr>
          <w:rFonts w:ascii="Calibri" w:hAnsi="Calibri"/>
          <w:b/>
          <w:sz w:val="22"/>
          <w:szCs w:val="22"/>
        </w:rPr>
      </w:pPr>
      <w:r w:rsidRPr="007C110A">
        <w:rPr>
          <w:rFonts w:ascii="Calibri" w:hAnsi="Calibri"/>
          <w:b/>
          <w:sz w:val="22"/>
          <w:szCs w:val="22"/>
          <w:u w:val="single"/>
        </w:rPr>
        <w:lastRenderedPageBreak/>
        <w:t>USE</w:t>
      </w:r>
      <w:r w:rsidRPr="005A4F9A">
        <w:rPr>
          <w:rFonts w:ascii="Calibri" w:hAnsi="Calibri"/>
          <w:b/>
          <w:sz w:val="22"/>
          <w:szCs w:val="22"/>
          <w:u w:val="single"/>
        </w:rPr>
        <w:t xml:space="preserve"> OF IMPROVED INFORMATION TECHNOLOGY TO REDUCE BURDEN</w:t>
      </w:r>
    </w:p>
    <w:p w:rsidRPr="005A4F9A" w:rsidR="007E2EEB" w:rsidRDefault="007E2EEB" w14:paraId="1380D379" w14:textId="77777777">
      <w:pPr>
        <w:rPr>
          <w:rFonts w:ascii="Calibri" w:hAnsi="Calibri"/>
          <w:sz w:val="22"/>
          <w:szCs w:val="22"/>
        </w:rPr>
      </w:pPr>
    </w:p>
    <w:p w:rsidR="00690861" w:rsidP="00690861" w:rsidRDefault="00690861" w14:paraId="701B34FA" w14:textId="3209C61B">
      <w:pPr>
        <w:ind w:left="720"/>
        <w:rPr>
          <w:rFonts w:ascii="Calibri" w:hAnsi="Calibri"/>
          <w:sz w:val="22"/>
          <w:szCs w:val="22"/>
        </w:rPr>
      </w:pPr>
      <w:r w:rsidRPr="00690861">
        <w:rPr>
          <w:rFonts w:ascii="Calibri" w:hAnsi="Calibri"/>
          <w:sz w:val="22"/>
          <w:szCs w:val="22"/>
        </w:rPr>
        <w:t xml:space="preserve">We have no plans to offer electronic record keeping </w:t>
      </w:r>
      <w:r>
        <w:rPr>
          <w:rFonts w:ascii="Calibri" w:hAnsi="Calibri"/>
          <w:sz w:val="22"/>
          <w:szCs w:val="22"/>
        </w:rPr>
        <w:t>the taxpayer will retain the certification for recordkeeping purposes.</w:t>
      </w:r>
    </w:p>
    <w:p w:rsidRPr="005A4F9A" w:rsidR="00690861" w:rsidP="00690861" w:rsidRDefault="00690861" w14:paraId="474CBB12" w14:textId="77777777">
      <w:pPr>
        <w:ind w:firstLine="720"/>
        <w:rPr>
          <w:rFonts w:ascii="Calibri" w:hAnsi="Calibri"/>
          <w:sz w:val="22"/>
          <w:szCs w:val="22"/>
        </w:rPr>
      </w:pPr>
    </w:p>
    <w:p w:rsidRPr="005A4F9A" w:rsidR="007E2EEB" w:rsidRDefault="007E2EEB" w14:paraId="401B86BA" w14:textId="77777777">
      <w:pPr>
        <w:pStyle w:val="Level1"/>
        <w:numPr>
          <w:ilvl w:val="0"/>
          <w:numId w:val="1"/>
        </w:numPr>
        <w:tabs>
          <w:tab w:val="left" w:pos="-1440"/>
          <w:tab w:val="num" w:pos="720"/>
        </w:tabs>
        <w:rPr>
          <w:rFonts w:ascii="Calibri" w:hAnsi="Calibri"/>
          <w:b/>
          <w:sz w:val="22"/>
          <w:szCs w:val="22"/>
        </w:rPr>
      </w:pPr>
      <w:r w:rsidRPr="005A4F9A">
        <w:rPr>
          <w:rFonts w:ascii="Calibri" w:hAnsi="Calibri"/>
          <w:b/>
          <w:sz w:val="22"/>
          <w:szCs w:val="22"/>
          <w:u w:val="single"/>
        </w:rPr>
        <w:t>EFFORTS TO IDENTIFY DUPLICATION</w:t>
      </w:r>
    </w:p>
    <w:p w:rsidRPr="005A4F9A" w:rsidR="007E2EEB" w:rsidRDefault="007E2EEB" w14:paraId="7B0C6515" w14:textId="77777777">
      <w:pPr>
        <w:rPr>
          <w:rFonts w:ascii="Calibri" w:hAnsi="Calibri"/>
          <w:sz w:val="22"/>
          <w:szCs w:val="22"/>
        </w:rPr>
      </w:pPr>
    </w:p>
    <w:p w:rsidRPr="005A4F9A" w:rsidR="007E2EEB" w:rsidP="00715FFF" w:rsidRDefault="00715FFF" w14:paraId="258EDCD4" w14:textId="77777777">
      <w:pPr>
        <w:ind w:left="720"/>
        <w:rPr>
          <w:rFonts w:ascii="Calibri" w:hAnsi="Calibri"/>
          <w:sz w:val="22"/>
          <w:szCs w:val="22"/>
        </w:rPr>
      </w:pPr>
      <w:r w:rsidRPr="005A4F9A">
        <w:rPr>
          <w:rFonts w:ascii="Calibri" w:hAnsi="Calibri"/>
          <w:sz w:val="22"/>
          <w:szCs w:val="22"/>
        </w:rPr>
        <w:t>The information obtained through this collection is unique and is not already available or use or adaption from another source.</w:t>
      </w:r>
      <w:r w:rsidRPr="005A4F9A" w:rsidR="007E2EEB">
        <w:rPr>
          <w:rFonts w:ascii="Calibri" w:hAnsi="Calibri"/>
          <w:sz w:val="22"/>
          <w:szCs w:val="22"/>
        </w:rPr>
        <w:t xml:space="preserve">  </w:t>
      </w:r>
    </w:p>
    <w:p w:rsidRPr="005A4F9A" w:rsidR="007E2EEB" w:rsidRDefault="007E2EEB" w14:paraId="74BA70C7" w14:textId="77777777">
      <w:pPr>
        <w:rPr>
          <w:rFonts w:ascii="Calibri" w:hAnsi="Calibri"/>
          <w:sz w:val="22"/>
          <w:szCs w:val="22"/>
        </w:rPr>
      </w:pPr>
    </w:p>
    <w:p w:rsidRPr="005A4F9A" w:rsidR="007E2EEB" w:rsidRDefault="007E2EEB" w14:paraId="2F85723D" w14:textId="77777777">
      <w:pPr>
        <w:pStyle w:val="Level1"/>
        <w:numPr>
          <w:ilvl w:val="0"/>
          <w:numId w:val="1"/>
        </w:numPr>
        <w:tabs>
          <w:tab w:val="left" w:pos="-1440"/>
          <w:tab w:val="num" w:pos="720"/>
        </w:tabs>
        <w:rPr>
          <w:rFonts w:ascii="Calibri" w:hAnsi="Calibri"/>
          <w:b/>
          <w:sz w:val="22"/>
          <w:szCs w:val="22"/>
        </w:rPr>
      </w:pPr>
      <w:r w:rsidRPr="005A4F9A">
        <w:rPr>
          <w:rFonts w:ascii="Calibri" w:hAnsi="Calibri"/>
          <w:b/>
          <w:sz w:val="22"/>
          <w:szCs w:val="22"/>
          <w:u w:val="single"/>
        </w:rPr>
        <w:t>METHODS TO MINIMIZE BURDEN ON SMALL BUSINESSES OR OTHER</w:t>
      </w:r>
      <w:r w:rsidRPr="005A4F9A" w:rsidR="00715FFF">
        <w:rPr>
          <w:rFonts w:ascii="Calibri" w:hAnsi="Calibri"/>
          <w:b/>
          <w:sz w:val="22"/>
          <w:szCs w:val="22"/>
          <w:u w:val="single"/>
        </w:rPr>
        <w:t xml:space="preserve"> </w:t>
      </w:r>
      <w:r w:rsidRPr="005A4F9A">
        <w:rPr>
          <w:rFonts w:ascii="Calibri" w:hAnsi="Calibri"/>
          <w:b/>
          <w:sz w:val="22"/>
          <w:szCs w:val="22"/>
          <w:u w:val="single"/>
        </w:rPr>
        <w:t>SMALL ENTITIES</w:t>
      </w:r>
    </w:p>
    <w:p w:rsidRPr="005A4F9A" w:rsidR="007E2EEB" w:rsidRDefault="007E2EEB" w14:paraId="2D7C5006" w14:textId="77777777">
      <w:pPr>
        <w:rPr>
          <w:rFonts w:ascii="Calibri" w:hAnsi="Calibri"/>
          <w:sz w:val="22"/>
          <w:szCs w:val="22"/>
        </w:rPr>
      </w:pPr>
    </w:p>
    <w:p w:rsidRPr="005441C5" w:rsidR="005441C5" w:rsidP="005441C5" w:rsidRDefault="005441C5" w14:paraId="36AA8853" w14:textId="77777777">
      <w:pPr>
        <w:ind w:left="720"/>
        <w:rPr>
          <w:rFonts w:ascii="Calibri" w:hAnsi="Calibri"/>
          <w:sz w:val="22"/>
          <w:szCs w:val="22"/>
        </w:rPr>
      </w:pPr>
      <w:bookmarkStart w:name="_Hlk70182364" w:id="0"/>
      <w:bookmarkStart w:name="_Hlk68108696" w:id="1"/>
      <w:r w:rsidRPr="005441C5">
        <w:rPr>
          <w:rFonts w:ascii="Calibri" w:hAnsi="Calibri"/>
          <w:bCs/>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bookmarkEnd w:id="0"/>
      <w:r w:rsidRPr="005441C5">
        <w:rPr>
          <w:rFonts w:ascii="Calibri" w:hAnsi="Calibri"/>
          <w:bCs/>
          <w:sz w:val="22"/>
          <w:szCs w:val="22"/>
        </w:rPr>
        <w:t xml:space="preserve">The Agency will continue to as applicable find ways </w:t>
      </w:r>
      <w:r w:rsidRPr="005441C5">
        <w:rPr>
          <w:rFonts w:ascii="Calibri" w:hAnsi="Calibri"/>
          <w:sz w:val="22"/>
          <w:szCs w:val="22"/>
        </w:rPr>
        <w:t>to reduce the burden on small businesses or other small entities</w:t>
      </w:r>
      <w:bookmarkEnd w:id="1"/>
      <w:r w:rsidRPr="005441C5">
        <w:rPr>
          <w:rFonts w:ascii="Calibri" w:hAnsi="Calibri"/>
          <w:sz w:val="22"/>
          <w:szCs w:val="22"/>
        </w:rPr>
        <w:t>.</w:t>
      </w:r>
    </w:p>
    <w:p w:rsidRPr="005A4F9A" w:rsidR="00C050C6" w:rsidRDefault="00C050C6" w14:paraId="2545D7DD" w14:textId="77777777">
      <w:pPr>
        <w:ind w:left="720"/>
        <w:rPr>
          <w:rFonts w:ascii="Calibri" w:hAnsi="Calibri" w:cs="Courier New"/>
          <w:color w:val="000000"/>
          <w:sz w:val="22"/>
          <w:szCs w:val="22"/>
        </w:rPr>
      </w:pPr>
    </w:p>
    <w:p w:rsidR="002E372A" w:rsidP="00F01BD0" w:rsidRDefault="007E2EEB" w14:paraId="037702B8" w14:textId="77777777">
      <w:pPr>
        <w:numPr>
          <w:ilvl w:val="0"/>
          <w:numId w:val="1"/>
        </w:numPr>
        <w:tabs>
          <w:tab w:val="left" w:pos="-1440"/>
        </w:tabs>
        <w:ind w:left="720" w:hanging="720"/>
        <w:rPr>
          <w:rFonts w:ascii="Calibri" w:hAnsi="Calibri"/>
          <w:b/>
          <w:sz w:val="22"/>
          <w:szCs w:val="22"/>
          <w:u w:val="single"/>
        </w:rPr>
      </w:pPr>
      <w:r w:rsidRPr="007C110A">
        <w:rPr>
          <w:rFonts w:ascii="Calibri" w:hAnsi="Calibri"/>
          <w:b/>
          <w:sz w:val="22"/>
          <w:szCs w:val="22"/>
          <w:u w:val="single"/>
        </w:rPr>
        <w:t>CON</w:t>
      </w:r>
      <w:r w:rsidRPr="002E372A">
        <w:rPr>
          <w:rFonts w:ascii="Calibri" w:hAnsi="Calibri"/>
          <w:b/>
          <w:sz w:val="22"/>
          <w:szCs w:val="22"/>
          <w:u w:val="single"/>
        </w:rPr>
        <w:t>SEQUENCES OF LESS FREQUENT COLLECTION ON FEDERAL PROGRAMS OR POLICY ACTIVITIES</w:t>
      </w:r>
    </w:p>
    <w:p w:rsidR="002E372A" w:rsidP="002E372A" w:rsidRDefault="002E372A" w14:paraId="07B0009F" w14:textId="77777777">
      <w:pPr>
        <w:tabs>
          <w:tab w:val="left" w:pos="-1440"/>
        </w:tabs>
        <w:rPr>
          <w:rFonts w:ascii="Calibri" w:hAnsi="Calibri"/>
          <w:b/>
          <w:sz w:val="22"/>
          <w:szCs w:val="22"/>
          <w:u w:val="single"/>
        </w:rPr>
      </w:pPr>
    </w:p>
    <w:p w:rsidRPr="005A4F9A" w:rsidR="007E2EEB" w:rsidP="007C110A" w:rsidRDefault="002E372A" w14:paraId="06149AF3" w14:textId="77777777">
      <w:pPr>
        <w:ind w:left="720"/>
        <w:rPr>
          <w:rFonts w:ascii="Calibri" w:hAnsi="Calibri"/>
          <w:sz w:val="22"/>
          <w:szCs w:val="22"/>
        </w:rPr>
      </w:pPr>
      <w:r>
        <w:rPr>
          <w:rFonts w:ascii="Calibri" w:hAnsi="Calibri"/>
          <w:sz w:val="22"/>
          <w:szCs w:val="22"/>
        </w:rPr>
        <w:t xml:space="preserve">The information required is needed to verify compliance with Section </w:t>
      </w:r>
      <w:r w:rsidR="007C110A">
        <w:rPr>
          <w:rFonts w:ascii="Calibri" w:hAnsi="Calibri"/>
          <w:sz w:val="22"/>
          <w:szCs w:val="22"/>
        </w:rPr>
        <w:t>48</w:t>
      </w:r>
      <w:r>
        <w:rPr>
          <w:rFonts w:ascii="Calibri" w:hAnsi="Calibri"/>
          <w:sz w:val="22"/>
          <w:szCs w:val="22"/>
        </w:rPr>
        <w:t xml:space="preserve"> of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Pr="005A4F9A" w:rsidR="007E2EEB" w:rsidRDefault="007E2EEB" w14:paraId="5F88FED1" w14:textId="77777777">
      <w:pPr>
        <w:rPr>
          <w:rFonts w:ascii="Calibri" w:hAnsi="Calibri"/>
          <w:sz w:val="22"/>
          <w:szCs w:val="22"/>
        </w:rPr>
      </w:pPr>
    </w:p>
    <w:p w:rsidRPr="005A4F9A" w:rsidR="007E2EEB" w:rsidRDefault="007E2EEB" w14:paraId="25A48E04" w14:textId="77777777">
      <w:pPr>
        <w:pStyle w:val="Level1"/>
        <w:numPr>
          <w:ilvl w:val="0"/>
          <w:numId w:val="2"/>
        </w:numPr>
        <w:tabs>
          <w:tab w:val="left" w:pos="-1440"/>
          <w:tab w:val="num" w:pos="720"/>
        </w:tabs>
        <w:rPr>
          <w:rFonts w:ascii="Calibri" w:hAnsi="Calibri"/>
          <w:b/>
          <w:sz w:val="22"/>
          <w:szCs w:val="22"/>
        </w:rPr>
      </w:pPr>
      <w:r w:rsidRPr="005A4F9A">
        <w:rPr>
          <w:rFonts w:ascii="Calibri" w:hAnsi="Calibri"/>
          <w:b/>
          <w:sz w:val="22"/>
          <w:szCs w:val="22"/>
          <w:u w:val="single"/>
        </w:rPr>
        <w:t>SPECIAL CIRCUMSTANCES REQUIRING DATA COLLECTION TO BE</w:t>
      </w:r>
      <w:r w:rsidRPr="005A4F9A" w:rsidR="00473D0D">
        <w:rPr>
          <w:rFonts w:ascii="Calibri" w:hAnsi="Calibri"/>
          <w:b/>
          <w:sz w:val="22"/>
          <w:szCs w:val="22"/>
          <w:u w:val="single"/>
        </w:rPr>
        <w:t xml:space="preserve"> </w:t>
      </w:r>
      <w:r w:rsidRPr="005A4F9A">
        <w:rPr>
          <w:rFonts w:ascii="Calibri" w:hAnsi="Calibri"/>
          <w:b/>
          <w:sz w:val="22"/>
          <w:szCs w:val="22"/>
          <w:u w:val="single"/>
        </w:rPr>
        <w:t>INCONSISTENT WITH GUIDELINES IN 5 CFR 1320.5(d)(2)</w:t>
      </w:r>
    </w:p>
    <w:p w:rsidRPr="005A4F9A" w:rsidR="007E2EEB" w:rsidRDefault="007E2EEB" w14:paraId="34E8ED1F" w14:textId="77777777">
      <w:pPr>
        <w:rPr>
          <w:rFonts w:ascii="Calibri" w:hAnsi="Calibri"/>
          <w:sz w:val="22"/>
          <w:szCs w:val="22"/>
        </w:rPr>
      </w:pPr>
    </w:p>
    <w:p w:rsidRPr="005A4F9A" w:rsidR="007E2EEB" w:rsidRDefault="00473D0D" w14:paraId="66DD848B" w14:textId="77777777">
      <w:pPr>
        <w:ind w:left="720"/>
        <w:rPr>
          <w:rFonts w:ascii="Calibri" w:hAnsi="Calibri"/>
          <w:sz w:val="22"/>
          <w:szCs w:val="22"/>
        </w:rPr>
      </w:pPr>
      <w:r w:rsidRPr="005A4F9A">
        <w:rPr>
          <w:rFonts w:ascii="Calibri" w:hAnsi="Calibri"/>
          <w:sz w:val="22"/>
          <w:szCs w:val="22"/>
        </w:rPr>
        <w:t>There are no special circumstances requiring data collection to be inconsistent with Guidelines in 5 CFR 1320.5(d)(2).</w:t>
      </w:r>
    </w:p>
    <w:p w:rsidRPr="005A4F9A" w:rsidR="007E2EEB" w:rsidRDefault="007E2EEB" w14:paraId="5B32B0DF" w14:textId="77777777">
      <w:pPr>
        <w:rPr>
          <w:rFonts w:ascii="Calibri" w:hAnsi="Calibri"/>
          <w:sz w:val="22"/>
          <w:szCs w:val="22"/>
        </w:rPr>
      </w:pPr>
    </w:p>
    <w:p w:rsidRPr="005A4F9A" w:rsidR="007E2EEB" w:rsidP="00AF1AEA" w:rsidRDefault="00F26675" w14:paraId="42B835D3" w14:textId="77777777">
      <w:pPr>
        <w:ind w:left="720" w:hanging="720"/>
        <w:rPr>
          <w:rFonts w:ascii="Calibri" w:hAnsi="Calibri"/>
          <w:b/>
          <w:sz w:val="22"/>
          <w:szCs w:val="22"/>
        </w:rPr>
      </w:pPr>
      <w:r w:rsidRPr="005A4F9A">
        <w:rPr>
          <w:rFonts w:ascii="Calibri" w:hAnsi="Calibri"/>
          <w:b/>
          <w:sz w:val="22"/>
          <w:szCs w:val="22"/>
        </w:rPr>
        <w:t>8.</w:t>
      </w:r>
      <w:r w:rsidRPr="005A4F9A">
        <w:rPr>
          <w:rFonts w:ascii="Calibri" w:hAnsi="Calibri"/>
          <w:b/>
          <w:sz w:val="22"/>
          <w:szCs w:val="22"/>
        </w:rPr>
        <w:tab/>
      </w:r>
      <w:r w:rsidRPr="005A4F9A" w:rsidR="007E2EEB">
        <w:rPr>
          <w:rFonts w:ascii="Calibri" w:hAnsi="Calibri"/>
          <w:b/>
          <w:sz w:val="22"/>
          <w:szCs w:val="22"/>
          <w:u w:val="single"/>
        </w:rPr>
        <w:t>CONSULTATION WITH INDIVIDUALS OUTSIDE OF THE AGENCY ON</w:t>
      </w:r>
      <w:r w:rsidRPr="005A4F9A" w:rsidR="00473D0D">
        <w:rPr>
          <w:rFonts w:ascii="Calibri" w:hAnsi="Calibri"/>
          <w:b/>
          <w:sz w:val="22"/>
          <w:szCs w:val="22"/>
          <w:u w:val="single"/>
        </w:rPr>
        <w:t xml:space="preserve"> </w:t>
      </w:r>
      <w:r w:rsidRPr="005A4F9A" w:rsidR="007E2EEB">
        <w:rPr>
          <w:rFonts w:ascii="Calibri" w:hAnsi="Calibri"/>
          <w:b/>
          <w:sz w:val="22"/>
          <w:szCs w:val="22"/>
          <w:u w:val="single"/>
        </w:rPr>
        <w:t>AVAILABILITY OF DATA, FREQUENCY OF COLLECTION, CLARITY OF INSTRUCTIONS AND FORMS, AND DATA ELEMENTS</w:t>
      </w:r>
      <w:r w:rsidRPr="005A4F9A" w:rsidR="00293354">
        <w:rPr>
          <w:rFonts w:ascii="Calibri" w:hAnsi="Calibri"/>
          <w:b/>
          <w:sz w:val="22"/>
          <w:szCs w:val="22"/>
          <w:u w:val="single"/>
        </w:rPr>
        <w:t xml:space="preserve"> </w:t>
      </w:r>
    </w:p>
    <w:p w:rsidRPr="005A4F9A" w:rsidR="007E2EEB" w:rsidRDefault="007E2EEB" w14:paraId="2FF5BF30" w14:textId="77777777">
      <w:pPr>
        <w:rPr>
          <w:rFonts w:ascii="Calibri" w:hAnsi="Calibri"/>
          <w:sz w:val="22"/>
          <w:szCs w:val="22"/>
        </w:rPr>
      </w:pPr>
    </w:p>
    <w:p w:rsidRPr="005A4F9A" w:rsidR="007E2EEB" w:rsidRDefault="005441C5" w14:paraId="01B45E9F" w14:textId="49757D7B">
      <w:pPr>
        <w:ind w:left="720"/>
        <w:rPr>
          <w:rFonts w:ascii="Calibri" w:hAnsi="Calibri"/>
          <w:sz w:val="22"/>
          <w:szCs w:val="22"/>
        </w:rPr>
      </w:pPr>
      <w:r w:rsidRPr="00453AD3">
        <w:rPr>
          <w:rFonts w:asciiTheme="minorHAnsi" w:hAnsiTheme="minorHAnsi"/>
          <w:sz w:val="22"/>
          <w:szCs w:val="22"/>
        </w:rPr>
        <w:t>We received no comments during the comment period in response to the</w:t>
      </w:r>
      <w:r w:rsidRPr="00453AD3">
        <w:rPr>
          <w:rFonts w:asciiTheme="minorHAnsi" w:hAnsiTheme="minorHAnsi"/>
          <w:b/>
          <w:bCs/>
          <w:sz w:val="22"/>
          <w:szCs w:val="22"/>
        </w:rPr>
        <w:t xml:space="preserve"> Federal Register</w:t>
      </w:r>
      <w:r w:rsidRPr="00453AD3">
        <w:rPr>
          <w:rFonts w:asciiTheme="minorHAnsi" w:hAnsiTheme="minorHAnsi"/>
          <w:sz w:val="22"/>
          <w:szCs w:val="22"/>
        </w:rPr>
        <w:t xml:space="preserve"> notice (8</w:t>
      </w:r>
      <w:r>
        <w:rPr>
          <w:rFonts w:asciiTheme="minorHAnsi" w:hAnsiTheme="minorHAnsi"/>
          <w:sz w:val="22"/>
          <w:szCs w:val="22"/>
        </w:rPr>
        <w:t>6</w:t>
      </w:r>
      <w:r w:rsidRPr="00453AD3">
        <w:rPr>
          <w:rFonts w:asciiTheme="minorHAnsi" w:hAnsiTheme="minorHAnsi"/>
          <w:sz w:val="22"/>
          <w:szCs w:val="22"/>
        </w:rPr>
        <w:t xml:space="preserve"> FR </w:t>
      </w:r>
      <w:r>
        <w:rPr>
          <w:rFonts w:asciiTheme="minorHAnsi" w:hAnsiTheme="minorHAnsi"/>
          <w:sz w:val="22"/>
          <w:szCs w:val="22"/>
        </w:rPr>
        <w:t>42978</w:t>
      </w:r>
      <w:r w:rsidRPr="00453AD3">
        <w:rPr>
          <w:rFonts w:asciiTheme="minorHAnsi" w:hAnsiTheme="minorHAnsi"/>
          <w:sz w:val="22"/>
          <w:szCs w:val="22"/>
        </w:rPr>
        <w:t xml:space="preserve">), dated </w:t>
      </w:r>
      <w:r>
        <w:rPr>
          <w:rFonts w:asciiTheme="minorHAnsi" w:hAnsiTheme="minorHAnsi"/>
          <w:sz w:val="22"/>
          <w:szCs w:val="22"/>
        </w:rPr>
        <w:t xml:space="preserve">August 5, </w:t>
      </w:r>
      <w:r w:rsidRPr="00453AD3">
        <w:rPr>
          <w:rFonts w:asciiTheme="minorHAnsi" w:hAnsiTheme="minorHAnsi"/>
          <w:sz w:val="22"/>
          <w:szCs w:val="22"/>
        </w:rPr>
        <w:t>20</w:t>
      </w:r>
      <w:r>
        <w:rPr>
          <w:rFonts w:asciiTheme="minorHAnsi" w:hAnsiTheme="minorHAnsi"/>
          <w:sz w:val="22"/>
          <w:szCs w:val="22"/>
        </w:rPr>
        <w:t>2</w:t>
      </w:r>
      <w:r w:rsidRPr="00453AD3">
        <w:rPr>
          <w:rFonts w:asciiTheme="minorHAnsi" w:hAnsiTheme="minorHAnsi"/>
          <w:sz w:val="22"/>
          <w:szCs w:val="22"/>
        </w:rPr>
        <w:t>1</w:t>
      </w:r>
      <w:r>
        <w:rPr>
          <w:rFonts w:asciiTheme="minorHAnsi" w:hAnsiTheme="minorHAnsi"/>
          <w:sz w:val="22"/>
          <w:szCs w:val="22"/>
        </w:rPr>
        <w:t>.</w:t>
      </w:r>
      <w:r w:rsidRPr="005A4F9A" w:rsidR="00044F37">
        <w:rPr>
          <w:rFonts w:ascii="Calibri" w:hAnsi="Calibri"/>
          <w:sz w:val="22"/>
          <w:szCs w:val="22"/>
        </w:rPr>
        <w:t xml:space="preserve"> </w:t>
      </w:r>
      <w:r w:rsidRPr="005A4F9A" w:rsidR="007E2EEB">
        <w:rPr>
          <w:rFonts w:ascii="Calibri" w:hAnsi="Calibri"/>
          <w:sz w:val="22"/>
          <w:szCs w:val="22"/>
        </w:rPr>
        <w:t xml:space="preserve"> </w:t>
      </w:r>
    </w:p>
    <w:p w:rsidRPr="005A4F9A" w:rsidR="007E2EEB" w:rsidRDefault="007E2EEB" w14:paraId="7F9EA67E" w14:textId="77777777">
      <w:pPr>
        <w:tabs>
          <w:tab w:val="center" w:pos="4680"/>
        </w:tabs>
        <w:rPr>
          <w:rFonts w:ascii="Calibri" w:hAnsi="Calibri"/>
          <w:sz w:val="22"/>
          <w:szCs w:val="22"/>
        </w:rPr>
      </w:pPr>
    </w:p>
    <w:p w:rsidRPr="005A4F9A" w:rsidR="007E2EEB" w:rsidP="00AF1AEA" w:rsidRDefault="007E2EEB" w14:paraId="04661A7A" w14:textId="77777777">
      <w:pPr>
        <w:pStyle w:val="Level1"/>
        <w:numPr>
          <w:ilvl w:val="0"/>
          <w:numId w:val="4"/>
        </w:numPr>
        <w:tabs>
          <w:tab w:val="left" w:pos="-1440"/>
        </w:tabs>
        <w:rPr>
          <w:rFonts w:ascii="Calibri" w:hAnsi="Calibri"/>
          <w:b/>
          <w:sz w:val="22"/>
          <w:szCs w:val="22"/>
        </w:rPr>
      </w:pPr>
      <w:r w:rsidRPr="005A4F9A">
        <w:rPr>
          <w:rFonts w:ascii="Calibri" w:hAnsi="Calibri"/>
          <w:b/>
          <w:sz w:val="22"/>
          <w:szCs w:val="22"/>
          <w:u w:val="single"/>
        </w:rPr>
        <w:t>EXPLANATION OF DECISION TO PROVIDE ANY PAYMENT OR GIFT TO</w:t>
      </w:r>
      <w:r w:rsidRPr="005A4F9A" w:rsidR="006E6E53">
        <w:rPr>
          <w:rFonts w:ascii="Calibri" w:hAnsi="Calibri"/>
          <w:b/>
          <w:sz w:val="22"/>
          <w:szCs w:val="22"/>
          <w:u w:val="single"/>
        </w:rPr>
        <w:t xml:space="preserve"> </w:t>
      </w:r>
      <w:r w:rsidRPr="005A4F9A">
        <w:rPr>
          <w:rFonts w:ascii="Calibri" w:hAnsi="Calibri"/>
          <w:b/>
          <w:sz w:val="22"/>
          <w:szCs w:val="22"/>
          <w:u w:val="single"/>
        </w:rPr>
        <w:t>RESPONDENTS</w:t>
      </w:r>
    </w:p>
    <w:p w:rsidRPr="005A4F9A" w:rsidR="007E2EEB" w:rsidRDefault="007E2EEB" w14:paraId="5C1277AF" w14:textId="77777777">
      <w:pPr>
        <w:rPr>
          <w:rFonts w:ascii="Calibri" w:hAnsi="Calibri"/>
          <w:sz w:val="22"/>
          <w:szCs w:val="22"/>
        </w:rPr>
      </w:pPr>
    </w:p>
    <w:p w:rsidR="006E6E53" w:rsidP="006E6E53" w:rsidRDefault="006E6E53" w14:paraId="4B866BB6" w14:textId="77777777">
      <w:pPr>
        <w:ind w:left="720"/>
        <w:rPr>
          <w:rFonts w:ascii="Calibri" w:hAnsi="Calibri" w:cs="Calibri"/>
          <w:sz w:val="22"/>
          <w:szCs w:val="22"/>
        </w:rPr>
      </w:pPr>
      <w:r w:rsidRPr="005A4F9A">
        <w:rPr>
          <w:rFonts w:ascii="Calibri" w:hAnsi="Calibri" w:cs="Calibri"/>
          <w:sz w:val="22"/>
          <w:szCs w:val="22"/>
        </w:rPr>
        <w:t>No payment or gift has been provided to any respondents.</w:t>
      </w:r>
    </w:p>
    <w:p w:rsidR="00213925" w:rsidP="006E6E53" w:rsidRDefault="00213925" w14:paraId="7EDEF79C" w14:textId="77777777">
      <w:pPr>
        <w:ind w:left="720"/>
        <w:rPr>
          <w:rFonts w:ascii="Calibri" w:hAnsi="Calibri" w:cs="Calibri"/>
          <w:sz w:val="22"/>
          <w:szCs w:val="22"/>
        </w:rPr>
      </w:pPr>
    </w:p>
    <w:p w:rsidRPr="005A4F9A" w:rsidR="007E2EEB" w:rsidP="00AF1AEA" w:rsidRDefault="007E2EEB" w14:paraId="646FEA83" w14:textId="77777777">
      <w:pPr>
        <w:pStyle w:val="Level1"/>
        <w:numPr>
          <w:ilvl w:val="0"/>
          <w:numId w:val="4"/>
        </w:numPr>
        <w:tabs>
          <w:tab w:val="left" w:pos="-1440"/>
        </w:tabs>
        <w:rPr>
          <w:rFonts w:ascii="Calibri" w:hAnsi="Calibri"/>
          <w:b/>
          <w:sz w:val="22"/>
          <w:szCs w:val="22"/>
        </w:rPr>
      </w:pPr>
      <w:r w:rsidRPr="005A4F9A">
        <w:rPr>
          <w:rFonts w:ascii="Calibri" w:hAnsi="Calibri"/>
          <w:b/>
          <w:sz w:val="22"/>
          <w:szCs w:val="22"/>
          <w:u w:val="single"/>
        </w:rPr>
        <w:t>ASSURANCE OF CONFIDENTIALITY OF RESPONSES</w:t>
      </w:r>
    </w:p>
    <w:p w:rsidRPr="005A4F9A" w:rsidR="007E2EEB" w:rsidRDefault="007E2EEB" w14:paraId="3484958F" w14:textId="77777777">
      <w:pPr>
        <w:rPr>
          <w:rFonts w:ascii="Calibri" w:hAnsi="Calibri"/>
          <w:sz w:val="22"/>
          <w:szCs w:val="22"/>
        </w:rPr>
      </w:pPr>
    </w:p>
    <w:p w:rsidRPr="005A4F9A" w:rsidR="007C110A" w:rsidRDefault="007E2EEB" w14:paraId="5D6A4CFD" w14:textId="77777777">
      <w:pPr>
        <w:ind w:left="720"/>
        <w:rPr>
          <w:rFonts w:ascii="Calibri" w:hAnsi="Calibri"/>
          <w:sz w:val="22"/>
          <w:szCs w:val="22"/>
        </w:rPr>
      </w:pPr>
      <w:r w:rsidRPr="005A4F9A">
        <w:rPr>
          <w:rFonts w:ascii="Calibri" w:hAnsi="Calibri"/>
          <w:sz w:val="22"/>
          <w:szCs w:val="22"/>
        </w:rPr>
        <w:t>Generally, tax returns and tax return information are confidential as required by 26 USC 6103.</w:t>
      </w:r>
    </w:p>
    <w:p w:rsidR="007E2EEB" w:rsidRDefault="007E2EEB" w14:paraId="52186F09" w14:textId="1701962A">
      <w:pPr>
        <w:rPr>
          <w:rFonts w:ascii="Calibri" w:hAnsi="Calibri"/>
          <w:sz w:val="22"/>
          <w:szCs w:val="22"/>
        </w:rPr>
      </w:pPr>
    </w:p>
    <w:p w:rsidR="00C349E3" w:rsidRDefault="00C349E3" w14:paraId="32EA7731" w14:textId="04405CAF">
      <w:pPr>
        <w:rPr>
          <w:rFonts w:ascii="Calibri" w:hAnsi="Calibri"/>
          <w:sz w:val="22"/>
          <w:szCs w:val="22"/>
        </w:rPr>
      </w:pPr>
    </w:p>
    <w:p w:rsidR="005441C5" w:rsidRDefault="005441C5" w14:paraId="343069E9" w14:textId="405BDC4C">
      <w:pPr>
        <w:rPr>
          <w:rFonts w:ascii="Calibri" w:hAnsi="Calibri"/>
          <w:sz w:val="22"/>
          <w:szCs w:val="22"/>
        </w:rPr>
      </w:pPr>
    </w:p>
    <w:p w:rsidRPr="005A4F9A" w:rsidR="005441C5" w:rsidRDefault="005441C5" w14:paraId="1F1F227B" w14:textId="77777777">
      <w:pPr>
        <w:rPr>
          <w:rFonts w:ascii="Calibri" w:hAnsi="Calibri"/>
          <w:sz w:val="22"/>
          <w:szCs w:val="22"/>
        </w:rPr>
      </w:pPr>
    </w:p>
    <w:p w:rsidRPr="005A4F9A" w:rsidR="007E2EEB" w:rsidP="00AF1AEA" w:rsidRDefault="007E2EEB" w14:paraId="0E68800B" w14:textId="77777777">
      <w:pPr>
        <w:pStyle w:val="Level1"/>
        <w:numPr>
          <w:ilvl w:val="0"/>
          <w:numId w:val="4"/>
        </w:numPr>
        <w:tabs>
          <w:tab w:val="left" w:pos="-1440"/>
        </w:tabs>
        <w:rPr>
          <w:rFonts w:ascii="Calibri" w:hAnsi="Calibri"/>
          <w:b/>
          <w:sz w:val="22"/>
          <w:szCs w:val="22"/>
          <w:u w:val="single"/>
        </w:rPr>
      </w:pPr>
      <w:r w:rsidRPr="005A4F9A">
        <w:rPr>
          <w:rFonts w:ascii="Calibri" w:hAnsi="Calibri"/>
          <w:b/>
          <w:sz w:val="22"/>
          <w:szCs w:val="22"/>
          <w:u w:val="single"/>
        </w:rPr>
        <w:t>JUSTIFICATION OF SENSITIVE QUESTIONS</w:t>
      </w:r>
    </w:p>
    <w:p w:rsidRPr="005A4F9A" w:rsidR="007E2EEB" w:rsidRDefault="007E2EEB" w14:paraId="5A04DC51" w14:textId="77777777">
      <w:pPr>
        <w:rPr>
          <w:rFonts w:ascii="Calibri" w:hAnsi="Calibri"/>
          <w:sz w:val="22"/>
          <w:szCs w:val="22"/>
          <w:u w:val="single"/>
        </w:rPr>
      </w:pPr>
    </w:p>
    <w:p w:rsidRPr="005A4F9A" w:rsidR="00351B4C" w:rsidP="00351B4C" w:rsidRDefault="00351B4C" w14:paraId="078503B8" w14:textId="77777777">
      <w:pPr>
        <w:ind w:left="720"/>
        <w:rPr>
          <w:rFonts w:ascii="Calibri" w:hAnsi="Calibri"/>
          <w:sz w:val="22"/>
          <w:szCs w:val="22"/>
        </w:rPr>
      </w:pPr>
      <w:r w:rsidRPr="005A4F9A">
        <w:rPr>
          <w:rFonts w:ascii="Calibri" w:hAnsi="Calibri"/>
          <w:sz w:val="22"/>
          <w:szCs w:val="22"/>
        </w:rPr>
        <w:t xml:space="preserve">A privacy impact assessment (PIA) has been conducted for information collected under this request as part of the </w:t>
      </w:r>
      <w:r w:rsidRPr="004B76F8" w:rsidR="004B76F8">
        <w:rPr>
          <w:rFonts w:ascii="Calibri" w:hAnsi="Calibri"/>
          <w:sz w:val="22"/>
          <w:szCs w:val="22"/>
        </w:rPr>
        <w:t>Treasury/IRS 24.030, CADE Individual Master File (IMF), as well Business Master File (BMF)-Treasury/IRS 24.046 and Treasury/IRS 34.047 IRS Audit Trail &amp; Security Records System SORNs.</w:t>
      </w:r>
      <w:r w:rsidRPr="005A4F9A">
        <w:rPr>
          <w:rFonts w:ascii="Calibri" w:hAnsi="Calibri"/>
          <w:sz w:val="22"/>
          <w:szCs w:val="22"/>
        </w:rPr>
        <w:t xml:space="preserve"> The Internal Revenue Service PIAs can be found at </w:t>
      </w:r>
    </w:p>
    <w:p w:rsidRPr="005A4F9A" w:rsidR="00351B4C" w:rsidP="00351B4C" w:rsidRDefault="008B70B9" w14:paraId="14EC59BA" w14:textId="77777777">
      <w:pPr>
        <w:ind w:left="720"/>
        <w:rPr>
          <w:rFonts w:ascii="Calibri" w:hAnsi="Calibri"/>
          <w:sz w:val="22"/>
          <w:szCs w:val="22"/>
        </w:rPr>
      </w:pPr>
      <w:hyperlink w:history="1" r:id="rId8">
        <w:r w:rsidRPr="005A4F9A" w:rsidR="00351B4C">
          <w:rPr>
            <w:rStyle w:val="Hyperlink"/>
            <w:rFonts w:ascii="Calibri" w:hAnsi="Calibri"/>
            <w:sz w:val="22"/>
            <w:szCs w:val="22"/>
          </w:rPr>
          <w:t>https://www.irs.gov/uac/Pri</w:t>
        </w:r>
        <w:r w:rsidRPr="005A4F9A" w:rsidR="00351B4C">
          <w:rPr>
            <w:rStyle w:val="Hyperlink"/>
            <w:rFonts w:ascii="Calibri" w:hAnsi="Calibri"/>
            <w:sz w:val="22"/>
            <w:szCs w:val="22"/>
          </w:rPr>
          <w:t>v</w:t>
        </w:r>
        <w:r w:rsidRPr="005A4F9A" w:rsidR="00351B4C">
          <w:rPr>
            <w:rStyle w:val="Hyperlink"/>
            <w:rFonts w:ascii="Calibri" w:hAnsi="Calibri"/>
            <w:sz w:val="22"/>
            <w:szCs w:val="22"/>
          </w:rPr>
          <w:t>acy-Impact-Assessments-PIA</w:t>
        </w:r>
      </w:hyperlink>
    </w:p>
    <w:p w:rsidRPr="005A4F9A" w:rsidR="00351B4C" w:rsidP="00351B4C" w:rsidRDefault="00351B4C" w14:paraId="4A3AEAAB" w14:textId="77777777">
      <w:pPr>
        <w:ind w:left="720"/>
        <w:rPr>
          <w:rFonts w:ascii="Calibri" w:hAnsi="Calibri"/>
          <w:sz w:val="22"/>
          <w:szCs w:val="22"/>
        </w:rPr>
      </w:pPr>
    </w:p>
    <w:p w:rsidR="003142C5" w:rsidP="00351B4C" w:rsidRDefault="00351B4C" w14:paraId="51498181" w14:textId="77777777">
      <w:pPr>
        <w:ind w:left="720"/>
        <w:rPr>
          <w:rFonts w:ascii="Calibri" w:hAnsi="Calibri"/>
          <w:sz w:val="22"/>
          <w:szCs w:val="22"/>
        </w:rPr>
      </w:pPr>
      <w:r w:rsidRPr="005A4F9A">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850C5" w:rsidP="00351B4C" w:rsidRDefault="006850C5" w14:paraId="0BFA1479" w14:textId="77777777">
      <w:pPr>
        <w:ind w:left="720"/>
        <w:rPr>
          <w:rFonts w:ascii="Calibri" w:hAnsi="Calibri"/>
          <w:sz w:val="22"/>
          <w:szCs w:val="22"/>
        </w:rPr>
      </w:pPr>
    </w:p>
    <w:p w:rsidRPr="005A4F9A" w:rsidR="007E2EEB" w:rsidP="00AF1AEA" w:rsidRDefault="003142C5" w14:paraId="13F01AEF" w14:textId="77777777">
      <w:pPr>
        <w:pStyle w:val="Level1"/>
        <w:numPr>
          <w:ilvl w:val="0"/>
          <w:numId w:val="4"/>
        </w:numPr>
        <w:tabs>
          <w:tab w:val="left" w:pos="-1440"/>
        </w:tabs>
        <w:rPr>
          <w:rFonts w:ascii="Calibri" w:hAnsi="Calibri"/>
          <w:b/>
          <w:sz w:val="22"/>
          <w:szCs w:val="22"/>
          <w:u w:val="single"/>
        </w:rPr>
      </w:pPr>
      <w:r w:rsidRPr="005A4F9A">
        <w:rPr>
          <w:rFonts w:ascii="Calibri" w:hAnsi="Calibri"/>
          <w:b/>
          <w:sz w:val="22"/>
          <w:szCs w:val="22"/>
          <w:u w:val="single"/>
        </w:rPr>
        <w:t>E</w:t>
      </w:r>
      <w:r w:rsidRPr="005A4F9A" w:rsidR="007E2EEB">
        <w:rPr>
          <w:rFonts w:ascii="Calibri" w:hAnsi="Calibri"/>
          <w:b/>
          <w:sz w:val="22"/>
          <w:szCs w:val="22"/>
          <w:u w:val="single"/>
        </w:rPr>
        <w:t>STIMATED BURDEN OF INFORMATION COLLECTION</w:t>
      </w:r>
    </w:p>
    <w:p w:rsidRPr="005A4F9A" w:rsidR="000A4339" w:rsidP="000A4339" w:rsidRDefault="000A4339" w14:paraId="7D460668" w14:textId="77777777">
      <w:pPr>
        <w:pStyle w:val="Level1"/>
        <w:numPr>
          <w:ilvl w:val="0"/>
          <w:numId w:val="0"/>
        </w:numPr>
        <w:tabs>
          <w:tab w:val="left" w:pos="-1440"/>
        </w:tabs>
        <w:ind w:left="720" w:hanging="720"/>
        <w:rPr>
          <w:rFonts w:ascii="Calibri" w:hAnsi="Calibri"/>
          <w:b/>
          <w:sz w:val="22"/>
          <w:szCs w:val="22"/>
          <w:u w:val="single"/>
        </w:rPr>
      </w:pPr>
    </w:p>
    <w:p w:rsidR="004B76F8" w:rsidP="004B76F8" w:rsidRDefault="004B76F8" w14:paraId="0270BDD8" w14:textId="77777777">
      <w:pPr>
        <w:ind w:left="720"/>
        <w:rPr>
          <w:rFonts w:ascii="Calibri" w:hAnsi="Calibri"/>
          <w:bCs/>
          <w:sz w:val="22"/>
          <w:szCs w:val="22"/>
        </w:rPr>
      </w:pPr>
      <w:r w:rsidRPr="004B76F8">
        <w:rPr>
          <w:rFonts w:ascii="Calibri" w:hAnsi="Calibri"/>
          <w:bCs/>
          <w:sz w:val="22"/>
          <w:szCs w:val="22"/>
        </w:rPr>
        <w:t>Section 48(a)(3)(D) of the Internal Revenue Code allows a credit for energy property which meets, among other requirements, the performance and quality standards (if any) which have been prescribed by the Secretary by regulations (after consultation with the Secretary of Energy</w:t>
      </w:r>
      <w:proofErr w:type="gramStart"/>
      <w:r w:rsidRPr="004B76F8">
        <w:rPr>
          <w:rFonts w:ascii="Calibri" w:hAnsi="Calibri"/>
          <w:bCs/>
          <w:sz w:val="22"/>
          <w:szCs w:val="22"/>
        </w:rPr>
        <w:t>), and</w:t>
      </w:r>
      <w:proofErr w:type="gramEnd"/>
      <w:r w:rsidRPr="004B76F8">
        <w:rPr>
          <w:rFonts w:ascii="Calibri" w:hAnsi="Calibri"/>
          <w:bCs/>
          <w:sz w:val="22"/>
          <w:szCs w:val="22"/>
        </w:rPr>
        <w:t xml:space="preserve"> are in effect at the time of the acquisition of the property.</w:t>
      </w:r>
    </w:p>
    <w:p w:rsidRPr="004B76F8" w:rsidR="007C110A" w:rsidP="004B76F8" w:rsidRDefault="007C110A" w14:paraId="3A2FB6E6" w14:textId="77777777">
      <w:pPr>
        <w:ind w:left="720"/>
        <w:rPr>
          <w:rFonts w:ascii="Calibri" w:hAnsi="Calibri"/>
          <w:bCs/>
          <w:sz w:val="22"/>
          <w:szCs w:val="22"/>
        </w:rPr>
      </w:pPr>
    </w:p>
    <w:p w:rsidRPr="004B76F8" w:rsidR="004B76F8" w:rsidP="004B76F8" w:rsidRDefault="004B76F8" w14:paraId="53886E92" w14:textId="77777777">
      <w:pPr>
        <w:ind w:left="720"/>
        <w:rPr>
          <w:rFonts w:ascii="Calibri" w:hAnsi="Calibri"/>
          <w:bCs/>
          <w:sz w:val="22"/>
          <w:szCs w:val="22"/>
        </w:rPr>
      </w:pPr>
      <w:r w:rsidRPr="004B76F8">
        <w:rPr>
          <w:rFonts w:ascii="Calibri" w:hAnsi="Calibri"/>
          <w:bCs/>
          <w:sz w:val="22"/>
          <w:szCs w:val="22"/>
        </w:rPr>
        <w:t>It is estimated that the total annual reporting burden will be 400 hours.  The estimated average annual burden per respondent will be 2.5 hours to complete the requests for certification required under this notice.  This estimated burden is based upon the approximated amount of time it will take the average respondent to gather the necessary data.  The estimated number of respondents is 160.  This estimate is based upon the approximated number of taxpayers expected to claim the credit for small wind energy property.</w:t>
      </w:r>
    </w:p>
    <w:p w:rsidRPr="005A4F9A" w:rsidR="006A7970" w:rsidRDefault="006A7970" w14:paraId="3406BFCA" w14:textId="77777777">
      <w:pPr>
        <w:rPr>
          <w:rFonts w:ascii="Calibri" w:hAnsi="Calibri"/>
          <w:sz w:val="22"/>
          <w:szCs w:val="22"/>
        </w:rPr>
      </w:pPr>
      <w:r w:rsidRPr="005A4F9A">
        <w:rPr>
          <w:rFonts w:ascii="Calibri" w:hAnsi="Calibri"/>
          <w:sz w:val="22"/>
          <w:szCs w:val="22"/>
        </w:rPr>
        <w:t xml:space="preserve">            </w:t>
      </w:r>
    </w:p>
    <w:p w:rsidRPr="005A4F9A" w:rsidR="006A7970" w:rsidP="006A7970" w:rsidRDefault="006A7970" w14:paraId="01F87FAE" w14:textId="77777777">
      <w:pPr>
        <w:rPr>
          <w:rFonts w:ascii="Calibri" w:hAnsi="Calibri"/>
          <w:sz w:val="22"/>
          <w:szCs w:val="22"/>
        </w:rPr>
      </w:pPr>
      <w:r w:rsidRPr="005A4F9A">
        <w:rPr>
          <w:rFonts w:ascii="Calibri" w:hAnsi="Calibri"/>
          <w:sz w:val="22"/>
          <w:szCs w:val="22"/>
        </w:rPr>
        <w:t xml:space="preserve">            </w:t>
      </w:r>
      <w:r w:rsidR="004B76F8">
        <w:rPr>
          <w:rFonts w:ascii="Calibri" w:hAnsi="Calibri"/>
          <w:sz w:val="22"/>
          <w:szCs w:val="22"/>
        </w:rPr>
        <w:t xml:space="preserve">  </w:t>
      </w:r>
      <w:r w:rsidRPr="005A4F9A">
        <w:rPr>
          <w:rFonts w:ascii="Calibri" w:hAnsi="Calibri"/>
          <w:sz w:val="22"/>
          <w:szCs w:val="22"/>
        </w:rPr>
        <w:t>The table below shows the detailed estimates of the annual burdens:</w:t>
      </w:r>
    </w:p>
    <w:p w:rsidRPr="005A4F9A" w:rsidR="006A7970" w:rsidP="006A7970" w:rsidRDefault="006A7970" w14:paraId="3546DAC7" w14:textId="77777777">
      <w:pPr>
        <w:rPr>
          <w:rFonts w:ascii="Calibri" w:hAnsi="Calibri"/>
          <w:sz w:val="22"/>
          <w:szCs w:val="22"/>
        </w:rPr>
      </w:pPr>
      <w:r w:rsidRPr="005A4F9A">
        <w:rPr>
          <w:rFonts w:ascii="Calibri" w:hAnsi="Calibri"/>
          <w:sz w:val="22"/>
          <w:szCs w:val="22"/>
        </w:rPr>
        <w:t xml:space="preserve">               </w:t>
      </w: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Pr="005A4F9A" w:rsidR="006A7970" w:rsidTr="006A7970" w14:paraId="45124CBE"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Pr="005A4F9A" w:rsidR="006A7970" w:rsidRDefault="006A7970" w14:paraId="7A43D058" w14:textId="77777777">
            <w:pPr>
              <w:keepNext/>
              <w:keepLines/>
              <w:autoSpaceDE/>
              <w:adjustRightInd/>
              <w:jc w:val="center"/>
              <w:rPr>
                <w:rFonts w:ascii="Calibri" w:hAnsi="Calibri" w:cs="Calibri"/>
                <w:color w:val="000000"/>
                <w:sz w:val="22"/>
                <w:szCs w:val="22"/>
              </w:rPr>
            </w:pPr>
          </w:p>
        </w:tc>
        <w:tc>
          <w:tcPr>
            <w:tcW w:w="3060" w:type="dxa"/>
            <w:tcBorders>
              <w:top w:val="single" w:color="auto" w:sz="8" w:space="0"/>
              <w:left w:val="nil"/>
              <w:bottom w:val="single" w:color="auto" w:sz="8" w:space="0"/>
              <w:right w:val="single" w:color="auto" w:sz="8" w:space="0"/>
            </w:tcBorders>
            <w:noWrap/>
            <w:vAlign w:val="center"/>
            <w:hideMark/>
          </w:tcPr>
          <w:p w:rsidRPr="005A4F9A" w:rsidR="006A7970" w:rsidRDefault="006A7970" w14:paraId="169CBED3"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Description</w:t>
            </w:r>
          </w:p>
        </w:tc>
        <w:tc>
          <w:tcPr>
            <w:tcW w:w="990" w:type="dxa"/>
            <w:tcBorders>
              <w:top w:val="single" w:color="auto" w:sz="8" w:space="0"/>
              <w:left w:val="nil"/>
              <w:bottom w:val="single" w:color="auto" w:sz="8" w:space="0"/>
              <w:right w:val="single" w:color="auto" w:sz="8" w:space="0"/>
            </w:tcBorders>
            <w:vAlign w:val="center"/>
            <w:hideMark/>
          </w:tcPr>
          <w:p w:rsidRPr="005A4F9A" w:rsidR="006A7970" w:rsidRDefault="006A7970" w14:paraId="16516C10"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 Respondents</w:t>
            </w:r>
          </w:p>
        </w:tc>
        <w:tc>
          <w:tcPr>
            <w:tcW w:w="1170" w:type="dxa"/>
            <w:tcBorders>
              <w:top w:val="single" w:color="auto" w:sz="8" w:space="0"/>
              <w:left w:val="nil"/>
              <w:bottom w:val="single" w:color="auto" w:sz="8" w:space="0"/>
              <w:right w:val="single" w:color="auto" w:sz="8" w:space="0"/>
            </w:tcBorders>
            <w:vAlign w:val="center"/>
            <w:hideMark/>
          </w:tcPr>
          <w:p w:rsidRPr="005A4F9A" w:rsidR="006A7970" w:rsidRDefault="006A7970" w14:paraId="4CAB5942"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 Responses Per Respondent</w:t>
            </w:r>
          </w:p>
        </w:tc>
        <w:tc>
          <w:tcPr>
            <w:tcW w:w="1080" w:type="dxa"/>
            <w:tcBorders>
              <w:top w:val="single" w:color="auto" w:sz="8" w:space="0"/>
              <w:left w:val="nil"/>
              <w:bottom w:val="single" w:color="auto" w:sz="8" w:space="0"/>
              <w:right w:val="single" w:color="auto" w:sz="8" w:space="0"/>
            </w:tcBorders>
            <w:vAlign w:val="center"/>
            <w:hideMark/>
          </w:tcPr>
          <w:p w:rsidRPr="005A4F9A" w:rsidR="006A7970" w:rsidRDefault="006A7970" w14:paraId="648C22B3"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Total Annual Responses</w:t>
            </w:r>
          </w:p>
        </w:tc>
        <w:tc>
          <w:tcPr>
            <w:tcW w:w="990" w:type="dxa"/>
            <w:tcBorders>
              <w:top w:val="single" w:color="auto" w:sz="8" w:space="0"/>
              <w:left w:val="nil"/>
              <w:bottom w:val="single" w:color="auto" w:sz="8" w:space="0"/>
              <w:right w:val="single" w:color="auto" w:sz="8" w:space="0"/>
            </w:tcBorders>
            <w:vAlign w:val="center"/>
            <w:hideMark/>
          </w:tcPr>
          <w:p w:rsidRPr="005A4F9A" w:rsidR="006A7970" w:rsidRDefault="006A7970" w14:paraId="6F1C122E"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Hours Per Response</w:t>
            </w:r>
          </w:p>
        </w:tc>
        <w:tc>
          <w:tcPr>
            <w:tcW w:w="1260" w:type="dxa"/>
            <w:tcBorders>
              <w:top w:val="single" w:color="auto" w:sz="8" w:space="0"/>
              <w:left w:val="nil"/>
              <w:bottom w:val="single" w:color="auto" w:sz="8" w:space="0"/>
              <w:right w:val="single" w:color="auto" w:sz="8" w:space="0"/>
            </w:tcBorders>
            <w:vAlign w:val="center"/>
            <w:hideMark/>
          </w:tcPr>
          <w:p w:rsidRPr="005A4F9A" w:rsidR="006A7970" w:rsidRDefault="006A7970" w14:paraId="22F250CB"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Total Burden</w:t>
            </w:r>
          </w:p>
        </w:tc>
      </w:tr>
      <w:tr w:rsidRPr="005A4F9A" w:rsidR="007B1380" w:rsidTr="006A7970" w14:paraId="071D3B9F" w14:textId="77777777">
        <w:trPr>
          <w:trHeight w:val="345"/>
        </w:trPr>
        <w:tc>
          <w:tcPr>
            <w:tcW w:w="1635" w:type="dxa"/>
            <w:tcBorders>
              <w:top w:val="single" w:color="auto" w:sz="8" w:space="0"/>
              <w:left w:val="single" w:color="auto" w:sz="8" w:space="0"/>
              <w:bottom w:val="single" w:color="000000" w:sz="8" w:space="0"/>
              <w:right w:val="single" w:color="auto" w:sz="8" w:space="0"/>
            </w:tcBorders>
            <w:noWrap/>
            <w:vAlign w:val="center"/>
          </w:tcPr>
          <w:p w:rsidRPr="005A4F9A" w:rsidR="007B1380" w:rsidP="007B1380" w:rsidRDefault="007B1380" w14:paraId="6A16FC6C" w14:textId="77777777">
            <w:pPr>
              <w:keepNext/>
              <w:keepLines/>
              <w:autoSpaceDE/>
              <w:adjustRightInd/>
              <w:jc w:val="center"/>
              <w:rPr>
                <w:rFonts w:ascii="Calibri" w:hAnsi="Calibri" w:cs="Calibri"/>
                <w:color w:val="000000"/>
                <w:sz w:val="22"/>
                <w:szCs w:val="22"/>
              </w:rPr>
            </w:pPr>
            <w:r w:rsidRPr="004B76F8">
              <w:rPr>
                <w:rFonts w:ascii="Calibri" w:hAnsi="Calibri" w:cs="Calibri"/>
                <w:color w:val="000000"/>
                <w:sz w:val="22"/>
                <w:szCs w:val="22"/>
              </w:rPr>
              <w:t>Notice 2015-4</w:t>
            </w:r>
          </w:p>
        </w:tc>
        <w:tc>
          <w:tcPr>
            <w:tcW w:w="3060" w:type="dxa"/>
            <w:tcBorders>
              <w:top w:val="single" w:color="auto" w:sz="8" w:space="0"/>
              <w:left w:val="single" w:color="auto" w:sz="8" w:space="0"/>
              <w:bottom w:val="single" w:color="000000" w:sz="8" w:space="0"/>
              <w:right w:val="single" w:color="auto" w:sz="8" w:space="0"/>
            </w:tcBorders>
            <w:vAlign w:val="center"/>
          </w:tcPr>
          <w:p w:rsidRPr="005A4F9A" w:rsidR="007B1380" w:rsidP="007B1380" w:rsidRDefault="007B1380" w14:paraId="0EDEAE8D" w14:textId="77777777">
            <w:pPr>
              <w:keepNext/>
              <w:keepLines/>
              <w:autoSpaceDE/>
              <w:adjustRightInd/>
              <w:rPr>
                <w:rFonts w:ascii="Calibri" w:hAnsi="Calibri" w:cs="Calibri"/>
                <w:sz w:val="22"/>
                <w:szCs w:val="22"/>
              </w:rPr>
            </w:pPr>
            <w:r w:rsidRPr="004B76F8">
              <w:rPr>
                <w:rFonts w:ascii="Calibri" w:hAnsi="Calibri" w:cs="Calibri"/>
                <w:sz w:val="22"/>
                <w:szCs w:val="22"/>
              </w:rPr>
              <w:t>Performance &amp; Quality for Small Wind Energy Property</w:t>
            </w:r>
          </w:p>
        </w:tc>
        <w:tc>
          <w:tcPr>
            <w:tcW w:w="990" w:type="dxa"/>
            <w:tcBorders>
              <w:top w:val="single" w:color="auto" w:sz="8" w:space="0"/>
              <w:left w:val="nil"/>
              <w:bottom w:val="single" w:color="auto" w:sz="8" w:space="0"/>
              <w:right w:val="single" w:color="auto" w:sz="8" w:space="0"/>
            </w:tcBorders>
            <w:noWrap/>
            <w:vAlign w:val="center"/>
          </w:tcPr>
          <w:p w:rsidRPr="005A4F9A" w:rsidR="007B1380" w:rsidP="007B1380" w:rsidRDefault="007B1380" w14:paraId="0FDB1F9B"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160</w:t>
            </w:r>
          </w:p>
        </w:tc>
        <w:tc>
          <w:tcPr>
            <w:tcW w:w="1170" w:type="dxa"/>
            <w:tcBorders>
              <w:top w:val="single" w:color="auto" w:sz="8" w:space="0"/>
              <w:left w:val="nil"/>
              <w:bottom w:val="single" w:color="auto" w:sz="8" w:space="0"/>
              <w:right w:val="single" w:color="auto" w:sz="8" w:space="0"/>
            </w:tcBorders>
            <w:noWrap/>
            <w:vAlign w:val="center"/>
          </w:tcPr>
          <w:p w:rsidRPr="005A4F9A" w:rsidR="007B1380" w:rsidP="007B1380" w:rsidRDefault="007B1380" w14:paraId="6458429E"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1</w:t>
            </w:r>
          </w:p>
        </w:tc>
        <w:tc>
          <w:tcPr>
            <w:tcW w:w="1080" w:type="dxa"/>
            <w:tcBorders>
              <w:top w:val="single" w:color="auto" w:sz="8" w:space="0"/>
              <w:left w:val="nil"/>
              <w:bottom w:val="single" w:color="auto" w:sz="8" w:space="0"/>
              <w:right w:val="single" w:color="auto" w:sz="8" w:space="0"/>
            </w:tcBorders>
            <w:noWrap/>
            <w:vAlign w:val="center"/>
          </w:tcPr>
          <w:p w:rsidRPr="005A4F9A" w:rsidR="007B1380" w:rsidP="007B1380" w:rsidRDefault="007B1380" w14:paraId="290081EA"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160</w:t>
            </w:r>
          </w:p>
        </w:tc>
        <w:tc>
          <w:tcPr>
            <w:tcW w:w="990" w:type="dxa"/>
            <w:tcBorders>
              <w:top w:val="single" w:color="auto" w:sz="8" w:space="0"/>
              <w:left w:val="nil"/>
              <w:bottom w:val="single" w:color="auto" w:sz="8" w:space="0"/>
              <w:right w:val="single" w:color="auto" w:sz="8" w:space="0"/>
            </w:tcBorders>
            <w:noWrap/>
            <w:vAlign w:val="center"/>
          </w:tcPr>
          <w:p w:rsidRPr="005A4F9A" w:rsidR="007B1380" w:rsidP="007B1380" w:rsidRDefault="007B1380" w14:paraId="1384B1AC"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2.5</w:t>
            </w:r>
          </w:p>
        </w:tc>
        <w:tc>
          <w:tcPr>
            <w:tcW w:w="1260" w:type="dxa"/>
            <w:tcBorders>
              <w:top w:val="single" w:color="auto" w:sz="8" w:space="0"/>
              <w:left w:val="nil"/>
              <w:bottom w:val="single" w:color="auto" w:sz="8" w:space="0"/>
              <w:right w:val="single" w:color="auto" w:sz="8" w:space="0"/>
            </w:tcBorders>
            <w:noWrap/>
            <w:vAlign w:val="center"/>
          </w:tcPr>
          <w:p w:rsidRPr="005A4F9A" w:rsidR="007B1380" w:rsidP="007B1380" w:rsidRDefault="007B1380" w14:paraId="64A0C7C8"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400</w:t>
            </w:r>
          </w:p>
        </w:tc>
      </w:tr>
      <w:tr w:rsidRPr="005A4F9A" w:rsidR="007B1380" w:rsidTr="006A7970" w14:paraId="5C455405" w14:textId="77777777">
        <w:trPr>
          <w:trHeight w:val="345"/>
        </w:trPr>
        <w:tc>
          <w:tcPr>
            <w:tcW w:w="1635" w:type="dxa"/>
            <w:noWrap/>
            <w:vAlign w:val="center"/>
            <w:hideMark/>
          </w:tcPr>
          <w:p w:rsidRPr="005A4F9A" w:rsidR="007B1380" w:rsidP="007B1380" w:rsidRDefault="007B1380" w14:paraId="0784EED3" w14:textId="77777777">
            <w:pPr>
              <w:rPr>
                <w:rFonts w:ascii="Calibri" w:hAnsi="Calibri" w:cs="Calibri"/>
                <w:color w:val="000000"/>
                <w:sz w:val="22"/>
                <w:szCs w:val="22"/>
              </w:rPr>
            </w:pPr>
          </w:p>
        </w:tc>
        <w:tc>
          <w:tcPr>
            <w:tcW w:w="3060" w:type="dxa"/>
            <w:noWrap/>
            <w:vAlign w:val="center"/>
            <w:hideMark/>
          </w:tcPr>
          <w:p w:rsidRPr="005A4F9A" w:rsidR="007B1380" w:rsidP="007B1380" w:rsidRDefault="007B1380" w14:paraId="11CAC0A3" w14:textId="77777777">
            <w:pPr>
              <w:widowControl/>
              <w:autoSpaceDE/>
              <w:autoSpaceDN/>
              <w:adjustRightInd/>
              <w:rPr>
                <w:rFonts w:ascii="Calibri" w:hAnsi="Calibri"/>
                <w:sz w:val="22"/>
                <w:szCs w:val="22"/>
              </w:rPr>
            </w:pPr>
          </w:p>
        </w:tc>
        <w:tc>
          <w:tcPr>
            <w:tcW w:w="990" w:type="dxa"/>
            <w:tcBorders>
              <w:top w:val="nil"/>
              <w:left w:val="single" w:color="auto" w:sz="8" w:space="0"/>
              <w:bottom w:val="single" w:color="auto" w:sz="8" w:space="0"/>
              <w:right w:val="single" w:color="auto" w:sz="8" w:space="0"/>
            </w:tcBorders>
            <w:noWrap/>
            <w:vAlign w:val="center"/>
          </w:tcPr>
          <w:p w:rsidRPr="005A4F9A" w:rsidR="007B1380" w:rsidP="007B1380" w:rsidRDefault="007B1380" w14:paraId="2A4CF898"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160</w:t>
            </w:r>
          </w:p>
        </w:tc>
        <w:tc>
          <w:tcPr>
            <w:tcW w:w="1170" w:type="dxa"/>
            <w:tcBorders>
              <w:top w:val="nil"/>
              <w:left w:val="nil"/>
              <w:bottom w:val="single" w:color="auto" w:sz="8" w:space="0"/>
              <w:right w:val="single" w:color="auto" w:sz="8" w:space="0"/>
            </w:tcBorders>
            <w:noWrap/>
            <w:vAlign w:val="center"/>
          </w:tcPr>
          <w:p w:rsidRPr="005A4F9A" w:rsidR="007B1380" w:rsidP="007B1380" w:rsidRDefault="007B1380" w14:paraId="65E9AEB7" w14:textId="77777777">
            <w:pPr>
              <w:keepNext/>
              <w:keepLines/>
              <w:autoSpaceDE/>
              <w:adjustRightInd/>
              <w:jc w:val="center"/>
              <w:rPr>
                <w:rFonts w:ascii="Calibri" w:hAnsi="Calibri" w:cs="Calibri"/>
                <w:color w:val="000000"/>
                <w:sz w:val="22"/>
                <w:szCs w:val="22"/>
              </w:rPr>
            </w:pPr>
            <w:r w:rsidRPr="005A4F9A">
              <w:rPr>
                <w:rFonts w:ascii="Calibri" w:hAnsi="Calibri" w:cs="Calibri"/>
                <w:color w:val="000000"/>
                <w:sz w:val="22"/>
                <w:szCs w:val="22"/>
              </w:rPr>
              <w:t>1</w:t>
            </w:r>
          </w:p>
        </w:tc>
        <w:tc>
          <w:tcPr>
            <w:tcW w:w="1080" w:type="dxa"/>
            <w:tcBorders>
              <w:top w:val="nil"/>
              <w:left w:val="nil"/>
              <w:bottom w:val="single" w:color="auto" w:sz="8" w:space="0"/>
              <w:right w:val="single" w:color="auto" w:sz="8" w:space="0"/>
            </w:tcBorders>
            <w:noWrap/>
            <w:vAlign w:val="center"/>
          </w:tcPr>
          <w:p w:rsidRPr="005A4F9A" w:rsidR="007B1380" w:rsidP="007B1380" w:rsidRDefault="007B1380" w14:paraId="50E097F8"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160</w:t>
            </w:r>
          </w:p>
        </w:tc>
        <w:tc>
          <w:tcPr>
            <w:tcW w:w="990" w:type="dxa"/>
            <w:tcBorders>
              <w:top w:val="nil"/>
              <w:left w:val="nil"/>
              <w:bottom w:val="single" w:color="auto" w:sz="8" w:space="0"/>
              <w:right w:val="single" w:color="auto" w:sz="8" w:space="0"/>
            </w:tcBorders>
            <w:noWrap/>
            <w:vAlign w:val="center"/>
          </w:tcPr>
          <w:p w:rsidRPr="005A4F9A" w:rsidR="007B1380" w:rsidP="007B1380" w:rsidRDefault="007B1380" w14:paraId="5332D7BD" w14:textId="77777777">
            <w:pPr>
              <w:keepNext/>
              <w:keepLines/>
              <w:autoSpaceDE/>
              <w:adjustRightInd/>
              <w:jc w:val="center"/>
              <w:rPr>
                <w:rFonts w:ascii="Calibri" w:hAnsi="Calibri" w:cs="Calibri"/>
                <w:color w:val="000000"/>
                <w:sz w:val="22"/>
                <w:szCs w:val="22"/>
              </w:rPr>
            </w:pPr>
          </w:p>
        </w:tc>
        <w:tc>
          <w:tcPr>
            <w:tcW w:w="1260" w:type="dxa"/>
            <w:tcBorders>
              <w:top w:val="nil"/>
              <w:left w:val="nil"/>
              <w:bottom w:val="single" w:color="auto" w:sz="8" w:space="0"/>
              <w:right w:val="single" w:color="auto" w:sz="8" w:space="0"/>
            </w:tcBorders>
            <w:noWrap/>
            <w:vAlign w:val="center"/>
          </w:tcPr>
          <w:p w:rsidRPr="005A4F9A" w:rsidR="007B1380" w:rsidP="007B1380" w:rsidRDefault="007B1380" w14:paraId="608B54E9" w14:textId="77777777">
            <w:pPr>
              <w:keepNext/>
              <w:keepLines/>
              <w:autoSpaceDE/>
              <w:adjustRightInd/>
              <w:jc w:val="center"/>
              <w:rPr>
                <w:rFonts w:ascii="Calibri" w:hAnsi="Calibri" w:cs="Calibri"/>
                <w:color w:val="000000"/>
                <w:sz w:val="22"/>
                <w:szCs w:val="22"/>
              </w:rPr>
            </w:pPr>
            <w:r>
              <w:rPr>
                <w:rFonts w:ascii="Calibri" w:hAnsi="Calibri" w:cs="Calibri"/>
                <w:color w:val="000000"/>
                <w:sz w:val="22"/>
                <w:szCs w:val="22"/>
              </w:rPr>
              <w:t>4</w:t>
            </w:r>
            <w:r w:rsidRPr="005A4F9A">
              <w:rPr>
                <w:rFonts w:ascii="Calibri" w:hAnsi="Calibri" w:cs="Calibri"/>
                <w:color w:val="000000"/>
                <w:sz w:val="22"/>
                <w:szCs w:val="22"/>
              </w:rPr>
              <w:t>00</w:t>
            </w:r>
          </w:p>
        </w:tc>
      </w:tr>
    </w:tbl>
    <w:p w:rsidR="00C349E3" w:rsidP="00D11B1F" w:rsidRDefault="00C349E3" w14:paraId="75BBA554" w14:textId="77777777">
      <w:pPr>
        <w:ind w:left="720"/>
        <w:rPr>
          <w:rFonts w:ascii="Calibri" w:hAnsi="Calibri"/>
          <w:sz w:val="22"/>
          <w:szCs w:val="22"/>
        </w:rPr>
      </w:pPr>
    </w:p>
    <w:p w:rsidRPr="00D11B1F" w:rsidR="00D11B1F" w:rsidP="00D11B1F" w:rsidRDefault="00D11B1F" w14:paraId="3EF18B4E" w14:textId="62E13BAF">
      <w:pPr>
        <w:ind w:left="720"/>
        <w:rPr>
          <w:rFonts w:ascii="Calibri" w:hAnsi="Calibri"/>
          <w:sz w:val="22"/>
          <w:szCs w:val="22"/>
        </w:rPr>
      </w:pPr>
      <w:r w:rsidRPr="00D11B1F">
        <w:rPr>
          <w:rFonts w:ascii="Calibri" w:hAnsi="Calibri"/>
          <w:sz w:val="22"/>
          <w:szCs w:val="22"/>
        </w:rPr>
        <w:t>The following regulation impose</w:t>
      </w:r>
      <w:r>
        <w:rPr>
          <w:rFonts w:ascii="Calibri" w:hAnsi="Calibri"/>
          <w:sz w:val="22"/>
          <w:szCs w:val="22"/>
        </w:rPr>
        <w:t>s</w:t>
      </w:r>
      <w:r w:rsidRPr="00D11B1F">
        <w:rPr>
          <w:rFonts w:ascii="Calibri" w:hAnsi="Calibri"/>
          <w:sz w:val="22"/>
          <w:szCs w:val="22"/>
        </w:rPr>
        <w:t xml:space="preserve"> no additional burden. Please continue to assign OMB number 1545-</w:t>
      </w:r>
      <w:r>
        <w:rPr>
          <w:rFonts w:ascii="Calibri" w:hAnsi="Calibri"/>
          <w:sz w:val="22"/>
          <w:szCs w:val="22"/>
        </w:rPr>
        <w:t>2259</w:t>
      </w:r>
      <w:r w:rsidRPr="00D11B1F">
        <w:rPr>
          <w:rFonts w:ascii="Calibri" w:hAnsi="Calibri"/>
          <w:sz w:val="22"/>
          <w:szCs w:val="22"/>
        </w:rPr>
        <w:t xml:space="preserve"> to th</w:t>
      </w:r>
      <w:r>
        <w:rPr>
          <w:rFonts w:ascii="Calibri" w:hAnsi="Calibri"/>
          <w:sz w:val="22"/>
          <w:szCs w:val="22"/>
        </w:rPr>
        <w:t>i</w:t>
      </w:r>
      <w:r w:rsidRPr="00D11B1F">
        <w:rPr>
          <w:rFonts w:ascii="Calibri" w:hAnsi="Calibri"/>
          <w:sz w:val="22"/>
          <w:szCs w:val="22"/>
        </w:rPr>
        <w:t xml:space="preserve">s regulation. </w:t>
      </w:r>
    </w:p>
    <w:p w:rsidR="00D11B1F" w:rsidP="00D11B1F" w:rsidRDefault="00D11B1F" w14:paraId="5379F40B" w14:textId="4A4427F9">
      <w:pPr>
        <w:ind w:firstLine="720"/>
        <w:rPr>
          <w:rFonts w:ascii="Calibri" w:hAnsi="Calibri"/>
          <w:sz w:val="22"/>
          <w:szCs w:val="22"/>
        </w:rPr>
      </w:pPr>
      <w:r w:rsidRPr="00D11B1F">
        <w:rPr>
          <w:rFonts w:ascii="Calibri" w:hAnsi="Calibri"/>
          <w:sz w:val="22"/>
          <w:szCs w:val="22"/>
        </w:rPr>
        <w:t>1.60</w:t>
      </w:r>
      <w:r>
        <w:rPr>
          <w:rFonts w:ascii="Calibri" w:hAnsi="Calibri"/>
          <w:sz w:val="22"/>
          <w:szCs w:val="22"/>
        </w:rPr>
        <w:t>01</w:t>
      </w:r>
      <w:r w:rsidRPr="00D11B1F">
        <w:rPr>
          <w:rFonts w:ascii="Calibri" w:hAnsi="Calibri"/>
          <w:sz w:val="22"/>
          <w:szCs w:val="22"/>
        </w:rPr>
        <w:t>-1(</w:t>
      </w:r>
      <w:r>
        <w:rPr>
          <w:rFonts w:ascii="Calibri" w:hAnsi="Calibri"/>
          <w:sz w:val="22"/>
          <w:szCs w:val="22"/>
        </w:rPr>
        <w:t>e</w:t>
      </w:r>
      <w:r w:rsidRPr="00D11B1F">
        <w:rPr>
          <w:rFonts w:ascii="Calibri" w:hAnsi="Calibri"/>
          <w:sz w:val="22"/>
          <w:szCs w:val="22"/>
        </w:rPr>
        <w:t>)</w:t>
      </w:r>
    </w:p>
    <w:p w:rsidR="00C349E3" w:rsidP="00D11B1F" w:rsidRDefault="00C349E3" w14:paraId="33BE6B2D" w14:textId="2B227085">
      <w:pPr>
        <w:ind w:firstLine="720"/>
        <w:rPr>
          <w:rFonts w:ascii="Calibri" w:hAnsi="Calibri"/>
          <w:sz w:val="22"/>
          <w:szCs w:val="22"/>
        </w:rPr>
      </w:pPr>
    </w:p>
    <w:p w:rsidR="00C349E3" w:rsidP="00D11B1F" w:rsidRDefault="00C349E3" w14:paraId="6343699E" w14:textId="2C37C14B">
      <w:pPr>
        <w:ind w:firstLine="720"/>
        <w:rPr>
          <w:rFonts w:ascii="Calibri" w:hAnsi="Calibri"/>
          <w:sz w:val="22"/>
          <w:szCs w:val="22"/>
        </w:rPr>
      </w:pPr>
    </w:p>
    <w:p w:rsidR="00C349E3" w:rsidP="00D11B1F" w:rsidRDefault="00C349E3" w14:paraId="71FF2D7D" w14:textId="65810D0B">
      <w:pPr>
        <w:ind w:firstLine="720"/>
        <w:rPr>
          <w:rFonts w:ascii="Calibri" w:hAnsi="Calibri"/>
          <w:sz w:val="22"/>
          <w:szCs w:val="22"/>
        </w:rPr>
      </w:pPr>
    </w:p>
    <w:p w:rsidRPr="00D11B1F" w:rsidR="00C349E3" w:rsidP="00D11B1F" w:rsidRDefault="00C349E3" w14:paraId="22DE49EC" w14:textId="77777777">
      <w:pPr>
        <w:ind w:firstLine="720"/>
        <w:rPr>
          <w:rFonts w:ascii="Calibri" w:hAnsi="Calibri"/>
          <w:sz w:val="22"/>
          <w:szCs w:val="22"/>
        </w:rPr>
      </w:pPr>
    </w:p>
    <w:p w:rsidRPr="005A4F9A" w:rsidR="007E2EEB" w:rsidRDefault="00D46069" w14:paraId="78875F64" w14:textId="0894397E">
      <w:pPr>
        <w:rPr>
          <w:rFonts w:ascii="Calibri" w:hAnsi="Calibri"/>
          <w:sz w:val="22"/>
          <w:szCs w:val="22"/>
        </w:rPr>
      </w:pPr>
      <w:r w:rsidRPr="005A4F9A">
        <w:rPr>
          <w:rFonts w:ascii="Calibri" w:hAnsi="Calibri"/>
          <w:sz w:val="22"/>
          <w:szCs w:val="22"/>
        </w:rPr>
        <w:t xml:space="preserve">                                        </w:t>
      </w:r>
      <w:r w:rsidRPr="005A4F9A" w:rsidR="007E2EEB">
        <w:rPr>
          <w:rFonts w:ascii="Calibri" w:hAnsi="Calibri"/>
          <w:sz w:val="22"/>
          <w:szCs w:val="22"/>
        </w:rPr>
        <w:t xml:space="preserve">     </w:t>
      </w:r>
    </w:p>
    <w:p w:rsidRPr="005A4F9A" w:rsidR="007E2EEB" w:rsidP="00AF1AEA" w:rsidRDefault="007E2EEB" w14:paraId="7C637423" w14:textId="77777777">
      <w:pPr>
        <w:pStyle w:val="Level1"/>
        <w:numPr>
          <w:ilvl w:val="0"/>
          <w:numId w:val="4"/>
        </w:numPr>
        <w:tabs>
          <w:tab w:val="left" w:pos="-1440"/>
        </w:tabs>
        <w:rPr>
          <w:rFonts w:ascii="Calibri" w:hAnsi="Calibri"/>
          <w:b/>
          <w:sz w:val="22"/>
          <w:szCs w:val="22"/>
        </w:rPr>
      </w:pPr>
      <w:r w:rsidRPr="005A4F9A">
        <w:rPr>
          <w:rFonts w:ascii="Calibri" w:hAnsi="Calibri"/>
          <w:b/>
          <w:sz w:val="22"/>
          <w:szCs w:val="22"/>
          <w:u w:val="single"/>
        </w:rPr>
        <w:t>ESTIMATED TOTAL ANNUAL COST BURDEN TO RESPONDENTS</w:t>
      </w:r>
    </w:p>
    <w:p w:rsidRPr="005A4F9A" w:rsidR="007E2EEB" w:rsidRDefault="007E2EEB" w14:paraId="0E6B69D0" w14:textId="77777777">
      <w:pPr>
        <w:rPr>
          <w:rFonts w:ascii="Calibri" w:hAnsi="Calibri"/>
          <w:b/>
          <w:sz w:val="22"/>
          <w:szCs w:val="22"/>
        </w:rPr>
      </w:pPr>
    </w:p>
    <w:p w:rsidRPr="005A4F9A" w:rsidR="00D46069" w:rsidP="00C349E3" w:rsidRDefault="00F26675" w14:paraId="75D2A432" w14:textId="66B73D28">
      <w:pPr>
        <w:ind w:left="720"/>
        <w:rPr>
          <w:rFonts w:ascii="Calibri" w:hAnsi="Calibri"/>
          <w:sz w:val="22"/>
          <w:szCs w:val="22"/>
        </w:rPr>
      </w:pPr>
      <w:r w:rsidRPr="005A4F9A">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5A4F9A" w:rsidR="007E2EEB" w:rsidRDefault="007E2EEB" w14:paraId="2CF1FEBD" w14:textId="77777777">
      <w:pPr>
        <w:tabs>
          <w:tab w:val="left" w:pos="-1440"/>
        </w:tabs>
        <w:ind w:left="720" w:hanging="720"/>
        <w:rPr>
          <w:rFonts w:ascii="Calibri" w:hAnsi="Calibri"/>
          <w:sz w:val="22"/>
          <w:szCs w:val="22"/>
        </w:rPr>
      </w:pPr>
      <w:r w:rsidRPr="005A4F9A">
        <w:rPr>
          <w:rFonts w:ascii="Calibri" w:hAnsi="Calibri"/>
          <w:b/>
          <w:sz w:val="22"/>
          <w:szCs w:val="22"/>
        </w:rPr>
        <w:t>14.</w:t>
      </w:r>
      <w:r w:rsidRPr="005A4F9A">
        <w:rPr>
          <w:rFonts w:ascii="Calibri" w:hAnsi="Calibri"/>
          <w:sz w:val="22"/>
          <w:szCs w:val="22"/>
        </w:rPr>
        <w:tab/>
      </w:r>
      <w:r w:rsidRPr="005A4F9A">
        <w:rPr>
          <w:rFonts w:ascii="Calibri" w:hAnsi="Calibri"/>
          <w:b/>
          <w:sz w:val="22"/>
          <w:szCs w:val="22"/>
          <w:u w:val="single"/>
        </w:rPr>
        <w:t>ESTIMATED ANNUALIZED COST TO THE FEDERAL GOVERNMENT</w:t>
      </w:r>
    </w:p>
    <w:p w:rsidRPr="005A4F9A" w:rsidR="007E2EEB" w:rsidRDefault="007E2EEB" w14:paraId="5AC653C7" w14:textId="77777777">
      <w:pPr>
        <w:rPr>
          <w:rFonts w:ascii="Calibri" w:hAnsi="Calibri"/>
          <w:sz w:val="22"/>
          <w:szCs w:val="22"/>
        </w:rPr>
      </w:pPr>
    </w:p>
    <w:p w:rsidRPr="005A4F9A" w:rsidR="00F26675" w:rsidP="00F26675" w:rsidRDefault="00F26675" w14:paraId="0588DF33" w14:textId="77777777">
      <w:pPr>
        <w:ind w:left="720"/>
        <w:rPr>
          <w:rFonts w:ascii="Calibri" w:hAnsi="Calibri"/>
          <w:sz w:val="22"/>
          <w:szCs w:val="22"/>
        </w:rPr>
      </w:pPr>
      <w:r w:rsidRPr="005A4F9A">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5A4F9A" w:rsidR="007E2EEB" w:rsidRDefault="007E2EEB" w14:paraId="6EE75C33" w14:textId="77777777">
      <w:pPr>
        <w:rPr>
          <w:rFonts w:ascii="Calibri" w:hAnsi="Calibri"/>
          <w:sz w:val="22"/>
          <w:szCs w:val="22"/>
        </w:rPr>
      </w:pPr>
    </w:p>
    <w:p w:rsidRPr="005A4F9A" w:rsidR="007E2EEB" w:rsidRDefault="007E2EEB" w14:paraId="3CC904F7" w14:textId="77777777">
      <w:pPr>
        <w:pStyle w:val="Level1"/>
        <w:tabs>
          <w:tab w:val="left" w:pos="-1440"/>
          <w:tab w:val="num" w:pos="720"/>
        </w:tabs>
        <w:rPr>
          <w:rFonts w:ascii="Calibri" w:hAnsi="Calibri"/>
          <w:b/>
          <w:sz w:val="22"/>
          <w:szCs w:val="22"/>
        </w:rPr>
      </w:pPr>
      <w:r w:rsidRPr="005A4F9A">
        <w:rPr>
          <w:rFonts w:ascii="Calibri" w:hAnsi="Calibri"/>
          <w:b/>
          <w:sz w:val="22"/>
          <w:szCs w:val="22"/>
          <w:u w:val="single"/>
        </w:rPr>
        <w:t>REASONS FOR CHANGE IN BURDEN</w:t>
      </w:r>
    </w:p>
    <w:p w:rsidRPr="005A4F9A" w:rsidR="007E2EEB" w:rsidRDefault="007E2EEB" w14:paraId="06D05C10" w14:textId="77777777">
      <w:pPr>
        <w:rPr>
          <w:rFonts w:ascii="Calibri" w:hAnsi="Calibri"/>
          <w:sz w:val="22"/>
          <w:szCs w:val="22"/>
        </w:rPr>
      </w:pPr>
    </w:p>
    <w:p w:rsidRPr="005A4F9A" w:rsidR="007E2EEB" w:rsidRDefault="007E2EEB" w14:paraId="02688D9C" w14:textId="77777777">
      <w:pPr>
        <w:ind w:left="720"/>
        <w:rPr>
          <w:rFonts w:ascii="Calibri" w:hAnsi="Calibri"/>
          <w:sz w:val="22"/>
          <w:szCs w:val="22"/>
        </w:rPr>
      </w:pPr>
      <w:r w:rsidRPr="005A4F9A">
        <w:rPr>
          <w:rFonts w:ascii="Calibri" w:hAnsi="Calibri"/>
          <w:sz w:val="22"/>
          <w:szCs w:val="22"/>
        </w:rPr>
        <w:t xml:space="preserve">There is no change in the paperwork burden previously approved by OMB.                </w:t>
      </w:r>
    </w:p>
    <w:p w:rsidRPr="005A4F9A" w:rsidR="007E2EEB" w:rsidRDefault="007E2EEB" w14:paraId="000D4B34" w14:textId="77777777">
      <w:pPr>
        <w:rPr>
          <w:rFonts w:ascii="Calibri" w:hAnsi="Calibri"/>
          <w:sz w:val="22"/>
          <w:szCs w:val="22"/>
        </w:rPr>
      </w:pPr>
      <w:r w:rsidRPr="005A4F9A">
        <w:rPr>
          <w:rFonts w:ascii="Calibri" w:hAnsi="Calibri"/>
          <w:sz w:val="22"/>
          <w:szCs w:val="22"/>
        </w:rPr>
        <w:t xml:space="preserve">     </w:t>
      </w:r>
    </w:p>
    <w:p w:rsidRPr="005A4F9A" w:rsidR="007E2EEB" w:rsidRDefault="007E2EEB" w14:paraId="190ABFD8" w14:textId="77777777">
      <w:pPr>
        <w:pStyle w:val="Level1"/>
        <w:tabs>
          <w:tab w:val="left" w:pos="-1440"/>
          <w:tab w:val="num" w:pos="720"/>
        </w:tabs>
        <w:rPr>
          <w:rFonts w:ascii="Calibri" w:hAnsi="Calibri"/>
          <w:b/>
          <w:sz w:val="22"/>
          <w:szCs w:val="22"/>
        </w:rPr>
      </w:pPr>
      <w:r w:rsidRPr="005A4F9A">
        <w:rPr>
          <w:rFonts w:ascii="Calibri" w:hAnsi="Calibri"/>
          <w:b/>
          <w:sz w:val="22"/>
          <w:szCs w:val="22"/>
          <w:u w:val="single"/>
        </w:rPr>
        <w:t>PLANS FOR TABULATION, STATISTICAL ANALYSIS AND PUBLICATION</w:t>
      </w:r>
    </w:p>
    <w:p w:rsidRPr="005A4F9A" w:rsidR="007E2EEB" w:rsidRDefault="007E2EEB" w14:paraId="4C6E838D" w14:textId="77777777">
      <w:pPr>
        <w:rPr>
          <w:rFonts w:ascii="Calibri" w:hAnsi="Calibri"/>
          <w:sz w:val="22"/>
          <w:szCs w:val="22"/>
        </w:rPr>
      </w:pPr>
    </w:p>
    <w:p w:rsidRPr="005A4F9A" w:rsidR="00F14037" w:rsidP="00D46069" w:rsidRDefault="00D46069" w14:paraId="46B98908" w14:textId="77777777">
      <w:pPr>
        <w:ind w:left="720"/>
        <w:rPr>
          <w:rFonts w:ascii="Calibri" w:hAnsi="Calibri" w:cs="Calibri"/>
          <w:sz w:val="22"/>
          <w:szCs w:val="22"/>
        </w:rPr>
      </w:pPr>
      <w:r w:rsidRPr="005A4F9A">
        <w:rPr>
          <w:rFonts w:ascii="Calibri" w:hAnsi="Calibri" w:cs="Calibri"/>
          <w:sz w:val="22"/>
          <w:szCs w:val="22"/>
        </w:rPr>
        <w:t>There are no plans for tabulation, statistical analysis, and publication.</w:t>
      </w:r>
    </w:p>
    <w:p w:rsidRPr="005A4F9A" w:rsidR="00D46069" w:rsidP="00D46069" w:rsidRDefault="00D46069" w14:paraId="56CAE11B" w14:textId="77777777">
      <w:pPr>
        <w:rPr>
          <w:rFonts w:ascii="Calibri" w:hAnsi="Calibri" w:cs="Calibri"/>
          <w:sz w:val="22"/>
          <w:szCs w:val="22"/>
        </w:rPr>
      </w:pPr>
    </w:p>
    <w:p w:rsidRPr="005A4F9A" w:rsidR="007E2EEB" w:rsidRDefault="007E2EEB" w14:paraId="402AA38C" w14:textId="77777777">
      <w:pPr>
        <w:pStyle w:val="Level1"/>
        <w:tabs>
          <w:tab w:val="left" w:pos="-1440"/>
          <w:tab w:val="num" w:pos="720"/>
        </w:tabs>
        <w:rPr>
          <w:rFonts w:ascii="Calibri" w:hAnsi="Calibri"/>
          <w:b/>
          <w:sz w:val="22"/>
          <w:szCs w:val="22"/>
        </w:rPr>
      </w:pPr>
      <w:r w:rsidRPr="005A4F9A">
        <w:rPr>
          <w:rFonts w:ascii="Calibri" w:hAnsi="Calibri"/>
          <w:b/>
          <w:sz w:val="22"/>
          <w:szCs w:val="22"/>
          <w:u w:val="single"/>
        </w:rPr>
        <w:t>REASONS WHY DISPLAYING THE OMB EXPIRATION DATE IS</w:t>
      </w:r>
      <w:r w:rsidRPr="005A4F9A" w:rsidR="00715FFF">
        <w:rPr>
          <w:rFonts w:ascii="Calibri" w:hAnsi="Calibri"/>
          <w:b/>
          <w:sz w:val="22"/>
          <w:szCs w:val="22"/>
          <w:u w:val="single"/>
        </w:rPr>
        <w:t xml:space="preserve"> </w:t>
      </w:r>
      <w:r w:rsidRPr="005A4F9A">
        <w:rPr>
          <w:rFonts w:ascii="Calibri" w:hAnsi="Calibri"/>
          <w:b/>
          <w:sz w:val="22"/>
          <w:szCs w:val="22"/>
          <w:u w:val="single"/>
        </w:rPr>
        <w:t>INAPPROPRIATE</w:t>
      </w:r>
    </w:p>
    <w:p w:rsidRPr="005A4F9A" w:rsidR="007E2EEB" w:rsidRDefault="007E2EEB" w14:paraId="3ED10A6D" w14:textId="77777777">
      <w:pPr>
        <w:rPr>
          <w:rFonts w:ascii="Calibri" w:hAnsi="Calibri"/>
          <w:sz w:val="22"/>
          <w:szCs w:val="22"/>
        </w:rPr>
      </w:pPr>
    </w:p>
    <w:p w:rsidRPr="005A4F9A" w:rsidR="0012358F" w:rsidRDefault="004B6E0C" w14:paraId="7489C5E5" w14:textId="77777777">
      <w:pPr>
        <w:ind w:left="720"/>
        <w:rPr>
          <w:rFonts w:ascii="Calibri" w:hAnsi="Calibri"/>
          <w:sz w:val="22"/>
          <w:szCs w:val="22"/>
        </w:rPr>
      </w:pPr>
      <w:r w:rsidRPr="005A4F9A">
        <w:rPr>
          <w:rFonts w:ascii="Calibri" w:hAnsi="Calibri"/>
          <w:sz w:val="22"/>
          <w:szCs w:val="22"/>
        </w:rPr>
        <w:t>The IRS</w:t>
      </w:r>
      <w:r w:rsidRPr="005A4F9A" w:rsidR="007E2EEB">
        <w:rPr>
          <w:rFonts w:ascii="Calibri" w:hAnsi="Calibri"/>
          <w:sz w:val="22"/>
          <w:szCs w:val="22"/>
        </w:rPr>
        <w:t xml:space="preserve"> believe</w:t>
      </w:r>
      <w:r w:rsidRPr="005A4F9A">
        <w:rPr>
          <w:rFonts w:ascii="Calibri" w:hAnsi="Calibri"/>
          <w:sz w:val="22"/>
          <w:szCs w:val="22"/>
        </w:rPr>
        <w:t>s</w:t>
      </w:r>
      <w:r w:rsidRPr="005A4F9A" w:rsidR="007E2EEB">
        <w:rPr>
          <w:rFonts w:ascii="Calibri" w:hAnsi="Calibri"/>
          <w:sz w:val="22"/>
          <w:szCs w:val="22"/>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5A4F9A" w:rsidR="007E2EEB" w:rsidRDefault="007E2EEB" w14:paraId="6479DB46" w14:textId="77777777">
      <w:pPr>
        <w:rPr>
          <w:rFonts w:ascii="Calibri" w:hAnsi="Calibri"/>
          <w:sz w:val="22"/>
          <w:szCs w:val="22"/>
        </w:rPr>
      </w:pPr>
    </w:p>
    <w:p w:rsidRPr="005A4F9A" w:rsidR="007E2EEB" w:rsidRDefault="007E2EEB" w14:paraId="31DDFAA7" w14:textId="77777777">
      <w:pPr>
        <w:pStyle w:val="Level1"/>
        <w:tabs>
          <w:tab w:val="left" w:pos="-1440"/>
          <w:tab w:val="num" w:pos="720"/>
        </w:tabs>
        <w:rPr>
          <w:rFonts w:ascii="Calibri" w:hAnsi="Calibri"/>
          <w:b/>
          <w:sz w:val="22"/>
          <w:szCs w:val="22"/>
        </w:rPr>
      </w:pPr>
      <w:r w:rsidRPr="005A4F9A">
        <w:rPr>
          <w:rFonts w:ascii="Calibri" w:hAnsi="Calibri"/>
          <w:b/>
          <w:sz w:val="22"/>
          <w:szCs w:val="22"/>
          <w:u w:val="single"/>
        </w:rPr>
        <w:t>EXCEPTIONS TO THE CERTIFICATION STATEMENT</w:t>
      </w:r>
    </w:p>
    <w:p w:rsidRPr="005A4F9A" w:rsidR="007E2EEB" w:rsidRDefault="007E2EEB" w14:paraId="2BE59390" w14:textId="77777777">
      <w:pPr>
        <w:rPr>
          <w:rFonts w:ascii="Calibri" w:hAnsi="Calibri"/>
          <w:b/>
          <w:sz w:val="22"/>
          <w:szCs w:val="22"/>
        </w:rPr>
      </w:pPr>
    </w:p>
    <w:p w:rsidRPr="005A4F9A" w:rsidR="007E2EEB" w:rsidP="002B177C" w:rsidRDefault="00801A34" w14:paraId="215ACC50" w14:textId="77777777">
      <w:pPr>
        <w:ind w:left="720"/>
        <w:rPr>
          <w:rFonts w:ascii="Calibri" w:hAnsi="Calibri"/>
          <w:sz w:val="22"/>
          <w:szCs w:val="22"/>
        </w:rPr>
      </w:pPr>
      <w:r w:rsidRPr="005A4F9A">
        <w:rPr>
          <w:rFonts w:ascii="Calibri" w:hAnsi="Calibri"/>
          <w:sz w:val="22"/>
          <w:szCs w:val="22"/>
        </w:rPr>
        <w:t>There are no exceptions to the certification statement.</w:t>
      </w:r>
    </w:p>
    <w:p w:rsidRPr="005A4F9A" w:rsidR="005C66C6" w:rsidRDefault="005C66C6" w14:paraId="335CDA1A" w14:textId="77777777">
      <w:pPr>
        <w:rPr>
          <w:rFonts w:ascii="Calibri" w:hAnsi="Calibri"/>
          <w:sz w:val="22"/>
          <w:szCs w:val="22"/>
        </w:rPr>
      </w:pPr>
    </w:p>
    <w:p w:rsidRPr="005A4F9A" w:rsidR="002B177C" w:rsidRDefault="002B177C" w14:paraId="0C27E466" w14:textId="77777777">
      <w:pPr>
        <w:rPr>
          <w:rFonts w:ascii="Calibri" w:hAnsi="Calibri"/>
          <w:sz w:val="22"/>
          <w:szCs w:val="22"/>
        </w:rPr>
      </w:pPr>
    </w:p>
    <w:p w:rsidRPr="005A4F9A" w:rsidR="007E2EEB" w:rsidP="00D11B1F" w:rsidRDefault="007E2EEB" w14:paraId="7171E56F" w14:textId="77777777">
      <w:pPr>
        <w:ind w:left="720"/>
        <w:rPr>
          <w:rFonts w:ascii="Calibri" w:hAnsi="Calibri"/>
          <w:sz w:val="22"/>
          <w:szCs w:val="22"/>
        </w:rPr>
      </w:pPr>
      <w:r w:rsidRPr="005A4F9A">
        <w:rPr>
          <w:rFonts w:ascii="Calibri" w:hAnsi="Calibri"/>
          <w:b/>
          <w:sz w:val="22"/>
          <w:szCs w:val="22"/>
          <w:u w:val="single"/>
        </w:rPr>
        <w:t>Note:</w:t>
      </w:r>
      <w:r w:rsidRPr="005A4F9A">
        <w:rPr>
          <w:rFonts w:ascii="Calibri" w:hAnsi="Calibri"/>
          <w:sz w:val="22"/>
          <w:szCs w:val="22"/>
        </w:rPr>
        <w:t xml:space="preserve">   The following paragraph applies to </w:t>
      </w:r>
      <w:proofErr w:type="gramStart"/>
      <w:r w:rsidRPr="005A4F9A">
        <w:rPr>
          <w:rFonts w:ascii="Calibri" w:hAnsi="Calibri"/>
          <w:sz w:val="22"/>
          <w:szCs w:val="22"/>
        </w:rPr>
        <w:t>all of</w:t>
      </w:r>
      <w:proofErr w:type="gramEnd"/>
      <w:r w:rsidRPr="005A4F9A">
        <w:rPr>
          <w:rFonts w:ascii="Calibri" w:hAnsi="Calibri"/>
          <w:sz w:val="22"/>
          <w:szCs w:val="22"/>
        </w:rPr>
        <w:t xml:space="preserve"> the collections of information in this submission:</w:t>
      </w:r>
    </w:p>
    <w:p w:rsidRPr="005A4F9A" w:rsidR="007E2EEB" w:rsidRDefault="007E2EEB" w14:paraId="397BBEFF" w14:textId="77777777">
      <w:pPr>
        <w:rPr>
          <w:rFonts w:ascii="Calibri" w:hAnsi="Calibri"/>
          <w:sz w:val="22"/>
          <w:szCs w:val="22"/>
        </w:rPr>
      </w:pPr>
    </w:p>
    <w:p w:rsidRPr="005A4F9A" w:rsidR="007E2EEB" w:rsidRDefault="007E2EEB" w14:paraId="5B5B1739" w14:textId="77777777">
      <w:pPr>
        <w:rPr>
          <w:rFonts w:ascii="Calibri" w:hAnsi="Calibri"/>
          <w:sz w:val="22"/>
          <w:szCs w:val="22"/>
        </w:rPr>
        <w:sectPr w:rsidRPr="005A4F9A" w:rsidR="007E2EEB" w:rsidSect="00C349E3">
          <w:headerReference w:type="default" r:id="rId9"/>
          <w:footerReference w:type="default" r:id="rId10"/>
          <w:type w:val="continuous"/>
          <w:pgSz w:w="12240" w:h="15840"/>
          <w:pgMar w:top="1296" w:right="1440" w:bottom="864" w:left="1296" w:header="1296" w:footer="1296" w:gutter="0"/>
          <w:cols w:space="720"/>
          <w:noEndnote/>
          <w:docGrid w:linePitch="326"/>
        </w:sectPr>
      </w:pPr>
    </w:p>
    <w:p w:rsidRPr="005A4F9A" w:rsidR="007E2EEB" w:rsidP="00C349E3" w:rsidRDefault="007E2EEB" w14:paraId="5096D6B3" w14:textId="77777777">
      <w:pPr>
        <w:ind w:left="720"/>
        <w:rPr>
          <w:rFonts w:ascii="Calibri" w:hAnsi="Calibri"/>
          <w:sz w:val="22"/>
          <w:szCs w:val="22"/>
        </w:rPr>
      </w:pPr>
      <w:r w:rsidRPr="005A4F9A">
        <w:rPr>
          <w:rFonts w:ascii="Calibri" w:hAnsi="Calibr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5A4F9A">
        <w:rPr>
          <w:rFonts w:ascii="Calibri" w:hAnsi="Calibri"/>
          <w:sz w:val="22"/>
          <w:szCs w:val="22"/>
        </w:rPr>
        <w:t>as long as</w:t>
      </w:r>
      <w:proofErr w:type="gramEnd"/>
      <w:r w:rsidRPr="005A4F9A">
        <w:rPr>
          <w:rFonts w:ascii="Calibri" w:hAnsi="Calibri"/>
          <w:sz w:val="22"/>
          <w:szCs w:val="22"/>
        </w:rPr>
        <w:t xml:space="preserve"> their contents may become material in the administration of any internal revenue law.  Generally, tax returns and tax return information are confidential, as required by 26 U.S.C. 6103.</w:t>
      </w:r>
    </w:p>
    <w:sectPr w:rsidRPr="005A4F9A"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8BDA8" w14:textId="77777777" w:rsidR="008B70B9" w:rsidRDefault="008B70B9">
      <w:r>
        <w:separator/>
      </w:r>
    </w:p>
  </w:endnote>
  <w:endnote w:type="continuationSeparator" w:id="0">
    <w:p w14:paraId="613A43BA" w14:textId="77777777" w:rsidR="008B70B9" w:rsidRDefault="008B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erylium">
    <w:altName w:val="Times New Roman"/>
    <w:charset w:val="00"/>
    <w:family w:val="auto"/>
    <w:pitch w:val="variable"/>
    <w:sig w:usb0="00000001" w:usb1="0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7FDCF" w14:textId="2DA7CC7D" w:rsidR="00D11B1F" w:rsidRDefault="00D11B1F">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B6C9DFB" w14:textId="77777777" w:rsidR="00ED51E5" w:rsidRDefault="00ED5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4D2C4" w14:textId="77777777" w:rsidR="008B70B9" w:rsidRDefault="008B70B9">
      <w:r>
        <w:separator/>
      </w:r>
    </w:p>
  </w:footnote>
  <w:footnote w:type="continuationSeparator" w:id="0">
    <w:p w14:paraId="72797D98" w14:textId="77777777" w:rsidR="008B70B9" w:rsidRDefault="008B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4558E"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220F9"/>
    <w:rsid w:val="00044F37"/>
    <w:rsid w:val="000A4339"/>
    <w:rsid w:val="000A7FC1"/>
    <w:rsid w:val="000D6498"/>
    <w:rsid w:val="000E4526"/>
    <w:rsid w:val="001135E3"/>
    <w:rsid w:val="00121BB8"/>
    <w:rsid w:val="0012358F"/>
    <w:rsid w:val="001337C1"/>
    <w:rsid w:val="00161268"/>
    <w:rsid w:val="00166349"/>
    <w:rsid w:val="00190553"/>
    <w:rsid w:val="00192FAD"/>
    <w:rsid w:val="001A6F7B"/>
    <w:rsid w:val="001B24BC"/>
    <w:rsid w:val="001B35E3"/>
    <w:rsid w:val="001C3D05"/>
    <w:rsid w:val="00213925"/>
    <w:rsid w:val="0023566C"/>
    <w:rsid w:val="00246391"/>
    <w:rsid w:val="00251ED2"/>
    <w:rsid w:val="00277075"/>
    <w:rsid w:val="00282B0F"/>
    <w:rsid w:val="00293354"/>
    <w:rsid w:val="002A243C"/>
    <w:rsid w:val="002B177C"/>
    <w:rsid w:val="002B499E"/>
    <w:rsid w:val="002E372A"/>
    <w:rsid w:val="002E56B9"/>
    <w:rsid w:val="002F1933"/>
    <w:rsid w:val="002F79AA"/>
    <w:rsid w:val="00305112"/>
    <w:rsid w:val="00305478"/>
    <w:rsid w:val="00305B24"/>
    <w:rsid w:val="003127E4"/>
    <w:rsid w:val="003142C5"/>
    <w:rsid w:val="00351B4C"/>
    <w:rsid w:val="003713CD"/>
    <w:rsid w:val="00374474"/>
    <w:rsid w:val="003778E5"/>
    <w:rsid w:val="003A5A1A"/>
    <w:rsid w:val="003F5C49"/>
    <w:rsid w:val="0040164F"/>
    <w:rsid w:val="00427C16"/>
    <w:rsid w:val="00473D0D"/>
    <w:rsid w:val="004B6E0C"/>
    <w:rsid w:val="004B76F8"/>
    <w:rsid w:val="004C635A"/>
    <w:rsid w:val="004D3707"/>
    <w:rsid w:val="004E668F"/>
    <w:rsid w:val="005011E6"/>
    <w:rsid w:val="005059BB"/>
    <w:rsid w:val="0051280C"/>
    <w:rsid w:val="00517DF7"/>
    <w:rsid w:val="00520AF6"/>
    <w:rsid w:val="005235D0"/>
    <w:rsid w:val="00525980"/>
    <w:rsid w:val="005441C5"/>
    <w:rsid w:val="005649AE"/>
    <w:rsid w:val="005A4F9A"/>
    <w:rsid w:val="005B3EEF"/>
    <w:rsid w:val="005C66C6"/>
    <w:rsid w:val="005D3DAB"/>
    <w:rsid w:val="005D6094"/>
    <w:rsid w:val="005D7415"/>
    <w:rsid w:val="00630912"/>
    <w:rsid w:val="006368E6"/>
    <w:rsid w:val="00644338"/>
    <w:rsid w:val="006726A1"/>
    <w:rsid w:val="006850C5"/>
    <w:rsid w:val="00690861"/>
    <w:rsid w:val="006A21C2"/>
    <w:rsid w:val="006A7970"/>
    <w:rsid w:val="006E6E53"/>
    <w:rsid w:val="006E71BC"/>
    <w:rsid w:val="006F2C08"/>
    <w:rsid w:val="006F3260"/>
    <w:rsid w:val="00710044"/>
    <w:rsid w:val="00715FFF"/>
    <w:rsid w:val="007369BD"/>
    <w:rsid w:val="00736CC4"/>
    <w:rsid w:val="00763B45"/>
    <w:rsid w:val="00764F5B"/>
    <w:rsid w:val="007B041B"/>
    <w:rsid w:val="007B1380"/>
    <w:rsid w:val="007B4569"/>
    <w:rsid w:val="007C110A"/>
    <w:rsid w:val="007E0010"/>
    <w:rsid w:val="007E2EEB"/>
    <w:rsid w:val="007F12A5"/>
    <w:rsid w:val="00801A34"/>
    <w:rsid w:val="00802986"/>
    <w:rsid w:val="00833904"/>
    <w:rsid w:val="00853C81"/>
    <w:rsid w:val="008723DC"/>
    <w:rsid w:val="00876C56"/>
    <w:rsid w:val="00894004"/>
    <w:rsid w:val="008A1CD6"/>
    <w:rsid w:val="008B0A5D"/>
    <w:rsid w:val="008B70B9"/>
    <w:rsid w:val="008D1E10"/>
    <w:rsid w:val="00902FB3"/>
    <w:rsid w:val="009074A2"/>
    <w:rsid w:val="00933CA2"/>
    <w:rsid w:val="009501AC"/>
    <w:rsid w:val="009545DF"/>
    <w:rsid w:val="00972A93"/>
    <w:rsid w:val="00974429"/>
    <w:rsid w:val="009825E7"/>
    <w:rsid w:val="00983964"/>
    <w:rsid w:val="009846A4"/>
    <w:rsid w:val="00995E2E"/>
    <w:rsid w:val="00997416"/>
    <w:rsid w:val="009978F9"/>
    <w:rsid w:val="009B6400"/>
    <w:rsid w:val="009C048F"/>
    <w:rsid w:val="009E0FD6"/>
    <w:rsid w:val="00A0207E"/>
    <w:rsid w:val="00A13608"/>
    <w:rsid w:val="00A24082"/>
    <w:rsid w:val="00A70A0A"/>
    <w:rsid w:val="00A837B1"/>
    <w:rsid w:val="00AC59E8"/>
    <w:rsid w:val="00AC7F0E"/>
    <w:rsid w:val="00AF1AEA"/>
    <w:rsid w:val="00B07E63"/>
    <w:rsid w:val="00B34FA0"/>
    <w:rsid w:val="00B50ECF"/>
    <w:rsid w:val="00B65514"/>
    <w:rsid w:val="00B6761F"/>
    <w:rsid w:val="00B809ED"/>
    <w:rsid w:val="00BA436D"/>
    <w:rsid w:val="00BC0691"/>
    <w:rsid w:val="00BC28D7"/>
    <w:rsid w:val="00BD379C"/>
    <w:rsid w:val="00C050C6"/>
    <w:rsid w:val="00C22630"/>
    <w:rsid w:val="00C349E3"/>
    <w:rsid w:val="00C40223"/>
    <w:rsid w:val="00C47A0C"/>
    <w:rsid w:val="00CA1998"/>
    <w:rsid w:val="00CA721C"/>
    <w:rsid w:val="00CB4537"/>
    <w:rsid w:val="00CE3121"/>
    <w:rsid w:val="00D11B1F"/>
    <w:rsid w:val="00D357EB"/>
    <w:rsid w:val="00D4472E"/>
    <w:rsid w:val="00D46069"/>
    <w:rsid w:val="00D57C69"/>
    <w:rsid w:val="00DC0C44"/>
    <w:rsid w:val="00DE215B"/>
    <w:rsid w:val="00E67DB8"/>
    <w:rsid w:val="00E75F78"/>
    <w:rsid w:val="00E9076D"/>
    <w:rsid w:val="00EC045C"/>
    <w:rsid w:val="00EC668E"/>
    <w:rsid w:val="00ED51E5"/>
    <w:rsid w:val="00F00DD1"/>
    <w:rsid w:val="00F01BD0"/>
    <w:rsid w:val="00F14037"/>
    <w:rsid w:val="00F23C20"/>
    <w:rsid w:val="00F26675"/>
    <w:rsid w:val="00F4647C"/>
    <w:rsid w:val="00F63BDE"/>
    <w:rsid w:val="00F65832"/>
    <w:rsid w:val="00F820B4"/>
    <w:rsid w:val="00FA1F7C"/>
    <w:rsid w:val="00FB13EB"/>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872F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customStyle="1" w:styleId="et031">
    <w:name w:val="et031"/>
    <w:rsid w:val="001B35E3"/>
    <w:rPr>
      <w:i/>
      <w:iCs/>
    </w:rPr>
  </w:style>
  <w:style w:type="character" w:customStyle="1" w:styleId="heading2">
    <w:name w:val="heading2"/>
    <w:rsid w:val="001B35E3"/>
    <w:rPr>
      <w:b/>
      <w:bCs/>
    </w:rPr>
  </w:style>
  <w:style w:type="character" w:styleId="FollowedHyperlink">
    <w:name w:val="FollowedHyperlink"/>
    <w:basedOn w:val="DefaultParagraphFont"/>
    <w:rsid w:val="00D11B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591429174">
      <w:bodyDiv w:val="1"/>
      <w:marLeft w:val="0"/>
      <w:marRight w:val="0"/>
      <w:marTop w:val="0"/>
      <w:marBottom w:val="0"/>
      <w:divBdr>
        <w:top w:val="none" w:sz="0" w:space="0" w:color="auto"/>
        <w:left w:val="none" w:sz="0" w:space="0" w:color="auto"/>
        <w:bottom w:val="none" w:sz="0" w:space="0" w:color="auto"/>
        <w:right w:val="none" w:sz="0" w:space="0" w:color="auto"/>
      </w:divBdr>
    </w:div>
    <w:div w:id="754594935">
      <w:bodyDiv w:val="1"/>
      <w:marLeft w:val="0"/>
      <w:marRight w:val="0"/>
      <w:marTop w:val="0"/>
      <w:marBottom w:val="0"/>
      <w:divBdr>
        <w:top w:val="none" w:sz="0" w:space="0" w:color="auto"/>
        <w:left w:val="none" w:sz="0" w:space="0" w:color="auto"/>
        <w:bottom w:val="none" w:sz="0" w:space="0" w:color="auto"/>
        <w:right w:val="none" w:sz="0" w:space="0" w:color="auto"/>
      </w:divBdr>
    </w:div>
    <w:div w:id="845826357">
      <w:bodyDiv w:val="1"/>
      <w:marLeft w:val="0"/>
      <w:marRight w:val="0"/>
      <w:marTop w:val="0"/>
      <w:marBottom w:val="0"/>
      <w:divBdr>
        <w:top w:val="none" w:sz="0" w:space="0" w:color="auto"/>
        <w:left w:val="none" w:sz="0" w:space="0" w:color="auto"/>
        <w:bottom w:val="none" w:sz="0" w:space="0" w:color="auto"/>
        <w:right w:val="none" w:sz="0" w:space="0" w:color="auto"/>
      </w:divBdr>
    </w:div>
    <w:div w:id="1050373928">
      <w:bodyDiv w:val="1"/>
      <w:marLeft w:val="0"/>
      <w:marRight w:val="0"/>
      <w:marTop w:val="0"/>
      <w:marBottom w:val="0"/>
      <w:divBdr>
        <w:top w:val="none" w:sz="0" w:space="0" w:color="auto"/>
        <w:left w:val="none" w:sz="0" w:space="0" w:color="auto"/>
        <w:bottom w:val="none" w:sz="0" w:space="0" w:color="auto"/>
        <w:right w:val="none" w:sz="0" w:space="0" w:color="auto"/>
      </w:divBdr>
    </w:div>
    <w:div w:id="1058089347">
      <w:bodyDiv w:val="1"/>
      <w:marLeft w:val="0"/>
      <w:marRight w:val="0"/>
      <w:marTop w:val="0"/>
      <w:marBottom w:val="0"/>
      <w:divBdr>
        <w:top w:val="none" w:sz="0" w:space="0" w:color="auto"/>
        <w:left w:val="none" w:sz="0" w:space="0" w:color="auto"/>
        <w:bottom w:val="none" w:sz="0" w:space="0" w:color="auto"/>
        <w:right w:val="none" w:sz="0" w:space="0" w:color="auto"/>
      </w:divBdr>
    </w:div>
    <w:div w:id="1153254504">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 w:id="1820339843">
      <w:bodyDiv w:val="1"/>
      <w:marLeft w:val="0"/>
      <w:marRight w:val="0"/>
      <w:marTop w:val="0"/>
      <w:marBottom w:val="0"/>
      <w:divBdr>
        <w:top w:val="none" w:sz="0" w:space="0" w:color="auto"/>
        <w:left w:val="none" w:sz="0" w:space="0" w:color="auto"/>
        <w:bottom w:val="none" w:sz="0" w:space="0" w:color="auto"/>
        <w:right w:val="none" w:sz="0" w:space="0" w:color="auto"/>
      </w:divBdr>
    </w:div>
    <w:div w:id="1944071918">
      <w:bodyDiv w:val="1"/>
      <w:marLeft w:val="0"/>
      <w:marRight w:val="0"/>
      <w:marTop w:val="0"/>
      <w:marBottom w:val="0"/>
      <w:divBdr>
        <w:top w:val="none" w:sz="0" w:space="0" w:color="auto"/>
        <w:left w:val="none" w:sz="0" w:space="0" w:color="auto"/>
        <w:bottom w:val="none" w:sz="0" w:space="0" w:color="auto"/>
        <w:right w:val="none" w:sz="0" w:space="0" w:color="auto"/>
      </w:divBdr>
    </w:div>
    <w:div w:id="206564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4EC8C-E897-4B3E-8781-9149EECF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8964</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2021-10-19T18:21:00Z</dcterms:created>
  <dcterms:modified xsi:type="dcterms:W3CDTF">2021-10-19T18:21:00Z</dcterms:modified>
</cp:coreProperties>
</file>