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3A58" w:rsidP="007711F6" w:rsidRDefault="00933A58" w14:paraId="62001399" w14:textId="77777777">
      <w:pPr>
        <w:tabs>
          <w:tab w:val="center" w:pos="4680"/>
        </w:tabs>
        <w:jc w:val="center"/>
        <w:rPr>
          <w:rFonts w:ascii="Times New Roman TUR" w:hAnsi="Times New Roman TUR" w:cs="Times New Roman TUR"/>
          <w:b/>
          <w:bCs/>
        </w:rPr>
      </w:pPr>
      <w:r>
        <w:rPr>
          <w:rFonts w:ascii="Times New Roman TUR" w:hAnsi="Times New Roman TUR" w:cs="Times New Roman TUR"/>
          <w:b/>
          <w:bCs/>
        </w:rPr>
        <w:t xml:space="preserve">Supporting Statement </w:t>
      </w:r>
    </w:p>
    <w:p w:rsidR="00022C7E" w:rsidP="007711F6" w:rsidRDefault="00CE7C47" w14:paraId="37FCB012" w14:textId="77777777">
      <w:pPr>
        <w:tabs>
          <w:tab w:val="center" w:pos="4680"/>
        </w:tabs>
        <w:jc w:val="center"/>
        <w:rPr>
          <w:rFonts w:ascii="Times New Roman TUR" w:hAnsi="Times New Roman TUR" w:cs="Times New Roman TUR"/>
          <w:b/>
          <w:bCs/>
        </w:rPr>
      </w:pPr>
      <w:r>
        <w:rPr>
          <w:rFonts w:ascii="Times New Roman TUR" w:hAnsi="Times New Roman TUR" w:cs="Times New Roman TUR"/>
          <w:b/>
          <w:bCs/>
        </w:rPr>
        <w:t>Recordkeeping and Disclosure Provisions</w:t>
      </w:r>
    </w:p>
    <w:p w:rsidR="00CE7C47" w:rsidP="007711F6" w:rsidRDefault="00CE7C47" w14:paraId="73FB740F" w14:textId="04531606">
      <w:pPr>
        <w:tabs>
          <w:tab w:val="center" w:pos="4680"/>
        </w:tabs>
        <w:jc w:val="center"/>
        <w:rPr>
          <w:rFonts w:ascii="Times New Roman TUR" w:hAnsi="Times New Roman TUR" w:cs="Times New Roman TUR"/>
          <w:b/>
          <w:bCs/>
        </w:rPr>
      </w:pPr>
      <w:r>
        <w:rPr>
          <w:rFonts w:ascii="Times New Roman TUR" w:hAnsi="Times New Roman TUR" w:cs="Times New Roman TUR"/>
          <w:b/>
          <w:bCs/>
        </w:rPr>
        <w:t xml:space="preserve">Associated with </w:t>
      </w:r>
      <w:r w:rsidR="00EA40D6">
        <w:rPr>
          <w:rFonts w:ascii="Times New Roman TUR" w:hAnsi="Times New Roman TUR" w:cs="Times New Roman TUR"/>
          <w:b/>
          <w:bCs/>
        </w:rPr>
        <w:t xml:space="preserve">Supervisory </w:t>
      </w:r>
      <w:r w:rsidRPr="00A6366C" w:rsidR="00BD0C6A">
        <w:rPr>
          <w:b/>
          <w:bCs/>
        </w:rPr>
        <w:t xml:space="preserve">Guidance on </w:t>
      </w:r>
      <w:bookmarkStart w:name="_Hlk74132747" w:id="0"/>
      <w:r w:rsidRPr="00A6366C" w:rsidR="00BD0C6A">
        <w:rPr>
          <w:b/>
          <w:bCs/>
        </w:rPr>
        <w:t>Stress Testing for Banking Organizations with Total Consolidated Assets of More Than $10 Billion</w:t>
      </w:r>
      <w:bookmarkEnd w:id="0"/>
      <w:r w:rsidR="00BD0C6A">
        <w:t xml:space="preserve">.  </w:t>
      </w:r>
    </w:p>
    <w:p w:rsidR="00022C7E" w:rsidP="007711F6" w:rsidRDefault="002E6F1B" w14:paraId="10A05545" w14:textId="77777777">
      <w:pPr>
        <w:tabs>
          <w:tab w:val="center" w:pos="4680"/>
        </w:tabs>
        <w:jc w:val="center"/>
        <w:rPr>
          <w:rFonts w:ascii="Times New Roman TUR" w:hAnsi="Times New Roman TUR" w:cs="Times New Roman TUR"/>
          <w:b/>
          <w:bCs/>
        </w:rPr>
      </w:pPr>
      <w:r>
        <w:rPr>
          <w:rFonts w:ascii="Times New Roman TUR" w:hAnsi="Times New Roman TUR" w:cs="Times New Roman TUR"/>
          <w:b/>
          <w:bCs/>
        </w:rPr>
        <w:t>OMB Control No. 1557-0312</w:t>
      </w:r>
    </w:p>
    <w:p w:rsidR="00933A58" w:rsidP="007711F6" w:rsidRDefault="00933A58" w14:paraId="71F3E83E" w14:textId="77777777">
      <w:pPr>
        <w:pStyle w:val="Footer"/>
        <w:tabs>
          <w:tab w:val="clear" w:pos="4320"/>
          <w:tab w:val="clear" w:pos="8640"/>
        </w:tabs>
        <w:rPr>
          <w:rFonts w:ascii="Times New Roman TUR" w:hAnsi="Times New Roman TUR" w:cs="Times New Roman TUR"/>
        </w:rPr>
      </w:pPr>
    </w:p>
    <w:p w:rsidRPr="0056372D" w:rsidR="00215267" w:rsidP="007711F6" w:rsidRDefault="00215267" w14:paraId="35218ADC" w14:textId="77777777">
      <w:pPr>
        <w:ind w:left="90"/>
        <w:jc w:val="center"/>
        <w:outlineLvl w:val="0"/>
        <w:rPr>
          <w:b/>
          <w:bCs/>
          <w:szCs w:val="24"/>
        </w:rPr>
      </w:pPr>
    </w:p>
    <w:p w:rsidR="00933A58" w:rsidP="007711F6" w:rsidRDefault="00933A58" w14:paraId="62D8E8F8" w14:textId="77777777">
      <w:pPr>
        <w:ind w:left="90"/>
        <w:rPr>
          <w:rFonts w:ascii="Times New Roman TUR" w:hAnsi="Times New Roman TUR" w:cs="Times New Roman TUR"/>
          <w:b/>
          <w:bCs/>
        </w:rPr>
      </w:pPr>
      <w:r>
        <w:rPr>
          <w:rFonts w:ascii="Times New Roman TUR" w:hAnsi="Times New Roman TUR" w:cs="Times New Roman TUR"/>
          <w:b/>
          <w:bCs/>
        </w:rPr>
        <w:t>A.</w:t>
      </w:r>
      <w:r>
        <w:rPr>
          <w:rFonts w:ascii="Times New Roman TUR" w:hAnsi="Times New Roman TUR" w:cs="Times New Roman TUR"/>
          <w:b/>
          <w:bCs/>
        </w:rPr>
        <w:tab/>
      </w:r>
      <w:r>
        <w:rPr>
          <w:rFonts w:ascii="Times New Roman TUR" w:hAnsi="Times New Roman TUR" w:cs="Times New Roman TUR"/>
          <w:b/>
          <w:bCs/>
          <w:u w:val="single"/>
        </w:rPr>
        <w:t>Justification</w:t>
      </w:r>
    </w:p>
    <w:p w:rsidR="00933A58" w:rsidP="007711F6" w:rsidRDefault="00933A58" w14:paraId="366E6423" w14:textId="77777777">
      <w:pPr>
        <w:ind w:left="90"/>
        <w:rPr>
          <w:rFonts w:ascii="Times New Roman TUR" w:hAnsi="Times New Roman TUR" w:cs="Times New Roman TUR"/>
          <w:b/>
          <w:bCs/>
        </w:rPr>
      </w:pPr>
    </w:p>
    <w:p w:rsidR="00215267" w:rsidP="007711F6" w:rsidRDefault="00215267" w14:paraId="440457B9" w14:textId="77777777">
      <w:pPr>
        <w:ind w:left="90"/>
        <w:rPr>
          <w:b/>
          <w:bCs/>
          <w:i/>
          <w:iCs/>
        </w:rPr>
      </w:pPr>
      <w:r>
        <w:rPr>
          <w:b/>
          <w:bCs/>
          <w:i/>
          <w:iCs/>
        </w:rPr>
        <w:t>1</w:t>
      </w:r>
      <w:r>
        <w:rPr>
          <w:b/>
          <w:bCs/>
          <w:i/>
          <w:iCs/>
          <w:szCs w:val="24"/>
        </w:rPr>
        <w:t>.</w:t>
      </w:r>
      <w:r>
        <w:rPr>
          <w:b/>
          <w:bCs/>
          <w:i/>
          <w:iCs/>
          <w:szCs w:val="24"/>
        </w:rPr>
        <w:tab/>
      </w:r>
      <w:r w:rsidR="00BB7EE2">
        <w:rPr>
          <w:b/>
          <w:i/>
          <w:szCs w:val="24"/>
        </w:rPr>
        <w:t>Circumstances that make the collection necessary:</w:t>
      </w:r>
    </w:p>
    <w:p w:rsidR="000B1870" w:rsidP="000B1870" w:rsidRDefault="000B1870" w14:paraId="75A63935" w14:textId="77777777">
      <w:pPr>
        <w:ind w:firstLine="720"/>
        <w:rPr>
          <w:rFonts w:ascii="Times New Roman TUR" w:hAnsi="Times New Roman TUR" w:cs="Times New Roman TUR"/>
          <w:b/>
          <w:bCs/>
          <w:u w:val="single"/>
        </w:rPr>
      </w:pPr>
    </w:p>
    <w:p w:rsidR="00317F2D" w:rsidP="000B1870" w:rsidRDefault="00317F2D" w14:paraId="04EDA0C4" w14:textId="51D5D058">
      <w:pPr>
        <w:ind w:left="90" w:firstLine="720"/>
      </w:pPr>
      <w:r>
        <w:t xml:space="preserve">On May 17, 2012, the OCC, along with the Federal Deposit Insurance Corporation (FDIC) and </w:t>
      </w:r>
      <w:r w:rsidR="00097FA7">
        <w:t xml:space="preserve">the </w:t>
      </w:r>
      <w:r>
        <w:t>Board of Governors of the Federal Reserve (FRB), published guidance on the use of stress testing as a means to better understand the range of a banking organization’s</w:t>
      </w:r>
      <w:r w:rsidR="00130318">
        <w:rPr>
          <w:rStyle w:val="FootnoteReference"/>
        </w:rPr>
        <w:footnoteReference w:id="1"/>
      </w:r>
      <w:r>
        <w:t xml:space="preserve"> potential risk exposures.</w:t>
      </w:r>
      <w:r>
        <w:rPr>
          <w:rStyle w:val="FootnoteReference"/>
        </w:rPr>
        <w:footnoteReference w:id="2"/>
      </w:r>
      <w:r>
        <w:t xml:space="preserve">  The OCC is now seeking to renew the information collection associated with that guidance.  </w:t>
      </w:r>
    </w:p>
    <w:p w:rsidR="00317F2D" w:rsidP="007711F6" w:rsidRDefault="00317F2D" w14:paraId="2B3D3215" w14:textId="77777777">
      <w:pPr>
        <w:ind w:left="90"/>
      </w:pPr>
    </w:p>
    <w:p w:rsidR="00317F2D" w:rsidP="007711F6" w:rsidRDefault="00D95697" w14:paraId="65B70FEA" w14:textId="7B962324">
      <w:pPr>
        <w:pStyle w:val="ListParagraph"/>
        <w:autoSpaceDE w:val="0"/>
        <w:autoSpaceDN w:val="0"/>
        <w:adjustRightInd w:val="0"/>
        <w:ind w:left="90"/>
      </w:pPr>
      <w:bookmarkStart w:name="OLE_LINK1" w:id="1"/>
      <w:r>
        <w:tab/>
      </w:r>
      <w:r w:rsidR="00317F2D">
        <w:t xml:space="preserve">The guidance provides an overview of how a banking organization should structure its stress testing activities to ensure </w:t>
      </w:r>
      <w:r w:rsidR="00BD0C6A">
        <w:t>that those activities</w:t>
      </w:r>
      <w:r w:rsidR="00317F2D">
        <w:t xml:space="preserve"> fit into the banking organization’s overall risk management</w:t>
      </w:r>
      <w:r w:rsidR="0035058B">
        <w:t xml:space="preserve"> program</w:t>
      </w:r>
      <w:r w:rsidR="00317F2D">
        <w:t xml:space="preserve">. The purpose of the guidance is to outline broad principles for a satisfactory stress testing framework and describe </w:t>
      </w:r>
      <w:r w:rsidR="00BD0C6A">
        <w:t xml:space="preserve">how </w:t>
      </w:r>
      <w:r w:rsidR="00317F2D">
        <w:t xml:space="preserve">stress testing </w:t>
      </w:r>
      <w:r w:rsidR="00130318">
        <w:t xml:space="preserve">can </w:t>
      </w:r>
      <w:r w:rsidR="00317F2D">
        <w:t xml:space="preserve">be used as </w:t>
      </w:r>
      <w:r w:rsidR="00130318">
        <w:t>a</w:t>
      </w:r>
      <w:r w:rsidR="00317F2D">
        <w:t xml:space="preserve"> component of risk management</w:t>
      </w:r>
      <w:r w:rsidR="00130318">
        <w:t xml:space="preserve"> that is</w:t>
      </w:r>
      <w:r w:rsidR="00317F2D">
        <w:t xml:space="preserve"> applicable at various levels within a banking organization </w:t>
      </w:r>
      <w:r w:rsidR="00130318">
        <w:t>and</w:t>
      </w:r>
      <w:r w:rsidR="00317F2D">
        <w:t xml:space="preserve"> as a tool for capital and liquidity planning. </w:t>
      </w:r>
      <w:r w:rsidR="00BD0C6A">
        <w:t>Although</w:t>
      </w:r>
      <w:r w:rsidR="00317F2D">
        <w:t xml:space="preserve"> the guidance is not intended to provide detailed instructions for conducting stress testing for any particular risk or business area, it does </w:t>
      </w:r>
      <w:r w:rsidR="00097FA7">
        <w:t xml:space="preserve">include </w:t>
      </w:r>
      <w:r w:rsidR="00317F2D">
        <w:t>descri</w:t>
      </w:r>
      <w:r w:rsidR="00097FA7">
        <w:t xml:space="preserve">ptions of </w:t>
      </w:r>
      <w:r w:rsidR="00317F2D">
        <w:t>several types of stress testing activities and how they may be most appropriately used by banking organizations. The guidance also does not explicitly address the stress testing re</w:t>
      </w:r>
      <w:r w:rsidR="005460DE">
        <w:t xml:space="preserve">quirements imposed upon certain </w:t>
      </w:r>
      <w:r w:rsidR="00130318">
        <w:t xml:space="preserve">banking organizations </w:t>
      </w:r>
      <w:r w:rsidR="00317F2D">
        <w:t>by section 165(i) of the Dodd-Frank Wall Street Reform and Consumer Protection Act</w:t>
      </w:r>
      <w:r w:rsidR="0035058B">
        <w:t xml:space="preserve"> (</w:t>
      </w:r>
      <w:r w:rsidR="008600C1">
        <w:t xml:space="preserve">the </w:t>
      </w:r>
      <w:r w:rsidR="0035058B">
        <w:t>Dodd-Frank Act)</w:t>
      </w:r>
      <w:r w:rsidR="00317F2D">
        <w:t>.</w:t>
      </w:r>
      <w:r w:rsidR="00317F2D">
        <w:rPr>
          <w:rStyle w:val="FootnoteReference"/>
        </w:rPr>
        <w:footnoteReference w:id="3"/>
      </w:r>
      <w:r w:rsidR="00317F2D">
        <w:t xml:space="preserve">  </w:t>
      </w:r>
      <w:bookmarkEnd w:id="1"/>
    </w:p>
    <w:p w:rsidR="00933A58" w:rsidP="007711F6" w:rsidRDefault="00933A58" w14:paraId="3AEA7E5E" w14:textId="77777777">
      <w:pPr>
        <w:ind w:left="90"/>
        <w:rPr>
          <w:rFonts w:ascii="Times New Roman TUR" w:hAnsi="Times New Roman TUR" w:cs="Times New Roman TUR"/>
          <w:b/>
          <w:bCs/>
        </w:rPr>
      </w:pPr>
    </w:p>
    <w:p w:rsidR="007711F6" w:rsidP="007711F6" w:rsidRDefault="00215267" w14:paraId="50FEA760" w14:textId="77777777">
      <w:pPr>
        <w:pStyle w:val="BodyText"/>
        <w:widowControl w:val="0"/>
        <w:ind w:left="86" w:right="162"/>
        <w:jc w:val="both"/>
      </w:pPr>
      <w:r>
        <w:rPr>
          <w:b/>
          <w:bCs/>
          <w:i/>
          <w:iCs/>
        </w:rPr>
        <w:t>2.</w:t>
      </w:r>
      <w:r>
        <w:rPr>
          <w:b/>
          <w:bCs/>
          <w:i/>
          <w:iCs/>
        </w:rPr>
        <w:tab/>
      </w:r>
      <w:r w:rsidR="00BB7EE2">
        <w:rPr>
          <w:b/>
          <w:i/>
          <w:spacing w:val="-1"/>
        </w:rPr>
        <w:t>Use of the information:</w:t>
      </w:r>
      <w:r w:rsidR="00BB7EE2">
        <w:t xml:space="preserve"> </w:t>
      </w:r>
    </w:p>
    <w:p w:rsidR="009B2B1B" w:rsidP="00130A71" w:rsidRDefault="009E7BC9" w14:paraId="5467F5CD" w14:textId="4E59A912">
      <w:pPr>
        <w:pStyle w:val="BodyText"/>
        <w:widowControl w:val="0"/>
        <w:ind w:left="86" w:right="162" w:firstLine="634"/>
      </w:pPr>
      <w:r>
        <w:t xml:space="preserve">A banking </w:t>
      </w:r>
      <w:r w:rsidR="009B2B1B">
        <w:t xml:space="preserve">organization’s stress testing framework </w:t>
      </w:r>
      <w:r>
        <w:t xml:space="preserve">can be used for, among other things, </w:t>
      </w:r>
      <w:r w:rsidR="009B2B1B">
        <w:t xml:space="preserve">augmenting risk identification and measurement; estimating business line revenues and losses and informing business line strategies; identifying vulnerabilities and assessing their potential impact; assessing capital adequacy and enhancing capital planning; assessing liquidity adequacy and informing contingency funding plans; contributing to strategic planning; enabling senior management to better integrate strategy, risk management, and capital and </w:t>
      </w:r>
      <w:r w:rsidR="009B2B1B">
        <w:lastRenderedPageBreak/>
        <w:t xml:space="preserve">liquidity planning decisions; and assisting with recovery planning.  </w:t>
      </w:r>
    </w:p>
    <w:p w:rsidR="00933A58" w:rsidP="007711F6" w:rsidRDefault="00933A58" w14:paraId="334D90D7" w14:textId="77777777">
      <w:pPr>
        <w:ind w:left="90"/>
        <w:rPr>
          <w:rFonts w:ascii="Times New Roman TUR" w:hAnsi="Times New Roman TUR" w:cs="Times New Roman TUR"/>
          <w:b/>
          <w:bCs/>
        </w:rPr>
      </w:pPr>
    </w:p>
    <w:p w:rsidR="00D95697" w:rsidP="007711F6" w:rsidRDefault="00EC75B3" w14:paraId="41BA5A01" w14:textId="06331D9D">
      <w:pPr>
        <w:ind w:left="90"/>
      </w:pPr>
      <w:r>
        <w:t>A</w:t>
      </w:r>
      <w:r w:rsidR="006155C9">
        <w:t xml:space="preserve"> b</w:t>
      </w:r>
      <w:r w:rsidR="00123499">
        <w:t>anking organization</w:t>
      </w:r>
      <w:r w:rsidR="009E7BC9">
        <w:t>’s</w:t>
      </w:r>
      <w:r w:rsidR="00123499">
        <w:t xml:space="preserve"> </w:t>
      </w:r>
      <w:r w:rsidRPr="000B43FC" w:rsidR="00022C7E">
        <w:t>stress testi</w:t>
      </w:r>
      <w:r w:rsidR="006155C9">
        <w:t xml:space="preserve">ng framework </w:t>
      </w:r>
      <w:r w:rsidR="009E7BC9">
        <w:t xml:space="preserve">should </w:t>
      </w:r>
      <w:r w:rsidR="006155C9">
        <w:t>include:</w:t>
      </w:r>
    </w:p>
    <w:p w:rsidR="001F2F81" w:rsidP="007711F6" w:rsidRDefault="001F2F81" w14:paraId="251BA04C" w14:textId="77777777">
      <w:pPr>
        <w:ind w:left="90"/>
      </w:pPr>
    </w:p>
    <w:p w:rsidR="00D95697" w:rsidP="007711F6" w:rsidRDefault="006155C9" w14:paraId="2FE14579" w14:textId="77777777">
      <w:pPr>
        <w:numPr>
          <w:ilvl w:val="0"/>
          <w:numId w:val="20"/>
        </w:numPr>
      </w:pPr>
      <w:r>
        <w:t>Clearly defined objectives;</w:t>
      </w:r>
    </w:p>
    <w:p w:rsidR="00D95697" w:rsidP="007711F6" w:rsidRDefault="006155C9" w14:paraId="7032FFD5" w14:textId="77777777">
      <w:pPr>
        <w:numPr>
          <w:ilvl w:val="0"/>
          <w:numId w:val="20"/>
        </w:numPr>
      </w:pPr>
      <w:r>
        <w:t>W</w:t>
      </w:r>
      <w:r w:rsidRPr="000B43FC" w:rsidR="00022C7E">
        <w:t>ell-designed scenarios tailored to the organization’s business and risks</w:t>
      </w:r>
      <w:r>
        <w:t>;</w:t>
      </w:r>
    </w:p>
    <w:p w:rsidR="00D95697" w:rsidP="007711F6" w:rsidRDefault="006155C9" w14:paraId="6F8D7627" w14:textId="77777777">
      <w:pPr>
        <w:numPr>
          <w:ilvl w:val="0"/>
          <w:numId w:val="20"/>
        </w:numPr>
      </w:pPr>
      <w:r>
        <w:t>W</w:t>
      </w:r>
      <w:r w:rsidRPr="000B43FC" w:rsidR="00022C7E">
        <w:t>ell-documented assumptions</w:t>
      </w:r>
      <w:r>
        <w:t>;</w:t>
      </w:r>
    </w:p>
    <w:p w:rsidR="00D95697" w:rsidP="007711F6" w:rsidRDefault="006155C9" w14:paraId="20FAA60A" w14:textId="7E298B3D">
      <w:pPr>
        <w:numPr>
          <w:ilvl w:val="0"/>
          <w:numId w:val="20"/>
        </w:numPr>
      </w:pPr>
      <w:r>
        <w:t>C</w:t>
      </w:r>
      <w:r w:rsidRPr="000B43FC" w:rsidR="00022C7E">
        <w:t xml:space="preserve">onceptually sound methodologies to assess potential impact </w:t>
      </w:r>
      <w:r w:rsidR="00447EE2">
        <w:t xml:space="preserve">to </w:t>
      </w:r>
      <w:r w:rsidRPr="000B43FC" w:rsidR="00022C7E">
        <w:t>the organization’s financial</w:t>
      </w:r>
      <w:r w:rsidR="00C10695">
        <w:t xml:space="preserve"> </w:t>
      </w:r>
      <w:r w:rsidRPr="000B43FC" w:rsidR="00022C7E">
        <w:t>conditio</w:t>
      </w:r>
      <w:r>
        <w:t>n;</w:t>
      </w:r>
    </w:p>
    <w:p w:rsidR="00D95697" w:rsidP="007711F6" w:rsidRDefault="006155C9" w14:paraId="4AC08874" w14:textId="77777777">
      <w:pPr>
        <w:numPr>
          <w:ilvl w:val="0"/>
          <w:numId w:val="20"/>
        </w:numPr>
      </w:pPr>
      <w:r>
        <w:t>I</w:t>
      </w:r>
      <w:r w:rsidRPr="000B43FC" w:rsidR="00022C7E">
        <w:t>nformative management reports</w:t>
      </w:r>
      <w:r>
        <w:t>;</w:t>
      </w:r>
    </w:p>
    <w:p w:rsidR="00D95697" w:rsidP="007711F6" w:rsidRDefault="006155C9" w14:paraId="573F942B" w14:textId="77777777">
      <w:pPr>
        <w:numPr>
          <w:ilvl w:val="0"/>
          <w:numId w:val="20"/>
        </w:numPr>
      </w:pPr>
      <w:r>
        <w:t>R</w:t>
      </w:r>
      <w:r w:rsidRPr="000B43FC" w:rsidR="00022C7E">
        <w:t>ecommended actions based on stress test results</w:t>
      </w:r>
      <w:r>
        <w:t>;</w:t>
      </w:r>
      <w:r w:rsidR="00022C7E">
        <w:t xml:space="preserve"> and </w:t>
      </w:r>
    </w:p>
    <w:p w:rsidR="00022C7E" w:rsidP="007711F6" w:rsidRDefault="006155C9" w14:paraId="3D242125" w14:textId="77777777">
      <w:pPr>
        <w:numPr>
          <w:ilvl w:val="0"/>
          <w:numId w:val="20"/>
        </w:numPr>
      </w:pPr>
      <w:r>
        <w:t>P</w:t>
      </w:r>
      <w:r w:rsidRPr="009A49D2" w:rsidR="00022C7E">
        <w:t xml:space="preserve">olicies and procedures </w:t>
      </w:r>
      <w:r w:rsidR="00022C7E">
        <w:t>for a stress testing framework.</w:t>
      </w:r>
    </w:p>
    <w:p w:rsidR="00933A58" w:rsidP="007711F6" w:rsidRDefault="00022C7E" w14:paraId="2E185505" w14:textId="77777777">
      <w:pPr>
        <w:ind w:left="90"/>
        <w:rPr>
          <w:rFonts w:ascii="Times New Roman TUR" w:hAnsi="Times New Roman TUR" w:cs="Times New Roman TUR"/>
          <w:b/>
          <w:bCs/>
        </w:rPr>
      </w:pPr>
      <w:r>
        <w:t xml:space="preserve">   </w:t>
      </w:r>
    </w:p>
    <w:p w:rsidRPr="005B0D43" w:rsidR="005B76AD" w:rsidP="007711F6" w:rsidRDefault="00215267" w14:paraId="76826CB7" w14:textId="77777777">
      <w:pPr>
        <w:pStyle w:val="BodyText"/>
        <w:widowControl w:val="0"/>
        <w:tabs>
          <w:tab w:val="left" w:pos="720"/>
        </w:tabs>
        <w:ind w:left="90" w:right="205"/>
        <w:rPr>
          <w:b/>
          <w:i/>
          <w:spacing w:val="-1"/>
        </w:rPr>
      </w:pPr>
      <w:r>
        <w:rPr>
          <w:b/>
          <w:bCs/>
          <w:i/>
          <w:iCs/>
        </w:rPr>
        <w:t>3.</w:t>
      </w:r>
      <w:r>
        <w:rPr>
          <w:b/>
          <w:bCs/>
          <w:i/>
          <w:iCs/>
        </w:rPr>
        <w:tab/>
      </w:r>
      <w:r w:rsidR="004E7B0F">
        <w:rPr>
          <w:b/>
          <w:i/>
          <w:spacing w:val="-1"/>
        </w:rPr>
        <w:t>Consideration of the use of improved information technology:</w:t>
      </w:r>
    </w:p>
    <w:p w:rsidR="00B7202C" w:rsidP="00B7202C" w:rsidRDefault="00852E30" w14:paraId="0491A8C3" w14:textId="77777777">
      <w:pPr>
        <w:pStyle w:val="BodyText"/>
        <w:ind w:left="90" w:firstLine="630"/>
        <w:rPr>
          <w:iCs/>
          <w:szCs w:val="24"/>
        </w:rPr>
      </w:pPr>
      <w:r>
        <w:rPr>
          <w:iCs/>
          <w:szCs w:val="24"/>
        </w:rPr>
        <w:t>Institutions</w:t>
      </w:r>
      <w:r w:rsidRPr="009E5753" w:rsidR="009E5753">
        <w:rPr>
          <w:iCs/>
          <w:szCs w:val="24"/>
        </w:rPr>
        <w:t xml:space="preserve"> may use any information technology that permits review by OCC examiners.</w:t>
      </w:r>
    </w:p>
    <w:p w:rsidRPr="00B7202C" w:rsidR="00933A58" w:rsidP="00B7202C" w:rsidRDefault="00215267" w14:paraId="6303F31D" w14:textId="77777777">
      <w:pPr>
        <w:pStyle w:val="BodyText"/>
        <w:ind w:left="90"/>
        <w:rPr>
          <w:iCs/>
          <w:szCs w:val="24"/>
        </w:rPr>
      </w:pPr>
      <w:r>
        <w:rPr>
          <w:b/>
          <w:bCs/>
          <w:i/>
          <w:iCs/>
        </w:rPr>
        <w:t>4.</w:t>
      </w:r>
      <w:r>
        <w:rPr>
          <w:b/>
          <w:bCs/>
          <w:i/>
          <w:iCs/>
        </w:rPr>
        <w:tab/>
      </w:r>
      <w:r w:rsidR="004E7B0F">
        <w:rPr>
          <w:b/>
          <w:i/>
          <w:spacing w:val="-1"/>
        </w:rPr>
        <w:t>Efforts to identify duplication:</w:t>
      </w:r>
    </w:p>
    <w:p w:rsidR="00B7202C" w:rsidP="00B7202C" w:rsidRDefault="00852E30" w14:paraId="29929B2B" w14:textId="77777777">
      <w:pPr>
        <w:ind w:left="90"/>
        <w:rPr>
          <w:szCs w:val="24"/>
        </w:rPr>
      </w:pPr>
      <w:r>
        <w:rPr>
          <w:szCs w:val="24"/>
        </w:rPr>
        <w:tab/>
      </w:r>
      <w:r w:rsidRPr="00850D6B" w:rsidR="009E5753">
        <w:rPr>
          <w:szCs w:val="24"/>
        </w:rPr>
        <w:t>The information required is unique.  It is not duplicated elsewhere.</w:t>
      </w:r>
    </w:p>
    <w:p w:rsidR="00B7202C" w:rsidP="00B7202C" w:rsidRDefault="00B7202C" w14:paraId="78578F38" w14:textId="77777777">
      <w:pPr>
        <w:ind w:left="90"/>
        <w:rPr>
          <w:szCs w:val="24"/>
        </w:rPr>
      </w:pPr>
    </w:p>
    <w:p w:rsidR="00215267" w:rsidP="00B7202C" w:rsidRDefault="00215267" w14:paraId="521E45F0" w14:textId="77777777">
      <w:pPr>
        <w:ind w:left="90"/>
        <w:rPr>
          <w:b/>
          <w:i/>
        </w:rPr>
      </w:pPr>
      <w:r>
        <w:rPr>
          <w:b/>
          <w:bCs/>
          <w:i/>
          <w:iCs/>
        </w:rPr>
        <w:t>5.</w:t>
      </w:r>
      <w:r>
        <w:rPr>
          <w:b/>
          <w:bCs/>
          <w:i/>
          <w:iCs/>
        </w:rPr>
        <w:tab/>
      </w:r>
      <w:r>
        <w:rPr>
          <w:b/>
          <w:i/>
          <w:spacing w:val="-2"/>
        </w:rPr>
        <w:t>If</w:t>
      </w:r>
      <w:r>
        <w:rPr>
          <w:b/>
          <w:i/>
          <w:spacing w:val="-8"/>
        </w:rPr>
        <w:t xml:space="preserve"> </w:t>
      </w:r>
      <w:r>
        <w:rPr>
          <w:b/>
          <w:i/>
        </w:rPr>
        <w:t>the</w:t>
      </w:r>
      <w:r>
        <w:rPr>
          <w:b/>
          <w:i/>
          <w:spacing w:val="-7"/>
        </w:rPr>
        <w:t xml:space="preserve"> </w:t>
      </w:r>
      <w:r>
        <w:rPr>
          <w:b/>
          <w:i/>
          <w:spacing w:val="-1"/>
        </w:rPr>
        <w:t>collection</w:t>
      </w:r>
      <w:r>
        <w:rPr>
          <w:b/>
          <w:i/>
          <w:spacing w:val="-7"/>
        </w:rPr>
        <w:t xml:space="preserve"> </w:t>
      </w:r>
      <w:r>
        <w:rPr>
          <w:b/>
          <w:i/>
        </w:rPr>
        <w:t>of</w:t>
      </w:r>
      <w:r>
        <w:rPr>
          <w:b/>
          <w:i/>
          <w:spacing w:val="-8"/>
        </w:rPr>
        <w:t xml:space="preserve"> </w:t>
      </w:r>
      <w:r>
        <w:rPr>
          <w:b/>
          <w:i/>
          <w:spacing w:val="-1"/>
        </w:rPr>
        <w:t>information</w:t>
      </w:r>
      <w:r>
        <w:rPr>
          <w:b/>
          <w:i/>
          <w:spacing w:val="-7"/>
        </w:rPr>
        <w:t xml:space="preserve"> </w:t>
      </w:r>
      <w:r>
        <w:rPr>
          <w:b/>
          <w:i/>
          <w:spacing w:val="-1"/>
        </w:rPr>
        <w:t>impacts</w:t>
      </w:r>
      <w:r>
        <w:rPr>
          <w:b/>
          <w:i/>
          <w:spacing w:val="-6"/>
        </w:rPr>
        <w:t xml:space="preserve"> </w:t>
      </w:r>
      <w:r>
        <w:rPr>
          <w:b/>
          <w:i/>
          <w:spacing w:val="-1"/>
        </w:rPr>
        <w:t>small</w:t>
      </w:r>
      <w:r>
        <w:rPr>
          <w:b/>
          <w:i/>
          <w:spacing w:val="-7"/>
        </w:rPr>
        <w:t xml:space="preserve"> </w:t>
      </w:r>
      <w:r>
        <w:rPr>
          <w:b/>
          <w:i/>
          <w:spacing w:val="-1"/>
        </w:rPr>
        <w:t>businesses</w:t>
      </w:r>
      <w:r>
        <w:rPr>
          <w:b/>
          <w:i/>
          <w:spacing w:val="-6"/>
        </w:rPr>
        <w:t xml:space="preserve"> </w:t>
      </w:r>
      <w:r>
        <w:rPr>
          <w:b/>
          <w:i/>
        </w:rPr>
        <w:t>or</w:t>
      </w:r>
      <w:r>
        <w:rPr>
          <w:b/>
          <w:i/>
          <w:spacing w:val="-8"/>
        </w:rPr>
        <w:t xml:space="preserve"> </w:t>
      </w:r>
      <w:r>
        <w:rPr>
          <w:b/>
          <w:i/>
          <w:spacing w:val="1"/>
        </w:rPr>
        <w:t>other</w:t>
      </w:r>
      <w:r>
        <w:rPr>
          <w:b/>
          <w:i/>
          <w:spacing w:val="-7"/>
        </w:rPr>
        <w:t xml:space="preserve"> </w:t>
      </w:r>
      <w:r>
        <w:rPr>
          <w:b/>
          <w:i/>
          <w:spacing w:val="-1"/>
        </w:rPr>
        <w:t>small</w:t>
      </w:r>
      <w:r>
        <w:rPr>
          <w:b/>
          <w:i/>
          <w:spacing w:val="-6"/>
        </w:rPr>
        <w:t xml:space="preserve"> </w:t>
      </w:r>
      <w:r>
        <w:rPr>
          <w:b/>
          <w:i/>
        </w:rPr>
        <w:t>entities,</w:t>
      </w:r>
      <w:r>
        <w:rPr>
          <w:b/>
          <w:i/>
          <w:spacing w:val="91"/>
          <w:w w:val="99"/>
        </w:rPr>
        <w:t xml:space="preserve"> </w:t>
      </w:r>
      <w:r>
        <w:rPr>
          <w:b/>
          <w:i/>
          <w:spacing w:val="-1"/>
        </w:rPr>
        <w:t>describe</w:t>
      </w:r>
      <w:r>
        <w:rPr>
          <w:b/>
          <w:i/>
          <w:spacing w:val="-7"/>
        </w:rPr>
        <w:t xml:space="preserve"> </w:t>
      </w:r>
      <w:r>
        <w:rPr>
          <w:b/>
          <w:i/>
          <w:spacing w:val="1"/>
        </w:rPr>
        <w:t>any</w:t>
      </w:r>
      <w:r>
        <w:rPr>
          <w:b/>
          <w:i/>
          <w:spacing w:val="-11"/>
        </w:rPr>
        <w:t xml:space="preserve"> </w:t>
      </w:r>
      <w:r>
        <w:rPr>
          <w:b/>
          <w:i/>
          <w:spacing w:val="-1"/>
        </w:rPr>
        <w:t>methods</w:t>
      </w:r>
      <w:r>
        <w:rPr>
          <w:b/>
          <w:i/>
          <w:spacing w:val="-8"/>
        </w:rPr>
        <w:t xml:space="preserve"> </w:t>
      </w:r>
      <w:r>
        <w:rPr>
          <w:b/>
          <w:i/>
          <w:spacing w:val="-1"/>
        </w:rPr>
        <w:t>used</w:t>
      </w:r>
      <w:r>
        <w:rPr>
          <w:b/>
          <w:i/>
          <w:spacing w:val="-8"/>
        </w:rPr>
        <w:t xml:space="preserve"> </w:t>
      </w:r>
      <w:r>
        <w:rPr>
          <w:b/>
          <w:i/>
        </w:rPr>
        <w:t>to</w:t>
      </w:r>
      <w:r>
        <w:rPr>
          <w:b/>
          <w:i/>
          <w:spacing w:val="-8"/>
        </w:rPr>
        <w:t xml:space="preserve"> </w:t>
      </w:r>
      <w:r>
        <w:rPr>
          <w:b/>
          <w:i/>
        </w:rPr>
        <w:t>minimize</w:t>
      </w:r>
      <w:r>
        <w:rPr>
          <w:b/>
          <w:i/>
          <w:spacing w:val="-8"/>
        </w:rPr>
        <w:t xml:space="preserve"> </w:t>
      </w:r>
      <w:r>
        <w:rPr>
          <w:b/>
          <w:i/>
          <w:spacing w:val="-1"/>
        </w:rPr>
        <w:t>burden</w:t>
      </w:r>
      <w:r w:rsidR="00B40364">
        <w:rPr>
          <w:b/>
          <w:i/>
          <w:spacing w:val="-1"/>
        </w:rPr>
        <w:t>:</w:t>
      </w:r>
    </w:p>
    <w:p w:rsidR="00933A58" w:rsidP="007711F6" w:rsidRDefault="00933A58" w14:paraId="6E6DE5EC" w14:textId="77777777">
      <w:pPr>
        <w:ind w:left="90"/>
        <w:rPr>
          <w:rFonts w:ascii="Times New Roman TUR" w:hAnsi="Times New Roman TUR" w:cs="Times New Roman TUR"/>
          <w:b/>
          <w:bCs/>
        </w:rPr>
      </w:pPr>
    </w:p>
    <w:p w:rsidRPr="009E5753" w:rsidR="009E5753" w:rsidP="007711F6" w:rsidRDefault="00852E30" w14:paraId="091A717E" w14:textId="01B9916A">
      <w:pPr>
        <w:ind w:left="90"/>
        <w:outlineLvl w:val="0"/>
        <w:rPr>
          <w:szCs w:val="24"/>
        </w:rPr>
      </w:pPr>
      <w:r>
        <w:rPr>
          <w:szCs w:val="24"/>
        </w:rPr>
        <w:tab/>
      </w:r>
      <w:r w:rsidRPr="00850D6B" w:rsidR="009E5753">
        <w:rPr>
          <w:szCs w:val="24"/>
        </w:rPr>
        <w:t>Not applicable.</w:t>
      </w:r>
      <w:r w:rsidR="009E5753">
        <w:rPr>
          <w:szCs w:val="24"/>
        </w:rPr>
        <w:t xml:space="preserve">  </w:t>
      </w:r>
    </w:p>
    <w:p w:rsidR="00933A58" w:rsidP="007711F6" w:rsidRDefault="00933A58" w14:paraId="5680B1D5" w14:textId="77777777">
      <w:pPr>
        <w:ind w:left="90"/>
        <w:rPr>
          <w:rFonts w:ascii="Times New Roman TUR" w:hAnsi="Times New Roman TUR" w:cs="Times New Roman TUR"/>
          <w:b/>
          <w:bCs/>
        </w:rPr>
      </w:pPr>
    </w:p>
    <w:p w:rsidR="00852E30" w:rsidP="007711F6" w:rsidRDefault="00215267" w14:paraId="22332806" w14:textId="77777777">
      <w:pPr>
        <w:pStyle w:val="BodyText"/>
        <w:widowControl w:val="0"/>
        <w:tabs>
          <w:tab w:val="left" w:pos="340"/>
          <w:tab w:val="left" w:pos="630"/>
        </w:tabs>
        <w:ind w:left="90" w:right="205"/>
        <w:rPr>
          <w:b/>
          <w:i/>
          <w:spacing w:val="-1"/>
        </w:rPr>
      </w:pPr>
      <w:r>
        <w:rPr>
          <w:b/>
          <w:bCs/>
          <w:i/>
          <w:iCs/>
        </w:rPr>
        <w:t>6.</w:t>
      </w:r>
      <w:r>
        <w:rPr>
          <w:b/>
          <w:bCs/>
          <w:i/>
          <w:iCs/>
        </w:rPr>
        <w:tab/>
        <w:t xml:space="preserve">     </w:t>
      </w:r>
      <w:r w:rsidR="00B40364">
        <w:rPr>
          <w:b/>
          <w:i/>
          <w:spacing w:val="-1"/>
        </w:rPr>
        <w:t xml:space="preserve">Consequences to the </w:t>
      </w:r>
      <w:r w:rsidR="00097FA7">
        <w:rPr>
          <w:b/>
          <w:i/>
          <w:spacing w:val="-1"/>
        </w:rPr>
        <w:t>f</w:t>
      </w:r>
      <w:r w:rsidR="00B40364">
        <w:rPr>
          <w:b/>
          <w:i/>
          <w:spacing w:val="-1"/>
        </w:rPr>
        <w:t>ederal program if the collection were conducted less frequently:</w:t>
      </w:r>
    </w:p>
    <w:p w:rsidR="00933A58" w:rsidP="007711F6" w:rsidRDefault="00852E30" w14:paraId="1F933A62" w14:textId="77777777">
      <w:pPr>
        <w:ind w:left="90"/>
        <w:rPr>
          <w:szCs w:val="24"/>
        </w:rPr>
      </w:pPr>
      <w:r>
        <w:rPr>
          <w:szCs w:val="24"/>
        </w:rPr>
        <w:tab/>
      </w:r>
      <w:r w:rsidRPr="00850D6B" w:rsidR="009E5753">
        <w:rPr>
          <w:szCs w:val="24"/>
        </w:rPr>
        <w:t>Conducting the collection less frequently would present safety and soundness risks.</w:t>
      </w:r>
    </w:p>
    <w:p w:rsidRPr="0056372D" w:rsidR="00215267" w:rsidP="007711F6" w:rsidRDefault="00215267" w14:paraId="6E339106" w14:textId="77777777">
      <w:pPr>
        <w:ind w:left="90"/>
        <w:rPr>
          <w:szCs w:val="24"/>
        </w:rPr>
      </w:pPr>
    </w:p>
    <w:p w:rsidR="00EE5C53" w:rsidP="00EE5C53" w:rsidRDefault="00215267" w14:paraId="4B4F81B3" w14:textId="77777777">
      <w:pPr>
        <w:ind w:left="90"/>
        <w:rPr>
          <w:b/>
          <w:bCs/>
          <w:i/>
          <w:iCs/>
        </w:rPr>
      </w:pPr>
      <w:r>
        <w:rPr>
          <w:b/>
          <w:bCs/>
          <w:i/>
          <w:iCs/>
        </w:rPr>
        <w:t xml:space="preserve">7.        </w:t>
      </w:r>
      <w:r w:rsidR="00B40364">
        <w:rPr>
          <w:b/>
          <w:bCs/>
          <w:i/>
          <w:iCs/>
        </w:rPr>
        <w:t>S</w:t>
      </w:r>
      <w:r>
        <w:rPr>
          <w:b/>
          <w:bCs/>
          <w:i/>
          <w:iCs/>
        </w:rPr>
        <w:t xml:space="preserve">pecial circumstances </w:t>
      </w:r>
      <w:r w:rsidR="00B40364">
        <w:rPr>
          <w:b/>
          <w:bCs/>
          <w:i/>
          <w:iCs/>
        </w:rPr>
        <w:t>that would cause the information collection to be conducted in a manner inconsistent with</w:t>
      </w:r>
      <w:r>
        <w:rPr>
          <w:b/>
          <w:bCs/>
          <w:i/>
          <w:iCs/>
        </w:rPr>
        <w:t xml:space="preserve"> 5 CFR </w:t>
      </w:r>
      <w:r w:rsidR="00F366D2">
        <w:rPr>
          <w:b/>
          <w:bCs/>
          <w:i/>
          <w:iCs/>
        </w:rPr>
        <w:t xml:space="preserve">part </w:t>
      </w:r>
      <w:r>
        <w:rPr>
          <w:b/>
          <w:bCs/>
          <w:i/>
          <w:iCs/>
        </w:rPr>
        <w:t>1320.</w:t>
      </w:r>
    </w:p>
    <w:p w:rsidR="00EE5C53" w:rsidP="00EE5C53" w:rsidRDefault="00EE5C53" w14:paraId="442F86DF" w14:textId="77777777">
      <w:pPr>
        <w:ind w:left="90"/>
        <w:rPr>
          <w:b/>
          <w:bCs/>
          <w:i/>
          <w:iCs/>
        </w:rPr>
      </w:pPr>
    </w:p>
    <w:p w:rsidR="0027370D" w:rsidP="0027370D" w:rsidRDefault="00F366D2" w14:paraId="6E55E07E" w14:textId="77777777">
      <w:pPr>
        <w:ind w:left="90" w:firstLine="630"/>
        <w:rPr>
          <w:rFonts w:ascii="Times New Roman TUR" w:hAnsi="Times New Roman TUR" w:cs="Times New Roman TUR"/>
        </w:rPr>
      </w:pPr>
      <w:r>
        <w:rPr>
          <w:rFonts w:ascii="Times New Roman TUR" w:hAnsi="Times New Roman TUR" w:cs="Times New Roman TUR"/>
        </w:rPr>
        <w:t>Not applicable.</w:t>
      </w:r>
    </w:p>
    <w:p w:rsidR="0027370D" w:rsidP="0027370D" w:rsidRDefault="0027370D" w14:paraId="6F92268D" w14:textId="77777777">
      <w:pPr>
        <w:ind w:left="90" w:firstLine="630"/>
        <w:rPr>
          <w:rFonts w:ascii="Times New Roman TUR" w:hAnsi="Times New Roman TUR" w:cs="Times New Roman TUR"/>
        </w:rPr>
      </w:pPr>
    </w:p>
    <w:p w:rsidR="005B76AD" w:rsidP="0027370D" w:rsidRDefault="00215267" w14:paraId="54DDD4E6" w14:textId="77777777">
      <w:pPr>
        <w:ind w:left="90"/>
        <w:rPr>
          <w:b/>
          <w:i/>
        </w:rPr>
      </w:pPr>
      <w:r>
        <w:rPr>
          <w:b/>
          <w:bCs/>
          <w:i/>
          <w:iCs/>
        </w:rPr>
        <w:t>8.</w:t>
      </w:r>
      <w:r>
        <w:rPr>
          <w:b/>
          <w:bCs/>
          <w:i/>
          <w:iCs/>
        </w:rPr>
        <w:tab/>
      </w:r>
      <w:r w:rsidR="00F366D2">
        <w:rPr>
          <w:b/>
          <w:i/>
          <w:spacing w:val="-1"/>
        </w:rPr>
        <w:t>E</w:t>
      </w:r>
      <w:r>
        <w:rPr>
          <w:b/>
          <w:i/>
          <w:spacing w:val="-1"/>
        </w:rPr>
        <w:t>fforts</w:t>
      </w:r>
      <w:r>
        <w:rPr>
          <w:b/>
          <w:i/>
          <w:spacing w:val="-5"/>
        </w:rPr>
        <w:t xml:space="preserve"> </w:t>
      </w:r>
      <w:r>
        <w:rPr>
          <w:b/>
          <w:i/>
        </w:rPr>
        <w:t>to</w:t>
      </w:r>
      <w:r>
        <w:rPr>
          <w:b/>
          <w:i/>
          <w:spacing w:val="-7"/>
        </w:rPr>
        <w:t xml:space="preserve"> </w:t>
      </w:r>
      <w:r>
        <w:rPr>
          <w:b/>
          <w:i/>
        </w:rPr>
        <w:t>consult</w:t>
      </w:r>
      <w:r>
        <w:rPr>
          <w:b/>
          <w:i/>
          <w:spacing w:val="-5"/>
        </w:rPr>
        <w:t xml:space="preserve"> </w:t>
      </w:r>
      <w:r>
        <w:rPr>
          <w:b/>
          <w:i/>
        </w:rPr>
        <w:t>with</w:t>
      </w:r>
      <w:r>
        <w:rPr>
          <w:b/>
          <w:i/>
          <w:spacing w:val="-7"/>
        </w:rPr>
        <w:t xml:space="preserve"> </w:t>
      </w:r>
      <w:r>
        <w:rPr>
          <w:b/>
          <w:i/>
          <w:spacing w:val="-1"/>
        </w:rPr>
        <w:t>persons</w:t>
      </w:r>
      <w:r>
        <w:rPr>
          <w:b/>
          <w:i/>
          <w:spacing w:val="-5"/>
        </w:rPr>
        <w:t xml:space="preserve"> </w:t>
      </w:r>
      <w:r>
        <w:rPr>
          <w:b/>
          <w:i/>
        </w:rPr>
        <w:t>outside</w:t>
      </w:r>
      <w:r>
        <w:rPr>
          <w:b/>
          <w:i/>
          <w:spacing w:val="-6"/>
        </w:rPr>
        <w:t xml:space="preserve"> </w:t>
      </w:r>
      <w:r>
        <w:rPr>
          <w:b/>
          <w:i/>
        </w:rPr>
        <w:t>the</w:t>
      </w:r>
      <w:r>
        <w:rPr>
          <w:b/>
          <w:i/>
          <w:spacing w:val="-7"/>
        </w:rPr>
        <w:t xml:space="preserve"> </w:t>
      </w:r>
      <w:r>
        <w:rPr>
          <w:b/>
          <w:i/>
        </w:rPr>
        <w:t>agency</w:t>
      </w:r>
      <w:r w:rsidR="00F366D2">
        <w:rPr>
          <w:b/>
          <w:i/>
        </w:rPr>
        <w:t>:</w:t>
      </w:r>
    </w:p>
    <w:p w:rsidRPr="0027370D" w:rsidR="0027370D" w:rsidP="0027370D" w:rsidRDefault="0027370D" w14:paraId="5D3D6820" w14:textId="77777777">
      <w:pPr>
        <w:ind w:left="90"/>
        <w:rPr>
          <w:b/>
          <w:bCs/>
          <w:i/>
          <w:iCs/>
        </w:rPr>
      </w:pPr>
    </w:p>
    <w:p w:rsidRPr="00F66C7E" w:rsidR="00215267" w:rsidP="007711F6" w:rsidRDefault="00F66C7E" w14:paraId="17D07509" w14:textId="1B75317F">
      <w:pPr>
        <w:ind w:left="90" w:firstLine="630"/>
        <w:rPr>
          <w:rStyle w:val="documentbody1"/>
          <w:rFonts w:ascii="Times New Roman" w:hAnsi="Times New Roman"/>
          <w:color w:val="000000"/>
          <w:sz w:val="24"/>
          <w:szCs w:val="24"/>
        </w:rPr>
      </w:pPr>
      <w:r w:rsidRPr="00F66C7E">
        <w:rPr>
          <w:rStyle w:val="documentbody1"/>
          <w:rFonts w:ascii="Times New Roman" w:hAnsi="Times New Roman"/>
          <w:color w:val="000000"/>
          <w:sz w:val="24"/>
          <w:szCs w:val="24"/>
        </w:rPr>
        <w:t xml:space="preserve">The OCC issued a notice for 60 days of comment regarding this collection, </w:t>
      </w:r>
      <w:r w:rsidR="00C10695">
        <w:rPr>
          <w:rStyle w:val="documentbody1"/>
          <w:rFonts w:ascii="Times New Roman" w:hAnsi="Times New Roman"/>
          <w:color w:val="000000"/>
          <w:sz w:val="24"/>
          <w:szCs w:val="24"/>
        </w:rPr>
        <w:t>July 13</w:t>
      </w:r>
      <w:r w:rsidRPr="00F66C7E">
        <w:rPr>
          <w:rStyle w:val="documentbody1"/>
          <w:rFonts w:ascii="Times New Roman" w:hAnsi="Times New Roman"/>
          <w:color w:val="000000"/>
          <w:sz w:val="24"/>
          <w:szCs w:val="24"/>
        </w:rPr>
        <w:t>,</w:t>
      </w:r>
      <w:r w:rsidR="00FA4E26">
        <w:rPr>
          <w:rStyle w:val="documentbody1"/>
          <w:rFonts w:ascii="Times New Roman" w:hAnsi="Times New Roman"/>
          <w:color w:val="000000"/>
          <w:sz w:val="24"/>
          <w:szCs w:val="24"/>
        </w:rPr>
        <w:t xml:space="preserve"> 20</w:t>
      </w:r>
      <w:r w:rsidR="00F0558D">
        <w:rPr>
          <w:rStyle w:val="documentbody1"/>
          <w:rFonts w:ascii="Times New Roman" w:hAnsi="Times New Roman"/>
          <w:color w:val="000000"/>
          <w:sz w:val="24"/>
          <w:szCs w:val="24"/>
        </w:rPr>
        <w:t>2</w:t>
      </w:r>
      <w:r w:rsidR="00FA4E26">
        <w:rPr>
          <w:rStyle w:val="documentbody1"/>
          <w:rFonts w:ascii="Times New Roman" w:hAnsi="Times New Roman"/>
          <w:color w:val="000000"/>
          <w:sz w:val="24"/>
          <w:szCs w:val="24"/>
        </w:rPr>
        <w:t>1,</w:t>
      </w:r>
      <w:r w:rsidRPr="00F66C7E">
        <w:rPr>
          <w:rStyle w:val="documentbody1"/>
          <w:rFonts w:ascii="Times New Roman" w:hAnsi="Times New Roman"/>
          <w:color w:val="000000"/>
          <w:sz w:val="24"/>
          <w:szCs w:val="24"/>
        </w:rPr>
        <w:t xml:space="preserve"> 8</w:t>
      </w:r>
      <w:r w:rsidR="00EB68F9">
        <w:rPr>
          <w:rStyle w:val="documentbody1"/>
          <w:rFonts w:ascii="Times New Roman" w:hAnsi="Times New Roman"/>
          <w:color w:val="000000"/>
          <w:sz w:val="24"/>
          <w:szCs w:val="24"/>
        </w:rPr>
        <w:t>6</w:t>
      </w:r>
      <w:r w:rsidRPr="00F66C7E">
        <w:rPr>
          <w:rStyle w:val="documentbody1"/>
          <w:rFonts w:ascii="Times New Roman" w:hAnsi="Times New Roman"/>
          <w:color w:val="000000"/>
          <w:sz w:val="24"/>
          <w:szCs w:val="24"/>
        </w:rPr>
        <w:t xml:space="preserve"> FR </w:t>
      </w:r>
      <w:r w:rsidR="00C10695">
        <w:rPr>
          <w:rStyle w:val="documentbody1"/>
          <w:rFonts w:ascii="Times New Roman" w:hAnsi="Times New Roman"/>
          <w:color w:val="000000"/>
          <w:sz w:val="24"/>
          <w:szCs w:val="24"/>
        </w:rPr>
        <w:t>36866</w:t>
      </w:r>
      <w:r w:rsidRPr="00F66C7E">
        <w:rPr>
          <w:rStyle w:val="documentbody1"/>
          <w:rFonts w:ascii="Times New Roman" w:hAnsi="Times New Roman"/>
          <w:color w:val="000000"/>
          <w:sz w:val="24"/>
          <w:szCs w:val="24"/>
        </w:rPr>
        <w:t xml:space="preserve">.  </w:t>
      </w:r>
      <w:r w:rsidR="00C10695">
        <w:rPr>
          <w:rStyle w:val="documentbody1"/>
          <w:rFonts w:ascii="Times New Roman" w:hAnsi="Times New Roman"/>
          <w:color w:val="000000"/>
          <w:sz w:val="24"/>
          <w:szCs w:val="24"/>
        </w:rPr>
        <w:t>No</w:t>
      </w:r>
      <w:r w:rsidRPr="00F66C7E">
        <w:rPr>
          <w:rStyle w:val="documentbody1"/>
          <w:rFonts w:ascii="Times New Roman" w:hAnsi="Times New Roman"/>
          <w:color w:val="000000"/>
          <w:sz w:val="24"/>
          <w:szCs w:val="24"/>
        </w:rPr>
        <w:t xml:space="preserve"> comments were received.  </w:t>
      </w:r>
    </w:p>
    <w:p w:rsidRPr="0056372D" w:rsidR="005B76AD" w:rsidP="007711F6" w:rsidRDefault="005B76AD" w14:paraId="332692D7" w14:textId="77777777">
      <w:pPr>
        <w:ind w:left="90"/>
        <w:rPr>
          <w:szCs w:val="24"/>
        </w:rPr>
      </w:pPr>
    </w:p>
    <w:p w:rsidR="005B76AD" w:rsidP="007711F6" w:rsidRDefault="00215267" w14:paraId="69DC2143" w14:textId="77777777">
      <w:pPr>
        <w:pStyle w:val="BodyText"/>
        <w:widowControl w:val="0"/>
        <w:ind w:left="90" w:right="982"/>
        <w:rPr>
          <w:rFonts w:ascii="Times New Roman TUR" w:hAnsi="Times New Roman TUR" w:cs="Times New Roman TUR"/>
        </w:rPr>
      </w:pPr>
      <w:r>
        <w:rPr>
          <w:b/>
          <w:bCs/>
          <w:i/>
          <w:iCs/>
        </w:rPr>
        <w:t>9.</w:t>
      </w:r>
      <w:r>
        <w:rPr>
          <w:b/>
          <w:bCs/>
          <w:i/>
          <w:iCs/>
        </w:rPr>
        <w:tab/>
      </w:r>
      <w:r w:rsidR="004A3B59">
        <w:rPr>
          <w:b/>
          <w:i/>
        </w:rPr>
        <w:t>P</w:t>
      </w:r>
      <w:r>
        <w:rPr>
          <w:b/>
          <w:i/>
          <w:spacing w:val="-1"/>
        </w:rPr>
        <w:t>ayment</w:t>
      </w:r>
      <w:r>
        <w:rPr>
          <w:b/>
          <w:i/>
          <w:spacing w:val="-6"/>
        </w:rPr>
        <w:t xml:space="preserve"> </w:t>
      </w:r>
      <w:r>
        <w:rPr>
          <w:b/>
          <w:i/>
          <w:spacing w:val="1"/>
        </w:rPr>
        <w:t>or</w:t>
      </w:r>
      <w:r>
        <w:rPr>
          <w:b/>
          <w:i/>
          <w:spacing w:val="-7"/>
        </w:rPr>
        <w:t xml:space="preserve"> </w:t>
      </w:r>
      <w:r>
        <w:rPr>
          <w:b/>
          <w:i/>
          <w:spacing w:val="-1"/>
        </w:rPr>
        <w:t>gift</w:t>
      </w:r>
      <w:r>
        <w:rPr>
          <w:b/>
          <w:i/>
          <w:spacing w:val="-5"/>
        </w:rPr>
        <w:t xml:space="preserve"> </w:t>
      </w:r>
      <w:r>
        <w:rPr>
          <w:b/>
          <w:i/>
        </w:rPr>
        <w:t>to</w:t>
      </w:r>
      <w:r>
        <w:rPr>
          <w:b/>
          <w:i/>
          <w:spacing w:val="-7"/>
        </w:rPr>
        <w:t xml:space="preserve"> </w:t>
      </w:r>
      <w:r>
        <w:rPr>
          <w:b/>
          <w:i/>
          <w:spacing w:val="-1"/>
        </w:rPr>
        <w:t>respondents</w:t>
      </w:r>
      <w:r w:rsidR="004A3B59">
        <w:rPr>
          <w:b/>
          <w:i/>
          <w:spacing w:val="-1"/>
        </w:rPr>
        <w:t>:</w:t>
      </w:r>
    </w:p>
    <w:p w:rsidR="00933A58" w:rsidP="007711F6" w:rsidRDefault="00852E30" w14:paraId="3CF4FB67" w14:textId="77777777">
      <w:pPr>
        <w:ind w:left="90"/>
        <w:rPr>
          <w:rFonts w:ascii="Times New Roman TUR" w:hAnsi="Times New Roman TUR" w:cs="Times New Roman TUR"/>
        </w:rPr>
      </w:pPr>
      <w:r>
        <w:rPr>
          <w:rFonts w:ascii="Times New Roman TUR" w:hAnsi="Times New Roman TUR" w:cs="Times New Roman TUR"/>
        </w:rPr>
        <w:tab/>
      </w:r>
      <w:r w:rsidR="00933A58">
        <w:rPr>
          <w:rFonts w:ascii="Times New Roman TUR" w:hAnsi="Times New Roman TUR" w:cs="Times New Roman TUR"/>
        </w:rPr>
        <w:t>There is no payment to respondents.</w:t>
      </w:r>
    </w:p>
    <w:p w:rsidRPr="0056372D" w:rsidR="00D43A91" w:rsidP="007711F6" w:rsidRDefault="00D43A91" w14:paraId="1D5D861F" w14:textId="77777777">
      <w:pPr>
        <w:ind w:left="90"/>
        <w:rPr>
          <w:szCs w:val="24"/>
        </w:rPr>
      </w:pPr>
    </w:p>
    <w:p w:rsidR="002E62E5" w:rsidP="000B1870" w:rsidRDefault="00215267" w14:paraId="27EF15BA" w14:textId="77777777">
      <w:pPr>
        <w:pStyle w:val="BodyText"/>
        <w:widowControl w:val="0"/>
        <w:tabs>
          <w:tab w:val="left" w:pos="460"/>
        </w:tabs>
        <w:ind w:left="90" w:right="410"/>
        <w:rPr>
          <w:rFonts w:ascii="Times New Roman TUR" w:hAnsi="Times New Roman TUR" w:cs="Times New Roman TUR"/>
          <w:b/>
          <w:bCs/>
        </w:rPr>
      </w:pPr>
      <w:r>
        <w:rPr>
          <w:b/>
          <w:bCs/>
          <w:i/>
          <w:iCs/>
        </w:rPr>
        <w:t>10.</w:t>
      </w:r>
      <w:r>
        <w:rPr>
          <w:b/>
          <w:bCs/>
          <w:i/>
          <w:iCs/>
        </w:rPr>
        <w:tab/>
        <w:t xml:space="preserve">    </w:t>
      </w:r>
      <w:r w:rsidR="004A3B59">
        <w:rPr>
          <w:b/>
          <w:i/>
          <w:spacing w:val="-1"/>
        </w:rPr>
        <w:t>A</w:t>
      </w:r>
      <w:r>
        <w:rPr>
          <w:b/>
          <w:i/>
        </w:rPr>
        <w:t>ssurance</w:t>
      </w:r>
      <w:r>
        <w:rPr>
          <w:b/>
          <w:i/>
          <w:spacing w:val="-7"/>
        </w:rPr>
        <w:t xml:space="preserve"> </w:t>
      </w:r>
      <w:r>
        <w:rPr>
          <w:b/>
          <w:i/>
        </w:rPr>
        <w:t>of</w:t>
      </w:r>
      <w:r>
        <w:rPr>
          <w:b/>
          <w:i/>
          <w:spacing w:val="-8"/>
        </w:rPr>
        <w:t xml:space="preserve"> </w:t>
      </w:r>
      <w:r>
        <w:rPr>
          <w:b/>
          <w:i/>
        </w:rPr>
        <w:t>confidentiality</w:t>
      </w:r>
      <w:r w:rsidR="004A3B59">
        <w:rPr>
          <w:b/>
          <w:i/>
        </w:rPr>
        <w:t>:</w:t>
      </w:r>
    </w:p>
    <w:p w:rsidR="00EE5C53" w:rsidP="00EE5C53" w:rsidRDefault="002E62E5" w14:paraId="1A213878" w14:textId="77777777">
      <w:pPr>
        <w:ind w:left="90"/>
        <w:rPr>
          <w:rFonts w:ascii="Times New Roman TUR" w:hAnsi="Times New Roman TUR" w:cs="Times New Roman TUR"/>
          <w:bCs/>
        </w:rPr>
      </w:pPr>
      <w:r>
        <w:rPr>
          <w:rFonts w:ascii="Times New Roman TUR" w:hAnsi="Times New Roman TUR" w:cs="Times New Roman TUR"/>
          <w:b/>
          <w:bCs/>
        </w:rPr>
        <w:tab/>
      </w:r>
      <w:r w:rsidR="00317F2D">
        <w:rPr>
          <w:rFonts w:ascii="Times New Roman TUR" w:hAnsi="Times New Roman TUR" w:cs="Times New Roman TUR"/>
          <w:bCs/>
        </w:rPr>
        <w:t>The information is kept confidential to the extent permitted by law.</w:t>
      </w:r>
    </w:p>
    <w:p w:rsidRPr="00EE5C53" w:rsidR="000B1870" w:rsidP="00EE5C53" w:rsidRDefault="00EE5C53" w14:paraId="07801A68" w14:textId="77777777">
      <w:pPr>
        <w:ind w:left="90"/>
        <w:rPr>
          <w:rFonts w:ascii="Times New Roman TUR" w:hAnsi="Times New Roman TUR" w:cs="Times New Roman TUR"/>
          <w:bCs/>
        </w:rPr>
      </w:pPr>
      <w:r>
        <w:rPr>
          <w:rFonts w:ascii="Times New Roman TUR" w:hAnsi="Times New Roman TUR" w:cs="Times New Roman TUR"/>
          <w:bCs/>
        </w:rPr>
        <w:br w:type="page"/>
      </w:r>
    </w:p>
    <w:p w:rsidR="00215267" w:rsidP="007711F6" w:rsidRDefault="00215267" w14:paraId="5881ADD8" w14:textId="77777777">
      <w:pPr>
        <w:pStyle w:val="BodyText"/>
        <w:widowControl w:val="0"/>
        <w:tabs>
          <w:tab w:val="left" w:pos="460"/>
        </w:tabs>
        <w:spacing w:before="69"/>
        <w:ind w:left="90" w:right="205"/>
        <w:rPr>
          <w:b/>
          <w:i/>
          <w:spacing w:val="-1"/>
        </w:rPr>
      </w:pPr>
      <w:r>
        <w:rPr>
          <w:b/>
          <w:bCs/>
          <w:i/>
          <w:iCs/>
        </w:rPr>
        <w:lastRenderedPageBreak/>
        <w:t>11.</w:t>
      </w:r>
      <w:r>
        <w:rPr>
          <w:b/>
          <w:bCs/>
          <w:i/>
          <w:iCs/>
        </w:rPr>
        <w:tab/>
        <w:t xml:space="preserve">   </w:t>
      </w:r>
      <w:r w:rsidR="004A3B59">
        <w:rPr>
          <w:b/>
          <w:i/>
        </w:rPr>
        <w:t>Justification for questions of a sensitive nature:</w:t>
      </w:r>
    </w:p>
    <w:p w:rsidR="00933A58" w:rsidP="00EE5C53" w:rsidRDefault="00317F2D" w14:paraId="01F71BCD" w14:textId="77777777">
      <w:pPr>
        <w:ind w:firstLine="720"/>
        <w:rPr>
          <w:rFonts w:ascii="Times New Roman TUR" w:hAnsi="Times New Roman TUR" w:cs="Times New Roman TUR"/>
        </w:rPr>
      </w:pPr>
      <w:r>
        <w:rPr>
          <w:rFonts w:ascii="Times New Roman TUR" w:hAnsi="Times New Roman TUR" w:cs="Times New Roman TUR"/>
        </w:rPr>
        <w:t xml:space="preserve">Not applicable.  </w:t>
      </w:r>
      <w:r w:rsidR="00965030">
        <w:rPr>
          <w:rFonts w:ascii="Times New Roman TUR" w:hAnsi="Times New Roman TUR" w:cs="Times New Roman TUR"/>
        </w:rPr>
        <w:t>No sensitive information is collected.</w:t>
      </w:r>
    </w:p>
    <w:p w:rsidR="00215267" w:rsidP="007711F6" w:rsidRDefault="00215267" w14:paraId="7FF24343" w14:textId="77777777">
      <w:pPr>
        <w:ind w:left="90"/>
        <w:rPr>
          <w:rFonts w:ascii="Times New Roman TUR" w:hAnsi="Times New Roman TUR" w:cs="Times New Roman TUR"/>
          <w:b/>
          <w:bCs/>
        </w:rPr>
      </w:pPr>
    </w:p>
    <w:p w:rsidR="00215267" w:rsidP="007711F6" w:rsidRDefault="00215267" w14:paraId="0C0B5F9A" w14:textId="77777777">
      <w:pPr>
        <w:ind w:left="90"/>
        <w:rPr>
          <w:b/>
          <w:bCs/>
          <w:i/>
          <w:iCs/>
        </w:rPr>
      </w:pPr>
      <w:r>
        <w:rPr>
          <w:b/>
          <w:bCs/>
          <w:i/>
          <w:iCs/>
        </w:rPr>
        <w:t xml:space="preserve">12.       </w:t>
      </w:r>
      <w:r w:rsidR="004A3B59">
        <w:rPr>
          <w:b/>
          <w:bCs/>
          <w:i/>
          <w:iCs/>
        </w:rPr>
        <w:t>Burden estimate:</w:t>
      </w:r>
    </w:p>
    <w:p w:rsidR="00E41B8B" w:rsidP="007711F6" w:rsidRDefault="00E41B8B" w14:paraId="2B5F3D89" w14:textId="77777777">
      <w:pPr>
        <w:ind w:left="90"/>
        <w:rPr>
          <w:rFonts w:ascii="Times New Roman TUR" w:hAnsi="Times New Roman TUR" w:cs="Times New Roman TUR"/>
          <w:bCs/>
          <w:u w:val="single"/>
        </w:rPr>
      </w:pPr>
      <w:r>
        <w:rPr>
          <w:rFonts w:ascii="Times New Roman TUR" w:hAnsi="Times New Roman TUR" w:cs="Times New Roman TUR"/>
          <w:b/>
          <w:bCs/>
        </w:rPr>
        <w:tab/>
      </w:r>
    </w:p>
    <w:p w:rsidRPr="00D1282F" w:rsidR="00E41B8B" w:rsidP="007711F6" w:rsidRDefault="00D1282F" w14:paraId="7FC87926" w14:textId="27E79991">
      <w:pPr>
        <w:ind w:left="90"/>
        <w:rPr>
          <w:rFonts w:ascii="Times New Roman TUR" w:hAnsi="Times New Roman TUR" w:cs="Times New Roman TUR"/>
          <w:bCs/>
        </w:rPr>
      </w:pPr>
      <w:r>
        <w:rPr>
          <w:rFonts w:ascii="Times New Roman TUR" w:hAnsi="Times New Roman TUR" w:cs="Times New Roman TUR"/>
          <w:bCs/>
        </w:rPr>
        <w:tab/>
      </w:r>
      <w:r w:rsidR="007D6C36">
        <w:rPr>
          <w:rFonts w:ascii="Times New Roman TUR" w:hAnsi="Times New Roman TUR" w:cs="Times New Roman TUR"/>
          <w:bCs/>
        </w:rPr>
        <w:t>62</w:t>
      </w:r>
      <w:r>
        <w:rPr>
          <w:rFonts w:ascii="Times New Roman TUR" w:hAnsi="Times New Roman TUR" w:cs="Times New Roman TUR"/>
          <w:bCs/>
        </w:rPr>
        <w:t xml:space="preserve"> institutions </w:t>
      </w:r>
      <w:r w:rsidR="007D6C36">
        <w:rPr>
          <w:rFonts w:ascii="Times New Roman TUR" w:hAnsi="Times New Roman TUR" w:cs="Times New Roman TUR"/>
          <w:bCs/>
        </w:rPr>
        <w:t xml:space="preserve">(50 national banks and 12 </w:t>
      </w:r>
      <w:r w:rsidR="00AB59D0">
        <w:rPr>
          <w:rFonts w:ascii="Times New Roman TUR" w:hAnsi="Times New Roman TUR" w:cs="Times New Roman TUR"/>
          <w:bCs/>
        </w:rPr>
        <w:t>federal savings associations</w:t>
      </w:r>
      <w:r w:rsidR="007D6C36">
        <w:rPr>
          <w:rFonts w:ascii="Times New Roman TUR" w:hAnsi="Times New Roman TUR" w:cs="Times New Roman TUR"/>
          <w:bCs/>
        </w:rPr>
        <w:t xml:space="preserve">) </w:t>
      </w:r>
      <w:r w:rsidR="00EE5C53">
        <w:rPr>
          <w:rFonts w:ascii="Times New Roman TUR" w:hAnsi="Times New Roman TUR" w:cs="Times New Roman TUR"/>
          <w:bCs/>
        </w:rPr>
        <w:t>are</w:t>
      </w:r>
      <w:r>
        <w:rPr>
          <w:rFonts w:ascii="Times New Roman TUR" w:hAnsi="Times New Roman TUR" w:cs="Times New Roman TUR"/>
          <w:bCs/>
        </w:rPr>
        <w:t xml:space="preserve"> affected by the guidance.</w:t>
      </w:r>
      <w:r w:rsidR="007E38B3">
        <w:rPr>
          <w:rFonts w:ascii="Times New Roman TUR" w:hAnsi="Times New Roman TUR" w:cs="Times New Roman TUR"/>
          <w:bCs/>
        </w:rPr>
        <w:t xml:space="preserve">  </w:t>
      </w:r>
    </w:p>
    <w:p w:rsidRPr="00E41B8B" w:rsidR="00D1282F" w:rsidP="007711F6" w:rsidRDefault="00D1282F" w14:paraId="48DC927A" w14:textId="77777777">
      <w:pPr>
        <w:ind w:left="90"/>
        <w:rPr>
          <w:rFonts w:ascii="Times New Roman TUR" w:hAnsi="Times New Roman TUR" w:cs="Times New Roman TUR"/>
          <w:bCs/>
          <w:u w:val="single"/>
        </w:rPr>
      </w:pPr>
    </w:p>
    <w:p w:rsidR="00E41B8B" w:rsidP="007711F6" w:rsidRDefault="001F2F81" w14:paraId="50EC2CE8" w14:textId="7AFB18F4">
      <w:pPr>
        <w:ind w:left="90"/>
        <w:rPr>
          <w:rFonts w:ascii="Times New Roman TUR" w:hAnsi="Times New Roman TUR" w:cs="Times New Roman TUR"/>
          <w:bCs/>
        </w:rPr>
      </w:pPr>
      <w:r>
        <w:rPr>
          <w:rFonts w:ascii="Times New Roman TUR" w:hAnsi="Times New Roman TUR" w:cs="Times New Roman TUR"/>
          <w:bCs/>
        </w:rPr>
        <w:tab/>
      </w:r>
      <w:r w:rsidR="00E41B8B">
        <w:rPr>
          <w:rFonts w:ascii="Times New Roman TUR" w:hAnsi="Times New Roman TUR" w:cs="Times New Roman TUR"/>
          <w:bCs/>
        </w:rPr>
        <w:t>(a) Documentation of assumptions, un</w:t>
      </w:r>
      <w:r w:rsidR="007D6C36">
        <w:rPr>
          <w:rFonts w:ascii="Times New Roman TUR" w:hAnsi="Times New Roman TUR" w:cs="Times New Roman TUR"/>
          <w:bCs/>
        </w:rPr>
        <w:t>certainties</w:t>
      </w:r>
      <w:r w:rsidR="005C73AD">
        <w:rPr>
          <w:rFonts w:ascii="Times New Roman TUR" w:hAnsi="Times New Roman TUR" w:cs="Times New Roman TUR"/>
          <w:bCs/>
        </w:rPr>
        <w:t>,</w:t>
      </w:r>
      <w:r w:rsidR="007D6C36">
        <w:rPr>
          <w:rFonts w:ascii="Times New Roman TUR" w:hAnsi="Times New Roman TUR" w:cs="Times New Roman TUR"/>
          <w:bCs/>
        </w:rPr>
        <w:t xml:space="preserve"> and limitations</w:t>
      </w:r>
      <w:r w:rsidR="005C73AD">
        <w:rPr>
          <w:rFonts w:ascii="Times New Roman TUR" w:hAnsi="Times New Roman TUR" w:cs="Times New Roman TUR"/>
          <w:bCs/>
        </w:rPr>
        <w:t>:</w:t>
      </w:r>
      <w:r w:rsidR="007D6C36">
        <w:rPr>
          <w:rFonts w:ascii="Times New Roman TUR" w:hAnsi="Times New Roman TUR" w:cs="Times New Roman TUR"/>
          <w:bCs/>
        </w:rPr>
        <w:t xml:space="preserve"> 62</w:t>
      </w:r>
      <w:r w:rsidR="00E41B8B">
        <w:rPr>
          <w:rFonts w:ascii="Times New Roman TUR" w:hAnsi="Times New Roman TUR" w:cs="Times New Roman TUR"/>
          <w:bCs/>
        </w:rPr>
        <w:t xml:space="preserve"> respondent</w:t>
      </w:r>
      <w:r w:rsidR="00816A04">
        <w:rPr>
          <w:rFonts w:ascii="Times New Roman TUR" w:hAnsi="Times New Roman TUR" w:cs="Times New Roman TUR"/>
          <w:bCs/>
        </w:rPr>
        <w:t>s x</w:t>
      </w:r>
      <w:r w:rsidR="007D6C36">
        <w:rPr>
          <w:rFonts w:ascii="Times New Roman TUR" w:hAnsi="Times New Roman TUR" w:cs="Times New Roman TUR"/>
          <w:bCs/>
        </w:rPr>
        <w:t xml:space="preserve"> 40 hours per respondent = 2,480</w:t>
      </w:r>
      <w:r w:rsidR="00E41B8B">
        <w:rPr>
          <w:rFonts w:ascii="Times New Roman TUR" w:hAnsi="Times New Roman TUR" w:cs="Times New Roman TUR"/>
          <w:bCs/>
        </w:rPr>
        <w:t xml:space="preserve"> burden hours</w:t>
      </w:r>
      <w:r w:rsidR="0004022A">
        <w:rPr>
          <w:rFonts w:ascii="Times New Roman TUR" w:hAnsi="Times New Roman TUR" w:cs="Times New Roman TUR"/>
          <w:bCs/>
        </w:rPr>
        <w:t xml:space="preserve"> (Recordkeeping)</w:t>
      </w:r>
    </w:p>
    <w:p w:rsidR="00FE58F8" w:rsidP="007711F6" w:rsidRDefault="00FE58F8" w14:paraId="0F83B147" w14:textId="77777777">
      <w:pPr>
        <w:ind w:left="90"/>
        <w:rPr>
          <w:rFonts w:ascii="Times New Roman TUR" w:hAnsi="Times New Roman TUR" w:cs="Times New Roman TUR"/>
          <w:bCs/>
        </w:rPr>
      </w:pPr>
    </w:p>
    <w:p w:rsidR="0004022A" w:rsidP="007711F6" w:rsidRDefault="001F2F81" w14:paraId="4A34A0F9" w14:textId="0DF93B36">
      <w:pPr>
        <w:ind w:left="90"/>
        <w:rPr>
          <w:rFonts w:ascii="Times New Roman TUR" w:hAnsi="Times New Roman TUR" w:cs="Times New Roman TUR"/>
          <w:bCs/>
        </w:rPr>
      </w:pPr>
      <w:r>
        <w:rPr>
          <w:rFonts w:ascii="Times New Roman TUR" w:hAnsi="Times New Roman TUR" w:cs="Times New Roman TUR"/>
          <w:bCs/>
        </w:rPr>
        <w:tab/>
      </w:r>
      <w:r w:rsidR="007D6C36">
        <w:rPr>
          <w:rFonts w:ascii="Times New Roman TUR" w:hAnsi="Times New Roman TUR" w:cs="Times New Roman TUR"/>
          <w:bCs/>
        </w:rPr>
        <w:t>(b) Summary of test results</w:t>
      </w:r>
      <w:r w:rsidR="005C73AD">
        <w:rPr>
          <w:rFonts w:ascii="Times New Roman TUR" w:hAnsi="Times New Roman TUR" w:cs="Times New Roman TUR"/>
          <w:bCs/>
        </w:rPr>
        <w:t>:</w:t>
      </w:r>
      <w:r w:rsidR="007D6C36">
        <w:rPr>
          <w:rFonts w:ascii="Times New Roman TUR" w:hAnsi="Times New Roman TUR" w:cs="Times New Roman TUR"/>
          <w:bCs/>
        </w:rPr>
        <w:t xml:space="preserve"> 62</w:t>
      </w:r>
      <w:r w:rsidR="0004022A">
        <w:rPr>
          <w:rFonts w:ascii="Times New Roman TUR" w:hAnsi="Times New Roman TUR" w:cs="Times New Roman TUR"/>
          <w:bCs/>
        </w:rPr>
        <w:t xml:space="preserve"> respondent</w:t>
      </w:r>
      <w:r w:rsidR="00816A04">
        <w:rPr>
          <w:rFonts w:ascii="Times New Roman TUR" w:hAnsi="Times New Roman TUR" w:cs="Times New Roman TUR"/>
          <w:bCs/>
        </w:rPr>
        <w:t>s x 40 hou</w:t>
      </w:r>
      <w:r w:rsidR="007D6C36">
        <w:rPr>
          <w:rFonts w:ascii="Times New Roman TUR" w:hAnsi="Times New Roman TUR" w:cs="Times New Roman TUR"/>
          <w:bCs/>
        </w:rPr>
        <w:t>rs per respondent = 2,480</w:t>
      </w:r>
      <w:r w:rsidR="0004022A">
        <w:rPr>
          <w:rFonts w:ascii="Times New Roman TUR" w:hAnsi="Times New Roman TUR" w:cs="Times New Roman TUR"/>
          <w:bCs/>
        </w:rPr>
        <w:t xml:space="preserve"> burden hours (Recordkeeping)</w:t>
      </w:r>
    </w:p>
    <w:p w:rsidR="00FE58F8" w:rsidP="007711F6" w:rsidRDefault="00FE58F8" w14:paraId="6010426D" w14:textId="77777777">
      <w:pPr>
        <w:ind w:left="90"/>
        <w:rPr>
          <w:rFonts w:ascii="Times New Roman TUR" w:hAnsi="Times New Roman TUR" w:cs="Times New Roman TUR"/>
          <w:bCs/>
        </w:rPr>
      </w:pPr>
    </w:p>
    <w:p w:rsidR="0004022A" w:rsidP="007711F6" w:rsidRDefault="001F2F81" w14:paraId="6AD144DC" w14:textId="7978AD6A">
      <w:pPr>
        <w:ind w:left="90"/>
        <w:rPr>
          <w:rFonts w:ascii="Times New Roman TUR" w:hAnsi="Times New Roman TUR" w:cs="Times New Roman TUR"/>
          <w:bCs/>
        </w:rPr>
      </w:pPr>
      <w:r>
        <w:rPr>
          <w:rFonts w:ascii="Times New Roman TUR" w:hAnsi="Times New Roman TUR" w:cs="Times New Roman TUR"/>
          <w:bCs/>
        </w:rPr>
        <w:tab/>
      </w:r>
      <w:r w:rsidR="0004022A">
        <w:rPr>
          <w:rFonts w:ascii="Times New Roman TUR" w:hAnsi="Times New Roman TUR" w:cs="Times New Roman TUR"/>
          <w:bCs/>
        </w:rPr>
        <w:t xml:space="preserve">(c) Policies and procedures (establishing and ensuring compliance with); </w:t>
      </w:r>
      <w:r w:rsidR="005C73AD">
        <w:rPr>
          <w:rFonts w:ascii="Times New Roman TUR" w:hAnsi="Times New Roman TUR" w:cs="Times New Roman TUR"/>
          <w:bCs/>
        </w:rPr>
        <w:t>a</w:t>
      </w:r>
      <w:r w:rsidR="0004022A">
        <w:rPr>
          <w:rFonts w:ascii="Times New Roman TUR" w:hAnsi="Times New Roman TUR" w:cs="Times New Roman TUR"/>
          <w:bCs/>
        </w:rPr>
        <w:t>ssigning staff</w:t>
      </w:r>
      <w:r w:rsidR="00963435">
        <w:rPr>
          <w:rFonts w:ascii="Times New Roman TUR" w:hAnsi="Times New Roman TUR" w:cs="Times New Roman TUR"/>
          <w:bCs/>
        </w:rPr>
        <w:t xml:space="preserve"> (including training)</w:t>
      </w:r>
      <w:r w:rsidR="0004022A">
        <w:rPr>
          <w:rFonts w:ascii="Times New Roman TUR" w:hAnsi="Times New Roman TUR" w:cs="Times New Roman TUR"/>
          <w:bCs/>
        </w:rPr>
        <w:t xml:space="preserve">; </w:t>
      </w:r>
      <w:r w:rsidR="005C73AD">
        <w:rPr>
          <w:rFonts w:ascii="Times New Roman TUR" w:hAnsi="Times New Roman TUR" w:cs="Times New Roman TUR"/>
          <w:bCs/>
        </w:rPr>
        <w:t>o</w:t>
      </w:r>
      <w:r w:rsidR="0004022A">
        <w:rPr>
          <w:rFonts w:ascii="Times New Roman TUR" w:hAnsi="Times New Roman TUR" w:cs="Times New Roman TUR"/>
          <w:bCs/>
        </w:rPr>
        <w:t xml:space="preserve">verseeing test development and implementation; </w:t>
      </w:r>
      <w:r w:rsidR="005C73AD">
        <w:rPr>
          <w:rFonts w:ascii="Times New Roman TUR" w:hAnsi="Times New Roman TUR" w:cs="Times New Roman TUR"/>
          <w:bCs/>
        </w:rPr>
        <w:t>e</w:t>
      </w:r>
      <w:r w:rsidR="0004022A">
        <w:rPr>
          <w:rFonts w:ascii="Times New Roman TUR" w:hAnsi="Times New Roman TUR" w:cs="Times New Roman TUR"/>
          <w:bCs/>
        </w:rPr>
        <w:t xml:space="preserve">valuating </w:t>
      </w:r>
      <w:r w:rsidR="005C73AD">
        <w:rPr>
          <w:rFonts w:ascii="Times New Roman TUR" w:hAnsi="Times New Roman TUR" w:cs="Times New Roman TUR"/>
          <w:bCs/>
        </w:rPr>
        <w:t>r</w:t>
      </w:r>
      <w:r w:rsidR="0004022A">
        <w:rPr>
          <w:rFonts w:ascii="Times New Roman TUR" w:hAnsi="Times New Roman TUR" w:cs="Times New Roman TUR"/>
          <w:bCs/>
        </w:rPr>
        <w:t xml:space="preserve">esults; </w:t>
      </w:r>
      <w:r w:rsidR="005C73AD">
        <w:rPr>
          <w:rFonts w:ascii="Times New Roman TUR" w:hAnsi="Times New Roman TUR" w:cs="Times New Roman TUR"/>
          <w:bCs/>
        </w:rPr>
        <w:t>t</w:t>
      </w:r>
      <w:r w:rsidR="0004022A">
        <w:rPr>
          <w:rFonts w:ascii="Times New Roman TUR" w:hAnsi="Times New Roman TUR" w:cs="Times New Roman TUR"/>
          <w:bCs/>
        </w:rPr>
        <w:t>aking remedial action</w:t>
      </w:r>
      <w:r w:rsidR="005628BB">
        <w:rPr>
          <w:rFonts w:ascii="Times New Roman TUR" w:hAnsi="Times New Roman TUR" w:cs="Times New Roman TUR"/>
          <w:bCs/>
        </w:rPr>
        <w:t xml:space="preserve">; </w:t>
      </w:r>
      <w:r w:rsidR="005C73AD">
        <w:rPr>
          <w:rFonts w:ascii="Times New Roman TUR" w:hAnsi="Times New Roman TUR" w:cs="Times New Roman TUR"/>
          <w:bCs/>
        </w:rPr>
        <w:t>r</w:t>
      </w:r>
      <w:r w:rsidR="005628BB">
        <w:rPr>
          <w:rFonts w:ascii="Times New Roman TUR" w:hAnsi="Times New Roman TUR" w:cs="Times New Roman TUR"/>
          <w:bCs/>
        </w:rPr>
        <w:t>eporting to Board</w:t>
      </w:r>
      <w:r w:rsidR="00963435">
        <w:rPr>
          <w:rFonts w:ascii="Times New Roman TUR" w:hAnsi="Times New Roman TUR" w:cs="Times New Roman TUR"/>
          <w:bCs/>
        </w:rPr>
        <w:t xml:space="preserve">; </w:t>
      </w:r>
      <w:r w:rsidR="005C73AD">
        <w:rPr>
          <w:rFonts w:ascii="Times New Roman TUR" w:hAnsi="Times New Roman TUR" w:cs="Times New Roman TUR"/>
          <w:bCs/>
        </w:rPr>
        <w:t>w</w:t>
      </w:r>
      <w:r w:rsidR="00963435">
        <w:rPr>
          <w:rFonts w:ascii="Times New Roman TUR" w:hAnsi="Times New Roman TUR" w:cs="Times New Roman TUR"/>
          <w:bCs/>
        </w:rPr>
        <w:t xml:space="preserve">ritten policies and procedures, approved annually, that direct and govern implementation; </w:t>
      </w:r>
      <w:r w:rsidR="005C73AD">
        <w:rPr>
          <w:rFonts w:ascii="Times New Roman TUR" w:hAnsi="Times New Roman TUR" w:cs="Times New Roman TUR"/>
          <w:bCs/>
        </w:rPr>
        <w:t>a</w:t>
      </w:r>
      <w:r w:rsidR="00963435">
        <w:rPr>
          <w:rFonts w:ascii="Times New Roman TUR" w:hAnsi="Times New Roman TUR" w:cs="Times New Roman TUR"/>
          <w:bCs/>
        </w:rPr>
        <w:t>ppropriate documentation of tests reviewed by Board and Senior Management</w:t>
      </w:r>
      <w:r w:rsidR="005C73AD">
        <w:rPr>
          <w:rFonts w:ascii="Times New Roman TUR" w:hAnsi="Times New Roman TUR" w:cs="Times New Roman TUR"/>
          <w:bCs/>
        </w:rPr>
        <w:t>:</w:t>
      </w:r>
      <w:r w:rsidR="007D6C36">
        <w:rPr>
          <w:rFonts w:ascii="Times New Roman TUR" w:hAnsi="Times New Roman TUR" w:cs="Times New Roman TUR"/>
          <w:bCs/>
        </w:rPr>
        <w:t xml:space="preserve"> 62</w:t>
      </w:r>
      <w:r w:rsidR="0004022A">
        <w:rPr>
          <w:rFonts w:ascii="Times New Roman TUR" w:hAnsi="Times New Roman TUR" w:cs="Times New Roman TUR"/>
          <w:bCs/>
        </w:rPr>
        <w:t xml:space="preserve"> respondents</w:t>
      </w:r>
      <w:r w:rsidR="00963435">
        <w:rPr>
          <w:rFonts w:ascii="Times New Roman TUR" w:hAnsi="Times New Roman TUR" w:cs="Times New Roman TUR"/>
          <w:bCs/>
        </w:rPr>
        <w:t xml:space="preserve"> x 180</w:t>
      </w:r>
      <w:r w:rsidR="007D6C36">
        <w:rPr>
          <w:rFonts w:ascii="Times New Roman TUR" w:hAnsi="Times New Roman TUR" w:cs="Times New Roman TUR"/>
          <w:bCs/>
        </w:rPr>
        <w:t xml:space="preserve"> hours per respondent = 11,160</w:t>
      </w:r>
      <w:r w:rsidR="0004022A">
        <w:rPr>
          <w:rFonts w:ascii="Times New Roman TUR" w:hAnsi="Times New Roman TUR" w:cs="Times New Roman TUR"/>
          <w:bCs/>
        </w:rPr>
        <w:t xml:space="preserve"> burd</w:t>
      </w:r>
      <w:r w:rsidR="00C25B75">
        <w:rPr>
          <w:rFonts w:ascii="Times New Roman TUR" w:hAnsi="Times New Roman TUR" w:cs="Times New Roman TUR"/>
          <w:bCs/>
        </w:rPr>
        <w:t>en hours (Recordkeeping</w:t>
      </w:r>
      <w:r w:rsidR="0004022A">
        <w:rPr>
          <w:rFonts w:ascii="Times New Roman TUR" w:hAnsi="Times New Roman TUR" w:cs="Times New Roman TUR"/>
          <w:bCs/>
        </w:rPr>
        <w:t>)</w:t>
      </w:r>
    </w:p>
    <w:p w:rsidR="00FE58F8" w:rsidP="007711F6" w:rsidRDefault="00FE58F8" w14:paraId="794B9006" w14:textId="77777777">
      <w:pPr>
        <w:ind w:left="90"/>
        <w:rPr>
          <w:rFonts w:ascii="Times New Roman TUR" w:hAnsi="Times New Roman TUR" w:cs="Times New Roman TUR"/>
          <w:bCs/>
        </w:rPr>
      </w:pPr>
    </w:p>
    <w:p w:rsidR="00FE58F8" w:rsidP="007711F6" w:rsidRDefault="00FE58F8" w14:paraId="62E129CB" w14:textId="77777777">
      <w:pPr>
        <w:ind w:left="90"/>
        <w:rPr>
          <w:rFonts w:ascii="Times New Roman TUR" w:hAnsi="Times New Roman TUR" w:cs="Times New Roman TUR"/>
          <w:bCs/>
        </w:rPr>
      </w:pPr>
      <w:r>
        <w:rPr>
          <w:rFonts w:ascii="Times New Roman TUR" w:hAnsi="Times New Roman TUR" w:cs="Times New Roman TUR"/>
          <w:bCs/>
        </w:rPr>
        <w:t xml:space="preserve">Total burden:  </w:t>
      </w:r>
      <w:r w:rsidR="007D6C36">
        <w:rPr>
          <w:rFonts w:ascii="Times New Roman TUR" w:hAnsi="Times New Roman TUR" w:cs="Times New Roman TUR"/>
          <w:bCs/>
        </w:rPr>
        <w:t>62 respondents; 16,12</w:t>
      </w:r>
      <w:r w:rsidR="00816A04">
        <w:rPr>
          <w:rFonts w:ascii="Times New Roman TUR" w:hAnsi="Times New Roman TUR" w:cs="Times New Roman TUR"/>
          <w:bCs/>
        </w:rPr>
        <w:t xml:space="preserve">0 </w:t>
      </w:r>
      <w:r>
        <w:rPr>
          <w:rFonts w:ascii="Times New Roman TUR" w:hAnsi="Times New Roman TUR" w:cs="Times New Roman TUR"/>
          <w:bCs/>
        </w:rPr>
        <w:t>burden hours</w:t>
      </w:r>
    </w:p>
    <w:p w:rsidR="00E72414" w:rsidP="007711F6" w:rsidRDefault="00E72414" w14:paraId="730D3513" w14:textId="77777777">
      <w:pPr>
        <w:ind w:left="90"/>
        <w:rPr>
          <w:rFonts w:ascii="Times New Roman TUR" w:hAnsi="Times New Roman TUR" w:cs="Times New Roman TUR"/>
          <w:bCs/>
        </w:rPr>
      </w:pPr>
    </w:p>
    <w:p w:rsidR="00E72414" w:rsidP="007711F6" w:rsidRDefault="00E72414" w14:paraId="5CB9FC0F" w14:textId="77777777">
      <w:pPr>
        <w:ind w:left="90"/>
        <w:rPr>
          <w:rFonts w:ascii="Times New Roman TUR" w:hAnsi="Times New Roman TUR" w:cs="Times New Roman TUR"/>
          <w:bCs/>
        </w:rPr>
      </w:pPr>
      <w:r>
        <w:rPr>
          <w:rFonts w:ascii="Times New Roman TUR" w:hAnsi="Times New Roman TUR" w:cs="Times New Roman TUR"/>
          <w:bCs/>
        </w:rPr>
        <w:t>Cost of Hour Burden:</w:t>
      </w:r>
    </w:p>
    <w:p w:rsidR="00E72414" w:rsidP="007711F6" w:rsidRDefault="00E72414" w14:paraId="6607A37D" w14:textId="77777777">
      <w:pPr>
        <w:ind w:left="90"/>
        <w:rPr>
          <w:rFonts w:ascii="Times New Roman TUR" w:hAnsi="Times New Roman TUR" w:cs="Times New Roman TUR"/>
          <w:bCs/>
        </w:rPr>
      </w:pPr>
    </w:p>
    <w:p w:rsidRPr="00E41B8B" w:rsidR="00E72414" w:rsidP="007711F6" w:rsidRDefault="002873DE" w14:paraId="4E17DCA8" w14:textId="231B2186">
      <w:pPr>
        <w:ind w:left="90"/>
        <w:rPr>
          <w:rFonts w:ascii="Times New Roman TUR" w:hAnsi="Times New Roman TUR" w:cs="Times New Roman TUR"/>
          <w:bCs/>
        </w:rPr>
      </w:pPr>
      <w:r>
        <w:rPr>
          <w:rFonts w:ascii="Times New Roman TUR" w:hAnsi="Times New Roman TUR" w:cs="Times New Roman TUR"/>
          <w:bCs/>
        </w:rPr>
        <w:t xml:space="preserve">16,120 x </w:t>
      </w:r>
      <w:r w:rsidR="00DD6BD6">
        <w:rPr>
          <w:rFonts w:ascii="Times New Roman TUR" w:hAnsi="Times New Roman TUR" w:cs="Times New Roman TUR"/>
          <w:bCs/>
        </w:rPr>
        <w:t>$11</w:t>
      </w:r>
      <w:r w:rsidR="00590295">
        <w:rPr>
          <w:rFonts w:ascii="Times New Roman TUR" w:hAnsi="Times New Roman TUR" w:cs="Times New Roman TUR"/>
          <w:bCs/>
        </w:rPr>
        <w:t>4</w:t>
      </w:r>
      <w:r w:rsidR="006A18B5">
        <w:rPr>
          <w:rFonts w:ascii="Times New Roman TUR" w:hAnsi="Times New Roman TUR" w:cs="Times New Roman TUR"/>
          <w:bCs/>
        </w:rPr>
        <w:t>.1</w:t>
      </w:r>
      <w:r w:rsidR="00590295">
        <w:rPr>
          <w:rFonts w:ascii="Times New Roman TUR" w:hAnsi="Times New Roman TUR" w:cs="Times New Roman TUR"/>
          <w:bCs/>
        </w:rPr>
        <w:t>7</w:t>
      </w:r>
      <w:r w:rsidR="009673D9">
        <w:rPr>
          <w:rFonts w:ascii="Times New Roman TUR" w:hAnsi="Times New Roman TUR" w:cs="Times New Roman TUR"/>
          <w:bCs/>
        </w:rPr>
        <w:t xml:space="preserve"> </w:t>
      </w:r>
      <w:r w:rsidR="008977FC">
        <w:rPr>
          <w:rFonts w:ascii="Times New Roman TUR" w:hAnsi="Times New Roman TUR" w:cs="Times New Roman TUR"/>
          <w:bCs/>
        </w:rPr>
        <w:t>= $1,</w:t>
      </w:r>
      <w:r w:rsidR="00352375">
        <w:rPr>
          <w:rFonts w:ascii="Times New Roman TUR" w:hAnsi="Times New Roman TUR" w:cs="Times New Roman TUR"/>
          <w:bCs/>
        </w:rPr>
        <w:t>840,420.40</w:t>
      </w:r>
    </w:p>
    <w:p w:rsidR="00933A58" w:rsidP="007711F6" w:rsidRDefault="00933A58" w14:paraId="0479089A" w14:textId="77777777">
      <w:pPr>
        <w:ind w:left="90"/>
        <w:rPr>
          <w:rFonts w:ascii="Times New Roman TUR" w:hAnsi="Times New Roman TUR" w:cs="Times New Roman TUR"/>
          <w:b/>
          <w:bCs/>
        </w:rPr>
      </w:pPr>
    </w:p>
    <w:p w:rsidRPr="00A62A21" w:rsidR="00590295" w:rsidP="00590295" w:rsidRDefault="00590295" w14:paraId="1BDF592B" w14:textId="77777777">
      <w:r>
        <w:rPr>
          <w:color w:val="000000"/>
          <w:szCs w:val="24"/>
        </w:rPr>
        <w:t>To estimate wages the OCC reviewed May 2020 data for wages (by industry and occupation) from 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2020 for NAICS 522: credit intermediation and related activities).</w:t>
      </w:r>
    </w:p>
    <w:p w:rsidR="005B76AD" w:rsidP="007711F6" w:rsidRDefault="005B76AD" w14:paraId="1F3ED542" w14:textId="77777777">
      <w:pPr>
        <w:tabs>
          <w:tab w:val="left" w:pos="-1440"/>
        </w:tabs>
        <w:ind w:left="90"/>
        <w:rPr>
          <w:b/>
          <w:bCs/>
          <w:i/>
          <w:iCs/>
          <w:szCs w:val="24"/>
        </w:rPr>
      </w:pPr>
    </w:p>
    <w:p w:rsidR="00215267" w:rsidP="007711F6" w:rsidRDefault="00215267" w14:paraId="48880CC2" w14:textId="77777777">
      <w:pPr>
        <w:tabs>
          <w:tab w:val="left" w:pos="-1440"/>
        </w:tabs>
        <w:ind w:left="90"/>
        <w:rPr>
          <w:b/>
          <w:bCs/>
          <w:i/>
          <w:szCs w:val="24"/>
        </w:rPr>
      </w:pPr>
      <w:r>
        <w:rPr>
          <w:b/>
          <w:bCs/>
          <w:i/>
          <w:iCs/>
          <w:szCs w:val="24"/>
        </w:rPr>
        <w:t>13.</w:t>
      </w:r>
      <w:r>
        <w:rPr>
          <w:b/>
          <w:bCs/>
          <w:i/>
          <w:iCs/>
          <w:szCs w:val="24"/>
        </w:rPr>
        <w:tab/>
      </w:r>
      <w:r>
        <w:rPr>
          <w:b/>
          <w:bCs/>
          <w:i/>
          <w:szCs w:val="24"/>
        </w:rPr>
        <w:t xml:space="preserve">Estimate of total annual </w:t>
      </w:r>
      <w:r w:rsidR="00775D3B">
        <w:rPr>
          <w:b/>
          <w:bCs/>
          <w:i/>
          <w:szCs w:val="24"/>
        </w:rPr>
        <w:t>costs to respondents (excluding cost of hour burden in Item #12):</w:t>
      </w:r>
    </w:p>
    <w:p w:rsidR="00933A58" w:rsidP="007711F6" w:rsidRDefault="00933A58" w14:paraId="265E48C4" w14:textId="77777777">
      <w:pPr>
        <w:ind w:left="90"/>
        <w:rPr>
          <w:rFonts w:ascii="Times New Roman TUR" w:hAnsi="Times New Roman TUR" w:cs="Times New Roman TUR"/>
          <w:b/>
          <w:bCs/>
        </w:rPr>
      </w:pPr>
    </w:p>
    <w:p w:rsidR="00933A58" w:rsidP="007711F6" w:rsidRDefault="00A12939" w14:paraId="0A1A5C53" w14:textId="77777777">
      <w:pPr>
        <w:ind w:left="90"/>
        <w:rPr>
          <w:rFonts w:ascii="Times New Roman TUR" w:hAnsi="Times New Roman TUR" w:cs="Times New Roman TUR"/>
        </w:rPr>
      </w:pPr>
      <w:r>
        <w:rPr>
          <w:rFonts w:ascii="Times New Roman TUR" w:hAnsi="Times New Roman TUR" w:cs="Times New Roman TUR"/>
        </w:rPr>
        <w:tab/>
      </w:r>
      <w:r w:rsidR="00933A58">
        <w:rPr>
          <w:rFonts w:ascii="Times New Roman TUR" w:hAnsi="Times New Roman TUR" w:cs="Times New Roman TUR"/>
        </w:rPr>
        <w:t>None.</w:t>
      </w:r>
    </w:p>
    <w:p w:rsidR="00D43A91" w:rsidP="007711F6" w:rsidRDefault="00D43A91" w14:paraId="30549CD1" w14:textId="77777777">
      <w:pPr>
        <w:ind w:left="90"/>
        <w:rPr>
          <w:b/>
          <w:bCs/>
          <w:i/>
          <w:iCs/>
        </w:rPr>
      </w:pPr>
    </w:p>
    <w:p w:rsidR="00215267" w:rsidP="007711F6" w:rsidRDefault="00215267" w14:paraId="3910CE66" w14:textId="77777777">
      <w:pPr>
        <w:ind w:left="90"/>
        <w:rPr>
          <w:b/>
          <w:bCs/>
          <w:i/>
          <w:iCs/>
        </w:rPr>
      </w:pPr>
      <w:r>
        <w:rPr>
          <w:b/>
          <w:bCs/>
          <w:i/>
          <w:iCs/>
        </w:rPr>
        <w:t>14.</w:t>
      </w:r>
      <w:r>
        <w:rPr>
          <w:b/>
          <w:bCs/>
          <w:i/>
          <w:iCs/>
        </w:rPr>
        <w:tab/>
      </w:r>
      <w:r w:rsidR="00775D3B">
        <w:rPr>
          <w:b/>
          <w:bCs/>
          <w:i/>
          <w:iCs/>
        </w:rPr>
        <w:t>E</w:t>
      </w:r>
      <w:r>
        <w:rPr>
          <w:b/>
          <w:bCs/>
          <w:i/>
          <w:iCs/>
        </w:rPr>
        <w:t xml:space="preserve">stimates of annualized cost to the </w:t>
      </w:r>
      <w:r w:rsidR="00097FA7">
        <w:rPr>
          <w:b/>
          <w:bCs/>
          <w:i/>
          <w:iCs/>
        </w:rPr>
        <w:t>f</w:t>
      </w:r>
      <w:r>
        <w:rPr>
          <w:b/>
          <w:bCs/>
          <w:i/>
          <w:iCs/>
        </w:rPr>
        <w:t>ederal government</w:t>
      </w:r>
      <w:r w:rsidR="00775D3B">
        <w:rPr>
          <w:b/>
          <w:bCs/>
          <w:i/>
          <w:iCs/>
        </w:rPr>
        <w:t>:</w:t>
      </w:r>
    </w:p>
    <w:p w:rsidR="00933A58" w:rsidP="007711F6" w:rsidRDefault="00933A58" w14:paraId="54CAFC0A" w14:textId="77777777">
      <w:pPr>
        <w:ind w:left="90"/>
        <w:rPr>
          <w:rFonts w:ascii="Times New Roman TUR" w:hAnsi="Times New Roman TUR" w:cs="Times New Roman TUR"/>
          <w:b/>
          <w:bCs/>
        </w:rPr>
      </w:pPr>
    </w:p>
    <w:p w:rsidR="00933A58" w:rsidP="007711F6" w:rsidRDefault="002873DE" w14:paraId="0A33F56F" w14:textId="77777777">
      <w:pPr>
        <w:ind w:left="90"/>
        <w:rPr>
          <w:rFonts w:ascii="Times New Roman TUR" w:hAnsi="Times New Roman TUR" w:cs="Times New Roman TUR"/>
        </w:rPr>
      </w:pPr>
      <w:r>
        <w:rPr>
          <w:rFonts w:ascii="Times New Roman TUR" w:hAnsi="Times New Roman TUR" w:cs="Times New Roman TUR"/>
        </w:rPr>
        <w:tab/>
      </w:r>
      <w:r w:rsidR="00933A58">
        <w:rPr>
          <w:rFonts w:ascii="Times New Roman TUR" w:hAnsi="Times New Roman TUR" w:cs="Times New Roman TUR"/>
        </w:rPr>
        <w:t>None.</w:t>
      </w:r>
    </w:p>
    <w:p w:rsidR="00933A58" w:rsidP="007711F6" w:rsidRDefault="00933A58" w14:paraId="065B6916" w14:textId="77777777">
      <w:pPr>
        <w:ind w:left="90"/>
        <w:rPr>
          <w:rFonts w:ascii="Times New Roman TUR" w:hAnsi="Times New Roman TUR" w:cs="Times New Roman TUR"/>
        </w:rPr>
      </w:pPr>
    </w:p>
    <w:p w:rsidR="00215267" w:rsidP="007711F6" w:rsidRDefault="00215267" w14:paraId="7BDB2896" w14:textId="77777777">
      <w:pPr>
        <w:ind w:left="90"/>
        <w:rPr>
          <w:b/>
          <w:bCs/>
          <w:i/>
          <w:iCs/>
        </w:rPr>
      </w:pPr>
      <w:r>
        <w:rPr>
          <w:b/>
          <w:bCs/>
          <w:i/>
          <w:iCs/>
        </w:rPr>
        <w:t>15.</w:t>
      </w:r>
      <w:r>
        <w:rPr>
          <w:b/>
          <w:bCs/>
          <w:i/>
          <w:iCs/>
        </w:rPr>
        <w:tab/>
      </w:r>
      <w:r w:rsidR="00775D3B">
        <w:rPr>
          <w:b/>
          <w:bCs/>
          <w:i/>
          <w:iCs/>
        </w:rPr>
        <w:t>Change in burden:</w:t>
      </w:r>
    </w:p>
    <w:p w:rsidR="00FE58F8" w:rsidP="007711F6" w:rsidRDefault="00FE58F8" w14:paraId="21B0FA28" w14:textId="77777777">
      <w:pPr>
        <w:ind w:left="90"/>
        <w:rPr>
          <w:rFonts w:ascii="Times New Roman TUR" w:hAnsi="Times New Roman TUR" w:cs="Times New Roman TUR"/>
          <w:b/>
          <w:bCs/>
        </w:rPr>
      </w:pPr>
    </w:p>
    <w:p w:rsidRPr="005460DE" w:rsidR="000F65DD" w:rsidP="007711F6" w:rsidRDefault="000F65DD" w14:paraId="1D798728" w14:textId="77777777">
      <w:pPr>
        <w:ind w:left="90"/>
        <w:rPr>
          <w:rFonts w:ascii="Times New Roman TUR" w:hAnsi="Times New Roman TUR" w:cs="Times New Roman TUR"/>
          <w:bCs/>
        </w:rPr>
      </w:pPr>
      <w:r w:rsidRPr="005460DE">
        <w:rPr>
          <w:rFonts w:ascii="Times New Roman TUR" w:hAnsi="Times New Roman TUR" w:cs="Times New Roman TUR"/>
          <w:bCs/>
        </w:rPr>
        <w:lastRenderedPageBreak/>
        <w:tab/>
      </w:r>
      <w:r w:rsidRPr="005460DE" w:rsidR="007E38B3">
        <w:rPr>
          <w:rFonts w:ascii="Times New Roman TUR" w:hAnsi="Times New Roman TUR" w:cs="Times New Roman TUR"/>
          <w:bCs/>
        </w:rPr>
        <w:t>None.</w:t>
      </w:r>
    </w:p>
    <w:p w:rsidR="00FE58F8" w:rsidP="007711F6" w:rsidRDefault="00FE58F8" w14:paraId="5A42CCF7" w14:textId="77777777">
      <w:pPr>
        <w:ind w:left="90"/>
        <w:rPr>
          <w:rFonts w:ascii="Times New Roman TUR" w:hAnsi="Times New Roman TUR" w:cs="Times New Roman TUR"/>
          <w:b/>
          <w:bCs/>
        </w:rPr>
      </w:pPr>
    </w:p>
    <w:p w:rsidR="00215267" w:rsidP="007711F6" w:rsidRDefault="00215267" w14:paraId="4FBE0BDA" w14:textId="77777777">
      <w:pPr>
        <w:ind w:left="90"/>
      </w:pPr>
      <w:r>
        <w:rPr>
          <w:b/>
          <w:i/>
        </w:rPr>
        <w:t>16.</w:t>
      </w:r>
      <w:r>
        <w:tab/>
      </w:r>
      <w:r w:rsidR="009E3BBA">
        <w:rPr>
          <w:b/>
          <w:i/>
        </w:rPr>
        <w:t>Information regarding collections whose results are to be published for statistical use:</w:t>
      </w:r>
    </w:p>
    <w:p w:rsidR="00933A58" w:rsidP="007711F6" w:rsidRDefault="00933A58" w14:paraId="48D98828" w14:textId="77777777">
      <w:pPr>
        <w:ind w:left="90"/>
        <w:rPr>
          <w:rFonts w:ascii="Times New Roman TUR" w:hAnsi="Times New Roman TUR" w:cs="Times New Roman TUR"/>
          <w:b/>
          <w:bCs/>
        </w:rPr>
      </w:pPr>
    </w:p>
    <w:p w:rsidR="00933A58" w:rsidP="007711F6" w:rsidRDefault="00A12939" w14:paraId="5C4937D4" w14:textId="77777777">
      <w:pPr>
        <w:ind w:left="90"/>
        <w:rPr>
          <w:rFonts w:ascii="Times New Roman TUR" w:hAnsi="Times New Roman TUR" w:cs="Times New Roman TUR"/>
        </w:rPr>
      </w:pPr>
      <w:r>
        <w:rPr>
          <w:rFonts w:ascii="Times New Roman TUR" w:hAnsi="Times New Roman TUR" w:cs="Times New Roman TUR"/>
        </w:rPr>
        <w:tab/>
      </w:r>
      <w:r w:rsidR="002B23EA">
        <w:rPr>
          <w:rFonts w:ascii="Times New Roman TUR" w:hAnsi="Times New Roman TUR" w:cs="Times New Roman TUR"/>
        </w:rPr>
        <w:t>Not applicable</w:t>
      </w:r>
      <w:r w:rsidR="00933A58">
        <w:rPr>
          <w:rFonts w:ascii="Times New Roman TUR" w:hAnsi="Times New Roman TUR" w:cs="Times New Roman TUR"/>
        </w:rPr>
        <w:t>.</w:t>
      </w:r>
    </w:p>
    <w:p w:rsidR="00933A58" w:rsidP="007711F6" w:rsidRDefault="00933A58" w14:paraId="7FEF9CEC" w14:textId="77777777">
      <w:pPr>
        <w:ind w:left="90"/>
        <w:rPr>
          <w:rFonts w:ascii="Times New Roman TUR" w:hAnsi="Times New Roman TUR" w:cs="Times New Roman TUR"/>
        </w:rPr>
      </w:pPr>
    </w:p>
    <w:p w:rsidR="00215267" w:rsidP="007711F6" w:rsidRDefault="00215267" w14:paraId="266412EE" w14:textId="77777777">
      <w:pPr>
        <w:pStyle w:val="BodyText"/>
        <w:widowControl w:val="0"/>
        <w:tabs>
          <w:tab w:val="left" w:pos="462"/>
        </w:tabs>
        <w:ind w:left="90" w:right="861"/>
        <w:rPr>
          <w:b/>
          <w:i/>
          <w:spacing w:val="-1"/>
          <w:szCs w:val="24"/>
        </w:rPr>
      </w:pPr>
      <w:r>
        <w:rPr>
          <w:b/>
          <w:i/>
          <w:spacing w:val="-2"/>
          <w:szCs w:val="24"/>
        </w:rPr>
        <w:t xml:space="preserve">17.     </w:t>
      </w:r>
      <w:r w:rsidR="009E3BBA">
        <w:rPr>
          <w:b/>
          <w:i/>
          <w:spacing w:val="-2"/>
          <w:szCs w:val="24"/>
        </w:rPr>
        <w:t>Reasons for not displaying OMB approval expiration date:</w:t>
      </w:r>
    </w:p>
    <w:p w:rsidR="00933A58" w:rsidP="007711F6" w:rsidRDefault="00933A58" w14:paraId="6836FE6A" w14:textId="77777777">
      <w:pPr>
        <w:ind w:left="90"/>
        <w:rPr>
          <w:rFonts w:ascii="Times New Roman TUR" w:hAnsi="Times New Roman TUR" w:cs="Times New Roman TUR"/>
        </w:rPr>
      </w:pPr>
    </w:p>
    <w:p w:rsidR="00933A58" w:rsidP="007711F6" w:rsidRDefault="00A12939" w14:paraId="20CB0D10" w14:textId="77777777">
      <w:pPr>
        <w:ind w:left="90"/>
        <w:rPr>
          <w:rFonts w:ascii="Times New Roman TUR" w:hAnsi="Times New Roman TUR" w:cs="Times New Roman TUR"/>
        </w:rPr>
      </w:pPr>
      <w:r>
        <w:rPr>
          <w:rFonts w:ascii="Times New Roman TUR" w:hAnsi="Times New Roman TUR" w:cs="Times New Roman TUR"/>
        </w:rPr>
        <w:tab/>
      </w:r>
      <w:r w:rsidR="00933A58">
        <w:rPr>
          <w:rFonts w:ascii="Times New Roman TUR" w:hAnsi="Times New Roman TUR" w:cs="Times New Roman TUR"/>
        </w:rPr>
        <w:t>Not applicable.</w:t>
      </w:r>
    </w:p>
    <w:p w:rsidR="00014B7F" w:rsidP="007711F6" w:rsidRDefault="00014B7F" w14:paraId="28C0EF83" w14:textId="77777777">
      <w:pPr>
        <w:pStyle w:val="BodyText"/>
        <w:widowControl w:val="0"/>
        <w:tabs>
          <w:tab w:val="left" w:pos="0"/>
        </w:tabs>
        <w:ind w:left="90"/>
        <w:rPr>
          <w:b/>
          <w:i/>
          <w:szCs w:val="24"/>
        </w:rPr>
      </w:pPr>
    </w:p>
    <w:p w:rsidR="00215267" w:rsidP="007711F6" w:rsidRDefault="00215267" w14:paraId="0CB1401F" w14:textId="77777777">
      <w:pPr>
        <w:pStyle w:val="BodyText"/>
        <w:widowControl w:val="0"/>
        <w:tabs>
          <w:tab w:val="left" w:pos="0"/>
        </w:tabs>
        <w:ind w:left="90"/>
        <w:rPr>
          <w:b/>
          <w:i/>
          <w:szCs w:val="24"/>
        </w:rPr>
      </w:pPr>
      <w:r>
        <w:rPr>
          <w:b/>
          <w:i/>
          <w:szCs w:val="24"/>
        </w:rPr>
        <w:t xml:space="preserve">18.  </w:t>
      </w:r>
      <w:r w:rsidR="009E3BBA">
        <w:rPr>
          <w:b/>
          <w:i/>
          <w:szCs w:val="24"/>
        </w:rPr>
        <w:t>Exceptions to the certification statement:</w:t>
      </w:r>
    </w:p>
    <w:p w:rsidR="00933A58" w:rsidP="007711F6" w:rsidRDefault="00933A58" w14:paraId="06F59C56" w14:textId="77777777">
      <w:pPr>
        <w:ind w:left="90"/>
        <w:rPr>
          <w:rFonts w:ascii="Times New Roman TUR" w:hAnsi="Times New Roman TUR" w:cs="Times New Roman TUR"/>
          <w:b/>
          <w:bCs/>
        </w:rPr>
      </w:pPr>
    </w:p>
    <w:p w:rsidR="00933A58" w:rsidP="007711F6" w:rsidRDefault="00A12939" w14:paraId="177B5621" w14:textId="77777777">
      <w:pPr>
        <w:ind w:left="90"/>
        <w:rPr>
          <w:rFonts w:ascii="Times New Roman TUR" w:hAnsi="Times New Roman TUR" w:cs="Times New Roman TUR"/>
        </w:rPr>
      </w:pPr>
      <w:r>
        <w:rPr>
          <w:rFonts w:ascii="Times New Roman TUR" w:hAnsi="Times New Roman TUR" w:cs="Times New Roman TUR"/>
        </w:rPr>
        <w:tab/>
      </w:r>
      <w:r w:rsidR="00933A58">
        <w:rPr>
          <w:rFonts w:ascii="Times New Roman TUR" w:hAnsi="Times New Roman TUR" w:cs="Times New Roman TUR"/>
        </w:rPr>
        <w:t>None.</w:t>
      </w:r>
    </w:p>
    <w:p w:rsidRPr="005460DE" w:rsidR="00933A58" w:rsidP="007711F6" w:rsidRDefault="00933A58" w14:paraId="71A3DD04" w14:textId="77777777">
      <w:pPr>
        <w:ind w:left="90"/>
        <w:rPr>
          <w:rFonts w:ascii="Times New Roman TUR" w:hAnsi="Times New Roman TUR" w:cs="Times New Roman TUR"/>
        </w:rPr>
      </w:pPr>
    </w:p>
    <w:p w:rsidRPr="005460DE" w:rsidR="00933A58" w:rsidP="007711F6" w:rsidRDefault="00933A58" w14:paraId="3662E906" w14:textId="77777777">
      <w:pPr>
        <w:ind w:left="90"/>
        <w:rPr>
          <w:rFonts w:ascii="Times New Roman TUR" w:hAnsi="Times New Roman TUR" w:cs="Times New Roman TUR"/>
          <w:b/>
          <w:bCs/>
          <w:u w:val="single"/>
        </w:rPr>
      </w:pPr>
      <w:r w:rsidRPr="005460DE">
        <w:rPr>
          <w:rFonts w:ascii="Times New Roman TUR" w:hAnsi="Times New Roman TUR" w:cs="Times New Roman TUR"/>
          <w:b/>
          <w:bCs/>
        </w:rPr>
        <w:t xml:space="preserve">B.  </w:t>
      </w:r>
      <w:r w:rsidRPr="005460DE">
        <w:rPr>
          <w:rFonts w:ascii="Times New Roman TUR" w:hAnsi="Times New Roman TUR" w:cs="Times New Roman TUR"/>
          <w:b/>
          <w:bCs/>
          <w:u w:val="single"/>
        </w:rPr>
        <w:t xml:space="preserve">Collections of </w:t>
      </w:r>
      <w:r w:rsidRPr="005460DE" w:rsidR="00097FA7">
        <w:rPr>
          <w:rFonts w:ascii="Times New Roman TUR" w:hAnsi="Times New Roman TUR" w:cs="Times New Roman TUR"/>
          <w:b/>
          <w:bCs/>
          <w:u w:val="single"/>
        </w:rPr>
        <w:t>i</w:t>
      </w:r>
      <w:r w:rsidRPr="005460DE">
        <w:rPr>
          <w:rFonts w:ascii="Times New Roman TUR" w:hAnsi="Times New Roman TUR" w:cs="Times New Roman TUR"/>
          <w:b/>
          <w:bCs/>
          <w:u w:val="single"/>
        </w:rPr>
        <w:t xml:space="preserve">nformation </w:t>
      </w:r>
      <w:r w:rsidRPr="005460DE" w:rsidR="00097FA7">
        <w:rPr>
          <w:rFonts w:ascii="Times New Roman TUR" w:hAnsi="Times New Roman TUR" w:cs="Times New Roman TUR"/>
          <w:b/>
          <w:bCs/>
          <w:u w:val="single"/>
        </w:rPr>
        <w:t>e</w:t>
      </w:r>
      <w:r w:rsidRPr="005460DE">
        <w:rPr>
          <w:rFonts w:ascii="Times New Roman TUR" w:hAnsi="Times New Roman TUR" w:cs="Times New Roman TUR"/>
          <w:b/>
          <w:bCs/>
          <w:u w:val="single"/>
        </w:rPr>
        <w:t xml:space="preserve">mploying </w:t>
      </w:r>
      <w:r w:rsidRPr="005460DE" w:rsidR="00097FA7">
        <w:rPr>
          <w:rFonts w:ascii="Times New Roman TUR" w:hAnsi="Times New Roman TUR" w:cs="Times New Roman TUR"/>
          <w:b/>
          <w:bCs/>
          <w:u w:val="single"/>
        </w:rPr>
        <w:t>s</w:t>
      </w:r>
      <w:r w:rsidRPr="005460DE">
        <w:rPr>
          <w:rFonts w:ascii="Times New Roman TUR" w:hAnsi="Times New Roman TUR" w:cs="Times New Roman TUR"/>
          <w:b/>
          <w:bCs/>
          <w:u w:val="single"/>
        </w:rPr>
        <w:t xml:space="preserve">tatistical </w:t>
      </w:r>
      <w:r w:rsidRPr="005460DE" w:rsidR="00097FA7">
        <w:rPr>
          <w:rFonts w:ascii="Times New Roman TUR" w:hAnsi="Times New Roman TUR" w:cs="Times New Roman TUR"/>
          <w:b/>
          <w:bCs/>
          <w:u w:val="single"/>
        </w:rPr>
        <w:t>m</w:t>
      </w:r>
      <w:r w:rsidRPr="005460DE">
        <w:rPr>
          <w:rFonts w:ascii="Times New Roman TUR" w:hAnsi="Times New Roman TUR" w:cs="Times New Roman TUR"/>
          <w:b/>
          <w:bCs/>
          <w:u w:val="single"/>
        </w:rPr>
        <w:t>ethods</w:t>
      </w:r>
    </w:p>
    <w:p w:rsidR="00933A58" w:rsidP="007711F6" w:rsidRDefault="00933A58" w14:paraId="0B926DB7" w14:textId="77777777">
      <w:pPr>
        <w:ind w:left="90"/>
        <w:rPr>
          <w:rFonts w:ascii="Times New Roman TUR" w:hAnsi="Times New Roman TUR" w:cs="Times New Roman TUR"/>
          <w:b/>
          <w:bCs/>
          <w:u w:val="single"/>
        </w:rPr>
      </w:pPr>
    </w:p>
    <w:p w:rsidR="00933A58" w:rsidP="007711F6" w:rsidRDefault="00A12939" w14:paraId="0B87B37D" w14:textId="77777777">
      <w:pPr>
        <w:ind w:left="90"/>
        <w:rPr>
          <w:rFonts w:ascii="Times New Roman TUR" w:hAnsi="Times New Roman TUR" w:cs="Times New Roman TUR"/>
        </w:rPr>
      </w:pPr>
      <w:r>
        <w:rPr>
          <w:rFonts w:ascii="Times New Roman TUR" w:hAnsi="Times New Roman TUR" w:cs="Times New Roman TUR"/>
        </w:rPr>
        <w:tab/>
      </w:r>
      <w:r w:rsidR="00933A58">
        <w:rPr>
          <w:rFonts w:ascii="Times New Roman TUR" w:hAnsi="Times New Roman TUR" w:cs="Times New Roman TUR"/>
        </w:rPr>
        <w:t>Not applicable.</w:t>
      </w:r>
    </w:p>
    <w:p w:rsidR="00215267" w:rsidP="007711F6" w:rsidRDefault="00215267" w14:paraId="6FFD8A1D" w14:textId="77777777">
      <w:pPr>
        <w:rPr>
          <w:b/>
          <w:bCs/>
          <w:i/>
          <w:iCs/>
        </w:rPr>
      </w:pPr>
    </w:p>
    <w:p w:rsidRPr="0056372D" w:rsidR="00215267" w:rsidP="007711F6" w:rsidRDefault="00215267" w14:paraId="6CA87437" w14:textId="77777777">
      <w:pPr>
        <w:tabs>
          <w:tab w:val="left" w:pos="-1872"/>
          <w:tab w:val="left" w:pos="-1440"/>
          <w:tab w:val="left" w:pos="-1080"/>
          <w:tab w:val="left" w:pos="-720"/>
          <w:tab w:val="left" w:pos="720"/>
          <w:tab w:val="left" w:pos="1440"/>
          <w:tab w:val="left" w:pos="2160"/>
          <w:tab w:val="left" w:pos="2880"/>
          <w:tab w:val="left" w:pos="3600"/>
          <w:tab w:val="left" w:pos="4320"/>
          <w:tab w:val="left" w:pos="5040"/>
          <w:tab w:val="left" w:pos="5760"/>
          <w:tab w:val="left" w:pos="6480"/>
        </w:tabs>
        <w:ind w:left="-540"/>
        <w:rPr>
          <w:szCs w:val="24"/>
        </w:rPr>
      </w:pPr>
    </w:p>
    <w:p w:rsidRPr="0056372D" w:rsidR="00215267" w:rsidP="007711F6" w:rsidRDefault="00215267" w14:paraId="157F6196" w14:textId="77777777">
      <w:pPr>
        <w:rPr>
          <w:szCs w:val="24"/>
        </w:rPr>
      </w:pPr>
    </w:p>
    <w:p w:rsidR="00215267" w:rsidP="007711F6" w:rsidRDefault="00215267" w14:paraId="52CF77DB" w14:textId="77777777">
      <w:pPr>
        <w:outlineLvl w:val="0"/>
        <w:rPr>
          <w:szCs w:val="24"/>
        </w:rPr>
      </w:pPr>
    </w:p>
    <w:p w:rsidRPr="0056372D" w:rsidR="00215267" w:rsidP="007711F6" w:rsidRDefault="00215267" w14:paraId="7C35E785" w14:textId="77777777">
      <w:pPr>
        <w:rPr>
          <w:szCs w:val="24"/>
        </w:rPr>
      </w:pPr>
    </w:p>
    <w:p w:rsidRPr="0056372D" w:rsidR="00215267" w:rsidP="007711F6" w:rsidRDefault="00215267" w14:paraId="3AFFC6CA" w14:textId="77777777">
      <w:pPr>
        <w:rPr>
          <w:szCs w:val="24"/>
        </w:rPr>
      </w:pPr>
    </w:p>
    <w:p w:rsidR="00215267" w:rsidP="007711F6" w:rsidRDefault="00215267" w14:paraId="0179F566" w14:textId="77777777">
      <w:pPr>
        <w:outlineLvl w:val="0"/>
        <w:rPr>
          <w:szCs w:val="24"/>
        </w:rPr>
      </w:pPr>
      <w:r>
        <w:rPr>
          <w:szCs w:val="24"/>
        </w:rPr>
        <w:t xml:space="preserve">   </w:t>
      </w:r>
      <w:r w:rsidRPr="0056372D">
        <w:rPr>
          <w:szCs w:val="24"/>
        </w:rPr>
        <w:t xml:space="preserve">      </w:t>
      </w:r>
    </w:p>
    <w:p w:rsidR="00215267" w:rsidP="007711F6" w:rsidRDefault="00215267" w14:paraId="3EC7FE81" w14:textId="77777777">
      <w:pPr>
        <w:pStyle w:val="BodyText"/>
        <w:widowControl w:val="0"/>
        <w:tabs>
          <w:tab w:val="left" w:pos="0"/>
        </w:tabs>
        <w:ind w:left="459" w:hanging="459"/>
        <w:rPr>
          <w:b/>
          <w:i/>
          <w:szCs w:val="24"/>
        </w:rPr>
      </w:pPr>
    </w:p>
    <w:p w:rsidR="00933A58" w:rsidP="007711F6" w:rsidRDefault="00933A58" w14:paraId="197B7A67" w14:textId="77777777"/>
    <w:sectPr w:rsidR="00933A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45123" w14:textId="77777777" w:rsidR="003B1662" w:rsidRDefault="003B1662">
      <w:r>
        <w:separator/>
      </w:r>
    </w:p>
  </w:endnote>
  <w:endnote w:type="continuationSeparator" w:id="0">
    <w:p w14:paraId="2094B1D1" w14:textId="77777777" w:rsidR="003B1662" w:rsidRDefault="003B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2B335" w14:textId="77777777" w:rsidR="00963435" w:rsidRDefault="009634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71C043" w14:textId="77777777" w:rsidR="00963435" w:rsidRDefault="00963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903E4" w14:textId="77777777" w:rsidR="00963435" w:rsidRDefault="009634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0A71">
      <w:rPr>
        <w:rStyle w:val="PageNumber"/>
        <w:noProof/>
      </w:rPr>
      <w:t>4</w:t>
    </w:r>
    <w:r>
      <w:rPr>
        <w:rStyle w:val="PageNumber"/>
      </w:rPr>
      <w:fldChar w:fldCharType="end"/>
    </w:r>
  </w:p>
  <w:p w14:paraId="3C970411" w14:textId="77777777" w:rsidR="00963435" w:rsidRDefault="009634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AB113" w14:textId="77777777" w:rsidR="003B6EA0" w:rsidRDefault="003B6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F71E0" w14:textId="77777777" w:rsidR="003B1662" w:rsidRDefault="003B1662">
      <w:r>
        <w:separator/>
      </w:r>
    </w:p>
  </w:footnote>
  <w:footnote w:type="continuationSeparator" w:id="0">
    <w:p w14:paraId="5F159E8C" w14:textId="77777777" w:rsidR="003B1662" w:rsidRDefault="003B1662">
      <w:r>
        <w:continuationSeparator/>
      </w:r>
    </w:p>
  </w:footnote>
  <w:footnote w:id="1">
    <w:p w14:paraId="618FB0A6" w14:textId="5E3EC10E" w:rsidR="00130318" w:rsidRDefault="00130318" w:rsidP="00130318">
      <w:pPr>
        <w:pStyle w:val="FootnoteText"/>
        <w:spacing w:after="120"/>
      </w:pPr>
      <w:r>
        <w:rPr>
          <w:rStyle w:val="FootnoteReference"/>
        </w:rPr>
        <w:footnoteRef/>
      </w:r>
      <w:r>
        <w:t xml:space="preserve"> For purposes of the guidance, the term “banking organization” means national banks</w:t>
      </w:r>
      <w:r w:rsidR="00701735">
        <w:t>, federal savings associations,</w:t>
      </w:r>
      <w:r>
        <w:t xml:space="preserve"> and federal branches and agencies supervised by the OCC; state member banks, bank holding companies,</w:t>
      </w:r>
      <w:r w:rsidR="00701735">
        <w:t xml:space="preserve"> savings and loan holding companies,</w:t>
      </w:r>
      <w:r>
        <w:t xml:space="preserve"> and all other institutions for which the FRB is the primary federal supervisor; and state nonmember insured banks and other institutions supervised by the FDIC.</w:t>
      </w:r>
    </w:p>
  </w:footnote>
  <w:footnote w:id="2">
    <w:p w14:paraId="6078C56A" w14:textId="77777777" w:rsidR="00317F2D" w:rsidRDefault="00317F2D" w:rsidP="00317F2D">
      <w:pPr>
        <w:pStyle w:val="FootnoteText"/>
      </w:pPr>
      <w:r>
        <w:rPr>
          <w:rStyle w:val="FootnoteReference"/>
        </w:rPr>
        <w:footnoteRef/>
      </w:r>
      <w:r>
        <w:t xml:space="preserve"> 77 FR 29458 (May 17, 2012).</w:t>
      </w:r>
    </w:p>
    <w:p w14:paraId="143A700B" w14:textId="77777777" w:rsidR="005E7463" w:rsidRDefault="005E7463" w:rsidP="00317F2D">
      <w:pPr>
        <w:pStyle w:val="FootnoteText"/>
      </w:pPr>
    </w:p>
  </w:footnote>
  <w:footnote w:id="3">
    <w:p w14:paraId="20E90521" w14:textId="1930D71F" w:rsidR="00317F2D" w:rsidRDefault="00317F2D" w:rsidP="00317F2D">
      <w:pPr>
        <w:pStyle w:val="FootnoteText"/>
      </w:pPr>
      <w:r>
        <w:rPr>
          <w:rStyle w:val="FootnoteReference"/>
        </w:rPr>
        <w:footnoteRef/>
      </w:r>
      <w:r>
        <w:t xml:space="preserve"> Pub. L. 111-203, 124 Stat. 1376</w:t>
      </w:r>
      <w:r w:rsidR="00A97BAF">
        <w:t xml:space="preserve"> (2010)</w:t>
      </w:r>
      <w:r w:rsidR="00130318">
        <w:t xml:space="preserve">, </w:t>
      </w:r>
      <w:r w:rsidR="00130318" w:rsidRPr="00130318">
        <w:t>as revised by the Economic Growth, Regulatory Relief, and Consumer Protection Act, Pub. L. 115-174, 132 Stat. 1296-1368 (2018), and</w:t>
      </w:r>
      <w:r>
        <w:t xml:space="preserve"> codified at 12 U.S.C. 5365(i)(2).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986FA" w14:textId="77777777" w:rsidR="003B6EA0" w:rsidRDefault="003B6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19CD8" w14:textId="77777777" w:rsidR="003B6EA0" w:rsidRDefault="003B6E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73994" w14:textId="77777777" w:rsidR="003B6EA0" w:rsidRDefault="003B6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35F0780C"/>
    <w:multiLevelType w:val="hybridMultilevel"/>
    <w:tmpl w:val="0EEE1246"/>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3AA206C9"/>
    <w:multiLevelType w:val="hybridMultilevel"/>
    <w:tmpl w:val="1F5088F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4570958"/>
    <w:multiLevelType w:val="hybridMultilevel"/>
    <w:tmpl w:val="4B208A9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7BBA743B"/>
    <w:multiLevelType w:val="hybridMultilevel"/>
    <w:tmpl w:val="B5702F02"/>
    <w:lvl w:ilvl="0" w:tplc="6B645664">
      <w:start w:val="1"/>
      <w:numFmt w:val="lowerRoman"/>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7"/>
  </w:num>
  <w:num w:numId="3">
    <w:abstractNumId w:val="3"/>
  </w:num>
  <w:num w:numId="4">
    <w:abstractNumId w:val="3"/>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3"/>
  </w:num>
  <w:num w:numId="14">
    <w:abstractNumId w:val="3"/>
  </w:num>
  <w:num w:numId="15">
    <w:abstractNumId w:val="3"/>
  </w:num>
  <w:num w:numId="16">
    <w:abstractNumId w:val="3"/>
  </w:num>
  <w:num w:numId="17">
    <w:abstractNumId w:val="2"/>
  </w:num>
  <w:num w:numId="18">
    <w:abstractNumId w:val="4"/>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7C"/>
    <w:rsid w:val="000077CF"/>
    <w:rsid w:val="00014B7F"/>
    <w:rsid w:val="00022C7E"/>
    <w:rsid w:val="00033AF6"/>
    <w:rsid w:val="0004022A"/>
    <w:rsid w:val="00050443"/>
    <w:rsid w:val="0005458B"/>
    <w:rsid w:val="00097FA7"/>
    <w:rsid w:val="000B097D"/>
    <w:rsid w:val="000B1870"/>
    <w:rsid w:val="000D26A3"/>
    <w:rsid w:val="000E244E"/>
    <w:rsid w:val="000F65DD"/>
    <w:rsid w:val="00101E35"/>
    <w:rsid w:val="00104087"/>
    <w:rsid w:val="00115313"/>
    <w:rsid w:val="00116A40"/>
    <w:rsid w:val="00123499"/>
    <w:rsid w:val="00125D2C"/>
    <w:rsid w:val="00130318"/>
    <w:rsid w:val="00130A71"/>
    <w:rsid w:val="00160C46"/>
    <w:rsid w:val="00180F7C"/>
    <w:rsid w:val="00184ACA"/>
    <w:rsid w:val="001B2B2E"/>
    <w:rsid w:val="001B568A"/>
    <w:rsid w:val="001B7BA5"/>
    <w:rsid w:val="001F2F81"/>
    <w:rsid w:val="00215267"/>
    <w:rsid w:val="00220F28"/>
    <w:rsid w:val="00267D2B"/>
    <w:rsid w:val="0027370D"/>
    <w:rsid w:val="002816D6"/>
    <w:rsid w:val="002826DA"/>
    <w:rsid w:val="00284FC3"/>
    <w:rsid w:val="002873DE"/>
    <w:rsid w:val="002A4140"/>
    <w:rsid w:val="002B0F6B"/>
    <w:rsid w:val="002B23EA"/>
    <w:rsid w:val="002C75FF"/>
    <w:rsid w:val="002E02D9"/>
    <w:rsid w:val="002E03AB"/>
    <w:rsid w:val="002E62E5"/>
    <w:rsid w:val="002E6F1B"/>
    <w:rsid w:val="002F4CD1"/>
    <w:rsid w:val="00304999"/>
    <w:rsid w:val="00317F2D"/>
    <w:rsid w:val="0032693D"/>
    <w:rsid w:val="0035058B"/>
    <w:rsid w:val="00352375"/>
    <w:rsid w:val="003B1662"/>
    <w:rsid w:val="003B6EA0"/>
    <w:rsid w:val="003E3903"/>
    <w:rsid w:val="0041786B"/>
    <w:rsid w:val="004357A2"/>
    <w:rsid w:val="00447EE2"/>
    <w:rsid w:val="004822CC"/>
    <w:rsid w:val="00483449"/>
    <w:rsid w:val="00493CB8"/>
    <w:rsid w:val="004A3B59"/>
    <w:rsid w:val="004E7B0F"/>
    <w:rsid w:val="00500137"/>
    <w:rsid w:val="00500C85"/>
    <w:rsid w:val="005022EC"/>
    <w:rsid w:val="00514891"/>
    <w:rsid w:val="005460DE"/>
    <w:rsid w:val="00551EAC"/>
    <w:rsid w:val="005628BB"/>
    <w:rsid w:val="0058758E"/>
    <w:rsid w:val="00590295"/>
    <w:rsid w:val="005B0D43"/>
    <w:rsid w:val="005B76AD"/>
    <w:rsid w:val="005C73AD"/>
    <w:rsid w:val="005E7463"/>
    <w:rsid w:val="005F1E09"/>
    <w:rsid w:val="006155C9"/>
    <w:rsid w:val="00662AED"/>
    <w:rsid w:val="00667B42"/>
    <w:rsid w:val="00686265"/>
    <w:rsid w:val="006A18B5"/>
    <w:rsid w:val="006B4CFE"/>
    <w:rsid w:val="006C02B5"/>
    <w:rsid w:val="00701735"/>
    <w:rsid w:val="0070739F"/>
    <w:rsid w:val="00721444"/>
    <w:rsid w:val="007436F5"/>
    <w:rsid w:val="00770818"/>
    <w:rsid w:val="007711F6"/>
    <w:rsid w:val="00775D3B"/>
    <w:rsid w:val="007D6C36"/>
    <w:rsid w:val="007E38B3"/>
    <w:rsid w:val="007E5993"/>
    <w:rsid w:val="00801CA5"/>
    <w:rsid w:val="00816A04"/>
    <w:rsid w:val="008352ED"/>
    <w:rsid w:val="00852E30"/>
    <w:rsid w:val="008600C1"/>
    <w:rsid w:val="008977FC"/>
    <w:rsid w:val="00930F75"/>
    <w:rsid w:val="00933A58"/>
    <w:rsid w:val="00963435"/>
    <w:rsid w:val="00965030"/>
    <w:rsid w:val="009673D9"/>
    <w:rsid w:val="009B2B1B"/>
    <w:rsid w:val="009D17D2"/>
    <w:rsid w:val="009E3BBA"/>
    <w:rsid w:val="009E5753"/>
    <w:rsid w:val="009E7BC9"/>
    <w:rsid w:val="009F30F7"/>
    <w:rsid w:val="00A076F6"/>
    <w:rsid w:val="00A12939"/>
    <w:rsid w:val="00A567A8"/>
    <w:rsid w:val="00A6366C"/>
    <w:rsid w:val="00A97BAF"/>
    <w:rsid w:val="00AB59D0"/>
    <w:rsid w:val="00AC0DA6"/>
    <w:rsid w:val="00AE6011"/>
    <w:rsid w:val="00AF425A"/>
    <w:rsid w:val="00AF4FA0"/>
    <w:rsid w:val="00AF7046"/>
    <w:rsid w:val="00B40364"/>
    <w:rsid w:val="00B52064"/>
    <w:rsid w:val="00B7202C"/>
    <w:rsid w:val="00B74D72"/>
    <w:rsid w:val="00B8566F"/>
    <w:rsid w:val="00BB7EE2"/>
    <w:rsid w:val="00BD0C6A"/>
    <w:rsid w:val="00C02CF6"/>
    <w:rsid w:val="00C10695"/>
    <w:rsid w:val="00C25B75"/>
    <w:rsid w:val="00C60EA8"/>
    <w:rsid w:val="00C81E9D"/>
    <w:rsid w:val="00CA0613"/>
    <w:rsid w:val="00CA5D24"/>
    <w:rsid w:val="00CC189F"/>
    <w:rsid w:val="00CE7C47"/>
    <w:rsid w:val="00D11393"/>
    <w:rsid w:val="00D1282F"/>
    <w:rsid w:val="00D43A91"/>
    <w:rsid w:val="00D80168"/>
    <w:rsid w:val="00D95697"/>
    <w:rsid w:val="00DA45C3"/>
    <w:rsid w:val="00DC5D6D"/>
    <w:rsid w:val="00DD6BD6"/>
    <w:rsid w:val="00E1128A"/>
    <w:rsid w:val="00E33F28"/>
    <w:rsid w:val="00E400C8"/>
    <w:rsid w:val="00E41B8B"/>
    <w:rsid w:val="00E72414"/>
    <w:rsid w:val="00EA1C4C"/>
    <w:rsid w:val="00EA40D6"/>
    <w:rsid w:val="00EA48C2"/>
    <w:rsid w:val="00EB68F9"/>
    <w:rsid w:val="00EC0644"/>
    <w:rsid w:val="00EC75B3"/>
    <w:rsid w:val="00EE5C53"/>
    <w:rsid w:val="00EE5E76"/>
    <w:rsid w:val="00F0558D"/>
    <w:rsid w:val="00F067EA"/>
    <w:rsid w:val="00F206DB"/>
    <w:rsid w:val="00F366D2"/>
    <w:rsid w:val="00F368AE"/>
    <w:rsid w:val="00F66C7E"/>
    <w:rsid w:val="00F910AF"/>
    <w:rsid w:val="00F9724C"/>
    <w:rsid w:val="00FA3DF6"/>
    <w:rsid w:val="00FA4E26"/>
    <w:rsid w:val="00FE0408"/>
    <w:rsid w:val="00FE58F8"/>
    <w:rsid w:val="00FF1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591C7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Pr>
      <w:vertAlign w:val="superscript"/>
    </w:rPr>
  </w:style>
  <w:style w:type="paragraph" w:styleId="FootnoteText">
    <w:name w:val="footnote text"/>
    <w:basedOn w:val="Normal"/>
    <w:link w:val="FootnoteTextChar"/>
    <w:uiPriority w:val="99"/>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BodyTextIndent">
    <w:name w:val="Body Text Indent"/>
    <w:basedOn w:val="Normal"/>
    <w:pPr>
      <w:autoSpaceDE w:val="0"/>
      <w:autoSpaceDN w:val="0"/>
      <w:adjustRightInd w:val="0"/>
      <w:ind w:firstLine="720"/>
    </w:pPr>
    <w:rPr>
      <w:rFonts w:ascii="Times New Roman TUR" w:hAnsi="Times New Roman TUR" w:cs="Times New Roman TUR"/>
      <w:b/>
      <w:bCs/>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2C75FF"/>
    <w:rPr>
      <w:rFonts w:ascii="Tahoma" w:hAnsi="Tahoma" w:cs="Tahoma"/>
      <w:sz w:val="16"/>
      <w:szCs w:val="16"/>
    </w:rPr>
  </w:style>
  <w:style w:type="paragraph" w:styleId="ListParagraph">
    <w:name w:val="List Paragraph"/>
    <w:basedOn w:val="Normal"/>
    <w:uiPriority w:val="99"/>
    <w:qFormat/>
    <w:rsid w:val="00A076F6"/>
    <w:pPr>
      <w:ind w:left="720"/>
      <w:contextualSpacing/>
    </w:pPr>
    <w:rPr>
      <w:rFonts w:eastAsia="Calibri"/>
      <w:szCs w:val="24"/>
    </w:rPr>
  </w:style>
  <w:style w:type="character" w:customStyle="1" w:styleId="FootnoteTextChar">
    <w:name w:val="Footnote Text Char"/>
    <w:link w:val="FootnoteText"/>
    <w:uiPriority w:val="99"/>
    <w:semiHidden/>
    <w:locked/>
    <w:rsid w:val="00A076F6"/>
    <w:rPr>
      <w:lang w:val="en-US" w:eastAsia="en-US" w:bidi="ar-SA"/>
    </w:rPr>
  </w:style>
  <w:style w:type="paragraph" w:styleId="NoSpacing">
    <w:name w:val="No Spacing"/>
    <w:qFormat/>
    <w:rsid w:val="00A076F6"/>
    <w:rPr>
      <w:rFonts w:ascii="Calibri" w:eastAsia="Calibri" w:hAnsi="Calibri"/>
      <w:sz w:val="22"/>
      <w:szCs w:val="22"/>
    </w:rPr>
  </w:style>
  <w:style w:type="paragraph" w:styleId="BodyText">
    <w:name w:val="Body Text"/>
    <w:basedOn w:val="Normal"/>
    <w:rsid w:val="009E5753"/>
    <w:pPr>
      <w:spacing w:after="120"/>
    </w:pPr>
  </w:style>
  <w:style w:type="character" w:styleId="CommentReference">
    <w:name w:val="annotation reference"/>
    <w:semiHidden/>
    <w:rsid w:val="000E244E"/>
    <w:rPr>
      <w:sz w:val="16"/>
      <w:szCs w:val="16"/>
    </w:rPr>
  </w:style>
  <w:style w:type="paragraph" w:styleId="CommentText">
    <w:name w:val="annotation text"/>
    <w:basedOn w:val="Normal"/>
    <w:semiHidden/>
    <w:rsid w:val="000E244E"/>
    <w:rPr>
      <w:sz w:val="20"/>
    </w:rPr>
  </w:style>
  <w:style w:type="paragraph" w:styleId="CommentSubject">
    <w:name w:val="annotation subject"/>
    <w:basedOn w:val="CommentText"/>
    <w:next w:val="CommentText"/>
    <w:semiHidden/>
    <w:rsid w:val="000E244E"/>
    <w:rPr>
      <w:b/>
      <w:bCs/>
    </w:rPr>
  </w:style>
  <w:style w:type="paragraph" w:styleId="Header">
    <w:name w:val="header"/>
    <w:basedOn w:val="Normal"/>
    <w:link w:val="HeaderChar"/>
    <w:rsid w:val="003B6EA0"/>
    <w:pPr>
      <w:tabs>
        <w:tab w:val="center" w:pos="4680"/>
        <w:tab w:val="right" w:pos="9360"/>
      </w:tabs>
    </w:pPr>
  </w:style>
  <w:style w:type="character" w:customStyle="1" w:styleId="HeaderChar">
    <w:name w:val="Header Char"/>
    <w:link w:val="Header"/>
    <w:rsid w:val="003B6EA0"/>
    <w:rPr>
      <w:sz w:val="24"/>
    </w:rPr>
  </w:style>
  <w:style w:type="character" w:customStyle="1" w:styleId="documentbody1">
    <w:name w:val="documentbody1"/>
    <w:rsid w:val="00F66C7E"/>
    <w:rPr>
      <w:rFonts w:ascii="Verdana" w:hAnsi="Verdana"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281281">
      <w:bodyDiv w:val="1"/>
      <w:marLeft w:val="0"/>
      <w:marRight w:val="0"/>
      <w:marTop w:val="0"/>
      <w:marBottom w:val="0"/>
      <w:divBdr>
        <w:top w:val="none" w:sz="0" w:space="0" w:color="auto"/>
        <w:left w:val="none" w:sz="0" w:space="0" w:color="auto"/>
        <w:bottom w:val="none" w:sz="0" w:space="0" w:color="auto"/>
        <w:right w:val="none" w:sz="0" w:space="0" w:color="auto"/>
      </w:divBdr>
    </w:div>
    <w:div w:id="8906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259A1-054F-4E21-ACBF-7C5F739C9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2021-09-14T17:37:00Z</dcterms:created>
  <dcterms:modified xsi:type="dcterms:W3CDTF">2021-09-14T17:40:00Z</dcterms:modified>
</cp:coreProperties>
</file>