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226E" w:rsidP="009E226E" w:rsidRDefault="009E226E" w14:paraId="434F9789" w14:textId="77777777">
      <w:pPr>
        <w:pStyle w:val="BodyText"/>
        <w:ind w:left="379"/>
      </w:pPr>
      <w:r>
        <w:t>The added questions for the “Replacement Rates” section of the self-assessment tool are as follows:</w:t>
      </w:r>
    </w:p>
    <w:p w:rsidR="009E226E" w:rsidP="009E226E" w:rsidRDefault="009E226E" w14:paraId="5F753783" w14:textId="77777777">
      <w:pPr>
        <w:pStyle w:val="BodyText"/>
        <w:ind w:left="379"/>
      </w:pPr>
    </w:p>
    <w:tbl>
      <w:tblPr>
        <w:tblW w:w="9360" w:type="dxa"/>
        <w:tblInd w:w="-5" w:type="dxa"/>
        <w:tblCellMar>
          <w:left w:w="0" w:type="dxa"/>
          <w:right w:w="0" w:type="dxa"/>
        </w:tblCellMar>
        <w:tblLook w:val="04A0" w:firstRow="1" w:lastRow="0" w:firstColumn="1" w:lastColumn="0" w:noHBand="0" w:noVBand="1"/>
      </w:tblPr>
      <w:tblGrid>
        <w:gridCol w:w="9360"/>
      </w:tblGrid>
      <w:tr w:rsidR="009E226E" w:rsidTr="009E226E" w14:paraId="50502ECB" w14:textId="77777777">
        <w:tc>
          <w:tcPr>
            <w:tcW w:w="9360"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hideMark/>
          </w:tcPr>
          <w:p w:rsidR="009E226E" w:rsidP="00F96B9A" w:rsidRDefault="009E226E" w14:paraId="2EDF8724" w14:textId="77777777">
            <w:pPr>
              <w:pStyle w:val="Default"/>
              <w:numPr>
                <w:ilvl w:val="0"/>
                <w:numId w:val="1"/>
              </w:numPr>
              <w:spacing w:before="40" w:after="40" w:line="252" w:lineRule="auto"/>
              <w:rPr>
                <w:rFonts w:ascii="Times New Roman" w:hAnsi="Times New Roman" w:eastAsia="Times New Roman" w:cs="Times New Roman"/>
                <w:color w:val="auto"/>
                <w:lang w:bidi="en-US"/>
              </w:rPr>
            </w:pPr>
            <w:r>
              <w:rPr>
                <w:rFonts w:ascii="Times New Roman" w:hAnsi="Times New Roman" w:eastAsia="Times New Roman" w:cs="Times New Roman"/>
                <w:color w:val="auto"/>
                <w:lang w:bidi="en-US"/>
              </w:rPr>
              <w:t xml:space="preserve">Are the identified replacement rates sufficiently robust? Consider in your assessment: </w:t>
            </w:r>
          </w:p>
        </w:tc>
      </w:tr>
      <w:tr w:rsidR="009E226E" w:rsidTr="009E226E" w14:paraId="793458F6" w14:textId="77777777">
        <w:tc>
          <w:tcPr>
            <w:tcW w:w="9360" w:type="dxa"/>
            <w:tcBorders>
              <w:top w:val="nil"/>
              <w:left w:val="single" w:color="000000" w:sz="8" w:space="0"/>
              <w:bottom w:val="single" w:color="000000" w:sz="8" w:space="0"/>
              <w:right w:val="single" w:color="000000" w:sz="8" w:space="0"/>
            </w:tcBorders>
            <w:tcMar>
              <w:top w:w="0" w:type="dxa"/>
              <w:left w:w="72" w:type="dxa"/>
              <w:bottom w:w="0" w:type="dxa"/>
              <w:right w:w="72" w:type="dxa"/>
            </w:tcMar>
            <w:hideMark/>
          </w:tcPr>
          <w:p w:rsidR="009E226E" w:rsidP="00F96B9A" w:rsidRDefault="009E226E" w14:paraId="2F1FFCDC" w14:textId="77777777">
            <w:pPr>
              <w:pStyle w:val="Default"/>
              <w:numPr>
                <w:ilvl w:val="0"/>
                <w:numId w:val="2"/>
              </w:numPr>
              <w:spacing w:before="40" w:after="40" w:line="252" w:lineRule="auto"/>
              <w:rPr>
                <w:rFonts w:ascii="Times New Roman" w:hAnsi="Times New Roman" w:eastAsia="Times New Roman" w:cs="Times New Roman"/>
                <w:color w:val="auto"/>
                <w:lang w:bidi="en-US"/>
              </w:rPr>
            </w:pPr>
            <w:r>
              <w:rPr>
                <w:rFonts w:ascii="Times New Roman" w:hAnsi="Times New Roman" w:eastAsia="Times New Roman" w:cs="Times New Roman"/>
                <w:color w:val="auto"/>
                <w:lang w:bidi="en-US"/>
              </w:rPr>
              <w:t xml:space="preserve">During a stress period, will the rates reflect competitive forces of supply and demand from </w:t>
            </w:r>
            <w:proofErr w:type="gramStart"/>
            <w:r>
              <w:rPr>
                <w:rFonts w:ascii="Times New Roman" w:hAnsi="Times New Roman" w:eastAsia="Times New Roman" w:cs="Times New Roman"/>
                <w:color w:val="auto"/>
                <w:lang w:bidi="en-US"/>
              </w:rPr>
              <w:t>a sufficient number of</w:t>
            </w:r>
            <w:proofErr w:type="gramEnd"/>
            <w:r>
              <w:rPr>
                <w:rFonts w:ascii="Times New Roman" w:hAnsi="Times New Roman" w:eastAsia="Times New Roman" w:cs="Times New Roman"/>
                <w:color w:val="auto"/>
                <w:lang w:bidi="en-US"/>
              </w:rPr>
              <w:t xml:space="preserve"> arms-length transactions?</w:t>
            </w:r>
          </w:p>
        </w:tc>
      </w:tr>
      <w:tr w:rsidR="009E226E" w:rsidTr="009E226E" w14:paraId="5B0DA920" w14:textId="77777777">
        <w:tc>
          <w:tcPr>
            <w:tcW w:w="9360" w:type="dxa"/>
            <w:tcBorders>
              <w:top w:val="nil"/>
              <w:left w:val="single" w:color="000000" w:sz="8" w:space="0"/>
              <w:bottom w:val="single" w:color="000000" w:sz="8" w:space="0"/>
              <w:right w:val="single" w:color="000000" w:sz="8" w:space="0"/>
            </w:tcBorders>
            <w:tcMar>
              <w:top w:w="0" w:type="dxa"/>
              <w:left w:w="72" w:type="dxa"/>
              <w:bottom w:w="0" w:type="dxa"/>
              <w:right w:w="72" w:type="dxa"/>
            </w:tcMar>
            <w:hideMark/>
          </w:tcPr>
          <w:p w:rsidR="009E226E" w:rsidP="00F96B9A" w:rsidRDefault="009E226E" w14:paraId="6845DBC9" w14:textId="77777777">
            <w:pPr>
              <w:pStyle w:val="Default"/>
              <w:numPr>
                <w:ilvl w:val="0"/>
                <w:numId w:val="2"/>
              </w:numPr>
              <w:spacing w:before="40" w:after="40" w:line="252" w:lineRule="auto"/>
              <w:rPr>
                <w:rFonts w:ascii="Times New Roman" w:hAnsi="Times New Roman" w:eastAsia="Times New Roman" w:cs="Times New Roman"/>
                <w:color w:val="auto"/>
                <w:lang w:bidi="en-US"/>
              </w:rPr>
            </w:pPr>
            <w:r>
              <w:rPr>
                <w:rFonts w:ascii="Times New Roman" w:hAnsi="Times New Roman" w:eastAsia="Times New Roman" w:cs="Times New Roman"/>
                <w:color w:val="auto"/>
                <w:lang w:bidi="en-US"/>
              </w:rPr>
              <w:t>Can market participants independently confirm the rates published by the benchmark administrator?</w:t>
            </w:r>
          </w:p>
        </w:tc>
      </w:tr>
      <w:tr w:rsidR="009E226E" w:rsidTr="009E226E" w14:paraId="3C054C10" w14:textId="77777777">
        <w:tc>
          <w:tcPr>
            <w:tcW w:w="9360" w:type="dxa"/>
            <w:tcBorders>
              <w:top w:val="nil"/>
              <w:left w:val="single" w:color="000000" w:sz="8" w:space="0"/>
              <w:bottom w:val="single" w:color="000000" w:sz="8" w:space="0"/>
              <w:right w:val="single" w:color="000000" w:sz="8" w:space="0"/>
            </w:tcBorders>
            <w:tcMar>
              <w:top w:w="0" w:type="dxa"/>
              <w:left w:w="72" w:type="dxa"/>
              <w:bottom w:w="0" w:type="dxa"/>
              <w:right w:w="72" w:type="dxa"/>
            </w:tcMar>
            <w:hideMark/>
          </w:tcPr>
          <w:p w:rsidR="009E226E" w:rsidP="00F96B9A" w:rsidRDefault="009E226E" w14:paraId="361E1B2D" w14:textId="77777777">
            <w:pPr>
              <w:pStyle w:val="Default"/>
              <w:numPr>
                <w:ilvl w:val="0"/>
                <w:numId w:val="2"/>
              </w:numPr>
              <w:spacing w:before="40" w:after="40" w:line="252" w:lineRule="auto"/>
              <w:rPr>
                <w:rFonts w:ascii="Times New Roman" w:hAnsi="Times New Roman" w:eastAsia="Times New Roman" w:cs="Times New Roman"/>
                <w:color w:val="auto"/>
                <w:lang w:bidi="en-US"/>
              </w:rPr>
            </w:pPr>
            <w:r>
              <w:rPr>
                <w:rFonts w:ascii="Times New Roman" w:hAnsi="Times New Roman" w:eastAsia="Times New Roman" w:cs="Times New Roman"/>
                <w:color w:val="auto"/>
                <w:lang w:bidi="en-US"/>
              </w:rPr>
              <w:t>Is the market for financial instruments that use the rate deep and liquid enough to allow the bank to easily manage the market risk of assets and liabilities that use the rate?</w:t>
            </w:r>
          </w:p>
        </w:tc>
      </w:tr>
      <w:tr w:rsidR="009E226E" w:rsidTr="009E226E" w14:paraId="707F4523" w14:textId="77777777">
        <w:tc>
          <w:tcPr>
            <w:tcW w:w="9360" w:type="dxa"/>
            <w:tcBorders>
              <w:top w:val="nil"/>
              <w:left w:val="single" w:color="000000" w:sz="8" w:space="0"/>
              <w:bottom w:val="single" w:color="000000" w:sz="8" w:space="0"/>
              <w:right w:val="single" w:color="000000" w:sz="8" w:space="0"/>
            </w:tcBorders>
            <w:tcMar>
              <w:top w:w="0" w:type="dxa"/>
              <w:left w:w="72" w:type="dxa"/>
              <w:bottom w:w="0" w:type="dxa"/>
              <w:right w:w="72" w:type="dxa"/>
            </w:tcMar>
            <w:hideMark/>
          </w:tcPr>
          <w:p w:rsidR="009E226E" w:rsidP="00F96B9A" w:rsidRDefault="009E226E" w14:paraId="3243DCED" w14:textId="77777777">
            <w:pPr>
              <w:pStyle w:val="Default"/>
              <w:numPr>
                <w:ilvl w:val="0"/>
                <w:numId w:val="2"/>
              </w:numPr>
              <w:spacing w:before="40" w:after="40" w:line="252" w:lineRule="auto"/>
              <w:rPr>
                <w:rFonts w:ascii="Times New Roman" w:hAnsi="Times New Roman" w:eastAsia="Times New Roman" w:cs="Times New Roman"/>
                <w:color w:val="auto"/>
                <w:lang w:bidi="en-US"/>
              </w:rPr>
            </w:pPr>
            <w:r>
              <w:rPr>
                <w:rFonts w:ascii="Times New Roman" w:hAnsi="Times New Roman" w:eastAsia="Times New Roman" w:cs="Times New Roman"/>
                <w:color w:val="auto"/>
                <w:lang w:bidi="en-US"/>
              </w:rPr>
              <w:t>Does the underlying data span at least one full economic cycle?</w:t>
            </w:r>
          </w:p>
        </w:tc>
      </w:tr>
    </w:tbl>
    <w:p w:rsidR="00A90DEF" w:rsidRDefault="00A90DEF" w14:paraId="08C04F4F" w14:textId="77777777"/>
    <w:sectPr w:rsidR="00A90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62850"/>
    <w:multiLevelType w:val="hybridMultilevel"/>
    <w:tmpl w:val="EDBE29D2"/>
    <w:lvl w:ilvl="0" w:tplc="E4844866">
      <w:start w:val="1"/>
      <w:numFmt w:val="lowerLetter"/>
      <w:lvlText w:val="%1."/>
      <w:lvlJc w:val="left"/>
      <w:pPr>
        <w:ind w:left="735" w:hanging="360"/>
      </w:p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start w:val="1"/>
      <w:numFmt w:val="decimal"/>
      <w:lvlText w:val="%4."/>
      <w:lvlJc w:val="left"/>
      <w:pPr>
        <w:ind w:left="2895" w:hanging="360"/>
      </w:pPr>
    </w:lvl>
    <w:lvl w:ilvl="4" w:tplc="04090019">
      <w:start w:val="1"/>
      <w:numFmt w:val="lowerLetter"/>
      <w:lvlText w:val="%5."/>
      <w:lvlJc w:val="left"/>
      <w:pPr>
        <w:ind w:left="3615" w:hanging="360"/>
      </w:pPr>
    </w:lvl>
    <w:lvl w:ilvl="5" w:tplc="0409001B">
      <w:start w:val="1"/>
      <w:numFmt w:val="lowerRoman"/>
      <w:lvlText w:val="%6."/>
      <w:lvlJc w:val="right"/>
      <w:pPr>
        <w:ind w:left="4335" w:hanging="180"/>
      </w:pPr>
    </w:lvl>
    <w:lvl w:ilvl="6" w:tplc="0409000F">
      <w:start w:val="1"/>
      <w:numFmt w:val="decimal"/>
      <w:lvlText w:val="%7."/>
      <w:lvlJc w:val="left"/>
      <w:pPr>
        <w:ind w:left="5055" w:hanging="360"/>
      </w:pPr>
    </w:lvl>
    <w:lvl w:ilvl="7" w:tplc="04090019">
      <w:start w:val="1"/>
      <w:numFmt w:val="lowerLetter"/>
      <w:lvlText w:val="%8."/>
      <w:lvlJc w:val="left"/>
      <w:pPr>
        <w:ind w:left="5775" w:hanging="360"/>
      </w:pPr>
    </w:lvl>
    <w:lvl w:ilvl="8" w:tplc="0409001B">
      <w:start w:val="1"/>
      <w:numFmt w:val="lowerRoman"/>
      <w:lvlText w:val="%9."/>
      <w:lvlJc w:val="right"/>
      <w:pPr>
        <w:ind w:left="6495" w:hanging="180"/>
      </w:pPr>
    </w:lvl>
  </w:abstractNum>
  <w:abstractNum w:abstractNumId="1" w15:restartNumberingAfterBreak="0">
    <w:nsid w:val="48BD48AE"/>
    <w:multiLevelType w:val="hybridMultilevel"/>
    <w:tmpl w:val="FD5A03B0"/>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6E"/>
    <w:rsid w:val="009E226E"/>
    <w:rsid w:val="00A90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6826"/>
  <w15:chartTrackingRefBased/>
  <w15:docId w15:val="{D79FEF28-8F7A-464C-866D-2A2EE78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6E"/>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9E226E"/>
    <w:rPr>
      <w:sz w:val="24"/>
      <w:szCs w:val="24"/>
    </w:rPr>
  </w:style>
  <w:style w:type="character" w:customStyle="1" w:styleId="BodyTextChar">
    <w:name w:val="Body Text Char"/>
    <w:basedOn w:val="DefaultParagraphFont"/>
    <w:link w:val="BodyText"/>
    <w:uiPriority w:val="1"/>
    <w:semiHidden/>
    <w:rsid w:val="009E226E"/>
    <w:rPr>
      <w:rFonts w:ascii="Times New Roman" w:eastAsia="Times New Roman" w:hAnsi="Times New Roman" w:cs="Times New Roman"/>
      <w:sz w:val="24"/>
      <w:szCs w:val="24"/>
      <w:lang w:bidi="en-US"/>
    </w:rPr>
  </w:style>
  <w:style w:type="paragraph" w:customStyle="1" w:styleId="Default">
    <w:name w:val="Default"/>
    <w:basedOn w:val="Normal"/>
    <w:rsid w:val="009E226E"/>
    <w:pPr>
      <w:widowControl/>
    </w:pPr>
    <w:rPr>
      <w:rFonts w:ascii="CG Omega" w:eastAsiaTheme="minorHAnsi" w:hAnsi="CG Omega" w:cs="Calibri"/>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5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Company>Office of the Comptroller of the Currency</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Gottlieb, Mary</dc:creator>
  <cp:keywords/>
  <dc:description/>
  <cp:lastModifiedBy>Gottlieb, Mary</cp:lastModifiedBy>
  <cp:revision>1</cp:revision>
  <dcterms:created xsi:type="dcterms:W3CDTF">2021-08-30T15:53:00Z</dcterms:created>
  <dcterms:modified xsi:type="dcterms:W3CDTF">2021-08-30T15:54:00Z</dcterms:modified>
</cp:coreProperties>
</file>