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2389" w:rsidP="00BE2389" w:rsidRDefault="00BE2389" w14:paraId="6081448F" w14:textId="77777777">
      <w:pPr>
        <w:jc w:val="center"/>
        <w:rPr>
          <w:rFonts w:ascii="Times New Roman" w:hAnsi="Times New Roman"/>
          <w:b/>
          <w:bCs/>
        </w:rPr>
      </w:pPr>
      <w:r>
        <w:rPr>
          <w:rFonts w:ascii="Times New Roman" w:hAnsi="Times New Roman"/>
          <w:b/>
          <w:bCs/>
        </w:rPr>
        <w:t xml:space="preserve">SUPPORTING STATEMENT FOR </w:t>
      </w:r>
    </w:p>
    <w:p w:rsidR="00BE2389" w:rsidP="00BE2389" w:rsidRDefault="00BE2389" w14:paraId="5A300A19" w14:textId="77777777">
      <w:pPr>
        <w:jc w:val="center"/>
        <w:rPr>
          <w:rFonts w:ascii="Times New Roman" w:hAnsi="Times New Roman"/>
          <w:b/>
        </w:rPr>
      </w:pPr>
      <w:r>
        <w:rPr>
          <w:rFonts w:ascii="Times New Roman" w:hAnsi="Times New Roman"/>
          <w:b/>
        </w:rPr>
        <w:t>Report of Medical Examination and Vaccination Record</w:t>
      </w:r>
    </w:p>
    <w:p w:rsidR="00BE2389" w:rsidP="00BE2389" w:rsidRDefault="00BE2389" w14:paraId="00004D5C" w14:textId="77777777">
      <w:pPr>
        <w:jc w:val="center"/>
        <w:rPr>
          <w:rFonts w:ascii="Times New Roman" w:hAnsi="Times New Roman"/>
          <w:b/>
          <w:bCs/>
        </w:rPr>
      </w:pPr>
      <w:r>
        <w:rPr>
          <w:rFonts w:ascii="Times New Roman" w:hAnsi="Times New Roman"/>
          <w:b/>
          <w:bCs/>
        </w:rPr>
        <w:t>OMB Control No.: 1615-0033</w:t>
      </w:r>
    </w:p>
    <w:p w:rsidR="00BE2389" w:rsidP="00BE2389" w:rsidRDefault="00BE2389" w14:paraId="26A46198" w14:textId="77777777">
      <w:pPr>
        <w:jc w:val="center"/>
        <w:rPr>
          <w:rFonts w:ascii="Times New Roman" w:hAnsi="Times New Roman"/>
          <w:b/>
          <w:bCs/>
        </w:rPr>
      </w:pPr>
      <w:r>
        <w:rPr>
          <w:rFonts w:ascii="Times New Roman" w:hAnsi="Times New Roman"/>
          <w:b/>
          <w:bCs/>
        </w:rPr>
        <w:t>COLLECTION INSTRUMENT(S): Form I-693</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BE2389" w:rsidP="00BE2389" w:rsidRDefault="00BE2389" w14:paraId="315E62E1" w14:textId="77777777">
      <w:pPr>
        <w:tabs>
          <w:tab w:val="left" w:pos="-1440"/>
        </w:tabs>
        <w:ind w:left="720"/>
        <w:rPr>
          <w:rFonts w:ascii="Times New Roman" w:hAnsi="Times New Roman"/>
        </w:rPr>
      </w:pPr>
      <w:r>
        <w:rPr>
          <w:rFonts w:ascii="Times New Roman" w:hAnsi="Times New Roman"/>
        </w:rPr>
        <w:t>Certain immigration benefits, such as adjustment of status to that of a lawful permanent resident under section 245 of the Immigration and Nationality Act (Act) require establish that they are admissible to the United States, including being admissible on health-related grounds.  The health-related grounds of inadmissibility are found in section 212(a)(1)(A) of the Act.  In addition, section 232(b) of the Act requires that medical officers of the U.S. Public Health Service (PHS) certify any physical or mental defect or disease observed in arriving aliens.  When PHS medical officers are not available, U.S. Citizenship and Immigration Services (USCIS) has the authority to designate private physicians to serve as civil surgeons.  Because PHS medical officers have not been available for many years, USCIS has been designating private physicians to serve as civil surgeons, in accordance with section 232(b) of the Act.</w:t>
      </w:r>
    </w:p>
    <w:p w:rsidR="00BE2389" w:rsidP="00BE2389" w:rsidRDefault="00BE2389" w14:paraId="0D041E52" w14:textId="77777777">
      <w:pPr>
        <w:tabs>
          <w:tab w:val="left" w:pos="-1440"/>
        </w:tabs>
        <w:ind w:left="720"/>
        <w:rPr>
          <w:rFonts w:ascii="Times New Roman" w:hAnsi="Times New Roman"/>
        </w:rPr>
      </w:pPr>
    </w:p>
    <w:p w:rsidR="00BE2389" w:rsidP="00BE2389" w:rsidRDefault="00BE2389" w14:paraId="720BD553" w14:textId="77777777">
      <w:pPr>
        <w:tabs>
          <w:tab w:val="left" w:pos="-1440"/>
        </w:tabs>
        <w:ind w:left="720"/>
        <w:rPr>
          <w:rFonts w:ascii="Times New Roman" w:hAnsi="Times New Roman"/>
        </w:rPr>
      </w:pPr>
      <w:r>
        <w:rPr>
          <w:rFonts w:ascii="Times New Roman" w:hAnsi="Times New Roman"/>
        </w:rPr>
        <w:t>Section 212(a)(1)(A) of the Act states that the health-related grounds of inadmissibility are determined according to the regulations prescribed by the Secretary of Health and Human Services.  The applicable U.S. Department of Health and Human Services (HHS) regulations are found at 42 CFR Part 34.  The corresponding USCIS regulations are found at 8 CFR Part 232.  In addition, civil surgeons are responsible for certifying to USCIS the information necessary to determine whether applicants seeking immigration benefits while in the United States, such as adjustment of status, are inadmissible on health-related grounds.  The Report of Medical Examination and Vaccination Record, Form I-693, is used by civil surgeons to report the results of the medical examination to USCIS.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BE2389" w:rsidP="00BE2389" w:rsidRDefault="00BE2389" w14:paraId="3BDE25CD" w14:textId="6BBE8B81">
      <w:pPr>
        <w:ind w:left="720"/>
        <w:rPr>
          <w:rFonts w:ascii="Times New Roman" w:hAnsi="Times New Roman"/>
        </w:rPr>
      </w:pPr>
      <w:r>
        <w:rPr>
          <w:rFonts w:ascii="Times New Roman" w:hAnsi="Times New Roman"/>
        </w:rPr>
        <w:t>The information on the Report of Medical Examination and Vaccination Record, Form I-693,</w:t>
      </w:r>
      <w:r>
        <w:rPr>
          <w:rFonts w:ascii="Times New Roman" w:hAnsi="Times New Roman"/>
          <w:b/>
        </w:rPr>
        <w:t xml:space="preserve"> </w:t>
      </w:r>
      <w:r>
        <w:rPr>
          <w:rFonts w:ascii="Times New Roman" w:hAnsi="Times New Roman"/>
        </w:rPr>
        <w:t xml:space="preserve">will be used by USCIS when considering the eligibility for adjustment of status under 8 CFR </w:t>
      </w:r>
      <w:r w:rsidRPr="007518D7">
        <w:rPr>
          <w:rFonts w:ascii="Times New Roman" w:hAnsi="Times New Roman"/>
        </w:rPr>
        <w:t>209.1(c)</w:t>
      </w:r>
      <w:r>
        <w:rPr>
          <w:rFonts w:ascii="Times New Roman" w:hAnsi="Times New Roman"/>
        </w:rPr>
        <w:t xml:space="preserve">, </w:t>
      </w:r>
      <w:r w:rsidRPr="007518D7">
        <w:rPr>
          <w:rFonts w:ascii="Times New Roman" w:hAnsi="Times New Roman"/>
        </w:rPr>
        <w:t>209.2(d)</w:t>
      </w:r>
      <w:r>
        <w:rPr>
          <w:rFonts w:ascii="Times New Roman" w:hAnsi="Times New Roman"/>
        </w:rPr>
        <w:t xml:space="preserve">, </w:t>
      </w:r>
      <w:r w:rsidRPr="007518D7">
        <w:rPr>
          <w:rFonts w:ascii="Times New Roman" w:hAnsi="Times New Roman"/>
        </w:rPr>
        <w:t>210.2(d)</w:t>
      </w:r>
      <w:r>
        <w:rPr>
          <w:rFonts w:ascii="Times New Roman" w:hAnsi="Times New Roman"/>
        </w:rPr>
        <w:t xml:space="preserve">, </w:t>
      </w:r>
      <w:r w:rsidRPr="007518D7">
        <w:rPr>
          <w:rFonts w:ascii="Times New Roman" w:hAnsi="Times New Roman"/>
        </w:rPr>
        <w:t>245.5</w:t>
      </w:r>
      <w:r>
        <w:rPr>
          <w:rFonts w:ascii="Times New Roman" w:hAnsi="Times New Roman"/>
        </w:rPr>
        <w:t xml:space="preserve"> and </w:t>
      </w:r>
      <w:r w:rsidRPr="007518D7">
        <w:rPr>
          <w:rFonts w:ascii="Times New Roman" w:hAnsi="Times New Roman"/>
        </w:rPr>
        <w:t>245a.3(d)(4)</w:t>
      </w:r>
      <w:r>
        <w:rPr>
          <w:rFonts w:ascii="Times New Roman" w:hAnsi="Times New Roman"/>
        </w:rPr>
        <w:t xml:space="preserve">; and for V nonimmigrant status under 8 CFR </w:t>
      </w:r>
      <w:r w:rsidRPr="007518D7">
        <w:rPr>
          <w:rFonts w:ascii="Times New Roman" w:hAnsi="Times New Roman"/>
        </w:rPr>
        <w:t>214.15(f)</w:t>
      </w:r>
      <w:r>
        <w:rPr>
          <w:rFonts w:ascii="Times New Roman" w:hAnsi="Times New Roman"/>
        </w:rPr>
        <w:t xml:space="preserve">.  The information on the Report of Medical Examination and Vaccination Record, Form I-693, will be used by EOIR in considering </w:t>
      </w:r>
      <w:r>
        <w:rPr>
          <w:rFonts w:ascii="Times New Roman" w:hAnsi="Times New Roman"/>
        </w:rPr>
        <w:lastRenderedPageBreak/>
        <w:t xml:space="preserve">the eligibility for immigration benefits in removal proceedings.  The information on the Report of Medical Examination and Vaccination Record, Form I-693, may also be used by CBP in determining admissibility at a port of entry.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BE2389" w:rsidP="00BE2389" w:rsidRDefault="00BE2389" w14:paraId="1E5579A5" w14:textId="0729B594">
      <w:pPr>
        <w:tabs>
          <w:tab w:val="left" w:pos="-1440"/>
        </w:tabs>
        <w:ind w:left="720"/>
        <w:rPr>
          <w:rFonts w:ascii="Times New Roman" w:hAnsi="Times New Roman"/>
        </w:rPr>
      </w:pPr>
      <w:r>
        <w:rPr>
          <w:rFonts w:ascii="Times New Roman" w:hAnsi="Times New Roman"/>
        </w:rPr>
        <w:t xml:space="preserve">This form can be downloaded, </w:t>
      </w:r>
      <w:proofErr w:type="gramStart"/>
      <w:r>
        <w:rPr>
          <w:rFonts w:ascii="Times New Roman" w:hAnsi="Times New Roman"/>
        </w:rPr>
        <w:t>completed</w:t>
      </w:r>
      <w:proofErr w:type="gramEnd"/>
      <w:r>
        <w:rPr>
          <w:rFonts w:ascii="Times New Roman" w:hAnsi="Times New Roman"/>
        </w:rPr>
        <w:t xml:space="preserve"> and saved electronically, but cannot be e-filed at this time.  This form is the most efficient means for USCIS to collect the required data until full automation can be achieved.    USCIS provides this application to the public via the USCIS Internet Web site at </w:t>
      </w:r>
      <w:r w:rsidRPr="007518D7">
        <w:rPr>
          <w:rFonts w:ascii="Times New Roman" w:hAnsi="Times New Roman"/>
        </w:rPr>
        <w:t>www.uscis.gov/i-693</w:t>
      </w:r>
      <w:r>
        <w:rPr>
          <w:rFonts w:ascii="Times New Roman" w:hAnsi="Times New Roman"/>
        </w:rPr>
        <w:t xml:space="preserve">.  This information collection is partially compliant with the Government Paperwork Elimination Act by allowing for electronic access, completion, and saving of the form.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BE2389" w:rsidP="00BE2389" w:rsidRDefault="00BE2389" w14:paraId="459F2F8E" w14:textId="77777777">
      <w:pPr>
        <w:tabs>
          <w:tab w:val="left" w:pos="-1440"/>
        </w:tabs>
        <w:ind w:left="720"/>
        <w:rPr>
          <w:rFonts w:ascii="Times New Roman" w:hAnsi="Times New Roman"/>
        </w:rPr>
      </w:pPr>
      <w:r>
        <w:rPr>
          <w:rFonts w:ascii="Times New Roman" w:hAnsi="Times New Roman"/>
          <w:bCs/>
        </w:rPr>
        <w:t xml:space="preserve">No other similar information is currently available which can be used for this purpose.  </w:t>
      </w:r>
      <w:r>
        <w:rPr>
          <w:rFonts w:ascii="Times New Roman" w:hAnsi="Times New Roman"/>
        </w:rPr>
        <w:t xml:space="preserve">In addition, USCIS has examined whether the information is collected by other DHS components or Federal agencies from which USCIS could obtain the information, and no viable source was found.  The law and regulations require a separate and distinct medical examination and a report to be completed in association with the application for adjustment of status.  An examination and medical report prepared for other purposes is not sufficient for USCIS’s needs in adjudicating applications.  This is because routine physical examinations, or other medical examinations not performed specifically for immigration purposes, do not typically cover all of the health conditions required to determine admissibility under section 212(a)(1)(A) of the Act.  Further, the assessment of medical conditions for immigration purposes must be conducted according to HHS regulations, as stated above, including the </w:t>
      </w:r>
      <w:r>
        <w:rPr>
          <w:rFonts w:ascii="Times New Roman" w:hAnsi="Times New Roman"/>
          <w:i/>
        </w:rPr>
        <w:t>Technical Instructions for the Medical Examination of Aliens in the United States (Technical Instructions)</w:t>
      </w:r>
      <w:r>
        <w:rPr>
          <w:rFonts w:ascii="Times New Roman" w:hAnsi="Times New Roman"/>
        </w:rPr>
        <w:t>.</w:t>
      </w:r>
      <w:r>
        <w:rPr>
          <w:rFonts w:ascii="Times New Roman" w:hAnsi="Times New Roman"/>
          <w:vertAlign w:val="superscript"/>
        </w:rPr>
        <w:footnoteReference w:id="1"/>
      </w:r>
      <w:r>
        <w:rPr>
          <w:rFonts w:ascii="Times New Roman" w:hAnsi="Times New Roman"/>
        </w:rPr>
        <w:t xml:space="preserve">  The Report of Medical Examination and Vaccination Record, Form I-693 covers all medical conditions relevant to the admissibility determination and corresponds with the </w:t>
      </w:r>
      <w:r>
        <w:rPr>
          <w:rFonts w:ascii="Times New Roman" w:hAnsi="Times New Roman"/>
          <w:i/>
        </w:rPr>
        <w:t xml:space="preserve">Technical Instructions </w:t>
      </w:r>
      <w:r>
        <w:rPr>
          <w:rFonts w:ascii="Times New Roman" w:hAnsi="Times New Roman"/>
        </w:rPr>
        <w:t>to ensure that the specific medical conditions that may impact admissibility are properly assessed in the medical examination.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BE2389" w:rsidP="00BE2389" w:rsidRDefault="00BE2389" w14:paraId="3BB4BE2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  This form is completed by applicants required to establish that they are not inadmissible to the United States based on health-related grounds.  While the applicants may engage the services of a doctor, those activities are a normal part of the doctor/small business function.  No unnecessary burden is placed upon the applicant or doctor due to the information collected on this form.</w:t>
      </w:r>
    </w:p>
    <w:p w:rsidR="00BE2389" w:rsidP="00BE2389" w:rsidRDefault="00BE2389" w14:paraId="1FEF771F" w14:textId="77777777">
      <w:pPr>
        <w:tabs>
          <w:tab w:val="left" w:pos="-1440"/>
        </w:tabs>
        <w:ind w:left="720"/>
        <w:rPr>
          <w:rFonts w:ascii="Times New Roman" w:hAnsi="Times New Roman"/>
        </w:rPr>
      </w:pPr>
    </w:p>
    <w:p w:rsidR="00BE2389" w:rsidP="00BE2389" w:rsidRDefault="00BE2389" w14:paraId="40B9A665" w14:textId="57F26D35">
      <w:pPr>
        <w:tabs>
          <w:tab w:val="left" w:pos="-1440"/>
        </w:tabs>
        <w:ind w:left="720"/>
        <w:rPr>
          <w:rFonts w:ascii="Times New Roman" w:hAnsi="Times New Roman"/>
        </w:rPr>
      </w:pPr>
      <w:r>
        <w:rPr>
          <w:rFonts w:ascii="Times New Roman" w:hAnsi="Times New Roman"/>
        </w:rPr>
        <w:t xml:space="preserve">Under </w:t>
      </w:r>
      <w:r w:rsidRPr="007518D7">
        <w:rPr>
          <w:rFonts w:ascii="Times New Roman" w:hAnsi="Times New Roman"/>
        </w:rPr>
        <w:t>5 CFR 1320.3(b)(1)</w:t>
      </w:r>
      <w:r>
        <w:rPr>
          <w:rFonts w:ascii="Times New Roman" w:hAnsi="Times New Roman"/>
        </w:rPr>
        <w:t xml:space="preserve">, burden means the total time, effort, or financial resources expended by persons to maintain, retain, or disclose or provide information to or for a Federal Agency.  Under </w:t>
      </w:r>
      <w:r w:rsidRPr="007518D7">
        <w:rPr>
          <w:rFonts w:ascii="Times New Roman" w:hAnsi="Times New Roman"/>
        </w:rPr>
        <w:t>5 CFR 1320.3(c)(4)</w:t>
      </w:r>
      <w:r>
        <w:rPr>
          <w:rFonts w:ascii="Times New Roman" w:hAnsi="Times New Roman"/>
        </w:rPr>
        <w:t>, for purposes of the definition of ten or more persons, contractors engaged by a respondent for the purpose of complying with the collection of information are not included as persons.  Medical professionals providing medical certifications are generally paid for their services either by the alien or a third party, and thus are considered contractors engaged by the respondents to comply with this information collection. Therefore, they do not fall under the category of persons with the associated burden described above.</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BE2389" w:rsidP="00BE2389" w:rsidRDefault="00BE2389" w14:paraId="0426DCE4" w14:textId="77777777">
      <w:pPr>
        <w:tabs>
          <w:tab w:val="left" w:pos="-1440"/>
        </w:tabs>
        <w:ind w:left="720"/>
        <w:rPr>
          <w:rFonts w:ascii="Times New Roman" w:hAnsi="Times New Roman"/>
        </w:rPr>
      </w:pPr>
      <w:r>
        <w:rPr>
          <w:rFonts w:ascii="Times New Roman" w:hAnsi="Times New Roman"/>
        </w:rPr>
        <w:t>If the required information is not collected, USCIS will not be able to correctly determine the eligibility of an applicant for lawful permanent resident status, creating a potential public health risk or denying the applicant an immigration benefit to which he or she may be legally entitled.</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BE2389" w:rsidP="00914A5D" w:rsidRDefault="00BE2389" w14:paraId="6C20065F" w14:textId="04ADCBE7">
      <w:pPr>
        <w:tabs>
          <w:tab w:val="left" w:pos="-1440"/>
        </w:tabs>
        <w:ind w:left="720"/>
        <w:rPr>
          <w:rFonts w:ascii="Times New Roman" w:hAnsi="Times New Roman"/>
          <w:color w:val="000000"/>
          <w:shd w:val="clear" w:color="auto" w:fill="FFFFFF"/>
        </w:rPr>
      </w:pPr>
      <w:r>
        <w:rPr>
          <w:rFonts w:ascii="Times New Roman" w:hAnsi="Times New Roman"/>
        </w:rPr>
        <w:t xml:space="preserve">USCIS is requesting OMB approval of this collection of information under </w:t>
      </w:r>
      <w:r w:rsidRPr="00B60C01">
        <w:rPr>
          <w:rFonts w:ascii="Times New Roman" w:hAnsi="Times New Roman"/>
        </w:rPr>
        <w:t>5 CFR 1320.13</w:t>
      </w:r>
      <w:r>
        <w:rPr>
          <w:rFonts w:ascii="Times New Roman" w:hAnsi="Times New Roman"/>
        </w:rPr>
        <w:t xml:space="preserve"> Emergency Processing. </w:t>
      </w:r>
      <w:r>
        <w:rPr>
          <w:rFonts w:ascii="Times New Roman" w:hAnsi="Times New Roman"/>
          <w:color w:val="000000"/>
          <w:shd w:val="clear" w:color="auto" w:fill="FFFFFF"/>
        </w:rPr>
        <w:t xml:space="preserve">USCIS is modifying Form I-693 and its Instructions in response to updates to the Centers for Disease Control and Prevention (CDC) Technical Instructions for Civil Surgeons (Technical Instructions). The Technical Instructions update requires civil surgeons to document whether an immigrant for whom they conduct an immigration medical examination </w:t>
      </w:r>
      <w:r w:rsidRPr="6DCEE1A1">
        <w:rPr>
          <w:rFonts w:ascii="Times New Roman" w:hAnsi="Times New Roman"/>
          <w:color w:val="000000" w:themeColor="text1"/>
        </w:rPr>
        <w:t>h</w:t>
      </w:r>
      <w:r>
        <w:rPr>
          <w:rFonts w:ascii="Times New Roman" w:hAnsi="Times New Roman"/>
          <w:color w:val="000000"/>
          <w:shd w:val="clear" w:color="auto" w:fill="FFFFFF"/>
        </w:rPr>
        <w:t xml:space="preserve">as completed the COVID-19 vaccine series, as applicable. The updated Technical Instructions are effective </w:t>
      </w:r>
      <w:r>
        <w:rPr>
          <w:rFonts w:ascii="Times New Roman" w:hAnsi="Times New Roman"/>
          <w:shd w:val="clear" w:color="auto" w:fill="FFFFFF"/>
        </w:rPr>
        <w:t>October 1, 2021</w:t>
      </w:r>
      <w:r>
        <w:rPr>
          <w:rFonts w:ascii="Times New Roman" w:hAnsi="Times New Roman"/>
          <w:color w:val="000000"/>
          <w:shd w:val="clear" w:color="auto" w:fill="FFFFFF"/>
        </w:rPr>
        <w:t>. This effective date does not allow USCIS to complete the PRA form revision process before Form I-693 must be available for civil surgeons to comply with the new CDC requirement.</w:t>
      </w:r>
    </w:p>
    <w:p w:rsidRPr="00914A5D" w:rsidR="00B27061" w:rsidP="00BE2389" w:rsidRDefault="007312F9" w14:paraId="3F044073" w14:textId="270618A8">
      <w:pPr>
        <w:tabs>
          <w:tab w:val="left" w:pos="-1440"/>
        </w:tabs>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lastRenderedPageBreak/>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BE2389" w:rsidP="00BE2389" w:rsidRDefault="00BE2389" w14:paraId="54D915AA"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BE2389" w:rsidP="00BE2389" w:rsidRDefault="00BE2389" w14:paraId="27210AC7" w14:textId="77777777">
      <w:pPr>
        <w:tabs>
          <w:tab w:val="left" w:pos="-1440"/>
        </w:tabs>
        <w:ind w:left="720"/>
        <w:rPr>
          <w:rFonts w:ascii="Times New Roman" w:hAnsi="Times New Roman"/>
        </w:rPr>
      </w:pPr>
    </w:p>
    <w:p w:rsidR="00BE2389" w:rsidP="00BE2389" w:rsidRDefault="00BE2389" w14:paraId="39A73CF9" w14:textId="77777777">
      <w:pPr>
        <w:tabs>
          <w:tab w:val="left" w:pos="-1440"/>
        </w:tabs>
        <w:ind w:left="720"/>
        <w:rPr>
          <w:rFonts w:ascii="Times New Roman" w:hAnsi="Times New Roman"/>
        </w:rPr>
      </w:pPr>
      <w:r>
        <w:rPr>
          <w:rFonts w:ascii="Times New Roman" w:hAnsi="Times New Roman"/>
        </w:rPr>
        <w:t xml:space="preserve">The information collected via this instrument is covered by the Privacy Impact Assessment:  </w:t>
      </w:r>
    </w:p>
    <w:p w:rsidR="00BE2389" w:rsidP="00BE2389" w:rsidRDefault="00BE2389" w14:paraId="5FDAFDA3"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DHS/USCIS/PIA-003 Integrated Digitization Document Management Program (IDDMP), and </w:t>
      </w:r>
    </w:p>
    <w:p w:rsidR="00BE2389" w:rsidP="00BE2389" w:rsidRDefault="00BE2389" w14:paraId="6F41469B" w14:textId="77777777">
      <w:pPr>
        <w:pStyle w:val="ListParagraph"/>
        <w:numPr>
          <w:ilvl w:val="0"/>
          <w:numId w:val="10"/>
        </w:numPr>
        <w:tabs>
          <w:tab w:val="left" w:pos="-1440"/>
        </w:tabs>
        <w:rPr>
          <w:rFonts w:ascii="Times New Roman" w:hAnsi="Times New Roman"/>
        </w:rPr>
      </w:pPr>
      <w:r>
        <w:rPr>
          <w:rFonts w:ascii="Times New Roman" w:hAnsi="Times New Roman"/>
        </w:rPr>
        <w:t>DHS/USCIS/PIA-067 USCIS Civil Surgeon Designation.</w:t>
      </w:r>
    </w:p>
    <w:p w:rsidR="00BE2389" w:rsidP="00BE2389" w:rsidRDefault="00BE2389" w14:paraId="363E93D5" w14:textId="77777777">
      <w:pPr>
        <w:tabs>
          <w:tab w:val="left" w:pos="-1440"/>
        </w:tabs>
        <w:rPr>
          <w:rFonts w:ascii="Times New Roman" w:hAnsi="Times New Roman"/>
        </w:rPr>
      </w:pPr>
    </w:p>
    <w:p w:rsidR="00BE2389" w:rsidP="00BE2389" w:rsidRDefault="00BE2389" w14:paraId="19BA1F09" w14:textId="77777777">
      <w:pPr>
        <w:tabs>
          <w:tab w:val="left" w:pos="-1440"/>
        </w:tabs>
        <w:ind w:left="720"/>
        <w:rPr>
          <w:rFonts w:ascii="Times New Roman" w:hAnsi="Times New Roman"/>
        </w:rPr>
      </w:pPr>
      <w:r>
        <w:rPr>
          <w:rFonts w:ascii="Times New Roman" w:hAnsi="Times New Roman"/>
        </w:rPr>
        <w:t>The information is also covered in the System of Records Notices:</w:t>
      </w:r>
    </w:p>
    <w:p w:rsidR="00BE2389" w:rsidP="00BE2389" w:rsidRDefault="00BE2389" w14:paraId="144548C8"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and </w:t>
      </w:r>
    </w:p>
    <w:p w:rsidRPr="00BE2389" w:rsidR="00EC5F60" w:rsidP="00BE2389" w:rsidRDefault="00BE2389" w14:paraId="5E3A935B" w14:textId="28D83AC0">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BE2389" w:rsidP="00BE2389" w:rsidRDefault="00BE2389" w14:paraId="753F8E8E" w14:textId="65E65AE6">
      <w:pPr>
        <w:tabs>
          <w:tab w:val="left" w:pos="-1440"/>
        </w:tabs>
        <w:ind w:left="720"/>
        <w:rPr>
          <w:rFonts w:ascii="Times New Roman" w:hAnsi="Times New Roman"/>
        </w:rPr>
      </w:pPr>
      <w:r>
        <w:rPr>
          <w:rFonts w:ascii="Times New Roman" w:hAnsi="Times New Roman"/>
        </w:rPr>
        <w:t xml:space="preserve">Some of the information requested on this form is of a sensitive nature.   The form includes information as to whether an applicant has been diagnosed with tuberculosis, syphilis, or other communicable diseases or suffers from a physical or mental disorder, drug abuse or addiction.  These questions are required to obtain information that must be reviewed to determine whether an applicant has or does not have a condition that may make him or her ineligible for adjustment of status on public health-related grounds under 8 CFR </w:t>
      </w:r>
      <w:r w:rsidRPr="007518D7">
        <w:rPr>
          <w:rFonts w:ascii="Times New Roman" w:hAnsi="Times New Roman"/>
        </w:rPr>
        <w:t>209.1(c)</w:t>
      </w:r>
      <w:r>
        <w:rPr>
          <w:rFonts w:ascii="Times New Roman" w:hAnsi="Times New Roman"/>
        </w:rPr>
        <w:t xml:space="preserve">, </w:t>
      </w:r>
      <w:r w:rsidRPr="007518D7">
        <w:rPr>
          <w:rFonts w:ascii="Times New Roman" w:hAnsi="Times New Roman"/>
        </w:rPr>
        <w:t>209.2(d)</w:t>
      </w:r>
      <w:r>
        <w:rPr>
          <w:rFonts w:ascii="Times New Roman" w:hAnsi="Times New Roman"/>
        </w:rPr>
        <w:t xml:space="preserve">, </w:t>
      </w:r>
      <w:r w:rsidRPr="007518D7">
        <w:rPr>
          <w:rFonts w:ascii="Times New Roman" w:hAnsi="Times New Roman"/>
        </w:rPr>
        <w:t>210.2(d)</w:t>
      </w:r>
      <w:r>
        <w:rPr>
          <w:rFonts w:ascii="Times New Roman" w:hAnsi="Times New Roman"/>
        </w:rPr>
        <w:t xml:space="preserve">, </w:t>
      </w:r>
      <w:r w:rsidRPr="007518D7">
        <w:rPr>
          <w:rFonts w:ascii="Times New Roman" w:hAnsi="Times New Roman"/>
        </w:rPr>
        <w:t>245.5</w:t>
      </w:r>
      <w:r>
        <w:rPr>
          <w:rFonts w:ascii="Times New Roman" w:hAnsi="Times New Roman"/>
        </w:rPr>
        <w:t xml:space="preserve"> and </w:t>
      </w:r>
      <w:r w:rsidRPr="007518D7">
        <w:rPr>
          <w:rFonts w:ascii="Times New Roman" w:hAnsi="Times New Roman"/>
        </w:rPr>
        <w:t>245a.3(d)(4)</w:t>
      </w:r>
      <w:r>
        <w:rPr>
          <w:rFonts w:ascii="Times New Roman" w:hAnsi="Times New Roman"/>
        </w:rPr>
        <w:t xml:space="preserve">; or for V nonimmigrant status under 8 CFR </w:t>
      </w:r>
      <w:r w:rsidRPr="007518D7">
        <w:rPr>
          <w:rFonts w:ascii="Times New Roman" w:hAnsi="Times New Roman"/>
        </w:rPr>
        <w:t>214.15(f)</w:t>
      </w:r>
      <w:r>
        <w:rPr>
          <w:rFonts w:ascii="Times New Roman" w:hAnsi="Times New Roman"/>
        </w:rPr>
        <w:t xml:space="preserve">. </w:t>
      </w:r>
      <w:r>
        <w:rPr>
          <w:rFonts w:ascii="Times New Roman" w:hAnsi="Times New Roman"/>
        </w:rPr>
        <w:tab/>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w:t>
      </w:r>
      <w:r w:rsidRPr="005B6129">
        <w:rPr>
          <w:rFonts w:ascii="Times New Roman" w:hAnsi="Times New Roman"/>
          <w:b/>
        </w:rPr>
        <w:lastRenderedPageBreak/>
        <w:t>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365" w:type="dxa"/>
        <w:tblInd w:w="93" w:type="dxa"/>
        <w:tblLook w:val="04A0" w:firstRow="1" w:lastRow="0" w:firstColumn="1" w:lastColumn="0" w:noHBand="0" w:noVBand="1"/>
      </w:tblPr>
      <w:tblGrid>
        <w:gridCol w:w="1272"/>
        <w:gridCol w:w="1238"/>
        <w:gridCol w:w="1239"/>
        <w:gridCol w:w="1180"/>
        <w:gridCol w:w="1061"/>
        <w:gridCol w:w="983"/>
        <w:gridCol w:w="1066"/>
        <w:gridCol w:w="960"/>
        <w:gridCol w:w="1366"/>
      </w:tblGrid>
      <w:tr w:rsidRPr="00E77B24" w:rsidR="00E77B24" w:rsidTr="00A708F8"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238"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A708F8"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238"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6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6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A708F8" w:rsidTr="00A708F8"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A708F8" w:rsidP="00A708F8" w:rsidRDefault="00A708F8" w14:paraId="0DEAD39A" w14:textId="1E8D06E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238"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04C4837B" w14:textId="008EE84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Report of Medical Examination and Vaccination Record – Form I-693</w:t>
            </w:r>
          </w:p>
        </w:tc>
        <w:tc>
          <w:tcPr>
            <w:tcW w:w="1239"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01F4B292" w14:textId="161FF6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667,000</w:t>
            </w:r>
          </w:p>
        </w:tc>
        <w:tc>
          <w:tcPr>
            <w:tcW w:w="1180"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237336F3" w14:textId="0FC438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160FCCB1" w14:textId="720FD0A5">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667,000</w:t>
            </w:r>
          </w:p>
        </w:tc>
        <w:tc>
          <w:tcPr>
            <w:tcW w:w="983"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772C668F" w14:textId="7F49E8B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w:t>
            </w:r>
          </w:p>
        </w:tc>
        <w:tc>
          <w:tcPr>
            <w:tcW w:w="1066"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7D6767FE" w14:textId="09CC8D7E">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2,001,000</w:t>
            </w:r>
          </w:p>
        </w:tc>
        <w:tc>
          <w:tcPr>
            <w:tcW w:w="960"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030D78C8" w14:textId="0CCBF129">
            <w:pPr>
              <w:widowControl/>
              <w:autoSpaceDE/>
              <w:autoSpaceDN/>
              <w:adjustRightInd/>
              <w:jc w:val="center"/>
              <w:rPr>
                <w:rFonts w:ascii="Times New Roman" w:hAnsi="Times New Roman"/>
                <w:color w:val="FF0000"/>
                <w:sz w:val="20"/>
                <w:szCs w:val="20"/>
              </w:rPr>
            </w:pPr>
            <w:r w:rsidRPr="00A708F8">
              <w:rPr>
                <w:rFonts w:ascii="Times New Roman" w:hAnsi="Times New Roman"/>
                <w:color w:val="000000"/>
                <w:sz w:val="20"/>
                <w:szCs w:val="20"/>
              </w:rPr>
              <w:t>$39.52</w:t>
            </w:r>
          </w:p>
        </w:tc>
        <w:tc>
          <w:tcPr>
            <w:tcW w:w="1366"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36DF4DB9" w14:textId="29D71643">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$79,079,520</w:t>
            </w:r>
          </w:p>
        </w:tc>
      </w:tr>
      <w:tr w:rsidRPr="00E77B24" w:rsidR="00A708F8" w:rsidTr="00A708F8"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A708F8" w:rsidP="00A708F8" w:rsidRDefault="00A708F8" w14:paraId="63012E93" w14:textId="4DE67D9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238" w:type="dxa"/>
            <w:tcBorders>
              <w:top w:val="nil"/>
              <w:left w:val="nil"/>
              <w:bottom w:val="single" w:color="auto" w:sz="8" w:space="0"/>
              <w:right w:val="single" w:color="auto" w:sz="8" w:space="0"/>
            </w:tcBorders>
            <w:shd w:val="clear" w:color="000000" w:fill="000000"/>
            <w:vAlign w:val="center"/>
            <w:hideMark/>
          </w:tcPr>
          <w:p w:rsidRPr="00E77B24" w:rsidR="00A708F8" w:rsidP="00A708F8" w:rsidRDefault="00A708F8" w14:paraId="3F64B284" w14:textId="64A7032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A708F8" w:rsidP="00A708F8" w:rsidRDefault="00A708F8" w14:paraId="15214820" w14:textId="7631E5F5">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E77B24" w:rsidR="00A708F8" w:rsidP="00A708F8" w:rsidRDefault="00A708F8" w14:paraId="38D8A2C1" w14:textId="590DE7B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69E8A99E" w14:textId="75F0E961">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 667,000</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A708F8" w:rsidP="00A708F8" w:rsidRDefault="00A708F8" w14:paraId="1DBFF4A2" w14:textId="5721FC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6"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6818A358" w14:textId="64EB0C72">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2,001,000</w:t>
            </w:r>
          </w:p>
        </w:tc>
        <w:tc>
          <w:tcPr>
            <w:tcW w:w="960" w:type="dxa"/>
            <w:tcBorders>
              <w:top w:val="nil"/>
              <w:left w:val="nil"/>
              <w:bottom w:val="single" w:color="auto" w:sz="8" w:space="0"/>
              <w:right w:val="single" w:color="auto" w:sz="8" w:space="0"/>
            </w:tcBorders>
            <w:shd w:val="clear" w:color="000000" w:fill="000000"/>
            <w:vAlign w:val="center"/>
            <w:hideMark/>
          </w:tcPr>
          <w:p w:rsidRPr="00A708F8" w:rsidR="00A708F8" w:rsidP="00A708F8" w:rsidRDefault="00A708F8" w14:paraId="143F6587" w14:textId="581A9B46">
            <w:pPr>
              <w:widowControl/>
              <w:autoSpaceDE/>
              <w:autoSpaceDN/>
              <w:adjustRightInd/>
              <w:jc w:val="center"/>
              <w:rPr>
                <w:rFonts w:ascii="Times New Roman" w:hAnsi="Times New Roman"/>
                <w:color w:val="000000"/>
                <w:sz w:val="20"/>
                <w:szCs w:val="20"/>
              </w:rPr>
            </w:pPr>
          </w:p>
        </w:tc>
        <w:tc>
          <w:tcPr>
            <w:tcW w:w="1366"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5F269780" w14:textId="6D956AE4">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$79,079,520</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59BB9B5B">
      <w:pPr>
        <w:ind w:left="720"/>
        <w:jc w:val="both"/>
        <w:rPr>
          <w:sz w:val="20"/>
          <w:szCs w:val="20"/>
          <w:u w:val="single"/>
        </w:rPr>
      </w:pPr>
      <w:bookmarkStart w:name="_Hlk39049463" w:id="0"/>
      <w:r w:rsidRPr="00215244">
        <w:rPr>
          <w:i/>
          <w:iCs/>
          <w:sz w:val="20"/>
          <w:szCs w:val="20"/>
        </w:rPr>
        <w:t xml:space="preserve">*  </w:t>
      </w:r>
      <w:r w:rsidRPr="00BE2389" w:rsidR="00BE2389">
        <w:rPr>
          <w:rFonts w:ascii="Times New Roman" w:hAnsi="Times New Roman"/>
          <w:i/>
          <w:iCs/>
          <w:sz w:val="20"/>
          <w:szCs w:val="20"/>
        </w:rPr>
        <w:t>The above Average Hourly Wage Rate is the May 2020 Bureau of Labor Statistics average wage for</w:t>
      </w:r>
      <w:r w:rsidR="00E96C04">
        <w:rPr>
          <w:rFonts w:ascii="Times New Roman" w:hAnsi="Times New Roman"/>
          <w:i/>
          <w:iCs/>
          <w:sz w:val="20"/>
          <w:szCs w:val="20"/>
        </w:rPr>
        <w:t xml:space="preserve"> </w:t>
      </w:r>
      <w:r w:rsidRPr="00E96C04" w:rsidR="00E96C04">
        <w:rPr>
          <w:rFonts w:ascii="Times New Roman" w:hAnsi="Times New Roman"/>
          <w:i/>
          <w:iCs/>
          <w:sz w:val="20"/>
          <w:szCs w:val="20"/>
        </w:rPr>
        <w:t>All Occupations of $27.07 times the wage rate benefit multiplier of 1.46 (to account for benefits provided) equaling $39.52. The selection of “All Occupations” was chosen because respondents to this collection could be expected from any occupation</w:t>
      </w:r>
      <w:r w:rsidR="00E96C04">
        <w:rPr>
          <w:rFonts w:ascii="Times New Roman" w:hAnsi="Times New Roman"/>
          <w:i/>
          <w:iCs/>
          <w:sz w:val="20"/>
          <w:szCs w:val="20"/>
        </w:rPr>
        <w:t>.</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lastRenderedPageBreak/>
        <w:t>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1B3BE3" w:rsidP="001B3BE3" w:rsidRDefault="001B3BE3" w14:paraId="2330B4A6" w14:textId="63F4DAD4">
      <w:pPr>
        <w:ind w:left="720"/>
        <w:rPr>
          <w:rFonts w:ascii="Times New Roman" w:hAnsi="Times New Roman"/>
        </w:rPr>
      </w:pPr>
      <w:r>
        <w:rPr>
          <w:rFonts w:ascii="Times New Roman" w:hAnsi="Times New Roman"/>
        </w:rPr>
        <w:t>There are no capital or start-up costs associated with this information collection.  There is no fee associated with Form I-693.</w:t>
      </w:r>
    </w:p>
    <w:p w:rsidR="001B3BE3" w:rsidP="001B3BE3" w:rsidRDefault="001B3BE3" w14:paraId="1E8F008D" w14:textId="77777777">
      <w:pPr>
        <w:ind w:left="1440"/>
        <w:rPr>
          <w:rFonts w:ascii="Times New Roman" w:hAnsi="Times New Roman"/>
          <w:i/>
        </w:rPr>
      </w:pPr>
    </w:p>
    <w:p w:rsidR="001B3BE3" w:rsidP="001B3BE3" w:rsidRDefault="001B3BE3" w14:paraId="6F14D632" w14:textId="63555C6C">
      <w:pPr>
        <w:ind w:left="720"/>
        <w:rPr>
          <w:rFonts w:ascii="Times New Roman" w:hAnsi="Times New Roman"/>
        </w:rPr>
      </w:pPr>
      <w:r>
        <w:rPr>
          <w:rFonts w:ascii="Times New Roman" w:hAnsi="Times New Roman"/>
        </w:rPr>
        <w:t xml:space="preserve">This information collection may impose some out-of-pocket costs on certain respondents in addition to the time burden provided under Question 12 above.  Applicants may incur costs to obtain immigration medical examinations and mail the completed Form I-693 to USCIS. USCIS estimates the average cost of the medical examinations may vary widely, from as little as $20 to $1000 per respondent (from vaccinations to additional medical evaluations and testing that may be required based on the health conditions of the applicant).  USCIS estimates that the average cost to respondents is $493.75. The estimated cost to respondents for out-of-pocket costs is 667,000 respondents multiplied by the average cost per response of $493.75, which equals </w:t>
      </w:r>
      <w:r>
        <w:rPr>
          <w:rFonts w:ascii="Times New Roman" w:hAnsi="Times New Roman"/>
          <w:b/>
          <w:bCs/>
        </w:rPr>
        <w:t>$329,331,250.00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1B3BE3" w:rsidP="001B3BE3" w:rsidRDefault="001B3BE3" w14:paraId="00213AF8" w14:textId="77777777">
      <w:pPr>
        <w:tabs>
          <w:tab w:val="left" w:pos="-1440"/>
        </w:tabs>
        <w:ind w:left="720"/>
        <w:rPr>
          <w:rFonts w:ascii="Times New Roman" w:hAnsi="Times New Roman"/>
        </w:rPr>
      </w:pPr>
      <w:r>
        <w:rPr>
          <w:rFonts w:ascii="Times New Roman" w:hAnsi="Times New Roman"/>
          <w:u w:val="single"/>
        </w:rPr>
        <w:t>Annualized Cost Analysis</w:t>
      </w:r>
      <w:r>
        <w:rPr>
          <w:rFonts w:ascii="Times New Roman" w:hAnsi="Times New Roman"/>
        </w:rPr>
        <w:t>:</w:t>
      </w:r>
    </w:p>
    <w:p w:rsidR="001B3BE3" w:rsidP="001B3BE3" w:rsidRDefault="001B3BE3" w14:paraId="15DFFC29" w14:textId="77777777">
      <w:pPr>
        <w:numPr>
          <w:ilvl w:val="0"/>
          <w:numId w:val="12"/>
        </w:numPr>
        <w:tabs>
          <w:tab w:val="left" w:pos="-1440"/>
        </w:tabs>
        <w:rPr>
          <w:rFonts w:ascii="Times New Roman" w:hAnsi="Times New Roman"/>
        </w:rPr>
      </w:pPr>
      <w:r>
        <w:rPr>
          <w:rFonts w:ascii="Times New Roman" w:hAnsi="Times New Roman"/>
        </w:rPr>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109,634   </w:t>
      </w:r>
    </w:p>
    <w:p w:rsidR="001B3BE3" w:rsidP="001B3BE3" w:rsidRDefault="001B3BE3" w14:paraId="4CD96FFC" w14:textId="77777777">
      <w:pPr>
        <w:numPr>
          <w:ilvl w:val="0"/>
          <w:numId w:val="12"/>
        </w:numPr>
        <w:tabs>
          <w:tab w:val="left" w:pos="-1440"/>
        </w:tabs>
        <w:rPr>
          <w:rFonts w:ascii="Times New Roman" w:hAnsi="Times New Roman"/>
        </w:rPr>
      </w:pPr>
      <w:r>
        <w:rPr>
          <w:rFonts w:ascii="Times New Roman" w:hAnsi="Times New Roman"/>
        </w:rPr>
        <w:t>Collection and Processing Cost</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Cs/>
        </w:rPr>
        <w:t>42,021,000</w:t>
      </w:r>
    </w:p>
    <w:p w:rsidR="001B3BE3" w:rsidP="001B3BE3" w:rsidRDefault="001B3BE3" w14:paraId="4CA9FC81" w14:textId="77777777">
      <w:pPr>
        <w:numPr>
          <w:ilvl w:val="0"/>
          <w:numId w:val="12"/>
        </w:numPr>
        <w:tabs>
          <w:tab w:val="left" w:pos="-1440"/>
        </w:tabs>
        <w:rPr>
          <w:rFonts w:ascii="Times New Roman" w:hAnsi="Times New Roman"/>
          <w:b/>
        </w:rPr>
      </w:pPr>
      <w:r>
        <w:rPr>
          <w:rFonts w:ascii="Times New Roman" w:hAnsi="Times New Roman"/>
          <w:b/>
        </w:rPr>
        <w:t>Total Annual Cost to the Government</w:t>
      </w:r>
      <w:r>
        <w:rPr>
          <w:rFonts w:ascii="Times New Roman" w:hAnsi="Times New Roman"/>
          <w:b/>
        </w:rPr>
        <w:tab/>
      </w:r>
      <w:r>
        <w:rPr>
          <w:rFonts w:ascii="Times New Roman" w:hAnsi="Times New Roman"/>
          <w:b/>
        </w:rPr>
        <w:tab/>
        <w:t>$        42,130,634</w:t>
      </w:r>
    </w:p>
    <w:p w:rsidR="001B3BE3" w:rsidP="001B3BE3" w:rsidRDefault="001B3BE3" w14:paraId="3048CABD" w14:textId="77777777">
      <w:pPr>
        <w:tabs>
          <w:tab w:val="left" w:pos="-1440"/>
        </w:tabs>
        <w:ind w:left="720"/>
        <w:rPr>
          <w:rFonts w:ascii="Times New Roman" w:hAnsi="Times New Roman"/>
        </w:rPr>
      </w:pPr>
    </w:p>
    <w:p w:rsidR="001B3BE3" w:rsidP="001B3BE3" w:rsidRDefault="001B3BE3" w14:paraId="73968162" w14:textId="77777777">
      <w:pPr>
        <w:tabs>
          <w:tab w:val="left" w:pos="-1440"/>
        </w:tabs>
        <w:ind w:left="720"/>
        <w:rPr>
          <w:rFonts w:ascii="Times New Roman" w:hAnsi="Times New Roman"/>
          <w:b/>
        </w:rPr>
      </w:pPr>
      <w:r>
        <w:rPr>
          <w:rFonts w:ascii="Times New Roman" w:hAnsi="Times New Roman"/>
          <w:b/>
        </w:rPr>
        <w:lastRenderedPageBreak/>
        <w:t>Government Cost</w:t>
      </w:r>
    </w:p>
    <w:p w:rsidR="001B3BE3" w:rsidP="001B3BE3" w:rsidRDefault="001B3BE3" w14:paraId="6FEE8CCD" w14:textId="77777777">
      <w:pPr>
        <w:tabs>
          <w:tab w:val="left" w:pos="-1440"/>
        </w:tabs>
        <w:ind w:left="720"/>
        <w:rPr>
          <w:rFonts w:ascii="Times New Roman" w:hAnsi="Times New Roman"/>
          <w:bCs/>
        </w:rPr>
      </w:pPr>
      <w:r>
        <w:rPr>
          <w:rFonts w:ascii="Times New Roman" w:hAnsi="Times New Roman"/>
        </w:rPr>
        <w:t xml:space="preserve">The estimated cost to USCIS, which is covered by fee receipts, is </w:t>
      </w:r>
      <w:r>
        <w:rPr>
          <w:rFonts w:ascii="Times New Roman" w:hAnsi="Times New Roman"/>
          <w:b/>
          <w:bCs/>
        </w:rPr>
        <w:t>$</w:t>
      </w:r>
      <w:r>
        <w:rPr>
          <w:rFonts w:ascii="Times New Roman" w:hAnsi="Times New Roman"/>
          <w:b/>
        </w:rPr>
        <w:t>42,130,634</w:t>
      </w:r>
      <w:r>
        <w:rPr>
          <w:rFonts w:ascii="Times New Roman" w:hAnsi="Times New Roman"/>
        </w:rPr>
        <w:t>.  This figure is calculated by using the estimated number of respondents 667,000 x (1) number of response x (</w:t>
      </w:r>
      <w:r>
        <w:rPr>
          <w:rFonts w:ascii="Times New Roman" w:hAnsi="Times New Roman"/>
          <w:bCs/>
        </w:rPr>
        <w:t>1.5</w:t>
      </w:r>
      <w:r>
        <w:rPr>
          <w:rFonts w:ascii="Times New Roman" w:hAnsi="Times New Roman"/>
        </w:rPr>
        <w:t xml:space="preserve"> hours) per response (time required to collect and process information) x </w:t>
      </w:r>
      <w:r>
        <w:rPr>
          <w:rFonts w:ascii="Times New Roman" w:hAnsi="Times New Roman"/>
          <w:bCs/>
        </w:rPr>
        <w:t>$42</w:t>
      </w:r>
      <w:r>
        <w:rPr>
          <w:rFonts w:ascii="Times New Roman" w:hAnsi="Times New Roman"/>
        </w:rPr>
        <w:t xml:space="preserve"> (suggested average hourly rate for clerical, officer, and supervisory time with benefits), which equals $42,021,000.  In addition, this figure includes the estimated overhead cost for printing, stocking, and distributing the form, which is $109,634</w:t>
      </w:r>
      <w:r>
        <w:rPr>
          <w:rFonts w:ascii="Times New Roman" w:hAnsi="Times New Roman"/>
          <w:bCs/>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53CADA21" w14:textId="4F0ED126">
      <w:pPr>
        <w:ind w:left="720"/>
        <w:rPr>
          <w:rFonts w:ascii="Times New Roman" w:hAnsi="Times New Roman"/>
        </w:rPr>
      </w:pPr>
    </w:p>
    <w:tbl>
      <w:tblPr>
        <w:tblW w:w="9749" w:type="dxa"/>
        <w:tblLook w:val="04A0" w:firstRow="1" w:lastRow="0" w:firstColumn="1" w:lastColumn="0" w:noHBand="0" w:noVBand="1"/>
      </w:tblPr>
      <w:tblGrid>
        <w:gridCol w:w="1705"/>
        <w:gridCol w:w="1370"/>
        <w:gridCol w:w="1250"/>
        <w:gridCol w:w="1282"/>
        <w:gridCol w:w="1430"/>
        <w:gridCol w:w="1430"/>
        <w:gridCol w:w="1282"/>
      </w:tblGrid>
      <w:tr w:rsidRPr="00A708F8" w:rsidR="00A708F8" w:rsidTr="00F26A0E" w14:paraId="7CFC47C0" w14:textId="77777777">
        <w:trPr>
          <w:trHeight w:val="1890"/>
        </w:trPr>
        <w:tc>
          <w:tcPr>
            <w:tcW w:w="17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F26A0E" w:rsidP="00A708F8" w:rsidRDefault="00A708F8" w14:paraId="42FD7494" w14:textId="77777777">
            <w:pPr>
              <w:widowControl/>
              <w:autoSpaceDE/>
              <w:autoSpaceDN/>
              <w:adjustRightInd/>
              <w:rPr>
                <w:rFonts w:ascii="Times New Roman" w:hAnsi="Times New Roman"/>
                <w:b/>
                <w:bCs/>
                <w:color w:val="000000"/>
              </w:rPr>
            </w:pPr>
            <w:r w:rsidRPr="00A708F8">
              <w:rPr>
                <w:rFonts w:ascii="Times New Roman" w:hAnsi="Times New Roman"/>
                <w:b/>
                <w:bCs/>
                <w:color w:val="000000"/>
              </w:rPr>
              <w:t>Data collection Activity/</w:t>
            </w:r>
          </w:p>
          <w:p w:rsidRPr="00A708F8" w:rsidR="00A708F8" w:rsidP="00A708F8" w:rsidRDefault="00A708F8" w14:paraId="0535A818" w14:textId="140FF382">
            <w:pPr>
              <w:widowControl/>
              <w:autoSpaceDE/>
              <w:autoSpaceDN/>
              <w:adjustRightInd/>
              <w:rPr>
                <w:rFonts w:ascii="Times New Roman" w:hAnsi="Times New Roman"/>
                <w:b/>
                <w:bCs/>
                <w:color w:val="000000"/>
              </w:rPr>
            </w:pPr>
            <w:r w:rsidRPr="00A708F8">
              <w:rPr>
                <w:rFonts w:ascii="Times New Roman" w:hAnsi="Times New Roman"/>
                <w:b/>
                <w:bCs/>
                <w:color w:val="000000"/>
              </w:rPr>
              <w:t>Instrument</w:t>
            </w:r>
          </w:p>
        </w:tc>
        <w:tc>
          <w:tcPr>
            <w:tcW w:w="1370" w:type="dxa"/>
            <w:tcBorders>
              <w:top w:val="single" w:color="auto" w:sz="4" w:space="0"/>
              <w:left w:val="nil"/>
              <w:bottom w:val="single" w:color="auto" w:sz="4" w:space="0"/>
              <w:right w:val="single" w:color="auto" w:sz="4" w:space="0"/>
            </w:tcBorders>
            <w:shd w:val="clear" w:color="auto" w:fill="auto"/>
            <w:vAlign w:val="bottom"/>
            <w:hideMark/>
          </w:tcPr>
          <w:p w:rsidRPr="00A708F8" w:rsidR="00A708F8" w:rsidP="00A708F8" w:rsidRDefault="00A708F8" w14:paraId="767E5D55" w14:textId="77777777">
            <w:pPr>
              <w:widowControl/>
              <w:autoSpaceDE/>
              <w:autoSpaceDN/>
              <w:adjustRightInd/>
              <w:rPr>
                <w:rFonts w:ascii="Times New Roman" w:hAnsi="Times New Roman"/>
                <w:b/>
                <w:bCs/>
                <w:color w:val="000000"/>
              </w:rPr>
            </w:pPr>
            <w:r w:rsidRPr="00A708F8">
              <w:rPr>
                <w:rFonts w:ascii="Times New Roman" w:hAnsi="Times New Roman"/>
                <w:b/>
                <w:bCs/>
                <w:color w:val="000000"/>
              </w:rPr>
              <w:t xml:space="preserve">Program Change (hours currently on OMB Inventory) </w:t>
            </w:r>
          </w:p>
        </w:tc>
        <w:tc>
          <w:tcPr>
            <w:tcW w:w="1250" w:type="dxa"/>
            <w:tcBorders>
              <w:top w:val="single" w:color="auto" w:sz="4" w:space="0"/>
              <w:left w:val="nil"/>
              <w:bottom w:val="single" w:color="auto" w:sz="4" w:space="0"/>
              <w:right w:val="single" w:color="auto" w:sz="4" w:space="0"/>
            </w:tcBorders>
            <w:shd w:val="clear" w:color="auto" w:fill="auto"/>
            <w:vAlign w:val="bottom"/>
            <w:hideMark/>
          </w:tcPr>
          <w:p w:rsidRPr="00A708F8" w:rsidR="00A708F8" w:rsidP="00A708F8" w:rsidRDefault="00A708F8" w14:paraId="68CF840E" w14:textId="77777777">
            <w:pPr>
              <w:widowControl/>
              <w:autoSpaceDE/>
              <w:autoSpaceDN/>
              <w:adjustRightInd/>
              <w:rPr>
                <w:rFonts w:ascii="Times New Roman" w:hAnsi="Times New Roman"/>
                <w:b/>
                <w:bCs/>
                <w:color w:val="000000"/>
              </w:rPr>
            </w:pPr>
            <w:r w:rsidRPr="00A708F8">
              <w:rPr>
                <w:rFonts w:ascii="Times New Roman" w:hAnsi="Times New Roman"/>
                <w:b/>
                <w:bCs/>
                <w:color w:val="000000"/>
              </w:rPr>
              <w:t xml:space="preserve">Program Change (New) </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A708F8" w:rsidR="00A708F8" w:rsidP="00A708F8" w:rsidRDefault="00A708F8" w14:paraId="7C0A08CA" w14:textId="77777777">
            <w:pPr>
              <w:widowControl/>
              <w:autoSpaceDE/>
              <w:autoSpaceDN/>
              <w:adjustRightInd/>
              <w:rPr>
                <w:rFonts w:ascii="Times New Roman" w:hAnsi="Times New Roman"/>
                <w:b/>
                <w:bCs/>
                <w:color w:val="000000"/>
              </w:rPr>
            </w:pPr>
            <w:r w:rsidRPr="00A708F8">
              <w:rPr>
                <w:rFonts w:ascii="Times New Roman" w:hAnsi="Times New Roman"/>
                <w:b/>
                <w:bCs/>
                <w:color w:val="000000"/>
              </w:rPr>
              <w:t>Difference</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A708F8" w:rsidR="00A708F8" w:rsidP="00A708F8" w:rsidRDefault="00A708F8" w14:paraId="28002951" w14:textId="77777777">
            <w:pPr>
              <w:widowControl/>
              <w:autoSpaceDE/>
              <w:autoSpaceDN/>
              <w:adjustRightInd/>
              <w:rPr>
                <w:rFonts w:ascii="Times New Roman" w:hAnsi="Times New Roman"/>
                <w:b/>
                <w:bCs/>
                <w:color w:val="000000"/>
              </w:rPr>
            </w:pPr>
            <w:r w:rsidRPr="00A708F8">
              <w:rPr>
                <w:rFonts w:ascii="Times New Roman" w:hAnsi="Times New Roman"/>
                <w:b/>
                <w:bCs/>
                <w:color w:val="000000"/>
              </w:rPr>
              <w:t>Adjustment (hours currently on OMB Inventory)</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A708F8" w:rsidR="00A708F8" w:rsidP="00A708F8" w:rsidRDefault="00A708F8" w14:paraId="293DCCB0" w14:textId="77777777">
            <w:pPr>
              <w:widowControl/>
              <w:autoSpaceDE/>
              <w:autoSpaceDN/>
              <w:adjustRightInd/>
              <w:rPr>
                <w:rFonts w:ascii="Times New Roman" w:hAnsi="Times New Roman"/>
                <w:b/>
                <w:bCs/>
                <w:color w:val="000000"/>
              </w:rPr>
            </w:pPr>
            <w:r w:rsidRPr="00A708F8">
              <w:rPr>
                <w:rFonts w:ascii="Times New Roman" w:hAnsi="Times New Roman"/>
                <w:b/>
                <w:bCs/>
                <w:color w:val="000000"/>
              </w:rPr>
              <w:t>Adjustment (New)</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A708F8" w:rsidR="00A708F8" w:rsidP="00A708F8" w:rsidRDefault="00A708F8" w14:paraId="42E2419F" w14:textId="77777777">
            <w:pPr>
              <w:widowControl/>
              <w:autoSpaceDE/>
              <w:autoSpaceDN/>
              <w:adjustRightInd/>
              <w:rPr>
                <w:rFonts w:ascii="Times New Roman" w:hAnsi="Times New Roman"/>
                <w:b/>
                <w:bCs/>
                <w:color w:val="000000"/>
              </w:rPr>
            </w:pPr>
            <w:r w:rsidRPr="00A708F8">
              <w:rPr>
                <w:rFonts w:ascii="Times New Roman" w:hAnsi="Times New Roman"/>
                <w:b/>
                <w:bCs/>
                <w:color w:val="000000"/>
              </w:rPr>
              <w:t>Difference</w:t>
            </w:r>
          </w:p>
        </w:tc>
      </w:tr>
      <w:tr w:rsidRPr="00A708F8" w:rsidR="00A708F8" w:rsidTr="00F26A0E" w14:paraId="27CDC5DE" w14:textId="77777777">
        <w:trPr>
          <w:trHeight w:val="315"/>
        </w:trPr>
        <w:tc>
          <w:tcPr>
            <w:tcW w:w="1705" w:type="dxa"/>
            <w:tcBorders>
              <w:top w:val="nil"/>
              <w:left w:val="single" w:color="auto" w:sz="4" w:space="0"/>
              <w:bottom w:val="single" w:color="auto" w:sz="4" w:space="0"/>
              <w:right w:val="single" w:color="auto" w:sz="4" w:space="0"/>
            </w:tcBorders>
            <w:shd w:val="clear" w:color="auto" w:fill="auto"/>
            <w:vAlign w:val="bottom"/>
            <w:hideMark/>
          </w:tcPr>
          <w:p w:rsidRPr="00A708F8" w:rsidR="00A708F8" w:rsidP="00A708F8" w:rsidRDefault="00A708F8" w14:paraId="75598C87" w14:textId="77777777">
            <w:pPr>
              <w:widowControl/>
              <w:autoSpaceDE/>
              <w:autoSpaceDN/>
              <w:adjustRightInd/>
              <w:rPr>
                <w:rFonts w:ascii="Times New Roman" w:hAnsi="Times New Roman"/>
                <w:color w:val="000000"/>
              </w:rPr>
            </w:pPr>
            <w:r w:rsidRPr="00A708F8">
              <w:rPr>
                <w:rFonts w:ascii="Times New Roman" w:hAnsi="Times New Roman"/>
                <w:color w:val="000000"/>
              </w:rPr>
              <w:t>I-693</w:t>
            </w:r>
          </w:p>
        </w:tc>
        <w:tc>
          <w:tcPr>
            <w:tcW w:w="1370"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077119F2" w14:textId="77777777">
            <w:pPr>
              <w:widowControl/>
              <w:autoSpaceDE/>
              <w:autoSpaceDN/>
              <w:adjustRightInd/>
              <w:rPr>
                <w:rFonts w:ascii="Times New Roman" w:hAnsi="Times New Roman"/>
                <w:color w:val="000000"/>
              </w:rPr>
            </w:pPr>
            <w:r w:rsidRPr="00A708F8">
              <w:rPr>
                <w:rFonts w:ascii="Times New Roman" w:hAnsi="Times New Roman"/>
                <w:color w:val="000000"/>
              </w:rPr>
              <w:t> </w:t>
            </w:r>
          </w:p>
        </w:tc>
        <w:tc>
          <w:tcPr>
            <w:tcW w:w="1250"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18FD18FB" w14:textId="77777777">
            <w:pPr>
              <w:widowControl/>
              <w:autoSpaceDE/>
              <w:autoSpaceDN/>
              <w:adjustRightInd/>
              <w:rPr>
                <w:rFonts w:ascii="Times New Roman" w:hAnsi="Times New Roman"/>
                <w:color w:val="000000"/>
              </w:rPr>
            </w:pPr>
            <w:r w:rsidRPr="00A708F8">
              <w:rPr>
                <w:rFonts w:ascii="Times New Roman" w:hAnsi="Times New Roman"/>
                <w:color w:val="000000"/>
              </w:rPr>
              <w:t> </w:t>
            </w:r>
          </w:p>
        </w:tc>
        <w:tc>
          <w:tcPr>
            <w:tcW w:w="1282"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40B41446" w14:textId="77777777">
            <w:pPr>
              <w:widowControl/>
              <w:autoSpaceDE/>
              <w:autoSpaceDN/>
              <w:adjustRightInd/>
              <w:rPr>
                <w:rFonts w:ascii="Times New Roman" w:hAnsi="Times New Roman"/>
                <w:color w:val="000000"/>
              </w:rPr>
            </w:pPr>
            <w:r w:rsidRPr="00A708F8">
              <w:rPr>
                <w:rFonts w:ascii="Times New Roman" w:hAnsi="Times New Roman"/>
                <w:color w:val="000000"/>
              </w:rPr>
              <w:t> </w:t>
            </w:r>
          </w:p>
        </w:tc>
        <w:tc>
          <w:tcPr>
            <w:tcW w:w="1430"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577A9905" w14:textId="77777777">
            <w:pPr>
              <w:widowControl/>
              <w:autoSpaceDE/>
              <w:autoSpaceDN/>
              <w:adjustRightInd/>
              <w:jc w:val="right"/>
              <w:rPr>
                <w:rFonts w:ascii="Times New Roman" w:hAnsi="Times New Roman"/>
                <w:color w:val="000000"/>
              </w:rPr>
            </w:pPr>
            <w:r w:rsidRPr="00A708F8">
              <w:rPr>
                <w:rFonts w:ascii="Times New Roman" w:hAnsi="Times New Roman"/>
                <w:color w:val="000000"/>
              </w:rPr>
              <w:t>1,667,500</w:t>
            </w:r>
          </w:p>
        </w:tc>
        <w:tc>
          <w:tcPr>
            <w:tcW w:w="1430"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154D3B9F" w14:textId="77777777">
            <w:pPr>
              <w:widowControl/>
              <w:autoSpaceDE/>
              <w:autoSpaceDN/>
              <w:adjustRightInd/>
              <w:jc w:val="right"/>
              <w:rPr>
                <w:rFonts w:ascii="Times New Roman" w:hAnsi="Times New Roman"/>
                <w:color w:val="000000"/>
              </w:rPr>
            </w:pPr>
            <w:r w:rsidRPr="00A708F8">
              <w:rPr>
                <w:rFonts w:ascii="Times New Roman" w:hAnsi="Times New Roman"/>
                <w:color w:val="000000"/>
              </w:rPr>
              <w:t>2,001,000</w:t>
            </w:r>
          </w:p>
        </w:tc>
        <w:tc>
          <w:tcPr>
            <w:tcW w:w="1282"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4EF4FE54" w14:textId="77777777">
            <w:pPr>
              <w:widowControl/>
              <w:autoSpaceDE/>
              <w:autoSpaceDN/>
              <w:adjustRightInd/>
              <w:jc w:val="right"/>
              <w:rPr>
                <w:rFonts w:ascii="Times New Roman" w:hAnsi="Times New Roman"/>
                <w:color w:val="000000"/>
              </w:rPr>
            </w:pPr>
            <w:r w:rsidRPr="00A708F8">
              <w:rPr>
                <w:rFonts w:ascii="Times New Roman" w:hAnsi="Times New Roman"/>
                <w:color w:val="000000"/>
              </w:rPr>
              <w:t>333,500</w:t>
            </w:r>
          </w:p>
        </w:tc>
      </w:tr>
      <w:tr w:rsidRPr="00A708F8" w:rsidR="00A708F8" w:rsidTr="00F26A0E" w14:paraId="2CA8E32D" w14:textId="77777777">
        <w:trPr>
          <w:trHeight w:val="315"/>
        </w:trPr>
        <w:tc>
          <w:tcPr>
            <w:tcW w:w="1705" w:type="dxa"/>
            <w:tcBorders>
              <w:top w:val="nil"/>
              <w:left w:val="single" w:color="auto" w:sz="4" w:space="0"/>
              <w:bottom w:val="single" w:color="auto" w:sz="4" w:space="0"/>
              <w:right w:val="single" w:color="auto" w:sz="4" w:space="0"/>
            </w:tcBorders>
            <w:shd w:val="clear" w:color="auto" w:fill="auto"/>
            <w:vAlign w:val="bottom"/>
            <w:hideMark/>
          </w:tcPr>
          <w:p w:rsidRPr="00A708F8" w:rsidR="00A708F8" w:rsidP="00A708F8" w:rsidRDefault="00A708F8" w14:paraId="1C2C97F6" w14:textId="77777777">
            <w:pPr>
              <w:widowControl/>
              <w:autoSpaceDE/>
              <w:autoSpaceDN/>
              <w:adjustRightInd/>
              <w:rPr>
                <w:rFonts w:ascii="Times New Roman" w:hAnsi="Times New Roman"/>
                <w:b/>
                <w:bCs/>
                <w:color w:val="000000"/>
              </w:rPr>
            </w:pPr>
            <w:r w:rsidRPr="00A708F8">
              <w:rPr>
                <w:rFonts w:ascii="Times New Roman" w:hAnsi="Times New Roman"/>
                <w:b/>
                <w:bCs/>
                <w:color w:val="000000"/>
              </w:rPr>
              <w:t>Total(s)</w:t>
            </w:r>
          </w:p>
        </w:tc>
        <w:tc>
          <w:tcPr>
            <w:tcW w:w="1370"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75CE88B0" w14:textId="77777777">
            <w:pPr>
              <w:widowControl/>
              <w:autoSpaceDE/>
              <w:autoSpaceDN/>
              <w:adjustRightInd/>
              <w:jc w:val="right"/>
              <w:rPr>
                <w:rFonts w:ascii="Times New Roman" w:hAnsi="Times New Roman"/>
                <w:b/>
                <w:bCs/>
                <w:color w:val="000000"/>
              </w:rPr>
            </w:pPr>
            <w:r w:rsidRPr="00A708F8">
              <w:rPr>
                <w:rFonts w:ascii="Times New Roman" w:hAnsi="Times New Roman"/>
                <w:b/>
                <w:bCs/>
                <w:color w:val="000000"/>
              </w:rPr>
              <w:t>0</w:t>
            </w:r>
          </w:p>
        </w:tc>
        <w:tc>
          <w:tcPr>
            <w:tcW w:w="1250"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0F5EBD5A" w14:textId="77777777">
            <w:pPr>
              <w:widowControl/>
              <w:autoSpaceDE/>
              <w:autoSpaceDN/>
              <w:adjustRightInd/>
              <w:jc w:val="right"/>
              <w:rPr>
                <w:rFonts w:ascii="Times New Roman" w:hAnsi="Times New Roman"/>
                <w:b/>
                <w:bCs/>
                <w:color w:val="000000"/>
              </w:rPr>
            </w:pPr>
            <w:r w:rsidRPr="00A708F8">
              <w:rPr>
                <w:rFonts w:ascii="Times New Roman" w:hAnsi="Times New Roman"/>
                <w:b/>
                <w:bCs/>
                <w:color w:val="000000"/>
              </w:rPr>
              <w:t>0</w:t>
            </w:r>
          </w:p>
        </w:tc>
        <w:tc>
          <w:tcPr>
            <w:tcW w:w="1282"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4092F173" w14:textId="77777777">
            <w:pPr>
              <w:widowControl/>
              <w:autoSpaceDE/>
              <w:autoSpaceDN/>
              <w:adjustRightInd/>
              <w:jc w:val="right"/>
              <w:rPr>
                <w:rFonts w:ascii="Times New Roman" w:hAnsi="Times New Roman"/>
                <w:b/>
                <w:bCs/>
                <w:color w:val="000000"/>
              </w:rPr>
            </w:pPr>
            <w:r w:rsidRPr="00A708F8">
              <w:rPr>
                <w:rFonts w:ascii="Times New Roman" w:hAnsi="Times New Roman"/>
                <w:b/>
                <w:bCs/>
                <w:color w:val="000000"/>
              </w:rPr>
              <w:t>0</w:t>
            </w:r>
          </w:p>
        </w:tc>
        <w:tc>
          <w:tcPr>
            <w:tcW w:w="1430"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604594C1" w14:textId="77777777">
            <w:pPr>
              <w:widowControl/>
              <w:autoSpaceDE/>
              <w:autoSpaceDN/>
              <w:adjustRightInd/>
              <w:jc w:val="right"/>
              <w:rPr>
                <w:rFonts w:ascii="Times New Roman" w:hAnsi="Times New Roman"/>
                <w:b/>
                <w:bCs/>
                <w:color w:val="000000"/>
              </w:rPr>
            </w:pPr>
            <w:r w:rsidRPr="00A708F8">
              <w:rPr>
                <w:rFonts w:ascii="Times New Roman" w:hAnsi="Times New Roman"/>
                <w:b/>
                <w:bCs/>
                <w:color w:val="000000"/>
              </w:rPr>
              <w:t>1,667,500</w:t>
            </w:r>
          </w:p>
        </w:tc>
        <w:tc>
          <w:tcPr>
            <w:tcW w:w="1430"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686890FE" w14:textId="77777777">
            <w:pPr>
              <w:widowControl/>
              <w:autoSpaceDE/>
              <w:autoSpaceDN/>
              <w:adjustRightInd/>
              <w:jc w:val="right"/>
              <w:rPr>
                <w:rFonts w:ascii="Times New Roman" w:hAnsi="Times New Roman"/>
                <w:b/>
                <w:bCs/>
                <w:color w:val="000000"/>
              </w:rPr>
            </w:pPr>
            <w:r w:rsidRPr="00A708F8">
              <w:rPr>
                <w:rFonts w:ascii="Times New Roman" w:hAnsi="Times New Roman"/>
                <w:b/>
                <w:bCs/>
                <w:color w:val="000000"/>
              </w:rPr>
              <w:t>2,001,000</w:t>
            </w:r>
          </w:p>
        </w:tc>
        <w:tc>
          <w:tcPr>
            <w:tcW w:w="1282" w:type="dxa"/>
            <w:tcBorders>
              <w:top w:val="nil"/>
              <w:left w:val="nil"/>
              <w:bottom w:val="single" w:color="auto" w:sz="4" w:space="0"/>
              <w:right w:val="single" w:color="auto" w:sz="4" w:space="0"/>
            </w:tcBorders>
            <w:shd w:val="clear" w:color="auto" w:fill="auto"/>
            <w:vAlign w:val="bottom"/>
            <w:hideMark/>
          </w:tcPr>
          <w:p w:rsidRPr="00A708F8" w:rsidR="00A708F8" w:rsidP="00A708F8" w:rsidRDefault="00A708F8" w14:paraId="0E8F5B29" w14:textId="77777777">
            <w:pPr>
              <w:widowControl/>
              <w:autoSpaceDE/>
              <w:autoSpaceDN/>
              <w:adjustRightInd/>
              <w:jc w:val="right"/>
              <w:rPr>
                <w:rFonts w:ascii="Times New Roman" w:hAnsi="Times New Roman"/>
                <w:b/>
                <w:bCs/>
                <w:color w:val="000000"/>
              </w:rPr>
            </w:pPr>
            <w:r w:rsidRPr="00A708F8">
              <w:rPr>
                <w:rFonts w:ascii="Times New Roman" w:hAnsi="Times New Roman"/>
                <w:b/>
                <w:bCs/>
                <w:color w:val="000000"/>
              </w:rPr>
              <w:t>333,500</w:t>
            </w:r>
          </w:p>
        </w:tc>
      </w:tr>
    </w:tbl>
    <w:p w:rsidR="00A708F8" w:rsidP="00914A5D" w:rsidRDefault="00A708F8" w14:paraId="60DF8A73" w14:textId="235D4D6B">
      <w:pPr>
        <w:ind w:left="720"/>
        <w:rPr>
          <w:rFonts w:ascii="Times New Roman" w:hAnsi="Times New Roman"/>
        </w:rPr>
      </w:pPr>
    </w:p>
    <w:p w:rsidR="00A708F8" w:rsidP="00914A5D" w:rsidRDefault="00F26A0E" w14:paraId="7F162635" w14:textId="12EFC973">
      <w:pPr>
        <w:ind w:left="720"/>
        <w:rPr>
          <w:rFonts w:ascii="Times New Roman" w:hAnsi="Times New Roman"/>
        </w:rPr>
      </w:pPr>
      <w:r>
        <w:rPr>
          <w:rFonts w:ascii="Times New Roman" w:hAnsi="Times New Roman"/>
        </w:rPr>
        <w:t>There is an increase in the estimated annual hour burden to respondents as a result of this change. USCIS estimates an increase of 0.5 hours per response across the entire respondent population.</w:t>
      </w:r>
    </w:p>
    <w:p w:rsidR="00F26A0E" w:rsidP="00914A5D" w:rsidRDefault="00F26A0E" w14:paraId="11714E74" w14:textId="77777777">
      <w:pPr>
        <w:ind w:left="720"/>
        <w:rPr>
          <w:rFonts w:ascii="Times New Roman" w:hAnsi="Times New Roman"/>
        </w:rPr>
      </w:pPr>
    </w:p>
    <w:p w:rsidR="001B3BE3" w:rsidP="00914A5D" w:rsidRDefault="001B3BE3" w14:paraId="067A6F48" w14:textId="04EC4708">
      <w:pPr>
        <w:ind w:left="720"/>
        <w:rPr>
          <w:rFonts w:ascii="Times New Roman" w:hAnsi="Times New Roman"/>
        </w:rPr>
      </w:pPr>
      <w:r>
        <w:rPr>
          <w:rFonts w:ascii="Times New Roman" w:hAnsi="Times New Roman"/>
        </w:rPr>
        <w:t xml:space="preserve">There are no changes to the estimated annual cost burden to respondents as a result of this change. </w:t>
      </w:r>
    </w:p>
    <w:p w:rsidRPr="0029577A" w:rsidR="001B3BE3" w:rsidP="00914A5D" w:rsidRDefault="001B3BE3" w14:paraId="6A6E0F6B"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06F03ACC" w14:textId="77777777" w:rsidR="00BE2389" w:rsidRDefault="00BE2389" w:rsidP="00BE2389">
      <w:pPr>
        <w:pStyle w:val="FootnoteText"/>
      </w:pPr>
      <w:r>
        <w:rPr>
          <w:rStyle w:val="FootnoteReference"/>
        </w:rPr>
        <w:footnoteRef/>
      </w:r>
      <w:r>
        <w:t xml:space="preserve"> Provided by the Centers for Disease Control and Prevention, a component agency of HHS.   The </w:t>
      </w:r>
      <w:r>
        <w:rPr>
          <w:i/>
        </w:rPr>
        <w:t>Technical Instructions</w:t>
      </w:r>
      <w:r>
        <w:t xml:space="preserve"> are available online at: </w:t>
      </w:r>
      <w:hyperlink r:id="rId1" w:history="1">
        <w:r>
          <w:rPr>
            <w:rStyle w:val="Hyperlink"/>
          </w:rPr>
          <w:t>http://www.cdc.gov/immigrantrefugeehealth/exams/ti/ci</w:t>
        </w:r>
        <w:r>
          <w:rPr>
            <w:rStyle w:val="Hyperlink"/>
          </w:rPr>
          <w:t>v</w:t>
        </w:r>
        <w:r>
          <w:rPr>
            <w:rStyle w:val="Hyperlink"/>
          </w:rPr>
          <w:t>il/technical-instructions-civil-surgeons.html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lvl>
  </w:abstractNum>
  <w:abstractNum w:abstractNumId="7" w15:restartNumberingAfterBreak="0">
    <w:nsid w:val="43960A26"/>
    <w:multiLevelType w:val="hybridMultilevel"/>
    <w:tmpl w:val="72DCC0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DB1E8B"/>
    <w:multiLevelType w:val="hybridMultilevel"/>
    <w:tmpl w:val="EFE23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1"/>
  </w:num>
  <w:num w:numId="10">
    <w:abstractNumId w:val="10"/>
  </w:num>
  <w:num w:numId="11">
    <w:abstractNumId w:val="7"/>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B3BE3"/>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A5546"/>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518D7"/>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302A1"/>
    <w:rsid w:val="00944A8A"/>
    <w:rsid w:val="009556EE"/>
    <w:rsid w:val="00974223"/>
    <w:rsid w:val="009D1DF6"/>
    <w:rsid w:val="009D3B71"/>
    <w:rsid w:val="009D5D2B"/>
    <w:rsid w:val="009F15D0"/>
    <w:rsid w:val="00A05B27"/>
    <w:rsid w:val="00A3466A"/>
    <w:rsid w:val="00A447D7"/>
    <w:rsid w:val="00A5237F"/>
    <w:rsid w:val="00A56B2D"/>
    <w:rsid w:val="00A708F8"/>
    <w:rsid w:val="00A847D1"/>
    <w:rsid w:val="00AF45F2"/>
    <w:rsid w:val="00B0571D"/>
    <w:rsid w:val="00B1471A"/>
    <w:rsid w:val="00B27061"/>
    <w:rsid w:val="00B31EBB"/>
    <w:rsid w:val="00B635A9"/>
    <w:rsid w:val="00B7349D"/>
    <w:rsid w:val="00BD3260"/>
    <w:rsid w:val="00BE2389"/>
    <w:rsid w:val="00BE3C63"/>
    <w:rsid w:val="00C04531"/>
    <w:rsid w:val="00C3345E"/>
    <w:rsid w:val="00C55FA7"/>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96C04"/>
    <w:rsid w:val="00EA1FB2"/>
    <w:rsid w:val="00EC3504"/>
    <w:rsid w:val="00EC5F60"/>
    <w:rsid w:val="00ED4E0C"/>
    <w:rsid w:val="00F26A0E"/>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BE2389"/>
    <w:pPr>
      <w:widowControl/>
      <w:autoSpaceDE/>
      <w:autoSpaceDN/>
      <w:adjustRightInd/>
    </w:pPr>
    <w:rPr>
      <w:rFonts w:ascii="Times New Roman" w:eastAsia="Malgun Gothic" w:hAnsi="Times New Roman"/>
      <w:sz w:val="20"/>
      <w:szCs w:val="20"/>
    </w:rPr>
  </w:style>
  <w:style w:type="character" w:customStyle="1" w:styleId="FootnoteTextChar">
    <w:name w:val="Footnote Text Char"/>
    <w:basedOn w:val="DefaultParagraphFont"/>
    <w:link w:val="FootnoteText"/>
    <w:semiHidden/>
    <w:rsid w:val="00BE2389"/>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8337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7209940">
      <w:bodyDiv w:val="1"/>
      <w:marLeft w:val="0"/>
      <w:marRight w:val="0"/>
      <w:marTop w:val="0"/>
      <w:marBottom w:val="0"/>
      <w:divBdr>
        <w:top w:val="none" w:sz="0" w:space="0" w:color="auto"/>
        <w:left w:val="none" w:sz="0" w:space="0" w:color="auto"/>
        <w:bottom w:val="none" w:sz="0" w:space="0" w:color="auto"/>
        <w:right w:val="none" w:sz="0" w:space="0" w:color="auto"/>
      </w:divBdr>
    </w:div>
    <w:div w:id="75694561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9847201">
      <w:bodyDiv w:val="1"/>
      <w:marLeft w:val="0"/>
      <w:marRight w:val="0"/>
      <w:marTop w:val="0"/>
      <w:marBottom w:val="0"/>
      <w:divBdr>
        <w:top w:val="none" w:sz="0" w:space="0" w:color="auto"/>
        <w:left w:val="none" w:sz="0" w:space="0" w:color="auto"/>
        <w:bottom w:val="none" w:sz="0" w:space="0" w:color="auto"/>
        <w:right w:val="none" w:sz="0" w:space="0" w:color="auto"/>
      </w:divBdr>
    </w:div>
    <w:div w:id="1100174719">
      <w:bodyDiv w:val="1"/>
      <w:marLeft w:val="0"/>
      <w:marRight w:val="0"/>
      <w:marTop w:val="0"/>
      <w:marBottom w:val="0"/>
      <w:divBdr>
        <w:top w:val="none" w:sz="0" w:space="0" w:color="auto"/>
        <w:left w:val="none" w:sz="0" w:space="0" w:color="auto"/>
        <w:bottom w:val="none" w:sz="0" w:space="0" w:color="auto"/>
        <w:right w:val="none" w:sz="0" w:space="0" w:color="auto"/>
      </w:divBdr>
    </w:div>
    <w:div w:id="1194998451">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6004282">
      <w:bodyDiv w:val="1"/>
      <w:marLeft w:val="0"/>
      <w:marRight w:val="0"/>
      <w:marTop w:val="0"/>
      <w:marBottom w:val="0"/>
      <w:divBdr>
        <w:top w:val="none" w:sz="0" w:space="0" w:color="auto"/>
        <w:left w:val="none" w:sz="0" w:space="0" w:color="auto"/>
        <w:bottom w:val="none" w:sz="0" w:space="0" w:color="auto"/>
        <w:right w:val="none" w:sz="0" w:space="0" w:color="auto"/>
      </w:divBdr>
    </w:div>
    <w:div w:id="1328753012">
      <w:bodyDiv w:val="1"/>
      <w:marLeft w:val="0"/>
      <w:marRight w:val="0"/>
      <w:marTop w:val="0"/>
      <w:marBottom w:val="0"/>
      <w:divBdr>
        <w:top w:val="none" w:sz="0" w:space="0" w:color="auto"/>
        <w:left w:val="none" w:sz="0" w:space="0" w:color="auto"/>
        <w:bottom w:val="none" w:sz="0" w:space="0" w:color="auto"/>
        <w:right w:val="none" w:sz="0" w:space="0" w:color="auto"/>
      </w:divBdr>
    </w:div>
    <w:div w:id="1432822867">
      <w:bodyDiv w:val="1"/>
      <w:marLeft w:val="0"/>
      <w:marRight w:val="0"/>
      <w:marTop w:val="0"/>
      <w:marBottom w:val="0"/>
      <w:divBdr>
        <w:top w:val="none" w:sz="0" w:space="0" w:color="auto"/>
        <w:left w:val="none" w:sz="0" w:space="0" w:color="auto"/>
        <w:bottom w:val="none" w:sz="0" w:space="0" w:color="auto"/>
        <w:right w:val="none" w:sz="0" w:space="0" w:color="auto"/>
      </w:divBdr>
    </w:div>
    <w:div w:id="1595090315">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87444060">
      <w:bodyDiv w:val="1"/>
      <w:marLeft w:val="0"/>
      <w:marRight w:val="0"/>
      <w:marTop w:val="0"/>
      <w:marBottom w:val="0"/>
      <w:divBdr>
        <w:top w:val="none" w:sz="0" w:space="0" w:color="auto"/>
        <w:left w:val="none" w:sz="0" w:space="0" w:color="auto"/>
        <w:bottom w:val="none" w:sz="0" w:space="0" w:color="auto"/>
        <w:right w:val="none" w:sz="0" w:space="0" w:color="auto"/>
      </w:divBdr>
    </w:div>
    <w:div w:id="180715881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09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immigrantrefugeehealth/exams/ti/civil/technical-instructions-civil-surge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09b420d3e84dbed525388630ea73cf7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79badc483e370924141ba1e43054e3d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C70B91B9-6249-46D8-8157-769E42BF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5565-BE23-48DC-8CAB-D31105DB0C65}">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2589310c-5316-40b3-b68d-4735ac72f265"/>
    <ds:schemaRef ds:uri="http://schemas.microsoft.com/office/infopath/2007/PartnerControls"/>
    <ds:schemaRef ds:uri="http://purl.org/dc/dcmitype/"/>
    <ds:schemaRef ds:uri="bf094c2b-8036-49e0-a2b2-a973ea273c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20482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18</cp:revision>
  <cp:lastPrinted>2010-05-14T16:20:00Z</cp:lastPrinted>
  <dcterms:created xsi:type="dcterms:W3CDTF">2019-04-03T17:26:00Z</dcterms:created>
  <dcterms:modified xsi:type="dcterms:W3CDTF">2021-08-26T15:21:00Z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