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7E43" w:rsidR="00731F14" w:rsidP="009A0B52" w:rsidRDefault="00731F14" w14:paraId="0C3C5887" w14:textId="77777777">
      <w:pPr>
        <w:pStyle w:val="Title"/>
        <w:widowControl w:val="0"/>
        <w:rPr>
          <w:rFonts w:cs="Arial"/>
          <w:sz w:val="24"/>
          <w:szCs w:val="24"/>
        </w:rPr>
      </w:pPr>
      <w:r w:rsidRPr="00747E43">
        <w:rPr>
          <w:rFonts w:cs="Arial"/>
          <w:sz w:val="24"/>
          <w:szCs w:val="24"/>
        </w:rPr>
        <w:t>Supporting Statement</w:t>
      </w:r>
    </w:p>
    <w:p w:rsidRPr="00747E43" w:rsidR="00731F14" w:rsidP="009A0B52" w:rsidRDefault="00731F14" w14:paraId="021CFC67" w14:textId="77777777">
      <w:pPr>
        <w:widowControl w:val="0"/>
        <w:jc w:val="center"/>
        <w:rPr>
          <w:rFonts w:ascii="Arial" w:hAnsi="Arial" w:cs="Arial"/>
          <w:b/>
          <w:sz w:val="24"/>
          <w:szCs w:val="24"/>
        </w:rPr>
      </w:pPr>
      <w:r w:rsidRPr="00747E43">
        <w:rPr>
          <w:rFonts w:ascii="Arial" w:hAnsi="Arial" w:cs="Arial"/>
          <w:b/>
          <w:sz w:val="24"/>
          <w:szCs w:val="24"/>
        </w:rPr>
        <w:t>for</w:t>
      </w:r>
      <w:r w:rsidRPr="00747E43" w:rsidR="002952AE">
        <w:rPr>
          <w:rFonts w:ascii="Arial" w:hAnsi="Arial" w:cs="Arial"/>
          <w:b/>
          <w:sz w:val="24"/>
          <w:szCs w:val="24"/>
        </w:rPr>
        <w:t xml:space="preserve"> </w:t>
      </w:r>
    </w:p>
    <w:p w:rsidRPr="00747E43" w:rsidR="00094C85" w:rsidP="009A0B52" w:rsidRDefault="00731F14" w14:paraId="2D0BA83A" w14:textId="77777777">
      <w:pPr>
        <w:widowControl w:val="0"/>
        <w:jc w:val="center"/>
        <w:rPr>
          <w:rFonts w:ascii="Arial" w:hAnsi="Arial" w:cs="Arial"/>
          <w:b/>
        </w:rPr>
      </w:pPr>
      <w:r w:rsidRPr="00747E43">
        <w:rPr>
          <w:rFonts w:ascii="Arial" w:hAnsi="Arial" w:cs="Arial"/>
          <w:b/>
          <w:sz w:val="24"/>
          <w:szCs w:val="24"/>
        </w:rPr>
        <w:t>Advance Notice of Vessel Arrival</w:t>
      </w:r>
    </w:p>
    <w:p w:rsidRPr="00A01337" w:rsidR="00747E43" w:rsidP="009A0B52" w:rsidRDefault="00747E43" w14:paraId="33418460" w14:textId="77777777">
      <w:pPr>
        <w:widowControl w:val="0"/>
        <w:jc w:val="center"/>
        <w:rPr>
          <w:rFonts w:ascii="Arial" w:hAnsi="Arial" w:cs="Arial"/>
          <w:sz w:val="16"/>
          <w:szCs w:val="16"/>
        </w:rPr>
      </w:pPr>
    </w:p>
    <w:p w:rsidRPr="008F3444" w:rsidR="00747E43" w:rsidP="009A0B52" w:rsidRDefault="00747E43" w14:paraId="73803668" w14:textId="0482515B">
      <w:pPr>
        <w:widowControl w:val="0"/>
        <w:jc w:val="center"/>
        <w:rPr>
          <w:rFonts w:ascii="Arial" w:hAnsi="Arial" w:cs="Arial"/>
        </w:rPr>
      </w:pPr>
      <w:r w:rsidRPr="008F3444">
        <w:rPr>
          <w:rFonts w:ascii="Arial" w:hAnsi="Arial" w:cs="Arial"/>
        </w:rPr>
        <w:t>OMB No.:  1625-0100</w:t>
      </w:r>
      <w:r w:rsidR="009A0B52">
        <w:rPr>
          <w:rFonts w:ascii="Arial" w:hAnsi="Arial" w:cs="Arial"/>
        </w:rPr>
        <w:t xml:space="preserve">  </w:t>
      </w:r>
    </w:p>
    <w:p w:rsidRPr="008F3444" w:rsidR="00747E43" w:rsidP="009A0B52" w:rsidRDefault="00747E43" w14:paraId="18B42454" w14:textId="7D6C0C80">
      <w:pPr>
        <w:widowControl w:val="0"/>
        <w:jc w:val="center"/>
        <w:rPr>
          <w:rFonts w:ascii="Arial" w:hAnsi="Arial" w:cs="Arial"/>
        </w:rPr>
      </w:pPr>
      <w:r w:rsidRPr="008F3444">
        <w:rPr>
          <w:rFonts w:ascii="Arial" w:hAnsi="Arial" w:cs="Arial"/>
        </w:rPr>
        <w:t>COLLECTION INSTRUMENTS:  Instruction</w:t>
      </w:r>
      <w:r w:rsidR="009A0B52">
        <w:rPr>
          <w:rFonts w:ascii="Arial" w:hAnsi="Arial" w:cs="Arial"/>
        </w:rPr>
        <w:t xml:space="preserve">  </w:t>
      </w:r>
    </w:p>
    <w:p w:rsidRPr="00A01337" w:rsidR="00747E43" w:rsidP="009A0B52" w:rsidRDefault="00747E43" w14:paraId="51E25766" w14:textId="77777777">
      <w:pPr>
        <w:widowControl w:val="0"/>
        <w:jc w:val="center"/>
        <w:rPr>
          <w:rFonts w:ascii="Arial" w:hAnsi="Arial" w:cs="Arial"/>
          <w:sz w:val="16"/>
          <w:szCs w:val="16"/>
        </w:rPr>
      </w:pPr>
    </w:p>
    <w:p w:rsidRPr="00747E43" w:rsidR="00731F14" w:rsidP="009A0B52" w:rsidRDefault="00731F14" w14:paraId="733FB653" w14:textId="77777777">
      <w:pPr>
        <w:widowControl w:val="0"/>
        <w:rPr>
          <w:rFonts w:ascii="Arial" w:hAnsi="Arial" w:cs="Arial"/>
        </w:rPr>
      </w:pPr>
      <w:r w:rsidRPr="00747E43">
        <w:rPr>
          <w:rFonts w:ascii="Arial" w:hAnsi="Arial" w:cs="Arial"/>
        </w:rPr>
        <w:t xml:space="preserve">A.  </w:t>
      </w:r>
      <w:r w:rsidRPr="00747E43">
        <w:rPr>
          <w:rFonts w:ascii="Arial" w:hAnsi="Arial" w:cs="Arial"/>
          <w:u w:val="single"/>
        </w:rPr>
        <w:t>Justification</w:t>
      </w:r>
      <w:r w:rsidRPr="00747E43">
        <w:rPr>
          <w:rFonts w:ascii="Arial" w:hAnsi="Arial" w:cs="Arial"/>
        </w:rPr>
        <w:t>.</w:t>
      </w:r>
    </w:p>
    <w:p w:rsidRPr="00747E43" w:rsidR="00731F14" w:rsidP="009A0B52" w:rsidRDefault="00731F14" w14:paraId="6E4278EC" w14:textId="77777777">
      <w:pPr>
        <w:widowControl w:val="0"/>
        <w:rPr>
          <w:rFonts w:ascii="Arial" w:hAnsi="Arial" w:cs="Arial"/>
        </w:rPr>
      </w:pPr>
    </w:p>
    <w:p w:rsidRPr="00747E43" w:rsidR="00731F14" w:rsidP="009A0B52" w:rsidRDefault="00731F14" w14:paraId="0725EFCC" w14:textId="77777777">
      <w:pPr>
        <w:widowControl w:val="0"/>
        <w:rPr>
          <w:rFonts w:ascii="Arial" w:hAnsi="Arial" w:cs="Arial"/>
          <w:u w:val="single"/>
        </w:rPr>
      </w:pPr>
      <w:r w:rsidRPr="00747E43">
        <w:rPr>
          <w:rFonts w:ascii="Arial" w:hAnsi="Arial" w:cs="Arial"/>
        </w:rPr>
        <w:t>1</w:t>
      </w:r>
      <w:r w:rsidR="00747E43">
        <w:rPr>
          <w:rFonts w:ascii="Arial" w:hAnsi="Arial" w:cs="Arial"/>
        </w:rPr>
        <w:t>)</w:t>
      </w:r>
      <w:r w:rsidRPr="00747E43">
        <w:rPr>
          <w:rFonts w:ascii="Arial" w:hAnsi="Arial" w:cs="Arial"/>
        </w:rPr>
        <w:t xml:space="preserve">  </w:t>
      </w:r>
      <w:r w:rsidRPr="00747E43">
        <w:rPr>
          <w:rFonts w:ascii="Arial" w:hAnsi="Arial" w:cs="Arial"/>
          <w:u w:val="single"/>
        </w:rPr>
        <w:t>Circumstances that make the collection of information necessary</w:t>
      </w:r>
      <w:r w:rsidRPr="00747E43">
        <w:rPr>
          <w:rFonts w:ascii="Arial" w:hAnsi="Arial" w:cs="Arial"/>
        </w:rPr>
        <w:t>.</w:t>
      </w:r>
      <w:r w:rsidR="00747E43">
        <w:rPr>
          <w:rFonts w:ascii="Arial" w:hAnsi="Arial" w:cs="Arial"/>
        </w:rPr>
        <w:t xml:space="preserve">  </w:t>
      </w:r>
    </w:p>
    <w:p w:rsidRPr="00747E43" w:rsidR="00731F14" w:rsidP="009A0B52" w:rsidRDefault="00731F14" w14:paraId="556D148A" w14:textId="77777777">
      <w:pPr>
        <w:widowControl w:val="0"/>
        <w:rPr>
          <w:rFonts w:ascii="Arial" w:hAnsi="Arial" w:cs="Arial"/>
        </w:rPr>
      </w:pPr>
    </w:p>
    <w:p w:rsidRPr="00747E43" w:rsidR="00731F14" w:rsidP="009A0B52" w:rsidRDefault="00731F14" w14:paraId="54B9CB26" w14:textId="778C6910">
      <w:pPr>
        <w:widowControl w:val="0"/>
        <w:rPr>
          <w:rFonts w:ascii="Arial" w:hAnsi="Arial" w:cs="Arial"/>
        </w:rPr>
      </w:pPr>
      <w:r w:rsidRPr="00747E43">
        <w:rPr>
          <w:rFonts w:ascii="Arial" w:hAnsi="Arial" w:cs="Arial"/>
        </w:rPr>
        <w:t xml:space="preserve">The Ports and Waterways Safety Act of 1972, as amended by the Port and Tanker Safety Act of 1978, authorizes the Secretary of the department in which the Coast Guard is operating to require the receipt of pre-arrival message from any vessel destined for a port of place in the United States. </w:t>
      </w:r>
      <w:r w:rsidR="00634031">
        <w:rPr>
          <w:rFonts w:ascii="Arial" w:hAnsi="Arial" w:cs="Arial"/>
        </w:rPr>
        <w:t xml:space="preserve"> </w:t>
      </w:r>
      <w:r w:rsidRPr="00747E43">
        <w:rPr>
          <w:rFonts w:ascii="Arial" w:hAnsi="Arial" w:cs="Arial"/>
        </w:rPr>
        <w:t>Th</w:t>
      </w:r>
      <w:r w:rsidR="00B52999">
        <w:rPr>
          <w:rFonts w:ascii="Arial" w:hAnsi="Arial" w:cs="Arial"/>
        </w:rPr>
        <w:t>e</w:t>
      </w:r>
      <w:r w:rsidRPr="00747E43">
        <w:rPr>
          <w:rFonts w:ascii="Arial" w:hAnsi="Arial" w:cs="Arial"/>
        </w:rPr>
        <w:t xml:space="preserve"> requirement</w:t>
      </w:r>
      <w:r w:rsidR="00B52999">
        <w:rPr>
          <w:rFonts w:ascii="Arial" w:hAnsi="Arial" w:cs="Arial"/>
        </w:rPr>
        <w:t>s are</w:t>
      </w:r>
      <w:r w:rsidRPr="00747E43">
        <w:rPr>
          <w:rFonts w:ascii="Arial" w:hAnsi="Arial" w:cs="Arial"/>
        </w:rPr>
        <w:t xml:space="preserve"> found in 33 CFR </w:t>
      </w:r>
      <w:r w:rsidRPr="00747E43" w:rsidR="00271B0A">
        <w:rPr>
          <w:rFonts w:ascii="Arial" w:hAnsi="Arial" w:cs="Arial"/>
        </w:rPr>
        <w:t xml:space="preserve">146 and </w:t>
      </w:r>
      <w:r w:rsidRPr="00747E43">
        <w:rPr>
          <w:rFonts w:ascii="Arial" w:hAnsi="Arial" w:cs="Arial"/>
        </w:rPr>
        <w:t>160 Subpart C.</w:t>
      </w:r>
      <w:r w:rsidR="00B76BB8">
        <w:rPr>
          <w:rFonts w:ascii="Arial" w:hAnsi="Arial" w:cs="Arial"/>
        </w:rPr>
        <w:t xml:space="preserve">  </w:t>
      </w:r>
      <w:r w:rsidRPr="00533607" w:rsidR="00B76BB8">
        <w:rPr>
          <w:rFonts w:ascii="Arial" w:hAnsi="Arial" w:cs="Arial"/>
        </w:rPr>
        <w:t>The responsibility to immediately report a hazardous condition is found at 33 CFR 160.21</w:t>
      </w:r>
      <w:r w:rsidR="00B76BB8">
        <w:rPr>
          <w:rFonts w:ascii="Arial" w:hAnsi="Arial" w:cs="Arial"/>
        </w:rPr>
        <w:t>6</w:t>
      </w:r>
      <w:r w:rsidRPr="00533607" w:rsidR="00B76BB8">
        <w:rPr>
          <w:rFonts w:ascii="Arial" w:hAnsi="Arial" w:cs="Arial"/>
        </w:rPr>
        <w:t xml:space="preserve">.  </w:t>
      </w:r>
      <w:r w:rsidR="00B52999">
        <w:rPr>
          <w:rFonts w:ascii="Arial" w:hAnsi="Arial" w:cs="Arial"/>
        </w:rPr>
        <w:t>The statutor</w:t>
      </w:r>
      <w:bookmarkStart w:name="_GoBack" w:id="0"/>
      <w:bookmarkEnd w:id="0"/>
      <w:r w:rsidR="00B52999">
        <w:rPr>
          <w:rFonts w:ascii="Arial" w:hAnsi="Arial" w:cs="Arial"/>
        </w:rPr>
        <w:t xml:space="preserve">y authority is </w:t>
      </w:r>
      <w:r w:rsidR="00C70F09">
        <w:rPr>
          <w:rFonts w:ascii="Arial" w:hAnsi="Arial" w:cs="Arial"/>
        </w:rPr>
        <w:t>46 U.S. Code 70001</w:t>
      </w:r>
      <w:r w:rsidR="00B52999">
        <w:rPr>
          <w:rFonts w:ascii="Arial" w:hAnsi="Arial" w:cs="Arial"/>
        </w:rPr>
        <w:t xml:space="preserve">.  </w:t>
      </w:r>
    </w:p>
    <w:p w:rsidRPr="00747E43" w:rsidR="00731F14" w:rsidP="009A0B52" w:rsidRDefault="00731F14" w14:paraId="6630FB22" w14:textId="77777777">
      <w:pPr>
        <w:widowControl w:val="0"/>
        <w:rPr>
          <w:rFonts w:ascii="Arial" w:hAnsi="Arial" w:cs="Arial"/>
        </w:rPr>
      </w:pPr>
    </w:p>
    <w:p w:rsidRPr="00747E43" w:rsidR="00731F14" w:rsidP="009A0B52" w:rsidRDefault="00731F14" w14:paraId="001F3A39" w14:textId="77777777">
      <w:pPr>
        <w:widowControl w:val="0"/>
        <w:rPr>
          <w:rFonts w:ascii="Arial" w:hAnsi="Arial" w:cs="Arial"/>
          <w:u w:val="single"/>
        </w:rPr>
      </w:pPr>
      <w:r w:rsidRPr="00747E43">
        <w:rPr>
          <w:rFonts w:ascii="Arial" w:hAnsi="Arial" w:cs="Arial"/>
        </w:rPr>
        <w:t>2</w:t>
      </w:r>
      <w:r w:rsidR="00747E43">
        <w:rPr>
          <w:rFonts w:ascii="Arial" w:hAnsi="Arial" w:cs="Arial"/>
        </w:rPr>
        <w:t>)</w:t>
      </w:r>
      <w:r w:rsidRPr="00747E43">
        <w:rPr>
          <w:rFonts w:ascii="Arial" w:hAnsi="Arial" w:cs="Arial"/>
        </w:rPr>
        <w:t xml:space="preserve">  </w:t>
      </w:r>
      <w:r w:rsidRPr="00747E43">
        <w:rPr>
          <w:rFonts w:ascii="Arial" w:hAnsi="Arial" w:cs="Arial"/>
          <w:u w:val="single"/>
        </w:rPr>
        <w:t>Purpose of the information collection</w:t>
      </w:r>
      <w:r w:rsidRPr="00747E43">
        <w:rPr>
          <w:rFonts w:ascii="Arial" w:hAnsi="Arial" w:cs="Arial"/>
        </w:rPr>
        <w:t>.</w:t>
      </w:r>
      <w:r w:rsidR="00747E43">
        <w:rPr>
          <w:rFonts w:ascii="Arial" w:hAnsi="Arial" w:cs="Arial"/>
        </w:rPr>
        <w:t xml:space="preserve">  </w:t>
      </w:r>
    </w:p>
    <w:p w:rsidRPr="00747E43" w:rsidR="00731F14" w:rsidP="009A0B52" w:rsidRDefault="00731F14" w14:paraId="49093B47" w14:textId="77777777">
      <w:pPr>
        <w:pStyle w:val="BodyText"/>
        <w:widowControl w:val="0"/>
        <w:rPr>
          <w:rFonts w:cs="Arial"/>
          <w:sz w:val="20"/>
        </w:rPr>
      </w:pPr>
    </w:p>
    <w:p w:rsidRPr="00747E43" w:rsidR="00731F14" w:rsidP="009A0B52" w:rsidRDefault="003F72BF" w14:paraId="0233F0D5" w14:textId="366BE285">
      <w:pPr>
        <w:pStyle w:val="BodyText"/>
        <w:widowControl w:val="0"/>
        <w:rPr>
          <w:rFonts w:cs="Arial"/>
          <w:sz w:val="20"/>
        </w:rPr>
      </w:pPr>
      <w:r w:rsidRPr="00747E43">
        <w:rPr>
          <w:rFonts w:cs="Arial"/>
          <w:sz w:val="20"/>
        </w:rPr>
        <w:t>Captains of the Port (</w:t>
      </w:r>
      <w:r w:rsidRPr="00747E43" w:rsidR="00731F14">
        <w:rPr>
          <w:rFonts w:cs="Arial"/>
          <w:sz w:val="20"/>
        </w:rPr>
        <w:t>COTPs</w:t>
      </w:r>
      <w:r w:rsidRPr="00747E43">
        <w:rPr>
          <w:rFonts w:cs="Arial"/>
          <w:sz w:val="20"/>
        </w:rPr>
        <w:t>)</w:t>
      </w:r>
      <w:r w:rsidRPr="00747E43" w:rsidR="00731F14">
        <w:rPr>
          <w:rFonts w:cs="Arial"/>
          <w:sz w:val="20"/>
        </w:rPr>
        <w:t xml:space="preserve"> use the advance notice of arrival information for vessel traffic control; denying entry to unsafe vessels; targeting vessels for boarding and examination; planning for oil and hazardous substances spills; counter terrorism; and firefighting contingencies; controlling the port entry of vessels which may constitute a threat to the safety or security of U.S. ports.</w:t>
      </w:r>
      <w:r w:rsidR="007F0D9D">
        <w:rPr>
          <w:rFonts w:cs="Arial"/>
          <w:sz w:val="20"/>
        </w:rPr>
        <w:t xml:space="preserve">  </w:t>
      </w:r>
    </w:p>
    <w:p w:rsidRPr="00747E43" w:rsidR="00731F14" w:rsidP="009A0B52" w:rsidRDefault="00731F14" w14:paraId="1DAADBAB" w14:textId="77777777">
      <w:pPr>
        <w:pStyle w:val="BodyText"/>
        <w:widowControl w:val="0"/>
        <w:rPr>
          <w:rFonts w:cs="Arial"/>
          <w:sz w:val="20"/>
        </w:rPr>
      </w:pPr>
    </w:p>
    <w:p w:rsidRPr="00747E43" w:rsidR="00731F14" w:rsidP="009A0B52" w:rsidRDefault="00731F14" w14:paraId="3EBA031E" w14:textId="6FF0C6C3">
      <w:pPr>
        <w:pStyle w:val="BodyText"/>
        <w:widowControl w:val="0"/>
        <w:rPr>
          <w:rFonts w:cs="Arial"/>
          <w:sz w:val="20"/>
        </w:rPr>
      </w:pPr>
      <w:r w:rsidRPr="00747E43">
        <w:rPr>
          <w:rFonts w:cs="Arial"/>
          <w:sz w:val="20"/>
        </w:rPr>
        <w:t>Vessel traffic control is accomplished by establishing safety or security zones near vessels or waterfront facilities, issuing various types of COTP orders, and escorting vessels.  The Coast Guard escorts certain vessels carrying explosives, liquefied gases, and other particularly dangerous cargoes carried in large quantities</w:t>
      </w:r>
      <w:r w:rsidRPr="00747E43" w:rsidR="00937CAB">
        <w:rPr>
          <w:rFonts w:cs="Arial"/>
          <w:sz w:val="20"/>
        </w:rPr>
        <w:t>,</w:t>
      </w:r>
      <w:r w:rsidRPr="00747E43">
        <w:rPr>
          <w:rFonts w:cs="Arial"/>
          <w:sz w:val="20"/>
        </w:rPr>
        <w:t xml:space="preserve"> and establishes moving safety zones around the vessels to keep smaller vessels away while in restricted channels.  Safety zones are also maintained around certain vessels during unloading.  Without up-to-date arrival information, COTP personnel would not be present during the critical times of the port transit and transfer.</w:t>
      </w:r>
      <w:r w:rsidR="007F0D9D">
        <w:rPr>
          <w:rFonts w:cs="Arial"/>
          <w:sz w:val="20"/>
        </w:rPr>
        <w:t xml:space="preserve">  </w:t>
      </w:r>
    </w:p>
    <w:p w:rsidRPr="00747E43" w:rsidR="00731F14" w:rsidP="009A0B52" w:rsidRDefault="00731F14" w14:paraId="01167822" w14:textId="77777777">
      <w:pPr>
        <w:pStyle w:val="BodyText"/>
        <w:widowControl w:val="0"/>
        <w:rPr>
          <w:rFonts w:cs="Arial"/>
          <w:sz w:val="20"/>
        </w:rPr>
      </w:pPr>
    </w:p>
    <w:p w:rsidRPr="00747E43" w:rsidR="00731F14" w:rsidP="009A0B52" w:rsidRDefault="00731F14" w14:paraId="560B68D9" w14:textId="34B65526">
      <w:pPr>
        <w:pStyle w:val="BodyText"/>
        <w:widowControl w:val="0"/>
        <w:rPr>
          <w:rFonts w:cs="Arial"/>
          <w:sz w:val="20"/>
        </w:rPr>
      </w:pPr>
      <w:r w:rsidRPr="00747E43">
        <w:rPr>
          <w:rFonts w:cs="Arial"/>
          <w:sz w:val="20"/>
        </w:rPr>
        <w:t>The COTP uses the advance notice of arrival information to deny certain vessels entry into a port.  A vessel may be denied entry to a port because of dangerous conditions on the vessel or because they have previously been identified by another COTP as posing a threat to the safety or environment of U.S. ports.  Denial of vessel entry is an important enforcement device used by the COTP to encourage unsafe vessels to correct vessel deficiencies.</w:t>
      </w:r>
      <w:r w:rsidR="007F0D9D">
        <w:rPr>
          <w:rFonts w:cs="Arial"/>
          <w:sz w:val="20"/>
        </w:rPr>
        <w:t xml:space="preserve">  </w:t>
      </w:r>
    </w:p>
    <w:p w:rsidRPr="00747E43" w:rsidR="00731F14" w:rsidP="009A0B52" w:rsidRDefault="00731F14" w14:paraId="0EC22507" w14:textId="77777777">
      <w:pPr>
        <w:pStyle w:val="BodyText"/>
        <w:widowControl w:val="0"/>
        <w:rPr>
          <w:rFonts w:cs="Arial"/>
          <w:sz w:val="20"/>
        </w:rPr>
      </w:pPr>
    </w:p>
    <w:p w:rsidRPr="00747E43" w:rsidR="00731F14" w:rsidP="009A0B52" w:rsidRDefault="00731F14" w14:paraId="49133477" w14:textId="705264DE">
      <w:pPr>
        <w:pStyle w:val="BodyText"/>
        <w:widowControl w:val="0"/>
        <w:rPr>
          <w:rFonts w:cs="Arial"/>
          <w:sz w:val="20"/>
        </w:rPr>
      </w:pPr>
      <w:r w:rsidRPr="00747E43">
        <w:rPr>
          <w:rFonts w:cs="Arial"/>
          <w:sz w:val="20"/>
        </w:rPr>
        <w:t xml:space="preserve">Upon receiving an advance notice of arrival, Coast Guard personnel examine the vessel’s violation and discrepancy history on the </w:t>
      </w:r>
      <w:r w:rsidRPr="00747E43" w:rsidR="00C46C8B">
        <w:rPr>
          <w:rFonts w:cs="Arial"/>
          <w:sz w:val="20"/>
        </w:rPr>
        <w:t xml:space="preserve">Marine Information for Safety and Law Enforcement </w:t>
      </w:r>
      <w:r w:rsidRPr="00747E43">
        <w:rPr>
          <w:rFonts w:cs="Arial"/>
          <w:sz w:val="20"/>
        </w:rPr>
        <w:t>(M</w:t>
      </w:r>
      <w:r w:rsidRPr="00747E43" w:rsidR="00C46C8B">
        <w:rPr>
          <w:rFonts w:cs="Arial"/>
          <w:sz w:val="20"/>
        </w:rPr>
        <w:t>I</w:t>
      </w:r>
      <w:r w:rsidRPr="00747E43">
        <w:rPr>
          <w:rFonts w:cs="Arial"/>
          <w:sz w:val="20"/>
        </w:rPr>
        <w:t>S</w:t>
      </w:r>
      <w:r w:rsidRPr="00747E43" w:rsidR="00C46C8B">
        <w:rPr>
          <w:rFonts w:cs="Arial"/>
          <w:sz w:val="20"/>
        </w:rPr>
        <w:t>LE</w:t>
      </w:r>
      <w:r w:rsidRPr="00747E43">
        <w:rPr>
          <w:rFonts w:cs="Arial"/>
          <w:sz w:val="20"/>
        </w:rPr>
        <w:t>)</w:t>
      </w:r>
      <w:r w:rsidRPr="00747E43" w:rsidR="002056EA">
        <w:rPr>
          <w:rFonts w:cs="Arial"/>
          <w:sz w:val="20"/>
        </w:rPr>
        <w:t xml:space="preserve"> database</w:t>
      </w:r>
      <w:r w:rsidRPr="00747E43">
        <w:rPr>
          <w:rFonts w:cs="Arial"/>
          <w:sz w:val="20"/>
        </w:rPr>
        <w:t xml:space="preserve">, and determine whether the vessels should be boarded and examined.  Vessels which have a history of safety or pollution violations, have unresolved discrepancies, or have not had recent pollution prevention or safety examinations, are targeted for </w:t>
      </w:r>
      <w:r w:rsidRPr="00747E43" w:rsidR="001B3312">
        <w:rPr>
          <w:rFonts w:cs="Arial"/>
          <w:sz w:val="20"/>
        </w:rPr>
        <w:t>examination</w:t>
      </w:r>
      <w:r w:rsidRPr="00747E43">
        <w:rPr>
          <w:rFonts w:cs="Arial"/>
          <w:sz w:val="20"/>
        </w:rPr>
        <w:t>.  Without the advance notice of arrival information, a vessel that poses a threat to port may enter and transfer cargo in spite of existing deficiencies, posing a threat to port safety and the environment.</w:t>
      </w:r>
      <w:r w:rsidR="007F0D9D">
        <w:rPr>
          <w:rFonts w:cs="Arial"/>
          <w:sz w:val="20"/>
        </w:rPr>
        <w:t xml:space="preserve">  </w:t>
      </w:r>
    </w:p>
    <w:p w:rsidRPr="00747E43" w:rsidR="00731F14" w:rsidP="009A0B52" w:rsidRDefault="00731F14" w14:paraId="00D0988B" w14:textId="77777777">
      <w:pPr>
        <w:pStyle w:val="BodyText"/>
        <w:widowControl w:val="0"/>
        <w:rPr>
          <w:rFonts w:cs="Arial"/>
          <w:sz w:val="20"/>
        </w:rPr>
      </w:pPr>
    </w:p>
    <w:p w:rsidRPr="00747E43" w:rsidR="00731F14" w:rsidP="009A0B52" w:rsidRDefault="00731F14" w14:paraId="5D78C1C5" w14:textId="414E9B20">
      <w:pPr>
        <w:pStyle w:val="BodyText"/>
        <w:widowControl w:val="0"/>
        <w:rPr>
          <w:rFonts w:cs="Arial"/>
          <w:sz w:val="20"/>
        </w:rPr>
      </w:pPr>
      <w:r w:rsidRPr="00747E43">
        <w:rPr>
          <w:rFonts w:cs="Arial"/>
          <w:sz w:val="20"/>
        </w:rPr>
        <w:t>Arrival information is also used for long-range and short-range contingency planning.  Planners and duty officers focus Coast Guard resources on certain areas of the port because of vessels with hazardous conditions, the cargoes transported, the country of registry, the time of arrival, and other reasons.  During a marine emergency, such as a grounding or collision, duty officers base their initial response on type of cargo carried, the amounts, and the stowage location.  It is critical that this cargo information be available before the emergency occurs because it may be difficult or impossible to obtain during the emergency.  This is especially important for bulk chemical and container vessels, which carry many different dangerous cargoes that may interact to intensify an emergency situation.</w:t>
      </w:r>
      <w:r w:rsidR="007F0D9D">
        <w:rPr>
          <w:rFonts w:cs="Arial"/>
          <w:sz w:val="20"/>
        </w:rPr>
        <w:t xml:space="preserve">  </w:t>
      </w:r>
    </w:p>
    <w:p w:rsidRPr="00747E43" w:rsidR="00731F14" w:rsidP="009A0B52" w:rsidRDefault="00731F14" w14:paraId="7CAE8206" w14:textId="77777777">
      <w:pPr>
        <w:pStyle w:val="BodyText"/>
        <w:widowControl w:val="0"/>
        <w:rPr>
          <w:rFonts w:cs="Arial"/>
          <w:sz w:val="20"/>
        </w:rPr>
      </w:pPr>
    </w:p>
    <w:p w:rsidRPr="00747E43" w:rsidR="00731F14" w:rsidP="009A0B52" w:rsidRDefault="00731F14" w14:paraId="4DBF1538" w14:textId="3B8B5265">
      <w:pPr>
        <w:pStyle w:val="HTMLPreformatted"/>
        <w:widowControl w:val="0"/>
        <w:rPr>
          <w:rFonts w:ascii="Arial" w:hAnsi="Arial" w:cs="Arial"/>
        </w:rPr>
      </w:pPr>
      <w:r w:rsidRPr="00747E43">
        <w:rPr>
          <w:rFonts w:ascii="Arial" w:hAnsi="Arial" w:cs="Arial"/>
        </w:rPr>
        <w:t>Since September 11</w:t>
      </w:r>
      <w:r w:rsidRPr="00747E43">
        <w:rPr>
          <w:rFonts w:ascii="Arial" w:hAnsi="Arial" w:cs="Arial"/>
          <w:vertAlign w:val="superscript"/>
        </w:rPr>
        <w:t>th</w:t>
      </w:r>
      <w:r w:rsidRPr="00747E43">
        <w:rPr>
          <w:rFonts w:ascii="Arial" w:hAnsi="Arial" w:cs="Arial"/>
        </w:rPr>
        <w:t xml:space="preserve">--in the maritime context--extra time is needed for security checks, and vessels bound for U.S. ports could experience delays in entering port if required arrival information is </w:t>
      </w:r>
      <w:r w:rsidRPr="00747E43">
        <w:rPr>
          <w:rFonts w:ascii="Arial" w:hAnsi="Arial" w:cs="Arial"/>
        </w:rPr>
        <w:lastRenderedPageBreak/>
        <w:t>not received early enough.  The information now required on the notification of arrival (NOA) should provide sufficient data for security measures to protect our nation's ports and waterways.  Timely receipt of this security information will minimize vessel delays.</w:t>
      </w:r>
      <w:r w:rsidR="007F0D9D">
        <w:rPr>
          <w:rFonts w:ascii="Arial" w:hAnsi="Arial" w:cs="Arial"/>
        </w:rPr>
        <w:t xml:space="preserve">  </w:t>
      </w:r>
    </w:p>
    <w:p w:rsidRPr="00747E43" w:rsidR="00731F14" w:rsidP="009A0B52" w:rsidRDefault="00731F14" w14:paraId="369DD4B2" w14:textId="77777777">
      <w:pPr>
        <w:pStyle w:val="BodyText"/>
        <w:widowControl w:val="0"/>
        <w:rPr>
          <w:rFonts w:cs="Arial"/>
          <w:sz w:val="20"/>
        </w:rPr>
      </w:pPr>
    </w:p>
    <w:p w:rsidR="00731F14" w:rsidP="009A0B52" w:rsidRDefault="00731F14" w14:paraId="5FF571DA" w14:textId="36431955">
      <w:pPr>
        <w:pStyle w:val="BodyText"/>
        <w:widowControl w:val="0"/>
        <w:rPr>
          <w:rFonts w:cs="Arial"/>
          <w:sz w:val="20"/>
        </w:rPr>
      </w:pPr>
      <w:r w:rsidRPr="00747E43">
        <w:rPr>
          <w:rFonts w:cs="Arial"/>
          <w:sz w:val="20"/>
        </w:rPr>
        <w:t>The applicant requesting a waiver of the advance notice of arrival requirements is required to submit, with the waiver request, reasons for the waiver and proposed alternative procedures or methods.  Without this information, the COTP cannot determine the effects of granting or denying the waiver.</w:t>
      </w:r>
      <w:r w:rsidR="007F0D9D">
        <w:rPr>
          <w:rFonts w:cs="Arial"/>
          <w:sz w:val="20"/>
        </w:rPr>
        <w:t xml:space="preserve">  </w:t>
      </w:r>
    </w:p>
    <w:p w:rsidR="00B76BB8" w:rsidP="009A0B52" w:rsidRDefault="00B76BB8" w14:paraId="661D9315" w14:textId="77777777">
      <w:pPr>
        <w:pStyle w:val="BodyText"/>
        <w:widowControl w:val="0"/>
        <w:rPr>
          <w:rFonts w:cs="Arial"/>
          <w:sz w:val="20"/>
        </w:rPr>
      </w:pPr>
    </w:p>
    <w:p w:rsidRPr="00B76BB8" w:rsidR="00B76BB8" w:rsidP="009A0B52" w:rsidRDefault="00B76BB8" w14:paraId="17A07322" w14:textId="37207148">
      <w:pPr>
        <w:pStyle w:val="BodyText"/>
        <w:widowControl w:val="0"/>
        <w:rPr>
          <w:rFonts w:cs="Arial"/>
          <w:sz w:val="20"/>
        </w:rPr>
      </w:pPr>
      <w:r w:rsidRPr="00B76BB8">
        <w:rPr>
          <w:rFonts w:cs="Arial"/>
          <w:sz w:val="20"/>
        </w:rPr>
        <w:t xml:space="preserve">Hazardous conditions may exist either onboard a vessel or result from the vessel’s operation.  When a hazardous condition occurs, the vessel’s crew must contact the nearest Coast Guard Sector Office, Marine Inspection Office, or Coast Guard Group Office as soon as safely possible.  Information on the event is usually transmitted electronically via VHS radio, cell phone, or satellite phone.  The Coast Guard will use this information to initiate a response to the condition.  </w:t>
      </w:r>
      <w:r w:rsidR="00B52999">
        <w:rPr>
          <w:rFonts w:cs="Arial"/>
          <w:sz w:val="20"/>
        </w:rPr>
        <w:t xml:space="preserve">Examples of hazardous conditions include, but are not limited to, </w:t>
      </w:r>
      <w:r w:rsidRPr="00A93A00" w:rsidR="00A93A00">
        <w:rPr>
          <w:rFonts w:cs="Arial"/>
          <w:sz w:val="20"/>
        </w:rPr>
        <w:t>any condition that may adversely affect the safety of a vessel</w:t>
      </w:r>
      <w:r w:rsidR="00B52999">
        <w:rPr>
          <w:rFonts w:cs="Arial"/>
          <w:sz w:val="20"/>
        </w:rPr>
        <w:t>, loss o</w:t>
      </w:r>
      <w:r w:rsidR="00C008D3">
        <w:rPr>
          <w:rFonts w:cs="Arial"/>
          <w:sz w:val="20"/>
        </w:rPr>
        <w:t>r</w:t>
      </w:r>
      <w:r w:rsidR="00B52999">
        <w:rPr>
          <w:rFonts w:cs="Arial"/>
          <w:sz w:val="20"/>
        </w:rPr>
        <w:t xml:space="preserve"> jettison of cargo, and </w:t>
      </w:r>
      <w:r w:rsidR="00C008D3">
        <w:rPr>
          <w:rFonts w:cs="Arial"/>
          <w:sz w:val="20"/>
        </w:rPr>
        <w:t xml:space="preserve">MARPOL Annex VI </w:t>
      </w:r>
      <w:r w:rsidR="00B52999">
        <w:rPr>
          <w:rFonts w:cs="Arial"/>
          <w:sz w:val="20"/>
        </w:rPr>
        <w:t xml:space="preserve">fuel oil non-availability reports (FONAR).  </w:t>
      </w:r>
      <w:r w:rsidRPr="00B76BB8">
        <w:rPr>
          <w:rFonts w:cs="Arial"/>
          <w:sz w:val="20"/>
        </w:rPr>
        <w:t>Examples of response activities include, but are not limited to, broadcasting messages to other vessels in the area to warn them of the hazard, providing assistance to the involved vessels and facilities, and activating pollution response plans.</w:t>
      </w:r>
      <w:r w:rsidR="007F0D9D">
        <w:rPr>
          <w:rFonts w:cs="Arial"/>
          <w:sz w:val="20"/>
        </w:rPr>
        <w:t xml:space="preserve">  </w:t>
      </w:r>
    </w:p>
    <w:p w:rsidRPr="00747E43" w:rsidR="006B23C6" w:rsidP="009A0B52" w:rsidRDefault="006B23C6" w14:paraId="016DA56A" w14:textId="77777777">
      <w:pPr>
        <w:pStyle w:val="BodyText"/>
        <w:widowControl w:val="0"/>
        <w:rPr>
          <w:rFonts w:cs="Arial"/>
          <w:sz w:val="20"/>
        </w:rPr>
      </w:pPr>
    </w:p>
    <w:p w:rsidRPr="00747E43" w:rsidR="00731F14" w:rsidP="009A0B52" w:rsidRDefault="00731F14" w14:paraId="666F809D" w14:textId="77777777">
      <w:pPr>
        <w:widowControl w:val="0"/>
        <w:ind w:left="360" w:hanging="360"/>
        <w:rPr>
          <w:rFonts w:ascii="Arial" w:hAnsi="Arial" w:cs="Arial"/>
          <w:u w:val="single"/>
        </w:rPr>
      </w:pPr>
      <w:r w:rsidRPr="00747E43">
        <w:rPr>
          <w:rFonts w:ascii="Arial" w:hAnsi="Arial" w:cs="Arial"/>
        </w:rPr>
        <w:t>3</w:t>
      </w:r>
      <w:r w:rsidR="00747E43">
        <w:rPr>
          <w:rFonts w:ascii="Arial" w:hAnsi="Arial" w:cs="Arial"/>
        </w:rPr>
        <w:t>)</w:t>
      </w:r>
      <w:r w:rsidRPr="00747E43">
        <w:rPr>
          <w:rFonts w:ascii="Arial" w:hAnsi="Arial" w:cs="Arial"/>
        </w:rPr>
        <w:t xml:space="preserve">  </w:t>
      </w:r>
      <w:r w:rsidRPr="00747E43">
        <w:rPr>
          <w:rFonts w:ascii="Arial" w:hAnsi="Arial" w:cs="Arial"/>
          <w:u w:val="single"/>
        </w:rPr>
        <w:t>Considerations of the use of improved information technology</w:t>
      </w:r>
      <w:r w:rsidRPr="00747E43">
        <w:rPr>
          <w:rFonts w:ascii="Arial" w:hAnsi="Arial" w:cs="Arial"/>
        </w:rPr>
        <w:t>.</w:t>
      </w:r>
      <w:r w:rsidR="00747E43">
        <w:rPr>
          <w:rFonts w:ascii="Arial" w:hAnsi="Arial" w:cs="Arial"/>
        </w:rPr>
        <w:t xml:space="preserve">  </w:t>
      </w:r>
    </w:p>
    <w:p w:rsidRPr="00747E43" w:rsidR="00731F14" w:rsidP="009A0B52" w:rsidRDefault="00731F14" w14:paraId="5EA5EE36" w14:textId="77777777">
      <w:pPr>
        <w:widowControl w:val="0"/>
        <w:rPr>
          <w:rFonts w:ascii="Arial" w:hAnsi="Arial" w:cs="Arial"/>
        </w:rPr>
      </w:pPr>
    </w:p>
    <w:p w:rsidRPr="00747E43" w:rsidR="00731F14" w:rsidP="009A0B52" w:rsidRDefault="00094C85" w14:paraId="1EB0777E" w14:textId="06D397A3">
      <w:pPr>
        <w:widowControl w:val="0"/>
        <w:autoSpaceDE w:val="0"/>
        <w:autoSpaceDN w:val="0"/>
        <w:adjustRightInd w:val="0"/>
        <w:rPr>
          <w:rFonts w:ascii="Arial" w:hAnsi="Arial" w:cs="Arial"/>
        </w:rPr>
      </w:pPr>
      <w:r w:rsidRPr="00747E43">
        <w:rPr>
          <w:rFonts w:ascii="Arial" w:hAnsi="Arial" w:cs="Arial"/>
        </w:rPr>
        <w:t>The Coast Guard mandate</w:t>
      </w:r>
      <w:r w:rsidRPr="00747E43" w:rsidR="0094173F">
        <w:rPr>
          <w:rFonts w:ascii="Arial" w:hAnsi="Arial" w:cs="Arial"/>
        </w:rPr>
        <w:t>s</w:t>
      </w:r>
      <w:r w:rsidRPr="00747E43">
        <w:rPr>
          <w:rFonts w:ascii="Arial" w:hAnsi="Arial" w:cs="Arial"/>
        </w:rPr>
        <w:t xml:space="preserve"> th</w:t>
      </w:r>
      <w:r w:rsidRPr="00747E43" w:rsidR="004C587B">
        <w:rPr>
          <w:rFonts w:ascii="Arial" w:hAnsi="Arial" w:cs="Arial"/>
        </w:rPr>
        <w:t>at all</w:t>
      </w:r>
      <w:r w:rsidRPr="00747E43">
        <w:rPr>
          <w:rFonts w:ascii="Arial" w:hAnsi="Arial" w:cs="Arial"/>
        </w:rPr>
        <w:t xml:space="preserve"> submission of notices of arrival (NOA)</w:t>
      </w:r>
      <w:r w:rsidRPr="00747E43" w:rsidR="004C587B">
        <w:rPr>
          <w:rFonts w:ascii="Arial" w:hAnsi="Arial" w:cs="Arial"/>
        </w:rPr>
        <w:t xml:space="preserve"> are done</w:t>
      </w:r>
      <w:r w:rsidRPr="00747E43">
        <w:rPr>
          <w:rFonts w:ascii="Arial" w:hAnsi="Arial" w:cs="Arial"/>
        </w:rPr>
        <w:t xml:space="preserve"> electronically</w:t>
      </w:r>
      <w:r w:rsidRPr="00747E43" w:rsidR="004C587B">
        <w:rPr>
          <w:rFonts w:ascii="Arial" w:hAnsi="Arial" w:cs="Arial"/>
        </w:rPr>
        <w:t>.  The preferred method for submission is through</w:t>
      </w:r>
      <w:r w:rsidRPr="00747E43" w:rsidR="00E63C14">
        <w:rPr>
          <w:rFonts w:ascii="Arial" w:hAnsi="Arial" w:cs="Arial"/>
        </w:rPr>
        <w:t xml:space="preserve"> </w:t>
      </w:r>
      <w:r w:rsidRPr="00747E43" w:rsidR="00A7177D">
        <w:rPr>
          <w:rFonts w:ascii="Arial" w:hAnsi="Arial" w:cs="Arial"/>
        </w:rPr>
        <w:t xml:space="preserve">the electronic Notice of Arrival and Departure </w:t>
      </w:r>
      <w:r w:rsidRPr="00747E43" w:rsidR="004C587B">
        <w:rPr>
          <w:rFonts w:ascii="Arial" w:hAnsi="Arial" w:cs="Arial"/>
        </w:rPr>
        <w:t xml:space="preserve">application </w:t>
      </w:r>
      <w:r w:rsidRPr="00747E43" w:rsidR="00A7177D">
        <w:rPr>
          <w:rFonts w:ascii="Arial" w:hAnsi="Arial" w:cs="Arial"/>
        </w:rPr>
        <w:t xml:space="preserve">(eNOAD) </w:t>
      </w:r>
      <w:r w:rsidRPr="00747E43" w:rsidR="004C587B">
        <w:rPr>
          <w:rFonts w:ascii="Arial" w:hAnsi="Arial" w:cs="Arial"/>
        </w:rPr>
        <w:t xml:space="preserve">located on the NVMC website </w:t>
      </w:r>
      <w:r w:rsidRPr="00747E43" w:rsidR="00A7177D">
        <w:rPr>
          <w:rFonts w:ascii="Arial" w:hAnsi="Arial" w:cs="Arial"/>
        </w:rPr>
        <w:t xml:space="preserve">at </w:t>
      </w:r>
      <w:hyperlink w:history="1" r:id="rId11">
        <w:r w:rsidRPr="00747E43" w:rsidR="00A7177D">
          <w:rPr>
            <w:rStyle w:val="Hyperlink"/>
            <w:rFonts w:ascii="Arial" w:hAnsi="Arial" w:cs="Arial"/>
          </w:rPr>
          <w:t>http</w:t>
        </w:r>
        <w:r w:rsidR="001F69A3">
          <w:rPr>
            <w:rStyle w:val="Hyperlink"/>
            <w:rFonts w:ascii="Arial" w:hAnsi="Arial" w:cs="Arial"/>
          </w:rPr>
          <w:t>s</w:t>
        </w:r>
        <w:r w:rsidRPr="00747E43" w:rsidR="00A7177D">
          <w:rPr>
            <w:rStyle w:val="Hyperlink"/>
            <w:rFonts w:ascii="Arial" w:hAnsi="Arial" w:cs="Arial"/>
          </w:rPr>
          <w:t>://www.nvmc.uscg.gov</w:t>
        </w:r>
      </w:hyperlink>
      <w:r w:rsidRPr="00747E43" w:rsidR="00A7177D">
        <w:rPr>
          <w:rFonts w:ascii="Arial" w:hAnsi="Arial" w:cs="Arial"/>
        </w:rPr>
        <w:t xml:space="preserve">. </w:t>
      </w:r>
      <w:r w:rsidRPr="00747E43">
        <w:rPr>
          <w:rFonts w:ascii="Arial" w:hAnsi="Arial" w:cs="Arial"/>
        </w:rPr>
        <w:t xml:space="preserve"> </w:t>
      </w:r>
      <w:r w:rsidRPr="00747E43" w:rsidR="004C587B">
        <w:rPr>
          <w:rFonts w:ascii="Arial" w:hAnsi="Arial" w:cs="Arial"/>
        </w:rPr>
        <w:t xml:space="preserve">Submitters can also submit the NOA electronically through email or through a third party application. </w:t>
      </w:r>
      <w:r w:rsidR="00B76BB8">
        <w:rPr>
          <w:rFonts w:ascii="Arial" w:hAnsi="Arial" w:cs="Arial"/>
        </w:rPr>
        <w:t xml:space="preserve"> Additionally, t</w:t>
      </w:r>
      <w:r w:rsidRPr="00533607" w:rsidR="00B76BB8">
        <w:rPr>
          <w:rFonts w:ascii="Arial" w:hAnsi="Arial" w:cs="Arial"/>
        </w:rPr>
        <w:t>he information on the hazardous condition is sent from the vessel to the Coast Guard electronically via INMARSAT</w:t>
      </w:r>
      <w:r w:rsidR="00E75524">
        <w:rPr>
          <w:rFonts w:ascii="Arial" w:hAnsi="Arial" w:cs="Arial"/>
        </w:rPr>
        <w:t>-</w:t>
      </w:r>
      <w:r w:rsidRPr="00533607" w:rsidR="00B76BB8">
        <w:rPr>
          <w:rFonts w:ascii="Arial" w:hAnsi="Arial" w:cs="Arial"/>
        </w:rPr>
        <w:t xml:space="preserve">C, TELEX, e-mail, cell phone, or VHF radio as soon as safely possible.  </w:t>
      </w:r>
      <w:r w:rsidRPr="00747E43" w:rsidR="00870C31">
        <w:rPr>
          <w:rFonts w:ascii="Arial" w:hAnsi="Arial" w:cs="Arial"/>
        </w:rPr>
        <w:t>Th</w:t>
      </w:r>
      <w:r w:rsidRPr="00747E43" w:rsidR="0094173F">
        <w:rPr>
          <w:rFonts w:ascii="Arial" w:hAnsi="Arial" w:cs="Arial"/>
        </w:rPr>
        <w:t>us,</w:t>
      </w:r>
      <w:r w:rsidRPr="00747E43" w:rsidR="00870C31">
        <w:rPr>
          <w:rFonts w:ascii="Arial" w:hAnsi="Arial" w:cs="Arial"/>
        </w:rPr>
        <w:t xml:space="preserve"> </w:t>
      </w:r>
      <w:r w:rsidRPr="00747E43" w:rsidR="00731F14">
        <w:rPr>
          <w:rFonts w:ascii="Arial" w:hAnsi="Arial" w:cs="Arial"/>
        </w:rPr>
        <w:t xml:space="preserve">100% of the reporting requirements </w:t>
      </w:r>
      <w:r w:rsidRPr="00747E43" w:rsidR="0094173F">
        <w:rPr>
          <w:rFonts w:ascii="Arial" w:hAnsi="Arial" w:cs="Arial"/>
        </w:rPr>
        <w:t xml:space="preserve">are </w:t>
      </w:r>
      <w:r w:rsidRPr="00747E43" w:rsidR="00731F14">
        <w:rPr>
          <w:rFonts w:ascii="Arial" w:hAnsi="Arial" w:cs="Arial"/>
        </w:rPr>
        <w:t xml:space="preserve">done electronically.  </w:t>
      </w:r>
    </w:p>
    <w:p w:rsidRPr="00747E43" w:rsidR="00731F14" w:rsidP="009A0B52" w:rsidRDefault="00731F14" w14:paraId="72E4E97F" w14:textId="77777777">
      <w:pPr>
        <w:widowControl w:val="0"/>
        <w:rPr>
          <w:rFonts w:ascii="Arial" w:hAnsi="Arial" w:cs="Arial"/>
        </w:rPr>
      </w:pPr>
    </w:p>
    <w:p w:rsidRPr="00747E43" w:rsidR="00731F14" w:rsidP="009A0B52" w:rsidRDefault="00731F14" w14:paraId="52DEAD57" w14:textId="77777777">
      <w:pPr>
        <w:widowControl w:val="0"/>
        <w:rPr>
          <w:rFonts w:ascii="Arial" w:hAnsi="Arial" w:cs="Arial"/>
          <w:u w:val="single"/>
        </w:rPr>
      </w:pPr>
      <w:r w:rsidRPr="00747E43">
        <w:rPr>
          <w:rFonts w:ascii="Arial" w:hAnsi="Arial" w:cs="Arial"/>
        </w:rPr>
        <w:t>4</w:t>
      </w:r>
      <w:r w:rsidR="00747E43">
        <w:rPr>
          <w:rFonts w:ascii="Arial" w:hAnsi="Arial" w:cs="Arial"/>
        </w:rPr>
        <w:t>)</w:t>
      </w:r>
      <w:r w:rsidRPr="00747E43">
        <w:rPr>
          <w:rFonts w:ascii="Arial" w:hAnsi="Arial" w:cs="Arial"/>
        </w:rPr>
        <w:t xml:space="preserve">  </w:t>
      </w:r>
      <w:r w:rsidRPr="00747E43">
        <w:rPr>
          <w:rFonts w:ascii="Arial" w:hAnsi="Arial" w:cs="Arial"/>
          <w:u w:val="single"/>
        </w:rPr>
        <w:t>Efforts to identify duplication</w:t>
      </w:r>
      <w:r w:rsidRPr="00747E43">
        <w:rPr>
          <w:rFonts w:ascii="Arial" w:hAnsi="Arial" w:cs="Arial"/>
        </w:rPr>
        <w:t>.</w:t>
      </w:r>
      <w:r w:rsidR="00747E43">
        <w:rPr>
          <w:rFonts w:ascii="Arial" w:hAnsi="Arial" w:cs="Arial"/>
        </w:rPr>
        <w:t xml:space="preserve">  </w:t>
      </w:r>
    </w:p>
    <w:p w:rsidRPr="00747E43" w:rsidR="00731F14" w:rsidP="009A0B52" w:rsidRDefault="00731F14" w14:paraId="43ACB45A" w14:textId="77777777">
      <w:pPr>
        <w:widowControl w:val="0"/>
        <w:rPr>
          <w:rFonts w:ascii="Arial" w:hAnsi="Arial" w:cs="Arial"/>
        </w:rPr>
      </w:pPr>
    </w:p>
    <w:p w:rsidRPr="00747E43" w:rsidR="000169C4" w:rsidP="009A0B52" w:rsidRDefault="000169C4" w14:paraId="538FC10D" w14:textId="77777777">
      <w:pPr>
        <w:widowControl w:val="0"/>
        <w:rPr>
          <w:rFonts w:ascii="Arial" w:hAnsi="Arial" w:cs="Arial"/>
        </w:rPr>
      </w:pPr>
      <w:r w:rsidRPr="00747E43">
        <w:rPr>
          <w:rFonts w:ascii="Arial" w:hAnsi="Arial" w:cs="Arial"/>
        </w:rPr>
        <w:t xml:space="preserve">The Coast Guard monitors State and local regulatory activity in this field.  </w:t>
      </w:r>
    </w:p>
    <w:p w:rsidRPr="00747E43" w:rsidR="000169C4" w:rsidP="009A0B52" w:rsidRDefault="000169C4" w14:paraId="4CEE0031" w14:textId="77777777">
      <w:pPr>
        <w:widowControl w:val="0"/>
        <w:rPr>
          <w:rFonts w:ascii="Arial" w:hAnsi="Arial" w:cs="Arial"/>
        </w:rPr>
      </w:pPr>
    </w:p>
    <w:p w:rsidRPr="00747E43" w:rsidR="00731F14" w:rsidP="009A0B52" w:rsidRDefault="000169C4" w14:paraId="618A23ED" w14:textId="3548C106">
      <w:pPr>
        <w:widowControl w:val="0"/>
        <w:rPr>
          <w:rFonts w:ascii="Arial" w:hAnsi="Arial" w:cs="Arial"/>
        </w:rPr>
      </w:pPr>
      <w:r w:rsidRPr="00747E43">
        <w:rPr>
          <w:rFonts w:ascii="Arial" w:hAnsi="Arial" w:cs="Arial"/>
        </w:rPr>
        <w:t>To eliminate duplication, the Advance Passenger Information System (APIS) Final Rule, published on April 7, 2005</w:t>
      </w:r>
      <w:r w:rsidRPr="00747E43" w:rsidR="00A91759">
        <w:rPr>
          <w:rFonts w:ascii="Arial" w:hAnsi="Arial" w:cs="Arial"/>
        </w:rPr>
        <w:t xml:space="preserve"> (70 FR 17820)</w:t>
      </w:r>
      <w:r w:rsidRPr="00747E43">
        <w:rPr>
          <w:rFonts w:ascii="Arial" w:hAnsi="Arial" w:cs="Arial"/>
        </w:rPr>
        <w:t xml:space="preserve">, requires APIS manifests to be submitted through the Coast Guard &amp; Customs and Border Protection (CBP) </w:t>
      </w:r>
      <w:r w:rsidRPr="00747E43" w:rsidR="00A7177D">
        <w:rPr>
          <w:rFonts w:ascii="Arial" w:hAnsi="Arial" w:cs="Arial"/>
        </w:rPr>
        <w:t xml:space="preserve">electronic </w:t>
      </w:r>
      <w:r w:rsidRPr="00747E43">
        <w:rPr>
          <w:rFonts w:ascii="Arial" w:hAnsi="Arial" w:cs="Arial"/>
        </w:rPr>
        <w:t xml:space="preserve">Notice of Arrival/Departure (eNOAD) </w:t>
      </w:r>
      <w:r w:rsidRPr="00747E43" w:rsidR="004C587B">
        <w:rPr>
          <w:rFonts w:ascii="Arial" w:hAnsi="Arial" w:cs="Arial"/>
        </w:rPr>
        <w:t>application</w:t>
      </w:r>
      <w:r w:rsidRPr="00747E43">
        <w:rPr>
          <w:rFonts w:ascii="Arial" w:hAnsi="Arial" w:cs="Arial"/>
        </w:rPr>
        <w:t xml:space="preserve"> (</w:t>
      </w:r>
      <w:hyperlink w:history="1" r:id="rId12">
        <w:r w:rsidRPr="00747E43" w:rsidR="00A7177D">
          <w:rPr>
            <w:rStyle w:val="Hyperlink"/>
            <w:rFonts w:ascii="Arial" w:hAnsi="Arial" w:cs="Arial"/>
          </w:rPr>
          <w:t>www.nvmc.uscg.gov</w:t>
        </w:r>
      </w:hyperlink>
      <w:r w:rsidRPr="00747E43">
        <w:rPr>
          <w:rFonts w:ascii="Arial" w:hAnsi="Arial" w:cs="Arial"/>
        </w:rPr>
        <w:t xml:space="preserve">) for all commercial vessels arriving from or departing for a foreign port or place.  Compliant eNOA/D submissions through this </w:t>
      </w:r>
      <w:r w:rsidRPr="00747E43" w:rsidR="004C587B">
        <w:rPr>
          <w:rFonts w:ascii="Arial" w:hAnsi="Arial" w:cs="Arial"/>
        </w:rPr>
        <w:t xml:space="preserve">interface </w:t>
      </w:r>
      <w:r w:rsidRPr="00747E43">
        <w:rPr>
          <w:rFonts w:ascii="Arial" w:hAnsi="Arial" w:cs="Arial"/>
        </w:rPr>
        <w:t xml:space="preserve">work to fulfill both </w:t>
      </w:r>
      <w:r w:rsidR="00206C78">
        <w:rPr>
          <w:rFonts w:ascii="Arial" w:hAnsi="Arial" w:cs="Arial"/>
        </w:rPr>
        <w:t>the Coast Guard</w:t>
      </w:r>
      <w:r w:rsidRPr="00747E43">
        <w:rPr>
          <w:rFonts w:ascii="Arial" w:hAnsi="Arial" w:cs="Arial"/>
        </w:rPr>
        <w:t xml:space="preserve"> (Notice </w:t>
      </w:r>
      <w:r w:rsidRPr="00747E43" w:rsidR="009D75A4">
        <w:rPr>
          <w:rFonts w:ascii="Arial" w:hAnsi="Arial" w:cs="Arial"/>
        </w:rPr>
        <w:t>o</w:t>
      </w:r>
      <w:r w:rsidRPr="00747E43">
        <w:rPr>
          <w:rFonts w:ascii="Arial" w:hAnsi="Arial" w:cs="Arial"/>
        </w:rPr>
        <w:t>f Arrival) and CBP (APIS) reporting requirements.</w:t>
      </w:r>
      <w:r w:rsidRPr="00747E43" w:rsidR="001B3312">
        <w:rPr>
          <w:rFonts w:ascii="Arial" w:hAnsi="Arial" w:cs="Arial"/>
        </w:rPr>
        <w:t xml:space="preserve"> </w:t>
      </w:r>
      <w:r w:rsidRPr="00747E43" w:rsidR="001E408C">
        <w:rPr>
          <w:rFonts w:ascii="Arial" w:hAnsi="Arial" w:cs="Arial"/>
        </w:rPr>
        <w:t xml:space="preserve"> </w:t>
      </w:r>
      <w:r w:rsidRPr="00747E43" w:rsidR="001B3312">
        <w:rPr>
          <w:rFonts w:ascii="Arial" w:hAnsi="Arial" w:cs="Arial"/>
        </w:rPr>
        <w:t>Additionally, vessels report their transit through the St. Lawrence Seaway by submitting arrival notices to the St. Lawrence Seaway Development Corporation</w:t>
      </w:r>
      <w:r w:rsidRPr="00747E43" w:rsidR="008B5CE1">
        <w:rPr>
          <w:rFonts w:ascii="Arial" w:hAnsi="Arial" w:cs="Arial"/>
        </w:rPr>
        <w:t xml:space="preserve"> (SLSDC)</w:t>
      </w:r>
      <w:r w:rsidRPr="00747E43" w:rsidR="001B3312">
        <w:rPr>
          <w:rFonts w:ascii="Arial" w:hAnsi="Arial" w:cs="Arial"/>
        </w:rPr>
        <w:t xml:space="preserve">. </w:t>
      </w:r>
      <w:r w:rsidRPr="00747E43" w:rsidR="00200FAF">
        <w:rPr>
          <w:rFonts w:ascii="Arial" w:hAnsi="Arial" w:cs="Arial"/>
        </w:rPr>
        <w:t xml:space="preserve"> </w:t>
      </w:r>
      <w:r w:rsidRPr="00747E43" w:rsidR="001B3312">
        <w:rPr>
          <w:rFonts w:ascii="Arial" w:hAnsi="Arial" w:cs="Arial"/>
        </w:rPr>
        <w:t xml:space="preserve">33 CFR 401.79.  </w:t>
      </w:r>
      <w:r w:rsidRPr="00747E43" w:rsidR="008B5CE1">
        <w:rPr>
          <w:rFonts w:ascii="Arial" w:hAnsi="Arial" w:cs="Arial"/>
        </w:rPr>
        <w:t xml:space="preserve">Similar to the arrangement with CBP, </w:t>
      </w:r>
      <w:r w:rsidRPr="00747E43" w:rsidR="004C587B">
        <w:rPr>
          <w:rFonts w:ascii="Arial" w:hAnsi="Arial" w:cs="Arial"/>
        </w:rPr>
        <w:t xml:space="preserve">vessels submit their NOA for the SLSDC through the e-NOA/D. </w:t>
      </w:r>
      <w:r w:rsidR="00747E43">
        <w:rPr>
          <w:rFonts w:ascii="Arial" w:hAnsi="Arial" w:cs="Arial"/>
        </w:rPr>
        <w:t xml:space="preserve"> </w:t>
      </w:r>
      <w:r w:rsidRPr="00747E43" w:rsidR="008B5CE1">
        <w:rPr>
          <w:rFonts w:ascii="Arial" w:hAnsi="Arial" w:cs="Arial"/>
        </w:rPr>
        <w:t xml:space="preserve">SLSDC </w:t>
      </w:r>
      <w:r w:rsidRPr="00747E43" w:rsidR="004C587B">
        <w:rPr>
          <w:rFonts w:ascii="Arial" w:hAnsi="Arial" w:cs="Arial"/>
        </w:rPr>
        <w:t>has the ability to directly access this information reducing the potential for duplicate re</w:t>
      </w:r>
      <w:r w:rsidRPr="00747E43" w:rsidR="00FC07C2">
        <w:rPr>
          <w:rFonts w:ascii="Arial" w:hAnsi="Arial" w:cs="Arial"/>
        </w:rPr>
        <w:t xml:space="preserve">porting for vessels transiting through and to ports or places in the </w:t>
      </w:r>
      <w:r w:rsidRPr="00747E43" w:rsidR="001B3312">
        <w:rPr>
          <w:rFonts w:ascii="Arial" w:hAnsi="Arial" w:cs="Arial"/>
        </w:rPr>
        <w:t>Coast Guard Marine Safety Unit Massena</w:t>
      </w:r>
      <w:r w:rsidRPr="00747E43" w:rsidR="00FC07C2">
        <w:rPr>
          <w:rFonts w:ascii="Arial" w:hAnsi="Arial" w:cs="Arial"/>
        </w:rPr>
        <w:t xml:space="preserve"> area of responsibility.</w:t>
      </w:r>
      <w:r w:rsidRPr="00747E43" w:rsidR="008B5CE1">
        <w:rPr>
          <w:rFonts w:ascii="Arial" w:hAnsi="Arial" w:cs="Arial"/>
        </w:rPr>
        <w:t xml:space="preserve"> </w:t>
      </w:r>
      <w:r w:rsidRPr="00747E43" w:rsidR="001B3312">
        <w:rPr>
          <w:rFonts w:ascii="Arial" w:hAnsi="Arial" w:cs="Arial"/>
        </w:rPr>
        <w:t xml:space="preserve"> </w:t>
      </w:r>
    </w:p>
    <w:p w:rsidRPr="00747E43" w:rsidR="000169C4" w:rsidP="009A0B52" w:rsidRDefault="000169C4" w14:paraId="0B9129EC" w14:textId="77777777">
      <w:pPr>
        <w:widowControl w:val="0"/>
        <w:rPr>
          <w:rFonts w:ascii="Arial" w:hAnsi="Arial" w:cs="Arial"/>
        </w:rPr>
      </w:pPr>
    </w:p>
    <w:p w:rsidRPr="00747E43" w:rsidR="00731F14" w:rsidP="009A0B52" w:rsidRDefault="00731F14" w14:paraId="5B01E8A6" w14:textId="77777777">
      <w:pPr>
        <w:widowControl w:val="0"/>
        <w:rPr>
          <w:rFonts w:ascii="Arial" w:hAnsi="Arial" w:cs="Arial"/>
          <w:u w:val="single"/>
        </w:rPr>
      </w:pPr>
      <w:r w:rsidRPr="00747E43">
        <w:rPr>
          <w:rFonts w:ascii="Arial" w:hAnsi="Arial" w:cs="Arial"/>
        </w:rPr>
        <w:t>5</w:t>
      </w:r>
      <w:r w:rsidR="00747E43">
        <w:rPr>
          <w:rFonts w:ascii="Arial" w:hAnsi="Arial" w:cs="Arial"/>
        </w:rPr>
        <w:t>)</w:t>
      </w:r>
      <w:r w:rsidRPr="00747E43">
        <w:rPr>
          <w:rFonts w:ascii="Arial" w:hAnsi="Arial" w:cs="Arial"/>
        </w:rPr>
        <w:t xml:space="preserve">  </w:t>
      </w:r>
      <w:r w:rsidRPr="00747E43">
        <w:rPr>
          <w:rFonts w:ascii="Arial" w:hAnsi="Arial" w:cs="Arial"/>
          <w:u w:val="single"/>
        </w:rPr>
        <w:t>Methods used to minimize the burden to small business if involved</w:t>
      </w:r>
      <w:r w:rsidRPr="00747E43">
        <w:rPr>
          <w:rFonts w:ascii="Arial" w:hAnsi="Arial" w:cs="Arial"/>
        </w:rPr>
        <w:t>.</w:t>
      </w:r>
      <w:r w:rsidR="00747E43">
        <w:rPr>
          <w:rFonts w:ascii="Arial" w:hAnsi="Arial" w:cs="Arial"/>
        </w:rPr>
        <w:t xml:space="preserve">  </w:t>
      </w:r>
    </w:p>
    <w:p w:rsidRPr="00747E43" w:rsidR="00731F14" w:rsidP="009A0B52" w:rsidRDefault="00731F14" w14:paraId="7346FEB2" w14:textId="77777777">
      <w:pPr>
        <w:widowControl w:val="0"/>
        <w:rPr>
          <w:rFonts w:ascii="Arial" w:hAnsi="Arial" w:cs="Arial"/>
        </w:rPr>
      </w:pPr>
    </w:p>
    <w:p w:rsidRPr="00747E43" w:rsidR="00731F14" w:rsidP="009A0B52" w:rsidRDefault="00731F14" w14:paraId="05A5DD11" w14:textId="65B214B6">
      <w:pPr>
        <w:widowControl w:val="0"/>
        <w:rPr>
          <w:rFonts w:ascii="Arial" w:hAnsi="Arial" w:cs="Arial"/>
        </w:rPr>
      </w:pPr>
      <w:r w:rsidRPr="00747E43">
        <w:rPr>
          <w:rFonts w:ascii="Arial" w:hAnsi="Arial" w:cs="Arial"/>
        </w:rPr>
        <w:t xml:space="preserve">Reporting requirements for small entities are generally proportionately less due to the </w:t>
      </w:r>
      <w:r w:rsidRPr="00747E43" w:rsidR="00E27093">
        <w:rPr>
          <w:rFonts w:ascii="Arial" w:hAnsi="Arial" w:cs="Arial"/>
        </w:rPr>
        <w:t xml:space="preserve">fewer </w:t>
      </w:r>
      <w:r w:rsidRPr="00747E43">
        <w:rPr>
          <w:rFonts w:ascii="Arial" w:hAnsi="Arial" w:cs="Arial"/>
        </w:rPr>
        <w:t>number</w:t>
      </w:r>
      <w:r w:rsidRPr="00747E43" w:rsidR="00E27093">
        <w:rPr>
          <w:rFonts w:ascii="Arial" w:hAnsi="Arial" w:cs="Arial"/>
        </w:rPr>
        <w:t>s</w:t>
      </w:r>
      <w:r w:rsidRPr="00747E43">
        <w:rPr>
          <w:rFonts w:ascii="Arial" w:hAnsi="Arial" w:cs="Arial"/>
        </w:rPr>
        <w:t xml:space="preserve"> of vessels they operate.  </w:t>
      </w:r>
      <w:r w:rsidRPr="00747E43" w:rsidR="00E27093">
        <w:rPr>
          <w:rFonts w:ascii="Arial" w:hAnsi="Arial" w:cs="Arial"/>
        </w:rPr>
        <w:t>Additionally, s</w:t>
      </w:r>
      <w:r w:rsidRPr="00747E43">
        <w:rPr>
          <w:rFonts w:ascii="Arial" w:hAnsi="Arial" w:cs="Arial"/>
        </w:rPr>
        <w:t xml:space="preserve">mall </w:t>
      </w:r>
      <w:r w:rsidRPr="00747E43" w:rsidR="00E27093">
        <w:rPr>
          <w:rFonts w:ascii="Arial" w:hAnsi="Arial" w:cs="Arial"/>
        </w:rPr>
        <w:t xml:space="preserve">entities </w:t>
      </w:r>
      <w:r w:rsidRPr="00747E43">
        <w:rPr>
          <w:rFonts w:ascii="Arial" w:hAnsi="Arial" w:cs="Arial"/>
        </w:rPr>
        <w:t>often operate smaller</w:t>
      </w:r>
      <w:r w:rsidRPr="00747E43" w:rsidR="00E27093">
        <w:rPr>
          <w:rFonts w:ascii="Arial" w:hAnsi="Arial" w:cs="Arial"/>
        </w:rPr>
        <w:t>-size</w:t>
      </w:r>
      <w:r w:rsidRPr="00747E43">
        <w:rPr>
          <w:rFonts w:ascii="Arial" w:hAnsi="Arial" w:cs="Arial"/>
        </w:rPr>
        <w:t xml:space="preserve"> vessels that </w:t>
      </w:r>
      <w:r w:rsidRPr="00747E43" w:rsidR="00E27093">
        <w:rPr>
          <w:rFonts w:ascii="Arial" w:hAnsi="Arial" w:cs="Arial"/>
        </w:rPr>
        <w:t xml:space="preserve">may be </w:t>
      </w:r>
      <w:r w:rsidRPr="00747E43">
        <w:rPr>
          <w:rFonts w:ascii="Arial" w:hAnsi="Arial" w:cs="Arial"/>
        </w:rPr>
        <w:t xml:space="preserve">exempt from the reporting requirements.  </w:t>
      </w:r>
      <w:r w:rsidRPr="00533607" w:rsidR="00B76BB8">
        <w:rPr>
          <w:rFonts w:ascii="Arial" w:hAnsi="Arial" w:cs="Arial"/>
        </w:rPr>
        <w:t>The notification of hazardous conditions only occurs as needed.  Therefore, this information collection does not have an impact on small businesses or other small entities.</w:t>
      </w:r>
      <w:r w:rsidR="00206C78">
        <w:rPr>
          <w:rFonts w:ascii="Arial" w:hAnsi="Arial" w:cs="Arial"/>
        </w:rPr>
        <w:t xml:space="preserve">  </w:t>
      </w:r>
    </w:p>
    <w:p w:rsidRPr="00747E43" w:rsidR="00731F14" w:rsidP="009A0B52" w:rsidRDefault="00731F14" w14:paraId="471E85F4" w14:textId="77777777">
      <w:pPr>
        <w:widowControl w:val="0"/>
        <w:ind w:left="360" w:hanging="360"/>
        <w:rPr>
          <w:rFonts w:ascii="Arial" w:hAnsi="Arial" w:cs="Arial"/>
        </w:rPr>
      </w:pPr>
    </w:p>
    <w:p w:rsidRPr="00747E43" w:rsidR="00731F14" w:rsidP="009A0B52" w:rsidRDefault="00731F14" w14:paraId="7905C4FE" w14:textId="77777777">
      <w:pPr>
        <w:widowControl w:val="0"/>
        <w:ind w:left="360" w:hanging="360"/>
        <w:rPr>
          <w:rFonts w:ascii="Arial" w:hAnsi="Arial" w:cs="Arial"/>
          <w:u w:val="single"/>
        </w:rPr>
      </w:pPr>
      <w:r w:rsidRPr="00747E43">
        <w:rPr>
          <w:rFonts w:ascii="Arial" w:hAnsi="Arial" w:cs="Arial"/>
        </w:rPr>
        <w:t>6</w:t>
      </w:r>
      <w:r w:rsidR="00747E43">
        <w:rPr>
          <w:rFonts w:ascii="Arial" w:hAnsi="Arial" w:cs="Arial"/>
        </w:rPr>
        <w:t>)</w:t>
      </w:r>
      <w:r w:rsidRPr="00747E43">
        <w:rPr>
          <w:rFonts w:ascii="Arial" w:hAnsi="Arial" w:cs="Arial"/>
        </w:rPr>
        <w:t xml:space="preserve">  </w:t>
      </w:r>
      <w:r w:rsidRPr="00747E43">
        <w:rPr>
          <w:rFonts w:ascii="Arial" w:hAnsi="Arial" w:cs="Arial"/>
          <w:u w:val="single"/>
        </w:rPr>
        <w:t>Consequences to the Federal program if collection were conducted less frequently</w:t>
      </w:r>
      <w:r w:rsidRPr="00747E43">
        <w:rPr>
          <w:rFonts w:ascii="Arial" w:hAnsi="Arial" w:cs="Arial"/>
        </w:rPr>
        <w:t>.</w:t>
      </w:r>
      <w:r w:rsidR="00747E43">
        <w:rPr>
          <w:rFonts w:ascii="Arial" w:hAnsi="Arial" w:cs="Arial"/>
        </w:rPr>
        <w:t xml:space="preserve">  </w:t>
      </w:r>
    </w:p>
    <w:p w:rsidRPr="00747E43" w:rsidR="00731F14" w:rsidP="009A0B52" w:rsidRDefault="00731F14" w14:paraId="6D633EEE" w14:textId="77777777">
      <w:pPr>
        <w:widowControl w:val="0"/>
        <w:rPr>
          <w:rFonts w:ascii="Arial" w:hAnsi="Arial" w:cs="Arial"/>
        </w:rPr>
      </w:pPr>
    </w:p>
    <w:p w:rsidRPr="00747E43" w:rsidR="00731F14" w:rsidP="009A0B52" w:rsidRDefault="00731F14" w14:paraId="137217A4" w14:textId="116A9AF9">
      <w:pPr>
        <w:widowControl w:val="0"/>
        <w:rPr>
          <w:rFonts w:ascii="Arial" w:hAnsi="Arial" w:cs="Arial"/>
        </w:rPr>
      </w:pPr>
      <w:r w:rsidRPr="00747E43">
        <w:rPr>
          <w:rFonts w:ascii="Arial" w:hAnsi="Arial" w:cs="Arial"/>
        </w:rPr>
        <w:t>This information is reported whenever certain vessels arrive in U.S. ports, and whenever vessels carrying certain dangerous cargoes arrive in U.S. ports.  If it were reported less frequently, the COTP would not have a timely picture of what vessels</w:t>
      </w:r>
      <w:r w:rsidR="00206C78">
        <w:rPr>
          <w:rFonts w:ascii="Arial" w:hAnsi="Arial" w:cs="Arial"/>
        </w:rPr>
        <w:t>, persons</w:t>
      </w:r>
      <w:r w:rsidRPr="00747E43">
        <w:rPr>
          <w:rFonts w:ascii="Arial" w:hAnsi="Arial" w:cs="Arial"/>
        </w:rPr>
        <w:t xml:space="preserve"> or cargoes were entering the port, and in what condition.  Without this knowledge, the COTP could not take the actions described in </w:t>
      </w:r>
      <w:r w:rsidRPr="00747E43" w:rsidR="00117E12">
        <w:rPr>
          <w:rFonts w:ascii="Arial" w:hAnsi="Arial" w:cs="Arial"/>
        </w:rPr>
        <w:lastRenderedPageBreak/>
        <w:t>section</w:t>
      </w:r>
      <w:r w:rsidRPr="00747E43" w:rsidR="00870C31">
        <w:rPr>
          <w:rFonts w:ascii="Arial" w:hAnsi="Arial" w:cs="Arial"/>
        </w:rPr>
        <w:t xml:space="preserve"> </w:t>
      </w:r>
      <w:r w:rsidRPr="00747E43">
        <w:rPr>
          <w:rFonts w:ascii="Arial" w:hAnsi="Arial" w:cs="Arial"/>
        </w:rPr>
        <w:t xml:space="preserve">2 to protect the port and the environment.  </w:t>
      </w:r>
    </w:p>
    <w:p w:rsidRPr="00747E43" w:rsidR="00731F14" w:rsidP="009A0B52" w:rsidRDefault="00731F14" w14:paraId="1B01A6B4" w14:textId="77777777">
      <w:pPr>
        <w:widowControl w:val="0"/>
        <w:rPr>
          <w:rFonts w:ascii="Arial" w:hAnsi="Arial" w:cs="Arial"/>
        </w:rPr>
      </w:pPr>
    </w:p>
    <w:p w:rsidR="00731F14" w:rsidP="009A0B52" w:rsidRDefault="00731F14" w14:paraId="2964FCBE" w14:textId="7B15F7B0">
      <w:pPr>
        <w:widowControl w:val="0"/>
        <w:rPr>
          <w:rFonts w:ascii="Arial" w:hAnsi="Arial" w:cs="Arial"/>
        </w:rPr>
      </w:pPr>
      <w:r w:rsidRPr="00747E43">
        <w:rPr>
          <w:rFonts w:ascii="Arial" w:hAnsi="Arial" w:cs="Arial"/>
        </w:rPr>
        <w:t>The waiver information is reported whenever a vessel requests a waiver.  Requests are evaluated on a case-by-case basis.  Without this information, the COTP cannot grant or deny a waiver.</w:t>
      </w:r>
      <w:r w:rsidR="00C209CA">
        <w:rPr>
          <w:rFonts w:ascii="Arial" w:hAnsi="Arial" w:cs="Arial"/>
        </w:rPr>
        <w:t xml:space="preserve">  </w:t>
      </w:r>
    </w:p>
    <w:p w:rsidR="00B76BB8" w:rsidP="009A0B52" w:rsidRDefault="00B76BB8" w14:paraId="2240C517" w14:textId="2B7AC11B">
      <w:pPr>
        <w:widowControl w:val="0"/>
        <w:rPr>
          <w:rFonts w:ascii="Arial" w:hAnsi="Arial" w:cs="Arial"/>
        </w:rPr>
      </w:pPr>
    </w:p>
    <w:p w:rsidRPr="00747E43" w:rsidR="00B76BB8" w:rsidP="009A0B52" w:rsidRDefault="00B76BB8" w14:paraId="29D5C272" w14:textId="1A171A3A">
      <w:pPr>
        <w:widowControl w:val="0"/>
        <w:rPr>
          <w:rFonts w:ascii="Arial" w:hAnsi="Arial" w:cs="Arial"/>
        </w:rPr>
      </w:pPr>
      <w:r w:rsidRPr="00533607">
        <w:rPr>
          <w:rFonts w:ascii="Arial" w:hAnsi="Arial" w:cs="Arial"/>
        </w:rPr>
        <w:t>Hazardous conditions in U.S. ports and waterways pose a threat to commercial vessels, recreation vessels, shore side facilities and the environment.  Failure of the involved vessel to report a hazard either onboard the vessel or caused by the vessel would hinder the Coast Guard’s missions to promote safe navigation and protect the environment.</w:t>
      </w:r>
      <w:r w:rsidR="00C209CA">
        <w:rPr>
          <w:rFonts w:ascii="Arial" w:hAnsi="Arial" w:cs="Arial"/>
        </w:rPr>
        <w:t xml:space="preserve">  </w:t>
      </w:r>
    </w:p>
    <w:p w:rsidRPr="00747E43" w:rsidR="00731F14" w:rsidP="009A0B52" w:rsidRDefault="00731F14" w14:paraId="08916702" w14:textId="77777777">
      <w:pPr>
        <w:widowControl w:val="0"/>
        <w:rPr>
          <w:rFonts w:ascii="Arial" w:hAnsi="Arial" w:cs="Arial"/>
        </w:rPr>
      </w:pPr>
    </w:p>
    <w:p w:rsidRPr="00747E43" w:rsidR="00731F14" w:rsidP="009A0B52" w:rsidRDefault="00731F14" w14:paraId="4D29782A" w14:textId="77777777">
      <w:pPr>
        <w:widowControl w:val="0"/>
        <w:ind w:left="360" w:hanging="360"/>
        <w:rPr>
          <w:rFonts w:ascii="Arial" w:hAnsi="Arial" w:cs="Arial"/>
          <w:u w:val="single"/>
        </w:rPr>
      </w:pPr>
      <w:r w:rsidRPr="00747E43">
        <w:rPr>
          <w:rFonts w:ascii="Arial" w:hAnsi="Arial" w:cs="Arial"/>
        </w:rPr>
        <w:t>7</w:t>
      </w:r>
      <w:r w:rsidR="00747E43">
        <w:rPr>
          <w:rFonts w:ascii="Arial" w:hAnsi="Arial" w:cs="Arial"/>
        </w:rPr>
        <w:t>)</w:t>
      </w:r>
      <w:r w:rsidRPr="00747E43">
        <w:rPr>
          <w:rFonts w:ascii="Arial" w:hAnsi="Arial" w:cs="Arial"/>
        </w:rPr>
        <w:t xml:space="preserve">  </w:t>
      </w:r>
      <w:r w:rsidRPr="00747E43">
        <w:rPr>
          <w:rFonts w:ascii="Arial" w:hAnsi="Arial" w:cs="Arial"/>
          <w:u w:val="single"/>
        </w:rPr>
        <w:t xml:space="preserve">Special </w:t>
      </w:r>
      <w:r w:rsidRPr="00747E43" w:rsidR="00753C31">
        <w:rPr>
          <w:rFonts w:ascii="Arial" w:hAnsi="Arial" w:cs="Arial"/>
          <w:u w:val="single"/>
        </w:rPr>
        <w:t xml:space="preserve">collection </w:t>
      </w:r>
      <w:r w:rsidRPr="00747E43">
        <w:rPr>
          <w:rFonts w:ascii="Arial" w:hAnsi="Arial" w:cs="Arial"/>
          <w:u w:val="single"/>
        </w:rPr>
        <w:t>circumstances</w:t>
      </w:r>
      <w:r w:rsidRPr="00747E43" w:rsidR="00747E43">
        <w:rPr>
          <w:rFonts w:ascii="Arial" w:hAnsi="Arial" w:cs="Arial"/>
        </w:rPr>
        <w:t xml:space="preserve">. </w:t>
      </w:r>
      <w:r w:rsidR="00747E43">
        <w:rPr>
          <w:rFonts w:ascii="Arial" w:hAnsi="Arial" w:cs="Arial"/>
        </w:rPr>
        <w:t xml:space="preserve"> </w:t>
      </w:r>
    </w:p>
    <w:p w:rsidRPr="00747E43" w:rsidR="00731F14" w:rsidP="009A0B52" w:rsidRDefault="00731F14" w14:paraId="4AF3C530" w14:textId="77777777">
      <w:pPr>
        <w:widowControl w:val="0"/>
        <w:rPr>
          <w:rFonts w:ascii="Arial" w:hAnsi="Arial" w:cs="Arial"/>
        </w:rPr>
      </w:pPr>
    </w:p>
    <w:p w:rsidRPr="00747E43" w:rsidR="00731F14" w:rsidP="009A0B52" w:rsidRDefault="004E6B27" w14:paraId="04E0ABCA" w14:textId="6670DB9A">
      <w:pPr>
        <w:widowControl w:val="0"/>
        <w:rPr>
          <w:rFonts w:ascii="Arial" w:hAnsi="Arial" w:cs="Arial"/>
        </w:rPr>
      </w:pPr>
      <w:r w:rsidRPr="00747E43">
        <w:rPr>
          <w:rFonts w:ascii="Arial" w:hAnsi="Arial" w:cs="Arial"/>
        </w:rPr>
        <w:t>This information collection is conducted in manner consistent with the guidelines in 5</w:t>
      </w:r>
      <w:r w:rsidRPr="00747E43" w:rsidR="00CC7916">
        <w:rPr>
          <w:rFonts w:ascii="Arial" w:hAnsi="Arial" w:cs="Arial"/>
        </w:rPr>
        <w:t> </w:t>
      </w:r>
      <w:r w:rsidRPr="00747E43">
        <w:rPr>
          <w:rFonts w:ascii="Arial" w:hAnsi="Arial" w:cs="Arial"/>
        </w:rPr>
        <w:t>CFR 1320.5(d)(2)</w:t>
      </w:r>
      <w:r w:rsidRPr="00747E43" w:rsidR="00C46C8B">
        <w:rPr>
          <w:rFonts w:ascii="Arial" w:hAnsi="Arial" w:cs="Arial"/>
        </w:rPr>
        <w:t>.</w:t>
      </w:r>
      <w:r w:rsidR="00206C78">
        <w:rPr>
          <w:rFonts w:ascii="Arial" w:hAnsi="Arial" w:cs="Arial"/>
        </w:rPr>
        <w:t xml:space="preserve">  </w:t>
      </w:r>
    </w:p>
    <w:p w:rsidRPr="00747E43" w:rsidR="00731F14" w:rsidP="009A0B52" w:rsidRDefault="00731F14" w14:paraId="3A2B26B2" w14:textId="77777777">
      <w:pPr>
        <w:widowControl w:val="0"/>
        <w:rPr>
          <w:rFonts w:ascii="Arial" w:hAnsi="Arial" w:cs="Arial"/>
        </w:rPr>
      </w:pPr>
    </w:p>
    <w:p w:rsidRPr="00747E43" w:rsidR="00731F14" w:rsidP="009A0B52" w:rsidRDefault="00731F14" w14:paraId="24784AFD" w14:textId="77777777">
      <w:pPr>
        <w:widowControl w:val="0"/>
        <w:rPr>
          <w:rFonts w:ascii="Arial" w:hAnsi="Arial" w:cs="Arial"/>
          <w:u w:val="single"/>
        </w:rPr>
      </w:pPr>
      <w:r w:rsidRPr="00747E43">
        <w:rPr>
          <w:rFonts w:ascii="Arial" w:hAnsi="Arial" w:cs="Arial"/>
        </w:rPr>
        <w:t>8</w:t>
      </w:r>
      <w:r w:rsidR="00747E43">
        <w:rPr>
          <w:rFonts w:ascii="Arial" w:hAnsi="Arial" w:cs="Arial"/>
        </w:rPr>
        <w:t>)</w:t>
      </w:r>
      <w:r w:rsidRPr="00747E43">
        <w:rPr>
          <w:rFonts w:ascii="Arial" w:hAnsi="Arial" w:cs="Arial"/>
        </w:rPr>
        <w:t xml:space="preserve">  </w:t>
      </w:r>
      <w:r w:rsidRPr="00747E43">
        <w:rPr>
          <w:rFonts w:ascii="Arial" w:hAnsi="Arial" w:cs="Arial"/>
          <w:u w:val="single"/>
        </w:rPr>
        <w:t>Consultation</w:t>
      </w:r>
      <w:r w:rsidRPr="00747E43">
        <w:rPr>
          <w:rFonts w:ascii="Arial" w:hAnsi="Arial" w:cs="Arial"/>
        </w:rPr>
        <w:t>.</w:t>
      </w:r>
      <w:r w:rsidR="00747E43">
        <w:rPr>
          <w:rFonts w:ascii="Arial" w:hAnsi="Arial" w:cs="Arial"/>
        </w:rPr>
        <w:t xml:space="preserve">  </w:t>
      </w:r>
    </w:p>
    <w:p w:rsidRPr="00747E43" w:rsidR="00731F14" w:rsidP="009A0B52" w:rsidRDefault="00731F14" w14:paraId="35E19AF6" w14:textId="77777777">
      <w:pPr>
        <w:widowControl w:val="0"/>
        <w:rPr>
          <w:rFonts w:ascii="Arial" w:hAnsi="Arial" w:cs="Arial"/>
        </w:rPr>
      </w:pPr>
    </w:p>
    <w:p w:rsidR="008F3444" w:rsidP="009A0B52" w:rsidRDefault="00B76BB8" w14:paraId="2B029B0C" w14:textId="6861D6B5">
      <w:pPr>
        <w:widowControl w:val="0"/>
        <w:rPr>
          <w:rFonts w:ascii="Arial" w:hAnsi="Arial" w:cs="Arial"/>
        </w:rPr>
      </w:pPr>
      <w:r w:rsidRPr="00C55702">
        <w:rPr>
          <w:rFonts w:ascii="Arial" w:hAnsi="Arial" w:cs="Arial"/>
        </w:rPr>
        <w:t xml:space="preserve"> </w:t>
      </w:r>
      <w:r w:rsidRPr="00671923" w:rsidR="00671923">
        <w:rPr>
          <w:rFonts w:ascii="Arial" w:hAnsi="Arial" w:cs="Arial"/>
        </w:rPr>
        <w:t>A 60-day Notice was published in the Federal Register to obtain public comment on this</w:t>
      </w:r>
      <w:r w:rsidR="00671923">
        <w:rPr>
          <w:rFonts w:ascii="Arial" w:hAnsi="Arial" w:cs="Arial"/>
        </w:rPr>
        <w:t xml:space="preserve"> collection (See [USCG-2021-0177]; March 9, 2021, 86 FR 13569</w:t>
      </w:r>
      <w:r w:rsidRPr="00671923" w:rsidR="00671923">
        <w:rPr>
          <w:rFonts w:ascii="Arial" w:hAnsi="Arial" w:cs="Arial"/>
        </w:rPr>
        <w:t>) and 30-Day N</w:t>
      </w:r>
      <w:r w:rsidR="00671923">
        <w:rPr>
          <w:rFonts w:ascii="Arial" w:hAnsi="Arial" w:cs="Arial"/>
        </w:rPr>
        <w:t>otice (May 24, 2021, 86 FR 27867</w:t>
      </w:r>
      <w:r w:rsidRPr="00671923" w:rsidR="00671923">
        <w:rPr>
          <w:rFonts w:ascii="Arial" w:hAnsi="Arial" w:cs="Arial"/>
        </w:rPr>
        <w:t xml:space="preserve">) were published in the Federal Register to obtain public comment on this collection.  The Coast Guard has not received any comments on this information collection.              </w:t>
      </w:r>
    </w:p>
    <w:p w:rsidRPr="00747E43" w:rsidR="004D61C8" w:rsidP="009A0B52" w:rsidRDefault="004D61C8" w14:paraId="1E02E05F" w14:textId="77777777">
      <w:pPr>
        <w:widowControl w:val="0"/>
        <w:rPr>
          <w:rFonts w:ascii="Arial" w:hAnsi="Arial" w:cs="Arial"/>
        </w:rPr>
      </w:pPr>
    </w:p>
    <w:p w:rsidRPr="00753C31" w:rsidR="00731F14" w:rsidP="009A0B52" w:rsidRDefault="00731F14" w14:paraId="6F665B26" w14:textId="77777777">
      <w:pPr>
        <w:widowControl w:val="0"/>
        <w:rPr>
          <w:rFonts w:ascii="Arial" w:hAnsi="Arial" w:cs="Arial"/>
          <w:u w:val="single"/>
        </w:rPr>
      </w:pPr>
      <w:r w:rsidRPr="00753C31">
        <w:rPr>
          <w:rFonts w:ascii="Arial" w:hAnsi="Arial" w:cs="Arial"/>
        </w:rPr>
        <w:t>9</w:t>
      </w:r>
      <w:r w:rsidR="00753C31">
        <w:rPr>
          <w:rFonts w:ascii="Arial" w:hAnsi="Arial" w:cs="Arial"/>
        </w:rPr>
        <w:t>)</w:t>
      </w:r>
      <w:r w:rsidRPr="00753C31">
        <w:rPr>
          <w:rFonts w:ascii="Arial" w:hAnsi="Arial" w:cs="Arial"/>
        </w:rPr>
        <w:t xml:space="preserve">  </w:t>
      </w:r>
      <w:r w:rsidRPr="00753C31">
        <w:rPr>
          <w:rFonts w:ascii="Arial" w:hAnsi="Arial" w:cs="Arial"/>
          <w:u w:val="single"/>
        </w:rPr>
        <w:t>Provide any payment or gift to respondents</w:t>
      </w:r>
      <w:r w:rsidRPr="00753C31">
        <w:rPr>
          <w:rFonts w:ascii="Arial" w:hAnsi="Arial" w:cs="Arial"/>
        </w:rPr>
        <w:t>.</w:t>
      </w:r>
      <w:r w:rsidR="00753C31">
        <w:rPr>
          <w:rFonts w:ascii="Arial" w:hAnsi="Arial" w:cs="Arial"/>
        </w:rPr>
        <w:t xml:space="preserve">  </w:t>
      </w:r>
    </w:p>
    <w:p w:rsidRPr="00747E43" w:rsidR="00731F14" w:rsidP="009A0B52" w:rsidRDefault="00731F14" w14:paraId="44C3BB50" w14:textId="77777777">
      <w:pPr>
        <w:widowControl w:val="0"/>
        <w:rPr>
          <w:rFonts w:ascii="Arial" w:hAnsi="Arial" w:cs="Arial"/>
        </w:rPr>
      </w:pPr>
    </w:p>
    <w:p w:rsidRPr="00747E43" w:rsidR="00731F14" w:rsidP="009A0B52" w:rsidRDefault="004E6B27" w14:paraId="23F5C54E" w14:textId="77A52910">
      <w:pPr>
        <w:widowControl w:val="0"/>
        <w:rPr>
          <w:rFonts w:ascii="Arial" w:hAnsi="Arial" w:cs="Arial"/>
        </w:rPr>
      </w:pPr>
      <w:r w:rsidRPr="00747E43">
        <w:rPr>
          <w:rFonts w:ascii="Arial" w:hAnsi="Arial" w:cs="Arial"/>
        </w:rPr>
        <w:t>There is no offer of monetary or material value for this information collection</w:t>
      </w:r>
      <w:r w:rsidRPr="00747E43" w:rsidR="00731F14">
        <w:rPr>
          <w:rFonts w:ascii="Arial" w:hAnsi="Arial" w:cs="Arial"/>
        </w:rPr>
        <w:t>.</w:t>
      </w:r>
      <w:r w:rsidR="00206C78">
        <w:rPr>
          <w:rFonts w:ascii="Arial" w:hAnsi="Arial" w:cs="Arial"/>
        </w:rPr>
        <w:t xml:space="preserve">  </w:t>
      </w:r>
    </w:p>
    <w:p w:rsidRPr="00747E43" w:rsidR="00731F14" w:rsidP="009A0B52" w:rsidRDefault="00731F14" w14:paraId="269F01A0" w14:textId="77777777">
      <w:pPr>
        <w:widowControl w:val="0"/>
        <w:rPr>
          <w:rFonts w:ascii="Arial" w:hAnsi="Arial" w:cs="Arial"/>
        </w:rPr>
      </w:pPr>
    </w:p>
    <w:p w:rsidRPr="00753C31" w:rsidR="00731F14" w:rsidP="009A0B52" w:rsidRDefault="00731F14" w14:paraId="3D0E2B1F" w14:textId="77777777">
      <w:pPr>
        <w:widowControl w:val="0"/>
        <w:rPr>
          <w:rFonts w:ascii="Arial" w:hAnsi="Arial" w:cs="Arial"/>
          <w:u w:val="single"/>
        </w:rPr>
      </w:pPr>
      <w:r w:rsidRPr="00753C31">
        <w:rPr>
          <w:rFonts w:ascii="Arial" w:hAnsi="Arial" w:cs="Arial"/>
        </w:rPr>
        <w:t>10</w:t>
      </w:r>
      <w:r w:rsidR="00753C31">
        <w:rPr>
          <w:rFonts w:ascii="Arial" w:hAnsi="Arial" w:cs="Arial"/>
        </w:rPr>
        <w:t>)</w:t>
      </w:r>
      <w:r w:rsidRPr="00753C31">
        <w:rPr>
          <w:rFonts w:ascii="Arial" w:hAnsi="Arial" w:cs="Arial"/>
        </w:rPr>
        <w:t xml:space="preserve">  </w:t>
      </w:r>
      <w:r w:rsidR="00753C31">
        <w:rPr>
          <w:rFonts w:ascii="Arial" w:hAnsi="Arial" w:cs="Arial"/>
          <w:u w:val="single"/>
        </w:rPr>
        <w:t>Describe any a</w:t>
      </w:r>
      <w:r w:rsidRPr="00753C31">
        <w:rPr>
          <w:rFonts w:ascii="Arial" w:hAnsi="Arial" w:cs="Arial"/>
          <w:u w:val="single"/>
        </w:rPr>
        <w:t>ssurances of confidentiality provided to respondents</w:t>
      </w:r>
      <w:r w:rsidRPr="00753C31">
        <w:rPr>
          <w:rFonts w:ascii="Arial" w:hAnsi="Arial" w:cs="Arial"/>
        </w:rPr>
        <w:t>.</w:t>
      </w:r>
      <w:r w:rsidR="00753C31">
        <w:rPr>
          <w:rFonts w:ascii="Arial" w:hAnsi="Arial" w:cs="Arial"/>
        </w:rPr>
        <w:t xml:space="preserve">  </w:t>
      </w:r>
    </w:p>
    <w:p w:rsidRPr="00753C31" w:rsidR="00731F14" w:rsidP="009A0B52" w:rsidRDefault="00731F14" w14:paraId="63990F7D" w14:textId="77777777">
      <w:pPr>
        <w:widowControl w:val="0"/>
        <w:rPr>
          <w:rFonts w:ascii="Arial" w:hAnsi="Arial" w:cs="Arial"/>
        </w:rPr>
      </w:pPr>
    </w:p>
    <w:p w:rsidRPr="00EA5EF1" w:rsidR="00437D2A" w:rsidP="009A0B52" w:rsidRDefault="004E6B27" w14:paraId="01F41657" w14:textId="7011F046">
      <w:pPr>
        <w:pStyle w:val="BodyText"/>
        <w:widowControl w:val="0"/>
        <w:rPr>
          <w:rFonts w:cs="Arial"/>
          <w:sz w:val="20"/>
        </w:rPr>
      </w:pPr>
      <w:r w:rsidRPr="00437D2A">
        <w:rPr>
          <w:rFonts w:cs="Arial"/>
          <w:sz w:val="20"/>
        </w:rPr>
        <w:t>There are no assurances of confidentiality provided to the respondents for this information collection</w:t>
      </w:r>
      <w:r w:rsidRPr="00437D2A" w:rsidR="00C46C8B">
        <w:rPr>
          <w:rFonts w:cs="Arial"/>
          <w:sz w:val="20"/>
        </w:rPr>
        <w:t>.</w:t>
      </w:r>
      <w:r w:rsidRPr="00747E43" w:rsidR="00731F14">
        <w:rPr>
          <w:rFonts w:cs="Arial"/>
        </w:rPr>
        <w:t xml:space="preserve"> </w:t>
      </w:r>
      <w:r w:rsidR="00A751E5">
        <w:rPr>
          <w:rFonts w:cs="Arial"/>
        </w:rPr>
        <w:t xml:space="preserve"> </w:t>
      </w:r>
      <w:r w:rsidRPr="00EA5EF1" w:rsidR="00437D2A">
        <w:rPr>
          <w:rFonts w:cs="Arial"/>
          <w:sz w:val="20"/>
        </w:rPr>
        <w:t xml:space="preserve">This information collection request is covered by the </w:t>
      </w:r>
      <w:r w:rsidRPr="00EA5EF1" w:rsidR="00EA5EF1">
        <w:rPr>
          <w:rFonts w:cs="Arial"/>
          <w:sz w:val="20"/>
        </w:rPr>
        <w:t>Notice of Arrival/Departure (NOAD)</w:t>
      </w:r>
      <w:r w:rsidRPr="00EA5EF1" w:rsidR="00437D2A">
        <w:rPr>
          <w:rFonts w:cs="Arial"/>
          <w:sz w:val="20"/>
        </w:rPr>
        <w:t xml:space="preserve"> Privacy Impact Assessment (PIA) and System of Records Notice (SORN).  Links to the </w:t>
      </w:r>
      <w:r w:rsidR="00A3183A">
        <w:rPr>
          <w:rFonts w:cs="Arial"/>
          <w:sz w:val="20"/>
        </w:rPr>
        <w:t>NOAD</w:t>
      </w:r>
      <w:r w:rsidRPr="00EA5EF1" w:rsidR="00A3183A">
        <w:rPr>
          <w:rFonts w:cs="Arial"/>
          <w:sz w:val="20"/>
        </w:rPr>
        <w:t xml:space="preserve"> </w:t>
      </w:r>
      <w:r w:rsidRPr="00EA5EF1" w:rsidR="00437D2A">
        <w:rPr>
          <w:rFonts w:cs="Arial"/>
          <w:sz w:val="20"/>
        </w:rPr>
        <w:t>PIA and SORN are provided below:</w:t>
      </w:r>
      <w:r w:rsidR="00C209CA">
        <w:rPr>
          <w:rFonts w:cs="Arial"/>
          <w:sz w:val="20"/>
        </w:rPr>
        <w:t xml:space="preserve">  </w:t>
      </w:r>
    </w:p>
    <w:p w:rsidRPr="00E0778B" w:rsidR="00437D2A" w:rsidP="009A0B52" w:rsidRDefault="00671923" w14:paraId="0C09B89D" w14:textId="77777777">
      <w:pPr>
        <w:pStyle w:val="BodyText"/>
        <w:widowControl w:val="0"/>
        <w:numPr>
          <w:ilvl w:val="0"/>
          <w:numId w:val="8"/>
        </w:numPr>
        <w:rPr>
          <w:rFonts w:cs="Arial"/>
          <w:sz w:val="20"/>
        </w:rPr>
      </w:pPr>
      <w:hyperlink w:history="1" r:id="rId13">
        <w:r w:rsidRPr="00E0778B" w:rsidR="00EA5EF1">
          <w:rPr>
            <w:rStyle w:val="Hyperlink"/>
            <w:rFonts w:cs="Arial"/>
            <w:sz w:val="20"/>
          </w:rPr>
          <w:t>https://www.dhs.gov/publication/dhs-uscg-pia-006b-vessel-requirements-noad-and-ais-rulemaking</w:t>
        </w:r>
      </w:hyperlink>
      <w:r w:rsidRPr="00E0778B" w:rsidR="00EA5EF1">
        <w:rPr>
          <w:rFonts w:cs="Arial"/>
          <w:sz w:val="20"/>
        </w:rPr>
        <w:t xml:space="preserve"> </w:t>
      </w:r>
      <w:r w:rsidRPr="00E0778B" w:rsidR="00437D2A">
        <w:rPr>
          <w:rFonts w:cs="Arial"/>
          <w:sz w:val="20"/>
        </w:rPr>
        <w:t xml:space="preserve"> </w:t>
      </w:r>
    </w:p>
    <w:p w:rsidRPr="00E0778B" w:rsidR="00D97E6B" w:rsidP="009A0B52" w:rsidRDefault="00671923" w14:paraId="6BFC0A92" w14:textId="2E7B2C16">
      <w:pPr>
        <w:pStyle w:val="BodyText"/>
        <w:widowControl w:val="0"/>
        <w:numPr>
          <w:ilvl w:val="0"/>
          <w:numId w:val="8"/>
        </w:numPr>
        <w:rPr>
          <w:rFonts w:cs="Arial"/>
          <w:sz w:val="20"/>
        </w:rPr>
      </w:pPr>
      <w:hyperlink w:history="1" r:id="rId14">
        <w:r w:rsidRPr="00E0778B" w:rsidR="00D97E6B">
          <w:rPr>
            <w:rStyle w:val="Hyperlink"/>
            <w:rFonts w:cs="Arial"/>
            <w:sz w:val="20"/>
          </w:rPr>
          <w:t>https://www.gpo.gov/fdsys/pkg/FR-2015-11-27/html/2015-30303.htm</w:t>
        </w:r>
      </w:hyperlink>
      <w:r w:rsidR="007D0AEC">
        <w:rPr>
          <w:rStyle w:val="Hyperlink"/>
          <w:rFonts w:cs="Arial"/>
          <w:sz w:val="20"/>
        </w:rPr>
        <w:t xml:space="preserve">  </w:t>
      </w:r>
    </w:p>
    <w:p w:rsidRPr="00747E43" w:rsidR="00731F14" w:rsidP="009A0B52" w:rsidRDefault="00731F14" w14:paraId="3F2E61F7" w14:textId="77777777">
      <w:pPr>
        <w:widowControl w:val="0"/>
        <w:tabs>
          <w:tab w:val="left" w:pos="576"/>
        </w:tabs>
        <w:rPr>
          <w:rFonts w:ascii="Arial" w:hAnsi="Arial" w:cs="Arial"/>
        </w:rPr>
      </w:pPr>
    </w:p>
    <w:p w:rsidRPr="00753C31" w:rsidR="00731F14" w:rsidP="009A0B52" w:rsidRDefault="00731F14" w14:paraId="717110AD" w14:textId="77777777">
      <w:pPr>
        <w:widowControl w:val="0"/>
        <w:rPr>
          <w:rFonts w:ascii="Arial" w:hAnsi="Arial" w:cs="Arial"/>
          <w:u w:val="single"/>
        </w:rPr>
      </w:pPr>
      <w:r w:rsidRPr="00753C31">
        <w:rPr>
          <w:rFonts w:ascii="Arial" w:hAnsi="Arial" w:cs="Arial"/>
        </w:rPr>
        <w:t>11</w:t>
      </w:r>
      <w:r w:rsidR="00753C31">
        <w:rPr>
          <w:rFonts w:ascii="Arial" w:hAnsi="Arial" w:cs="Arial"/>
        </w:rPr>
        <w:t>)</w:t>
      </w:r>
      <w:r w:rsidRPr="00753C31">
        <w:rPr>
          <w:rFonts w:ascii="Arial" w:hAnsi="Arial" w:cs="Arial"/>
        </w:rPr>
        <w:t xml:space="preserve">  </w:t>
      </w:r>
      <w:r w:rsidRPr="00753C31">
        <w:rPr>
          <w:rFonts w:ascii="Arial" w:hAnsi="Arial" w:cs="Arial"/>
          <w:u w:val="single"/>
        </w:rPr>
        <w:t>Additional justification for any questions of a sensitive nature</w:t>
      </w:r>
      <w:r w:rsidRPr="00753C31">
        <w:rPr>
          <w:rFonts w:ascii="Arial" w:hAnsi="Arial" w:cs="Arial"/>
        </w:rPr>
        <w:t>.</w:t>
      </w:r>
      <w:r w:rsidR="00753C31">
        <w:rPr>
          <w:rFonts w:ascii="Arial" w:hAnsi="Arial" w:cs="Arial"/>
        </w:rPr>
        <w:t xml:space="preserve">  </w:t>
      </w:r>
    </w:p>
    <w:p w:rsidRPr="00753C31" w:rsidR="00731F14" w:rsidP="009A0B52" w:rsidRDefault="00731F14" w14:paraId="1999B5C9" w14:textId="77777777">
      <w:pPr>
        <w:pStyle w:val="TxBrp4"/>
        <w:tabs>
          <w:tab w:val="clear" w:pos="583"/>
        </w:tabs>
        <w:spacing w:line="240" w:lineRule="auto"/>
        <w:rPr>
          <w:rFonts w:ascii="Arial" w:hAnsi="Arial" w:cs="Arial"/>
          <w:snapToGrid/>
          <w:sz w:val="20"/>
        </w:rPr>
      </w:pPr>
    </w:p>
    <w:p w:rsidRPr="00747E43" w:rsidR="00731F14" w:rsidP="009A0B52" w:rsidRDefault="004E6B27" w14:paraId="38DF9A17" w14:textId="0C5A523F">
      <w:pPr>
        <w:pStyle w:val="BodyText"/>
        <w:widowControl w:val="0"/>
        <w:rPr>
          <w:rFonts w:cs="Arial"/>
          <w:sz w:val="20"/>
        </w:rPr>
      </w:pPr>
      <w:r w:rsidRPr="00747E43">
        <w:rPr>
          <w:rFonts w:cs="Arial"/>
          <w:sz w:val="20"/>
        </w:rPr>
        <w:t>There are no questions of sensitive nature</w:t>
      </w:r>
      <w:r w:rsidRPr="00747E43" w:rsidR="00C46C8B">
        <w:rPr>
          <w:rFonts w:cs="Arial"/>
          <w:sz w:val="20"/>
        </w:rPr>
        <w:t>.</w:t>
      </w:r>
      <w:r w:rsidR="0080084B">
        <w:rPr>
          <w:rFonts w:cs="Arial"/>
          <w:sz w:val="20"/>
        </w:rPr>
        <w:t xml:space="preserve">  </w:t>
      </w:r>
    </w:p>
    <w:p w:rsidRPr="00747E43" w:rsidR="00731F14" w:rsidP="009A0B52" w:rsidRDefault="00731F14" w14:paraId="7527356D" w14:textId="77777777">
      <w:pPr>
        <w:widowControl w:val="0"/>
        <w:rPr>
          <w:rFonts w:ascii="Arial" w:hAnsi="Arial" w:cs="Arial"/>
        </w:rPr>
      </w:pPr>
    </w:p>
    <w:p w:rsidRPr="00753C31" w:rsidR="00731F14" w:rsidP="009A0B52" w:rsidRDefault="00731F14" w14:paraId="7C3984F7" w14:textId="77777777">
      <w:pPr>
        <w:widowControl w:val="0"/>
        <w:rPr>
          <w:rFonts w:ascii="Arial" w:hAnsi="Arial" w:cs="Arial"/>
          <w:u w:val="single"/>
        </w:rPr>
      </w:pPr>
      <w:r w:rsidRPr="00753C31">
        <w:rPr>
          <w:rFonts w:ascii="Arial" w:hAnsi="Arial" w:cs="Arial"/>
        </w:rPr>
        <w:t>12</w:t>
      </w:r>
      <w:r w:rsidR="00753C31">
        <w:rPr>
          <w:rFonts w:ascii="Arial" w:hAnsi="Arial" w:cs="Arial"/>
        </w:rPr>
        <w:t>)</w:t>
      </w:r>
      <w:r w:rsidRPr="00753C31">
        <w:rPr>
          <w:rFonts w:ascii="Arial" w:hAnsi="Arial" w:cs="Arial"/>
        </w:rPr>
        <w:t xml:space="preserve">  </w:t>
      </w:r>
      <w:r w:rsidRPr="00753C31">
        <w:rPr>
          <w:rFonts w:ascii="Arial" w:hAnsi="Arial" w:cs="Arial"/>
          <w:u w:val="single"/>
        </w:rPr>
        <w:t xml:space="preserve">Estimates of </w:t>
      </w:r>
      <w:r w:rsidRPr="00753C31" w:rsidR="00753C31">
        <w:rPr>
          <w:rFonts w:ascii="Arial" w:hAnsi="Arial" w:cs="Arial"/>
          <w:u w:val="single"/>
        </w:rPr>
        <w:t>annual hour and cost burdens to respondents</w:t>
      </w:r>
      <w:r w:rsidRPr="00753C31">
        <w:rPr>
          <w:rFonts w:ascii="Arial" w:hAnsi="Arial" w:cs="Arial"/>
        </w:rPr>
        <w:t>.</w:t>
      </w:r>
      <w:r w:rsidR="00753C31">
        <w:rPr>
          <w:rFonts w:ascii="Arial" w:hAnsi="Arial" w:cs="Arial"/>
        </w:rPr>
        <w:t xml:space="preserve">  </w:t>
      </w:r>
    </w:p>
    <w:p w:rsidRPr="00753C31" w:rsidR="00731F14" w:rsidP="009A0B52" w:rsidRDefault="00731F14" w14:paraId="45AEE700" w14:textId="77777777">
      <w:pPr>
        <w:pStyle w:val="TxBrp4"/>
        <w:tabs>
          <w:tab w:val="clear" w:pos="583"/>
        </w:tabs>
        <w:spacing w:line="240" w:lineRule="auto"/>
        <w:rPr>
          <w:rFonts w:ascii="Arial" w:hAnsi="Arial" w:cs="Arial"/>
          <w:snapToGrid/>
          <w:sz w:val="20"/>
        </w:rPr>
      </w:pPr>
    </w:p>
    <w:p w:rsidRPr="008F63A0" w:rsidR="00731F14" w:rsidP="009A0B52" w:rsidRDefault="00731F14" w14:paraId="61E0BACC" w14:textId="6693D4EC">
      <w:pPr>
        <w:pStyle w:val="TxBrp4"/>
        <w:numPr>
          <w:ilvl w:val="0"/>
          <w:numId w:val="5"/>
        </w:numPr>
        <w:tabs>
          <w:tab w:val="clear" w:pos="583"/>
        </w:tabs>
        <w:spacing w:line="240" w:lineRule="auto"/>
        <w:rPr>
          <w:rFonts w:ascii="Arial" w:hAnsi="Arial" w:cs="Arial"/>
          <w:snapToGrid/>
          <w:sz w:val="20"/>
        </w:rPr>
      </w:pPr>
      <w:r w:rsidRPr="008F63A0">
        <w:rPr>
          <w:rFonts w:ascii="Arial" w:hAnsi="Arial" w:cs="Arial"/>
          <w:snapToGrid/>
          <w:sz w:val="20"/>
        </w:rPr>
        <w:t>T</w:t>
      </w:r>
      <w:r w:rsidRPr="008F63A0" w:rsidR="008F63A0">
        <w:rPr>
          <w:rFonts w:ascii="Arial" w:hAnsi="Arial" w:cs="Arial"/>
          <w:snapToGrid/>
          <w:sz w:val="20"/>
        </w:rPr>
        <w:t xml:space="preserve">he estimated </w:t>
      </w:r>
      <w:r w:rsidRPr="008F63A0">
        <w:rPr>
          <w:rFonts w:ascii="Arial" w:hAnsi="Arial" w:cs="Arial"/>
          <w:snapToGrid/>
          <w:sz w:val="20"/>
        </w:rPr>
        <w:t xml:space="preserve">annual </w:t>
      </w:r>
      <w:r w:rsidRPr="008F63A0" w:rsidR="008F63A0">
        <w:rPr>
          <w:rFonts w:ascii="Arial" w:hAnsi="Arial" w:cs="Arial"/>
          <w:snapToGrid/>
          <w:sz w:val="20"/>
        </w:rPr>
        <w:t xml:space="preserve">number of </w:t>
      </w:r>
      <w:r w:rsidRPr="008F63A0">
        <w:rPr>
          <w:rFonts w:ascii="Arial" w:hAnsi="Arial" w:cs="Arial"/>
          <w:snapToGrid/>
          <w:sz w:val="20"/>
        </w:rPr>
        <w:t>respondents</w:t>
      </w:r>
      <w:r w:rsidRPr="008F63A0" w:rsidR="00E336C1">
        <w:rPr>
          <w:rFonts w:ascii="Arial" w:hAnsi="Arial" w:cs="Arial"/>
          <w:snapToGrid/>
          <w:sz w:val="20"/>
        </w:rPr>
        <w:t xml:space="preserve"> is</w:t>
      </w:r>
      <w:r w:rsidRPr="008F63A0" w:rsidR="00753C31">
        <w:rPr>
          <w:rFonts w:ascii="Arial" w:hAnsi="Arial" w:cs="Arial"/>
          <w:snapToGrid/>
          <w:sz w:val="20"/>
        </w:rPr>
        <w:t xml:space="preserve"> </w:t>
      </w:r>
      <w:r w:rsidRPr="008F63A0" w:rsidR="00D11930">
        <w:rPr>
          <w:rFonts w:ascii="Arial" w:hAnsi="Arial" w:cs="Arial"/>
          <w:snapToGrid/>
          <w:sz w:val="20"/>
        </w:rPr>
        <w:t>1</w:t>
      </w:r>
      <w:r w:rsidRPr="008F63A0" w:rsidR="008F63A0">
        <w:rPr>
          <w:rFonts w:ascii="Arial" w:hAnsi="Arial" w:cs="Arial"/>
          <w:snapToGrid/>
          <w:sz w:val="20"/>
        </w:rPr>
        <w:t xml:space="preserve">3,624. </w:t>
      </w:r>
      <w:r w:rsidR="00C209CA">
        <w:rPr>
          <w:rFonts w:ascii="Arial" w:hAnsi="Arial" w:cs="Arial"/>
          <w:snapToGrid/>
          <w:sz w:val="20"/>
        </w:rPr>
        <w:t xml:space="preserve"> </w:t>
      </w:r>
    </w:p>
    <w:p w:rsidRPr="008F63A0" w:rsidR="00731F14" w:rsidP="009A0B52" w:rsidRDefault="00731F14" w14:paraId="056B0F1C" w14:textId="4321E21D">
      <w:pPr>
        <w:widowControl w:val="0"/>
        <w:numPr>
          <w:ilvl w:val="0"/>
          <w:numId w:val="5"/>
        </w:numPr>
        <w:rPr>
          <w:rFonts w:ascii="Arial" w:hAnsi="Arial" w:cs="Arial"/>
        </w:rPr>
      </w:pPr>
      <w:r w:rsidRPr="008F63A0">
        <w:rPr>
          <w:rFonts w:ascii="Arial" w:hAnsi="Arial" w:cs="Arial"/>
        </w:rPr>
        <w:t>T</w:t>
      </w:r>
      <w:r w:rsidRPr="008F63A0" w:rsidR="008F63A0">
        <w:rPr>
          <w:rFonts w:ascii="Arial" w:hAnsi="Arial" w:cs="Arial"/>
        </w:rPr>
        <w:t>he estimated annual nu</w:t>
      </w:r>
      <w:r w:rsidRPr="008F63A0">
        <w:rPr>
          <w:rFonts w:ascii="Arial" w:hAnsi="Arial" w:cs="Arial"/>
        </w:rPr>
        <w:t>mber of responses</w:t>
      </w:r>
      <w:r w:rsidRPr="008F63A0" w:rsidR="00E336C1">
        <w:rPr>
          <w:rFonts w:ascii="Arial" w:hAnsi="Arial" w:cs="Arial"/>
        </w:rPr>
        <w:t xml:space="preserve"> is</w:t>
      </w:r>
      <w:r w:rsidRPr="008F63A0" w:rsidR="00753C31">
        <w:rPr>
          <w:rFonts w:ascii="Arial" w:hAnsi="Arial" w:cs="Arial"/>
        </w:rPr>
        <w:t xml:space="preserve"> </w:t>
      </w:r>
      <w:r w:rsidRPr="008F63A0" w:rsidR="008F63A0">
        <w:rPr>
          <w:rFonts w:ascii="Arial" w:hAnsi="Arial" w:cs="Arial"/>
        </w:rPr>
        <w:t>24</w:t>
      </w:r>
      <w:r w:rsidR="009A7390">
        <w:rPr>
          <w:rFonts w:ascii="Arial" w:hAnsi="Arial" w:cs="Arial"/>
        </w:rPr>
        <w:t>7,102</w:t>
      </w:r>
      <w:r w:rsidRPr="008F63A0" w:rsidR="008F63A0">
        <w:rPr>
          <w:rFonts w:ascii="Arial" w:hAnsi="Arial" w:cs="Arial"/>
        </w:rPr>
        <w:t xml:space="preserve">. </w:t>
      </w:r>
      <w:r w:rsidRPr="008F63A0" w:rsidR="00856560">
        <w:rPr>
          <w:rFonts w:ascii="Arial" w:hAnsi="Arial" w:cs="Arial"/>
        </w:rPr>
        <w:t xml:space="preserve"> </w:t>
      </w:r>
    </w:p>
    <w:p w:rsidRPr="008F63A0" w:rsidR="00D71CF8" w:rsidP="009A0B52" w:rsidRDefault="00731F14" w14:paraId="772F6755" w14:textId="05EC51B3">
      <w:pPr>
        <w:widowControl w:val="0"/>
        <w:numPr>
          <w:ilvl w:val="0"/>
          <w:numId w:val="5"/>
        </w:numPr>
        <w:rPr>
          <w:rFonts w:ascii="Arial" w:hAnsi="Arial" w:cs="Arial"/>
        </w:rPr>
      </w:pPr>
      <w:r w:rsidRPr="008F63A0">
        <w:rPr>
          <w:rFonts w:ascii="Arial" w:hAnsi="Arial" w:cs="Arial"/>
        </w:rPr>
        <w:t>T</w:t>
      </w:r>
      <w:r w:rsidRPr="008F63A0" w:rsidR="008F63A0">
        <w:rPr>
          <w:rFonts w:ascii="Arial" w:hAnsi="Arial" w:cs="Arial"/>
        </w:rPr>
        <w:t xml:space="preserve">he estimated </w:t>
      </w:r>
      <w:r w:rsidRPr="008F63A0">
        <w:rPr>
          <w:rFonts w:ascii="Arial" w:hAnsi="Arial" w:cs="Arial"/>
        </w:rPr>
        <w:t xml:space="preserve">annual </w:t>
      </w:r>
      <w:r w:rsidRPr="008F63A0" w:rsidR="00805347">
        <w:rPr>
          <w:rFonts w:ascii="Arial" w:hAnsi="Arial" w:cs="Arial"/>
        </w:rPr>
        <w:t xml:space="preserve">hour </w:t>
      </w:r>
      <w:r w:rsidRPr="008F63A0">
        <w:rPr>
          <w:rFonts w:ascii="Arial" w:hAnsi="Arial" w:cs="Arial"/>
        </w:rPr>
        <w:t>burden</w:t>
      </w:r>
      <w:r w:rsidRPr="008F63A0" w:rsidR="00E336C1">
        <w:rPr>
          <w:rFonts w:ascii="Arial" w:hAnsi="Arial" w:cs="Arial"/>
        </w:rPr>
        <w:t xml:space="preserve"> is</w:t>
      </w:r>
      <w:r w:rsidRPr="008F63A0" w:rsidR="00455460">
        <w:rPr>
          <w:rFonts w:ascii="Arial" w:hAnsi="Arial" w:cs="Arial"/>
        </w:rPr>
        <w:t xml:space="preserve"> 1</w:t>
      </w:r>
      <w:r w:rsidRPr="008F63A0" w:rsidR="008F63A0">
        <w:rPr>
          <w:rFonts w:ascii="Arial" w:hAnsi="Arial" w:cs="Arial"/>
        </w:rPr>
        <w:t>04,5</w:t>
      </w:r>
      <w:r w:rsidR="009A7390">
        <w:rPr>
          <w:rFonts w:ascii="Arial" w:hAnsi="Arial" w:cs="Arial"/>
        </w:rPr>
        <w:t>60</w:t>
      </w:r>
      <w:r w:rsidRPr="008F63A0" w:rsidR="008F63A0">
        <w:rPr>
          <w:rFonts w:ascii="Arial" w:hAnsi="Arial" w:cs="Arial"/>
        </w:rPr>
        <w:t xml:space="preserve">. </w:t>
      </w:r>
      <w:r w:rsidR="00C209CA">
        <w:rPr>
          <w:rFonts w:ascii="Arial" w:hAnsi="Arial" w:cs="Arial"/>
        </w:rPr>
        <w:t xml:space="preserve"> </w:t>
      </w:r>
    </w:p>
    <w:p w:rsidRPr="008F63A0" w:rsidR="00D71CF8" w:rsidP="009A0B52" w:rsidRDefault="00D71CF8" w14:paraId="709C10A0" w14:textId="1B950446">
      <w:pPr>
        <w:widowControl w:val="0"/>
        <w:numPr>
          <w:ilvl w:val="0"/>
          <w:numId w:val="5"/>
        </w:numPr>
        <w:rPr>
          <w:rFonts w:ascii="Arial" w:hAnsi="Arial" w:cs="Arial"/>
        </w:rPr>
      </w:pPr>
      <w:r w:rsidRPr="008F63A0">
        <w:rPr>
          <w:rFonts w:ascii="Arial" w:hAnsi="Arial" w:cs="Arial"/>
        </w:rPr>
        <w:t>T</w:t>
      </w:r>
      <w:r w:rsidRPr="008F63A0" w:rsidR="008F63A0">
        <w:rPr>
          <w:rFonts w:ascii="Arial" w:hAnsi="Arial" w:cs="Arial"/>
        </w:rPr>
        <w:t xml:space="preserve">he estimated </w:t>
      </w:r>
      <w:r w:rsidRPr="008F63A0">
        <w:rPr>
          <w:rFonts w:ascii="Arial" w:hAnsi="Arial" w:cs="Arial"/>
        </w:rPr>
        <w:t xml:space="preserve">annual </w:t>
      </w:r>
      <w:r w:rsidRPr="008F63A0" w:rsidR="00805347">
        <w:rPr>
          <w:rFonts w:ascii="Arial" w:hAnsi="Arial" w:cs="Arial"/>
        </w:rPr>
        <w:t xml:space="preserve">cost </w:t>
      </w:r>
      <w:r w:rsidRPr="008F63A0">
        <w:rPr>
          <w:rFonts w:ascii="Arial" w:hAnsi="Arial" w:cs="Arial"/>
        </w:rPr>
        <w:t>burden</w:t>
      </w:r>
      <w:r w:rsidRPr="008F63A0" w:rsidR="00E336C1">
        <w:rPr>
          <w:rFonts w:ascii="Arial" w:hAnsi="Arial" w:cs="Arial"/>
        </w:rPr>
        <w:t xml:space="preserve"> is</w:t>
      </w:r>
      <w:r w:rsidRPr="008F63A0" w:rsidR="0079393F">
        <w:rPr>
          <w:rFonts w:ascii="Arial" w:hAnsi="Arial" w:cs="Arial"/>
        </w:rPr>
        <w:t xml:space="preserve"> </w:t>
      </w:r>
      <w:r w:rsidRPr="008F63A0" w:rsidR="00A66E59">
        <w:rPr>
          <w:rFonts w:ascii="Arial" w:hAnsi="Arial" w:cs="Arial"/>
        </w:rPr>
        <w:t>$</w:t>
      </w:r>
      <w:r w:rsidR="0057616D">
        <w:rPr>
          <w:rFonts w:ascii="Arial" w:hAnsi="Arial" w:cs="Arial"/>
        </w:rPr>
        <w:t>2,953,375</w:t>
      </w:r>
      <w:r w:rsidRPr="008F63A0" w:rsidR="008F63A0">
        <w:rPr>
          <w:rFonts w:ascii="Arial" w:hAnsi="Arial" w:cs="Arial"/>
        </w:rPr>
        <w:t>.</w:t>
      </w:r>
      <w:r w:rsidRPr="008F63A0" w:rsidR="00856560">
        <w:rPr>
          <w:rFonts w:ascii="Arial" w:hAnsi="Arial" w:cs="Arial"/>
        </w:rPr>
        <w:t xml:space="preserve">  </w:t>
      </w:r>
    </w:p>
    <w:p w:rsidR="008F3444" w:rsidP="009A0B52" w:rsidRDefault="008F3444" w14:paraId="2E36C7EE" w14:textId="77777777">
      <w:pPr>
        <w:pStyle w:val="TxBrp4"/>
        <w:tabs>
          <w:tab w:val="clear" w:pos="583"/>
        </w:tabs>
        <w:spacing w:line="240" w:lineRule="auto"/>
        <w:rPr>
          <w:rFonts w:ascii="Arial" w:hAnsi="Arial" w:cs="Arial"/>
          <w:snapToGrid/>
          <w:sz w:val="20"/>
        </w:rPr>
      </w:pPr>
    </w:p>
    <w:p w:rsidR="00E75524" w:rsidP="009A0B52" w:rsidRDefault="00E75524" w14:paraId="06A0CE68" w14:textId="0E9B8855">
      <w:pPr>
        <w:pStyle w:val="BodyText"/>
        <w:widowControl w:val="0"/>
        <w:rPr>
          <w:rFonts w:cs="Arial"/>
          <w:sz w:val="20"/>
        </w:rPr>
      </w:pPr>
      <w:r w:rsidRPr="00880DD6">
        <w:rPr>
          <w:rFonts w:cs="Arial"/>
          <w:sz w:val="20"/>
        </w:rPr>
        <w:t xml:space="preserve">The burden to respondents is provided in Appendix </w:t>
      </w:r>
      <w:r>
        <w:rPr>
          <w:rFonts w:cs="Arial"/>
          <w:sz w:val="20"/>
        </w:rPr>
        <w:t>A</w:t>
      </w:r>
      <w:r w:rsidRPr="00880DD6">
        <w:rPr>
          <w:rFonts w:cs="Arial"/>
          <w:sz w:val="20"/>
        </w:rPr>
        <w:t xml:space="preserve">.  </w:t>
      </w:r>
    </w:p>
    <w:p w:rsidR="00E75524" w:rsidP="009A0B52" w:rsidRDefault="00E75524" w14:paraId="621B1032" w14:textId="77777777">
      <w:pPr>
        <w:widowControl w:val="0"/>
        <w:tabs>
          <w:tab w:val="left" w:pos="576"/>
          <w:tab w:val="left" w:pos="1440"/>
        </w:tabs>
        <w:rPr>
          <w:rFonts w:ascii="Arial" w:hAnsi="Arial" w:cs="Arial"/>
          <w:highlight w:val="yellow"/>
        </w:rPr>
      </w:pPr>
    </w:p>
    <w:p w:rsidRPr="009A0B52" w:rsidR="008F3444" w:rsidP="009A0B52" w:rsidRDefault="000F5220" w14:paraId="434932A5" w14:textId="0017F38A">
      <w:pPr>
        <w:pStyle w:val="TxBrp4"/>
        <w:tabs>
          <w:tab w:val="clear" w:pos="583"/>
        </w:tabs>
        <w:spacing w:line="240" w:lineRule="auto"/>
        <w:rPr>
          <w:rFonts w:ascii="Arial" w:hAnsi="Arial" w:cs="Arial"/>
          <w:sz w:val="20"/>
          <w:highlight w:val="yellow"/>
        </w:rPr>
      </w:pPr>
      <w:r w:rsidRPr="00CB3193">
        <w:rPr>
          <w:rFonts w:ascii="Arial" w:hAnsi="Arial" w:cs="Arial"/>
          <w:sz w:val="20"/>
        </w:rPr>
        <w:t>We</w:t>
      </w:r>
      <w:r w:rsidRPr="00CB3193" w:rsidR="00A3183A">
        <w:rPr>
          <w:rStyle w:val="FootnoteReference"/>
          <w:rFonts w:ascii="Arial" w:hAnsi="Arial" w:cs="Arial"/>
          <w:sz w:val="20"/>
        </w:rPr>
        <w:footnoteReference w:id="1"/>
      </w:r>
      <w:r w:rsidRPr="00CB3193">
        <w:rPr>
          <w:rFonts w:ascii="Arial" w:hAnsi="Arial" w:cs="Arial"/>
          <w:sz w:val="20"/>
        </w:rPr>
        <w:t xml:space="preserve"> estimate that </w:t>
      </w:r>
      <w:r w:rsidRPr="009A0B52">
        <w:rPr>
          <w:rFonts w:ascii="Arial" w:hAnsi="Arial" w:cs="Arial"/>
          <w:sz w:val="20"/>
        </w:rPr>
        <w:t xml:space="preserve">a shore side </w:t>
      </w:r>
      <w:r w:rsidRPr="009A0B52" w:rsidR="0057616D">
        <w:rPr>
          <w:rFonts w:ascii="Arial" w:hAnsi="Arial" w:cs="Arial"/>
          <w:sz w:val="20"/>
        </w:rPr>
        <w:t xml:space="preserve">vessel </w:t>
      </w:r>
      <w:r w:rsidRPr="009A0B52">
        <w:rPr>
          <w:rFonts w:ascii="Arial" w:hAnsi="Arial" w:cs="Arial"/>
          <w:sz w:val="20"/>
        </w:rPr>
        <w:t>agent</w:t>
      </w:r>
      <w:r w:rsidRPr="009A0B52" w:rsidR="00B73AC4">
        <w:rPr>
          <w:rFonts w:ascii="Arial" w:hAnsi="Arial" w:cs="Arial"/>
          <w:sz w:val="20"/>
        </w:rPr>
        <w:t xml:space="preserve"> (or crewmember)</w:t>
      </w:r>
      <w:r w:rsidRPr="009A0B52">
        <w:rPr>
          <w:rFonts w:ascii="Arial" w:hAnsi="Arial" w:cs="Arial"/>
          <w:sz w:val="20"/>
        </w:rPr>
        <w:t xml:space="preserve"> will take about 62 minutes (1.03 hours) to prepare and submit an initial NOA, and about</w:t>
      </w:r>
      <w:r w:rsidRPr="00CB3193">
        <w:rPr>
          <w:rFonts w:ascii="Arial" w:hAnsi="Arial" w:cs="Arial"/>
          <w:sz w:val="20"/>
        </w:rPr>
        <w:t xml:space="preserve"> 12 minutes (0.2 hours) to submit an NOA update.  </w:t>
      </w:r>
      <w:r w:rsidR="00B73AC4">
        <w:rPr>
          <w:rFonts w:ascii="Arial" w:hAnsi="Arial" w:cs="Arial"/>
          <w:sz w:val="20"/>
        </w:rPr>
        <w:t xml:space="preserve">We estimate </w:t>
      </w:r>
      <w:r w:rsidRPr="00B73AC4" w:rsidR="00B73AC4">
        <w:rPr>
          <w:rFonts w:ascii="Arial" w:hAnsi="Arial" w:cs="Arial"/>
          <w:sz w:val="20"/>
        </w:rPr>
        <w:t xml:space="preserve">that a </w:t>
      </w:r>
      <w:r w:rsidR="00B73AC4">
        <w:rPr>
          <w:rFonts w:ascii="Arial" w:hAnsi="Arial" w:cs="Arial"/>
          <w:sz w:val="20"/>
        </w:rPr>
        <w:t>shore side vessel agent</w:t>
      </w:r>
      <w:r w:rsidRPr="00B73AC4" w:rsidR="00B73AC4">
        <w:rPr>
          <w:rFonts w:ascii="Arial" w:hAnsi="Arial" w:cs="Arial"/>
          <w:sz w:val="20"/>
        </w:rPr>
        <w:t xml:space="preserve">’s wage rate is equivalent to the Bureau of Labor Statistics (BLS) wage rate for </w:t>
      </w:r>
      <w:r w:rsidR="00B73AC4">
        <w:rPr>
          <w:rFonts w:ascii="Arial" w:hAnsi="Arial" w:cs="Arial"/>
          <w:sz w:val="20"/>
        </w:rPr>
        <w:t xml:space="preserve">Office and Administrative Support Workers (All Other) </w:t>
      </w:r>
      <w:r w:rsidRPr="00B73AC4" w:rsidR="00B73AC4">
        <w:rPr>
          <w:rFonts w:ascii="Arial" w:hAnsi="Arial" w:cs="Arial"/>
          <w:sz w:val="20"/>
        </w:rPr>
        <w:t>(</w:t>
      </w:r>
      <w:r w:rsidR="00B73AC4">
        <w:rPr>
          <w:rFonts w:ascii="Arial" w:hAnsi="Arial" w:cs="Arial"/>
          <w:sz w:val="20"/>
        </w:rPr>
        <w:t>43-9199</w:t>
      </w:r>
      <w:r w:rsidRPr="00B73AC4" w:rsidR="00B73AC4">
        <w:rPr>
          <w:rFonts w:ascii="Arial" w:hAnsi="Arial" w:cs="Arial"/>
          <w:sz w:val="20"/>
        </w:rPr>
        <w:t>) [May 2019, mean hourly w</w:t>
      </w:r>
      <w:r w:rsidR="00B73AC4">
        <w:rPr>
          <w:rFonts w:ascii="Arial" w:hAnsi="Arial" w:cs="Arial"/>
          <w:sz w:val="20"/>
        </w:rPr>
        <w:t>age, loaded 50%, and rounded].</w:t>
      </w:r>
      <w:r w:rsidR="0034780C">
        <w:rPr>
          <w:rStyle w:val="FootnoteReference"/>
          <w:rFonts w:ascii="Arial" w:hAnsi="Arial" w:cs="Arial"/>
          <w:sz w:val="20"/>
        </w:rPr>
        <w:footnoteReference w:id="2"/>
      </w:r>
      <w:r w:rsidRPr="009A0B52">
        <w:rPr>
          <w:rFonts w:ascii="Arial" w:hAnsi="Arial" w:cs="Arial"/>
          <w:sz w:val="20"/>
          <w:highlight w:val="yellow"/>
        </w:rPr>
        <w:t xml:space="preserve">  </w:t>
      </w:r>
    </w:p>
    <w:p w:rsidRPr="009A0B52" w:rsidR="000F5220" w:rsidP="009A0B52" w:rsidRDefault="000F5220" w14:paraId="6A28ADAB" w14:textId="77777777">
      <w:pPr>
        <w:pStyle w:val="TxBrp4"/>
        <w:tabs>
          <w:tab w:val="clear" w:pos="583"/>
        </w:tabs>
        <w:spacing w:line="240" w:lineRule="auto"/>
        <w:rPr>
          <w:rFonts w:ascii="Arial" w:hAnsi="Arial" w:cs="Arial"/>
          <w:sz w:val="20"/>
          <w:highlight w:val="yellow"/>
        </w:rPr>
      </w:pPr>
    </w:p>
    <w:p w:rsidRPr="009A0B52" w:rsidR="000F5220" w:rsidP="009A0B52" w:rsidRDefault="00890A41" w14:paraId="359B6F22" w14:textId="79385655">
      <w:pPr>
        <w:pStyle w:val="TxBrp4"/>
        <w:tabs>
          <w:tab w:val="clear" w:pos="583"/>
        </w:tabs>
        <w:spacing w:line="240" w:lineRule="auto"/>
        <w:rPr>
          <w:rFonts w:ascii="Arial" w:hAnsi="Arial" w:cs="Arial"/>
          <w:snapToGrid/>
          <w:sz w:val="20"/>
        </w:rPr>
      </w:pPr>
      <w:r w:rsidRPr="00CB3193">
        <w:rPr>
          <w:rFonts w:ascii="Arial" w:hAnsi="Arial" w:cs="Arial"/>
          <w:sz w:val="20"/>
        </w:rPr>
        <w:t xml:space="preserve">We estimate that </w:t>
      </w:r>
      <w:r w:rsidRPr="009A0B52">
        <w:rPr>
          <w:rFonts w:ascii="Arial" w:hAnsi="Arial" w:cs="Arial"/>
          <w:sz w:val="20"/>
        </w:rPr>
        <w:t>a shore side technical specialist</w:t>
      </w:r>
      <w:r w:rsidRPr="00CB3193">
        <w:rPr>
          <w:rFonts w:ascii="Arial" w:hAnsi="Arial" w:cs="Arial"/>
          <w:sz w:val="20"/>
        </w:rPr>
        <w:t xml:space="preserve"> will take about </w:t>
      </w:r>
      <w:r w:rsidRPr="00CB3193" w:rsidR="00A3183A">
        <w:rPr>
          <w:rFonts w:ascii="Arial" w:hAnsi="Arial" w:cs="Arial"/>
          <w:sz w:val="20"/>
        </w:rPr>
        <w:t>one (</w:t>
      </w:r>
      <w:r w:rsidRPr="00CB3193">
        <w:rPr>
          <w:rFonts w:ascii="Arial" w:hAnsi="Arial" w:cs="Arial"/>
          <w:sz w:val="20"/>
        </w:rPr>
        <w:t>1</w:t>
      </w:r>
      <w:r w:rsidRPr="00CB3193" w:rsidR="00A3183A">
        <w:rPr>
          <w:rFonts w:ascii="Arial" w:hAnsi="Arial" w:cs="Arial"/>
          <w:sz w:val="20"/>
        </w:rPr>
        <w:t>.0)</w:t>
      </w:r>
      <w:r w:rsidRPr="00CB3193">
        <w:rPr>
          <w:rFonts w:ascii="Arial" w:hAnsi="Arial" w:cs="Arial"/>
          <w:sz w:val="20"/>
        </w:rPr>
        <w:t xml:space="preserve"> hour to prepare and submit a waiver request.  </w:t>
      </w:r>
      <w:r w:rsidRPr="009A0B52" w:rsidR="00CB3193">
        <w:rPr>
          <w:rFonts w:ascii="Arial" w:hAnsi="Arial" w:cs="Arial"/>
          <w:sz w:val="20"/>
        </w:rPr>
        <w:t>W</w:t>
      </w:r>
      <w:r w:rsidRPr="00FD7B18" w:rsidR="00B55442">
        <w:rPr>
          <w:rFonts w:ascii="Arial" w:hAnsi="Arial" w:cs="Arial"/>
          <w:sz w:val="20"/>
        </w:rPr>
        <w:t xml:space="preserve">e estimate that the annual number of waiver requests is about 1% of the annual number of NOA initial submissions (rounded to the nearest hundred).  </w:t>
      </w:r>
      <w:r w:rsidRPr="009A0B52" w:rsidR="0034780C">
        <w:rPr>
          <w:rFonts w:ascii="Arial" w:hAnsi="Arial" w:cs="Arial"/>
          <w:sz w:val="20"/>
        </w:rPr>
        <w:t xml:space="preserve">We estimate that </w:t>
      </w:r>
      <w:r w:rsidRPr="009A0B52" w:rsidR="0034780C">
        <w:rPr>
          <w:rFonts w:ascii="Arial" w:hAnsi="Arial" w:cs="Arial"/>
          <w:sz w:val="20"/>
        </w:rPr>
        <w:lastRenderedPageBreak/>
        <w:t>a shore side technical specialist’s wage rate is equivalent to the BLS wage rate for Captains, Mates, and Pilots of Water Vessels (53-5021) [May 2019, mean hourly wage, loaded 50%, and rounded].</w:t>
      </w:r>
      <w:r w:rsidRPr="009A0B52" w:rsidR="0034780C">
        <w:rPr>
          <w:rStyle w:val="FootnoteReference"/>
          <w:rFonts w:ascii="Arial" w:hAnsi="Arial" w:cs="Arial"/>
          <w:sz w:val="20"/>
        </w:rPr>
        <w:footnoteReference w:id="3"/>
      </w:r>
      <w:r w:rsidRPr="009A0B52" w:rsidR="0034780C">
        <w:rPr>
          <w:rFonts w:ascii="Arial" w:hAnsi="Arial" w:cs="Arial"/>
          <w:sz w:val="20"/>
        </w:rPr>
        <w:t xml:space="preserve">  </w:t>
      </w:r>
    </w:p>
    <w:p w:rsidRPr="009A0B52" w:rsidR="00890A41" w:rsidP="009A0B52" w:rsidRDefault="00890A41" w14:paraId="2703486A" w14:textId="77777777">
      <w:pPr>
        <w:pStyle w:val="BodyText"/>
        <w:widowControl w:val="0"/>
        <w:tabs>
          <w:tab w:val="left" w:pos="810"/>
        </w:tabs>
        <w:rPr>
          <w:rFonts w:ascii="Times New Roman" w:hAnsi="Times New Roman" w:cs="Arial"/>
          <w:sz w:val="20"/>
          <w:highlight w:val="yellow"/>
        </w:rPr>
      </w:pPr>
    </w:p>
    <w:p w:rsidRPr="009A0B52" w:rsidR="00890A41" w:rsidP="009A0B52" w:rsidRDefault="00890A41" w14:paraId="43FDD4E9" w14:textId="7AEE90E2">
      <w:pPr>
        <w:pStyle w:val="BodyText"/>
        <w:widowControl w:val="0"/>
        <w:tabs>
          <w:tab w:val="left" w:pos="810"/>
        </w:tabs>
        <w:rPr>
          <w:rFonts w:cs="Arial"/>
          <w:sz w:val="20"/>
        </w:rPr>
      </w:pPr>
      <w:r w:rsidRPr="00FD7B18">
        <w:rPr>
          <w:rFonts w:cs="Arial"/>
          <w:sz w:val="20"/>
        </w:rPr>
        <w:t xml:space="preserve">We estimate that </w:t>
      </w:r>
      <w:r w:rsidRPr="009A0B52">
        <w:rPr>
          <w:rFonts w:cs="Arial"/>
          <w:sz w:val="20"/>
        </w:rPr>
        <w:t xml:space="preserve">a crewmember </w:t>
      </w:r>
      <w:r w:rsidRPr="00FD7B18">
        <w:rPr>
          <w:rFonts w:cs="Arial"/>
          <w:sz w:val="20"/>
        </w:rPr>
        <w:t xml:space="preserve">will take about 30 minutes (0.5 hours) to prepare and submit a notice of hazardous condition.  </w:t>
      </w:r>
      <w:r w:rsidRPr="009A0B52" w:rsidR="0034780C">
        <w:rPr>
          <w:rFonts w:cs="Arial"/>
          <w:sz w:val="20"/>
        </w:rPr>
        <w:t>We estimate that a crewmember’s wage rate is equivalent to the BLS wage rate for Sailors and Marine Oilers (53-5011) [May 2019, mean hourly wage, loaded 50%, and rounded].</w:t>
      </w:r>
      <w:r w:rsidRPr="009A0B52" w:rsidR="0034780C">
        <w:rPr>
          <w:rStyle w:val="FootnoteReference"/>
          <w:rFonts w:cs="Arial"/>
          <w:sz w:val="20"/>
        </w:rPr>
        <w:footnoteReference w:id="4"/>
      </w:r>
      <w:r w:rsidRPr="009A0B52" w:rsidR="0034780C">
        <w:rPr>
          <w:rFonts w:cs="Arial"/>
          <w:sz w:val="20"/>
        </w:rPr>
        <w:t xml:space="preserve">  </w:t>
      </w:r>
    </w:p>
    <w:p w:rsidRPr="00753C31" w:rsidR="00271220" w:rsidP="009A0B52" w:rsidRDefault="00271220" w14:paraId="7BDDD6A4" w14:textId="77777777">
      <w:pPr>
        <w:widowControl w:val="0"/>
        <w:rPr>
          <w:rFonts w:ascii="Arial" w:hAnsi="Arial" w:cs="Arial"/>
        </w:rPr>
      </w:pPr>
    </w:p>
    <w:p w:rsidRPr="00753C31" w:rsidR="00731F14" w:rsidP="009A0B52" w:rsidRDefault="00731F14" w14:paraId="08805648" w14:textId="77777777">
      <w:pPr>
        <w:widowControl w:val="0"/>
        <w:rPr>
          <w:rFonts w:ascii="Arial" w:hAnsi="Arial" w:cs="Arial"/>
          <w:u w:val="single"/>
        </w:rPr>
      </w:pPr>
      <w:r w:rsidRPr="00753C31">
        <w:rPr>
          <w:rFonts w:ascii="Arial" w:hAnsi="Arial" w:cs="Arial"/>
        </w:rPr>
        <w:t>13</w:t>
      </w:r>
      <w:r w:rsidR="00753C31">
        <w:rPr>
          <w:rFonts w:ascii="Arial" w:hAnsi="Arial" w:cs="Arial"/>
        </w:rPr>
        <w:t>)</w:t>
      </w:r>
      <w:r w:rsidRPr="00753C31">
        <w:rPr>
          <w:rFonts w:ascii="Arial" w:hAnsi="Arial" w:cs="Arial"/>
        </w:rPr>
        <w:t xml:space="preserve">  </w:t>
      </w:r>
      <w:r w:rsidRPr="00753C31" w:rsidR="00753C31">
        <w:rPr>
          <w:rFonts w:ascii="Arial" w:hAnsi="Arial" w:cs="Arial"/>
          <w:u w:val="single"/>
        </w:rPr>
        <w:t>Total annualized capital and start-up costs</w:t>
      </w:r>
      <w:r w:rsidRPr="00753C31">
        <w:rPr>
          <w:rFonts w:ascii="Arial" w:hAnsi="Arial" w:cs="Arial"/>
        </w:rPr>
        <w:t>.</w:t>
      </w:r>
      <w:r w:rsidR="00753C31">
        <w:rPr>
          <w:rFonts w:ascii="Arial" w:hAnsi="Arial" w:cs="Arial"/>
        </w:rPr>
        <w:t xml:space="preserve">   </w:t>
      </w:r>
    </w:p>
    <w:p w:rsidRPr="00747E43" w:rsidR="00D6717A" w:rsidP="009A0B52" w:rsidRDefault="00D6717A" w14:paraId="3E7AAFA5" w14:textId="77777777">
      <w:pPr>
        <w:widowControl w:val="0"/>
        <w:rPr>
          <w:rFonts w:ascii="Arial" w:hAnsi="Arial" w:cs="Arial"/>
        </w:rPr>
      </w:pPr>
    </w:p>
    <w:p w:rsidRPr="00747E43" w:rsidR="00731F14" w:rsidP="009A0B52" w:rsidRDefault="004E6B27" w14:paraId="03B11C38" w14:textId="3460119D">
      <w:pPr>
        <w:widowControl w:val="0"/>
        <w:rPr>
          <w:rFonts w:ascii="Arial" w:hAnsi="Arial" w:cs="Arial"/>
        </w:rPr>
      </w:pPr>
      <w:r w:rsidRPr="00747E43">
        <w:rPr>
          <w:rFonts w:ascii="Arial" w:hAnsi="Arial" w:cs="Arial"/>
        </w:rPr>
        <w:t>There are no recordkeeping, capital, start-up or maintenance costs associated with this information collection</w:t>
      </w:r>
      <w:r w:rsidRPr="00747E43" w:rsidR="009B35C4">
        <w:rPr>
          <w:rFonts w:ascii="Arial" w:hAnsi="Arial" w:cs="Arial"/>
        </w:rPr>
        <w:t>.</w:t>
      </w:r>
      <w:r w:rsidR="007D0AEC">
        <w:rPr>
          <w:rFonts w:ascii="Arial" w:hAnsi="Arial" w:cs="Arial"/>
        </w:rPr>
        <w:t xml:space="preserve">  </w:t>
      </w:r>
    </w:p>
    <w:p w:rsidRPr="00747E43" w:rsidR="00731F14" w:rsidP="009A0B52" w:rsidRDefault="00731F14" w14:paraId="3C944A90" w14:textId="77777777">
      <w:pPr>
        <w:widowControl w:val="0"/>
        <w:rPr>
          <w:rFonts w:ascii="Arial" w:hAnsi="Arial" w:cs="Arial"/>
        </w:rPr>
      </w:pPr>
    </w:p>
    <w:p w:rsidRPr="00753C31" w:rsidR="00731F14" w:rsidP="009A0B52" w:rsidRDefault="00731F14" w14:paraId="1FFD5553" w14:textId="77777777">
      <w:pPr>
        <w:widowControl w:val="0"/>
        <w:rPr>
          <w:rFonts w:ascii="Arial" w:hAnsi="Arial" w:cs="Arial"/>
          <w:u w:val="single"/>
        </w:rPr>
      </w:pPr>
      <w:r w:rsidRPr="00753C31">
        <w:rPr>
          <w:rFonts w:ascii="Arial" w:hAnsi="Arial" w:cs="Arial"/>
        </w:rPr>
        <w:t>14</w:t>
      </w:r>
      <w:r w:rsidR="00753C31">
        <w:rPr>
          <w:rFonts w:ascii="Arial" w:hAnsi="Arial" w:cs="Arial"/>
        </w:rPr>
        <w:t>)</w:t>
      </w:r>
      <w:r w:rsidRPr="00753C31">
        <w:rPr>
          <w:rFonts w:ascii="Arial" w:hAnsi="Arial" w:cs="Arial"/>
        </w:rPr>
        <w:t xml:space="preserve">  </w:t>
      </w:r>
      <w:r w:rsidRPr="00753C31">
        <w:rPr>
          <w:rFonts w:ascii="Arial" w:hAnsi="Arial" w:cs="Arial"/>
          <w:u w:val="single"/>
        </w:rPr>
        <w:t>Estimates of annualized cost to the Federal Government</w:t>
      </w:r>
      <w:r w:rsidRPr="00753C31">
        <w:rPr>
          <w:rFonts w:ascii="Arial" w:hAnsi="Arial" w:cs="Arial"/>
        </w:rPr>
        <w:t>.</w:t>
      </w:r>
      <w:r w:rsidR="00753C31">
        <w:rPr>
          <w:rFonts w:ascii="Arial" w:hAnsi="Arial" w:cs="Arial"/>
        </w:rPr>
        <w:t xml:space="preserve">  </w:t>
      </w:r>
    </w:p>
    <w:p w:rsidRPr="00753C31" w:rsidR="00731F14" w:rsidP="009A0B52" w:rsidRDefault="00731F14" w14:paraId="54BF10EA" w14:textId="77777777">
      <w:pPr>
        <w:widowControl w:val="0"/>
        <w:rPr>
          <w:rFonts w:ascii="Arial" w:hAnsi="Arial" w:cs="Arial"/>
        </w:rPr>
      </w:pPr>
    </w:p>
    <w:p w:rsidR="00551DF0" w:rsidP="009A0B52" w:rsidRDefault="00551DF0" w14:paraId="40F8D0F3" w14:textId="2D392204">
      <w:pPr>
        <w:pStyle w:val="TxBrp4"/>
        <w:tabs>
          <w:tab w:val="clear" w:pos="583"/>
        </w:tabs>
        <w:spacing w:line="240" w:lineRule="auto"/>
        <w:rPr>
          <w:rFonts w:ascii="Arial" w:hAnsi="Arial" w:cs="Arial"/>
          <w:snapToGrid/>
          <w:sz w:val="20"/>
        </w:rPr>
      </w:pPr>
      <w:r w:rsidRPr="00551DF0">
        <w:rPr>
          <w:rFonts w:ascii="Arial" w:hAnsi="Arial" w:cs="Arial"/>
          <w:snapToGrid/>
          <w:sz w:val="20"/>
        </w:rPr>
        <w:t xml:space="preserve">The estimated annual Federal Government cost is </w:t>
      </w:r>
      <w:r>
        <w:rPr>
          <w:rFonts w:ascii="Arial" w:hAnsi="Arial" w:cs="Arial"/>
          <w:snapToGrid/>
          <w:sz w:val="20"/>
        </w:rPr>
        <w:t>$</w:t>
      </w:r>
      <w:r w:rsidRPr="002F3CB0" w:rsidR="008F63A0">
        <w:rPr>
          <w:rFonts w:ascii="Arial" w:hAnsi="Arial" w:cs="Arial"/>
          <w:snapToGrid/>
          <w:sz w:val="20"/>
        </w:rPr>
        <w:t>1,54</w:t>
      </w:r>
      <w:r w:rsidRPr="009A0B52" w:rsidR="002F3CB0">
        <w:rPr>
          <w:rFonts w:ascii="Arial" w:hAnsi="Arial" w:cs="Arial"/>
          <w:snapToGrid/>
          <w:sz w:val="20"/>
        </w:rPr>
        <w:t>1,425</w:t>
      </w:r>
      <w:r w:rsidR="00437D2A">
        <w:rPr>
          <w:rFonts w:ascii="Arial" w:hAnsi="Arial" w:cs="Arial"/>
          <w:snapToGrid/>
          <w:sz w:val="20"/>
        </w:rPr>
        <w:t xml:space="preserve"> (see Appendix B)</w:t>
      </w:r>
      <w:r>
        <w:rPr>
          <w:rFonts w:ascii="Arial" w:hAnsi="Arial" w:cs="Arial"/>
          <w:snapToGrid/>
          <w:sz w:val="20"/>
        </w:rPr>
        <w:t xml:space="preserve">.  </w:t>
      </w:r>
      <w:r w:rsidR="00437D2A">
        <w:rPr>
          <w:rFonts w:ascii="Arial" w:hAnsi="Arial" w:cs="Arial"/>
          <w:snapToGrid/>
          <w:sz w:val="20"/>
        </w:rPr>
        <w:t xml:space="preserve">The cost is based on 2 elements.  First, the cost is based on the cost to operate the NVMC.  </w:t>
      </w:r>
      <w:r w:rsidRPr="00890A41" w:rsidR="00437D2A">
        <w:rPr>
          <w:rFonts w:ascii="Arial" w:hAnsi="Arial" w:cs="Arial"/>
          <w:snapToGrid/>
          <w:sz w:val="20"/>
        </w:rPr>
        <w:t>Second, the cost is based on Coast Guard</w:t>
      </w:r>
      <w:r w:rsidRPr="00890A41" w:rsidR="00E75524">
        <w:rPr>
          <w:rFonts w:ascii="Arial" w:hAnsi="Arial" w:cs="Arial"/>
          <w:snapToGrid/>
          <w:sz w:val="20"/>
        </w:rPr>
        <w:t xml:space="preserve"> personnel</w:t>
      </w:r>
      <w:r w:rsidRPr="00890A41" w:rsidR="00437D2A">
        <w:rPr>
          <w:rFonts w:ascii="Arial" w:hAnsi="Arial" w:cs="Arial"/>
          <w:snapToGrid/>
          <w:sz w:val="20"/>
        </w:rPr>
        <w:t xml:space="preserve"> time to evaluate waiver requests and process notices of hazardous condition.  </w:t>
      </w:r>
      <w:r w:rsidRPr="002F3CB0" w:rsidR="00437D2A">
        <w:rPr>
          <w:rFonts w:ascii="Arial" w:hAnsi="Arial" w:cs="Arial"/>
          <w:snapToGrid/>
          <w:sz w:val="20"/>
        </w:rPr>
        <w:t xml:space="preserve">We estimate that </w:t>
      </w:r>
      <w:r w:rsidRPr="002F3CB0" w:rsidR="00B319F4">
        <w:rPr>
          <w:rFonts w:ascii="Arial" w:hAnsi="Arial" w:cs="Arial"/>
          <w:snapToGrid/>
          <w:sz w:val="20"/>
        </w:rPr>
        <w:t xml:space="preserve">it </w:t>
      </w:r>
      <w:r w:rsidRPr="002F3CB0" w:rsidR="00437D2A">
        <w:rPr>
          <w:rFonts w:ascii="Arial" w:hAnsi="Arial" w:cs="Arial"/>
          <w:snapToGrid/>
          <w:sz w:val="20"/>
        </w:rPr>
        <w:t xml:space="preserve">takes a Lieutenant (LT, O-3) about 30 minutes to </w:t>
      </w:r>
      <w:r w:rsidRPr="002F3CB0" w:rsidR="00E75524">
        <w:rPr>
          <w:rFonts w:ascii="Arial" w:hAnsi="Arial" w:cs="Arial"/>
          <w:snapToGrid/>
          <w:sz w:val="20"/>
        </w:rPr>
        <w:t>evaluate</w:t>
      </w:r>
      <w:r w:rsidRPr="002F3CB0" w:rsidR="00437D2A">
        <w:rPr>
          <w:rFonts w:ascii="Arial" w:hAnsi="Arial" w:cs="Arial"/>
          <w:snapToGrid/>
          <w:sz w:val="20"/>
        </w:rPr>
        <w:t xml:space="preserve"> a waiver request.  We estimate that </w:t>
      </w:r>
      <w:r w:rsidRPr="002F3CB0" w:rsidR="00B319F4">
        <w:rPr>
          <w:rFonts w:ascii="Arial" w:hAnsi="Arial" w:cs="Arial"/>
          <w:snapToGrid/>
          <w:sz w:val="20"/>
        </w:rPr>
        <w:t xml:space="preserve">it </w:t>
      </w:r>
      <w:r w:rsidRPr="002F3CB0" w:rsidR="00437D2A">
        <w:rPr>
          <w:rFonts w:ascii="Arial" w:hAnsi="Arial" w:cs="Arial"/>
          <w:snapToGrid/>
          <w:sz w:val="20"/>
        </w:rPr>
        <w:t xml:space="preserve">takes a </w:t>
      </w:r>
      <w:r w:rsidRPr="002F3CB0" w:rsidR="00890A41">
        <w:rPr>
          <w:rFonts w:ascii="Arial" w:hAnsi="Arial" w:cs="Arial"/>
          <w:snapToGrid/>
          <w:sz w:val="20"/>
        </w:rPr>
        <w:t>Petty Officer</w:t>
      </w:r>
      <w:r w:rsidRPr="002F3CB0" w:rsidR="00437D2A">
        <w:rPr>
          <w:rFonts w:ascii="Arial" w:hAnsi="Arial" w:cs="Arial"/>
          <w:snapToGrid/>
          <w:sz w:val="20"/>
        </w:rPr>
        <w:t xml:space="preserve"> (</w:t>
      </w:r>
      <w:r w:rsidRPr="002F3CB0" w:rsidR="00890A41">
        <w:rPr>
          <w:rFonts w:ascii="Arial" w:hAnsi="Arial" w:cs="Arial"/>
          <w:snapToGrid/>
          <w:sz w:val="20"/>
        </w:rPr>
        <w:t>E-4</w:t>
      </w:r>
      <w:r w:rsidRPr="002F3CB0" w:rsidR="00437D2A">
        <w:rPr>
          <w:rFonts w:ascii="Arial" w:hAnsi="Arial" w:cs="Arial"/>
          <w:snapToGrid/>
          <w:sz w:val="20"/>
        </w:rPr>
        <w:t xml:space="preserve">) about </w:t>
      </w:r>
      <w:r w:rsidRPr="002F3CB0" w:rsidR="00890A41">
        <w:rPr>
          <w:rFonts w:ascii="Arial" w:hAnsi="Arial" w:cs="Arial"/>
          <w:snapToGrid/>
          <w:sz w:val="20"/>
        </w:rPr>
        <w:t>15</w:t>
      </w:r>
      <w:r w:rsidRPr="002F3CB0" w:rsidR="00437D2A">
        <w:rPr>
          <w:rFonts w:ascii="Arial" w:hAnsi="Arial" w:cs="Arial"/>
          <w:snapToGrid/>
          <w:sz w:val="20"/>
        </w:rPr>
        <w:t xml:space="preserve"> minutes to </w:t>
      </w:r>
      <w:r w:rsidRPr="002F3CB0" w:rsidR="00E75524">
        <w:rPr>
          <w:rFonts w:ascii="Arial" w:hAnsi="Arial" w:cs="Arial"/>
          <w:snapToGrid/>
          <w:sz w:val="20"/>
        </w:rPr>
        <w:t>process a notice of hazardous condition</w:t>
      </w:r>
      <w:r w:rsidRPr="002F3CB0" w:rsidR="00437D2A">
        <w:rPr>
          <w:rFonts w:ascii="Arial" w:hAnsi="Arial" w:cs="Arial"/>
          <w:snapToGrid/>
          <w:sz w:val="20"/>
        </w:rPr>
        <w:t xml:space="preserve">.  </w:t>
      </w:r>
      <w:r w:rsidRPr="002F3CB0" w:rsidR="00437D2A">
        <w:rPr>
          <w:rFonts w:ascii="Arial" w:hAnsi="Arial"/>
          <w:bCs/>
          <w:sz w:val="20"/>
        </w:rPr>
        <w:t>The wage rates used are in accordance with the current edition of COMDTINST 7310.1(series) for “In-Government</w:t>
      </w:r>
      <w:r w:rsidRPr="00971ABC" w:rsidR="00437D2A">
        <w:rPr>
          <w:rFonts w:ascii="Arial" w:hAnsi="Arial"/>
          <w:bCs/>
          <w:sz w:val="20"/>
        </w:rPr>
        <w:t xml:space="preserve">” personnel.  </w:t>
      </w:r>
    </w:p>
    <w:p w:rsidRPr="00747E43" w:rsidR="00731F14" w:rsidP="009A0B52" w:rsidRDefault="00731F14" w14:paraId="2474E25B" w14:textId="77777777">
      <w:pPr>
        <w:widowControl w:val="0"/>
        <w:rPr>
          <w:rFonts w:ascii="Arial" w:hAnsi="Arial" w:cs="Arial"/>
        </w:rPr>
      </w:pPr>
    </w:p>
    <w:p w:rsidRPr="00753C31" w:rsidR="00731F14" w:rsidP="009A0B52" w:rsidRDefault="00731F14" w14:paraId="331C7C00" w14:textId="3672A149">
      <w:pPr>
        <w:widowControl w:val="0"/>
        <w:rPr>
          <w:rFonts w:ascii="Arial" w:hAnsi="Arial" w:cs="Arial"/>
          <w:u w:val="single"/>
        </w:rPr>
      </w:pPr>
      <w:r w:rsidRPr="00753C31">
        <w:rPr>
          <w:rFonts w:ascii="Arial" w:hAnsi="Arial" w:cs="Arial"/>
        </w:rPr>
        <w:t>15</w:t>
      </w:r>
      <w:r w:rsidR="00753C31">
        <w:rPr>
          <w:rFonts w:ascii="Arial" w:hAnsi="Arial" w:cs="Arial"/>
        </w:rPr>
        <w:t>)</w:t>
      </w:r>
      <w:r w:rsidRPr="00753C31">
        <w:rPr>
          <w:rFonts w:ascii="Arial" w:hAnsi="Arial" w:cs="Arial"/>
        </w:rPr>
        <w:t xml:space="preserve">  </w:t>
      </w:r>
      <w:r w:rsidRPr="00753C31">
        <w:rPr>
          <w:rFonts w:ascii="Arial" w:hAnsi="Arial" w:cs="Arial"/>
          <w:u w:val="single"/>
        </w:rPr>
        <w:t>Reasons for change in the burden</w:t>
      </w:r>
      <w:r w:rsidRPr="00753C31">
        <w:rPr>
          <w:rFonts w:ascii="Arial" w:hAnsi="Arial" w:cs="Arial"/>
        </w:rPr>
        <w:t>.</w:t>
      </w:r>
      <w:r w:rsidR="00C209CA">
        <w:rPr>
          <w:rFonts w:ascii="Arial" w:hAnsi="Arial" w:cs="Arial"/>
        </w:rPr>
        <w:t xml:space="preserve">  </w:t>
      </w:r>
    </w:p>
    <w:p w:rsidRPr="00753C31" w:rsidR="00731F14" w:rsidP="009A0B52" w:rsidRDefault="00731F14" w14:paraId="66CDD5A7" w14:textId="77777777">
      <w:pPr>
        <w:widowControl w:val="0"/>
        <w:rPr>
          <w:rFonts w:ascii="Arial" w:hAnsi="Arial" w:cs="Arial"/>
        </w:rPr>
      </w:pPr>
    </w:p>
    <w:p w:rsidRPr="00747E43" w:rsidR="003F410C" w:rsidP="009A0B52" w:rsidRDefault="003F410C" w14:paraId="018A56B7" w14:textId="5F5E00ED">
      <w:pPr>
        <w:widowControl w:val="0"/>
        <w:rPr>
          <w:rFonts w:ascii="Arial" w:hAnsi="Arial" w:cs="Arial"/>
        </w:rPr>
      </w:pPr>
      <w:r w:rsidRPr="00BE0D07">
        <w:rPr>
          <w:rFonts w:ascii="Arial" w:hAnsi="Arial" w:cs="Arial"/>
        </w:rPr>
        <w:t>The</w:t>
      </w:r>
      <w:r w:rsidRPr="009A0B52" w:rsidR="009E6F8E">
        <w:rPr>
          <w:rFonts w:ascii="Arial" w:hAnsi="Arial" w:cs="Arial"/>
        </w:rPr>
        <w:t>re is no</w:t>
      </w:r>
      <w:r w:rsidRPr="00BE0D07">
        <w:rPr>
          <w:rFonts w:ascii="Arial" w:hAnsi="Arial" w:cs="Arial"/>
        </w:rPr>
        <w:t xml:space="preserve"> change in burden</w:t>
      </w:r>
      <w:r w:rsidRPr="009A0B52" w:rsidR="009E6F8E">
        <w:rPr>
          <w:rFonts w:ascii="Arial" w:hAnsi="Arial" w:cs="Arial"/>
        </w:rPr>
        <w:t xml:space="preserve">.  </w:t>
      </w:r>
      <w:r w:rsidR="00257B04">
        <w:rPr>
          <w:rFonts w:ascii="Arial" w:hAnsi="Arial" w:cs="Arial"/>
        </w:rPr>
        <w:t xml:space="preserve">There is no proposed change to the reporting requirements.  </w:t>
      </w:r>
      <w:r w:rsidRPr="00BE0D07" w:rsidR="00437D2A">
        <w:rPr>
          <w:rFonts w:ascii="Arial" w:hAnsi="Arial"/>
        </w:rPr>
        <w:t>The reporting requirements, and methodology for calculating burden, remain unchanged.</w:t>
      </w:r>
      <w:r w:rsidRPr="004106B6" w:rsidR="00437D2A">
        <w:rPr>
          <w:rFonts w:ascii="Arial" w:hAnsi="Arial"/>
        </w:rPr>
        <w:t xml:space="preserve">  </w:t>
      </w:r>
    </w:p>
    <w:p w:rsidRPr="00747E43" w:rsidR="00C4260C" w:rsidP="009A0B52" w:rsidRDefault="00C4260C" w14:paraId="332D654D" w14:textId="77777777">
      <w:pPr>
        <w:widowControl w:val="0"/>
        <w:rPr>
          <w:rFonts w:ascii="Arial" w:hAnsi="Arial" w:cs="Arial"/>
        </w:rPr>
      </w:pPr>
    </w:p>
    <w:p w:rsidRPr="00753C31" w:rsidR="00731F14" w:rsidP="009A0B52" w:rsidRDefault="00731F14" w14:paraId="6F940500" w14:textId="77777777">
      <w:pPr>
        <w:widowControl w:val="0"/>
        <w:rPr>
          <w:rFonts w:ascii="Arial" w:hAnsi="Arial" w:cs="Arial"/>
          <w:u w:val="single"/>
        </w:rPr>
      </w:pPr>
      <w:r w:rsidRPr="00753C31">
        <w:rPr>
          <w:rFonts w:ascii="Arial" w:hAnsi="Arial" w:cs="Arial"/>
        </w:rPr>
        <w:t>16</w:t>
      </w:r>
      <w:r w:rsidR="00753C31">
        <w:rPr>
          <w:rFonts w:ascii="Arial" w:hAnsi="Arial" w:cs="Arial"/>
        </w:rPr>
        <w:t>)</w:t>
      </w:r>
      <w:r w:rsidRPr="00753C31">
        <w:rPr>
          <w:rFonts w:ascii="Arial" w:hAnsi="Arial" w:cs="Arial"/>
        </w:rPr>
        <w:t xml:space="preserve">  </w:t>
      </w:r>
      <w:r w:rsidRPr="00753C31">
        <w:rPr>
          <w:rFonts w:ascii="Arial" w:hAnsi="Arial" w:cs="Arial"/>
          <w:u w:val="single"/>
        </w:rPr>
        <w:t>Plans for tabulation, statistical analysis, and publication</w:t>
      </w:r>
      <w:r w:rsidRPr="00753C31">
        <w:rPr>
          <w:rFonts w:ascii="Arial" w:hAnsi="Arial" w:cs="Arial"/>
        </w:rPr>
        <w:t>.</w:t>
      </w:r>
      <w:r w:rsidR="00753C31">
        <w:rPr>
          <w:rFonts w:ascii="Arial" w:hAnsi="Arial" w:cs="Arial"/>
        </w:rPr>
        <w:t xml:space="preserve">  </w:t>
      </w:r>
    </w:p>
    <w:p w:rsidRPr="00753C31" w:rsidR="00D6717A" w:rsidP="009A0B52" w:rsidRDefault="00D6717A" w14:paraId="1C90C807" w14:textId="77777777">
      <w:pPr>
        <w:widowControl w:val="0"/>
        <w:rPr>
          <w:rFonts w:ascii="Arial" w:hAnsi="Arial" w:cs="Arial"/>
        </w:rPr>
      </w:pPr>
    </w:p>
    <w:p w:rsidRPr="00747E43" w:rsidR="00731F14" w:rsidP="009A0B52" w:rsidRDefault="004E6B27" w14:paraId="79566984" w14:textId="65DC7C9A">
      <w:pPr>
        <w:widowControl w:val="0"/>
        <w:rPr>
          <w:rFonts w:ascii="Arial" w:hAnsi="Arial" w:cs="Arial"/>
        </w:rPr>
      </w:pPr>
      <w:r w:rsidRPr="00747E43">
        <w:rPr>
          <w:rFonts w:ascii="Arial" w:hAnsi="Arial" w:cs="Arial"/>
        </w:rPr>
        <w:t>This information collection will not be published for statistical purposes</w:t>
      </w:r>
      <w:r w:rsidRPr="00747E43" w:rsidR="00731F14">
        <w:rPr>
          <w:rFonts w:ascii="Arial" w:hAnsi="Arial" w:cs="Arial"/>
        </w:rPr>
        <w:t>.</w:t>
      </w:r>
      <w:r w:rsidR="007D0AEC">
        <w:rPr>
          <w:rFonts w:ascii="Arial" w:hAnsi="Arial" w:cs="Arial"/>
        </w:rPr>
        <w:t xml:space="preserve">  </w:t>
      </w:r>
    </w:p>
    <w:p w:rsidRPr="00747E43" w:rsidR="00731F14" w:rsidP="009A0B52" w:rsidRDefault="00731F14" w14:paraId="031AD6E8" w14:textId="77777777">
      <w:pPr>
        <w:widowControl w:val="0"/>
        <w:rPr>
          <w:rFonts w:ascii="Arial" w:hAnsi="Arial" w:cs="Arial"/>
        </w:rPr>
      </w:pPr>
    </w:p>
    <w:p w:rsidRPr="00237BBA" w:rsidR="00731F14" w:rsidP="009A0B52" w:rsidRDefault="00731F14" w14:paraId="37B32FC3" w14:textId="77777777">
      <w:pPr>
        <w:widowControl w:val="0"/>
        <w:rPr>
          <w:rFonts w:ascii="Arial" w:hAnsi="Arial" w:cs="Arial"/>
        </w:rPr>
      </w:pPr>
      <w:r w:rsidRPr="00237BBA">
        <w:rPr>
          <w:rFonts w:ascii="Arial" w:hAnsi="Arial" w:cs="Arial"/>
        </w:rPr>
        <w:t>17</w:t>
      </w:r>
      <w:r w:rsidR="00237BBA">
        <w:rPr>
          <w:rFonts w:ascii="Arial" w:hAnsi="Arial" w:cs="Arial"/>
        </w:rPr>
        <w:t>)</w:t>
      </w:r>
      <w:r w:rsidRPr="00237BBA">
        <w:rPr>
          <w:rFonts w:ascii="Arial" w:hAnsi="Arial" w:cs="Arial"/>
        </w:rPr>
        <w:t xml:space="preserve">  </w:t>
      </w:r>
      <w:r w:rsidRPr="00237BBA">
        <w:rPr>
          <w:rFonts w:ascii="Arial" w:hAnsi="Arial" w:cs="Arial"/>
          <w:u w:val="single"/>
        </w:rPr>
        <w:t>Approval for not explaining the expiration date for OMB approval</w:t>
      </w:r>
      <w:r w:rsidRPr="00237BBA">
        <w:rPr>
          <w:rFonts w:ascii="Arial" w:hAnsi="Arial" w:cs="Arial"/>
        </w:rPr>
        <w:t>.</w:t>
      </w:r>
      <w:r w:rsidR="00237BBA">
        <w:rPr>
          <w:rFonts w:ascii="Arial" w:hAnsi="Arial" w:cs="Arial"/>
        </w:rPr>
        <w:t xml:space="preserve">  </w:t>
      </w:r>
    </w:p>
    <w:p w:rsidRPr="00237BBA" w:rsidR="004E6B27" w:rsidP="009A0B52" w:rsidRDefault="004E6B27" w14:paraId="703C2F7F" w14:textId="77777777">
      <w:pPr>
        <w:widowControl w:val="0"/>
        <w:rPr>
          <w:rFonts w:ascii="Arial" w:hAnsi="Arial" w:cs="Arial"/>
          <w:u w:val="single"/>
        </w:rPr>
      </w:pPr>
    </w:p>
    <w:p w:rsidRPr="00747E43" w:rsidR="00731F14" w:rsidP="009A0B52" w:rsidRDefault="00D71CF8" w14:paraId="4FF6FBF2" w14:textId="5897C120">
      <w:pPr>
        <w:widowControl w:val="0"/>
        <w:rPr>
          <w:rFonts w:ascii="Arial" w:hAnsi="Arial" w:cs="Arial"/>
        </w:rPr>
      </w:pPr>
      <w:r w:rsidRPr="00747E43">
        <w:rPr>
          <w:rFonts w:ascii="Arial" w:hAnsi="Arial" w:cs="Arial"/>
        </w:rPr>
        <w:t xml:space="preserve">The Coast Guard </w:t>
      </w:r>
      <w:r w:rsidRPr="00747E43" w:rsidR="004E6B27">
        <w:rPr>
          <w:rFonts w:ascii="Arial" w:hAnsi="Arial" w:cs="Arial"/>
        </w:rPr>
        <w:t>will display the expiration date for OMB approval of this information collection</w:t>
      </w:r>
      <w:r w:rsidRPr="00747E43" w:rsidR="00D6717A">
        <w:rPr>
          <w:rFonts w:ascii="Arial" w:hAnsi="Arial" w:cs="Arial"/>
        </w:rPr>
        <w:t>.</w:t>
      </w:r>
      <w:r w:rsidR="007D0AEC">
        <w:rPr>
          <w:rFonts w:ascii="Arial" w:hAnsi="Arial" w:cs="Arial"/>
        </w:rPr>
        <w:t xml:space="preserve">  </w:t>
      </w:r>
    </w:p>
    <w:p w:rsidRPr="00747E43" w:rsidR="00C46C8B" w:rsidP="009A0B52" w:rsidRDefault="00C46C8B" w14:paraId="512C4077" w14:textId="77777777">
      <w:pPr>
        <w:widowControl w:val="0"/>
        <w:rPr>
          <w:rFonts w:ascii="Arial" w:hAnsi="Arial" w:cs="Arial"/>
        </w:rPr>
      </w:pPr>
    </w:p>
    <w:p w:rsidRPr="00237BBA" w:rsidR="00731F14" w:rsidP="009A0B52" w:rsidRDefault="00731F14" w14:paraId="29B1EEFF" w14:textId="77777777">
      <w:pPr>
        <w:widowControl w:val="0"/>
        <w:rPr>
          <w:rFonts w:ascii="Arial" w:hAnsi="Arial" w:cs="Arial"/>
        </w:rPr>
      </w:pPr>
      <w:r w:rsidRPr="00237BBA">
        <w:rPr>
          <w:rFonts w:ascii="Arial" w:hAnsi="Arial" w:cs="Arial"/>
        </w:rPr>
        <w:t>18</w:t>
      </w:r>
      <w:r w:rsidR="00237BBA">
        <w:rPr>
          <w:rFonts w:ascii="Arial" w:hAnsi="Arial" w:cs="Arial"/>
        </w:rPr>
        <w:t>)</w:t>
      </w:r>
      <w:r w:rsidRPr="00237BBA">
        <w:rPr>
          <w:rFonts w:ascii="Arial" w:hAnsi="Arial" w:cs="Arial"/>
        </w:rPr>
        <w:t xml:space="preserve">  </w:t>
      </w:r>
      <w:r w:rsidRPr="00237BBA">
        <w:rPr>
          <w:rFonts w:ascii="Arial" w:hAnsi="Arial" w:cs="Arial"/>
          <w:u w:val="single"/>
        </w:rPr>
        <w:t>Exception to the certification statement</w:t>
      </w:r>
      <w:r w:rsidRPr="00237BBA">
        <w:rPr>
          <w:rFonts w:ascii="Arial" w:hAnsi="Arial" w:cs="Arial"/>
        </w:rPr>
        <w:t>.</w:t>
      </w:r>
      <w:r w:rsidR="00237BBA">
        <w:rPr>
          <w:rFonts w:ascii="Arial" w:hAnsi="Arial" w:cs="Arial"/>
        </w:rPr>
        <w:t xml:space="preserve">  </w:t>
      </w:r>
    </w:p>
    <w:p w:rsidRPr="00237BBA" w:rsidR="004E6B27" w:rsidP="009A0B52" w:rsidRDefault="004E6B27" w14:paraId="2A2A7758" w14:textId="77777777">
      <w:pPr>
        <w:widowControl w:val="0"/>
        <w:rPr>
          <w:rFonts w:ascii="Arial" w:hAnsi="Arial" w:cs="Arial"/>
          <w:u w:val="single"/>
        </w:rPr>
      </w:pPr>
    </w:p>
    <w:p w:rsidRPr="00747E43" w:rsidR="00731F14" w:rsidP="009A0B52" w:rsidRDefault="00D71CF8" w14:paraId="3A31221E" w14:textId="77777777">
      <w:pPr>
        <w:widowControl w:val="0"/>
        <w:rPr>
          <w:rFonts w:ascii="Arial" w:hAnsi="Arial" w:cs="Arial"/>
        </w:rPr>
      </w:pPr>
      <w:r w:rsidRPr="00747E43">
        <w:rPr>
          <w:rFonts w:ascii="Arial" w:hAnsi="Arial" w:cs="Arial"/>
        </w:rPr>
        <w:t xml:space="preserve">The Coast Guard </w:t>
      </w:r>
      <w:r w:rsidRPr="00747E43" w:rsidR="004E6B27">
        <w:rPr>
          <w:rFonts w:ascii="Arial" w:hAnsi="Arial" w:cs="Arial"/>
        </w:rPr>
        <w:t>does not request an exception to the certification of this information collection</w:t>
      </w:r>
      <w:r w:rsidRPr="00747E43" w:rsidR="00C46C8B">
        <w:rPr>
          <w:rFonts w:ascii="Arial" w:hAnsi="Arial" w:cs="Arial"/>
        </w:rPr>
        <w:t>.</w:t>
      </w:r>
      <w:r w:rsidRPr="00747E43" w:rsidR="00731F14">
        <w:rPr>
          <w:rFonts w:ascii="Arial" w:hAnsi="Arial" w:cs="Arial"/>
        </w:rPr>
        <w:t xml:space="preserve">  </w:t>
      </w:r>
    </w:p>
    <w:p w:rsidRPr="00237BBA" w:rsidR="004E6B27" w:rsidP="009A0B52" w:rsidRDefault="004E6B27" w14:paraId="09F6A6C1" w14:textId="77777777">
      <w:pPr>
        <w:widowControl w:val="0"/>
        <w:rPr>
          <w:rFonts w:ascii="Arial" w:hAnsi="Arial" w:cs="Arial"/>
        </w:rPr>
      </w:pPr>
    </w:p>
    <w:p w:rsidRPr="00237BBA" w:rsidR="00731F14" w:rsidP="009A0B52" w:rsidRDefault="00731F14" w14:paraId="5667E306" w14:textId="77777777">
      <w:pPr>
        <w:widowControl w:val="0"/>
        <w:rPr>
          <w:rFonts w:ascii="Arial" w:hAnsi="Arial" w:cs="Arial"/>
        </w:rPr>
      </w:pPr>
    </w:p>
    <w:p w:rsidRPr="00237BBA" w:rsidR="00731F14" w:rsidP="009A0B52" w:rsidRDefault="00731F14" w14:paraId="6A7D3DC3" w14:textId="654F3D18">
      <w:pPr>
        <w:widowControl w:val="0"/>
        <w:rPr>
          <w:rFonts w:ascii="Arial" w:hAnsi="Arial" w:cs="Arial"/>
        </w:rPr>
      </w:pPr>
      <w:r w:rsidRPr="00237BBA">
        <w:rPr>
          <w:rFonts w:ascii="Arial" w:hAnsi="Arial" w:cs="Arial"/>
        </w:rPr>
        <w:t xml:space="preserve">B.  </w:t>
      </w:r>
      <w:r w:rsidRPr="00237BBA">
        <w:rPr>
          <w:rFonts w:ascii="Arial" w:hAnsi="Arial" w:cs="Arial"/>
          <w:u w:val="single"/>
        </w:rPr>
        <w:t>Collection of Information Employing Statistical Methods</w:t>
      </w:r>
      <w:r w:rsidRPr="00237BBA">
        <w:rPr>
          <w:rFonts w:ascii="Arial" w:hAnsi="Arial" w:cs="Arial"/>
        </w:rPr>
        <w:t>.</w:t>
      </w:r>
      <w:r w:rsidR="007D0AEC">
        <w:rPr>
          <w:rFonts w:ascii="Arial" w:hAnsi="Arial" w:cs="Arial"/>
        </w:rPr>
        <w:t xml:space="preserve">  </w:t>
      </w:r>
    </w:p>
    <w:p w:rsidRPr="00237BBA" w:rsidR="004E6B27" w:rsidP="009A0B52" w:rsidRDefault="004E6B27" w14:paraId="61B740D9" w14:textId="77777777">
      <w:pPr>
        <w:widowControl w:val="0"/>
        <w:rPr>
          <w:rFonts w:ascii="Arial" w:hAnsi="Arial" w:cs="Arial"/>
        </w:rPr>
      </w:pPr>
    </w:p>
    <w:p w:rsidR="00731F14" w:rsidP="009A0B52" w:rsidRDefault="009B35C4" w14:paraId="4E3FAAF5" w14:textId="267B74A8">
      <w:pPr>
        <w:widowControl w:val="0"/>
        <w:rPr>
          <w:rFonts w:ascii="Arial" w:hAnsi="Arial" w:cs="Arial"/>
        </w:rPr>
      </w:pPr>
      <w:r w:rsidRPr="00747E43">
        <w:rPr>
          <w:rFonts w:ascii="Arial" w:hAnsi="Arial" w:cs="Arial"/>
        </w:rPr>
        <w:t>This information collection does not employ statistical methods.</w:t>
      </w:r>
      <w:r w:rsidR="007D0AEC">
        <w:rPr>
          <w:rFonts w:ascii="Arial" w:hAnsi="Arial" w:cs="Arial"/>
        </w:rPr>
        <w:t xml:space="preserve">  </w:t>
      </w:r>
    </w:p>
    <w:p w:rsidRPr="00747E43" w:rsidR="005400FB" w:rsidP="009A0B52" w:rsidRDefault="005400FB" w14:paraId="7B8E68F2" w14:textId="77777777">
      <w:pPr>
        <w:widowControl w:val="0"/>
        <w:rPr>
          <w:rFonts w:ascii="Arial" w:hAnsi="Arial" w:cs="Arial"/>
        </w:rPr>
      </w:pPr>
    </w:p>
    <w:sectPr w:rsidRPr="00747E43" w:rsidR="005400FB" w:rsidSect="001F7B69">
      <w:headerReference w:type="default"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D5550" w14:textId="77777777" w:rsidR="00A909AB" w:rsidRDefault="00A909AB">
      <w:r>
        <w:separator/>
      </w:r>
    </w:p>
  </w:endnote>
  <w:endnote w:type="continuationSeparator" w:id="0">
    <w:p w14:paraId="576395A3" w14:textId="77777777" w:rsidR="00A909AB" w:rsidRDefault="00A9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Bell M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30B5" w14:textId="1EE64A51" w:rsidR="00EA5EF1" w:rsidRDefault="00EA5EF1">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671923">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671923">
      <w:rPr>
        <w:rStyle w:val="PageNumber"/>
        <w:rFonts w:ascii="Arial" w:hAnsi="Arial"/>
        <w:noProof/>
      </w:rPr>
      <w:t>4</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8B093" w14:textId="77777777" w:rsidR="00A909AB" w:rsidRDefault="00A909AB">
      <w:r>
        <w:separator/>
      </w:r>
    </w:p>
  </w:footnote>
  <w:footnote w:type="continuationSeparator" w:id="0">
    <w:p w14:paraId="33A42859" w14:textId="77777777" w:rsidR="00A909AB" w:rsidRDefault="00A909AB">
      <w:r>
        <w:continuationSeparator/>
      </w:r>
    </w:p>
  </w:footnote>
  <w:footnote w:id="1">
    <w:p w14:paraId="50EFBFF3" w14:textId="77777777" w:rsidR="00A3183A" w:rsidRPr="00A3183A" w:rsidRDefault="00A3183A">
      <w:pPr>
        <w:pStyle w:val="FootnoteText"/>
        <w:rPr>
          <w:rFonts w:ascii="Arial" w:hAnsi="Arial" w:cs="Arial"/>
          <w:sz w:val="18"/>
          <w:szCs w:val="18"/>
        </w:rPr>
      </w:pPr>
      <w:r w:rsidRPr="00A3183A">
        <w:rPr>
          <w:rStyle w:val="FootnoteReference"/>
          <w:rFonts w:ascii="Arial" w:hAnsi="Arial" w:cs="Arial"/>
          <w:sz w:val="18"/>
          <w:szCs w:val="18"/>
        </w:rPr>
        <w:footnoteRef/>
      </w:r>
      <w:r w:rsidRPr="00A3183A">
        <w:rPr>
          <w:rFonts w:ascii="Arial" w:hAnsi="Arial" w:cs="Arial"/>
          <w:sz w:val="18"/>
          <w:szCs w:val="18"/>
        </w:rPr>
        <w:t xml:space="preserve">  The term “we” refers to the Coast Guard.  </w:t>
      </w:r>
    </w:p>
  </w:footnote>
  <w:footnote w:id="2">
    <w:p w14:paraId="36AFA85C" w14:textId="5BC0ED18" w:rsidR="0034780C" w:rsidRPr="009A0B52" w:rsidRDefault="0034780C" w:rsidP="009A0B52">
      <w:pPr>
        <w:rPr>
          <w:sz w:val="18"/>
          <w:szCs w:val="18"/>
        </w:rPr>
      </w:pPr>
      <w:r w:rsidRPr="009A0B52">
        <w:rPr>
          <w:rStyle w:val="FootnoteReference"/>
          <w:rFonts w:ascii="Arial" w:hAnsi="Arial" w:cs="Arial"/>
          <w:sz w:val="18"/>
          <w:szCs w:val="18"/>
        </w:rPr>
        <w:footnoteRef/>
      </w:r>
      <w:r w:rsidRPr="009A0B52">
        <w:rPr>
          <w:rFonts w:ascii="Arial" w:hAnsi="Arial" w:cs="Arial"/>
          <w:sz w:val="18"/>
          <w:szCs w:val="18"/>
        </w:rPr>
        <w:t xml:space="preserve">  </w:t>
      </w:r>
      <w:hyperlink r:id="rId1" w:history="1">
        <w:r w:rsidRPr="009A0B52">
          <w:rPr>
            <w:rFonts w:ascii="Arial" w:hAnsi="Arial" w:cs="Arial"/>
            <w:color w:val="0000FF"/>
            <w:sz w:val="18"/>
            <w:szCs w:val="18"/>
            <w:u w:val="single"/>
          </w:rPr>
          <w:t>https://www.bls.gov/oes/2019/may/oes439199.htm</w:t>
        </w:r>
      </w:hyperlink>
      <w:r w:rsidRPr="009A0B52">
        <w:rPr>
          <w:rFonts w:ascii="Arial" w:hAnsi="Arial" w:cs="Arial"/>
          <w:color w:val="0000FF"/>
          <w:sz w:val="18"/>
          <w:szCs w:val="18"/>
          <w:u w:val="single"/>
        </w:rPr>
        <w:t xml:space="preserve">  </w:t>
      </w:r>
    </w:p>
  </w:footnote>
  <w:footnote w:id="3">
    <w:p w14:paraId="681473D1" w14:textId="22B26727" w:rsidR="0034780C" w:rsidRPr="009A0B52" w:rsidRDefault="0034780C" w:rsidP="0034780C">
      <w:pPr>
        <w:pStyle w:val="FootnoteText"/>
        <w:rPr>
          <w:rFonts w:ascii="Arial" w:hAnsi="Arial" w:cs="Arial"/>
          <w:sz w:val="18"/>
          <w:szCs w:val="18"/>
        </w:rPr>
      </w:pPr>
      <w:r w:rsidRPr="009A0B52">
        <w:rPr>
          <w:rStyle w:val="FootnoteReference"/>
          <w:rFonts w:ascii="Arial" w:hAnsi="Arial" w:cs="Arial"/>
          <w:sz w:val="18"/>
          <w:szCs w:val="18"/>
        </w:rPr>
        <w:footnoteRef/>
      </w:r>
      <w:r w:rsidRPr="009A0B52">
        <w:rPr>
          <w:rFonts w:ascii="Arial" w:hAnsi="Arial" w:cs="Arial"/>
          <w:sz w:val="18"/>
          <w:szCs w:val="18"/>
        </w:rPr>
        <w:t xml:space="preserve">  </w:t>
      </w:r>
      <w:hyperlink r:id="rId2" w:history="1">
        <w:r w:rsidRPr="009A0B52">
          <w:rPr>
            <w:rStyle w:val="Hyperlink"/>
            <w:rFonts w:ascii="Arial" w:hAnsi="Arial" w:cs="Arial"/>
            <w:sz w:val="18"/>
            <w:szCs w:val="18"/>
          </w:rPr>
          <w:t>https://www.bls.gov/oes/2019/may/oes535021.htm</w:t>
        </w:r>
      </w:hyperlink>
      <w:r w:rsidRPr="009A0B52">
        <w:rPr>
          <w:rStyle w:val="Hyperlink"/>
          <w:rFonts w:ascii="Arial" w:hAnsi="Arial" w:cs="Arial"/>
          <w:sz w:val="18"/>
          <w:szCs w:val="18"/>
        </w:rPr>
        <w:t xml:space="preserve">  </w:t>
      </w:r>
    </w:p>
  </w:footnote>
  <w:footnote w:id="4">
    <w:p w14:paraId="76B78999" w14:textId="39AC3EC0" w:rsidR="0034780C" w:rsidRPr="009A0B52" w:rsidRDefault="0034780C" w:rsidP="0034780C">
      <w:pPr>
        <w:pStyle w:val="FootnoteText"/>
        <w:rPr>
          <w:rFonts w:ascii="Arial" w:hAnsi="Arial" w:cs="Arial"/>
          <w:sz w:val="18"/>
          <w:szCs w:val="18"/>
        </w:rPr>
      </w:pPr>
      <w:r w:rsidRPr="009A0B52">
        <w:rPr>
          <w:rStyle w:val="FootnoteReference"/>
          <w:rFonts w:ascii="Arial" w:hAnsi="Arial" w:cs="Arial"/>
          <w:sz w:val="18"/>
          <w:szCs w:val="18"/>
        </w:rPr>
        <w:footnoteRef/>
      </w:r>
      <w:r w:rsidRPr="009A0B52">
        <w:rPr>
          <w:rFonts w:ascii="Arial" w:hAnsi="Arial" w:cs="Arial"/>
          <w:sz w:val="18"/>
          <w:szCs w:val="18"/>
        </w:rPr>
        <w:t xml:space="preserve">  </w:t>
      </w:r>
      <w:hyperlink r:id="rId3" w:history="1">
        <w:r w:rsidRPr="009A0B52">
          <w:rPr>
            <w:rStyle w:val="Hyperlink"/>
            <w:rFonts w:ascii="Arial" w:hAnsi="Arial" w:cs="Arial"/>
            <w:sz w:val="18"/>
            <w:szCs w:val="18"/>
          </w:rPr>
          <w:t>https://www.bls.gov/oes/2019/may/oes535011.htm</w:t>
        </w:r>
      </w:hyperlink>
      <w:r w:rsidRPr="009A0B52">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0BF6" w14:textId="77777777" w:rsidR="00EA5EF1" w:rsidRDefault="00EA5EF1">
    <w:pPr>
      <w:pStyle w:val="Header"/>
    </w:pPr>
    <w:r>
      <w:rPr>
        <w:rFonts w:ascii="Arial" w:hAnsi="Arial"/>
      </w:rPr>
      <w:t>1625-0100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5BB7"/>
    <w:multiLevelType w:val="hybridMultilevel"/>
    <w:tmpl w:val="7564F21C"/>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62EF9"/>
    <w:multiLevelType w:val="hybridMultilevel"/>
    <w:tmpl w:val="8F5E9DFA"/>
    <w:lvl w:ilvl="0" w:tplc="4FF4C78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2AB5B9B"/>
    <w:multiLevelType w:val="hybridMultilevel"/>
    <w:tmpl w:val="2DE0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9741D"/>
    <w:multiLevelType w:val="hybridMultilevel"/>
    <w:tmpl w:val="7C70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716E2"/>
    <w:multiLevelType w:val="hybridMultilevel"/>
    <w:tmpl w:val="2A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41306"/>
    <w:multiLevelType w:val="hybridMultilevel"/>
    <w:tmpl w:val="098490E4"/>
    <w:lvl w:ilvl="0" w:tplc="4FF4C78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3"/>
  </w:num>
  <w:num w:numId="6">
    <w:abstractNumId w:val="6"/>
  </w:num>
  <w:num w:numId="7">
    <w:abstractNumId w:val="5"/>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66"/>
    <w:rsid w:val="00002456"/>
    <w:rsid w:val="000169C4"/>
    <w:rsid w:val="00020AD2"/>
    <w:rsid w:val="00021BE0"/>
    <w:rsid w:val="00022F41"/>
    <w:rsid w:val="0004080F"/>
    <w:rsid w:val="0005346A"/>
    <w:rsid w:val="00060B1C"/>
    <w:rsid w:val="00066F23"/>
    <w:rsid w:val="00071CAC"/>
    <w:rsid w:val="00076966"/>
    <w:rsid w:val="00080DB5"/>
    <w:rsid w:val="00085B9A"/>
    <w:rsid w:val="00090390"/>
    <w:rsid w:val="00094C85"/>
    <w:rsid w:val="000A1B7B"/>
    <w:rsid w:val="000A3DA4"/>
    <w:rsid w:val="000A3E65"/>
    <w:rsid w:val="000A650A"/>
    <w:rsid w:val="000C18AD"/>
    <w:rsid w:val="000F0BB7"/>
    <w:rsid w:val="000F5220"/>
    <w:rsid w:val="001001E4"/>
    <w:rsid w:val="00104DF2"/>
    <w:rsid w:val="0011131A"/>
    <w:rsid w:val="00117CA5"/>
    <w:rsid w:val="00117E12"/>
    <w:rsid w:val="00123229"/>
    <w:rsid w:val="001273B4"/>
    <w:rsid w:val="00135095"/>
    <w:rsid w:val="00141B91"/>
    <w:rsid w:val="00157843"/>
    <w:rsid w:val="0016582C"/>
    <w:rsid w:val="001856DD"/>
    <w:rsid w:val="00194A3E"/>
    <w:rsid w:val="001A09AF"/>
    <w:rsid w:val="001A2A59"/>
    <w:rsid w:val="001A792C"/>
    <w:rsid w:val="001B3312"/>
    <w:rsid w:val="001C4468"/>
    <w:rsid w:val="001D1497"/>
    <w:rsid w:val="001E076A"/>
    <w:rsid w:val="001E408C"/>
    <w:rsid w:val="001F69A3"/>
    <w:rsid w:val="001F7B69"/>
    <w:rsid w:val="00200FAF"/>
    <w:rsid w:val="0020482B"/>
    <w:rsid w:val="002056EA"/>
    <w:rsid w:val="00206C78"/>
    <w:rsid w:val="00212BB1"/>
    <w:rsid w:val="0022567F"/>
    <w:rsid w:val="00237BBA"/>
    <w:rsid w:val="00241914"/>
    <w:rsid w:val="002515AB"/>
    <w:rsid w:val="00257B04"/>
    <w:rsid w:val="00271220"/>
    <w:rsid w:val="00271B0A"/>
    <w:rsid w:val="002810F5"/>
    <w:rsid w:val="00282ED5"/>
    <w:rsid w:val="002835EC"/>
    <w:rsid w:val="00285933"/>
    <w:rsid w:val="002952AE"/>
    <w:rsid w:val="002A0979"/>
    <w:rsid w:val="002B6876"/>
    <w:rsid w:val="002D1882"/>
    <w:rsid w:val="002E58C2"/>
    <w:rsid w:val="002E7AD4"/>
    <w:rsid w:val="002E7B27"/>
    <w:rsid w:val="002F3CB0"/>
    <w:rsid w:val="003006B3"/>
    <w:rsid w:val="0030146A"/>
    <w:rsid w:val="003020DC"/>
    <w:rsid w:val="0030292C"/>
    <w:rsid w:val="0032045C"/>
    <w:rsid w:val="003266B5"/>
    <w:rsid w:val="0032688A"/>
    <w:rsid w:val="003307BF"/>
    <w:rsid w:val="003332A3"/>
    <w:rsid w:val="00341A6C"/>
    <w:rsid w:val="0034780C"/>
    <w:rsid w:val="0035706B"/>
    <w:rsid w:val="0036358E"/>
    <w:rsid w:val="003762F9"/>
    <w:rsid w:val="003964F6"/>
    <w:rsid w:val="0039696D"/>
    <w:rsid w:val="003A2F01"/>
    <w:rsid w:val="003A7DC6"/>
    <w:rsid w:val="003B6E7F"/>
    <w:rsid w:val="003D04B4"/>
    <w:rsid w:val="003D2688"/>
    <w:rsid w:val="003D5618"/>
    <w:rsid w:val="003F19E7"/>
    <w:rsid w:val="003F410C"/>
    <w:rsid w:val="003F54F2"/>
    <w:rsid w:val="003F72BF"/>
    <w:rsid w:val="004107F4"/>
    <w:rsid w:val="00412F77"/>
    <w:rsid w:val="004142B4"/>
    <w:rsid w:val="004230C7"/>
    <w:rsid w:val="00433C24"/>
    <w:rsid w:val="00437D2A"/>
    <w:rsid w:val="00446F1B"/>
    <w:rsid w:val="00455460"/>
    <w:rsid w:val="00460DEF"/>
    <w:rsid w:val="00463AF8"/>
    <w:rsid w:val="00466167"/>
    <w:rsid w:val="00471887"/>
    <w:rsid w:val="0049116A"/>
    <w:rsid w:val="004A01A1"/>
    <w:rsid w:val="004A3A18"/>
    <w:rsid w:val="004C587B"/>
    <w:rsid w:val="004C792B"/>
    <w:rsid w:val="004D2097"/>
    <w:rsid w:val="004D2D0D"/>
    <w:rsid w:val="004D5343"/>
    <w:rsid w:val="004D61C8"/>
    <w:rsid w:val="004E6B27"/>
    <w:rsid w:val="004F7B4B"/>
    <w:rsid w:val="00501ED2"/>
    <w:rsid w:val="00502952"/>
    <w:rsid w:val="00505ADE"/>
    <w:rsid w:val="00510FD0"/>
    <w:rsid w:val="00522956"/>
    <w:rsid w:val="005351C5"/>
    <w:rsid w:val="00540036"/>
    <w:rsid w:val="005400FB"/>
    <w:rsid w:val="00540CCB"/>
    <w:rsid w:val="00543DA0"/>
    <w:rsid w:val="00545B7F"/>
    <w:rsid w:val="00551DF0"/>
    <w:rsid w:val="00554204"/>
    <w:rsid w:val="00557125"/>
    <w:rsid w:val="00561314"/>
    <w:rsid w:val="00567770"/>
    <w:rsid w:val="00570E42"/>
    <w:rsid w:val="00571A08"/>
    <w:rsid w:val="0057616D"/>
    <w:rsid w:val="00577A04"/>
    <w:rsid w:val="00580BA9"/>
    <w:rsid w:val="005914C0"/>
    <w:rsid w:val="00594531"/>
    <w:rsid w:val="00594B4D"/>
    <w:rsid w:val="0059546E"/>
    <w:rsid w:val="005A4306"/>
    <w:rsid w:val="005E0B3E"/>
    <w:rsid w:val="005F67B0"/>
    <w:rsid w:val="00601148"/>
    <w:rsid w:val="00604270"/>
    <w:rsid w:val="006067C5"/>
    <w:rsid w:val="00634031"/>
    <w:rsid w:val="00645414"/>
    <w:rsid w:val="00671923"/>
    <w:rsid w:val="0067767C"/>
    <w:rsid w:val="00680D78"/>
    <w:rsid w:val="0068218B"/>
    <w:rsid w:val="00687358"/>
    <w:rsid w:val="006875E3"/>
    <w:rsid w:val="006A272B"/>
    <w:rsid w:val="006A4016"/>
    <w:rsid w:val="006B12E9"/>
    <w:rsid w:val="006B23C6"/>
    <w:rsid w:val="006C2258"/>
    <w:rsid w:val="006C2D45"/>
    <w:rsid w:val="006E3FBB"/>
    <w:rsid w:val="006E630B"/>
    <w:rsid w:val="00704167"/>
    <w:rsid w:val="00727A85"/>
    <w:rsid w:val="00731F14"/>
    <w:rsid w:val="007356AD"/>
    <w:rsid w:val="00747E43"/>
    <w:rsid w:val="0075035A"/>
    <w:rsid w:val="00753C31"/>
    <w:rsid w:val="00756352"/>
    <w:rsid w:val="00757DC4"/>
    <w:rsid w:val="00781B09"/>
    <w:rsid w:val="00781FA6"/>
    <w:rsid w:val="00784AE9"/>
    <w:rsid w:val="007917B5"/>
    <w:rsid w:val="00792CB6"/>
    <w:rsid w:val="0079393F"/>
    <w:rsid w:val="00795A25"/>
    <w:rsid w:val="007A39FA"/>
    <w:rsid w:val="007A6165"/>
    <w:rsid w:val="007B1105"/>
    <w:rsid w:val="007C7E0E"/>
    <w:rsid w:val="007D0AEC"/>
    <w:rsid w:val="007D0D2E"/>
    <w:rsid w:val="007D357B"/>
    <w:rsid w:val="007D6316"/>
    <w:rsid w:val="007F0D9D"/>
    <w:rsid w:val="007F10AC"/>
    <w:rsid w:val="007F6BC1"/>
    <w:rsid w:val="007F7DE6"/>
    <w:rsid w:val="0080084B"/>
    <w:rsid w:val="00805347"/>
    <w:rsid w:val="008100D0"/>
    <w:rsid w:val="008176C9"/>
    <w:rsid w:val="00817C4C"/>
    <w:rsid w:val="00821B48"/>
    <w:rsid w:val="0083011A"/>
    <w:rsid w:val="00835647"/>
    <w:rsid w:val="00842C49"/>
    <w:rsid w:val="00856560"/>
    <w:rsid w:val="008643BC"/>
    <w:rsid w:val="00865C0E"/>
    <w:rsid w:val="00870C31"/>
    <w:rsid w:val="00877378"/>
    <w:rsid w:val="008908B9"/>
    <w:rsid w:val="00890A41"/>
    <w:rsid w:val="008911C4"/>
    <w:rsid w:val="008A0F5E"/>
    <w:rsid w:val="008B0438"/>
    <w:rsid w:val="008B139C"/>
    <w:rsid w:val="008B170D"/>
    <w:rsid w:val="008B5CE1"/>
    <w:rsid w:val="008C0F1E"/>
    <w:rsid w:val="008D46FE"/>
    <w:rsid w:val="008D7F2C"/>
    <w:rsid w:val="008E2A66"/>
    <w:rsid w:val="008F3444"/>
    <w:rsid w:val="008F63A0"/>
    <w:rsid w:val="009108F2"/>
    <w:rsid w:val="00930115"/>
    <w:rsid w:val="00931FD5"/>
    <w:rsid w:val="00934AA0"/>
    <w:rsid w:val="00937CAB"/>
    <w:rsid w:val="0094173F"/>
    <w:rsid w:val="0095504C"/>
    <w:rsid w:val="00956C2F"/>
    <w:rsid w:val="009600E6"/>
    <w:rsid w:val="009605C3"/>
    <w:rsid w:val="00962C74"/>
    <w:rsid w:val="009740FF"/>
    <w:rsid w:val="00980BA4"/>
    <w:rsid w:val="00994247"/>
    <w:rsid w:val="00997FA1"/>
    <w:rsid w:val="009A0B52"/>
    <w:rsid w:val="009A1E2A"/>
    <w:rsid w:val="009A7390"/>
    <w:rsid w:val="009B0B1E"/>
    <w:rsid w:val="009B200C"/>
    <w:rsid w:val="009B35C4"/>
    <w:rsid w:val="009C192F"/>
    <w:rsid w:val="009D2138"/>
    <w:rsid w:val="009D618C"/>
    <w:rsid w:val="009D75A4"/>
    <w:rsid w:val="009E3BAC"/>
    <w:rsid w:val="009E6F8E"/>
    <w:rsid w:val="009F5EE3"/>
    <w:rsid w:val="009F6784"/>
    <w:rsid w:val="00A01337"/>
    <w:rsid w:val="00A15CF9"/>
    <w:rsid w:val="00A233D9"/>
    <w:rsid w:val="00A2784C"/>
    <w:rsid w:val="00A3166A"/>
    <w:rsid w:val="00A3183A"/>
    <w:rsid w:val="00A3559F"/>
    <w:rsid w:val="00A40575"/>
    <w:rsid w:val="00A428F1"/>
    <w:rsid w:val="00A46764"/>
    <w:rsid w:val="00A46987"/>
    <w:rsid w:val="00A660CC"/>
    <w:rsid w:val="00A66E59"/>
    <w:rsid w:val="00A7177D"/>
    <w:rsid w:val="00A751E5"/>
    <w:rsid w:val="00A81F6B"/>
    <w:rsid w:val="00A86DB2"/>
    <w:rsid w:val="00A904C2"/>
    <w:rsid w:val="00A909AB"/>
    <w:rsid w:val="00A91759"/>
    <w:rsid w:val="00A93A00"/>
    <w:rsid w:val="00A971B1"/>
    <w:rsid w:val="00A974E7"/>
    <w:rsid w:val="00AA5214"/>
    <w:rsid w:val="00AB0E49"/>
    <w:rsid w:val="00AB4390"/>
    <w:rsid w:val="00AB45FF"/>
    <w:rsid w:val="00AC15A4"/>
    <w:rsid w:val="00AC7952"/>
    <w:rsid w:val="00AE24DE"/>
    <w:rsid w:val="00AF27F1"/>
    <w:rsid w:val="00B007BF"/>
    <w:rsid w:val="00B026F5"/>
    <w:rsid w:val="00B14322"/>
    <w:rsid w:val="00B22161"/>
    <w:rsid w:val="00B319F4"/>
    <w:rsid w:val="00B32D59"/>
    <w:rsid w:val="00B37840"/>
    <w:rsid w:val="00B40EE5"/>
    <w:rsid w:val="00B440A5"/>
    <w:rsid w:val="00B52999"/>
    <w:rsid w:val="00B543E2"/>
    <w:rsid w:val="00B55442"/>
    <w:rsid w:val="00B66504"/>
    <w:rsid w:val="00B73AC4"/>
    <w:rsid w:val="00B76BB8"/>
    <w:rsid w:val="00B84624"/>
    <w:rsid w:val="00B96D27"/>
    <w:rsid w:val="00BB1233"/>
    <w:rsid w:val="00BB68BA"/>
    <w:rsid w:val="00BC40DB"/>
    <w:rsid w:val="00BC40FC"/>
    <w:rsid w:val="00BD6B34"/>
    <w:rsid w:val="00BE0D07"/>
    <w:rsid w:val="00BF329A"/>
    <w:rsid w:val="00C008D3"/>
    <w:rsid w:val="00C120AB"/>
    <w:rsid w:val="00C14097"/>
    <w:rsid w:val="00C16A29"/>
    <w:rsid w:val="00C209CA"/>
    <w:rsid w:val="00C223F9"/>
    <w:rsid w:val="00C24E61"/>
    <w:rsid w:val="00C30E79"/>
    <w:rsid w:val="00C4260C"/>
    <w:rsid w:val="00C46C8B"/>
    <w:rsid w:val="00C47071"/>
    <w:rsid w:val="00C471A2"/>
    <w:rsid w:val="00C56C41"/>
    <w:rsid w:val="00C5798B"/>
    <w:rsid w:val="00C62509"/>
    <w:rsid w:val="00C70F09"/>
    <w:rsid w:val="00C76B4F"/>
    <w:rsid w:val="00C77E42"/>
    <w:rsid w:val="00C817E3"/>
    <w:rsid w:val="00C85F0F"/>
    <w:rsid w:val="00C94F3E"/>
    <w:rsid w:val="00CA2702"/>
    <w:rsid w:val="00CA4BDD"/>
    <w:rsid w:val="00CB3193"/>
    <w:rsid w:val="00CC7916"/>
    <w:rsid w:val="00CD79E3"/>
    <w:rsid w:val="00CF1F79"/>
    <w:rsid w:val="00D04790"/>
    <w:rsid w:val="00D11930"/>
    <w:rsid w:val="00D12B04"/>
    <w:rsid w:val="00D152C0"/>
    <w:rsid w:val="00D17053"/>
    <w:rsid w:val="00D22744"/>
    <w:rsid w:val="00D25BD3"/>
    <w:rsid w:val="00D44707"/>
    <w:rsid w:val="00D53A25"/>
    <w:rsid w:val="00D60397"/>
    <w:rsid w:val="00D64C8C"/>
    <w:rsid w:val="00D6717A"/>
    <w:rsid w:val="00D71CF8"/>
    <w:rsid w:val="00D76FAA"/>
    <w:rsid w:val="00D9003F"/>
    <w:rsid w:val="00D97E6B"/>
    <w:rsid w:val="00DA5E5A"/>
    <w:rsid w:val="00DB7EDC"/>
    <w:rsid w:val="00DC0311"/>
    <w:rsid w:val="00DC2D86"/>
    <w:rsid w:val="00DD7F47"/>
    <w:rsid w:val="00DF2374"/>
    <w:rsid w:val="00E0778B"/>
    <w:rsid w:val="00E1297B"/>
    <w:rsid w:val="00E2060F"/>
    <w:rsid w:val="00E242FC"/>
    <w:rsid w:val="00E27093"/>
    <w:rsid w:val="00E336C1"/>
    <w:rsid w:val="00E356BC"/>
    <w:rsid w:val="00E47487"/>
    <w:rsid w:val="00E506D0"/>
    <w:rsid w:val="00E57DEC"/>
    <w:rsid w:val="00E63C14"/>
    <w:rsid w:val="00E64C10"/>
    <w:rsid w:val="00E66951"/>
    <w:rsid w:val="00E75524"/>
    <w:rsid w:val="00E8319F"/>
    <w:rsid w:val="00E8604E"/>
    <w:rsid w:val="00E86B3A"/>
    <w:rsid w:val="00E8734D"/>
    <w:rsid w:val="00E940BF"/>
    <w:rsid w:val="00E95B55"/>
    <w:rsid w:val="00EA15E1"/>
    <w:rsid w:val="00EA173B"/>
    <w:rsid w:val="00EA5EF1"/>
    <w:rsid w:val="00ED18A1"/>
    <w:rsid w:val="00EE2A52"/>
    <w:rsid w:val="00EF7C2B"/>
    <w:rsid w:val="00F057C5"/>
    <w:rsid w:val="00F05B21"/>
    <w:rsid w:val="00F066C7"/>
    <w:rsid w:val="00F10E78"/>
    <w:rsid w:val="00F472B5"/>
    <w:rsid w:val="00F512DA"/>
    <w:rsid w:val="00F54AB6"/>
    <w:rsid w:val="00F6053F"/>
    <w:rsid w:val="00F8455B"/>
    <w:rsid w:val="00F977C6"/>
    <w:rsid w:val="00FA2088"/>
    <w:rsid w:val="00FB4DB0"/>
    <w:rsid w:val="00FC07C2"/>
    <w:rsid w:val="00FD7B18"/>
    <w:rsid w:val="00FE19E5"/>
    <w:rsid w:val="00FF3CAA"/>
    <w:rsid w:val="00FF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D7C06"/>
  <w15:chartTrackingRefBased/>
  <w15:docId w15:val="{E6D2C62F-5E3E-4E7F-BC9C-7C2CA942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69"/>
  </w:style>
  <w:style w:type="paragraph" w:styleId="Heading1">
    <w:name w:val="heading 1"/>
    <w:basedOn w:val="Normal"/>
    <w:next w:val="Normal"/>
    <w:qFormat/>
    <w:rsid w:val="001F7B69"/>
    <w:pPr>
      <w:keepNext/>
      <w:jc w:val="center"/>
      <w:outlineLvl w:val="0"/>
    </w:pPr>
    <w:rPr>
      <w:rFonts w:ascii="Arial" w:hAnsi="Arial"/>
      <w:sz w:val="24"/>
    </w:rPr>
  </w:style>
  <w:style w:type="paragraph" w:styleId="Heading2">
    <w:name w:val="heading 2"/>
    <w:basedOn w:val="Normal"/>
    <w:next w:val="Normal"/>
    <w:qFormat/>
    <w:rsid w:val="001F7B69"/>
    <w:pPr>
      <w:keepNext/>
      <w:jc w:val="center"/>
      <w:outlineLvl w:val="1"/>
    </w:pPr>
    <w:rPr>
      <w:rFonts w:ascii="Arial" w:hAnsi="Arial"/>
      <w:b/>
      <w:sz w:val="24"/>
    </w:rPr>
  </w:style>
  <w:style w:type="paragraph" w:styleId="Heading3">
    <w:name w:val="heading 3"/>
    <w:basedOn w:val="Normal"/>
    <w:next w:val="Normal"/>
    <w:qFormat/>
    <w:rsid w:val="001F7B69"/>
    <w:pPr>
      <w:keepNext/>
      <w:outlineLvl w:val="2"/>
    </w:pPr>
    <w:rPr>
      <w:rFonts w:ascii="Arial" w:hAnsi="Arial"/>
      <w:b/>
      <w:sz w:val="24"/>
    </w:rPr>
  </w:style>
  <w:style w:type="paragraph" w:styleId="Heading4">
    <w:name w:val="heading 4"/>
    <w:basedOn w:val="Normal"/>
    <w:next w:val="Normal"/>
    <w:qFormat/>
    <w:rsid w:val="001F7B69"/>
    <w:pPr>
      <w:keepNext/>
      <w:ind w:right="240"/>
      <w:outlineLvl w:val="3"/>
    </w:pPr>
    <w:rPr>
      <w:rFonts w:ascii="Arial" w:hAnsi="Arial"/>
      <w:snapToGrid w:val="0"/>
      <w:color w:val="000000"/>
      <w:sz w:val="24"/>
    </w:rPr>
  </w:style>
  <w:style w:type="paragraph" w:styleId="Heading5">
    <w:name w:val="heading 5"/>
    <w:basedOn w:val="Normal"/>
    <w:next w:val="Normal"/>
    <w:qFormat/>
    <w:rsid w:val="001F7B69"/>
    <w:pPr>
      <w:keepNext/>
      <w:ind w:right="240"/>
      <w:jc w:val="center"/>
      <w:outlineLvl w:val="4"/>
    </w:pPr>
    <w:rPr>
      <w:rFonts w:ascii="Arial" w:hAnsi="Arial"/>
      <w:b/>
      <w:bCs/>
      <w:snapToGrid w:val="0"/>
      <w:color w:val="000000"/>
      <w:sz w:val="24"/>
    </w:rPr>
  </w:style>
  <w:style w:type="paragraph" w:styleId="Heading6">
    <w:name w:val="heading 6"/>
    <w:basedOn w:val="Normal"/>
    <w:next w:val="Normal"/>
    <w:qFormat/>
    <w:rsid w:val="001F7B69"/>
    <w:pPr>
      <w:keepNext/>
      <w:ind w:right="240" w:firstLine="348"/>
      <w:outlineLvl w:val="5"/>
    </w:pPr>
    <w:rPr>
      <w:rFonts w:ascii="Arial" w:hAnsi="Arial"/>
      <w:snapToGrid w:val="0"/>
      <w:color w:val="000000"/>
      <w:sz w:val="24"/>
    </w:rPr>
  </w:style>
  <w:style w:type="paragraph" w:styleId="Heading7">
    <w:name w:val="heading 7"/>
    <w:basedOn w:val="Normal"/>
    <w:next w:val="Normal"/>
    <w:qFormat/>
    <w:rsid w:val="001F7B69"/>
    <w:pPr>
      <w:keepNext/>
      <w:jc w:val="center"/>
      <w:outlineLvl w:val="6"/>
    </w:pPr>
    <w:rPr>
      <w:rFonts w:ascii="Arial" w:hAnsi="Arial"/>
      <w:b/>
      <w:snapToGrid w:val="0"/>
      <w:color w:val="000000"/>
      <w:sz w:val="24"/>
    </w:rPr>
  </w:style>
  <w:style w:type="paragraph" w:styleId="Heading8">
    <w:name w:val="heading 8"/>
    <w:basedOn w:val="Normal"/>
    <w:next w:val="Normal"/>
    <w:qFormat/>
    <w:rsid w:val="001F7B69"/>
    <w:pPr>
      <w:keepNext/>
      <w:pBdr>
        <w:top w:val="single" w:sz="12" w:space="1" w:color="auto"/>
      </w:pBdr>
      <w:outlineLvl w:val="7"/>
    </w:pPr>
    <w:rPr>
      <w:rFonts w:ascii="Arial" w:hAnsi="Arial"/>
      <w:b/>
      <w:bCs/>
      <w:sz w:val="24"/>
    </w:rPr>
  </w:style>
  <w:style w:type="paragraph" w:styleId="Heading9">
    <w:name w:val="heading 9"/>
    <w:basedOn w:val="Normal"/>
    <w:next w:val="Normal"/>
    <w:qFormat/>
    <w:rsid w:val="001F7B69"/>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F7B69"/>
    <w:pPr>
      <w:ind w:left="360"/>
    </w:pPr>
    <w:rPr>
      <w:rFonts w:ascii="Courier New" w:hAnsi="Courier New"/>
      <w:sz w:val="24"/>
      <w:u w:val="single"/>
    </w:rPr>
  </w:style>
  <w:style w:type="paragraph" w:styleId="BodyText">
    <w:name w:val="Body Text"/>
    <w:basedOn w:val="Normal"/>
    <w:rsid w:val="001F7B69"/>
    <w:rPr>
      <w:rFonts w:ascii="Arial" w:hAnsi="Arial"/>
      <w:sz w:val="24"/>
    </w:rPr>
  </w:style>
  <w:style w:type="paragraph" w:customStyle="1" w:styleId="TxBrp6">
    <w:name w:val="TxBr_p6"/>
    <w:basedOn w:val="Normal"/>
    <w:rsid w:val="001F7B69"/>
    <w:pPr>
      <w:widowControl w:val="0"/>
      <w:tabs>
        <w:tab w:val="left" w:pos="204"/>
      </w:tabs>
      <w:spacing w:line="289" w:lineRule="atLeast"/>
      <w:jc w:val="both"/>
    </w:pPr>
    <w:rPr>
      <w:snapToGrid w:val="0"/>
      <w:sz w:val="24"/>
    </w:rPr>
  </w:style>
  <w:style w:type="paragraph" w:styleId="BodyTextIndent2">
    <w:name w:val="Body Text Indent 2"/>
    <w:basedOn w:val="Normal"/>
    <w:rsid w:val="001F7B69"/>
    <w:pPr>
      <w:ind w:left="360"/>
    </w:pPr>
    <w:rPr>
      <w:rFonts w:ascii="Arial" w:hAnsi="Arial"/>
      <w:sz w:val="24"/>
    </w:rPr>
  </w:style>
  <w:style w:type="paragraph" w:customStyle="1" w:styleId="TxBrp4">
    <w:name w:val="TxBr_p4"/>
    <w:basedOn w:val="Normal"/>
    <w:rsid w:val="001F7B69"/>
    <w:pPr>
      <w:widowControl w:val="0"/>
      <w:tabs>
        <w:tab w:val="left" w:pos="583"/>
      </w:tabs>
      <w:spacing w:line="289" w:lineRule="atLeast"/>
    </w:pPr>
    <w:rPr>
      <w:snapToGrid w:val="0"/>
      <w:sz w:val="24"/>
    </w:rPr>
  </w:style>
  <w:style w:type="paragraph" w:styleId="FootnoteText">
    <w:name w:val="footnote text"/>
    <w:basedOn w:val="Normal"/>
    <w:link w:val="FootnoteTextChar"/>
    <w:rsid w:val="001F7B69"/>
  </w:style>
  <w:style w:type="character" w:styleId="FootnoteReference">
    <w:name w:val="footnote reference"/>
    <w:rsid w:val="001F7B69"/>
    <w:rPr>
      <w:vertAlign w:val="superscript"/>
    </w:rPr>
  </w:style>
  <w:style w:type="paragraph" w:styleId="Header">
    <w:name w:val="header"/>
    <w:basedOn w:val="Normal"/>
    <w:rsid w:val="001F7B69"/>
    <w:pPr>
      <w:tabs>
        <w:tab w:val="center" w:pos="4320"/>
        <w:tab w:val="right" w:pos="8640"/>
      </w:tabs>
    </w:pPr>
  </w:style>
  <w:style w:type="paragraph" w:styleId="Footer">
    <w:name w:val="footer"/>
    <w:basedOn w:val="Normal"/>
    <w:rsid w:val="001F7B69"/>
    <w:pPr>
      <w:tabs>
        <w:tab w:val="center" w:pos="4320"/>
        <w:tab w:val="right" w:pos="8640"/>
      </w:tabs>
    </w:pPr>
  </w:style>
  <w:style w:type="character" w:styleId="PageNumber">
    <w:name w:val="page number"/>
    <w:basedOn w:val="DefaultParagraphFont"/>
    <w:rsid w:val="001F7B69"/>
  </w:style>
  <w:style w:type="paragraph" w:styleId="BodyTextIndent3">
    <w:name w:val="Body Text Indent 3"/>
    <w:basedOn w:val="Normal"/>
    <w:rsid w:val="001F7B69"/>
    <w:pPr>
      <w:ind w:left="1980" w:hanging="540"/>
    </w:pPr>
    <w:rPr>
      <w:rFonts w:ascii="Courier New" w:hAnsi="Courier New"/>
      <w:sz w:val="24"/>
    </w:rPr>
  </w:style>
  <w:style w:type="paragraph" w:styleId="Title">
    <w:name w:val="Title"/>
    <w:basedOn w:val="Normal"/>
    <w:qFormat/>
    <w:rsid w:val="001F7B69"/>
    <w:pPr>
      <w:jc w:val="center"/>
    </w:pPr>
    <w:rPr>
      <w:rFonts w:ascii="Arial" w:hAnsi="Arial"/>
      <w:b/>
      <w:sz w:val="28"/>
    </w:rPr>
  </w:style>
  <w:style w:type="paragraph" w:customStyle="1" w:styleId="TableText">
    <w:name w:val="Table Text"/>
    <w:basedOn w:val="Normal"/>
    <w:rsid w:val="001F7B69"/>
    <w:pPr>
      <w:keepNext/>
      <w:spacing w:before="20" w:after="20"/>
    </w:pPr>
    <w:rPr>
      <w:rFonts w:ascii="AGaramond" w:hAnsi="AGaramond"/>
      <w:sz w:val="22"/>
    </w:rPr>
  </w:style>
  <w:style w:type="paragraph" w:styleId="NormalWeb">
    <w:name w:val="Normal (Web)"/>
    <w:basedOn w:val="Normal"/>
    <w:rsid w:val="001F7B69"/>
    <w:pPr>
      <w:spacing w:before="100" w:beforeAutospacing="1" w:after="100" w:afterAutospacing="1"/>
    </w:pPr>
    <w:rPr>
      <w:sz w:val="24"/>
      <w:szCs w:val="24"/>
    </w:rPr>
  </w:style>
  <w:style w:type="paragraph" w:styleId="HTMLPreformatted">
    <w:name w:val="HTML Preformatted"/>
    <w:basedOn w:val="Normal"/>
    <w:rsid w:val="001F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DB7EDC"/>
    <w:rPr>
      <w:rFonts w:ascii="Tahoma" w:hAnsi="Tahoma" w:cs="Tahoma"/>
      <w:sz w:val="16"/>
      <w:szCs w:val="16"/>
    </w:rPr>
  </w:style>
  <w:style w:type="character" w:styleId="CommentReference">
    <w:name w:val="annotation reference"/>
    <w:semiHidden/>
    <w:rsid w:val="00E64C10"/>
    <w:rPr>
      <w:sz w:val="16"/>
      <w:szCs w:val="16"/>
    </w:rPr>
  </w:style>
  <w:style w:type="paragraph" w:styleId="CommentText">
    <w:name w:val="annotation text"/>
    <w:basedOn w:val="Normal"/>
    <w:semiHidden/>
    <w:rsid w:val="00E64C10"/>
  </w:style>
  <w:style w:type="paragraph" w:styleId="CommentSubject">
    <w:name w:val="annotation subject"/>
    <w:basedOn w:val="CommentText"/>
    <w:next w:val="CommentText"/>
    <w:semiHidden/>
    <w:rsid w:val="00E64C10"/>
    <w:rPr>
      <w:b/>
      <w:bCs/>
    </w:rPr>
  </w:style>
  <w:style w:type="character" w:styleId="Hyperlink">
    <w:name w:val="Hyperlink"/>
    <w:rsid w:val="00D9003F"/>
    <w:rPr>
      <w:color w:val="0000FF"/>
      <w:u w:val="single"/>
    </w:rPr>
  </w:style>
  <w:style w:type="character" w:styleId="FollowedHyperlink">
    <w:name w:val="FollowedHyperlink"/>
    <w:rsid w:val="00F472B5"/>
    <w:rPr>
      <w:color w:val="606420"/>
      <w:u w:val="single"/>
    </w:rPr>
  </w:style>
  <w:style w:type="table" w:styleId="TableGrid">
    <w:name w:val="Table Grid"/>
    <w:basedOn w:val="TableNormal"/>
    <w:rsid w:val="009600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01ED2"/>
  </w:style>
  <w:style w:type="character" w:customStyle="1" w:styleId="FootnoteTextChar">
    <w:name w:val="Footnote Text Char"/>
    <w:basedOn w:val="DefaultParagraphFont"/>
    <w:link w:val="FootnoteText"/>
    <w:rsid w:val="00347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1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publication/dhs-uscg-pia-006b-vessel-requirements-noad-and-ais-rulemak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vmc.uscg.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vmc.uscg.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15-11-27/html/2015-30303.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9/may/oes535011.htm" TargetMode="External"/><Relationship Id="rId2" Type="http://schemas.openxmlformats.org/officeDocument/2006/relationships/hyperlink" Target="https://www.bls.gov/oes/2019/may/oes535021.htm" TargetMode="External"/><Relationship Id="rId1" Type="http://schemas.openxmlformats.org/officeDocument/2006/relationships/hyperlink" Target="https://www.bls.gov/oes/2019/may/oes439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2551-A9E5-4441-B757-310F045E0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B0533-0AC4-4079-9360-70DDED38A923}">
  <ds:schemaRefs>
    <ds:schemaRef ds:uri="http://schemas.microsoft.com/sharepoint/v3/contenttype/forms"/>
  </ds:schemaRefs>
</ds:datastoreItem>
</file>

<file path=customXml/itemProps3.xml><?xml version="1.0" encoding="utf-8"?>
<ds:datastoreItem xmlns:ds="http://schemas.openxmlformats.org/officeDocument/2006/customXml" ds:itemID="{6965A984-756B-4599-AC07-306C1DC7F0B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49574CA8-925C-48BF-8E56-B09BC1E2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2001</Words>
  <Characters>11792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Information Collection Requirement</vt:lpstr>
    </vt:vector>
  </TitlesOfParts>
  <Company>United States Coast Guard</Company>
  <LinksUpToDate>false</LinksUpToDate>
  <CharactersWithSpaces>13766</CharactersWithSpaces>
  <SharedDoc>false</SharedDoc>
  <HLinks>
    <vt:vector size="24" baseType="variant">
      <vt:variant>
        <vt:i4>3932217</vt:i4>
      </vt:variant>
      <vt:variant>
        <vt:i4>9</vt:i4>
      </vt:variant>
      <vt:variant>
        <vt:i4>0</vt:i4>
      </vt:variant>
      <vt:variant>
        <vt:i4>5</vt:i4>
      </vt:variant>
      <vt:variant>
        <vt:lpwstr>https://www.gpo.gov/fdsys/pkg/FR-2015-11-27/html/2015-30303.htm</vt:lpwstr>
      </vt:variant>
      <vt:variant>
        <vt:lpwstr/>
      </vt:variant>
      <vt:variant>
        <vt:i4>4718595</vt:i4>
      </vt:variant>
      <vt:variant>
        <vt:i4>6</vt:i4>
      </vt:variant>
      <vt:variant>
        <vt:i4>0</vt:i4>
      </vt:variant>
      <vt:variant>
        <vt:i4>5</vt:i4>
      </vt:variant>
      <vt:variant>
        <vt:lpwstr>https://www.dhs.gov/publication/dhs-uscg-pia-006b-vessel-requirements-noad-and-ais-rulemaking</vt:lpwstr>
      </vt:variant>
      <vt:variant>
        <vt:lpwstr/>
      </vt:variant>
      <vt:variant>
        <vt:i4>196626</vt:i4>
      </vt:variant>
      <vt:variant>
        <vt:i4>3</vt:i4>
      </vt:variant>
      <vt:variant>
        <vt:i4>0</vt:i4>
      </vt:variant>
      <vt:variant>
        <vt:i4>5</vt:i4>
      </vt:variant>
      <vt:variant>
        <vt:lpwstr>http://www.nvmc.uscg.gov/</vt:lpwstr>
      </vt:variant>
      <vt:variant>
        <vt:lpwstr/>
      </vt:variant>
      <vt:variant>
        <vt:i4>196626</vt:i4>
      </vt:variant>
      <vt:variant>
        <vt:i4>0</vt:i4>
      </vt:variant>
      <vt:variant>
        <vt:i4>0</vt:i4>
      </vt:variant>
      <vt:variant>
        <vt:i4>5</vt:i4>
      </vt:variant>
      <vt:variant>
        <vt:lpwstr>http://www.nvmc.uscg.gov/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Requirement</dc:title>
  <dc:subject/>
  <dc:creator>Carrie Stillson</dc:creator>
  <cp:keywords/>
  <cp:lastModifiedBy>Craig, Albert L CIV</cp:lastModifiedBy>
  <cp:revision>2</cp:revision>
  <cp:lastPrinted>2021-08-04T15:32:00Z</cp:lastPrinted>
  <dcterms:created xsi:type="dcterms:W3CDTF">2021-08-04T15:33:00Z</dcterms:created>
  <dcterms:modified xsi:type="dcterms:W3CDTF">2021-08-04T15:33:00Z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