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633" w:rsidP="009F2633" w:rsidRDefault="009F2633" w14:paraId="23C30D7E" w14:textId="77777777">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9F2633" w:rsidP="00BB78AB" w:rsidRDefault="009F2633" w14:paraId="0CE9548C" w14:textId="77777777">
      <w:pPr>
        <w:keepNext/>
        <w:numPr>
          <w:ilvl w:val="12"/>
          <w:numId w:val="0"/>
        </w:numPr>
        <w:ind w:left="360"/>
      </w:pPr>
    </w:p>
    <w:p w:rsidR="004C5960" w:rsidP="00160680" w:rsidRDefault="003B5661" w14:paraId="6E5D340E" w14:textId="52BB4D88">
      <w:pPr>
        <w:numPr>
          <w:ilvl w:val="12"/>
          <w:numId w:val="0"/>
        </w:numPr>
        <w:ind w:left="360"/>
      </w:pPr>
      <w:r>
        <w:t>T</w:t>
      </w:r>
      <w:r w:rsidR="00434495">
        <w:t>he Transportation Security Administration (T</w:t>
      </w:r>
      <w:r>
        <w:t>SA</w:t>
      </w:r>
      <w:r w:rsidR="00434495">
        <w:t>)</w:t>
      </w:r>
      <w:r>
        <w:t xml:space="preserve"> has broad responsibility and authority for “security in all modes of </w:t>
      </w:r>
      <w:r w:rsidR="00434495">
        <w:t>t</w:t>
      </w:r>
      <w:r>
        <w:t>ransportation</w:t>
      </w:r>
      <w:r w:rsidR="00434495">
        <w:t xml:space="preserve"> . . . </w:t>
      </w:r>
      <w:r>
        <w:t xml:space="preserve">including security </w:t>
      </w:r>
      <w:r w:rsidR="00323088">
        <w:t>responsibilities</w:t>
      </w:r>
      <w:r w:rsidR="00434495">
        <w:t xml:space="preserve"> . . . </w:t>
      </w:r>
      <w:r>
        <w:t xml:space="preserve">over modes of transportation that are exercised by the Department of Transportation.” </w:t>
      </w:r>
      <w:r w:rsidR="004C5960">
        <w:t xml:space="preserve"> 49 U.S.C.</w:t>
      </w:r>
      <w:r w:rsidR="003D0397">
        <w:t xml:space="preserve"> </w:t>
      </w:r>
      <w:r w:rsidR="004C5960">
        <w:t xml:space="preserve">114(d).  </w:t>
      </w:r>
      <w:r w:rsidR="001F7D0E">
        <w:t>In addition to carrying out the securit</w:t>
      </w:r>
      <w:bookmarkStart w:name="_GoBack" w:id="0"/>
      <w:bookmarkEnd w:id="0"/>
      <w:r w:rsidR="001F7D0E">
        <w:t xml:space="preserve">y responsibilities in paragraph (d), TSA is responsible for “assess[ing] threats to transportation” and “develop[ing] policies, strategies, and plans for dealing with threats to transportation security.”  49 U.S.C. 1114(f)(2) and (3).  </w:t>
      </w:r>
      <w:r w:rsidR="0023198F">
        <w:t xml:space="preserve">Congress has recognized TSA’s responsibility for pipeline security by requiring TSA to conduct assessments of pipeline security systems.  </w:t>
      </w:r>
      <w:r w:rsidR="0023198F">
        <w:rPr>
          <w:i/>
        </w:rPr>
        <w:t xml:space="preserve">See </w:t>
      </w:r>
      <w:r w:rsidR="0023198F">
        <w:t xml:space="preserve"> S</w:t>
      </w:r>
      <w:r w:rsidR="00160680">
        <w:t>ec</w:t>
      </w:r>
      <w:r w:rsidR="0023198F">
        <w:t xml:space="preserve">. </w:t>
      </w:r>
      <w:r w:rsidR="00160680">
        <w:t xml:space="preserve">1557 of the Implementing Recommendations of the 9/11 Commission Act (Pub. L. 110-53; 121 Stat. 475; Aug. 3, 2007), as codified at </w:t>
      </w:r>
      <w:r w:rsidR="00D828C0">
        <w:t>6 U.S.C.</w:t>
      </w:r>
      <w:r w:rsidR="00160680">
        <w:t xml:space="preserve"> 1207.</w:t>
      </w:r>
    </w:p>
    <w:p w:rsidR="004C5960" w:rsidP="004C5960" w:rsidRDefault="004C5960" w14:paraId="08A2FBF1" w14:textId="77777777">
      <w:pPr>
        <w:numPr>
          <w:ilvl w:val="12"/>
          <w:numId w:val="0"/>
        </w:numPr>
        <w:ind w:left="360"/>
      </w:pPr>
    </w:p>
    <w:p w:rsidR="009F2633" w:rsidP="004C5960" w:rsidRDefault="00D14EDC" w14:paraId="6FA813F4" w14:textId="0539967B">
      <w:pPr>
        <w:numPr>
          <w:ilvl w:val="12"/>
          <w:numId w:val="0"/>
        </w:numPr>
        <w:ind w:left="360"/>
      </w:pPr>
      <w:r>
        <w:t xml:space="preserve">In order </w:t>
      </w:r>
      <w:r w:rsidR="00CD57D8">
        <w:t xml:space="preserve">to </w:t>
      </w:r>
      <w:r w:rsidR="005F783B">
        <w:t>assess current industry security practices</w:t>
      </w:r>
      <w:r w:rsidR="008A39AF">
        <w:t>,</w:t>
      </w:r>
      <w:r w:rsidR="00267D12">
        <w:t xml:space="preserve"> </w:t>
      </w:r>
      <w:r w:rsidR="00160680">
        <w:t xml:space="preserve">TSA </w:t>
      </w:r>
      <w:r w:rsidR="004539E8">
        <w:t>implemented its</w:t>
      </w:r>
      <w:r w:rsidR="005F783B">
        <w:t xml:space="preserve"> Pipeline Corporate Security Review (PCSR) program.  The PCSR </w:t>
      </w:r>
      <w:r w:rsidR="00267D12">
        <w:t>is a voluntary, face-to-face visit</w:t>
      </w:r>
      <w:r w:rsidR="00CD57D8">
        <w:t xml:space="preserve"> with</w:t>
      </w:r>
      <w:r w:rsidR="00267D12">
        <w:t xml:space="preserve"> a</w:t>
      </w:r>
      <w:r w:rsidR="00CD57D8">
        <w:t xml:space="preserve"> pipeline </w:t>
      </w:r>
      <w:r w:rsidR="002C3338">
        <w:t>owner/</w:t>
      </w:r>
      <w:r w:rsidR="00CD57D8">
        <w:t xml:space="preserve">operator </w:t>
      </w:r>
      <w:r w:rsidR="00267D12">
        <w:t xml:space="preserve">during which TSA discusses the </w:t>
      </w:r>
      <w:r w:rsidR="00CD57D8">
        <w:t>company</w:t>
      </w:r>
      <w:r w:rsidR="00267D12">
        <w:t>’s</w:t>
      </w:r>
      <w:r w:rsidR="00CD57D8">
        <w:t xml:space="preserve"> </w:t>
      </w:r>
      <w:r w:rsidR="00267D12">
        <w:t xml:space="preserve">corporate level </w:t>
      </w:r>
      <w:r w:rsidR="00CD57D8">
        <w:t>security planning</w:t>
      </w:r>
      <w:r w:rsidR="00267D12">
        <w:t xml:space="preserve"> and also completes the PCSR </w:t>
      </w:r>
      <w:r w:rsidR="004539E8">
        <w:t>Form</w:t>
      </w:r>
      <w:r w:rsidR="002C3338">
        <w:t>,</w:t>
      </w:r>
      <w:r w:rsidR="00135219">
        <w:t xml:space="preserve"> </w:t>
      </w:r>
      <w:r w:rsidR="00135219">
        <w:rPr>
          <w:bCs/>
        </w:rPr>
        <w:t xml:space="preserve">which </w:t>
      </w:r>
      <w:r w:rsidR="002C3338">
        <w:rPr>
          <w:bCs/>
        </w:rPr>
        <w:t xml:space="preserve">includes </w:t>
      </w:r>
      <w:r w:rsidRPr="00122A31" w:rsidR="00135219">
        <w:rPr>
          <w:bCs/>
        </w:rPr>
        <w:t>21</w:t>
      </w:r>
      <w:r w:rsidR="003C687B">
        <w:rPr>
          <w:bCs/>
        </w:rPr>
        <w:t>0</w:t>
      </w:r>
      <w:r w:rsidRPr="00122A31" w:rsidR="00135219">
        <w:rPr>
          <w:bCs/>
        </w:rPr>
        <w:t xml:space="preserve"> questions concerning the </w:t>
      </w:r>
      <w:r w:rsidR="002C3338">
        <w:rPr>
          <w:bCs/>
        </w:rPr>
        <w:t>owner/operator</w:t>
      </w:r>
      <w:r w:rsidRPr="00122A31" w:rsidR="00135219">
        <w:rPr>
          <w:bCs/>
        </w:rPr>
        <w:t xml:space="preserve">’s corporate level security planning, covering security topics such as physical </w:t>
      </w:r>
      <w:r w:rsidR="003C687B">
        <w:rPr>
          <w:bCs/>
        </w:rPr>
        <w:t xml:space="preserve">and cyber </w:t>
      </w:r>
      <w:r w:rsidRPr="00122A31" w:rsidR="00135219">
        <w:rPr>
          <w:bCs/>
        </w:rPr>
        <w:t>security, vulnerability assessments, training, and emergency communications</w:t>
      </w:r>
      <w:r w:rsidDel="00160680" w:rsidR="004539E8">
        <w:t xml:space="preserve">. </w:t>
      </w:r>
      <w:r w:rsidDel="00160680" w:rsidR="00D71208">
        <w:t xml:space="preserve"> </w:t>
      </w:r>
      <w:r w:rsidRPr="002D3CB8" w:rsidR="002D3CB8">
        <w:t xml:space="preserve">TSA </w:t>
      </w:r>
      <w:r w:rsidR="001209DF">
        <w:t xml:space="preserve">also </w:t>
      </w:r>
      <w:r w:rsidRPr="002D3CB8" w:rsidR="002D3CB8">
        <w:t>follow</w:t>
      </w:r>
      <w:r w:rsidR="001209DF">
        <w:t xml:space="preserve">s </w:t>
      </w:r>
      <w:r w:rsidRPr="002D3CB8" w:rsidR="002D3CB8">
        <w:t>up on results of each PCSR</w:t>
      </w:r>
      <w:r w:rsidR="002D3CB8">
        <w:t xml:space="preserve">. </w:t>
      </w:r>
      <w:r w:rsidRPr="002D3CB8" w:rsidR="002D3CB8">
        <w:t xml:space="preserve"> </w:t>
      </w:r>
    </w:p>
    <w:p w:rsidR="00066D6C" w:rsidP="004C5960" w:rsidRDefault="00066D6C" w14:paraId="1E127BD1" w14:textId="77777777">
      <w:pPr>
        <w:numPr>
          <w:ilvl w:val="12"/>
          <w:numId w:val="0"/>
        </w:numPr>
        <w:ind w:left="360"/>
      </w:pPr>
    </w:p>
    <w:p w:rsidRPr="00275594" w:rsidR="00066D6C" w:rsidP="00066D6C" w:rsidRDefault="00066D6C" w14:paraId="4624C449" w14:textId="046BABA4">
      <w:pPr>
        <w:ind w:left="360"/>
        <w:rPr>
          <w:color w:val="000000" w:themeColor="text1"/>
          <w:u w:val="single"/>
        </w:rPr>
      </w:pPr>
      <w:r w:rsidRPr="00275594">
        <w:rPr>
          <w:color w:val="000000" w:themeColor="text1"/>
          <w:u w:val="single"/>
        </w:rPr>
        <w:t>Emergency Request</w:t>
      </w:r>
    </w:p>
    <w:p w:rsidRPr="0053598F" w:rsidR="00C9717E" w:rsidP="00066D6C" w:rsidRDefault="00C9717E" w14:paraId="31A46648" w14:textId="23C5A6D3">
      <w:pPr>
        <w:ind w:left="360"/>
        <w:rPr>
          <w:color w:val="000000" w:themeColor="text1"/>
        </w:rPr>
      </w:pPr>
    </w:p>
    <w:p w:rsidRPr="0053598F" w:rsidR="00C9717E" w:rsidP="00C9717E" w:rsidRDefault="00C9717E" w14:paraId="0997D6CA" w14:textId="28AD1F5E">
      <w:pPr>
        <w:ind w:left="360"/>
        <w:rPr>
          <w:color w:val="000000" w:themeColor="text1"/>
        </w:rPr>
      </w:pPr>
      <w:r w:rsidRPr="0053598F">
        <w:rPr>
          <w:color w:val="000000" w:themeColor="text1"/>
        </w:rPr>
        <w:t>Due to the ongoing cybersecurity threat to pipeline systems and associated infrastructure, TSA issued Security Directive (SD) Pipeline 2021-01 in coordination with the Cybersecurity and Infrastructure Security Agency (CISA) under TSA’s authority in</w:t>
      </w:r>
      <w:r w:rsidRPr="0053598F" w:rsidR="00EE637C">
        <w:rPr>
          <w:color w:val="000000" w:themeColor="text1"/>
        </w:rPr>
        <w:t xml:space="preserve"> </w:t>
      </w:r>
      <w:r w:rsidRPr="0053598F">
        <w:rPr>
          <w:color w:val="000000" w:themeColor="text1"/>
        </w:rPr>
        <w:t xml:space="preserve">49 U.S.C. </w:t>
      </w:r>
      <w:r w:rsidRPr="0053598F">
        <w:rPr>
          <w:rFonts w:cs="Times New Roman"/>
          <w:color w:val="000000" w:themeColor="text1"/>
        </w:rPr>
        <w:t>§</w:t>
      </w:r>
      <w:r w:rsidRPr="0053598F">
        <w:rPr>
          <w:color w:val="000000" w:themeColor="text1"/>
        </w:rPr>
        <w:t>114(l)(2)</w:t>
      </w:r>
      <w:r w:rsidRPr="0053598F">
        <w:rPr>
          <w:rStyle w:val="FootnoteReference"/>
          <w:color w:val="000000" w:themeColor="text1"/>
        </w:rPr>
        <w:footnoteReference w:id="1"/>
      </w:r>
      <w:r w:rsidRPr="0053598F">
        <w:rPr>
          <w:color w:val="000000" w:themeColor="text1"/>
        </w:rPr>
        <w:t xml:space="preserve">. </w:t>
      </w:r>
      <w:r w:rsidR="0023198F">
        <w:rPr>
          <w:color w:val="000000" w:themeColor="text1"/>
        </w:rPr>
        <w:t xml:space="preserve"> </w:t>
      </w:r>
      <w:r w:rsidRPr="00175E61" w:rsidR="00175E61">
        <w:rPr>
          <w:color w:val="000000" w:themeColor="text1"/>
        </w:rPr>
        <w:t xml:space="preserve">TSA has statutory authority to immediately issue security directives if the Administrator of TSA determines that actions are needed to protect transportation security.  </w:t>
      </w:r>
      <w:r w:rsidRPr="00175E61" w:rsidR="00175E61">
        <w:rPr>
          <w:i/>
          <w:color w:val="000000" w:themeColor="text1"/>
        </w:rPr>
        <w:t xml:space="preserve">See </w:t>
      </w:r>
      <w:r w:rsidRPr="00175E61" w:rsidR="00175E61">
        <w:rPr>
          <w:color w:val="000000" w:themeColor="text1"/>
        </w:rPr>
        <w:t>49 U.S.C. 114(</w:t>
      </w:r>
      <w:r w:rsidRPr="00175E61" w:rsidR="00175E61">
        <w:rPr>
          <w:i/>
          <w:color w:val="000000" w:themeColor="text1"/>
        </w:rPr>
        <w:t>l</w:t>
      </w:r>
      <w:r w:rsidRPr="00175E61" w:rsidR="00175E61">
        <w:rPr>
          <w:color w:val="000000" w:themeColor="text1"/>
        </w:rPr>
        <w:t xml:space="preserve">)(2). </w:t>
      </w:r>
      <w:r w:rsidR="00175E61">
        <w:rPr>
          <w:color w:val="000000" w:themeColor="text1"/>
        </w:rPr>
        <w:t xml:space="preserve"> </w:t>
      </w:r>
      <w:r w:rsidRPr="0053598F">
        <w:rPr>
          <w:color w:val="000000" w:themeColor="text1"/>
        </w:rPr>
        <w:t>To protect against the ongoing cybersecurity threat, TSA is prepar</w:t>
      </w:r>
      <w:r w:rsidR="0023198F">
        <w:rPr>
          <w:color w:val="000000" w:themeColor="text1"/>
        </w:rPr>
        <w:t xml:space="preserve">ed to use its authority to issue additional requirements through an SD, such as mandating </w:t>
      </w:r>
      <w:r w:rsidRPr="0053598F">
        <w:rPr>
          <w:color w:val="000000" w:themeColor="text1"/>
        </w:rPr>
        <w:t>that TSA-specified Owners/Operators of gas and liquid pipelines implement an array of cybersecurity measures to prevent disruption and degradation to their infrastructure.</w:t>
      </w:r>
      <w:r w:rsidR="005C425E">
        <w:rPr>
          <w:color w:val="000000" w:themeColor="text1"/>
        </w:rPr>
        <w:t xml:space="preserve">  </w:t>
      </w:r>
      <w:r w:rsidRPr="00175E61" w:rsidR="00175E61">
        <w:rPr>
          <w:color w:val="000000" w:themeColor="text1"/>
        </w:rPr>
        <w:t>TSA is seeking emergency approval to revise the collection due to the need to impose additional emergency requirements on Pip</w:t>
      </w:r>
      <w:r w:rsidR="00175E61">
        <w:rPr>
          <w:color w:val="000000" w:themeColor="text1"/>
        </w:rPr>
        <w:t>eline Owner/Operators through this</w:t>
      </w:r>
      <w:r w:rsidRPr="00175E61" w:rsidR="00175E61">
        <w:rPr>
          <w:color w:val="000000" w:themeColor="text1"/>
        </w:rPr>
        <w:t xml:space="preserve"> SD</w:t>
      </w:r>
      <w:r w:rsidR="00175E61">
        <w:rPr>
          <w:color w:val="000000" w:themeColor="text1"/>
        </w:rPr>
        <w:t>.</w:t>
      </w:r>
      <w:r w:rsidR="005C425E">
        <w:rPr>
          <w:color w:val="000000" w:themeColor="text1"/>
        </w:rPr>
        <w:t xml:space="preserve">  </w:t>
      </w:r>
    </w:p>
    <w:p w:rsidRPr="0053598F" w:rsidR="00C9717E" w:rsidP="00C9717E" w:rsidRDefault="00C9717E" w14:paraId="2117BAC2" w14:textId="77777777">
      <w:pPr>
        <w:ind w:left="360"/>
        <w:rPr>
          <w:color w:val="000000" w:themeColor="text1"/>
        </w:rPr>
      </w:pPr>
    </w:p>
    <w:p w:rsidRPr="00275594" w:rsidR="001952E1" w:rsidP="003040E6" w:rsidRDefault="001952E1" w14:paraId="7B840486" w14:textId="1210CF11">
      <w:pPr>
        <w:pStyle w:val="ListParagraph"/>
        <w:ind w:left="1440"/>
        <w:rPr>
          <w:color w:val="000000" w:themeColor="text1"/>
        </w:rPr>
      </w:pPr>
    </w:p>
    <w:p w:rsidR="009F2633" w:rsidP="00BB78AB" w:rsidRDefault="009F2633" w14:paraId="562051A5" w14:textId="77777777">
      <w:pPr>
        <w:pStyle w:val="IndexHeading"/>
        <w:keepNext w:val="0"/>
        <w:tabs>
          <w:tab w:val="left" w:pos="360"/>
        </w:tabs>
        <w:spacing w:line="240" w:lineRule="auto"/>
        <w:rPr>
          <w:rFonts w:ascii="Times New Roman" w:hAnsi="Times New Roman"/>
          <w:spacing w:val="0"/>
        </w:rPr>
      </w:pPr>
    </w:p>
    <w:p w:rsidR="009F2633" w:rsidP="009F2633" w:rsidRDefault="009F2633" w14:paraId="30E91397" w14:textId="77777777">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9F2633" w:rsidP="00BB78AB" w:rsidRDefault="009F2633" w14:paraId="78A149DD" w14:textId="77777777">
      <w:pPr>
        <w:keepNext/>
        <w:numPr>
          <w:ilvl w:val="12"/>
          <w:numId w:val="0"/>
        </w:numPr>
        <w:ind w:left="360"/>
      </w:pPr>
    </w:p>
    <w:p w:rsidR="009F2633" w:rsidP="00BB78AB" w:rsidRDefault="00E16CAD" w14:paraId="5E9BA476" w14:textId="77777777">
      <w:pPr>
        <w:numPr>
          <w:ilvl w:val="12"/>
          <w:numId w:val="0"/>
        </w:numPr>
        <w:ind w:left="360"/>
      </w:pPr>
      <w:r>
        <w:t>As required by 6 U.S.C.</w:t>
      </w:r>
      <w:r w:rsidR="003D0397">
        <w:t xml:space="preserve"> </w:t>
      </w:r>
      <w:r>
        <w:t xml:space="preserve">1207, </w:t>
      </w:r>
      <w:r w:rsidR="00F81CF8">
        <w:t xml:space="preserve">TSA </w:t>
      </w:r>
      <w:r w:rsidR="00A372CE">
        <w:t xml:space="preserve">has </w:t>
      </w:r>
      <w:r w:rsidR="00F81CF8">
        <w:t>use</w:t>
      </w:r>
      <w:r w:rsidR="00A372CE">
        <w:t>d</w:t>
      </w:r>
      <w:r w:rsidR="00F81CF8">
        <w:t xml:space="preserve"> the i</w:t>
      </w:r>
      <w:r w:rsidR="00272AE2">
        <w:t xml:space="preserve">nformation collected during the PCSR process to </w:t>
      </w:r>
      <w:r w:rsidR="00F81CF8">
        <w:t>determine</w:t>
      </w:r>
      <w:r w:rsidR="00272AE2">
        <w:t xml:space="preserve"> </w:t>
      </w:r>
      <w:r w:rsidR="00F81CF8">
        <w:t>baseline</w:t>
      </w:r>
      <w:r w:rsidR="00272AE2">
        <w:t xml:space="preserve"> security standards and </w:t>
      </w:r>
      <w:r w:rsidR="00F81CF8">
        <w:t>areas of security weakness</w:t>
      </w:r>
      <w:r w:rsidR="00272AE2">
        <w:t xml:space="preserve"> in the pipeline mode.</w:t>
      </w:r>
      <w:r>
        <w:t xml:space="preserve"> </w:t>
      </w:r>
      <w:r w:rsidR="003C687B">
        <w:t xml:space="preserve"> </w:t>
      </w:r>
      <w:r>
        <w:t>This data and interaction with stakeholders</w:t>
      </w:r>
      <w:r w:rsidR="00A372CE">
        <w:t xml:space="preserve"> </w:t>
      </w:r>
      <w:r>
        <w:t>inform</w:t>
      </w:r>
      <w:r w:rsidR="003D0397">
        <w:t>s</w:t>
      </w:r>
      <w:r>
        <w:t xml:space="preserve"> </w:t>
      </w:r>
      <w:r w:rsidR="00A372CE">
        <w:t>the agency’s Pipeline Security Guidelines and Pipeline Security Best Practice Observation documents</w:t>
      </w:r>
      <w:r w:rsidR="008D4700">
        <w:t>.</w:t>
      </w:r>
      <w:r w:rsidR="00272AE2">
        <w:t xml:space="preserve"> </w:t>
      </w:r>
    </w:p>
    <w:p w:rsidR="001952E1" w:rsidP="00BB78AB" w:rsidRDefault="001952E1" w14:paraId="14012267" w14:textId="77777777">
      <w:pPr>
        <w:numPr>
          <w:ilvl w:val="12"/>
          <w:numId w:val="0"/>
        </w:numPr>
        <w:ind w:left="360"/>
      </w:pPr>
    </w:p>
    <w:p w:rsidRPr="0053598F" w:rsidR="007B1FB4" w:rsidP="007B1FB4" w:rsidRDefault="00175E61" w14:paraId="24444BD1" w14:textId="6868BDBE">
      <w:pPr>
        <w:ind w:left="360"/>
        <w:rPr>
          <w:color w:val="000000" w:themeColor="text1"/>
        </w:rPr>
      </w:pPr>
      <w:r>
        <w:t xml:space="preserve">Regarding the emergency request, </w:t>
      </w:r>
      <w:r>
        <w:rPr>
          <w:color w:val="000000" w:themeColor="text1"/>
        </w:rPr>
        <w:t>t</w:t>
      </w:r>
      <w:r w:rsidR="007B1FB4">
        <w:rPr>
          <w:color w:val="000000" w:themeColor="text1"/>
        </w:rPr>
        <w:t xml:space="preserve">o ensure compliance with TSA’s requirements, the SD </w:t>
      </w:r>
      <w:r w:rsidR="00252DB9">
        <w:rPr>
          <w:color w:val="000000" w:themeColor="text1"/>
        </w:rPr>
        <w:t xml:space="preserve">will </w:t>
      </w:r>
      <w:r w:rsidR="007B1FB4">
        <w:rPr>
          <w:color w:val="000000" w:themeColor="text1"/>
        </w:rPr>
        <w:t xml:space="preserve">also necessitate collection of information.  This additional collection requires TSA </w:t>
      </w:r>
      <w:r w:rsidRPr="0053598F" w:rsidR="007B1FB4">
        <w:rPr>
          <w:color w:val="000000" w:themeColor="text1"/>
        </w:rPr>
        <w:t xml:space="preserve">to amend this currently approved OMB control number 1652-0056, Pipeline Corporate Security Review (PCSR), for which TSA is seeking emergency approval.  </w:t>
      </w:r>
    </w:p>
    <w:p w:rsidR="0023198F" w:rsidP="009D38E9" w:rsidRDefault="0023198F" w14:paraId="32DD2DD1" w14:textId="62AD1981">
      <w:pPr>
        <w:pStyle w:val="ListParagraph"/>
        <w:ind w:left="360"/>
        <w:rPr>
          <w:color w:val="000000" w:themeColor="text1"/>
        </w:rPr>
      </w:pPr>
    </w:p>
    <w:p w:rsidR="007B1FB4" w:rsidP="007B1FB4" w:rsidRDefault="007B1FB4" w14:paraId="096433D3" w14:textId="3198B14E">
      <w:pPr>
        <w:ind w:left="360"/>
        <w:rPr>
          <w:color w:val="000000" w:themeColor="text1"/>
        </w:rPr>
      </w:pPr>
      <w:r>
        <w:rPr>
          <w:color w:val="000000" w:themeColor="text1"/>
        </w:rPr>
        <w:t xml:space="preserve">Through a security directive, TSA </w:t>
      </w:r>
      <w:r w:rsidR="005423BC">
        <w:rPr>
          <w:color w:val="000000" w:themeColor="text1"/>
        </w:rPr>
        <w:t>will</w:t>
      </w:r>
      <w:r>
        <w:rPr>
          <w:color w:val="000000" w:themeColor="text1"/>
        </w:rPr>
        <w:t xml:space="preserve"> require Owner/Operators to implement the following </w:t>
      </w:r>
      <w:r w:rsidR="0033067F">
        <w:rPr>
          <w:color w:val="000000" w:themeColor="text1"/>
        </w:rPr>
        <w:t>collections of information</w:t>
      </w:r>
      <w:r>
        <w:rPr>
          <w:color w:val="000000" w:themeColor="text1"/>
        </w:rPr>
        <w:t xml:space="preserve">:  </w:t>
      </w:r>
    </w:p>
    <w:p w:rsidR="0033067F" w:rsidP="007B1FB4" w:rsidRDefault="0033067F" w14:paraId="6ECE7930" w14:textId="7819AED9">
      <w:pPr>
        <w:ind w:left="360"/>
        <w:rPr>
          <w:color w:val="000000" w:themeColor="text1"/>
        </w:rPr>
      </w:pPr>
    </w:p>
    <w:p w:rsidRPr="003040E6" w:rsidR="0033067F" w:rsidP="0033067F" w:rsidRDefault="0033067F" w14:paraId="64D9E56F" w14:textId="77777777">
      <w:pPr>
        <w:ind w:left="360"/>
        <w:rPr>
          <w:color w:val="000000" w:themeColor="text1"/>
          <w:u w:val="single"/>
        </w:rPr>
      </w:pPr>
      <w:r w:rsidRPr="003040E6">
        <w:rPr>
          <w:color w:val="000000" w:themeColor="text1"/>
          <w:u w:val="single"/>
        </w:rPr>
        <w:t>Cybersecurity Contingency/Response Plan</w:t>
      </w:r>
    </w:p>
    <w:p w:rsidRPr="0033067F" w:rsidR="0033067F" w:rsidP="0033067F" w:rsidRDefault="0033067F" w14:paraId="1643AD77" w14:textId="77777777">
      <w:pPr>
        <w:ind w:left="360"/>
        <w:rPr>
          <w:color w:val="000000" w:themeColor="text1"/>
        </w:rPr>
      </w:pPr>
    </w:p>
    <w:p w:rsidRPr="0033067F" w:rsidR="0033067F" w:rsidP="0033067F" w:rsidRDefault="0033067F" w14:paraId="3D62756A" w14:textId="77777777">
      <w:pPr>
        <w:ind w:left="360"/>
        <w:rPr>
          <w:color w:val="000000" w:themeColor="text1"/>
        </w:rPr>
      </w:pPr>
      <w:r w:rsidRPr="0033067F">
        <w:rPr>
          <w:color w:val="000000" w:themeColor="text1"/>
        </w:rPr>
        <w:t>Owner/Operators will be required to develop and adopt a Cybersecurity Contingency/Response Plan to ensure the resiliency of their operations in the event of a cybersecurity attack.  Owners/operators must provide evidence of compliance to TSA upon request.</w:t>
      </w:r>
    </w:p>
    <w:p w:rsidRPr="0033067F" w:rsidR="0033067F" w:rsidP="0033067F" w:rsidRDefault="0033067F" w14:paraId="053F2C6B" w14:textId="77777777">
      <w:pPr>
        <w:ind w:left="360"/>
        <w:rPr>
          <w:color w:val="000000" w:themeColor="text1"/>
        </w:rPr>
      </w:pPr>
    </w:p>
    <w:p w:rsidRPr="003040E6" w:rsidR="0033067F" w:rsidP="0033067F" w:rsidRDefault="0033067F" w14:paraId="6397AE3B" w14:textId="6B5F09D9">
      <w:pPr>
        <w:ind w:left="360"/>
        <w:rPr>
          <w:color w:val="000000" w:themeColor="text1"/>
          <w:u w:val="single"/>
        </w:rPr>
      </w:pPr>
      <w:r w:rsidRPr="003040E6">
        <w:rPr>
          <w:color w:val="000000" w:themeColor="text1"/>
          <w:u w:val="single"/>
        </w:rPr>
        <w:t>Third-Party Evaluation</w:t>
      </w:r>
    </w:p>
    <w:p w:rsidRPr="0033067F" w:rsidR="0033067F" w:rsidP="0033067F" w:rsidRDefault="0033067F" w14:paraId="4D03F176" w14:textId="77777777">
      <w:pPr>
        <w:ind w:left="360"/>
        <w:rPr>
          <w:color w:val="000000" w:themeColor="text1"/>
        </w:rPr>
      </w:pPr>
    </w:p>
    <w:p w:rsidRPr="0033067F" w:rsidR="0033067F" w:rsidP="0033067F" w:rsidRDefault="0033067F" w14:paraId="2B532884" w14:textId="77777777">
      <w:pPr>
        <w:ind w:left="360"/>
        <w:rPr>
          <w:color w:val="000000" w:themeColor="text1"/>
        </w:rPr>
      </w:pPr>
      <w:r w:rsidRPr="0033067F">
        <w:rPr>
          <w:color w:val="000000" w:themeColor="text1"/>
        </w:rPr>
        <w:t>Owner/Operators are required to have a third-party complete an evaluation of their industrial control system design and architecture to identify previously unrecognized vulnerabilities.  This evaluation must include a written report detailing the results of the evaluation and the acceptance or rejection of any recommendations provided by the evaluator to address vulnerabilities. This written report must be made available to TSA upon request and retained for no less than 2 years from the date of completion.</w:t>
      </w:r>
    </w:p>
    <w:p w:rsidRPr="0033067F" w:rsidR="0033067F" w:rsidP="0033067F" w:rsidRDefault="0033067F" w14:paraId="304611F7" w14:textId="77777777">
      <w:pPr>
        <w:ind w:left="360"/>
        <w:rPr>
          <w:color w:val="000000" w:themeColor="text1"/>
        </w:rPr>
      </w:pPr>
    </w:p>
    <w:p w:rsidRPr="003040E6" w:rsidR="0033067F" w:rsidP="0033067F" w:rsidRDefault="0033067F" w14:paraId="0B2C0B8C" w14:textId="77777777">
      <w:pPr>
        <w:ind w:left="360"/>
        <w:rPr>
          <w:color w:val="000000" w:themeColor="text1"/>
          <w:u w:val="single"/>
        </w:rPr>
      </w:pPr>
      <w:r w:rsidRPr="003040E6">
        <w:rPr>
          <w:color w:val="000000" w:themeColor="text1"/>
          <w:u w:val="single"/>
        </w:rPr>
        <w:t>Certification of completion of SD requirements</w:t>
      </w:r>
    </w:p>
    <w:p w:rsidRPr="0033067F" w:rsidR="0033067F" w:rsidP="0033067F" w:rsidRDefault="0033067F" w14:paraId="33C3B308" w14:textId="77777777">
      <w:pPr>
        <w:ind w:left="360"/>
        <w:rPr>
          <w:color w:val="000000" w:themeColor="text1"/>
        </w:rPr>
      </w:pPr>
    </w:p>
    <w:p w:rsidRPr="0053598F" w:rsidR="0033067F" w:rsidP="0033067F" w:rsidRDefault="0033067F" w14:paraId="0C55C0BB" w14:textId="2DFD8F81">
      <w:pPr>
        <w:ind w:left="360"/>
        <w:rPr>
          <w:color w:val="000000" w:themeColor="text1"/>
        </w:rPr>
      </w:pPr>
      <w:r w:rsidRPr="0033067F">
        <w:rPr>
          <w:color w:val="000000" w:themeColor="text1"/>
        </w:rPr>
        <w:t xml:space="preserve">Within 7 days of the deadlines set forth in the SD, Owner/Operators must ensure that their Cybersecurity Coordinator or other accountable executive submits a statement to TSA via email certifying that the Owner/Operator has met the requirements of the SD.  </w:t>
      </w:r>
      <w:r w:rsidRPr="0033067F" w:rsidR="00E62ECB">
        <w:rPr>
          <w:color w:val="000000" w:themeColor="text1"/>
        </w:rPr>
        <w:t xml:space="preserve">TSA </w:t>
      </w:r>
      <w:r w:rsidR="00E62ECB">
        <w:rPr>
          <w:color w:val="000000" w:themeColor="text1"/>
        </w:rPr>
        <w:t>requires the certifications</w:t>
      </w:r>
      <w:r w:rsidRPr="0033067F" w:rsidR="00E62ECB">
        <w:rPr>
          <w:color w:val="000000" w:themeColor="text1"/>
        </w:rPr>
        <w:t xml:space="preserve"> be made in a timely way</w:t>
      </w:r>
      <w:r w:rsidRPr="0033067F">
        <w:rPr>
          <w:color w:val="000000" w:themeColor="text1"/>
        </w:rPr>
        <w:t>.  Documentation of compliance must be provided upon request.</w:t>
      </w:r>
    </w:p>
    <w:p w:rsidR="007B1FB4" w:rsidP="007B1FB4" w:rsidRDefault="007B1FB4" w14:paraId="6424D4DB" w14:textId="77777777">
      <w:pPr>
        <w:ind w:left="360"/>
        <w:rPr>
          <w:color w:val="000000" w:themeColor="text1"/>
        </w:rPr>
      </w:pPr>
    </w:p>
    <w:p w:rsidR="0033067F" w:rsidP="00275594" w:rsidRDefault="0033067F" w14:paraId="05463FC5" w14:textId="14F2401E"/>
    <w:p w:rsidRPr="00275594" w:rsidR="007B1FB4" w:rsidP="00275594" w:rsidRDefault="007B1FB4" w14:paraId="5452E1B1" w14:textId="77777777">
      <w:pPr>
        <w:pStyle w:val="ListParagraph"/>
        <w:ind w:left="1440"/>
        <w:rPr>
          <w:color w:val="000000" w:themeColor="text1"/>
        </w:rPr>
      </w:pPr>
    </w:p>
    <w:p w:rsidR="009F2633" w:rsidP="009F2633" w:rsidRDefault="009F2633" w14:paraId="2A9BF315" w14:textId="77777777">
      <w:pPr>
        <w:keepNext/>
        <w:numPr>
          <w:ilvl w:val="0"/>
          <w:numId w:val="11"/>
        </w:numPr>
        <w:tabs>
          <w:tab w:val="left" w:pos="360"/>
        </w:tabs>
        <w:rPr>
          <w:b/>
          <w:i/>
        </w:rPr>
      </w:pPr>
      <w:r>
        <w:rPr>
          <w:b/>
          <w:i/>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D71208">
        <w:rPr>
          <w:b/>
          <w:i/>
        </w:rPr>
        <w:t>.</w:t>
      </w:r>
    </w:p>
    <w:p w:rsidR="009F2633" w:rsidP="00BB78AB" w:rsidRDefault="009F2633" w14:paraId="3BC94113" w14:textId="77777777">
      <w:pPr>
        <w:keepNext/>
        <w:numPr>
          <w:ilvl w:val="12"/>
          <w:numId w:val="0"/>
        </w:numPr>
        <w:ind w:left="360"/>
      </w:pPr>
    </w:p>
    <w:p w:rsidR="009F2633" w:rsidP="00BB78AB" w:rsidRDefault="006128B5" w14:paraId="32D24494" w14:textId="77777777">
      <w:pPr>
        <w:numPr>
          <w:ilvl w:val="12"/>
          <w:numId w:val="0"/>
        </w:numPr>
        <w:ind w:left="360"/>
      </w:pPr>
      <w:r>
        <w:t xml:space="preserve">The collection </w:t>
      </w:r>
      <w:r w:rsidR="00436323">
        <w:t>is</w:t>
      </w:r>
      <w:r>
        <w:t xml:space="preserve"> </w:t>
      </w:r>
      <w:r w:rsidR="0043723F">
        <w:t xml:space="preserve">conducted </w:t>
      </w:r>
      <w:r>
        <w:t xml:space="preserve">by means of a site visit to a pipeline </w:t>
      </w:r>
      <w:r w:rsidR="002C3338">
        <w:t>owner/operator</w:t>
      </w:r>
      <w:r>
        <w:t xml:space="preserve">’s headquarters location. </w:t>
      </w:r>
      <w:r w:rsidR="008A39AF">
        <w:t xml:space="preserve"> </w:t>
      </w:r>
      <w:r>
        <w:t>During the site visit, TSA</w:t>
      </w:r>
      <w:r w:rsidR="0043723F">
        <w:t xml:space="preserve"> </w:t>
      </w:r>
      <w:r>
        <w:t>discuss</w:t>
      </w:r>
      <w:r w:rsidR="0011067F">
        <w:t>es</w:t>
      </w:r>
      <w:r>
        <w:t xml:space="preserve"> the </w:t>
      </w:r>
      <w:r w:rsidR="002C3338">
        <w:t>owner/operator</w:t>
      </w:r>
      <w:r>
        <w:t xml:space="preserve">’s security planning, and all information </w:t>
      </w:r>
      <w:r w:rsidR="00EB2EAC">
        <w:t xml:space="preserve">captured during the visit </w:t>
      </w:r>
      <w:r w:rsidR="00436323">
        <w:t>is</w:t>
      </w:r>
      <w:r>
        <w:t xml:space="preserve"> </w:t>
      </w:r>
      <w:r w:rsidR="00EB2EAC">
        <w:t xml:space="preserve">later </w:t>
      </w:r>
      <w:r>
        <w:t xml:space="preserve">recorded </w:t>
      </w:r>
      <w:r w:rsidR="00EB2EAC">
        <w:t xml:space="preserve">electronically </w:t>
      </w:r>
      <w:r w:rsidR="008A39AF">
        <w:t xml:space="preserve">by TSA </w:t>
      </w:r>
      <w:r w:rsidR="006E4B33">
        <w:t>onto the</w:t>
      </w:r>
      <w:r w:rsidR="00FC7800">
        <w:t xml:space="preserve"> </w:t>
      </w:r>
      <w:r w:rsidRPr="003C687B" w:rsidR="00FC7800">
        <w:t>PCSR</w:t>
      </w:r>
      <w:r w:rsidRPr="003C687B">
        <w:t xml:space="preserve"> </w:t>
      </w:r>
      <w:r w:rsidRPr="003C687B" w:rsidR="003C687B">
        <w:t>Workbook</w:t>
      </w:r>
      <w:r>
        <w:t xml:space="preserve">. </w:t>
      </w:r>
      <w:r w:rsidR="00D71208">
        <w:t xml:space="preserve"> </w:t>
      </w:r>
      <w:r w:rsidR="00FC7800">
        <w:t xml:space="preserve">This </w:t>
      </w:r>
      <w:r>
        <w:t xml:space="preserve">collection </w:t>
      </w:r>
      <w:r w:rsidR="003C687B">
        <w:t>workbook</w:t>
      </w:r>
      <w:r>
        <w:t xml:space="preserve"> </w:t>
      </w:r>
      <w:r w:rsidR="0011067F">
        <w:t>is</w:t>
      </w:r>
      <w:r>
        <w:t xml:space="preserve"> </w:t>
      </w:r>
      <w:r w:rsidR="00EB2EAC">
        <w:t xml:space="preserve">secured and </w:t>
      </w:r>
      <w:r>
        <w:t xml:space="preserve">retained electronically </w:t>
      </w:r>
      <w:r w:rsidR="00C32597">
        <w:t xml:space="preserve">by TSA </w:t>
      </w:r>
      <w:r w:rsidR="00FC7800">
        <w:t>upon completion and used for analysis in determining industry baseline standards</w:t>
      </w:r>
      <w:r w:rsidR="00AE74A9">
        <w:t xml:space="preserve">. </w:t>
      </w:r>
      <w:r w:rsidR="003C687B">
        <w:t xml:space="preserve"> </w:t>
      </w:r>
      <w:r w:rsidR="00AE74A9">
        <w:t xml:space="preserve">The </w:t>
      </w:r>
      <w:r w:rsidR="000821F2">
        <w:t xml:space="preserve">intent of the </w:t>
      </w:r>
      <w:r w:rsidR="00AE74A9">
        <w:t xml:space="preserve">PCSR program is to verify that the </w:t>
      </w:r>
      <w:r w:rsidR="002C3338">
        <w:t>owner/operator</w:t>
      </w:r>
      <w:r w:rsidR="00AE74A9">
        <w:t xml:space="preserve"> is implementing its security program</w:t>
      </w:r>
      <w:r w:rsidR="00FC7800">
        <w:t xml:space="preserve"> through an onsite review of its security plan as well as</w:t>
      </w:r>
      <w:r w:rsidR="008D4700">
        <w:t xml:space="preserve"> to</w:t>
      </w:r>
      <w:r w:rsidR="00FC7800">
        <w:t xml:space="preserve"> provide</w:t>
      </w:r>
      <w:r w:rsidR="006E4B33">
        <w:t xml:space="preserve"> </w:t>
      </w:r>
      <w:r w:rsidR="00AE74A9">
        <w:t xml:space="preserve">a means for TSA to build stakeholder relations through a face-to-face </w:t>
      </w:r>
      <w:r w:rsidR="00FC7800">
        <w:t xml:space="preserve">discussion on </w:t>
      </w:r>
      <w:r w:rsidR="00AE74A9">
        <w:t xml:space="preserve">security </w:t>
      </w:r>
      <w:r w:rsidR="00FC7800">
        <w:t>planning</w:t>
      </w:r>
      <w:r w:rsidR="00AE74A9">
        <w:t xml:space="preserve">, a goal which </w:t>
      </w:r>
      <w:r w:rsidR="001F52F3">
        <w:t>is not readily</w:t>
      </w:r>
      <w:r w:rsidR="00AE74A9">
        <w:t xml:space="preserve"> achievable or practicable if an electronic reporting option were available</w:t>
      </w:r>
      <w:r w:rsidR="006E418A">
        <w:t xml:space="preserve"> to the </w:t>
      </w:r>
      <w:r w:rsidR="002C3338">
        <w:t>owner/operator</w:t>
      </w:r>
      <w:r w:rsidR="006E418A">
        <w:t xml:space="preserve"> as an alternative to the onsite visit</w:t>
      </w:r>
      <w:r w:rsidR="00AE74A9">
        <w:t xml:space="preserve">. </w:t>
      </w:r>
    </w:p>
    <w:p w:rsidR="00B44E2A" w:rsidP="00BB78AB" w:rsidRDefault="00B44E2A" w14:paraId="479DB0F7" w14:textId="77777777">
      <w:pPr>
        <w:numPr>
          <w:ilvl w:val="12"/>
          <w:numId w:val="0"/>
        </w:numPr>
        <w:ind w:left="360"/>
      </w:pPr>
    </w:p>
    <w:p w:rsidR="00B44E2A" w:rsidP="00BB78AB" w:rsidRDefault="00B44E2A" w14:paraId="079ACD59" w14:textId="032FCD0C">
      <w:pPr>
        <w:numPr>
          <w:ilvl w:val="12"/>
          <w:numId w:val="0"/>
        </w:numPr>
        <w:ind w:left="360"/>
      </w:pPr>
      <w:r>
        <w:t xml:space="preserve">Regarding the emergency request, </w:t>
      </w:r>
      <w:r w:rsidR="007B1FB4">
        <w:t xml:space="preserve">TSA’s security directives require collection of information to establish compliance with the security directives’ requirements.   For example, TSA </w:t>
      </w:r>
      <w:r w:rsidR="00387FE7">
        <w:t xml:space="preserve">will </w:t>
      </w:r>
      <w:r w:rsidR="007B1FB4">
        <w:t>require Owner/Operators to submit a statement that they have complied with requirements within the established deadline</w:t>
      </w:r>
      <w:r w:rsidR="00581EFB">
        <w:t>s</w:t>
      </w:r>
      <w:r w:rsidR="007B1FB4">
        <w:t>.  Such statements can be made by e-mail</w:t>
      </w:r>
      <w:r w:rsidR="00581EFB">
        <w:t xml:space="preserve">.  </w:t>
      </w:r>
      <w:r w:rsidR="00BB4FB4">
        <w:t xml:space="preserve">For convenience, </w:t>
      </w:r>
      <w:r w:rsidR="00581EFB">
        <w:t>TSA will also provide an optional form (</w:t>
      </w:r>
      <w:r w:rsidRPr="00E62ECB" w:rsidR="00581EFB">
        <w:t>TSA Security Directive Pipeline 2021-02 Statement of Completion</w:t>
      </w:r>
      <w:r w:rsidR="00581EFB">
        <w:t>) for each submission deadline that Owner/Operators can complete and submit via email.   This form is Sensitive Security Information and will only be shared with the Owner/Operators</w:t>
      </w:r>
      <w:r w:rsidR="00BB4FB4">
        <w:t xml:space="preserve"> and others with the need to know</w:t>
      </w:r>
      <w:r w:rsidR="00581EFB">
        <w:t>.</w:t>
      </w:r>
    </w:p>
    <w:p w:rsidR="009F2633" w:rsidP="0043723F" w:rsidRDefault="009F2633" w14:paraId="2A3E5ED8" w14:textId="77777777">
      <w:pPr>
        <w:numPr>
          <w:ilvl w:val="12"/>
          <w:numId w:val="0"/>
        </w:numPr>
        <w:ind w:left="360"/>
      </w:pPr>
    </w:p>
    <w:p w:rsidR="009F2633" w:rsidP="009F2633" w:rsidRDefault="009F2633" w14:paraId="35C95AC9" w14:textId="77777777">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9F2633" w:rsidP="00BB78AB" w:rsidRDefault="009F2633" w14:paraId="08ACB474" w14:textId="77777777">
      <w:pPr>
        <w:keepNext/>
        <w:numPr>
          <w:ilvl w:val="12"/>
          <w:numId w:val="0"/>
        </w:numPr>
        <w:ind w:left="360"/>
      </w:pPr>
    </w:p>
    <w:p w:rsidR="009F2633" w:rsidP="00BB78AB" w:rsidRDefault="00434495" w14:paraId="64937B0A" w14:textId="77777777">
      <w:pPr>
        <w:numPr>
          <w:ilvl w:val="12"/>
          <w:numId w:val="0"/>
        </w:numPr>
        <w:ind w:left="360"/>
      </w:pPr>
      <w:r w:rsidRPr="0023409D">
        <w:t xml:space="preserve">TSA works closely with its partners at </w:t>
      </w:r>
      <w:r>
        <w:t xml:space="preserve">the </w:t>
      </w:r>
      <w:r w:rsidR="006E418A">
        <w:t xml:space="preserve">U.S. Department of Transportation’s (DOT) </w:t>
      </w:r>
      <w:r w:rsidRPr="00856270">
        <w:t xml:space="preserve">Pipeline and Hazardous Materials </w:t>
      </w:r>
      <w:r w:rsidR="006E418A">
        <w:t xml:space="preserve">Safety </w:t>
      </w:r>
      <w:r w:rsidRPr="00856270">
        <w:t>Administration</w:t>
      </w:r>
      <w:r>
        <w:t xml:space="preserve"> (PHMSA) </w:t>
      </w:r>
      <w:r w:rsidRPr="0023409D">
        <w:t xml:space="preserve">to coordinate </w:t>
      </w:r>
      <w:r>
        <w:t xml:space="preserve">security </w:t>
      </w:r>
      <w:r w:rsidRPr="0023409D">
        <w:t>initiatives</w:t>
      </w:r>
      <w:r>
        <w:t xml:space="preserve">. </w:t>
      </w:r>
      <w:r w:rsidRPr="0023409D">
        <w:t xml:space="preserve"> </w:t>
      </w:r>
      <w:r>
        <w:t xml:space="preserve">Since 2006, the two agencies have operated under an annex to the </w:t>
      </w:r>
      <w:r w:rsidR="00856270">
        <w:t xml:space="preserve">memorandum of understanding </w:t>
      </w:r>
      <w:r w:rsidR="00482788">
        <w:t>(</w:t>
      </w:r>
      <w:r w:rsidR="00856270">
        <w:t>MOU</w:t>
      </w:r>
      <w:r w:rsidR="00482788">
        <w:t>)</w:t>
      </w:r>
      <w:r w:rsidR="00856270">
        <w:t xml:space="preserve"> </w:t>
      </w:r>
      <w:r>
        <w:t>between D</w:t>
      </w:r>
      <w:r w:rsidR="006E418A">
        <w:t>O</w:t>
      </w:r>
      <w:r>
        <w:t>T</w:t>
      </w:r>
      <w:r w:rsidR="006E418A">
        <w:t xml:space="preserve"> </w:t>
      </w:r>
      <w:r>
        <w:t xml:space="preserve">and </w:t>
      </w:r>
      <w:r w:rsidR="006E418A">
        <w:t xml:space="preserve">the </w:t>
      </w:r>
      <w:r>
        <w:t xml:space="preserve">Department of Homeland Security.  This annex specifically addresses the respective roles and responsibilities of TSA and PHMSA as well as coordination processes. </w:t>
      </w:r>
      <w:r w:rsidR="003C687B">
        <w:t xml:space="preserve"> </w:t>
      </w:r>
      <w:r w:rsidR="00E01CC5">
        <w:t xml:space="preserve">There is no other similar information collection currently </w:t>
      </w:r>
      <w:r w:rsidR="00482788">
        <w:t xml:space="preserve">in place at PHMSA </w:t>
      </w:r>
      <w:r w:rsidR="00E01CC5">
        <w:t xml:space="preserve">that specifically targets </w:t>
      </w:r>
      <w:r w:rsidR="00DC0B44">
        <w:t>corporate-level</w:t>
      </w:r>
      <w:r w:rsidR="00E01CC5">
        <w:t xml:space="preserve"> securit</w:t>
      </w:r>
      <w:r w:rsidR="00DC0B44">
        <w:t xml:space="preserve">y planning and </w:t>
      </w:r>
      <w:r w:rsidR="006E418A">
        <w:t xml:space="preserve">plan </w:t>
      </w:r>
      <w:r w:rsidR="00DC0B44">
        <w:t>implementation in</w:t>
      </w:r>
      <w:r w:rsidR="00E01CC5">
        <w:t xml:space="preserve"> the pipeline mode</w:t>
      </w:r>
      <w:r w:rsidR="00DC0B44">
        <w:t xml:space="preserve"> of transportation</w:t>
      </w:r>
      <w:r w:rsidR="00E01CC5">
        <w:t xml:space="preserve">. </w:t>
      </w:r>
    </w:p>
    <w:p w:rsidR="00B44E2A" w:rsidP="00BB78AB" w:rsidRDefault="00B44E2A" w14:paraId="08E4119E" w14:textId="77777777">
      <w:pPr>
        <w:numPr>
          <w:ilvl w:val="12"/>
          <w:numId w:val="0"/>
        </w:numPr>
        <w:ind w:left="360"/>
      </w:pPr>
    </w:p>
    <w:p w:rsidR="00B44E2A" w:rsidP="00BB78AB" w:rsidRDefault="00B44E2A" w14:paraId="30848BDA" w14:textId="12781875">
      <w:pPr>
        <w:numPr>
          <w:ilvl w:val="12"/>
          <w:numId w:val="0"/>
        </w:numPr>
        <w:ind w:left="360"/>
      </w:pPr>
      <w:r>
        <w:t xml:space="preserve">Regarding the emergency submission, </w:t>
      </w:r>
      <w:r w:rsidR="007B1FB4">
        <w:t xml:space="preserve">TSA developed the requirements in consultation with CISA and in coordination with PHMSA as well as the Department of Energy and other applicable </w:t>
      </w:r>
      <w:r w:rsidR="009D38E9">
        <w:t xml:space="preserve">agencies.  TSA has determined that no other agency </w:t>
      </w:r>
      <w:r>
        <w:t xml:space="preserve">requires </w:t>
      </w:r>
      <w:r w:rsidR="007B1FB4">
        <w:t xml:space="preserve">submission of </w:t>
      </w:r>
      <w:r w:rsidR="009D38E9">
        <w:t xml:space="preserve">the type of </w:t>
      </w:r>
      <w:r w:rsidR="007B1FB4">
        <w:t xml:space="preserve">information </w:t>
      </w:r>
      <w:r w:rsidR="009D38E9">
        <w:t xml:space="preserve">TSA may collected related to its security directives.  These include no other </w:t>
      </w:r>
      <w:r w:rsidR="00716DED">
        <w:t xml:space="preserve">cybersecurity measures, </w:t>
      </w:r>
      <w:r w:rsidRPr="00B44E2A">
        <w:t>Cybersecurity Contingency/Response Plan</w:t>
      </w:r>
      <w:r w:rsidR="007B1FB4">
        <w:t xml:space="preserve"> </w:t>
      </w:r>
      <w:r w:rsidR="00716DED">
        <w:t xml:space="preserve">or </w:t>
      </w:r>
      <w:r>
        <w:t>Third Party Evaluation and described certifications so no similar information is available to be used by DHS.</w:t>
      </w:r>
    </w:p>
    <w:p w:rsidR="009F2633" w:rsidP="00BB78AB" w:rsidRDefault="009F2633" w14:paraId="67F5FF89" w14:textId="77777777">
      <w:pPr>
        <w:numPr>
          <w:ilvl w:val="12"/>
          <w:numId w:val="0"/>
        </w:numPr>
      </w:pPr>
    </w:p>
    <w:p w:rsidR="009F2633" w:rsidP="009F2633" w:rsidRDefault="009F2633" w14:paraId="635926B3" w14:textId="77777777">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9F2633" w:rsidP="00BB78AB" w:rsidRDefault="009F2633" w14:paraId="6E2E8B7F" w14:textId="77777777">
      <w:pPr>
        <w:keepNext/>
        <w:numPr>
          <w:ilvl w:val="12"/>
          <w:numId w:val="0"/>
        </w:numPr>
        <w:ind w:left="360"/>
      </w:pPr>
    </w:p>
    <w:p w:rsidR="009F2633" w:rsidP="00BB78AB" w:rsidRDefault="00DD16FF" w14:paraId="0AAA8B9D" w14:textId="77777777">
      <w:pPr>
        <w:numPr>
          <w:ilvl w:val="12"/>
          <w:numId w:val="0"/>
        </w:numPr>
        <w:ind w:left="360"/>
      </w:pPr>
      <w:r>
        <w:t xml:space="preserve">This information collection should not have a significant impact on small businesses or </w:t>
      </w:r>
      <w:r w:rsidR="007D7A62">
        <w:t xml:space="preserve">other </w:t>
      </w:r>
      <w:r>
        <w:t>small entities.</w:t>
      </w:r>
      <w:r w:rsidR="00444FE0">
        <w:t xml:space="preserve"> </w:t>
      </w:r>
      <w:r w:rsidR="003C687B">
        <w:t xml:space="preserve"> </w:t>
      </w:r>
      <w:r w:rsidR="00FC7800">
        <w:t xml:space="preserve">While there are over </w:t>
      </w:r>
      <w:r w:rsidR="00B91ABB">
        <w:t>2</w:t>
      </w:r>
      <w:r w:rsidR="009F3085">
        <w:t>,</w:t>
      </w:r>
      <w:r w:rsidR="00B91ABB">
        <w:t xml:space="preserve">200 pipeline </w:t>
      </w:r>
      <w:r w:rsidR="002C3338">
        <w:t>owner/operator</w:t>
      </w:r>
      <w:r w:rsidR="00B91ABB">
        <w:t>s</w:t>
      </w:r>
      <w:r w:rsidR="00FC7800">
        <w:t xml:space="preserve"> in the U</w:t>
      </w:r>
      <w:r w:rsidR="00A9479A">
        <w:t xml:space="preserve">nited </w:t>
      </w:r>
      <w:r w:rsidR="00FC7800">
        <w:t>S</w:t>
      </w:r>
      <w:r w:rsidR="00A9479A">
        <w:t>tates</w:t>
      </w:r>
      <w:r w:rsidR="00FC7800">
        <w:t>, t</w:t>
      </w:r>
      <w:r w:rsidR="00166937">
        <w:t xml:space="preserve">he PCSR primarily focuses on the nation’s top 100 pipeline systems, as determined by energy throughput. </w:t>
      </w:r>
      <w:r w:rsidR="003C687B">
        <w:t xml:space="preserve"> </w:t>
      </w:r>
      <w:r w:rsidR="00FC7800">
        <w:t xml:space="preserve">These top 100 systems are operated by approximately </w:t>
      </w:r>
      <w:r w:rsidR="001209DF">
        <w:t>8</w:t>
      </w:r>
      <w:r w:rsidR="00FC7800">
        <w:t>5 companies, and account for 85</w:t>
      </w:r>
      <w:r w:rsidR="00A9479A">
        <w:t xml:space="preserve"> percent </w:t>
      </w:r>
      <w:r w:rsidR="00FC7800">
        <w:t>of all hazardous liquids and natural gas transported in the United States.</w:t>
      </w:r>
      <w:r w:rsidR="003C687B">
        <w:t xml:space="preserve"> </w:t>
      </w:r>
      <w:r w:rsidR="00FC7800">
        <w:t xml:space="preserve"> These companies are often large, corporate operations with business ventures across the world, and as such, employ hundreds if not thousands of employees</w:t>
      </w:r>
      <w:r w:rsidR="00F315AD">
        <w:t xml:space="preserve">. </w:t>
      </w:r>
      <w:r w:rsidR="006E418A">
        <w:t xml:space="preserve"> </w:t>
      </w:r>
      <w:r w:rsidR="00F315AD">
        <w:t>By focusing the PCSR on the top 100 pipeline systems in the U</w:t>
      </w:r>
      <w:r w:rsidR="00A9479A">
        <w:t xml:space="preserve">nited </w:t>
      </w:r>
      <w:r w:rsidR="00F315AD">
        <w:t>S</w:t>
      </w:r>
      <w:r w:rsidR="00A9479A">
        <w:t>tates</w:t>
      </w:r>
      <w:r w:rsidR="00F315AD">
        <w:t>, TSA is aligning its mission and resources with DHS’s risk-based security approach.</w:t>
      </w:r>
      <w:r w:rsidR="008B2609">
        <w:t xml:space="preserve">  </w:t>
      </w:r>
      <w:r w:rsidR="00166937">
        <w:t>It is possible that TSA will visit pipeline systems outside the top 100, but only as circumstances dictate (e.g.</w:t>
      </w:r>
      <w:r w:rsidR="006E418A">
        <w:t>,</w:t>
      </w:r>
      <w:r w:rsidR="00166937">
        <w:t xml:space="preserve"> intell</w:t>
      </w:r>
      <w:r w:rsidR="008D4700">
        <w:t>igence</w:t>
      </w:r>
      <w:r w:rsidR="00166937">
        <w:t xml:space="preserve"> </w:t>
      </w:r>
      <w:r w:rsidR="006E418A">
        <w:t xml:space="preserve">information indicates </w:t>
      </w:r>
      <w:r w:rsidR="00166937">
        <w:t>a smaller system is the target of a credible threat</w:t>
      </w:r>
      <w:r w:rsidR="00D14EDC">
        <w:t>, or</w:t>
      </w:r>
      <w:r w:rsidR="008D4700">
        <w:t xml:space="preserve"> smaller</w:t>
      </w:r>
      <w:r w:rsidR="00D14EDC">
        <w:t xml:space="preserve"> systems</w:t>
      </w:r>
      <w:r w:rsidR="008D4700">
        <w:t xml:space="preserve"> are</w:t>
      </w:r>
      <w:r w:rsidR="00D14EDC">
        <w:t xml:space="preserve"> of critical importance to national defense</w:t>
      </w:r>
      <w:r w:rsidR="00166937">
        <w:t xml:space="preserve">). </w:t>
      </w:r>
      <w:r w:rsidR="003C687B">
        <w:t xml:space="preserve"> </w:t>
      </w:r>
      <w:r w:rsidR="00B91ABB">
        <w:t xml:space="preserve">Given that the PCSR program only visits a maximum of </w:t>
      </w:r>
      <w:r w:rsidR="003C687B">
        <w:t>20</w:t>
      </w:r>
      <w:r w:rsidR="006E4B33">
        <w:t xml:space="preserve"> out</w:t>
      </w:r>
      <w:r w:rsidR="00B91ABB">
        <w:t xml:space="preserve"> of 2</w:t>
      </w:r>
      <w:r w:rsidR="009F3085">
        <w:t>,</w:t>
      </w:r>
      <w:r w:rsidR="00B91ABB">
        <w:t xml:space="preserve">200 </w:t>
      </w:r>
      <w:r w:rsidR="002C3338">
        <w:t>owner/operator</w:t>
      </w:r>
      <w:r w:rsidR="00B91ABB">
        <w:t xml:space="preserve">s a year, and the </w:t>
      </w:r>
      <w:r w:rsidR="002C3338">
        <w:t>owner/operator</w:t>
      </w:r>
      <w:r w:rsidR="00B91ABB">
        <w:t>s visited often represent the largest pipeline companies in the U</w:t>
      </w:r>
      <w:r w:rsidR="00A9479A">
        <w:t xml:space="preserve">nited </w:t>
      </w:r>
      <w:r w:rsidR="00B91ABB">
        <w:t>S</w:t>
      </w:r>
      <w:r w:rsidR="00A9479A">
        <w:t>tates</w:t>
      </w:r>
      <w:r w:rsidR="00B91ABB">
        <w:t xml:space="preserve">, </w:t>
      </w:r>
      <w:r w:rsidR="00FC7800">
        <w:t>there should be no s</w:t>
      </w:r>
      <w:r w:rsidR="00C225DC">
        <w:t>ignificant impact</w:t>
      </w:r>
      <w:r w:rsidR="00FC7800">
        <w:t xml:space="preserve"> on a s</w:t>
      </w:r>
      <w:r w:rsidR="00C225DC">
        <w:t>ubstantial</w:t>
      </w:r>
      <w:r w:rsidR="00FC7800">
        <w:t xml:space="preserve"> number of small pipeline </w:t>
      </w:r>
      <w:r w:rsidR="002C3338">
        <w:t>owner/operator</w:t>
      </w:r>
      <w:r w:rsidR="00FC7800">
        <w:t xml:space="preserve">s in any given year of the program. </w:t>
      </w:r>
    </w:p>
    <w:p w:rsidR="00B44E2A" w:rsidP="00BB78AB" w:rsidRDefault="00B44E2A" w14:paraId="4BBABEE8" w14:textId="77777777">
      <w:pPr>
        <w:numPr>
          <w:ilvl w:val="12"/>
          <w:numId w:val="0"/>
        </w:numPr>
        <w:ind w:left="360"/>
      </w:pPr>
    </w:p>
    <w:p w:rsidR="00B44E2A" w:rsidP="00BB78AB" w:rsidRDefault="00B44E2A" w14:paraId="563A9EF3" w14:textId="7EB869B2">
      <w:pPr>
        <w:numPr>
          <w:ilvl w:val="12"/>
          <w:numId w:val="0"/>
        </w:numPr>
        <w:ind w:left="360"/>
      </w:pPr>
      <w:r>
        <w:t xml:space="preserve">Regarding the emergency submission, </w:t>
      </w:r>
      <w:r w:rsidR="009D38E9">
        <w:t>t</w:t>
      </w:r>
      <w:r w:rsidR="00716DED">
        <w:t xml:space="preserve">he </w:t>
      </w:r>
      <w:r w:rsidR="00C35766">
        <w:t>SD applies to TSA identified critical pipeline owner/operators – none of which is a small business.</w:t>
      </w:r>
    </w:p>
    <w:p w:rsidR="009F2633" w:rsidP="00BB78AB" w:rsidRDefault="009F2633" w14:paraId="2A30C1C2" w14:textId="77777777">
      <w:pPr>
        <w:numPr>
          <w:ilvl w:val="12"/>
          <w:numId w:val="0"/>
        </w:numPr>
      </w:pPr>
    </w:p>
    <w:p w:rsidR="009F2633" w:rsidP="009F2633" w:rsidRDefault="009F2633" w14:paraId="2B860A37" w14:textId="77777777">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9F2633" w:rsidP="00BB78AB" w:rsidRDefault="009F2633" w14:paraId="5042B88C" w14:textId="77777777">
      <w:pPr>
        <w:keepNext/>
        <w:numPr>
          <w:ilvl w:val="12"/>
          <w:numId w:val="0"/>
        </w:numPr>
        <w:ind w:left="360"/>
      </w:pPr>
    </w:p>
    <w:p w:rsidR="009F2633" w:rsidP="00BB78AB" w:rsidRDefault="006E160F" w14:paraId="2AAEA129" w14:textId="77777777">
      <w:pPr>
        <w:numPr>
          <w:ilvl w:val="12"/>
          <w:numId w:val="0"/>
        </w:numPr>
        <w:ind w:left="360"/>
      </w:pPr>
      <w:r>
        <w:t>If t</w:t>
      </w:r>
      <w:r w:rsidR="00A0594F">
        <w:t>he PCSR collection</w:t>
      </w:r>
      <w:r>
        <w:t xml:space="preserve"> </w:t>
      </w:r>
      <w:r w:rsidR="00B91ABB">
        <w:t xml:space="preserve">were to be </w:t>
      </w:r>
      <w:r w:rsidR="00166937">
        <w:t>discontinued, this w</w:t>
      </w:r>
      <w:r w:rsidR="002616CD">
        <w:t>ould</w:t>
      </w:r>
      <w:r w:rsidR="00A0594F">
        <w:t xml:space="preserve"> impede</w:t>
      </w:r>
      <w:r w:rsidR="007D7A62">
        <w:t xml:space="preserve"> </w:t>
      </w:r>
      <w:r w:rsidR="00A0594F">
        <w:t>TSA’s</w:t>
      </w:r>
      <w:r w:rsidR="007D7A62">
        <w:t xml:space="preserve"> ability to </w:t>
      </w:r>
      <w:r w:rsidR="00B91ABB">
        <w:t xml:space="preserve">remain current on </w:t>
      </w:r>
      <w:r w:rsidR="007D7A62">
        <w:t>minimum</w:t>
      </w:r>
      <w:r w:rsidR="00A0594F">
        <w:t xml:space="preserve"> </w:t>
      </w:r>
      <w:r w:rsidR="007D7A62">
        <w:t>security standards</w:t>
      </w:r>
      <w:r w:rsidR="00B91ABB">
        <w:t xml:space="preserve"> being </w:t>
      </w:r>
      <w:r w:rsidR="001F7D0E">
        <w:t xml:space="preserve">voluntarily </w:t>
      </w:r>
      <w:r w:rsidR="00B91ABB">
        <w:t xml:space="preserve">employed in the industry, as well as diminish </w:t>
      </w:r>
      <w:r w:rsidR="006E4B33">
        <w:t>its</w:t>
      </w:r>
      <w:r w:rsidR="00B91ABB">
        <w:t xml:space="preserve"> ability </w:t>
      </w:r>
      <w:r w:rsidR="006E4B33">
        <w:t>to identify</w:t>
      </w:r>
      <w:r w:rsidR="007D7A62">
        <w:t xml:space="preserve"> </w:t>
      </w:r>
      <w:r w:rsidR="00B91ABB">
        <w:t>areas of security weakness</w:t>
      </w:r>
      <w:r w:rsidR="007D7A62">
        <w:t xml:space="preserve">, </w:t>
      </w:r>
      <w:r w:rsidR="00A0594F">
        <w:t xml:space="preserve">two </w:t>
      </w:r>
      <w:r w:rsidR="00323088">
        <w:t>activities</w:t>
      </w:r>
      <w:r w:rsidR="007D7A62">
        <w:t xml:space="preserve"> that are critical to </w:t>
      </w:r>
      <w:r w:rsidR="00A0594F">
        <w:t>the agency</w:t>
      </w:r>
      <w:r w:rsidR="003D0397">
        <w:t xml:space="preserve"> in</w:t>
      </w:r>
      <w:r w:rsidR="00A0594F">
        <w:t xml:space="preserve"> </w:t>
      </w:r>
      <w:r w:rsidR="007D7A62">
        <w:t xml:space="preserve">carrying out its transportation security mission. </w:t>
      </w:r>
      <w:r w:rsidR="003C687B">
        <w:t xml:space="preserve"> </w:t>
      </w:r>
      <w:r w:rsidR="007D7A62">
        <w:t xml:space="preserve">Without means of </w:t>
      </w:r>
      <w:r w:rsidR="00B91ABB">
        <w:t xml:space="preserve">collecting </w:t>
      </w:r>
      <w:r w:rsidR="00A0594F">
        <w:t xml:space="preserve">this information, </w:t>
      </w:r>
      <w:r w:rsidR="007D7A62">
        <w:t>TSA w</w:t>
      </w:r>
      <w:r w:rsidR="006A74B5">
        <w:t>ould</w:t>
      </w:r>
      <w:r w:rsidR="007D7A62">
        <w:t xml:space="preserve"> be unable to confidently identify security gaps and weakness in the </w:t>
      </w:r>
      <w:r w:rsidR="00CB4887">
        <w:t xml:space="preserve">pipeline </w:t>
      </w:r>
      <w:r w:rsidR="007D7A62">
        <w:t>mode and</w:t>
      </w:r>
      <w:r w:rsidR="00B5796A">
        <w:t>,</w:t>
      </w:r>
      <w:r w:rsidR="007D7A62">
        <w:t xml:space="preserve"> </w:t>
      </w:r>
      <w:r w:rsidR="00B91ABB">
        <w:t>consequently</w:t>
      </w:r>
      <w:r w:rsidR="007D7A62">
        <w:t>, w</w:t>
      </w:r>
      <w:r w:rsidR="006A74B5">
        <w:t>ould</w:t>
      </w:r>
      <w:r w:rsidR="007D7A62">
        <w:t xml:space="preserve"> not be able to effectively identify areas to develop programs to better </w:t>
      </w:r>
      <w:r w:rsidR="00323088">
        <w:t>strengthen</w:t>
      </w:r>
      <w:r w:rsidR="007D7A62">
        <w:t xml:space="preserve"> </w:t>
      </w:r>
      <w:r w:rsidR="00CC37D5">
        <w:t xml:space="preserve">modal </w:t>
      </w:r>
      <w:r w:rsidR="00323088">
        <w:t>security</w:t>
      </w:r>
      <w:r w:rsidR="007D7A62">
        <w:t xml:space="preserve">. </w:t>
      </w:r>
    </w:p>
    <w:p w:rsidR="00B44E2A" w:rsidP="00BB78AB" w:rsidRDefault="00B44E2A" w14:paraId="0869749E" w14:textId="77777777">
      <w:pPr>
        <w:numPr>
          <w:ilvl w:val="12"/>
          <w:numId w:val="0"/>
        </w:numPr>
        <w:ind w:left="360"/>
      </w:pPr>
    </w:p>
    <w:p w:rsidR="00B44E2A" w:rsidP="00BB78AB" w:rsidRDefault="00B44E2A" w14:paraId="50AB9941" w14:textId="77777777">
      <w:pPr>
        <w:numPr>
          <w:ilvl w:val="12"/>
          <w:numId w:val="0"/>
        </w:numPr>
        <w:ind w:left="360"/>
      </w:pPr>
      <w:r>
        <w:t xml:space="preserve">Without emergency approval, DHS will be unable to address the critical threat to the nation’s pipeline systems.  </w:t>
      </w:r>
      <w:r w:rsidRPr="00B44E2A">
        <w:t>The use of normal PRA clearance procedures is reasonably likely to result in public harm such that TSA and CISA would be hindered in their ability to address immediate threats to pipeline systems if the SD were not issued in the near future.</w:t>
      </w:r>
    </w:p>
    <w:p w:rsidR="009F2633" w:rsidP="00BB78AB" w:rsidRDefault="009F2633" w14:paraId="622333DE" w14:textId="77777777">
      <w:pPr>
        <w:numPr>
          <w:ilvl w:val="12"/>
          <w:numId w:val="0"/>
        </w:numPr>
      </w:pPr>
    </w:p>
    <w:p w:rsidR="009F2633" w:rsidP="009F2633" w:rsidRDefault="009F2633" w14:paraId="7B89C302" w14:textId="77777777">
      <w:pPr>
        <w:keepNext/>
        <w:numPr>
          <w:ilvl w:val="0"/>
          <w:numId w:val="11"/>
        </w:numPr>
        <w:tabs>
          <w:tab w:val="left" w:pos="360"/>
        </w:tabs>
        <w:rPr>
          <w:b/>
          <w:i/>
        </w:rPr>
      </w:pPr>
      <w:r>
        <w:rPr>
          <w:b/>
          <w:i/>
        </w:rPr>
        <w:lastRenderedPageBreak/>
        <w:t>Explain any special circumstances that require the collection to be conducted in a manner inconsistent with the general information collection guidelines in 5 CFR 1320.5(d</w:t>
      </w:r>
      <w:r w:rsidR="00323088">
        <w:rPr>
          <w:b/>
          <w:i/>
        </w:rPr>
        <w:t>)(</w:t>
      </w:r>
      <w:r>
        <w:rPr>
          <w:b/>
          <w:i/>
        </w:rPr>
        <w:t>2).</w:t>
      </w:r>
    </w:p>
    <w:p w:rsidR="009F2633" w:rsidP="00BB78AB" w:rsidRDefault="009F2633" w14:paraId="6F0B0B20" w14:textId="77777777">
      <w:pPr>
        <w:keepNext/>
        <w:numPr>
          <w:ilvl w:val="12"/>
          <w:numId w:val="0"/>
        </w:numPr>
        <w:ind w:left="360"/>
      </w:pPr>
    </w:p>
    <w:p w:rsidR="009F2633" w:rsidP="00BB78AB" w:rsidRDefault="00954644" w14:paraId="15B6BDF1" w14:textId="77777777">
      <w:pPr>
        <w:numPr>
          <w:ilvl w:val="12"/>
          <w:numId w:val="0"/>
        </w:numPr>
        <w:ind w:left="360"/>
      </w:pPr>
      <w:r>
        <w:t>There are no special circumstances that would require the collection to be conducted in</w:t>
      </w:r>
      <w:r w:rsidR="001F52F3">
        <w:t xml:space="preserve"> </w:t>
      </w:r>
      <w:r>
        <w:t xml:space="preserve">a manner inconsistent with </w:t>
      </w:r>
      <w:r w:rsidR="00B91ABB">
        <w:t xml:space="preserve">the </w:t>
      </w:r>
      <w:r>
        <w:t>general information collection guidelines</w:t>
      </w:r>
      <w:r w:rsidR="00B91ABB">
        <w:t xml:space="preserve"> in </w:t>
      </w:r>
      <w:r w:rsidRPr="006055FD" w:rsidR="00B91ABB">
        <w:t>5 CFR 1320.5(d) (2)</w:t>
      </w:r>
      <w:r w:rsidRPr="002D3CB8">
        <w:t>.</w:t>
      </w:r>
      <w:r>
        <w:t xml:space="preserve"> </w:t>
      </w:r>
    </w:p>
    <w:p w:rsidR="009F2633" w:rsidP="00BB78AB" w:rsidRDefault="009F2633" w14:paraId="1EA18F02" w14:textId="77777777">
      <w:pPr>
        <w:numPr>
          <w:ilvl w:val="12"/>
          <w:numId w:val="0"/>
        </w:numPr>
      </w:pPr>
    </w:p>
    <w:p w:rsidR="009F2633" w:rsidP="009F2633" w:rsidRDefault="009F2633" w14:paraId="36F80C01" w14:textId="77777777">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F2633" w:rsidP="00BB78AB" w:rsidRDefault="009F2633" w14:paraId="64F158C1" w14:textId="77777777">
      <w:pPr>
        <w:keepNext/>
        <w:numPr>
          <w:ilvl w:val="12"/>
          <w:numId w:val="0"/>
        </w:numPr>
        <w:ind w:left="360"/>
      </w:pPr>
    </w:p>
    <w:p w:rsidRPr="00386CEC" w:rsidR="00B44E2A" w:rsidP="00B44E2A" w:rsidRDefault="00B44E2A" w14:paraId="19E6CE84" w14:textId="77777777">
      <w:pPr>
        <w:numPr>
          <w:ilvl w:val="12"/>
          <w:numId w:val="0"/>
        </w:numPr>
        <w:ind w:left="360"/>
      </w:pPr>
      <w:r w:rsidRPr="001D63F9">
        <w:t xml:space="preserve">TSA is currently seeking an Emergency Approval of this collection.  </w:t>
      </w:r>
      <w:r>
        <w:t xml:space="preserve">In light of the ongoing cybersecurity threat, TSA is seeking a waiver to the requirement in 5 CFR 1320.13(d) to publish a Federal Register notice announcing TSA is seeking emergency processing of this ICR.  </w:t>
      </w:r>
      <w:r w:rsidRPr="001D63F9">
        <w:t xml:space="preserve">Upon approval of the Emergency Request, TSA will seek public comment on the collection following the normal clearance process providing a 60 and 30 Day </w:t>
      </w:r>
      <w:r w:rsidRPr="001D63F9" w:rsidR="00A26549">
        <w:t>commenting period</w:t>
      </w:r>
      <w:r w:rsidRPr="001D63F9">
        <w:t>.</w:t>
      </w:r>
    </w:p>
    <w:p w:rsidR="009F2633" w:rsidP="00BB78AB" w:rsidRDefault="009F2633" w14:paraId="36123F4A" w14:textId="77777777">
      <w:pPr>
        <w:pStyle w:val="IndexHeading"/>
        <w:keepNext w:val="0"/>
        <w:numPr>
          <w:ilvl w:val="12"/>
          <w:numId w:val="0"/>
        </w:numPr>
        <w:spacing w:line="240" w:lineRule="auto"/>
        <w:rPr>
          <w:rFonts w:ascii="Times New Roman" w:hAnsi="Times New Roman"/>
          <w:spacing w:val="0"/>
        </w:rPr>
      </w:pPr>
    </w:p>
    <w:p w:rsidR="009F2633" w:rsidP="009F2633" w:rsidRDefault="009F2633" w14:paraId="7512CE2D" w14:textId="77777777">
      <w:pPr>
        <w:keepNext/>
        <w:numPr>
          <w:ilvl w:val="0"/>
          <w:numId w:val="11"/>
        </w:numPr>
        <w:tabs>
          <w:tab w:val="left" w:pos="360"/>
        </w:tabs>
        <w:rPr>
          <w:b/>
          <w:i/>
        </w:rPr>
      </w:pPr>
      <w:r>
        <w:rPr>
          <w:b/>
          <w:i/>
        </w:rPr>
        <w:t>Explain any decision to provide any payment or gift to respondents, other than remuneration of contractors or grantees.</w:t>
      </w:r>
    </w:p>
    <w:p w:rsidR="009F2633" w:rsidP="00BB78AB" w:rsidRDefault="009F2633" w14:paraId="6D7C7B72" w14:textId="77777777">
      <w:pPr>
        <w:keepNext/>
        <w:numPr>
          <w:ilvl w:val="12"/>
          <w:numId w:val="0"/>
        </w:numPr>
        <w:ind w:left="360"/>
      </w:pPr>
    </w:p>
    <w:p w:rsidR="009F2633" w:rsidP="00BB78AB" w:rsidRDefault="00B5796A" w14:paraId="5B98C238" w14:textId="77777777">
      <w:pPr>
        <w:numPr>
          <w:ilvl w:val="12"/>
          <w:numId w:val="0"/>
        </w:numPr>
        <w:ind w:left="360"/>
      </w:pPr>
      <w:r>
        <w:t>No payment or</w:t>
      </w:r>
      <w:r w:rsidR="00745010">
        <w:t xml:space="preserve"> gift will be provided to respondents. </w:t>
      </w:r>
    </w:p>
    <w:p w:rsidR="009F2633" w:rsidP="00BB78AB" w:rsidRDefault="009F2633" w14:paraId="0E5FB749" w14:textId="77777777">
      <w:pPr>
        <w:numPr>
          <w:ilvl w:val="12"/>
          <w:numId w:val="0"/>
        </w:numPr>
      </w:pPr>
    </w:p>
    <w:p w:rsidR="009F2633" w:rsidP="00166937" w:rsidRDefault="009F2633" w14:paraId="0907364D" w14:textId="77777777">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9F2633" w:rsidP="00166937" w:rsidRDefault="009F2633" w14:paraId="74BAE616" w14:textId="77777777">
      <w:pPr>
        <w:keepNext/>
        <w:numPr>
          <w:ilvl w:val="12"/>
          <w:numId w:val="0"/>
        </w:numPr>
        <w:ind w:left="360"/>
      </w:pPr>
    </w:p>
    <w:p w:rsidR="009F2633" w:rsidP="00767318" w:rsidRDefault="008D76FB" w14:paraId="4119CA16" w14:textId="717AADA7">
      <w:pPr>
        <w:numPr>
          <w:ilvl w:val="12"/>
          <w:numId w:val="0"/>
        </w:numPr>
        <w:ind w:left="360"/>
      </w:pPr>
      <w:r>
        <w:t xml:space="preserve">No assurances of confidentiality were provided to respondents; </w:t>
      </w:r>
      <w:r w:rsidRPr="00B44E2A" w:rsidR="00B44E2A">
        <w:tab/>
      </w:r>
      <w:r w:rsidR="00B44E2A">
        <w:t>however, t</w:t>
      </w:r>
      <w:r w:rsidRPr="00B44E2A" w:rsidR="00B44E2A">
        <w:t xml:space="preserve">o the extent permissible under the law, DHS will seek to protect the trade secrets and commercial and financial information of the pipeline owner/operators. </w:t>
      </w:r>
      <w:r w:rsidR="00487744">
        <w:t xml:space="preserve"> </w:t>
      </w:r>
      <w:r w:rsidR="00B44E2A">
        <w:t>Also</w:t>
      </w:r>
      <w:r>
        <w:t>, t</w:t>
      </w:r>
      <w:r w:rsidR="00E70FAA">
        <w:t>o the extent information</w:t>
      </w:r>
      <w:r w:rsidR="00745010">
        <w:t xml:space="preserve"> collect</w:t>
      </w:r>
      <w:r w:rsidR="00E70FAA">
        <w:t>ed</w:t>
      </w:r>
      <w:r w:rsidR="00745010">
        <w:t xml:space="preserve"> is deemed Sensitive Security Information </w:t>
      </w:r>
      <w:r w:rsidR="00B5796A">
        <w:t>(SSI)</w:t>
      </w:r>
      <w:r w:rsidR="00E70FAA">
        <w:t>,</w:t>
      </w:r>
      <w:r w:rsidR="00745010">
        <w:t xml:space="preserve"> </w:t>
      </w:r>
      <w:r w:rsidR="00E70FAA">
        <w:t xml:space="preserve">TSA </w:t>
      </w:r>
      <w:r w:rsidR="00B232BB">
        <w:t>will handle</w:t>
      </w:r>
      <w:r w:rsidR="00745010">
        <w:t xml:space="preserve"> as </w:t>
      </w:r>
      <w:r w:rsidR="006E160F">
        <w:t xml:space="preserve">required by </w:t>
      </w:r>
      <w:r w:rsidR="00745010">
        <w:t xml:space="preserve">49 CFR </w:t>
      </w:r>
      <w:r w:rsidR="00A9479A">
        <w:t>p</w:t>
      </w:r>
      <w:r w:rsidR="00745010">
        <w:t>arts 15 and 1520.</w:t>
      </w:r>
      <w:r w:rsidR="00767318">
        <w:t xml:space="preserve">  In addition, Privacy Impact Assessment (PIA) coverage is provided under the DHS/ALL/PIA-006 General Contact Lists PIA.  (</w:t>
      </w:r>
      <w:r w:rsidRPr="00767318" w:rsidR="00767318">
        <w:t>June 15, 2007</w:t>
      </w:r>
      <w:r w:rsidR="00767318">
        <w:t xml:space="preserve">).  </w:t>
      </w:r>
    </w:p>
    <w:p w:rsidR="009F2633" w:rsidP="00BB78AB" w:rsidRDefault="009F2633" w14:paraId="156A7DA5" w14:textId="77777777">
      <w:pPr>
        <w:numPr>
          <w:ilvl w:val="12"/>
          <w:numId w:val="0"/>
        </w:numPr>
      </w:pPr>
    </w:p>
    <w:p w:rsidR="009F2633" w:rsidP="009F2633" w:rsidRDefault="009F2633" w14:paraId="3162D9A4" w14:textId="77777777">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9F2633" w:rsidP="001F0623" w:rsidRDefault="009F2633" w14:paraId="384432FC" w14:textId="77777777">
      <w:pPr>
        <w:keepNext/>
        <w:numPr>
          <w:ilvl w:val="12"/>
          <w:numId w:val="0"/>
        </w:numPr>
        <w:ind w:left="360"/>
      </w:pPr>
    </w:p>
    <w:p w:rsidR="009F2633" w:rsidP="00BB78AB" w:rsidRDefault="00745010" w14:paraId="2B64AF30" w14:textId="77777777">
      <w:pPr>
        <w:numPr>
          <w:ilvl w:val="12"/>
          <w:numId w:val="0"/>
        </w:numPr>
        <w:ind w:left="360"/>
      </w:pPr>
      <w:r>
        <w:t xml:space="preserve">No personal questions of a sensitive nature will be posed during the information collection. </w:t>
      </w:r>
    </w:p>
    <w:p w:rsidR="009F2633" w:rsidP="00BB78AB" w:rsidRDefault="009F2633" w14:paraId="50A17C69" w14:textId="77777777">
      <w:pPr>
        <w:numPr>
          <w:ilvl w:val="12"/>
          <w:numId w:val="0"/>
        </w:numPr>
      </w:pPr>
    </w:p>
    <w:p w:rsidR="009F2633" w:rsidP="004A62EB" w:rsidRDefault="009F2633" w14:paraId="5E2E95EB" w14:textId="77777777">
      <w:pPr>
        <w:keepNext/>
        <w:numPr>
          <w:ilvl w:val="0"/>
          <w:numId w:val="11"/>
        </w:numPr>
        <w:tabs>
          <w:tab w:val="left" w:pos="360"/>
        </w:tabs>
        <w:rPr>
          <w:b/>
          <w:i/>
        </w:rPr>
      </w:pPr>
      <w:r>
        <w:rPr>
          <w:b/>
          <w:i/>
        </w:rPr>
        <w:lastRenderedPageBreak/>
        <w:t xml:space="preserve">Provide estimates of hour </w:t>
      </w:r>
      <w:r w:rsidR="009B38B8">
        <w:rPr>
          <w:b/>
          <w:i/>
        </w:rPr>
        <w:t xml:space="preserve">and cost </w:t>
      </w:r>
      <w:r>
        <w:rPr>
          <w:b/>
          <w:i/>
        </w:rPr>
        <w:t>burden of the collection of information.</w:t>
      </w:r>
    </w:p>
    <w:p w:rsidR="009F2633" w:rsidP="00BB78AB" w:rsidRDefault="009F2633" w14:paraId="3C3A470A" w14:textId="77777777">
      <w:pPr>
        <w:keepNext/>
        <w:numPr>
          <w:ilvl w:val="12"/>
          <w:numId w:val="0"/>
        </w:numPr>
        <w:ind w:left="360"/>
      </w:pPr>
    </w:p>
    <w:p w:rsidR="00D7323B" w:rsidP="00D7323B" w:rsidRDefault="00D7323B" w14:paraId="22C42F57" w14:textId="77777777">
      <w:pPr>
        <w:numPr>
          <w:ilvl w:val="12"/>
          <w:numId w:val="0"/>
        </w:numPr>
        <w:ind w:left="360"/>
        <w:rPr>
          <w:rFonts w:eastAsia="Calibri" w:cs="Times New Roman"/>
          <w:color w:val="auto"/>
          <w:szCs w:val="24"/>
        </w:rPr>
      </w:pPr>
      <w:r w:rsidRPr="00DF7882">
        <w:rPr>
          <w:rFonts w:eastAsia="Calibri" w:cs="Times New Roman"/>
          <w:color w:val="auto"/>
          <w:szCs w:val="24"/>
        </w:rPr>
        <w:t xml:space="preserve">TSA </w:t>
      </w:r>
      <w:r>
        <w:rPr>
          <w:rFonts w:eastAsia="Calibri" w:cs="Times New Roman"/>
          <w:color w:val="auto"/>
          <w:szCs w:val="24"/>
        </w:rPr>
        <w:t>anticipates</w:t>
      </w:r>
      <w:r w:rsidRPr="00DF7882">
        <w:rPr>
          <w:rFonts w:eastAsia="Calibri" w:cs="Times New Roman"/>
          <w:color w:val="auto"/>
          <w:szCs w:val="24"/>
        </w:rPr>
        <w:t xml:space="preserve"> complet</w:t>
      </w:r>
      <w:r>
        <w:rPr>
          <w:rFonts w:eastAsia="Calibri" w:cs="Times New Roman"/>
          <w:color w:val="auto"/>
          <w:szCs w:val="24"/>
        </w:rPr>
        <w:t>ing</w:t>
      </w:r>
      <w:r w:rsidRPr="00DF7882">
        <w:rPr>
          <w:rFonts w:eastAsia="Calibri" w:cs="Times New Roman"/>
          <w:color w:val="auto"/>
          <w:szCs w:val="24"/>
        </w:rPr>
        <w:t xml:space="preserve"> </w:t>
      </w:r>
      <w:r w:rsidR="003C687B">
        <w:rPr>
          <w:rFonts w:eastAsia="Calibri" w:cs="Times New Roman"/>
          <w:color w:val="auto"/>
          <w:szCs w:val="24"/>
        </w:rPr>
        <w:t>20</w:t>
      </w:r>
      <w:r w:rsidRPr="00DF7882">
        <w:rPr>
          <w:rFonts w:eastAsia="Calibri" w:cs="Times New Roman"/>
          <w:color w:val="auto"/>
          <w:szCs w:val="24"/>
        </w:rPr>
        <w:t xml:space="preserve"> PCSRs </w:t>
      </w:r>
      <w:r>
        <w:rPr>
          <w:rFonts w:eastAsia="Calibri" w:cs="Times New Roman"/>
          <w:color w:val="auto"/>
          <w:szCs w:val="24"/>
        </w:rPr>
        <w:t>annually</w:t>
      </w:r>
      <w:r w:rsidRPr="00DF7882">
        <w:rPr>
          <w:rFonts w:eastAsia="Calibri" w:cs="Times New Roman"/>
          <w:color w:val="auto"/>
          <w:szCs w:val="24"/>
        </w:rPr>
        <w:t>.</w:t>
      </w:r>
      <w:r w:rsidR="003C687B">
        <w:rPr>
          <w:rFonts w:eastAsia="Calibri" w:cs="Times New Roman"/>
          <w:color w:val="auto"/>
          <w:szCs w:val="24"/>
        </w:rPr>
        <w:t xml:space="preserve"> </w:t>
      </w:r>
      <w:r w:rsidRPr="00DF7882">
        <w:rPr>
          <w:rFonts w:eastAsia="Calibri" w:cs="Times New Roman"/>
          <w:color w:val="auto"/>
          <w:szCs w:val="24"/>
        </w:rPr>
        <w:t xml:space="preserve"> </w:t>
      </w:r>
      <w:r>
        <w:rPr>
          <w:rFonts w:eastAsia="Calibri" w:cs="Times New Roman"/>
          <w:color w:val="auto"/>
          <w:szCs w:val="24"/>
        </w:rPr>
        <w:t>Each PCSR places an 8-hour burden o</w:t>
      </w:r>
      <w:r w:rsidR="00DB598F">
        <w:rPr>
          <w:rFonts w:eastAsia="Calibri" w:cs="Times New Roman"/>
          <w:color w:val="auto"/>
          <w:szCs w:val="24"/>
        </w:rPr>
        <w:t>n</w:t>
      </w:r>
      <w:r>
        <w:rPr>
          <w:rFonts w:eastAsia="Calibri" w:cs="Times New Roman"/>
          <w:color w:val="auto"/>
          <w:szCs w:val="24"/>
        </w:rPr>
        <w:t xml:space="preserve"> a respondent, </w:t>
      </w:r>
      <w:r w:rsidR="007710F5">
        <w:rPr>
          <w:rFonts w:eastAsia="Calibri" w:cs="Times New Roman"/>
          <w:color w:val="auto"/>
          <w:szCs w:val="24"/>
        </w:rPr>
        <w:t xml:space="preserve">and an additional 1-3 hours </w:t>
      </w:r>
      <w:r>
        <w:rPr>
          <w:rFonts w:eastAsia="Calibri" w:cs="Times New Roman"/>
          <w:color w:val="auto"/>
          <w:szCs w:val="24"/>
        </w:rPr>
        <w:t xml:space="preserve">to follow-up on results of each PCSR, for an annual hour burden of </w:t>
      </w:r>
      <w:r w:rsidR="00AF6C6F">
        <w:rPr>
          <w:rFonts w:eastAsia="Calibri" w:cs="Times New Roman"/>
          <w:color w:val="auto"/>
          <w:szCs w:val="24"/>
        </w:rPr>
        <w:t>9</w:t>
      </w:r>
      <w:r w:rsidR="003C687B">
        <w:rPr>
          <w:rFonts w:eastAsia="Calibri" w:cs="Times New Roman"/>
          <w:color w:val="auto"/>
          <w:szCs w:val="24"/>
        </w:rPr>
        <w:t>-</w:t>
      </w:r>
      <w:r w:rsidR="00AF6C6F">
        <w:rPr>
          <w:rFonts w:eastAsia="Calibri" w:cs="Times New Roman"/>
          <w:color w:val="auto"/>
          <w:szCs w:val="24"/>
        </w:rPr>
        <w:t>11</w:t>
      </w:r>
      <w:r>
        <w:rPr>
          <w:rFonts w:eastAsia="Calibri" w:cs="Times New Roman"/>
          <w:color w:val="auto"/>
          <w:szCs w:val="24"/>
        </w:rPr>
        <w:t xml:space="preserve"> hours; the annual hour burden for the entire collection </w:t>
      </w:r>
      <w:r w:rsidR="007710F5">
        <w:rPr>
          <w:rFonts w:eastAsia="Calibri" w:cs="Times New Roman"/>
          <w:color w:val="auto"/>
          <w:szCs w:val="24"/>
        </w:rPr>
        <w:t xml:space="preserve">of </w:t>
      </w:r>
      <w:r w:rsidR="003C687B">
        <w:rPr>
          <w:rFonts w:eastAsia="Calibri" w:cs="Times New Roman"/>
          <w:color w:val="auto"/>
          <w:szCs w:val="24"/>
        </w:rPr>
        <w:t>180-220</w:t>
      </w:r>
      <w:r>
        <w:rPr>
          <w:rFonts w:eastAsia="Calibri" w:cs="Times New Roman"/>
          <w:color w:val="auto"/>
          <w:szCs w:val="24"/>
        </w:rPr>
        <w:t xml:space="preserve"> hours. </w:t>
      </w:r>
      <w:r w:rsidR="003C687B">
        <w:rPr>
          <w:rFonts w:eastAsia="Calibri" w:cs="Times New Roman"/>
          <w:color w:val="auto"/>
          <w:szCs w:val="24"/>
        </w:rPr>
        <w:t xml:space="preserve"> </w:t>
      </w:r>
      <w:r>
        <w:rPr>
          <w:rFonts w:eastAsia="Calibri" w:cs="Times New Roman"/>
          <w:color w:val="auto"/>
          <w:szCs w:val="24"/>
        </w:rPr>
        <w:t>TSA uses a fully-loaded wage rate</w:t>
      </w:r>
      <w:r>
        <w:rPr>
          <w:rStyle w:val="FootnoteReference"/>
          <w:rFonts w:eastAsia="Calibri" w:cs="Times New Roman"/>
          <w:color w:val="auto"/>
          <w:szCs w:val="24"/>
        </w:rPr>
        <w:footnoteReference w:id="2"/>
      </w:r>
      <w:r>
        <w:rPr>
          <w:rFonts w:eastAsia="Calibri" w:cs="Times New Roman"/>
          <w:color w:val="auto"/>
          <w:szCs w:val="24"/>
        </w:rPr>
        <w:t xml:space="preserve"> of $91.90 for a Corporate Security Manager.</w:t>
      </w:r>
      <w:r>
        <w:rPr>
          <w:rStyle w:val="FootnoteReference"/>
          <w:rFonts w:eastAsia="Calibri" w:cs="Times New Roman"/>
          <w:color w:val="auto"/>
          <w:szCs w:val="24"/>
        </w:rPr>
        <w:footnoteReference w:id="3"/>
      </w:r>
      <w:r>
        <w:rPr>
          <w:rFonts w:eastAsia="Calibri" w:cs="Times New Roman"/>
          <w:color w:val="auto"/>
          <w:szCs w:val="24"/>
        </w:rPr>
        <w:t xml:space="preserve"> </w:t>
      </w:r>
      <w:r w:rsidR="003C687B">
        <w:rPr>
          <w:rFonts w:eastAsia="Calibri" w:cs="Times New Roman"/>
          <w:color w:val="auto"/>
          <w:szCs w:val="24"/>
        </w:rPr>
        <w:t xml:space="preserve"> </w:t>
      </w:r>
      <w:r>
        <w:rPr>
          <w:rFonts w:eastAsia="Calibri" w:cs="Times New Roman"/>
          <w:color w:val="auto"/>
          <w:szCs w:val="24"/>
        </w:rPr>
        <w:t>TSA estimates an annual hour burden cost to the public of $1</w:t>
      </w:r>
      <w:r w:rsidR="0051265A">
        <w:rPr>
          <w:rFonts w:eastAsia="Calibri" w:cs="Times New Roman"/>
          <w:color w:val="auto"/>
          <w:szCs w:val="24"/>
        </w:rPr>
        <w:t>6</w:t>
      </w:r>
      <w:r>
        <w:rPr>
          <w:rFonts w:eastAsia="Calibri" w:cs="Times New Roman"/>
          <w:color w:val="auto"/>
          <w:szCs w:val="24"/>
        </w:rPr>
        <w:t>,</w:t>
      </w:r>
      <w:r w:rsidR="0051265A">
        <w:rPr>
          <w:rFonts w:eastAsia="Calibri" w:cs="Times New Roman"/>
          <w:color w:val="auto"/>
          <w:szCs w:val="24"/>
        </w:rPr>
        <w:t>542 - $20,218</w:t>
      </w:r>
      <w:r>
        <w:rPr>
          <w:rFonts w:eastAsia="Calibri" w:cs="Times New Roman"/>
          <w:color w:val="auto"/>
          <w:szCs w:val="24"/>
        </w:rPr>
        <w:t xml:space="preserve">. </w:t>
      </w:r>
      <w:r w:rsidR="0051265A">
        <w:rPr>
          <w:rFonts w:eastAsia="Calibri" w:cs="Times New Roman"/>
          <w:color w:val="auto"/>
          <w:szCs w:val="24"/>
        </w:rPr>
        <w:t xml:space="preserve"> </w:t>
      </w:r>
      <w:r>
        <w:rPr>
          <w:rFonts w:eastAsia="Calibri" w:cs="Times New Roman"/>
          <w:color w:val="auto"/>
          <w:szCs w:val="24"/>
        </w:rPr>
        <w:t>Table 1 summarizes these results.</w:t>
      </w:r>
    </w:p>
    <w:p w:rsidR="00D7323B" w:rsidP="00D7323B" w:rsidRDefault="00D7323B" w14:paraId="5A74E75D" w14:textId="77777777">
      <w:pPr>
        <w:numPr>
          <w:ilvl w:val="12"/>
          <w:numId w:val="0"/>
        </w:numPr>
        <w:ind w:left="360"/>
        <w:rPr>
          <w:rFonts w:eastAsia="Calibri" w:cs="Times New Roman"/>
          <w:color w:val="auto"/>
          <w:szCs w:val="24"/>
        </w:rPr>
      </w:pPr>
    </w:p>
    <w:tbl>
      <w:tblPr>
        <w:tblW w:w="5000" w:type="pct"/>
        <w:tblLook w:val="04A0" w:firstRow="1" w:lastRow="0" w:firstColumn="1" w:lastColumn="0" w:noHBand="0" w:noVBand="1"/>
      </w:tblPr>
      <w:tblGrid>
        <w:gridCol w:w="1843"/>
        <w:gridCol w:w="1853"/>
        <w:gridCol w:w="1835"/>
        <w:gridCol w:w="1853"/>
        <w:gridCol w:w="1976"/>
      </w:tblGrid>
      <w:tr w:rsidRPr="00CB06E1" w:rsidR="00A9479A" w:rsidTr="00A9479A" w14:paraId="1CE75A55" w14:textId="77777777">
        <w:trPr>
          <w:trHeight w:val="315"/>
        </w:trPr>
        <w:tc>
          <w:tcPr>
            <w:tcW w:w="5000" w:type="pct"/>
            <w:gridSpan w:val="5"/>
            <w:tcBorders>
              <w:top w:val="nil"/>
              <w:left w:val="nil"/>
              <w:bottom w:val="nil"/>
            </w:tcBorders>
            <w:shd w:val="clear" w:color="auto" w:fill="auto"/>
            <w:noWrap/>
            <w:vAlign w:val="bottom"/>
            <w:hideMark/>
          </w:tcPr>
          <w:p w:rsidRPr="0036751E" w:rsidR="00A9479A" w:rsidP="00B44E2A" w:rsidRDefault="00A9479A" w14:paraId="51DCC110" w14:textId="77777777">
            <w:pPr>
              <w:rPr>
                <w:rFonts w:cs="Times New Roman"/>
                <w:color w:val="auto"/>
                <w:szCs w:val="24"/>
              </w:rPr>
            </w:pPr>
            <w:r w:rsidRPr="0036751E">
              <w:rPr>
                <w:rFonts w:cs="Times New Roman"/>
                <w:b/>
                <w:bCs/>
                <w:szCs w:val="24"/>
              </w:rPr>
              <w:t xml:space="preserve">Table 1. </w:t>
            </w:r>
            <w:r>
              <w:rPr>
                <w:rFonts w:cs="Times New Roman"/>
                <w:b/>
                <w:bCs/>
                <w:szCs w:val="24"/>
              </w:rPr>
              <w:t xml:space="preserve"> </w:t>
            </w:r>
            <w:r w:rsidRPr="0036751E">
              <w:rPr>
                <w:rFonts w:cs="Times New Roman"/>
                <w:b/>
                <w:bCs/>
                <w:szCs w:val="24"/>
              </w:rPr>
              <w:t>Public PCSR Hour Burden and Costs</w:t>
            </w:r>
          </w:p>
        </w:tc>
      </w:tr>
      <w:tr w:rsidRPr="00CB06E1" w:rsidR="00D7323B" w:rsidTr="001A7605" w14:paraId="4F90DFEA" w14:textId="77777777">
        <w:trPr>
          <w:trHeight w:val="600"/>
        </w:trPr>
        <w:tc>
          <w:tcPr>
            <w:tcW w:w="985" w:type="pct"/>
            <w:vMerge w:val="restart"/>
            <w:tcBorders>
              <w:top w:val="single" w:color="auto" w:sz="8" w:space="0"/>
              <w:left w:val="single" w:color="auto" w:sz="8" w:space="0"/>
              <w:bottom w:val="single" w:color="000000" w:sz="8" w:space="0"/>
              <w:right w:val="single" w:color="auto" w:sz="4" w:space="0"/>
            </w:tcBorders>
            <w:shd w:val="clear" w:color="auto" w:fill="auto"/>
            <w:vAlign w:val="bottom"/>
            <w:hideMark/>
          </w:tcPr>
          <w:p w:rsidRPr="0036751E" w:rsidR="00D7323B" w:rsidP="00B44E2A" w:rsidRDefault="00D7323B" w14:paraId="72812859" w14:textId="77777777">
            <w:pPr>
              <w:jc w:val="center"/>
              <w:rPr>
                <w:rFonts w:cs="Times New Roman"/>
                <w:b/>
                <w:bCs/>
                <w:szCs w:val="24"/>
              </w:rPr>
            </w:pPr>
            <w:r w:rsidRPr="0036751E">
              <w:rPr>
                <w:rFonts w:cs="Times New Roman"/>
                <w:b/>
                <w:bCs/>
                <w:szCs w:val="24"/>
              </w:rPr>
              <w:t>Activity</w:t>
            </w:r>
          </w:p>
        </w:tc>
        <w:tc>
          <w:tcPr>
            <w:tcW w:w="990" w:type="pct"/>
            <w:tcBorders>
              <w:top w:val="single" w:color="auto" w:sz="8" w:space="0"/>
              <w:left w:val="nil"/>
              <w:bottom w:val="single" w:color="auto" w:sz="4" w:space="0"/>
              <w:right w:val="single" w:color="auto" w:sz="4" w:space="0"/>
            </w:tcBorders>
            <w:shd w:val="clear" w:color="auto" w:fill="auto"/>
            <w:vAlign w:val="bottom"/>
            <w:hideMark/>
          </w:tcPr>
          <w:p w:rsidRPr="0036751E" w:rsidR="00D7323B" w:rsidP="00B44E2A" w:rsidRDefault="00D7323B" w14:paraId="5FF5C462" w14:textId="77777777">
            <w:pPr>
              <w:rPr>
                <w:rFonts w:cs="Times New Roman"/>
                <w:b/>
                <w:bCs/>
                <w:szCs w:val="24"/>
              </w:rPr>
            </w:pPr>
            <w:r w:rsidRPr="0036751E">
              <w:rPr>
                <w:rFonts w:cs="Times New Roman"/>
                <w:b/>
                <w:bCs/>
                <w:szCs w:val="24"/>
              </w:rPr>
              <w:t>Number of Annual Responses</w:t>
            </w:r>
          </w:p>
        </w:tc>
        <w:tc>
          <w:tcPr>
            <w:tcW w:w="980" w:type="pct"/>
            <w:tcBorders>
              <w:top w:val="single" w:color="auto" w:sz="8" w:space="0"/>
              <w:left w:val="nil"/>
              <w:bottom w:val="single" w:color="auto" w:sz="4" w:space="0"/>
              <w:right w:val="single" w:color="auto" w:sz="4" w:space="0"/>
            </w:tcBorders>
            <w:shd w:val="clear" w:color="auto" w:fill="auto"/>
            <w:vAlign w:val="bottom"/>
            <w:hideMark/>
          </w:tcPr>
          <w:p w:rsidRPr="0036751E" w:rsidR="00D7323B" w:rsidP="00B44E2A" w:rsidRDefault="00D7323B" w14:paraId="727BCCB9" w14:textId="77777777">
            <w:pPr>
              <w:rPr>
                <w:rFonts w:cs="Times New Roman"/>
                <w:b/>
                <w:bCs/>
                <w:szCs w:val="24"/>
              </w:rPr>
            </w:pPr>
            <w:r w:rsidRPr="0036751E">
              <w:rPr>
                <w:rFonts w:cs="Times New Roman"/>
                <w:b/>
                <w:bCs/>
                <w:szCs w:val="24"/>
              </w:rPr>
              <w:t>Hour Burden per Response</w:t>
            </w:r>
          </w:p>
        </w:tc>
        <w:tc>
          <w:tcPr>
            <w:tcW w:w="990" w:type="pct"/>
            <w:tcBorders>
              <w:top w:val="single" w:color="auto" w:sz="8" w:space="0"/>
              <w:left w:val="nil"/>
              <w:bottom w:val="single" w:color="auto" w:sz="4" w:space="0"/>
              <w:right w:val="single" w:color="auto" w:sz="4" w:space="0"/>
            </w:tcBorders>
            <w:shd w:val="clear" w:color="auto" w:fill="auto"/>
            <w:vAlign w:val="bottom"/>
            <w:hideMark/>
          </w:tcPr>
          <w:p w:rsidRPr="0036751E" w:rsidR="00D7323B" w:rsidP="00B44E2A" w:rsidRDefault="00D7323B" w14:paraId="1269CF58" w14:textId="77777777">
            <w:pPr>
              <w:rPr>
                <w:rFonts w:cs="Times New Roman"/>
                <w:b/>
                <w:bCs/>
                <w:szCs w:val="24"/>
              </w:rPr>
            </w:pPr>
            <w:r w:rsidRPr="0036751E">
              <w:rPr>
                <w:rFonts w:cs="Times New Roman"/>
                <w:b/>
                <w:bCs/>
                <w:szCs w:val="24"/>
              </w:rPr>
              <w:t>Annual Hour Burden</w:t>
            </w:r>
          </w:p>
        </w:tc>
        <w:tc>
          <w:tcPr>
            <w:tcW w:w="1056" w:type="pct"/>
            <w:tcBorders>
              <w:top w:val="single" w:color="auto" w:sz="8" w:space="0"/>
              <w:left w:val="nil"/>
              <w:bottom w:val="single" w:color="auto" w:sz="4" w:space="0"/>
              <w:right w:val="single" w:color="auto" w:sz="8" w:space="0"/>
            </w:tcBorders>
            <w:shd w:val="clear" w:color="auto" w:fill="auto"/>
            <w:vAlign w:val="bottom"/>
            <w:hideMark/>
          </w:tcPr>
          <w:p w:rsidRPr="0036751E" w:rsidR="00D7323B" w:rsidP="00B44E2A" w:rsidRDefault="00D7323B" w14:paraId="00441972" w14:textId="77777777">
            <w:pPr>
              <w:rPr>
                <w:rFonts w:cs="Times New Roman"/>
                <w:b/>
                <w:bCs/>
                <w:szCs w:val="24"/>
              </w:rPr>
            </w:pPr>
            <w:r w:rsidRPr="0036751E">
              <w:rPr>
                <w:rFonts w:cs="Times New Roman"/>
                <w:b/>
                <w:bCs/>
                <w:szCs w:val="24"/>
              </w:rPr>
              <w:t>Annual Hour Burden Cost</w:t>
            </w:r>
          </w:p>
        </w:tc>
      </w:tr>
      <w:tr w:rsidRPr="00CB06E1" w:rsidR="00D7323B" w:rsidTr="001A7605" w14:paraId="108D7E46" w14:textId="77777777">
        <w:trPr>
          <w:trHeight w:val="315"/>
        </w:trPr>
        <w:tc>
          <w:tcPr>
            <w:tcW w:w="985" w:type="pct"/>
            <w:vMerge/>
            <w:tcBorders>
              <w:top w:val="single" w:color="auto" w:sz="8" w:space="0"/>
              <w:left w:val="single" w:color="auto" w:sz="8" w:space="0"/>
              <w:bottom w:val="single" w:color="000000" w:sz="8" w:space="0"/>
              <w:right w:val="single" w:color="auto" w:sz="4" w:space="0"/>
            </w:tcBorders>
            <w:vAlign w:val="center"/>
            <w:hideMark/>
          </w:tcPr>
          <w:p w:rsidRPr="0036751E" w:rsidR="00D7323B" w:rsidP="00B44E2A" w:rsidRDefault="00D7323B" w14:paraId="03EAE203" w14:textId="77777777">
            <w:pPr>
              <w:rPr>
                <w:rFonts w:cs="Times New Roman"/>
                <w:b/>
                <w:bCs/>
                <w:szCs w:val="24"/>
              </w:rPr>
            </w:pPr>
          </w:p>
        </w:tc>
        <w:tc>
          <w:tcPr>
            <w:tcW w:w="990" w:type="pct"/>
            <w:tcBorders>
              <w:top w:val="nil"/>
              <w:left w:val="nil"/>
              <w:bottom w:val="single" w:color="auto" w:sz="8" w:space="0"/>
              <w:right w:val="single" w:color="auto" w:sz="4" w:space="0"/>
            </w:tcBorders>
            <w:shd w:val="clear" w:color="auto" w:fill="auto"/>
            <w:vAlign w:val="bottom"/>
            <w:hideMark/>
          </w:tcPr>
          <w:p w:rsidRPr="0036751E" w:rsidR="00D7323B" w:rsidP="00B44E2A" w:rsidRDefault="00D7323B" w14:paraId="64ED5252" w14:textId="77777777">
            <w:pPr>
              <w:jc w:val="center"/>
              <w:rPr>
                <w:rFonts w:cs="Times New Roman"/>
                <w:b/>
                <w:bCs/>
                <w:szCs w:val="24"/>
              </w:rPr>
            </w:pPr>
            <w:r w:rsidRPr="0036751E">
              <w:rPr>
                <w:rFonts w:cs="Times New Roman"/>
                <w:b/>
                <w:bCs/>
                <w:szCs w:val="24"/>
              </w:rPr>
              <w:t>A</w:t>
            </w:r>
          </w:p>
        </w:tc>
        <w:tc>
          <w:tcPr>
            <w:tcW w:w="980" w:type="pct"/>
            <w:tcBorders>
              <w:top w:val="nil"/>
              <w:left w:val="nil"/>
              <w:bottom w:val="single" w:color="auto" w:sz="8" w:space="0"/>
              <w:right w:val="single" w:color="auto" w:sz="4" w:space="0"/>
            </w:tcBorders>
            <w:shd w:val="clear" w:color="auto" w:fill="auto"/>
            <w:vAlign w:val="bottom"/>
            <w:hideMark/>
          </w:tcPr>
          <w:p w:rsidRPr="0036751E" w:rsidR="00D7323B" w:rsidP="00B44E2A" w:rsidRDefault="00D7323B" w14:paraId="7F7C0DB2" w14:textId="77777777">
            <w:pPr>
              <w:jc w:val="center"/>
              <w:rPr>
                <w:rFonts w:cs="Times New Roman"/>
                <w:b/>
                <w:bCs/>
                <w:szCs w:val="24"/>
              </w:rPr>
            </w:pPr>
            <w:r w:rsidRPr="0036751E">
              <w:rPr>
                <w:rFonts w:cs="Times New Roman"/>
                <w:b/>
                <w:bCs/>
                <w:szCs w:val="24"/>
              </w:rPr>
              <w:t>B</w:t>
            </w:r>
          </w:p>
        </w:tc>
        <w:tc>
          <w:tcPr>
            <w:tcW w:w="990" w:type="pct"/>
            <w:tcBorders>
              <w:top w:val="nil"/>
              <w:left w:val="nil"/>
              <w:bottom w:val="single" w:color="auto" w:sz="8" w:space="0"/>
              <w:right w:val="single" w:color="auto" w:sz="4" w:space="0"/>
            </w:tcBorders>
            <w:shd w:val="clear" w:color="auto" w:fill="auto"/>
            <w:vAlign w:val="bottom"/>
            <w:hideMark/>
          </w:tcPr>
          <w:p w:rsidRPr="0036751E" w:rsidR="00D7323B" w:rsidP="00B44E2A" w:rsidRDefault="00D7323B" w14:paraId="552653CF" w14:textId="77777777">
            <w:pPr>
              <w:jc w:val="center"/>
              <w:rPr>
                <w:rFonts w:cs="Times New Roman"/>
                <w:b/>
                <w:bCs/>
                <w:szCs w:val="24"/>
              </w:rPr>
            </w:pPr>
            <w:r w:rsidRPr="0036751E">
              <w:rPr>
                <w:rFonts w:cs="Times New Roman"/>
                <w:b/>
                <w:bCs/>
                <w:szCs w:val="24"/>
              </w:rPr>
              <w:t>C = A x B</w:t>
            </w:r>
          </w:p>
        </w:tc>
        <w:tc>
          <w:tcPr>
            <w:tcW w:w="1056" w:type="pct"/>
            <w:tcBorders>
              <w:top w:val="nil"/>
              <w:left w:val="nil"/>
              <w:bottom w:val="single" w:color="auto" w:sz="8" w:space="0"/>
              <w:right w:val="single" w:color="auto" w:sz="8" w:space="0"/>
            </w:tcBorders>
            <w:shd w:val="clear" w:color="auto" w:fill="auto"/>
            <w:vAlign w:val="bottom"/>
            <w:hideMark/>
          </w:tcPr>
          <w:p w:rsidRPr="0036751E" w:rsidR="00D7323B" w:rsidP="00B44E2A" w:rsidRDefault="00D7323B" w14:paraId="3A6A06A3" w14:textId="77777777">
            <w:pPr>
              <w:jc w:val="center"/>
              <w:rPr>
                <w:rFonts w:cs="Times New Roman"/>
                <w:b/>
                <w:bCs/>
                <w:szCs w:val="24"/>
              </w:rPr>
            </w:pPr>
            <w:r w:rsidRPr="0036751E">
              <w:rPr>
                <w:rFonts w:cs="Times New Roman"/>
                <w:b/>
                <w:bCs/>
                <w:szCs w:val="24"/>
              </w:rPr>
              <w:t>D = C x $91.90</w:t>
            </w:r>
          </w:p>
        </w:tc>
      </w:tr>
      <w:tr w:rsidRPr="00CB06E1" w:rsidR="00D7323B" w:rsidTr="001A7605" w14:paraId="53FD299C" w14:textId="77777777">
        <w:trPr>
          <w:trHeight w:val="300"/>
        </w:trPr>
        <w:tc>
          <w:tcPr>
            <w:tcW w:w="985" w:type="pct"/>
            <w:tcBorders>
              <w:top w:val="nil"/>
              <w:left w:val="single" w:color="auto" w:sz="8" w:space="0"/>
              <w:bottom w:val="single" w:color="auto" w:sz="4" w:space="0"/>
              <w:right w:val="single" w:color="auto" w:sz="4" w:space="0"/>
            </w:tcBorders>
            <w:shd w:val="clear" w:color="auto" w:fill="auto"/>
            <w:noWrap/>
            <w:vAlign w:val="bottom"/>
            <w:hideMark/>
          </w:tcPr>
          <w:p w:rsidRPr="0036751E" w:rsidR="00D7323B" w:rsidP="00B44E2A" w:rsidRDefault="00D7323B" w14:paraId="1F31FBDA" w14:textId="77777777">
            <w:pPr>
              <w:rPr>
                <w:rFonts w:cs="Times New Roman"/>
                <w:szCs w:val="24"/>
              </w:rPr>
            </w:pPr>
            <w:r w:rsidRPr="0036751E">
              <w:rPr>
                <w:rFonts w:cs="Times New Roman"/>
                <w:szCs w:val="24"/>
              </w:rPr>
              <w:t>PCSR</w:t>
            </w:r>
          </w:p>
        </w:tc>
        <w:tc>
          <w:tcPr>
            <w:tcW w:w="990" w:type="pct"/>
            <w:tcBorders>
              <w:top w:val="nil"/>
              <w:left w:val="nil"/>
              <w:bottom w:val="single" w:color="auto" w:sz="4" w:space="0"/>
              <w:right w:val="single" w:color="auto" w:sz="4" w:space="0"/>
            </w:tcBorders>
            <w:shd w:val="clear" w:color="auto" w:fill="auto"/>
            <w:noWrap/>
            <w:vAlign w:val="bottom"/>
            <w:hideMark/>
          </w:tcPr>
          <w:p w:rsidRPr="0036751E" w:rsidR="00D7323B" w:rsidP="003C687B" w:rsidRDefault="003C687B" w14:paraId="5B97AB6B" w14:textId="77777777">
            <w:pPr>
              <w:jc w:val="right"/>
              <w:rPr>
                <w:rFonts w:cs="Times New Roman"/>
                <w:szCs w:val="24"/>
              </w:rPr>
            </w:pPr>
            <w:r w:rsidRPr="0036751E">
              <w:rPr>
                <w:rFonts w:cs="Times New Roman"/>
                <w:szCs w:val="24"/>
              </w:rPr>
              <w:t>20</w:t>
            </w:r>
          </w:p>
        </w:tc>
        <w:tc>
          <w:tcPr>
            <w:tcW w:w="980" w:type="pct"/>
            <w:tcBorders>
              <w:top w:val="nil"/>
              <w:left w:val="nil"/>
              <w:bottom w:val="single" w:color="auto" w:sz="4" w:space="0"/>
              <w:right w:val="single" w:color="auto" w:sz="4" w:space="0"/>
            </w:tcBorders>
            <w:shd w:val="clear" w:color="auto" w:fill="auto"/>
            <w:noWrap/>
            <w:vAlign w:val="bottom"/>
            <w:hideMark/>
          </w:tcPr>
          <w:p w:rsidRPr="0036751E" w:rsidR="00D7323B" w:rsidP="00D34D37" w:rsidRDefault="007710F5" w14:paraId="6497FDD0" w14:textId="77777777">
            <w:pPr>
              <w:jc w:val="right"/>
              <w:rPr>
                <w:rFonts w:cs="Times New Roman"/>
                <w:szCs w:val="24"/>
              </w:rPr>
            </w:pPr>
            <w:r>
              <w:rPr>
                <w:rFonts w:cs="Times New Roman"/>
                <w:szCs w:val="24"/>
              </w:rPr>
              <w:t>9-11</w:t>
            </w:r>
          </w:p>
        </w:tc>
        <w:tc>
          <w:tcPr>
            <w:tcW w:w="990" w:type="pct"/>
            <w:tcBorders>
              <w:top w:val="nil"/>
              <w:left w:val="nil"/>
              <w:bottom w:val="single" w:color="auto" w:sz="4" w:space="0"/>
              <w:right w:val="single" w:color="auto" w:sz="4" w:space="0"/>
            </w:tcBorders>
            <w:shd w:val="clear" w:color="auto" w:fill="auto"/>
            <w:noWrap/>
            <w:vAlign w:val="bottom"/>
            <w:hideMark/>
          </w:tcPr>
          <w:p w:rsidRPr="0036751E" w:rsidR="00D7323B" w:rsidP="007710F5" w:rsidRDefault="007710F5" w14:paraId="35F0FB84" w14:textId="77777777">
            <w:pPr>
              <w:jc w:val="right"/>
              <w:rPr>
                <w:rFonts w:cs="Times New Roman"/>
                <w:szCs w:val="24"/>
              </w:rPr>
            </w:pPr>
            <w:r w:rsidRPr="0036751E">
              <w:rPr>
                <w:rFonts w:cs="Times New Roman"/>
                <w:szCs w:val="24"/>
              </w:rPr>
              <w:t>1</w:t>
            </w:r>
            <w:r>
              <w:rPr>
                <w:rFonts w:cs="Times New Roman"/>
                <w:szCs w:val="24"/>
              </w:rPr>
              <w:t>80-120</w:t>
            </w:r>
          </w:p>
        </w:tc>
        <w:tc>
          <w:tcPr>
            <w:tcW w:w="1056" w:type="pct"/>
            <w:tcBorders>
              <w:top w:val="nil"/>
              <w:left w:val="nil"/>
              <w:bottom w:val="single" w:color="auto" w:sz="4" w:space="0"/>
              <w:right w:val="single" w:color="auto" w:sz="8" w:space="0"/>
            </w:tcBorders>
            <w:shd w:val="clear" w:color="auto" w:fill="auto"/>
            <w:noWrap/>
            <w:vAlign w:val="bottom"/>
            <w:hideMark/>
          </w:tcPr>
          <w:p w:rsidRPr="0036751E" w:rsidR="00D7323B" w:rsidP="00AF6C6F" w:rsidRDefault="00D7323B" w14:paraId="78EDC074" w14:textId="77777777">
            <w:pPr>
              <w:jc w:val="right"/>
              <w:rPr>
                <w:rFonts w:cs="Times New Roman"/>
                <w:szCs w:val="24"/>
              </w:rPr>
            </w:pPr>
            <w:r w:rsidRPr="0036751E">
              <w:rPr>
                <w:rFonts w:cs="Times New Roman"/>
                <w:szCs w:val="24"/>
              </w:rPr>
              <w:t>$1</w:t>
            </w:r>
            <w:r w:rsidR="007710F5">
              <w:rPr>
                <w:rFonts w:cs="Times New Roman"/>
                <w:szCs w:val="24"/>
              </w:rPr>
              <w:t xml:space="preserve">6,542 </w:t>
            </w:r>
            <w:r w:rsidR="00AF6C6F">
              <w:rPr>
                <w:rFonts w:cs="Times New Roman"/>
                <w:szCs w:val="24"/>
              </w:rPr>
              <w:t>- $</w:t>
            </w:r>
            <w:r w:rsidR="007710F5">
              <w:rPr>
                <w:rFonts w:cs="Times New Roman"/>
                <w:szCs w:val="24"/>
              </w:rPr>
              <w:t>20</w:t>
            </w:r>
            <w:r w:rsidR="00AF6C6F">
              <w:rPr>
                <w:rFonts w:cs="Times New Roman"/>
                <w:szCs w:val="24"/>
              </w:rPr>
              <w:t>,</w:t>
            </w:r>
            <w:r w:rsidR="007710F5">
              <w:rPr>
                <w:rFonts w:cs="Times New Roman"/>
                <w:szCs w:val="24"/>
              </w:rPr>
              <w:t>218</w:t>
            </w:r>
          </w:p>
        </w:tc>
      </w:tr>
      <w:tr w:rsidRPr="00CB06E1" w:rsidR="00D7323B" w:rsidTr="001A7605" w14:paraId="2607B1D3" w14:textId="77777777">
        <w:trPr>
          <w:trHeight w:val="315"/>
        </w:trPr>
        <w:tc>
          <w:tcPr>
            <w:tcW w:w="985" w:type="pct"/>
            <w:tcBorders>
              <w:top w:val="nil"/>
              <w:left w:val="single" w:color="auto" w:sz="8" w:space="0"/>
              <w:bottom w:val="single" w:color="auto" w:sz="8" w:space="0"/>
              <w:right w:val="single" w:color="auto" w:sz="4" w:space="0"/>
            </w:tcBorders>
            <w:shd w:val="clear" w:color="auto" w:fill="auto"/>
            <w:noWrap/>
            <w:vAlign w:val="bottom"/>
            <w:hideMark/>
          </w:tcPr>
          <w:p w:rsidRPr="0036751E" w:rsidR="00D7323B" w:rsidP="00B44E2A" w:rsidRDefault="00D7323B" w14:paraId="32322F19" w14:textId="77777777">
            <w:pPr>
              <w:rPr>
                <w:rFonts w:cs="Times New Roman"/>
                <w:b/>
                <w:bCs/>
                <w:szCs w:val="24"/>
              </w:rPr>
            </w:pPr>
            <w:r w:rsidRPr="0036751E">
              <w:rPr>
                <w:rFonts w:cs="Times New Roman"/>
                <w:b/>
                <w:bCs/>
                <w:szCs w:val="24"/>
              </w:rPr>
              <w:t>Total</w:t>
            </w:r>
          </w:p>
        </w:tc>
        <w:tc>
          <w:tcPr>
            <w:tcW w:w="990" w:type="pct"/>
            <w:tcBorders>
              <w:top w:val="nil"/>
              <w:left w:val="nil"/>
              <w:bottom w:val="single" w:color="auto" w:sz="8" w:space="0"/>
              <w:right w:val="single" w:color="auto" w:sz="4" w:space="0"/>
            </w:tcBorders>
            <w:shd w:val="clear" w:color="auto" w:fill="auto"/>
            <w:noWrap/>
            <w:vAlign w:val="bottom"/>
            <w:hideMark/>
          </w:tcPr>
          <w:p w:rsidRPr="0036751E" w:rsidR="00D7323B" w:rsidP="00BD7F25" w:rsidRDefault="001A7605" w14:paraId="4A459B5D" w14:textId="77777777">
            <w:pPr>
              <w:jc w:val="right"/>
              <w:rPr>
                <w:rFonts w:cs="Times New Roman"/>
                <w:b/>
                <w:bCs/>
                <w:szCs w:val="24"/>
              </w:rPr>
            </w:pPr>
            <w:r>
              <w:rPr>
                <w:rFonts w:cs="Times New Roman"/>
                <w:b/>
                <w:bCs/>
                <w:szCs w:val="24"/>
              </w:rPr>
              <w:t>20</w:t>
            </w:r>
          </w:p>
        </w:tc>
        <w:tc>
          <w:tcPr>
            <w:tcW w:w="980" w:type="pct"/>
            <w:tcBorders>
              <w:top w:val="nil"/>
              <w:left w:val="nil"/>
              <w:bottom w:val="single" w:color="auto" w:sz="8" w:space="0"/>
              <w:right w:val="single" w:color="auto" w:sz="4" w:space="0"/>
            </w:tcBorders>
            <w:shd w:val="clear" w:color="000000" w:fill="A5A5A5"/>
            <w:noWrap/>
            <w:vAlign w:val="bottom"/>
            <w:hideMark/>
          </w:tcPr>
          <w:p w:rsidRPr="0036751E" w:rsidR="00D7323B" w:rsidP="00B44E2A" w:rsidRDefault="00D7323B" w14:paraId="6B660AFC" w14:textId="77777777">
            <w:pPr>
              <w:rPr>
                <w:rFonts w:cs="Times New Roman"/>
                <w:b/>
                <w:bCs/>
                <w:szCs w:val="24"/>
              </w:rPr>
            </w:pPr>
            <w:r w:rsidRPr="0036751E">
              <w:rPr>
                <w:rFonts w:cs="Times New Roman"/>
                <w:b/>
                <w:bCs/>
                <w:szCs w:val="24"/>
              </w:rPr>
              <w:t> </w:t>
            </w:r>
          </w:p>
        </w:tc>
        <w:tc>
          <w:tcPr>
            <w:tcW w:w="990" w:type="pct"/>
            <w:tcBorders>
              <w:top w:val="nil"/>
              <w:left w:val="nil"/>
              <w:bottom w:val="single" w:color="auto" w:sz="8" w:space="0"/>
              <w:right w:val="single" w:color="auto" w:sz="4" w:space="0"/>
            </w:tcBorders>
            <w:shd w:val="clear" w:color="auto" w:fill="auto"/>
            <w:noWrap/>
            <w:vAlign w:val="bottom"/>
            <w:hideMark/>
          </w:tcPr>
          <w:p w:rsidRPr="0036751E" w:rsidR="00D7323B" w:rsidP="00BD7F25" w:rsidRDefault="00BD7F25" w14:paraId="44C05B56" w14:textId="77777777">
            <w:pPr>
              <w:jc w:val="right"/>
              <w:rPr>
                <w:rFonts w:cs="Times New Roman"/>
                <w:b/>
                <w:bCs/>
                <w:szCs w:val="24"/>
              </w:rPr>
            </w:pPr>
            <w:r w:rsidRPr="0036751E">
              <w:rPr>
                <w:rFonts w:cs="Times New Roman"/>
                <w:b/>
                <w:bCs/>
                <w:szCs w:val="24"/>
              </w:rPr>
              <w:t>180-220</w:t>
            </w:r>
          </w:p>
        </w:tc>
        <w:tc>
          <w:tcPr>
            <w:tcW w:w="1056" w:type="pct"/>
            <w:tcBorders>
              <w:top w:val="nil"/>
              <w:left w:val="nil"/>
              <w:bottom w:val="single" w:color="auto" w:sz="8" w:space="0"/>
              <w:right w:val="single" w:color="auto" w:sz="8" w:space="0"/>
            </w:tcBorders>
            <w:shd w:val="clear" w:color="auto" w:fill="auto"/>
            <w:noWrap/>
            <w:vAlign w:val="bottom"/>
            <w:hideMark/>
          </w:tcPr>
          <w:p w:rsidRPr="0036751E" w:rsidR="00D7323B" w:rsidP="0051265A" w:rsidRDefault="00D7323B" w14:paraId="227CBA66" w14:textId="77777777">
            <w:pPr>
              <w:jc w:val="right"/>
              <w:rPr>
                <w:rFonts w:cs="Times New Roman"/>
                <w:b/>
                <w:bCs/>
                <w:szCs w:val="24"/>
              </w:rPr>
            </w:pPr>
            <w:r w:rsidRPr="0036751E">
              <w:rPr>
                <w:rFonts w:cs="Times New Roman"/>
                <w:b/>
                <w:bCs/>
                <w:szCs w:val="24"/>
              </w:rPr>
              <w:t>$1</w:t>
            </w:r>
            <w:r w:rsidRPr="0036751E" w:rsidR="0051265A">
              <w:rPr>
                <w:rFonts w:cs="Times New Roman"/>
                <w:b/>
                <w:bCs/>
                <w:szCs w:val="24"/>
              </w:rPr>
              <w:t>6</w:t>
            </w:r>
            <w:r w:rsidRPr="0036751E">
              <w:rPr>
                <w:rFonts w:cs="Times New Roman"/>
                <w:b/>
                <w:bCs/>
                <w:szCs w:val="24"/>
              </w:rPr>
              <w:t>,</w:t>
            </w:r>
            <w:r w:rsidRPr="0036751E" w:rsidR="0051265A">
              <w:rPr>
                <w:rFonts w:cs="Times New Roman"/>
                <w:b/>
                <w:bCs/>
                <w:szCs w:val="24"/>
              </w:rPr>
              <w:t>542 - $20,218</w:t>
            </w:r>
          </w:p>
        </w:tc>
      </w:tr>
    </w:tbl>
    <w:p w:rsidR="00D25F44" w:rsidP="00BB78AB" w:rsidRDefault="00D25F44" w14:paraId="103DAC2B" w14:textId="77777777">
      <w:pPr>
        <w:numPr>
          <w:ilvl w:val="12"/>
          <w:numId w:val="0"/>
        </w:numPr>
        <w:ind w:left="360"/>
      </w:pPr>
    </w:p>
    <w:p w:rsidR="00A26549" w:rsidP="00BB78AB" w:rsidRDefault="00A26549" w14:paraId="2902B029" w14:textId="77777777">
      <w:pPr>
        <w:numPr>
          <w:ilvl w:val="12"/>
          <w:numId w:val="0"/>
        </w:numPr>
        <w:ind w:left="360"/>
      </w:pPr>
      <w:r w:rsidRPr="00A26549">
        <w:t xml:space="preserve">Regarding the emergency request, TSA will submit revised burden estimates for </w:t>
      </w:r>
      <w:r>
        <w:t xml:space="preserve">the </w:t>
      </w:r>
      <w:r w:rsidRPr="00B44E2A">
        <w:t>Cybersecurity Contingency/Response Plan</w:t>
      </w:r>
      <w:r>
        <w:t xml:space="preserve">, Third Party Evaluation and described certifications </w:t>
      </w:r>
      <w:r w:rsidRPr="00A26549">
        <w:t>in the next renewal for this ICR.  These estimates will differ as the scope of the assessment is narrower.</w:t>
      </w:r>
    </w:p>
    <w:p w:rsidR="00A26549" w:rsidP="00BB78AB" w:rsidRDefault="00A26549" w14:paraId="672CD3C2" w14:textId="77777777">
      <w:pPr>
        <w:numPr>
          <w:ilvl w:val="12"/>
          <w:numId w:val="0"/>
        </w:numPr>
        <w:ind w:left="360"/>
      </w:pPr>
    </w:p>
    <w:p w:rsidR="009F2633" w:rsidP="004A62EB" w:rsidRDefault="009F2633" w14:paraId="3DC4A287" w14:textId="77777777">
      <w:pPr>
        <w:numPr>
          <w:ilvl w:val="0"/>
          <w:numId w:val="11"/>
        </w:numPr>
        <w:rPr>
          <w:b/>
          <w:i/>
        </w:rPr>
      </w:pPr>
      <w:r>
        <w:rPr>
          <w:b/>
          <w:i/>
        </w:rPr>
        <w:t xml:space="preserve">Provide an estimate of </w:t>
      </w:r>
      <w:r w:rsidR="009B38B8">
        <w:rPr>
          <w:b/>
          <w:i/>
        </w:rPr>
        <w:t>annualized capital and start-up costs.</w:t>
      </w:r>
      <w:r w:rsidR="005623A8">
        <w:rPr>
          <w:b/>
          <w:i/>
        </w:rPr>
        <w:t xml:space="preserve"> </w:t>
      </w:r>
      <w:r w:rsidRPr="005623A8" w:rsidR="005623A8">
        <w:rPr>
          <w:b/>
          <w:i/>
        </w:rPr>
        <w:t>(Do not include the cost of any hour burden shown in Items 12 and 14).</w:t>
      </w:r>
    </w:p>
    <w:p w:rsidR="009F2633" w:rsidP="00BB78AB" w:rsidRDefault="009F2633" w14:paraId="3B9BE1D8" w14:textId="77777777">
      <w:pPr>
        <w:keepNext/>
        <w:numPr>
          <w:ilvl w:val="12"/>
          <w:numId w:val="0"/>
        </w:numPr>
        <w:ind w:left="360"/>
      </w:pPr>
    </w:p>
    <w:p w:rsidR="009F2633" w:rsidP="00BB78AB" w:rsidRDefault="004A62EB" w14:paraId="6633FC46" w14:textId="77777777">
      <w:pPr>
        <w:numPr>
          <w:ilvl w:val="12"/>
          <w:numId w:val="0"/>
        </w:numPr>
        <w:ind w:left="360"/>
      </w:pPr>
      <w:r>
        <w:t xml:space="preserve">TSA does not estimate a cost to the pipeline industry beyond the hour burden detailed in answer 12. </w:t>
      </w:r>
    </w:p>
    <w:p w:rsidR="00A26549" w:rsidP="00BB78AB" w:rsidRDefault="00A26549" w14:paraId="7361FD57" w14:textId="77777777">
      <w:pPr>
        <w:numPr>
          <w:ilvl w:val="12"/>
          <w:numId w:val="0"/>
        </w:numPr>
        <w:ind w:left="360"/>
      </w:pPr>
    </w:p>
    <w:p w:rsidR="00A26549" w:rsidP="00BB78AB" w:rsidRDefault="00A26549" w14:paraId="1140F2BC" w14:textId="0A64DBC1">
      <w:pPr>
        <w:numPr>
          <w:ilvl w:val="12"/>
          <w:numId w:val="0"/>
        </w:numPr>
        <w:ind w:left="360"/>
      </w:pPr>
      <w:r w:rsidRPr="00A26549">
        <w:t xml:space="preserve">Regarding the emergency request, TSA will submit revised burden estimates for the </w:t>
      </w:r>
      <w:r>
        <w:t>Third Party Evaluation</w:t>
      </w:r>
      <w:r w:rsidRPr="00A26549">
        <w:t xml:space="preserve"> in the next renewal for this ICR.  </w:t>
      </w:r>
    </w:p>
    <w:p w:rsidR="009F2633" w:rsidP="00BB78AB" w:rsidRDefault="009F2633" w14:paraId="03ACE127" w14:textId="77777777">
      <w:pPr>
        <w:pStyle w:val="IndexHeading"/>
        <w:keepNext w:val="0"/>
        <w:numPr>
          <w:ilvl w:val="12"/>
          <w:numId w:val="0"/>
        </w:numPr>
        <w:spacing w:line="240" w:lineRule="auto"/>
        <w:rPr>
          <w:rFonts w:ascii="Times New Roman" w:hAnsi="Times New Roman"/>
          <w:spacing w:val="0"/>
        </w:rPr>
      </w:pPr>
    </w:p>
    <w:p w:rsidR="009F2633" w:rsidP="00CB065A" w:rsidRDefault="009F2633" w14:paraId="1A465A41" w14:textId="77777777">
      <w:pPr>
        <w:keepNext/>
        <w:numPr>
          <w:ilvl w:val="0"/>
          <w:numId w:val="25"/>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9F2633" w:rsidP="00BB78AB" w:rsidRDefault="009F2633" w14:paraId="18013539" w14:textId="77777777">
      <w:pPr>
        <w:keepNext/>
        <w:numPr>
          <w:ilvl w:val="12"/>
          <w:numId w:val="0"/>
        </w:numPr>
        <w:ind w:left="360"/>
      </w:pPr>
    </w:p>
    <w:p w:rsidR="00D7323B" w:rsidP="00D7323B" w:rsidRDefault="00D7323B" w14:paraId="01639BBC" w14:textId="77777777">
      <w:pPr>
        <w:numPr>
          <w:ilvl w:val="12"/>
          <w:numId w:val="0"/>
        </w:numPr>
        <w:ind w:left="360"/>
        <w:rPr>
          <w:rFonts w:eastAsia="Calibri" w:cs="Times New Roman"/>
          <w:color w:val="auto"/>
          <w:szCs w:val="24"/>
        </w:rPr>
      </w:pPr>
      <w:r w:rsidRPr="00DF7882">
        <w:rPr>
          <w:rFonts w:eastAsia="Calibri" w:cs="Times New Roman"/>
          <w:color w:val="auto"/>
          <w:szCs w:val="24"/>
        </w:rPr>
        <w:t xml:space="preserve">A PCSR is conducted by </w:t>
      </w:r>
      <w:r w:rsidR="00D34D37">
        <w:rPr>
          <w:rFonts w:eastAsia="Calibri" w:cs="Times New Roman"/>
          <w:color w:val="auto"/>
          <w:szCs w:val="24"/>
        </w:rPr>
        <w:t>one</w:t>
      </w:r>
      <w:r w:rsidR="00A51626">
        <w:rPr>
          <w:rFonts w:eastAsia="Calibri" w:cs="Times New Roman"/>
          <w:color w:val="auto"/>
          <w:szCs w:val="24"/>
        </w:rPr>
        <w:t xml:space="preserve"> </w:t>
      </w:r>
      <w:r>
        <w:rPr>
          <w:rFonts w:eastAsia="Calibri" w:cs="Times New Roman"/>
          <w:color w:val="auto"/>
          <w:szCs w:val="24"/>
        </w:rPr>
        <w:t>(</w:t>
      </w:r>
      <w:r w:rsidR="00D34D37">
        <w:rPr>
          <w:rFonts w:eastAsia="Calibri" w:cs="Times New Roman"/>
          <w:color w:val="auto"/>
          <w:szCs w:val="24"/>
        </w:rPr>
        <w:t>1</w:t>
      </w:r>
      <w:r>
        <w:rPr>
          <w:rFonts w:eastAsia="Calibri" w:cs="Times New Roman"/>
          <w:color w:val="auto"/>
          <w:szCs w:val="24"/>
        </w:rPr>
        <w:t>)</w:t>
      </w:r>
      <w:r w:rsidRPr="00DF7882">
        <w:rPr>
          <w:rFonts w:eastAsia="Calibri" w:cs="Times New Roman"/>
          <w:color w:val="auto"/>
          <w:szCs w:val="24"/>
        </w:rPr>
        <w:t xml:space="preserve"> representative from TSA; </w:t>
      </w:r>
      <w:r w:rsidR="00BD7F25">
        <w:rPr>
          <w:rFonts w:eastAsia="Calibri" w:cs="Times New Roman"/>
          <w:color w:val="auto"/>
          <w:szCs w:val="24"/>
        </w:rPr>
        <w:t xml:space="preserve">either </w:t>
      </w:r>
      <w:r w:rsidRPr="00DF7882">
        <w:rPr>
          <w:rFonts w:eastAsia="Calibri" w:cs="Times New Roman"/>
          <w:color w:val="auto"/>
          <w:szCs w:val="24"/>
        </w:rPr>
        <w:t xml:space="preserve">a Senior Analyst (J Band) </w:t>
      </w:r>
      <w:r w:rsidR="00BD7F25">
        <w:rPr>
          <w:rFonts w:eastAsia="Calibri" w:cs="Times New Roman"/>
          <w:color w:val="auto"/>
          <w:szCs w:val="24"/>
        </w:rPr>
        <w:t xml:space="preserve">or a </w:t>
      </w:r>
      <w:r w:rsidRPr="00DF7882">
        <w:rPr>
          <w:rFonts w:eastAsia="Calibri" w:cs="Times New Roman"/>
          <w:color w:val="auto"/>
          <w:szCs w:val="24"/>
        </w:rPr>
        <w:t xml:space="preserve">Junior Analyst (I Band).  Each review takes approximately 8 hours per employee.  Following the review, an additional 32 hours </w:t>
      </w:r>
      <w:r>
        <w:rPr>
          <w:rFonts w:eastAsia="Calibri" w:cs="Times New Roman"/>
          <w:color w:val="auto"/>
          <w:szCs w:val="24"/>
        </w:rPr>
        <w:t>are</w:t>
      </w:r>
      <w:r w:rsidRPr="00DF7882">
        <w:rPr>
          <w:rFonts w:eastAsia="Calibri" w:cs="Times New Roman"/>
          <w:color w:val="auto"/>
          <w:szCs w:val="24"/>
        </w:rPr>
        <w:t xml:space="preserve"> devoted to completing the form, which is split equally between </w:t>
      </w:r>
      <w:r w:rsidR="001209DF">
        <w:rPr>
          <w:rFonts w:eastAsia="Calibri" w:cs="Times New Roman"/>
          <w:color w:val="auto"/>
          <w:szCs w:val="24"/>
        </w:rPr>
        <w:t>two</w:t>
      </w:r>
      <w:r w:rsidRPr="00DF7882" w:rsidR="001209DF">
        <w:rPr>
          <w:rFonts w:eastAsia="Calibri" w:cs="Times New Roman"/>
          <w:color w:val="auto"/>
          <w:szCs w:val="24"/>
        </w:rPr>
        <w:t xml:space="preserve"> </w:t>
      </w:r>
      <w:r w:rsidRPr="00DF7882">
        <w:rPr>
          <w:rFonts w:eastAsia="Calibri" w:cs="Times New Roman"/>
          <w:color w:val="auto"/>
          <w:szCs w:val="24"/>
        </w:rPr>
        <w:t>analysts</w:t>
      </w:r>
      <w:r>
        <w:rPr>
          <w:rFonts w:eastAsia="Calibri" w:cs="Times New Roman"/>
          <w:color w:val="auto"/>
          <w:szCs w:val="24"/>
        </w:rPr>
        <w:t xml:space="preserve">, for an annual hour burden of </w:t>
      </w:r>
      <w:r w:rsidR="00C10BDC">
        <w:rPr>
          <w:rFonts w:eastAsia="Calibri" w:cs="Times New Roman"/>
          <w:color w:val="auto"/>
          <w:szCs w:val="24"/>
        </w:rPr>
        <w:t xml:space="preserve">800 </w:t>
      </w:r>
      <w:r>
        <w:rPr>
          <w:rFonts w:eastAsia="Calibri" w:cs="Times New Roman"/>
          <w:color w:val="auto"/>
          <w:szCs w:val="24"/>
        </w:rPr>
        <w:t>hours</w:t>
      </w:r>
      <w:r w:rsidRPr="00DF7882">
        <w:rPr>
          <w:rFonts w:eastAsia="Calibri" w:cs="Times New Roman"/>
          <w:color w:val="auto"/>
          <w:szCs w:val="24"/>
        </w:rPr>
        <w:t xml:space="preserve">.  </w:t>
      </w:r>
      <w:r>
        <w:rPr>
          <w:rFonts w:eastAsia="Calibri" w:cs="Times New Roman"/>
          <w:color w:val="auto"/>
          <w:szCs w:val="24"/>
        </w:rPr>
        <w:t xml:space="preserve">TSA I-Band </w:t>
      </w:r>
      <w:r>
        <w:rPr>
          <w:rFonts w:eastAsia="Calibri" w:cs="Times New Roman"/>
          <w:color w:val="auto"/>
          <w:szCs w:val="24"/>
        </w:rPr>
        <w:lastRenderedPageBreak/>
        <w:t xml:space="preserve">employees have a fully-loaded wage rate of $66.79. </w:t>
      </w:r>
      <w:r w:rsidR="00793560">
        <w:rPr>
          <w:rFonts w:eastAsia="Calibri" w:cs="Times New Roman"/>
          <w:color w:val="auto"/>
          <w:szCs w:val="24"/>
        </w:rPr>
        <w:t xml:space="preserve"> </w:t>
      </w:r>
      <w:r>
        <w:rPr>
          <w:rFonts w:eastAsia="Calibri" w:cs="Times New Roman"/>
          <w:color w:val="auto"/>
          <w:szCs w:val="24"/>
        </w:rPr>
        <w:t xml:space="preserve">TSA </w:t>
      </w:r>
      <w:r w:rsidR="0054557A">
        <w:rPr>
          <w:rFonts w:eastAsia="Calibri" w:cs="Times New Roman"/>
          <w:color w:val="auto"/>
          <w:szCs w:val="24"/>
        </w:rPr>
        <w:t>J</w:t>
      </w:r>
      <w:r>
        <w:rPr>
          <w:rFonts w:eastAsia="Calibri" w:cs="Times New Roman"/>
          <w:color w:val="auto"/>
          <w:szCs w:val="24"/>
        </w:rPr>
        <w:t xml:space="preserve">-Band employees have a fully-loaded wage rate of $78.65. </w:t>
      </w:r>
      <w:r w:rsidR="00A9479A">
        <w:rPr>
          <w:rFonts w:eastAsia="Calibri" w:cs="Times New Roman"/>
          <w:color w:val="auto"/>
          <w:szCs w:val="24"/>
        </w:rPr>
        <w:t xml:space="preserve"> </w:t>
      </w:r>
      <w:r>
        <w:rPr>
          <w:rFonts w:eastAsia="Calibri" w:cs="Times New Roman"/>
          <w:color w:val="auto"/>
          <w:szCs w:val="24"/>
        </w:rPr>
        <w:t>TSA uses a simple average wage rate of $72.72 to estimate the hour burden costs, for an annual hour burden cost of $</w:t>
      </w:r>
      <w:r w:rsidR="00D34D37">
        <w:rPr>
          <w:rFonts w:eastAsia="Calibri" w:cs="Times New Roman"/>
          <w:color w:val="auto"/>
          <w:szCs w:val="24"/>
        </w:rPr>
        <w:t>58</w:t>
      </w:r>
      <w:r>
        <w:rPr>
          <w:rFonts w:eastAsia="Calibri" w:cs="Times New Roman"/>
          <w:color w:val="auto"/>
          <w:szCs w:val="24"/>
        </w:rPr>
        <w:t>,</w:t>
      </w:r>
      <w:r w:rsidR="00D34D37">
        <w:rPr>
          <w:rFonts w:eastAsia="Calibri" w:cs="Times New Roman"/>
          <w:color w:val="auto"/>
          <w:szCs w:val="24"/>
        </w:rPr>
        <w:t>176</w:t>
      </w:r>
      <w:r>
        <w:rPr>
          <w:rFonts w:eastAsia="Calibri" w:cs="Times New Roman"/>
          <w:color w:val="auto"/>
          <w:szCs w:val="24"/>
        </w:rPr>
        <w:t xml:space="preserve">. </w:t>
      </w:r>
      <w:r w:rsidR="0051265A">
        <w:rPr>
          <w:rFonts w:eastAsia="Calibri" w:cs="Times New Roman"/>
          <w:color w:val="auto"/>
          <w:szCs w:val="24"/>
        </w:rPr>
        <w:t xml:space="preserve"> </w:t>
      </w:r>
      <w:r>
        <w:rPr>
          <w:rFonts w:eastAsia="Calibri" w:cs="Times New Roman"/>
          <w:color w:val="auto"/>
          <w:szCs w:val="24"/>
        </w:rPr>
        <w:t>Table 2 summarizes these estimates.</w:t>
      </w:r>
    </w:p>
    <w:p w:rsidR="00D7323B" w:rsidP="00D7323B" w:rsidRDefault="00D7323B" w14:paraId="655A2E79" w14:textId="77777777">
      <w:pPr>
        <w:numPr>
          <w:ilvl w:val="12"/>
          <w:numId w:val="0"/>
        </w:numPr>
        <w:ind w:left="360"/>
        <w:rPr>
          <w:rFonts w:eastAsia="Calibri" w:cs="Times New Roman"/>
          <w:color w:val="auto"/>
          <w:szCs w:val="24"/>
        </w:rPr>
      </w:pPr>
    </w:p>
    <w:tbl>
      <w:tblPr>
        <w:tblW w:w="5000" w:type="pct"/>
        <w:tblLook w:val="04A0" w:firstRow="1" w:lastRow="0" w:firstColumn="1" w:lastColumn="0" w:noHBand="0" w:noVBand="1"/>
      </w:tblPr>
      <w:tblGrid>
        <w:gridCol w:w="2400"/>
        <w:gridCol w:w="2424"/>
        <w:gridCol w:w="1481"/>
        <w:gridCol w:w="1499"/>
        <w:gridCol w:w="1556"/>
      </w:tblGrid>
      <w:tr w:rsidRPr="00A9479A" w:rsidR="00A9479A" w:rsidTr="00A9479A" w14:paraId="08CBD83D" w14:textId="77777777">
        <w:trPr>
          <w:trHeight w:val="315"/>
        </w:trPr>
        <w:tc>
          <w:tcPr>
            <w:tcW w:w="5000" w:type="pct"/>
            <w:gridSpan w:val="5"/>
            <w:tcBorders>
              <w:top w:val="nil"/>
              <w:left w:val="nil"/>
              <w:bottom w:val="nil"/>
              <w:right w:val="nil"/>
            </w:tcBorders>
            <w:shd w:val="clear" w:color="auto" w:fill="auto"/>
            <w:noWrap/>
            <w:vAlign w:val="bottom"/>
            <w:hideMark/>
          </w:tcPr>
          <w:p w:rsidRPr="0036751E" w:rsidR="00A9479A" w:rsidP="00B44E2A" w:rsidRDefault="00A9479A" w14:paraId="4FB5B41F" w14:textId="77777777">
            <w:pPr>
              <w:rPr>
                <w:rFonts w:cs="Times New Roman"/>
                <w:color w:val="auto"/>
                <w:szCs w:val="24"/>
              </w:rPr>
            </w:pPr>
            <w:r w:rsidRPr="0036751E">
              <w:rPr>
                <w:rFonts w:cs="Times New Roman"/>
                <w:b/>
                <w:bCs/>
                <w:szCs w:val="24"/>
              </w:rPr>
              <w:t xml:space="preserve">Table 2. </w:t>
            </w:r>
            <w:r>
              <w:rPr>
                <w:rFonts w:cs="Times New Roman"/>
                <w:b/>
                <w:bCs/>
                <w:szCs w:val="24"/>
              </w:rPr>
              <w:t xml:space="preserve"> </w:t>
            </w:r>
            <w:r w:rsidRPr="0036751E">
              <w:rPr>
                <w:rFonts w:cs="Times New Roman"/>
                <w:b/>
                <w:bCs/>
                <w:szCs w:val="24"/>
              </w:rPr>
              <w:t>TSA PCSR Hour Burden and Costs</w:t>
            </w:r>
          </w:p>
        </w:tc>
      </w:tr>
      <w:tr w:rsidRPr="00A9479A" w:rsidR="00D7323B" w:rsidTr="00A9479A" w14:paraId="2E027F77" w14:textId="77777777">
        <w:trPr>
          <w:trHeight w:val="600"/>
        </w:trPr>
        <w:tc>
          <w:tcPr>
            <w:tcW w:w="1282" w:type="pct"/>
            <w:vMerge w:val="restart"/>
            <w:tcBorders>
              <w:top w:val="single" w:color="auto" w:sz="8" w:space="0"/>
              <w:left w:val="single" w:color="auto" w:sz="8" w:space="0"/>
              <w:bottom w:val="single" w:color="000000" w:sz="8" w:space="0"/>
              <w:right w:val="single" w:color="auto" w:sz="4" w:space="0"/>
            </w:tcBorders>
            <w:shd w:val="clear" w:color="auto" w:fill="auto"/>
            <w:vAlign w:val="bottom"/>
            <w:hideMark/>
          </w:tcPr>
          <w:p w:rsidRPr="0036751E" w:rsidR="00D7323B" w:rsidP="00B44E2A" w:rsidRDefault="00D7323B" w14:paraId="0F3360DF" w14:textId="77777777">
            <w:pPr>
              <w:jc w:val="center"/>
              <w:rPr>
                <w:rFonts w:cs="Times New Roman"/>
                <w:b/>
                <w:bCs/>
                <w:szCs w:val="24"/>
              </w:rPr>
            </w:pPr>
            <w:r w:rsidRPr="0036751E">
              <w:rPr>
                <w:rFonts w:cs="Times New Roman"/>
                <w:b/>
                <w:bCs/>
                <w:szCs w:val="24"/>
              </w:rPr>
              <w:t>Activity</w:t>
            </w:r>
          </w:p>
        </w:tc>
        <w:tc>
          <w:tcPr>
            <w:tcW w:w="1295" w:type="pct"/>
            <w:tcBorders>
              <w:top w:val="single" w:color="auto" w:sz="8" w:space="0"/>
              <w:left w:val="nil"/>
              <w:bottom w:val="single" w:color="auto" w:sz="4" w:space="0"/>
              <w:right w:val="single" w:color="auto" w:sz="4" w:space="0"/>
            </w:tcBorders>
            <w:shd w:val="clear" w:color="auto" w:fill="auto"/>
            <w:vAlign w:val="bottom"/>
            <w:hideMark/>
          </w:tcPr>
          <w:p w:rsidRPr="0036751E" w:rsidR="00D7323B" w:rsidP="00B44E2A" w:rsidRDefault="00D7323B" w14:paraId="41181424" w14:textId="77777777">
            <w:pPr>
              <w:rPr>
                <w:rFonts w:cs="Times New Roman"/>
                <w:b/>
                <w:bCs/>
                <w:szCs w:val="24"/>
              </w:rPr>
            </w:pPr>
            <w:r w:rsidRPr="0036751E">
              <w:rPr>
                <w:rFonts w:cs="Times New Roman"/>
                <w:b/>
                <w:bCs/>
                <w:szCs w:val="24"/>
              </w:rPr>
              <w:t>Number of Annual Responses</w:t>
            </w:r>
          </w:p>
        </w:tc>
        <w:tc>
          <w:tcPr>
            <w:tcW w:w="791" w:type="pct"/>
            <w:tcBorders>
              <w:top w:val="single" w:color="auto" w:sz="8" w:space="0"/>
              <w:left w:val="nil"/>
              <w:bottom w:val="single" w:color="auto" w:sz="4" w:space="0"/>
              <w:right w:val="single" w:color="auto" w:sz="4" w:space="0"/>
            </w:tcBorders>
            <w:shd w:val="clear" w:color="auto" w:fill="auto"/>
            <w:vAlign w:val="bottom"/>
            <w:hideMark/>
          </w:tcPr>
          <w:p w:rsidRPr="0036751E" w:rsidR="00D7323B" w:rsidP="00B44E2A" w:rsidRDefault="00D7323B" w14:paraId="53C98DB5" w14:textId="77777777">
            <w:pPr>
              <w:rPr>
                <w:rFonts w:cs="Times New Roman"/>
                <w:b/>
                <w:bCs/>
                <w:szCs w:val="24"/>
              </w:rPr>
            </w:pPr>
            <w:r w:rsidRPr="0036751E">
              <w:rPr>
                <w:rFonts w:cs="Times New Roman"/>
                <w:b/>
                <w:bCs/>
                <w:szCs w:val="24"/>
              </w:rPr>
              <w:t>Hour Burden per Response</w:t>
            </w:r>
          </w:p>
        </w:tc>
        <w:tc>
          <w:tcPr>
            <w:tcW w:w="801" w:type="pct"/>
            <w:tcBorders>
              <w:top w:val="single" w:color="auto" w:sz="8" w:space="0"/>
              <w:left w:val="nil"/>
              <w:bottom w:val="single" w:color="auto" w:sz="4" w:space="0"/>
              <w:right w:val="single" w:color="auto" w:sz="4" w:space="0"/>
            </w:tcBorders>
            <w:shd w:val="clear" w:color="auto" w:fill="auto"/>
            <w:vAlign w:val="bottom"/>
            <w:hideMark/>
          </w:tcPr>
          <w:p w:rsidRPr="0036751E" w:rsidR="00D7323B" w:rsidP="00B44E2A" w:rsidRDefault="00D7323B" w14:paraId="764E306B" w14:textId="77777777">
            <w:pPr>
              <w:rPr>
                <w:rFonts w:cs="Times New Roman"/>
                <w:b/>
                <w:bCs/>
                <w:szCs w:val="24"/>
              </w:rPr>
            </w:pPr>
            <w:r w:rsidRPr="0036751E">
              <w:rPr>
                <w:rFonts w:cs="Times New Roman"/>
                <w:b/>
                <w:bCs/>
                <w:szCs w:val="24"/>
              </w:rPr>
              <w:t>Annual Hour Burden</w:t>
            </w:r>
          </w:p>
        </w:tc>
        <w:tc>
          <w:tcPr>
            <w:tcW w:w="831" w:type="pct"/>
            <w:tcBorders>
              <w:top w:val="single" w:color="auto" w:sz="8" w:space="0"/>
              <w:left w:val="nil"/>
              <w:bottom w:val="single" w:color="auto" w:sz="4" w:space="0"/>
              <w:right w:val="single" w:color="auto" w:sz="8" w:space="0"/>
            </w:tcBorders>
            <w:shd w:val="clear" w:color="auto" w:fill="auto"/>
            <w:vAlign w:val="bottom"/>
            <w:hideMark/>
          </w:tcPr>
          <w:p w:rsidRPr="0036751E" w:rsidR="00D7323B" w:rsidP="00B44E2A" w:rsidRDefault="00D7323B" w14:paraId="30A466A4" w14:textId="77777777">
            <w:pPr>
              <w:rPr>
                <w:rFonts w:cs="Times New Roman"/>
                <w:b/>
                <w:bCs/>
                <w:szCs w:val="24"/>
              </w:rPr>
            </w:pPr>
            <w:r w:rsidRPr="0036751E">
              <w:rPr>
                <w:rFonts w:cs="Times New Roman"/>
                <w:b/>
                <w:bCs/>
                <w:szCs w:val="24"/>
              </w:rPr>
              <w:t>Annual Hour Burden Cost</w:t>
            </w:r>
          </w:p>
        </w:tc>
      </w:tr>
      <w:tr w:rsidRPr="00A9479A" w:rsidR="00D7323B" w:rsidTr="00A9479A" w14:paraId="074F8E0A" w14:textId="77777777">
        <w:trPr>
          <w:trHeight w:val="315"/>
        </w:trPr>
        <w:tc>
          <w:tcPr>
            <w:tcW w:w="1282" w:type="pct"/>
            <w:vMerge/>
            <w:tcBorders>
              <w:top w:val="single" w:color="auto" w:sz="8" w:space="0"/>
              <w:left w:val="single" w:color="auto" w:sz="8" w:space="0"/>
              <w:bottom w:val="single" w:color="000000" w:sz="8" w:space="0"/>
              <w:right w:val="single" w:color="auto" w:sz="4" w:space="0"/>
            </w:tcBorders>
            <w:vAlign w:val="center"/>
            <w:hideMark/>
          </w:tcPr>
          <w:p w:rsidRPr="0036751E" w:rsidR="00D7323B" w:rsidP="00B44E2A" w:rsidRDefault="00D7323B" w14:paraId="30E0C290" w14:textId="77777777">
            <w:pPr>
              <w:rPr>
                <w:rFonts w:cs="Times New Roman"/>
                <w:b/>
                <w:bCs/>
                <w:szCs w:val="24"/>
              </w:rPr>
            </w:pPr>
          </w:p>
        </w:tc>
        <w:tc>
          <w:tcPr>
            <w:tcW w:w="1295" w:type="pct"/>
            <w:tcBorders>
              <w:top w:val="nil"/>
              <w:left w:val="nil"/>
              <w:bottom w:val="single" w:color="auto" w:sz="8" w:space="0"/>
              <w:right w:val="single" w:color="auto" w:sz="4" w:space="0"/>
            </w:tcBorders>
            <w:shd w:val="clear" w:color="auto" w:fill="auto"/>
            <w:vAlign w:val="bottom"/>
            <w:hideMark/>
          </w:tcPr>
          <w:p w:rsidRPr="0036751E" w:rsidR="00D7323B" w:rsidP="00B44E2A" w:rsidRDefault="00D7323B" w14:paraId="3994C8FB" w14:textId="77777777">
            <w:pPr>
              <w:jc w:val="center"/>
              <w:rPr>
                <w:rFonts w:cs="Times New Roman"/>
                <w:b/>
                <w:bCs/>
                <w:szCs w:val="24"/>
              </w:rPr>
            </w:pPr>
            <w:r w:rsidRPr="0036751E">
              <w:rPr>
                <w:rFonts w:cs="Times New Roman"/>
                <w:b/>
                <w:bCs/>
                <w:szCs w:val="24"/>
              </w:rPr>
              <w:t>A</w:t>
            </w:r>
          </w:p>
        </w:tc>
        <w:tc>
          <w:tcPr>
            <w:tcW w:w="791" w:type="pct"/>
            <w:tcBorders>
              <w:top w:val="nil"/>
              <w:left w:val="nil"/>
              <w:bottom w:val="single" w:color="auto" w:sz="8" w:space="0"/>
              <w:right w:val="single" w:color="auto" w:sz="4" w:space="0"/>
            </w:tcBorders>
            <w:shd w:val="clear" w:color="auto" w:fill="auto"/>
            <w:vAlign w:val="bottom"/>
            <w:hideMark/>
          </w:tcPr>
          <w:p w:rsidRPr="0036751E" w:rsidR="00D7323B" w:rsidP="00B44E2A" w:rsidRDefault="00D7323B" w14:paraId="1BEF27A4" w14:textId="77777777">
            <w:pPr>
              <w:jc w:val="center"/>
              <w:rPr>
                <w:rFonts w:cs="Times New Roman"/>
                <w:b/>
                <w:bCs/>
                <w:szCs w:val="24"/>
              </w:rPr>
            </w:pPr>
            <w:r w:rsidRPr="0036751E">
              <w:rPr>
                <w:rFonts w:cs="Times New Roman"/>
                <w:b/>
                <w:bCs/>
                <w:szCs w:val="24"/>
              </w:rPr>
              <w:t>B</w:t>
            </w:r>
          </w:p>
        </w:tc>
        <w:tc>
          <w:tcPr>
            <w:tcW w:w="801" w:type="pct"/>
            <w:tcBorders>
              <w:top w:val="nil"/>
              <w:left w:val="nil"/>
              <w:bottom w:val="single" w:color="auto" w:sz="8" w:space="0"/>
              <w:right w:val="single" w:color="auto" w:sz="4" w:space="0"/>
            </w:tcBorders>
            <w:shd w:val="clear" w:color="auto" w:fill="auto"/>
            <w:vAlign w:val="bottom"/>
            <w:hideMark/>
          </w:tcPr>
          <w:p w:rsidRPr="0036751E" w:rsidR="00D7323B" w:rsidP="00B44E2A" w:rsidRDefault="00D7323B" w14:paraId="40D08BFB" w14:textId="77777777">
            <w:pPr>
              <w:jc w:val="center"/>
              <w:rPr>
                <w:rFonts w:cs="Times New Roman"/>
                <w:b/>
                <w:bCs/>
                <w:szCs w:val="24"/>
              </w:rPr>
            </w:pPr>
            <w:r w:rsidRPr="0036751E">
              <w:rPr>
                <w:rFonts w:cs="Times New Roman"/>
                <w:b/>
                <w:bCs/>
                <w:szCs w:val="24"/>
              </w:rPr>
              <w:t>C = A x B</w:t>
            </w:r>
          </w:p>
        </w:tc>
        <w:tc>
          <w:tcPr>
            <w:tcW w:w="831" w:type="pct"/>
            <w:tcBorders>
              <w:top w:val="nil"/>
              <w:left w:val="nil"/>
              <w:bottom w:val="single" w:color="auto" w:sz="8" w:space="0"/>
              <w:right w:val="single" w:color="auto" w:sz="8" w:space="0"/>
            </w:tcBorders>
            <w:shd w:val="clear" w:color="auto" w:fill="auto"/>
            <w:vAlign w:val="bottom"/>
            <w:hideMark/>
          </w:tcPr>
          <w:p w:rsidRPr="0036751E" w:rsidR="00D7323B" w:rsidP="00B44E2A" w:rsidRDefault="00D7323B" w14:paraId="1B96E803" w14:textId="77777777">
            <w:pPr>
              <w:jc w:val="center"/>
              <w:rPr>
                <w:rFonts w:cs="Times New Roman"/>
                <w:b/>
                <w:bCs/>
                <w:szCs w:val="24"/>
              </w:rPr>
            </w:pPr>
            <w:r w:rsidRPr="0036751E">
              <w:rPr>
                <w:rFonts w:cs="Times New Roman"/>
                <w:b/>
                <w:bCs/>
                <w:szCs w:val="24"/>
              </w:rPr>
              <w:t>D = C x $72.72</w:t>
            </w:r>
          </w:p>
        </w:tc>
      </w:tr>
      <w:tr w:rsidRPr="00A9479A" w:rsidR="00D7323B" w:rsidTr="00A9479A" w14:paraId="57CAE547" w14:textId="77777777">
        <w:trPr>
          <w:trHeight w:val="300"/>
        </w:trPr>
        <w:tc>
          <w:tcPr>
            <w:tcW w:w="1282" w:type="pct"/>
            <w:tcBorders>
              <w:top w:val="nil"/>
              <w:left w:val="single" w:color="auto" w:sz="8" w:space="0"/>
              <w:bottom w:val="single" w:color="auto" w:sz="4" w:space="0"/>
              <w:right w:val="single" w:color="auto" w:sz="4" w:space="0"/>
            </w:tcBorders>
            <w:shd w:val="clear" w:color="auto" w:fill="auto"/>
            <w:noWrap/>
            <w:vAlign w:val="bottom"/>
            <w:hideMark/>
          </w:tcPr>
          <w:p w:rsidRPr="0036751E" w:rsidR="00D7323B" w:rsidP="00B44E2A" w:rsidRDefault="00D7323B" w14:paraId="1208CC09" w14:textId="77777777">
            <w:pPr>
              <w:rPr>
                <w:rFonts w:cs="Times New Roman"/>
                <w:szCs w:val="24"/>
              </w:rPr>
            </w:pPr>
            <w:r w:rsidRPr="0036751E">
              <w:rPr>
                <w:rFonts w:cs="Times New Roman"/>
                <w:szCs w:val="24"/>
              </w:rPr>
              <w:t>PCSR</w:t>
            </w:r>
          </w:p>
        </w:tc>
        <w:tc>
          <w:tcPr>
            <w:tcW w:w="1295" w:type="pct"/>
            <w:tcBorders>
              <w:top w:val="nil"/>
              <w:left w:val="nil"/>
              <w:bottom w:val="single" w:color="auto" w:sz="4" w:space="0"/>
              <w:right w:val="single" w:color="auto" w:sz="4" w:space="0"/>
            </w:tcBorders>
            <w:shd w:val="clear" w:color="auto" w:fill="auto"/>
            <w:noWrap/>
            <w:vAlign w:val="bottom"/>
            <w:hideMark/>
          </w:tcPr>
          <w:p w:rsidRPr="0036751E" w:rsidR="00D7323B" w:rsidRDefault="0051265A" w14:paraId="768823CC" w14:textId="77777777">
            <w:pPr>
              <w:jc w:val="right"/>
              <w:rPr>
                <w:rFonts w:cs="Times New Roman"/>
                <w:szCs w:val="24"/>
              </w:rPr>
            </w:pPr>
            <w:r w:rsidRPr="0036751E">
              <w:rPr>
                <w:rFonts w:cs="Times New Roman"/>
                <w:szCs w:val="24"/>
              </w:rPr>
              <w:t>20</w:t>
            </w:r>
          </w:p>
        </w:tc>
        <w:tc>
          <w:tcPr>
            <w:tcW w:w="791" w:type="pct"/>
            <w:tcBorders>
              <w:top w:val="nil"/>
              <w:left w:val="nil"/>
              <w:bottom w:val="single" w:color="auto" w:sz="4" w:space="0"/>
              <w:right w:val="single" w:color="auto" w:sz="4" w:space="0"/>
            </w:tcBorders>
            <w:shd w:val="clear" w:color="auto" w:fill="auto"/>
            <w:noWrap/>
            <w:vAlign w:val="bottom"/>
            <w:hideMark/>
          </w:tcPr>
          <w:p w:rsidRPr="0036751E" w:rsidR="00D7323B" w:rsidP="00B44E2A" w:rsidRDefault="007710F5" w14:paraId="5FD24198" w14:textId="77777777">
            <w:pPr>
              <w:jc w:val="right"/>
              <w:rPr>
                <w:rFonts w:cs="Times New Roman"/>
                <w:szCs w:val="24"/>
              </w:rPr>
            </w:pPr>
            <w:r>
              <w:rPr>
                <w:rFonts w:cs="Times New Roman"/>
                <w:szCs w:val="24"/>
              </w:rPr>
              <w:t>40</w:t>
            </w:r>
          </w:p>
        </w:tc>
        <w:tc>
          <w:tcPr>
            <w:tcW w:w="801" w:type="pct"/>
            <w:tcBorders>
              <w:top w:val="nil"/>
              <w:left w:val="nil"/>
              <w:bottom w:val="single" w:color="auto" w:sz="4" w:space="0"/>
              <w:right w:val="single" w:color="auto" w:sz="4" w:space="0"/>
            </w:tcBorders>
            <w:shd w:val="clear" w:color="auto" w:fill="auto"/>
            <w:noWrap/>
            <w:vAlign w:val="bottom"/>
            <w:hideMark/>
          </w:tcPr>
          <w:p w:rsidRPr="0036751E" w:rsidR="00D7323B" w:rsidP="0051265A" w:rsidRDefault="007710F5" w14:paraId="202B410F" w14:textId="77777777">
            <w:pPr>
              <w:jc w:val="right"/>
              <w:rPr>
                <w:rFonts w:cs="Times New Roman"/>
                <w:szCs w:val="24"/>
              </w:rPr>
            </w:pPr>
            <w:r>
              <w:rPr>
                <w:rFonts w:cs="Times New Roman"/>
                <w:szCs w:val="24"/>
              </w:rPr>
              <w:t>800</w:t>
            </w:r>
          </w:p>
        </w:tc>
        <w:tc>
          <w:tcPr>
            <w:tcW w:w="831" w:type="pct"/>
            <w:tcBorders>
              <w:top w:val="nil"/>
              <w:left w:val="nil"/>
              <w:bottom w:val="single" w:color="auto" w:sz="4" w:space="0"/>
              <w:right w:val="single" w:color="auto" w:sz="8" w:space="0"/>
            </w:tcBorders>
            <w:shd w:val="clear" w:color="auto" w:fill="auto"/>
            <w:noWrap/>
            <w:vAlign w:val="bottom"/>
            <w:hideMark/>
          </w:tcPr>
          <w:p w:rsidRPr="0036751E" w:rsidR="00D7323B" w:rsidP="007710F5" w:rsidRDefault="00D7323B" w14:paraId="366B91F3" w14:textId="77777777">
            <w:pPr>
              <w:jc w:val="right"/>
              <w:rPr>
                <w:rFonts w:cs="Times New Roman"/>
                <w:szCs w:val="24"/>
              </w:rPr>
            </w:pPr>
            <w:r w:rsidRPr="0036751E">
              <w:rPr>
                <w:rFonts w:cs="Times New Roman"/>
                <w:szCs w:val="24"/>
              </w:rPr>
              <w:t>$</w:t>
            </w:r>
            <w:r w:rsidR="007710F5">
              <w:rPr>
                <w:rFonts w:cs="Times New Roman"/>
                <w:szCs w:val="24"/>
              </w:rPr>
              <w:t>58,176</w:t>
            </w:r>
          </w:p>
        </w:tc>
      </w:tr>
      <w:tr w:rsidRPr="00A9479A" w:rsidR="00D7323B" w:rsidTr="00A9479A" w14:paraId="58545BC5" w14:textId="77777777">
        <w:trPr>
          <w:trHeight w:val="315"/>
        </w:trPr>
        <w:tc>
          <w:tcPr>
            <w:tcW w:w="1282" w:type="pct"/>
            <w:tcBorders>
              <w:top w:val="nil"/>
              <w:left w:val="single" w:color="auto" w:sz="8" w:space="0"/>
              <w:bottom w:val="single" w:color="auto" w:sz="8" w:space="0"/>
              <w:right w:val="single" w:color="auto" w:sz="4" w:space="0"/>
            </w:tcBorders>
            <w:shd w:val="clear" w:color="auto" w:fill="auto"/>
            <w:noWrap/>
            <w:vAlign w:val="bottom"/>
            <w:hideMark/>
          </w:tcPr>
          <w:p w:rsidRPr="0036751E" w:rsidR="00D7323B" w:rsidP="00B44E2A" w:rsidRDefault="00D7323B" w14:paraId="1DCAB202" w14:textId="77777777">
            <w:pPr>
              <w:rPr>
                <w:rFonts w:cs="Times New Roman"/>
                <w:b/>
                <w:bCs/>
                <w:szCs w:val="24"/>
              </w:rPr>
            </w:pPr>
            <w:r w:rsidRPr="0036751E">
              <w:rPr>
                <w:rFonts w:cs="Times New Roman"/>
                <w:b/>
                <w:bCs/>
                <w:szCs w:val="24"/>
              </w:rPr>
              <w:t>Total</w:t>
            </w:r>
          </w:p>
        </w:tc>
        <w:tc>
          <w:tcPr>
            <w:tcW w:w="1295" w:type="pct"/>
            <w:tcBorders>
              <w:top w:val="nil"/>
              <w:left w:val="nil"/>
              <w:bottom w:val="single" w:color="auto" w:sz="8" w:space="0"/>
              <w:right w:val="single" w:color="auto" w:sz="4" w:space="0"/>
            </w:tcBorders>
            <w:shd w:val="clear" w:color="auto" w:fill="auto"/>
            <w:noWrap/>
            <w:vAlign w:val="bottom"/>
            <w:hideMark/>
          </w:tcPr>
          <w:p w:rsidRPr="0036751E" w:rsidR="00D7323B" w:rsidP="00B44E2A" w:rsidRDefault="00C10BDC" w14:paraId="041BA8B5" w14:textId="77777777">
            <w:pPr>
              <w:jc w:val="right"/>
              <w:rPr>
                <w:rFonts w:cs="Times New Roman"/>
                <w:b/>
                <w:bCs/>
                <w:szCs w:val="24"/>
              </w:rPr>
            </w:pPr>
            <w:r>
              <w:rPr>
                <w:rFonts w:cs="Times New Roman"/>
                <w:b/>
                <w:bCs/>
                <w:szCs w:val="24"/>
              </w:rPr>
              <w:t>2</w:t>
            </w:r>
            <w:r w:rsidRPr="0036751E">
              <w:rPr>
                <w:rFonts w:cs="Times New Roman"/>
                <w:b/>
                <w:bCs/>
                <w:szCs w:val="24"/>
              </w:rPr>
              <w:t>0</w:t>
            </w:r>
          </w:p>
        </w:tc>
        <w:tc>
          <w:tcPr>
            <w:tcW w:w="791" w:type="pct"/>
            <w:tcBorders>
              <w:top w:val="nil"/>
              <w:left w:val="nil"/>
              <w:bottom w:val="single" w:color="auto" w:sz="8" w:space="0"/>
              <w:right w:val="single" w:color="auto" w:sz="4" w:space="0"/>
            </w:tcBorders>
            <w:shd w:val="clear" w:color="000000" w:fill="A5A5A5"/>
            <w:noWrap/>
            <w:vAlign w:val="bottom"/>
            <w:hideMark/>
          </w:tcPr>
          <w:p w:rsidRPr="0036751E" w:rsidR="00D7323B" w:rsidP="00B44E2A" w:rsidRDefault="00D7323B" w14:paraId="3423E126" w14:textId="77777777">
            <w:pPr>
              <w:rPr>
                <w:rFonts w:cs="Times New Roman"/>
                <w:b/>
                <w:bCs/>
                <w:szCs w:val="24"/>
              </w:rPr>
            </w:pPr>
            <w:r w:rsidRPr="0036751E">
              <w:rPr>
                <w:rFonts w:cs="Times New Roman"/>
                <w:b/>
                <w:bCs/>
                <w:szCs w:val="24"/>
              </w:rPr>
              <w:t> </w:t>
            </w:r>
          </w:p>
        </w:tc>
        <w:tc>
          <w:tcPr>
            <w:tcW w:w="801" w:type="pct"/>
            <w:tcBorders>
              <w:top w:val="nil"/>
              <w:left w:val="nil"/>
              <w:bottom w:val="single" w:color="auto" w:sz="8" w:space="0"/>
              <w:right w:val="single" w:color="auto" w:sz="4" w:space="0"/>
            </w:tcBorders>
            <w:shd w:val="clear" w:color="auto" w:fill="auto"/>
            <w:noWrap/>
            <w:vAlign w:val="bottom"/>
            <w:hideMark/>
          </w:tcPr>
          <w:p w:rsidRPr="0036751E" w:rsidR="00D7323B" w:rsidP="0051265A" w:rsidRDefault="00C10BDC" w14:paraId="5F814DE3" w14:textId="77777777">
            <w:pPr>
              <w:jc w:val="right"/>
              <w:rPr>
                <w:rFonts w:cs="Times New Roman"/>
                <w:b/>
                <w:bCs/>
                <w:szCs w:val="24"/>
              </w:rPr>
            </w:pPr>
            <w:r>
              <w:rPr>
                <w:rFonts w:cs="Times New Roman"/>
                <w:b/>
                <w:bCs/>
                <w:szCs w:val="24"/>
              </w:rPr>
              <w:t>800</w:t>
            </w:r>
          </w:p>
        </w:tc>
        <w:tc>
          <w:tcPr>
            <w:tcW w:w="831" w:type="pct"/>
            <w:tcBorders>
              <w:top w:val="nil"/>
              <w:left w:val="nil"/>
              <w:bottom w:val="single" w:color="auto" w:sz="8" w:space="0"/>
              <w:right w:val="single" w:color="auto" w:sz="8" w:space="0"/>
            </w:tcBorders>
            <w:shd w:val="clear" w:color="auto" w:fill="auto"/>
            <w:noWrap/>
            <w:vAlign w:val="bottom"/>
            <w:hideMark/>
          </w:tcPr>
          <w:p w:rsidRPr="0036751E" w:rsidR="00D7323B" w:rsidP="00D34D37" w:rsidRDefault="00D7323B" w14:paraId="7E95EA8F" w14:textId="77777777">
            <w:pPr>
              <w:jc w:val="right"/>
              <w:rPr>
                <w:rFonts w:cs="Times New Roman"/>
                <w:b/>
                <w:bCs/>
                <w:szCs w:val="24"/>
              </w:rPr>
            </w:pPr>
            <w:r w:rsidRPr="0036751E">
              <w:rPr>
                <w:rFonts w:cs="Times New Roman"/>
                <w:b/>
                <w:bCs/>
                <w:szCs w:val="24"/>
              </w:rPr>
              <w:t>$</w:t>
            </w:r>
            <w:r w:rsidR="001209DF">
              <w:rPr>
                <w:rFonts w:cs="Times New Roman"/>
                <w:b/>
                <w:bCs/>
                <w:szCs w:val="24"/>
              </w:rPr>
              <w:t>58</w:t>
            </w:r>
            <w:r w:rsidRPr="0036751E">
              <w:rPr>
                <w:rFonts w:cs="Times New Roman"/>
                <w:b/>
                <w:bCs/>
                <w:szCs w:val="24"/>
              </w:rPr>
              <w:t>,</w:t>
            </w:r>
            <w:r w:rsidR="001209DF">
              <w:rPr>
                <w:rFonts w:cs="Times New Roman"/>
                <w:b/>
                <w:bCs/>
                <w:szCs w:val="24"/>
              </w:rPr>
              <w:t>176</w:t>
            </w:r>
          </w:p>
        </w:tc>
      </w:tr>
    </w:tbl>
    <w:p w:rsidRPr="0036751E" w:rsidR="00D7323B" w:rsidP="00BB78AB" w:rsidRDefault="00D7323B" w14:paraId="37517D18" w14:textId="77777777">
      <w:pPr>
        <w:pStyle w:val="IndexHeading"/>
        <w:keepNext w:val="0"/>
        <w:numPr>
          <w:ilvl w:val="12"/>
          <w:numId w:val="0"/>
        </w:numPr>
        <w:spacing w:line="240" w:lineRule="auto"/>
        <w:rPr>
          <w:rFonts w:ascii="Times New Roman" w:hAnsi="Times New Roman" w:eastAsia="Calibri"/>
          <w:szCs w:val="24"/>
        </w:rPr>
      </w:pPr>
    </w:p>
    <w:p w:rsidR="00D7323B" w:rsidP="00275594" w:rsidRDefault="00D7323B" w14:paraId="4C38C41B" w14:textId="77777777">
      <w:pPr>
        <w:pStyle w:val="IndexHeading"/>
        <w:keepNext w:val="0"/>
        <w:numPr>
          <w:ilvl w:val="12"/>
          <w:numId w:val="0"/>
        </w:numPr>
        <w:spacing w:line="240" w:lineRule="auto"/>
        <w:ind w:left="360"/>
        <w:rPr>
          <w:rFonts w:ascii="Times New Roman" w:hAnsi="Times New Roman"/>
          <w:spacing w:val="0"/>
        </w:rPr>
      </w:pPr>
      <w:r>
        <w:rPr>
          <w:rFonts w:ascii="Times New Roman" w:hAnsi="Times New Roman"/>
          <w:spacing w:val="0"/>
        </w:rPr>
        <w:t>In addition, TSA expends an estimated $</w:t>
      </w:r>
      <w:r w:rsidR="00286225">
        <w:rPr>
          <w:rFonts w:ascii="Times New Roman" w:hAnsi="Times New Roman"/>
          <w:spacing w:val="0"/>
        </w:rPr>
        <w:t>24</w:t>
      </w:r>
      <w:r>
        <w:rPr>
          <w:rFonts w:ascii="Times New Roman" w:hAnsi="Times New Roman"/>
          <w:spacing w:val="0"/>
        </w:rPr>
        <w:t>,</w:t>
      </w:r>
      <w:r w:rsidR="00286225">
        <w:rPr>
          <w:rFonts w:ascii="Times New Roman" w:hAnsi="Times New Roman"/>
          <w:spacing w:val="0"/>
        </w:rPr>
        <w:t>0</w:t>
      </w:r>
      <w:r>
        <w:rPr>
          <w:rFonts w:ascii="Times New Roman" w:hAnsi="Times New Roman"/>
          <w:spacing w:val="0"/>
        </w:rPr>
        <w:t xml:space="preserve">00 in travel costs to support the PCSR process. </w:t>
      </w:r>
      <w:r w:rsidR="0051265A">
        <w:rPr>
          <w:rFonts w:ascii="Times New Roman" w:hAnsi="Times New Roman"/>
          <w:spacing w:val="0"/>
        </w:rPr>
        <w:t xml:space="preserve"> </w:t>
      </w:r>
      <w:r>
        <w:rPr>
          <w:rFonts w:ascii="Times New Roman" w:hAnsi="Times New Roman"/>
          <w:spacing w:val="0"/>
        </w:rPr>
        <w:t>This brings the total TSA annual costs $</w:t>
      </w:r>
      <w:r w:rsidR="00286225">
        <w:rPr>
          <w:rFonts w:ascii="Times New Roman" w:hAnsi="Times New Roman"/>
          <w:spacing w:val="0"/>
        </w:rPr>
        <w:t>82,176</w:t>
      </w:r>
      <w:r>
        <w:rPr>
          <w:rFonts w:ascii="Times New Roman" w:hAnsi="Times New Roman"/>
          <w:spacing w:val="0"/>
        </w:rPr>
        <w:t>.</w:t>
      </w:r>
    </w:p>
    <w:p w:rsidR="009F2633" w:rsidP="00BB78AB" w:rsidRDefault="009F2633" w14:paraId="38C8171A" w14:textId="77777777">
      <w:pPr>
        <w:pStyle w:val="IndexHeading"/>
        <w:keepNext w:val="0"/>
        <w:numPr>
          <w:ilvl w:val="12"/>
          <w:numId w:val="0"/>
        </w:numPr>
        <w:spacing w:line="240" w:lineRule="auto"/>
        <w:rPr>
          <w:rFonts w:ascii="Times New Roman" w:hAnsi="Times New Roman"/>
          <w:spacing w:val="0"/>
        </w:rPr>
      </w:pPr>
    </w:p>
    <w:p w:rsidR="009F2633" w:rsidP="00CB065A" w:rsidRDefault="009F2633" w14:paraId="6F2B0B5F" w14:textId="77777777">
      <w:pPr>
        <w:keepNext/>
        <w:numPr>
          <w:ilvl w:val="0"/>
          <w:numId w:val="25"/>
        </w:numPr>
        <w:tabs>
          <w:tab w:val="left" w:pos="360"/>
        </w:tabs>
        <w:rPr>
          <w:b/>
          <w:i/>
        </w:rPr>
      </w:pPr>
      <w:r>
        <w:rPr>
          <w:b/>
          <w:i/>
        </w:rPr>
        <w:t>Explain the reasons for any program changes or adjustments reported in Items 13 or 14 of the OMB Form 83-I.</w:t>
      </w:r>
    </w:p>
    <w:p w:rsidR="009F2633" w:rsidP="00BB78AB" w:rsidRDefault="009F2633" w14:paraId="61602DED" w14:textId="77777777">
      <w:pPr>
        <w:keepNext/>
        <w:numPr>
          <w:ilvl w:val="12"/>
          <w:numId w:val="0"/>
        </w:numPr>
        <w:ind w:left="360"/>
      </w:pPr>
    </w:p>
    <w:p w:rsidR="00A26549" w:rsidP="00A26549" w:rsidRDefault="00A26549" w14:paraId="41CEC506" w14:textId="77777777">
      <w:pPr>
        <w:keepNext/>
        <w:numPr>
          <w:ilvl w:val="12"/>
          <w:numId w:val="0"/>
        </w:numPr>
        <w:ind w:left="360"/>
        <w:rPr>
          <w:rFonts w:cs="Times New Roman"/>
          <w:szCs w:val="24"/>
        </w:rPr>
      </w:pPr>
      <w:r>
        <w:rPr>
          <w:rFonts w:cs="Times New Roman"/>
          <w:szCs w:val="24"/>
        </w:rPr>
        <w:t>There are no program changes from the previously reported information; however, TSA is adding the mandatory submission of cybersecurity plan, third party evaluation and certification to this collection as described above related to the emergency request.</w:t>
      </w:r>
    </w:p>
    <w:p w:rsidR="009F2633" w:rsidP="00BB78AB" w:rsidRDefault="009F2633" w14:paraId="46F722C2" w14:textId="77777777">
      <w:pPr>
        <w:pStyle w:val="IndexHeading"/>
        <w:keepNext w:val="0"/>
        <w:numPr>
          <w:ilvl w:val="12"/>
          <w:numId w:val="0"/>
        </w:numPr>
        <w:spacing w:line="240" w:lineRule="auto"/>
        <w:rPr>
          <w:rFonts w:ascii="Times New Roman" w:hAnsi="Times New Roman"/>
          <w:spacing w:val="0"/>
        </w:rPr>
      </w:pPr>
    </w:p>
    <w:p w:rsidR="009F2633" w:rsidP="00CB065A" w:rsidRDefault="009F2633" w14:paraId="11FD3469" w14:textId="77777777">
      <w:pPr>
        <w:keepNext/>
        <w:numPr>
          <w:ilvl w:val="0"/>
          <w:numId w:val="25"/>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F2633" w:rsidP="00BB78AB" w:rsidRDefault="009F2633" w14:paraId="39D06202" w14:textId="77777777">
      <w:pPr>
        <w:keepNext/>
        <w:numPr>
          <w:ilvl w:val="12"/>
          <w:numId w:val="0"/>
        </w:numPr>
        <w:ind w:left="360"/>
      </w:pPr>
    </w:p>
    <w:p w:rsidR="009F2633" w:rsidP="00BB78AB" w:rsidRDefault="000A4DF4" w14:paraId="0A4CB39B" w14:textId="57C1310A">
      <w:pPr>
        <w:numPr>
          <w:ilvl w:val="12"/>
          <w:numId w:val="0"/>
        </w:numPr>
        <w:ind w:left="360"/>
      </w:pPr>
      <w:r>
        <w:t>S</w:t>
      </w:r>
      <w:r w:rsidR="00597505">
        <w:t>ecurity information collected during the PCSR will not be published</w:t>
      </w:r>
      <w:r w:rsidR="00263F3D">
        <w:t xml:space="preserve"> or shared</w:t>
      </w:r>
      <w:r w:rsidR="00597505">
        <w:t>.</w:t>
      </w:r>
      <w:r w:rsidR="00BD7F25">
        <w:t xml:space="preserve"> </w:t>
      </w:r>
      <w:r w:rsidR="00597505">
        <w:t xml:space="preserve"> </w:t>
      </w:r>
      <w:r w:rsidR="0043723F">
        <w:t>To the extent i</w:t>
      </w:r>
      <w:r w:rsidR="00597505">
        <w:t xml:space="preserve">nformation collected via the PCSR process is considered to be </w:t>
      </w:r>
      <w:r w:rsidR="0043723F">
        <w:t>S</w:t>
      </w:r>
      <w:r w:rsidR="00597505">
        <w:t>SI,</w:t>
      </w:r>
      <w:r w:rsidR="0043723F">
        <w:t xml:space="preserve"> it will be</w:t>
      </w:r>
      <w:r w:rsidR="00597505">
        <w:t xml:space="preserve"> protected from disclosure and publication, and will be handled as described in 49 CFR </w:t>
      </w:r>
      <w:r w:rsidR="00A9479A">
        <w:t>p</w:t>
      </w:r>
      <w:r w:rsidR="00597505">
        <w:t xml:space="preserve">arts 15 and 1520. </w:t>
      </w:r>
    </w:p>
    <w:p w:rsidR="001B05F7" w:rsidP="00BB78AB" w:rsidRDefault="001B05F7" w14:paraId="2983414C" w14:textId="0DA53005">
      <w:pPr>
        <w:numPr>
          <w:ilvl w:val="12"/>
          <w:numId w:val="0"/>
        </w:numPr>
        <w:ind w:left="360"/>
      </w:pPr>
    </w:p>
    <w:p w:rsidR="001B05F7" w:rsidP="00BB78AB" w:rsidRDefault="001B05F7" w14:paraId="152FF700" w14:textId="179E47B2">
      <w:pPr>
        <w:numPr>
          <w:ilvl w:val="12"/>
          <w:numId w:val="0"/>
        </w:numPr>
        <w:ind w:left="360"/>
      </w:pPr>
      <w:r>
        <w:t>Regarding the emergency request, no information resulting from the collections under the SD will be published.</w:t>
      </w:r>
    </w:p>
    <w:p w:rsidR="009F2633" w:rsidP="00BB78AB" w:rsidRDefault="009F2633" w14:paraId="3B9302B9" w14:textId="77777777">
      <w:pPr>
        <w:pStyle w:val="IndexHeading"/>
        <w:keepNext w:val="0"/>
        <w:numPr>
          <w:ilvl w:val="12"/>
          <w:numId w:val="0"/>
        </w:numPr>
        <w:spacing w:line="240" w:lineRule="auto"/>
        <w:rPr>
          <w:rFonts w:ascii="Times New Roman" w:hAnsi="Times New Roman"/>
          <w:spacing w:val="0"/>
        </w:rPr>
      </w:pPr>
    </w:p>
    <w:p w:rsidR="009F2633" w:rsidP="00CB065A" w:rsidRDefault="009F2633" w14:paraId="11DC3CA4" w14:textId="77777777">
      <w:pPr>
        <w:keepNext/>
        <w:numPr>
          <w:ilvl w:val="0"/>
          <w:numId w:val="25"/>
        </w:numPr>
        <w:tabs>
          <w:tab w:val="left" w:pos="360"/>
        </w:tabs>
        <w:rPr>
          <w:b/>
          <w:i/>
        </w:rPr>
      </w:pPr>
      <w:r>
        <w:rPr>
          <w:b/>
          <w:i/>
        </w:rPr>
        <w:t>If seeking approval to not display the expiration date for OMB approval of the information collection, explain the reasons that display would be inappropriate.</w:t>
      </w:r>
    </w:p>
    <w:p w:rsidR="009F2633" w:rsidP="00BB78AB" w:rsidRDefault="009F2633" w14:paraId="490F135A" w14:textId="77777777">
      <w:pPr>
        <w:keepNext/>
        <w:numPr>
          <w:ilvl w:val="12"/>
          <w:numId w:val="0"/>
        </w:numPr>
        <w:ind w:left="360"/>
      </w:pPr>
    </w:p>
    <w:p w:rsidR="009F2633" w:rsidP="00BB78AB" w:rsidRDefault="00597505" w14:paraId="6266513D" w14:textId="77777777">
      <w:pPr>
        <w:numPr>
          <w:ilvl w:val="12"/>
          <w:numId w:val="0"/>
        </w:numPr>
        <w:ind w:left="360"/>
      </w:pPr>
      <w:r>
        <w:t>Not applicable.</w:t>
      </w:r>
    </w:p>
    <w:p w:rsidR="009F2633" w:rsidP="00BB78AB" w:rsidRDefault="009F2633" w14:paraId="0A47806F" w14:textId="77777777">
      <w:pPr>
        <w:numPr>
          <w:ilvl w:val="12"/>
          <w:numId w:val="0"/>
        </w:numPr>
        <w:tabs>
          <w:tab w:val="left" w:pos="360"/>
        </w:tabs>
      </w:pPr>
    </w:p>
    <w:p w:rsidR="009F2633" w:rsidP="00CB065A" w:rsidRDefault="009F2633" w14:paraId="7416CBAF" w14:textId="77777777">
      <w:pPr>
        <w:keepNext/>
        <w:numPr>
          <w:ilvl w:val="0"/>
          <w:numId w:val="25"/>
        </w:numPr>
        <w:tabs>
          <w:tab w:val="left" w:pos="360"/>
        </w:tabs>
        <w:rPr>
          <w:b/>
          <w:i/>
        </w:rPr>
      </w:pPr>
      <w:r>
        <w:rPr>
          <w:b/>
          <w:i/>
        </w:rPr>
        <w:t>Explain each exception to the certification statement identified in Item 19, “Certification for Paperwork Reduction Act Submissions,” of OMB Form 83-I.</w:t>
      </w:r>
    </w:p>
    <w:p w:rsidR="009F2633" w:rsidP="00BB78AB" w:rsidRDefault="009F2633" w14:paraId="2990DC9B" w14:textId="77777777">
      <w:pPr>
        <w:keepNext/>
        <w:numPr>
          <w:ilvl w:val="12"/>
          <w:numId w:val="0"/>
        </w:numPr>
        <w:ind w:left="360"/>
      </w:pPr>
    </w:p>
    <w:p w:rsidR="009F2633" w:rsidP="00BB78AB" w:rsidRDefault="00597505" w14:paraId="356BECAB" w14:textId="77777777">
      <w:pPr>
        <w:numPr>
          <w:ilvl w:val="12"/>
          <w:numId w:val="0"/>
        </w:numPr>
        <w:ind w:left="360"/>
      </w:pPr>
      <w:r>
        <w:t xml:space="preserve">No exceptions noted. </w:t>
      </w:r>
    </w:p>
    <w:p w:rsidRPr="008167AF" w:rsidR="009F2633" w:rsidP="008167AF" w:rsidRDefault="009F2633" w14:paraId="0863251B" w14:textId="77777777"/>
    <w:sectPr w:rsidRPr="008167AF" w:rsidR="009F2633" w:rsidSect="009F2633">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F375C" w14:textId="77777777" w:rsidR="00291B72" w:rsidRDefault="00291B72">
      <w:r>
        <w:separator/>
      </w:r>
    </w:p>
  </w:endnote>
  <w:endnote w:type="continuationSeparator" w:id="0">
    <w:p w14:paraId="2D2F5EFB" w14:textId="77777777" w:rsidR="00291B72" w:rsidRDefault="0029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2015F" w14:textId="77777777" w:rsidR="004273D5" w:rsidRDefault="00427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FACA6" w14:textId="77777777" w:rsidR="004273D5" w:rsidRDefault="004273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0247B" w14:textId="77777777" w:rsidR="00B44E2A" w:rsidRPr="00B55414" w:rsidRDefault="00B44E2A">
    <w:pPr>
      <w:tabs>
        <w:tab w:val="left" w:pos="0"/>
        <w:tab w:val="right" w:pos="6984"/>
        <w:tab w:val="left" w:pos="7034"/>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7B334" w14:textId="77777777" w:rsidR="00291B72" w:rsidRDefault="00291B72">
      <w:r>
        <w:separator/>
      </w:r>
    </w:p>
  </w:footnote>
  <w:footnote w:type="continuationSeparator" w:id="0">
    <w:p w14:paraId="2CD7C3BE" w14:textId="77777777" w:rsidR="00291B72" w:rsidRDefault="00291B72">
      <w:r>
        <w:continuationSeparator/>
      </w:r>
    </w:p>
  </w:footnote>
  <w:footnote w:id="1">
    <w:p w14:paraId="5B393F97" w14:textId="4CADCD9D" w:rsidR="00C9717E" w:rsidRDefault="00C9717E">
      <w:pPr>
        <w:pStyle w:val="FootnoteText"/>
      </w:pPr>
      <w:r>
        <w:rPr>
          <w:rStyle w:val="FootnoteReference"/>
        </w:rPr>
        <w:footnoteRef/>
      </w:r>
      <w:r>
        <w:t xml:space="preserve"> </w:t>
      </w:r>
      <w:r w:rsidRPr="00C9717E">
        <w:t>Notwithstanding any other provision of law or executive order (including an executive order requiring a cost-benefit analysis), if the Administrator determines that a regulation or security directive must be issued immediately in order to protect transportation security, the Administrator shall issue the regulation or security directive without providing notice or an opportunity for comment and without prior approval of the Secretary.</w:t>
      </w:r>
    </w:p>
  </w:footnote>
  <w:footnote w:id="2">
    <w:p w14:paraId="74F7C58A" w14:textId="77777777" w:rsidR="00B44E2A" w:rsidRDefault="00B44E2A" w:rsidP="00D7323B">
      <w:pPr>
        <w:pStyle w:val="FootnoteText"/>
      </w:pPr>
      <w:r>
        <w:rPr>
          <w:rStyle w:val="FootnoteReference"/>
        </w:rPr>
        <w:footnoteRef/>
      </w:r>
      <w:r>
        <w:t xml:space="preserve"> A fully-loaded wage rate accounts for non-salary cost of employee compensation, such as health and retirement benefits.</w:t>
      </w:r>
    </w:p>
  </w:footnote>
  <w:footnote w:id="3">
    <w:p w14:paraId="6062397D" w14:textId="77777777" w:rsidR="00B44E2A" w:rsidRDefault="00B44E2A" w:rsidP="0036751E">
      <w:r>
        <w:rPr>
          <w:rStyle w:val="FootnoteReference"/>
        </w:rPr>
        <w:footnoteRef/>
      </w:r>
      <w:r>
        <w:t xml:space="preserve"> </w:t>
      </w:r>
      <w:r w:rsidRPr="00CB06E1">
        <w:rPr>
          <w:rFonts w:cs="Times New Roman"/>
          <w:sz w:val="20"/>
        </w:rPr>
        <w:t xml:space="preserve">The unloaded wage rate for a General and Operations Manager is $60.76. </w:t>
      </w:r>
      <w:r>
        <w:rPr>
          <w:rFonts w:cs="Times New Roman"/>
          <w:sz w:val="20"/>
        </w:rPr>
        <w:t xml:space="preserve"> </w:t>
      </w:r>
      <w:r w:rsidRPr="00CB06E1">
        <w:rPr>
          <w:rFonts w:cs="Times New Roman"/>
          <w:sz w:val="20"/>
        </w:rPr>
        <w:t xml:space="preserve">BLS. </w:t>
      </w:r>
      <w:r>
        <w:rPr>
          <w:rFonts w:cs="Times New Roman"/>
          <w:sz w:val="20"/>
        </w:rPr>
        <w:t xml:space="preserve"> </w:t>
      </w:r>
      <w:r w:rsidRPr="00CB06E1">
        <w:rPr>
          <w:rFonts w:cs="Times New Roman"/>
          <w:sz w:val="20"/>
        </w:rPr>
        <w:t xml:space="preserve">May 2017 National Industry-Specific Occupational Employment and Wage Estimates. </w:t>
      </w:r>
      <w:r>
        <w:rPr>
          <w:rFonts w:cs="Times New Roman"/>
          <w:sz w:val="20"/>
        </w:rPr>
        <w:t xml:space="preserve"> </w:t>
      </w:r>
      <w:r w:rsidRPr="00CB06E1">
        <w:rPr>
          <w:rFonts w:cs="Times New Roman"/>
          <w:sz w:val="20"/>
        </w:rPr>
        <w:t xml:space="preserve">NAICS 486000 - Pipeline Transportation. OCC 11-1021 General and Operations Managers. Last modified March 30, 2018 (accessed March 28, 2019). </w:t>
      </w:r>
      <w:r w:rsidRPr="00937D9B">
        <w:rPr>
          <w:rFonts w:cs="Times New Roman"/>
          <w:sz w:val="20"/>
        </w:rPr>
        <w:t>https://www.bls.gov/oes/2017/May/naics3_486000.htm</w:t>
      </w:r>
      <w:r>
        <w:rPr>
          <w:rFonts w:cs="Times New Roman"/>
          <w:sz w:val="20"/>
        </w:rPr>
        <w:t>.  To load the wage rate, TSA calculates a load factor to inflate the wage rate to account for benefits.  The load factor is 1.51245.  The fully-loaded wage rate is $91.90.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7388F" w14:textId="77777777" w:rsidR="004273D5" w:rsidRDefault="00427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7779F" w14:textId="2991AEA5" w:rsidR="00B44E2A" w:rsidRDefault="00B44E2A">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B608F6">
      <w:rPr>
        <w:rStyle w:val="PageNumber"/>
        <w:rFonts w:ascii="Times New Roman" w:hAnsi="Times New Roman"/>
        <w:noProof/>
        <w:sz w:val="24"/>
      </w:rPr>
      <w:t>8</w:t>
    </w:r>
    <w:r>
      <w:rPr>
        <w:rStyle w:val="PageNumber"/>
        <w:rFonts w:ascii="Times New Roman" w:hAnsi="Times New Roman"/>
        <w:sz w:val="24"/>
      </w:rPr>
      <w:fldChar w:fldCharType="end"/>
    </w:r>
  </w:p>
  <w:p w14:paraId="1DF4FBC9" w14:textId="77777777" w:rsidR="00B44E2A" w:rsidRPr="00320387" w:rsidRDefault="00B44E2A">
    <w:pPr>
      <w:pStyle w:val="Header"/>
      <w:keepLines w:val="0"/>
      <w:spacing w:line="240" w:lineRule="auto"/>
      <w:ind w:left="0"/>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8C3CB" w14:textId="77777777" w:rsidR="00B44E2A" w:rsidRDefault="00B44E2A">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7CEC4A83" w14:textId="77777777" w:rsidR="00B44E2A" w:rsidRDefault="00B44E2A">
    <w:pPr>
      <w:jc w:val="center"/>
      <w:rPr>
        <w:rFonts w:cs="Times New Roman"/>
        <w:b/>
        <w:sz w:val="28"/>
      </w:rPr>
    </w:pPr>
  </w:p>
  <w:p w14:paraId="0FF388E4" w14:textId="77777777" w:rsidR="00B44E2A" w:rsidRDefault="00B44E2A">
    <w:pPr>
      <w:jc w:val="center"/>
      <w:rPr>
        <w:rFonts w:cs="Times New Roman"/>
        <w:b/>
        <w:sz w:val="28"/>
      </w:rPr>
    </w:pPr>
    <w:r>
      <w:rPr>
        <w:rFonts w:cs="Times New Roman"/>
        <w:b/>
        <w:sz w:val="28"/>
      </w:rPr>
      <w:t>Pipeline Corporate Security Review (PCSR)</w:t>
    </w:r>
  </w:p>
  <w:p w14:paraId="0CD74BB4" w14:textId="77777777" w:rsidR="00B44E2A" w:rsidRDefault="00B44E2A">
    <w:pPr>
      <w:jc w:val="center"/>
      <w:rPr>
        <w:rFonts w:cs="Times New Roman"/>
        <w:b/>
        <w:sz w:val="28"/>
      </w:rPr>
    </w:pPr>
    <w:r>
      <w:rPr>
        <w:rFonts w:cs="Times New Roman"/>
        <w:b/>
        <w:sz w:val="28"/>
      </w:rPr>
      <w:t>OMB control number 1652-0056</w:t>
    </w:r>
  </w:p>
  <w:p w14:paraId="3A7FE6B2" w14:textId="3202899C" w:rsidR="00B44E2A" w:rsidRDefault="00B44E2A">
    <w:pPr>
      <w:jc w:val="center"/>
      <w:rPr>
        <w:rFonts w:cs="Times New Roman"/>
        <w:b/>
        <w:sz w:val="28"/>
      </w:rPr>
    </w:pPr>
    <w:r>
      <w:rPr>
        <w:rFonts w:cs="Times New Roman"/>
        <w:b/>
        <w:sz w:val="28"/>
      </w:rPr>
      <w:t>Exp.:  0</w:t>
    </w:r>
    <w:r w:rsidR="004273D5">
      <w:rPr>
        <w:rFonts w:cs="Times New Roman"/>
        <w:b/>
        <w:sz w:val="28"/>
      </w:rPr>
      <w:t>1</w:t>
    </w:r>
    <w:r>
      <w:rPr>
        <w:rFonts w:cs="Times New Roman"/>
        <w:b/>
        <w:sz w:val="28"/>
      </w:rPr>
      <w:t>/</w:t>
    </w:r>
    <w:r w:rsidR="004273D5">
      <w:rPr>
        <w:rFonts w:cs="Times New Roman"/>
        <w:b/>
        <w:sz w:val="28"/>
      </w:rPr>
      <w:t>31</w:t>
    </w:r>
    <w:r w:rsidR="0069427F">
      <w:rPr>
        <w:rFonts w:cs="Times New Roman"/>
        <w:b/>
        <w:sz w:val="28"/>
      </w:rPr>
      <w:t>/</w:t>
    </w:r>
    <w:r>
      <w:rPr>
        <w:rFonts w:cs="Times New Roman"/>
        <w:b/>
        <w:sz w:val="28"/>
      </w:rPr>
      <w:t>202</w:t>
    </w:r>
    <w:r w:rsidR="004273D5">
      <w:rPr>
        <w:rFonts w:cs="Times New Roman"/>
        <w:b/>
        <w:sz w:val="28"/>
      </w:rPr>
      <w:t>2</w:t>
    </w:r>
  </w:p>
  <w:p w14:paraId="57C21E3E" w14:textId="77777777" w:rsidR="00B44E2A" w:rsidRDefault="00B44E2A">
    <w:pPr>
      <w:jc w:val="center"/>
      <w:rPr>
        <w:rFonts w:cs="Times New Roman"/>
        <w:b/>
        <w:sz w:val="28"/>
      </w:rPr>
    </w:pPr>
  </w:p>
  <w:p w14:paraId="4D0F19B9" w14:textId="77777777" w:rsidR="00B44E2A" w:rsidRDefault="00B44E2A" w:rsidP="009F2633">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6489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482D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3A18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1C2C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46A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454C8"/>
    <w:multiLevelType w:val="hybridMultilevel"/>
    <w:tmpl w:val="0868B9B8"/>
    <w:lvl w:ilvl="0" w:tplc="A58A2E6A">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F86D66"/>
    <w:multiLevelType w:val="hybridMultilevel"/>
    <w:tmpl w:val="7F40376E"/>
    <w:lvl w:ilvl="0" w:tplc="3A8673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CC0784"/>
    <w:multiLevelType w:val="hybridMultilevel"/>
    <w:tmpl w:val="F7868B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4" w15:restartNumberingAfterBreak="0">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5" w15:restartNumberingAfterBreak="0">
    <w:nsid w:val="1EAB3EB1"/>
    <w:multiLevelType w:val="hybridMultilevel"/>
    <w:tmpl w:val="8DD21E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7F19AE"/>
    <w:multiLevelType w:val="hybridMultilevel"/>
    <w:tmpl w:val="DD42CC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A7246E"/>
    <w:multiLevelType w:val="hybridMultilevel"/>
    <w:tmpl w:val="943A21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6E7A9B"/>
    <w:multiLevelType w:val="hybridMultilevel"/>
    <w:tmpl w:val="AA4C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A17D58"/>
    <w:multiLevelType w:val="hybridMultilevel"/>
    <w:tmpl w:val="7D0CC6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4858F5"/>
    <w:multiLevelType w:val="hybridMultilevel"/>
    <w:tmpl w:val="CEE475D0"/>
    <w:lvl w:ilvl="0" w:tplc="73062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420E8"/>
    <w:multiLevelType w:val="hybridMultilevel"/>
    <w:tmpl w:val="260AB058"/>
    <w:lvl w:ilvl="0" w:tplc="E14496F4">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23" w15:restartNumberingAfterBreak="0">
    <w:nsid w:val="3F7C327F"/>
    <w:multiLevelType w:val="hybridMultilevel"/>
    <w:tmpl w:val="9126E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DE14CE"/>
    <w:multiLevelType w:val="hybridMultilevel"/>
    <w:tmpl w:val="D2A6B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7B4128"/>
    <w:multiLevelType w:val="hybridMultilevel"/>
    <w:tmpl w:val="D6061C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27" w15:restartNumberingAfterBreak="0">
    <w:nsid w:val="4D5620BC"/>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4E501BC1"/>
    <w:multiLevelType w:val="hybridMultilevel"/>
    <w:tmpl w:val="E8D848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9B37B6"/>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0E106FE"/>
    <w:multiLevelType w:val="hybridMultilevel"/>
    <w:tmpl w:val="BC4408DE"/>
    <w:lvl w:ilvl="0" w:tplc="B828578A">
      <w:start w:val="1"/>
      <w:numFmt w:val="decimal"/>
      <w:lvlText w:val="%1."/>
      <w:lvlJc w:val="left"/>
      <w:pPr>
        <w:ind w:left="2220" w:hanging="10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15:restartNumberingAfterBreak="0">
    <w:nsid w:val="56FE114A"/>
    <w:multiLevelType w:val="hybridMultilevel"/>
    <w:tmpl w:val="459868E6"/>
    <w:lvl w:ilvl="0" w:tplc="B828578A">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A9756E"/>
    <w:multiLevelType w:val="hybridMultilevel"/>
    <w:tmpl w:val="8DF4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740CB"/>
    <w:multiLevelType w:val="hybridMultilevel"/>
    <w:tmpl w:val="77161B00"/>
    <w:lvl w:ilvl="0" w:tplc="C0C03CC4">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15:restartNumberingAfterBreak="0">
    <w:nsid w:val="71A921A9"/>
    <w:multiLevelType w:val="hybridMultilevel"/>
    <w:tmpl w:val="ECCE5D9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36" w15:restartNumberingAfterBreak="0">
    <w:nsid w:val="7A5C6986"/>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7AA85F46"/>
    <w:multiLevelType w:val="singleLevel"/>
    <w:tmpl w:val="0409001B"/>
    <w:lvl w:ilvl="0">
      <w:start w:val="1"/>
      <w:numFmt w:val="lowerRoman"/>
      <w:lvlText w:val="%1."/>
      <w:lvlJc w:val="right"/>
      <w:pPr>
        <w:tabs>
          <w:tab w:val="num" w:pos="504"/>
        </w:tabs>
        <w:ind w:left="504" w:hanging="216"/>
      </w:pPr>
    </w:lvl>
  </w:abstractNum>
  <w:abstractNum w:abstractNumId="38" w15:restartNumberingAfterBreak="0">
    <w:nsid w:val="7AEA3DED"/>
    <w:multiLevelType w:val="hybridMultilevel"/>
    <w:tmpl w:val="EE3AA8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BB0034"/>
    <w:multiLevelType w:val="singleLevel"/>
    <w:tmpl w:val="01AA2A8A"/>
    <w:lvl w:ilvl="0">
      <w:numFmt w:val="decimal"/>
      <w:lvlText w:val="%1"/>
      <w:legacy w:legacy="1" w:legacySpace="0" w:legacyIndent="0"/>
      <w:lvlJc w:val="left"/>
    </w:lvl>
  </w:abstractNum>
  <w:abstractNum w:abstractNumId="40" w15:restartNumberingAfterBreak="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39"/>
  </w:num>
  <w:num w:numId="13">
    <w:abstractNumId w:val="37"/>
  </w:num>
  <w:num w:numId="14">
    <w:abstractNumId w:val="14"/>
  </w:num>
  <w:num w:numId="15">
    <w:abstractNumId w:val="22"/>
  </w:num>
  <w:num w:numId="16">
    <w:abstractNumId w:val="26"/>
  </w:num>
  <w:num w:numId="17">
    <w:abstractNumId w:val="35"/>
  </w:num>
  <w:num w:numId="18">
    <w:abstractNumId w:val="27"/>
  </w:num>
  <w:num w:numId="19">
    <w:abstractNumId w:val="40"/>
  </w:num>
  <w:num w:numId="20">
    <w:abstractNumId w:val="29"/>
  </w:num>
  <w:num w:numId="21">
    <w:abstractNumId w:val="36"/>
  </w:num>
  <w:num w:numId="22">
    <w:abstractNumId w:val="20"/>
  </w:num>
  <w:num w:numId="23">
    <w:abstractNumId w:val="32"/>
  </w:num>
  <w:num w:numId="24">
    <w:abstractNumId w:val="16"/>
  </w:num>
  <w:num w:numId="25">
    <w:abstractNumId w:val="21"/>
  </w:num>
  <w:num w:numId="26">
    <w:abstractNumId w:val="11"/>
  </w:num>
  <w:num w:numId="27">
    <w:abstractNumId w:val="33"/>
  </w:num>
  <w:num w:numId="28">
    <w:abstractNumId w:val="28"/>
  </w:num>
  <w:num w:numId="29">
    <w:abstractNumId w:val="31"/>
  </w:num>
  <w:num w:numId="30">
    <w:abstractNumId w:val="30"/>
  </w:num>
  <w:num w:numId="31">
    <w:abstractNumId w:val="10"/>
  </w:num>
  <w:num w:numId="32">
    <w:abstractNumId w:val="19"/>
  </w:num>
  <w:num w:numId="33">
    <w:abstractNumId w:val="24"/>
  </w:num>
  <w:num w:numId="34">
    <w:abstractNumId w:val="12"/>
  </w:num>
  <w:num w:numId="35">
    <w:abstractNumId w:val="38"/>
  </w:num>
  <w:num w:numId="36">
    <w:abstractNumId w:val="15"/>
  </w:num>
  <w:num w:numId="37">
    <w:abstractNumId w:val="25"/>
  </w:num>
  <w:num w:numId="38">
    <w:abstractNumId w:val="34"/>
  </w:num>
  <w:num w:numId="39">
    <w:abstractNumId w:val="18"/>
  </w:num>
  <w:num w:numId="40">
    <w:abstractNumId w:val="17"/>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D4"/>
    <w:rsid w:val="00004608"/>
    <w:rsid w:val="00011D54"/>
    <w:rsid w:val="000148BC"/>
    <w:rsid w:val="00035DBD"/>
    <w:rsid w:val="00052A07"/>
    <w:rsid w:val="00064204"/>
    <w:rsid w:val="00066D6C"/>
    <w:rsid w:val="000821F2"/>
    <w:rsid w:val="00083302"/>
    <w:rsid w:val="000A0C29"/>
    <w:rsid w:val="000A4DF4"/>
    <w:rsid w:val="000F0CC5"/>
    <w:rsid w:val="0011067F"/>
    <w:rsid w:val="001120AD"/>
    <w:rsid w:val="001209DF"/>
    <w:rsid w:val="001248CC"/>
    <w:rsid w:val="001305FC"/>
    <w:rsid w:val="00132DB6"/>
    <w:rsid w:val="00135219"/>
    <w:rsid w:val="001420FB"/>
    <w:rsid w:val="00146CAF"/>
    <w:rsid w:val="001530D2"/>
    <w:rsid w:val="00160680"/>
    <w:rsid w:val="00160A6B"/>
    <w:rsid w:val="00166937"/>
    <w:rsid w:val="00172F66"/>
    <w:rsid w:val="0017334A"/>
    <w:rsid w:val="00175E61"/>
    <w:rsid w:val="001952E1"/>
    <w:rsid w:val="001A7605"/>
    <w:rsid w:val="001B05F7"/>
    <w:rsid w:val="001E357A"/>
    <w:rsid w:val="001F0623"/>
    <w:rsid w:val="001F52F3"/>
    <w:rsid w:val="001F7D0E"/>
    <w:rsid w:val="0023198F"/>
    <w:rsid w:val="002331A4"/>
    <w:rsid w:val="0023409D"/>
    <w:rsid w:val="0024018F"/>
    <w:rsid w:val="00242FEB"/>
    <w:rsid w:val="002433F4"/>
    <w:rsid w:val="00252DB9"/>
    <w:rsid w:val="002616CD"/>
    <w:rsid w:val="00263F3D"/>
    <w:rsid w:val="00267D12"/>
    <w:rsid w:val="00272AE2"/>
    <w:rsid w:val="00275594"/>
    <w:rsid w:val="002832C9"/>
    <w:rsid w:val="00286225"/>
    <w:rsid w:val="00291B72"/>
    <w:rsid w:val="00295A9D"/>
    <w:rsid w:val="002A551C"/>
    <w:rsid w:val="002B1F09"/>
    <w:rsid w:val="002B50B7"/>
    <w:rsid w:val="002C3338"/>
    <w:rsid w:val="002D3CB8"/>
    <w:rsid w:val="002F4074"/>
    <w:rsid w:val="00302286"/>
    <w:rsid w:val="003040E6"/>
    <w:rsid w:val="003064DD"/>
    <w:rsid w:val="00312258"/>
    <w:rsid w:val="00323088"/>
    <w:rsid w:val="003263C8"/>
    <w:rsid w:val="003267A6"/>
    <w:rsid w:val="0033067F"/>
    <w:rsid w:val="003464A1"/>
    <w:rsid w:val="00352834"/>
    <w:rsid w:val="00363569"/>
    <w:rsid w:val="0036751E"/>
    <w:rsid w:val="00387FE7"/>
    <w:rsid w:val="00396820"/>
    <w:rsid w:val="003A20FD"/>
    <w:rsid w:val="003A3950"/>
    <w:rsid w:val="003B13B7"/>
    <w:rsid w:val="003B5661"/>
    <w:rsid w:val="003C0E45"/>
    <w:rsid w:val="003C687B"/>
    <w:rsid w:val="003D0397"/>
    <w:rsid w:val="003F493E"/>
    <w:rsid w:val="004206F2"/>
    <w:rsid w:val="004267DF"/>
    <w:rsid w:val="004273D5"/>
    <w:rsid w:val="00434495"/>
    <w:rsid w:val="00436323"/>
    <w:rsid w:val="0043723F"/>
    <w:rsid w:val="00444FE0"/>
    <w:rsid w:val="0044695B"/>
    <w:rsid w:val="00446AC8"/>
    <w:rsid w:val="004539E8"/>
    <w:rsid w:val="00454D9B"/>
    <w:rsid w:val="004600D3"/>
    <w:rsid w:val="00471D46"/>
    <w:rsid w:val="00482788"/>
    <w:rsid w:val="00487744"/>
    <w:rsid w:val="004A2391"/>
    <w:rsid w:val="004A62EB"/>
    <w:rsid w:val="004B7902"/>
    <w:rsid w:val="004C5960"/>
    <w:rsid w:val="004D0262"/>
    <w:rsid w:val="004D71EC"/>
    <w:rsid w:val="004E7B9D"/>
    <w:rsid w:val="004F38D9"/>
    <w:rsid w:val="004F3F35"/>
    <w:rsid w:val="004F5BF9"/>
    <w:rsid w:val="0051265A"/>
    <w:rsid w:val="00515651"/>
    <w:rsid w:val="0051634C"/>
    <w:rsid w:val="00521131"/>
    <w:rsid w:val="00532351"/>
    <w:rsid w:val="0053598F"/>
    <w:rsid w:val="00541020"/>
    <w:rsid w:val="005423BC"/>
    <w:rsid w:val="0054557A"/>
    <w:rsid w:val="00555EA9"/>
    <w:rsid w:val="005623A8"/>
    <w:rsid w:val="00581788"/>
    <w:rsid w:val="00581EFB"/>
    <w:rsid w:val="00597505"/>
    <w:rsid w:val="005A063D"/>
    <w:rsid w:val="005C425E"/>
    <w:rsid w:val="005E341E"/>
    <w:rsid w:val="005F783B"/>
    <w:rsid w:val="006055FD"/>
    <w:rsid w:val="006128B5"/>
    <w:rsid w:val="00653F33"/>
    <w:rsid w:val="00666347"/>
    <w:rsid w:val="0068239D"/>
    <w:rsid w:val="006835A3"/>
    <w:rsid w:val="0069427F"/>
    <w:rsid w:val="006A39AD"/>
    <w:rsid w:val="006A74B5"/>
    <w:rsid w:val="006A7F18"/>
    <w:rsid w:val="006B41E6"/>
    <w:rsid w:val="006C1367"/>
    <w:rsid w:val="006D023D"/>
    <w:rsid w:val="006E160F"/>
    <w:rsid w:val="006E418A"/>
    <w:rsid w:val="006E4B33"/>
    <w:rsid w:val="006F7C3E"/>
    <w:rsid w:val="00716DED"/>
    <w:rsid w:val="0072330F"/>
    <w:rsid w:val="007349CF"/>
    <w:rsid w:val="00745010"/>
    <w:rsid w:val="007572F6"/>
    <w:rsid w:val="007627CE"/>
    <w:rsid w:val="007631FC"/>
    <w:rsid w:val="00767318"/>
    <w:rsid w:val="007710F5"/>
    <w:rsid w:val="00780D1E"/>
    <w:rsid w:val="00793560"/>
    <w:rsid w:val="007B1FB4"/>
    <w:rsid w:val="007B7C0F"/>
    <w:rsid w:val="007D7A62"/>
    <w:rsid w:val="007E7433"/>
    <w:rsid w:val="008167AF"/>
    <w:rsid w:val="00856270"/>
    <w:rsid w:val="0087051B"/>
    <w:rsid w:val="008744FD"/>
    <w:rsid w:val="00890BBB"/>
    <w:rsid w:val="008A39AF"/>
    <w:rsid w:val="008B2609"/>
    <w:rsid w:val="008C46C0"/>
    <w:rsid w:val="008D4700"/>
    <w:rsid w:val="008D5CBF"/>
    <w:rsid w:val="008D76FB"/>
    <w:rsid w:val="00901D66"/>
    <w:rsid w:val="00903230"/>
    <w:rsid w:val="009107A4"/>
    <w:rsid w:val="00917AD0"/>
    <w:rsid w:val="00921631"/>
    <w:rsid w:val="00930805"/>
    <w:rsid w:val="009359E4"/>
    <w:rsid w:val="009516AE"/>
    <w:rsid w:val="00954644"/>
    <w:rsid w:val="00955937"/>
    <w:rsid w:val="00977927"/>
    <w:rsid w:val="00982A05"/>
    <w:rsid w:val="009B1911"/>
    <w:rsid w:val="009B1F04"/>
    <w:rsid w:val="009B38B8"/>
    <w:rsid w:val="009D22A8"/>
    <w:rsid w:val="009D38E9"/>
    <w:rsid w:val="009D49F5"/>
    <w:rsid w:val="009E04A6"/>
    <w:rsid w:val="009F063F"/>
    <w:rsid w:val="009F2633"/>
    <w:rsid w:val="009F3085"/>
    <w:rsid w:val="00A0594F"/>
    <w:rsid w:val="00A22ED4"/>
    <w:rsid w:val="00A23126"/>
    <w:rsid w:val="00A26549"/>
    <w:rsid w:val="00A3312A"/>
    <w:rsid w:val="00A372CE"/>
    <w:rsid w:val="00A4665F"/>
    <w:rsid w:val="00A51626"/>
    <w:rsid w:val="00A60B50"/>
    <w:rsid w:val="00A6613C"/>
    <w:rsid w:val="00A73DC1"/>
    <w:rsid w:val="00A75ED2"/>
    <w:rsid w:val="00A86A6A"/>
    <w:rsid w:val="00A93D7F"/>
    <w:rsid w:val="00A9479A"/>
    <w:rsid w:val="00AA175C"/>
    <w:rsid w:val="00AC28AB"/>
    <w:rsid w:val="00AE74A9"/>
    <w:rsid w:val="00AF6C6F"/>
    <w:rsid w:val="00B0465B"/>
    <w:rsid w:val="00B232BB"/>
    <w:rsid w:val="00B44E2A"/>
    <w:rsid w:val="00B471A4"/>
    <w:rsid w:val="00B55414"/>
    <w:rsid w:val="00B5796A"/>
    <w:rsid w:val="00B608F6"/>
    <w:rsid w:val="00B6734D"/>
    <w:rsid w:val="00B91ABB"/>
    <w:rsid w:val="00B94280"/>
    <w:rsid w:val="00BB4FB4"/>
    <w:rsid w:val="00BB78AB"/>
    <w:rsid w:val="00BD0472"/>
    <w:rsid w:val="00BD14AC"/>
    <w:rsid w:val="00BD7F25"/>
    <w:rsid w:val="00BE1DC8"/>
    <w:rsid w:val="00BE5B32"/>
    <w:rsid w:val="00BF4FEE"/>
    <w:rsid w:val="00C01DB0"/>
    <w:rsid w:val="00C10BDC"/>
    <w:rsid w:val="00C225DC"/>
    <w:rsid w:val="00C32597"/>
    <w:rsid w:val="00C35766"/>
    <w:rsid w:val="00C359B0"/>
    <w:rsid w:val="00C56FBA"/>
    <w:rsid w:val="00C6698A"/>
    <w:rsid w:val="00C9717E"/>
    <w:rsid w:val="00CA2250"/>
    <w:rsid w:val="00CB065A"/>
    <w:rsid w:val="00CB4887"/>
    <w:rsid w:val="00CC37D5"/>
    <w:rsid w:val="00CC5B46"/>
    <w:rsid w:val="00CC69F8"/>
    <w:rsid w:val="00CD57D8"/>
    <w:rsid w:val="00CE149A"/>
    <w:rsid w:val="00CF6AA5"/>
    <w:rsid w:val="00D00E97"/>
    <w:rsid w:val="00D0586B"/>
    <w:rsid w:val="00D07868"/>
    <w:rsid w:val="00D12870"/>
    <w:rsid w:val="00D14EDC"/>
    <w:rsid w:val="00D25F44"/>
    <w:rsid w:val="00D34D37"/>
    <w:rsid w:val="00D420BF"/>
    <w:rsid w:val="00D45D54"/>
    <w:rsid w:val="00D479F6"/>
    <w:rsid w:val="00D50A1B"/>
    <w:rsid w:val="00D53B20"/>
    <w:rsid w:val="00D542A4"/>
    <w:rsid w:val="00D54B77"/>
    <w:rsid w:val="00D60E67"/>
    <w:rsid w:val="00D6501C"/>
    <w:rsid w:val="00D71208"/>
    <w:rsid w:val="00D7323B"/>
    <w:rsid w:val="00D73AFC"/>
    <w:rsid w:val="00D75BDE"/>
    <w:rsid w:val="00D828C0"/>
    <w:rsid w:val="00D91D0B"/>
    <w:rsid w:val="00D94273"/>
    <w:rsid w:val="00D950CE"/>
    <w:rsid w:val="00D95493"/>
    <w:rsid w:val="00DA7C82"/>
    <w:rsid w:val="00DB070F"/>
    <w:rsid w:val="00DB598F"/>
    <w:rsid w:val="00DC0B44"/>
    <w:rsid w:val="00DC2F31"/>
    <w:rsid w:val="00DD16FF"/>
    <w:rsid w:val="00DD4DDD"/>
    <w:rsid w:val="00DD666E"/>
    <w:rsid w:val="00DF7882"/>
    <w:rsid w:val="00E01CC5"/>
    <w:rsid w:val="00E12C9B"/>
    <w:rsid w:val="00E16CAD"/>
    <w:rsid w:val="00E1746F"/>
    <w:rsid w:val="00E53125"/>
    <w:rsid w:val="00E62ECB"/>
    <w:rsid w:val="00E70FAA"/>
    <w:rsid w:val="00E81864"/>
    <w:rsid w:val="00E828A9"/>
    <w:rsid w:val="00EA115E"/>
    <w:rsid w:val="00EA6B42"/>
    <w:rsid w:val="00EB2EAC"/>
    <w:rsid w:val="00EC3BCD"/>
    <w:rsid w:val="00EC71C5"/>
    <w:rsid w:val="00ED27B7"/>
    <w:rsid w:val="00EE28F3"/>
    <w:rsid w:val="00EE637C"/>
    <w:rsid w:val="00F10BB4"/>
    <w:rsid w:val="00F17388"/>
    <w:rsid w:val="00F2360B"/>
    <w:rsid w:val="00F315AD"/>
    <w:rsid w:val="00F5369B"/>
    <w:rsid w:val="00F56744"/>
    <w:rsid w:val="00F71B3F"/>
    <w:rsid w:val="00F81CF8"/>
    <w:rsid w:val="00F95A76"/>
    <w:rsid w:val="00FB27E9"/>
    <w:rsid w:val="00FC7800"/>
    <w:rsid w:val="00FD0617"/>
    <w:rsid w:val="00FD06F9"/>
    <w:rsid w:val="00FE28A4"/>
    <w:rsid w:val="00FF09D2"/>
    <w:rsid w:val="00FF0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1725E"/>
  <w15:docId w15:val="{4AE17ED7-1545-405D-8A0D-CA0D8376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link w:val="BalloonTextChar"/>
    <w:rsid w:val="00DD16FF"/>
    <w:rPr>
      <w:rFonts w:ascii="Tahoma" w:hAnsi="Tahoma" w:cs="Tahoma"/>
      <w:sz w:val="16"/>
      <w:szCs w:val="16"/>
    </w:rPr>
  </w:style>
  <w:style w:type="character" w:customStyle="1" w:styleId="BalloonTextChar">
    <w:name w:val="Balloon Text Char"/>
    <w:link w:val="BalloonText"/>
    <w:rsid w:val="00DD16FF"/>
    <w:rPr>
      <w:rFonts w:ascii="Tahoma" w:hAnsi="Tahoma" w:cs="Tahoma"/>
      <w:color w:val="000000"/>
      <w:sz w:val="16"/>
      <w:szCs w:val="16"/>
    </w:rPr>
  </w:style>
  <w:style w:type="paragraph" w:styleId="FootnoteText">
    <w:name w:val="footnote text"/>
    <w:aliases w:val="Footnote Text Char2,Footnote Text Char3,Footnote Text Char4,Footnote Text Char5"/>
    <w:basedOn w:val="Normal"/>
    <w:link w:val="FootnoteTextChar"/>
    <w:uiPriority w:val="99"/>
    <w:rsid w:val="00B94280"/>
    <w:rPr>
      <w:sz w:val="20"/>
    </w:rPr>
  </w:style>
  <w:style w:type="character" w:customStyle="1" w:styleId="FootnoteTextChar">
    <w:name w:val="Footnote Text Char"/>
    <w:aliases w:val="Footnote Text Char2 Char,Footnote Text Char3 Char,Footnote Text Char4 Char,Footnote Text Char5 Char"/>
    <w:link w:val="FootnoteText"/>
    <w:uiPriority w:val="99"/>
    <w:rsid w:val="00B94280"/>
    <w:rPr>
      <w:rFonts w:cs="Arial"/>
      <w:color w:val="000000"/>
    </w:rPr>
  </w:style>
  <w:style w:type="character" w:styleId="FootnoteReference">
    <w:name w:val="footnote reference"/>
    <w:rsid w:val="00B94280"/>
    <w:rPr>
      <w:vertAlign w:val="superscript"/>
    </w:rPr>
  </w:style>
  <w:style w:type="table" w:styleId="TableGrid">
    <w:name w:val="Table Grid"/>
    <w:basedOn w:val="TableNormal"/>
    <w:rsid w:val="00D25F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rsid w:val="003B5661"/>
    <w:rPr>
      <w:sz w:val="20"/>
    </w:rPr>
  </w:style>
  <w:style w:type="character" w:customStyle="1" w:styleId="EndnoteTextChar">
    <w:name w:val="Endnote Text Char"/>
    <w:link w:val="EndnoteText"/>
    <w:rsid w:val="003B5661"/>
    <w:rPr>
      <w:rFonts w:cs="Arial"/>
      <w:color w:val="000000"/>
    </w:rPr>
  </w:style>
  <w:style w:type="character" w:styleId="EndnoteReference">
    <w:name w:val="endnote reference"/>
    <w:rsid w:val="003B5661"/>
    <w:rPr>
      <w:vertAlign w:val="superscript"/>
    </w:rPr>
  </w:style>
  <w:style w:type="character" w:styleId="CommentReference">
    <w:name w:val="annotation reference"/>
    <w:rsid w:val="00052A07"/>
    <w:rPr>
      <w:sz w:val="16"/>
      <w:szCs w:val="16"/>
    </w:rPr>
  </w:style>
  <w:style w:type="paragraph" w:styleId="CommentText">
    <w:name w:val="annotation text"/>
    <w:basedOn w:val="Normal"/>
    <w:link w:val="CommentTextChar"/>
    <w:rsid w:val="00052A07"/>
    <w:rPr>
      <w:sz w:val="20"/>
    </w:rPr>
  </w:style>
  <w:style w:type="character" w:customStyle="1" w:styleId="CommentTextChar">
    <w:name w:val="Comment Text Char"/>
    <w:link w:val="CommentText"/>
    <w:rsid w:val="00052A07"/>
    <w:rPr>
      <w:rFonts w:cs="Arial"/>
      <w:color w:val="000000"/>
    </w:rPr>
  </w:style>
  <w:style w:type="paragraph" w:styleId="CommentSubject">
    <w:name w:val="annotation subject"/>
    <w:basedOn w:val="CommentText"/>
    <w:next w:val="CommentText"/>
    <w:link w:val="CommentSubjectChar"/>
    <w:rsid w:val="00052A07"/>
    <w:rPr>
      <w:b/>
      <w:bCs/>
    </w:rPr>
  </w:style>
  <w:style w:type="character" w:customStyle="1" w:styleId="CommentSubjectChar">
    <w:name w:val="Comment Subject Char"/>
    <w:link w:val="CommentSubject"/>
    <w:rsid w:val="00052A07"/>
    <w:rPr>
      <w:rFonts w:cs="Arial"/>
      <w:b/>
      <w:bCs/>
      <w:color w:val="000000"/>
    </w:rPr>
  </w:style>
  <w:style w:type="table" w:customStyle="1" w:styleId="TableGrid1">
    <w:name w:val="Table Grid1"/>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31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F7882"/>
    <w:rPr>
      <w:color w:val="FFFFFF"/>
      <w:u w:val="single"/>
    </w:rPr>
  </w:style>
  <w:style w:type="character" w:styleId="FollowedHyperlink">
    <w:name w:val="FollowedHyperlink"/>
    <w:basedOn w:val="DefaultParagraphFont"/>
    <w:rsid w:val="00DF7882"/>
    <w:rPr>
      <w:color w:val="800080" w:themeColor="followedHyperlink"/>
      <w:u w:val="single"/>
    </w:rPr>
  </w:style>
  <w:style w:type="paragraph" w:styleId="Revision">
    <w:name w:val="Revision"/>
    <w:hidden/>
    <w:uiPriority w:val="99"/>
    <w:semiHidden/>
    <w:rsid w:val="004F3F35"/>
    <w:rPr>
      <w:rFonts w:cs="Arial"/>
      <w:color w:val="000000"/>
      <w:sz w:val="24"/>
    </w:rPr>
  </w:style>
  <w:style w:type="paragraph" w:styleId="ListParagraph">
    <w:name w:val="List Paragraph"/>
    <w:basedOn w:val="Normal"/>
    <w:uiPriority w:val="34"/>
    <w:qFormat/>
    <w:rsid w:val="00306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07723">
      <w:bodyDiv w:val="1"/>
      <w:marLeft w:val="0"/>
      <w:marRight w:val="0"/>
      <w:marTop w:val="0"/>
      <w:marBottom w:val="0"/>
      <w:divBdr>
        <w:top w:val="none" w:sz="0" w:space="0" w:color="auto"/>
        <w:left w:val="none" w:sz="0" w:space="0" w:color="auto"/>
        <w:bottom w:val="none" w:sz="0" w:space="0" w:color="auto"/>
        <w:right w:val="none" w:sz="0" w:space="0" w:color="auto"/>
      </w:divBdr>
    </w:div>
    <w:div w:id="132061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27E426964C0C4887957A593CD4B232" ma:contentTypeVersion="5" ma:contentTypeDescription="Create a new document." ma:contentTypeScope="" ma:versionID="eaa7bea7a3fe968f3ce8c18e33143fb3">
  <xsd:schema xmlns:xsd="http://www.w3.org/2001/XMLSchema" xmlns:xs="http://www.w3.org/2001/XMLSchema" xmlns:p="http://schemas.microsoft.com/office/2006/metadata/properties" xmlns:ns3="e01008f1-f8be-48a0-8f4b-5d43f532b9a9" xmlns:ns4="519c17d0-e4de-4e3b-bcb3-b10294c20ea4" targetNamespace="http://schemas.microsoft.com/office/2006/metadata/properties" ma:root="true" ma:fieldsID="ff456bbbe7624be955f3bb1ee842a072" ns3:_="" ns4:_="">
    <xsd:import namespace="e01008f1-f8be-48a0-8f4b-5d43f532b9a9"/>
    <xsd:import namespace="519c17d0-e4de-4e3b-bcb3-b10294c20ea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008f1-f8be-48a0-8f4b-5d43f532b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9c17d0-e4de-4e3b-bcb3-b10294c20e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4DDB7-62F6-4E59-B4B4-96099E9BFC63}">
  <ds:schemaRefs>
    <ds:schemaRef ds:uri="http://schemas.microsoft.com/office/2006/metadata/longProperties"/>
  </ds:schemaRefs>
</ds:datastoreItem>
</file>

<file path=customXml/itemProps2.xml><?xml version="1.0" encoding="utf-8"?>
<ds:datastoreItem xmlns:ds="http://schemas.openxmlformats.org/officeDocument/2006/customXml" ds:itemID="{83C8C28F-C249-4571-B3EF-98374AA0B3E3}">
  <ds:schemaRefs>
    <ds:schemaRef ds:uri="http://schemas.microsoft.com/sharepoint/v3/contenttype/forms"/>
  </ds:schemaRefs>
</ds:datastoreItem>
</file>

<file path=customXml/itemProps3.xml><?xml version="1.0" encoding="utf-8"?>
<ds:datastoreItem xmlns:ds="http://schemas.openxmlformats.org/officeDocument/2006/customXml" ds:itemID="{EA1D902A-A8AF-4DA5-B4ED-FD5240B284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A17AE1-2B6B-42AD-B008-C4B01AFB2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008f1-f8be-48a0-8f4b-5d43f532b9a9"/>
    <ds:schemaRef ds:uri="519c17d0-e4de-4e3b-bcb3-b10294c20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428E69-A3E9-4A66-9871-8577379E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PRA 83i Form For Fill-In; with Supplemental Info Section</vt:lpstr>
    </vt:vector>
  </TitlesOfParts>
  <Company>TSA</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83i Form For Fill-In; with Supplemental Info Section</dc:title>
  <dc:creator>Marisa.Mullen</dc:creator>
  <cp:keywords>5000.22</cp:keywords>
  <cp:lastModifiedBy>Walsh, Christina</cp:lastModifiedBy>
  <cp:revision>3</cp:revision>
  <dcterms:created xsi:type="dcterms:W3CDTF">2021-08-18T19:50:00Z</dcterms:created>
  <dcterms:modified xsi:type="dcterms:W3CDTF">2021-08-18T19:51:00Z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inks">
    <vt:lpwstr/>
  </property>
  <property fmtid="{D5CDD505-2E9C-101B-9397-08002B2CF9AE}" pid="4" name="Status">
    <vt:lpwstr>Draft</vt:lpwstr>
  </property>
  <property fmtid="{D5CDD505-2E9C-101B-9397-08002B2CF9AE}" pid="5" name="ContentType">
    <vt:lpwstr>Project Workspace Document</vt:lpwstr>
  </property>
  <property fmtid="{D5CDD505-2E9C-101B-9397-08002B2CF9AE}" pid="6" name="Owner">
    <vt:lpwstr/>
  </property>
  <property fmtid="{D5CDD505-2E9C-101B-9397-08002B2CF9AE}" pid="7" name="_dlc_DocId">
    <vt:lpwstr>2MNXFYDWMX7Y-461-1429</vt:lpwstr>
  </property>
  <property fmtid="{D5CDD505-2E9C-101B-9397-08002B2CF9AE}" pid="8" name="_dlc_DocIdItemGuid">
    <vt:lpwstr>eaaa6ef6-fc6b-484e-b83f-7ea80881faa9</vt:lpwstr>
  </property>
  <property fmtid="{D5CDD505-2E9C-101B-9397-08002B2CF9AE}" pid="9" name="_dlc_DocIdUrl">
    <vt:lpwstr>https://team.ishare.tsa.dhs.gov/sites/oit/bmo/PRA/_layouts/DocIdRedir.aspx?ID=2MNXFYDWMX7Y-461-1429, 2MNXFYDWMX7Y-461-1429</vt:lpwstr>
  </property>
  <property fmtid="{D5CDD505-2E9C-101B-9397-08002B2CF9AE}" pid="10" name="ContentTypeId">
    <vt:lpwstr>0x0101002E27E426964C0C4887957A593CD4B232</vt:lpwstr>
  </property>
</Properties>
</file>