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40AD2AF"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A22CED">
        <w:rPr>
          <w:rFonts w:ascii="Times New Roman" w:hAnsi="Times New Roman"/>
          <w:szCs w:val="24"/>
        </w:rPr>
        <w:t>(XX) XXXX-XXXX</w:t>
      </w:r>
    </w:p>
    <w:p w:rsidRPr="00AD381B" w:rsidR="00EA1767" w:rsidP="006B4172" w:rsidRDefault="00EA1767" w14:paraId="5E41771D" w14:textId="77777777">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Pr="00A22CED">
        <w:rPr>
          <w:rFonts w:ascii="Times New Roman" w:hAnsi="Times New Roman"/>
          <w:szCs w:val="24"/>
        </w:rPr>
        <w:t>XX/XX/XXXX</w:t>
      </w:r>
    </w:p>
    <w:p w:rsidRPr="00AD381B" w:rsidR="00043C32" w:rsidP="00AD381B" w:rsidRDefault="00043C32" w14:paraId="108370F9" w14:textId="77777777">
      <w:pPr>
        <w:pStyle w:val="Heading1"/>
        <w:rPr>
          <w:sz w:val="24"/>
          <w:szCs w:val="24"/>
        </w:rPr>
      </w:pPr>
      <w:r w:rsidRPr="00AD381B">
        <w:rPr>
          <w:sz w:val="24"/>
          <w:szCs w:val="24"/>
        </w:rPr>
        <w:t>SUPPORTING STATEMENT</w:t>
      </w:r>
    </w:p>
    <w:p w:rsidRPr="00AD381B" w:rsidR="00043C32" w:rsidP="00AD381B" w:rsidRDefault="00043C32" w14:paraId="1D91C757" w14:textId="77777777">
      <w:pPr>
        <w:pStyle w:val="Heading1"/>
        <w:rPr>
          <w:sz w:val="24"/>
          <w:szCs w:val="24"/>
        </w:rPr>
      </w:pPr>
      <w:r w:rsidRPr="00AD381B">
        <w:rPr>
          <w:sz w:val="24"/>
          <w:szCs w:val="24"/>
        </w:rPr>
        <w:t>FOR PAPERWORK REDUCTION ACT SUBMISSION</w:t>
      </w:r>
    </w:p>
    <w:p w:rsidRPr="00AD381B" w:rsidR="00043C32" w:rsidP="00AD381B" w:rsidRDefault="00043C32" w14:paraId="7C9927FF" w14:textId="77777777">
      <w:pPr>
        <w:tabs>
          <w:tab w:val="left" w:pos="0"/>
        </w:tabs>
        <w:suppressAutoHyphens/>
        <w:rPr>
          <w:rFonts w:ascii="Times New Roman" w:hAnsi="Times New Roman"/>
          <w:szCs w:val="24"/>
        </w:rPr>
      </w:pPr>
    </w:p>
    <w:p w:rsidRPr="00AD381B" w:rsidR="00EA1767" w:rsidP="00AD381B" w:rsidRDefault="00043C32" w14:paraId="1AA06836"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16CA9BCA" w14:textId="4670EEC8">
      <w:pPr>
        <w:pStyle w:val="ListParagraph"/>
        <w:suppressAutoHyphens/>
        <w:spacing w:line="240" w:lineRule="exact"/>
        <w:rPr>
          <w:rFonts w:ascii="Times New Roman" w:hAnsi="Times New Roman"/>
          <w:szCs w:val="24"/>
        </w:rPr>
      </w:pPr>
    </w:p>
    <w:p w:rsidR="00A76816" w:rsidP="00AD381B" w:rsidRDefault="00A76816" w14:paraId="75854B90" w14:textId="13D8665A">
      <w:pPr>
        <w:pStyle w:val="ListParagraph"/>
        <w:suppressAutoHyphens/>
        <w:spacing w:line="240" w:lineRule="exact"/>
        <w:rPr>
          <w:rFonts w:ascii="Times New Roman" w:hAnsi="Times New Roman"/>
          <w:szCs w:val="24"/>
        </w:rPr>
      </w:pPr>
      <w:r w:rsidRPr="00A76816">
        <w:rPr>
          <w:rFonts w:ascii="Times New Roman" w:hAnsi="Times New Roman"/>
          <w:szCs w:val="24"/>
        </w:rPr>
        <w:t>The Foreign Language and Area Studies (FLAS) Fellowships program is authorized by 20 U.S.C. §1121(b), and provides allocations of academic year and summer fellowships to institutions of higher education or consortia of institutions of higher education to assist meritorious undergraduate students and graduate students undergoing training in modern foreign languages and related area or international studies. This information collection is a survey for FLAS fellows required by 20 U.S.C. §1121(d) which states “The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survey results to the Secretary.” This package is a reinstatement with change.</w:t>
      </w:r>
    </w:p>
    <w:p w:rsidRPr="00AD381B" w:rsidR="00AD381B" w:rsidP="00AD381B" w:rsidRDefault="00AD381B" w14:paraId="75C74263" w14:textId="77777777">
      <w:pPr>
        <w:pStyle w:val="ListParagraph"/>
        <w:suppressAutoHyphens/>
        <w:spacing w:line="240" w:lineRule="exact"/>
        <w:contextualSpacing w:val="0"/>
        <w:rPr>
          <w:rFonts w:ascii="Times New Roman" w:hAnsi="Times New Roman"/>
          <w:szCs w:val="24"/>
        </w:rPr>
      </w:pPr>
    </w:p>
    <w:p w:rsidRPr="0004095D" w:rsidR="00AD381B" w:rsidP="00AD381B" w:rsidRDefault="00043C32" w14:paraId="784ABE08" w14:textId="5C9858A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4095D" w:rsidP="0004095D" w:rsidRDefault="0004095D" w14:paraId="5B8D4A24" w14:textId="721EBE79">
      <w:pPr>
        <w:suppressAutoHyphens/>
        <w:spacing w:line="240" w:lineRule="exact"/>
        <w:ind w:left="720"/>
        <w:rPr>
          <w:rFonts w:ascii="Times New Roman" w:hAnsi="Times New Roman"/>
          <w:szCs w:val="24"/>
        </w:rPr>
      </w:pPr>
    </w:p>
    <w:p w:rsidRPr="0004095D" w:rsidR="0004095D" w:rsidP="0004095D" w:rsidRDefault="009B6A5D" w14:paraId="207E1C79" w14:textId="08C09FCC">
      <w:pPr>
        <w:suppressAutoHyphens/>
        <w:spacing w:line="240" w:lineRule="exact"/>
        <w:ind w:left="720"/>
        <w:rPr>
          <w:rFonts w:ascii="Times New Roman" w:hAnsi="Times New Roman"/>
          <w:szCs w:val="24"/>
        </w:rPr>
      </w:pPr>
      <w:r w:rsidRPr="009B6A5D">
        <w:rPr>
          <w:rFonts w:ascii="Times New Roman" w:hAnsi="Times New Roman"/>
          <w:szCs w:val="24"/>
        </w:rPr>
        <w:t>The survey is sent to FLAS grantee institutions, who administer the survey to their former FLAS fellows and report the results to the Department.  The purpose of the survey is to collect information about FLAS fellows’ postgraduate employment, and the degree to which the FLAS fellowships contribute to the fellows’ postgraduate employment. Program staff collects and analyzes the fellow responses, and publishes findings in a report, which is posted on the program’s web site.</w:t>
      </w:r>
    </w:p>
    <w:p w:rsidR="00AD381B" w:rsidP="00AD381B" w:rsidRDefault="00AD381B" w14:paraId="666932AA" w14:textId="77777777">
      <w:pPr>
        <w:suppressAutoHyphens/>
        <w:spacing w:line="240" w:lineRule="exact"/>
        <w:rPr>
          <w:rFonts w:ascii="Times New Roman" w:hAnsi="Times New Roman"/>
          <w:szCs w:val="24"/>
        </w:rPr>
      </w:pPr>
    </w:p>
    <w:p w:rsidRPr="00AD381B" w:rsidR="00043C32" w:rsidP="00AD381B" w:rsidRDefault="00043C32" w14:paraId="6CC9840A" w14:textId="77777777">
      <w:pPr>
        <w:suppressAutoHyphens/>
        <w:spacing w:line="240" w:lineRule="exact"/>
        <w:rPr>
          <w:rFonts w:ascii="Times New Roman" w:hAnsi="Times New Roman"/>
          <w:szCs w:val="24"/>
        </w:rPr>
      </w:pPr>
    </w:p>
    <w:p w:rsidRPr="00AD381B" w:rsidR="00043C32" w:rsidP="00AD381B" w:rsidRDefault="00043C32" w14:paraId="09DB5D2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3F90B19A" w14:textId="77777777">
      <w:pPr>
        <w:pStyle w:val="ListParagraph"/>
        <w:tabs>
          <w:tab w:val="left" w:pos="-720"/>
        </w:tabs>
        <w:suppressAutoHyphens/>
        <w:contextualSpacing w:val="0"/>
        <w:rPr>
          <w:rFonts w:ascii="Times New Roman" w:hAnsi="Times New Roman"/>
          <w:szCs w:val="24"/>
        </w:rPr>
      </w:pPr>
    </w:p>
    <w:p w:rsidR="00AD381B" w:rsidP="00AD381B" w:rsidRDefault="009826A3" w14:paraId="2CFA2907" w14:textId="2C6A5CBF">
      <w:pPr>
        <w:pStyle w:val="ListParagraph"/>
        <w:tabs>
          <w:tab w:val="left" w:pos="-720"/>
        </w:tabs>
        <w:suppressAutoHyphens/>
        <w:contextualSpacing w:val="0"/>
        <w:rPr>
          <w:rFonts w:ascii="Times New Roman" w:hAnsi="Times New Roman"/>
          <w:szCs w:val="24"/>
        </w:rPr>
      </w:pPr>
      <w:r w:rsidRPr="009826A3">
        <w:rPr>
          <w:rFonts w:ascii="Times New Roman" w:hAnsi="Times New Roman"/>
          <w:szCs w:val="24"/>
        </w:rPr>
        <w:t xml:space="preserve">This information collection is 100% electronic.  The survey is built into an online database owned by Qualtrics, from whom the Department purchases an annual license.  Program staff use Qualtrics to send the survey to FLAS grantee institutions, who send their fellows a link to the survey.  Fellows access Qualtrics to complete their surveys and </w:t>
      </w:r>
      <w:r w:rsidRPr="009826A3">
        <w:rPr>
          <w:rFonts w:ascii="Times New Roman" w:hAnsi="Times New Roman"/>
          <w:szCs w:val="24"/>
        </w:rPr>
        <w:lastRenderedPageBreak/>
        <w:t>submit them into Qualtrics. Program staff access the fellows’ completed surveys via Qualtrics.</w:t>
      </w:r>
    </w:p>
    <w:p w:rsidR="009826A3" w:rsidP="00AD381B" w:rsidRDefault="009826A3" w14:paraId="0774DCD6" w14:textId="77777777">
      <w:pPr>
        <w:pStyle w:val="ListParagraph"/>
        <w:tabs>
          <w:tab w:val="left" w:pos="-720"/>
        </w:tabs>
        <w:suppressAutoHyphens/>
        <w:contextualSpacing w:val="0"/>
        <w:rPr>
          <w:rFonts w:ascii="Times New Roman" w:hAnsi="Times New Roman"/>
          <w:szCs w:val="24"/>
        </w:rPr>
      </w:pPr>
    </w:p>
    <w:p w:rsidR="00AD381B" w:rsidP="00AD381B" w:rsidRDefault="00043C32" w14:paraId="1404C158"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157A119B" w14:textId="534DC94B">
      <w:pPr>
        <w:pStyle w:val="ListParagraph"/>
        <w:tabs>
          <w:tab w:val="left" w:pos="-720"/>
        </w:tabs>
        <w:suppressAutoHyphens/>
        <w:contextualSpacing w:val="0"/>
        <w:rPr>
          <w:rFonts w:ascii="Times New Roman" w:hAnsi="Times New Roman"/>
          <w:b/>
          <w:szCs w:val="24"/>
        </w:rPr>
      </w:pPr>
    </w:p>
    <w:p w:rsidRPr="006B1319" w:rsidR="006B1319" w:rsidP="00246FE9" w:rsidRDefault="006B1319" w14:paraId="6A3026CC" w14:textId="38EAE4E5">
      <w:pPr>
        <w:pStyle w:val="ListParagraph"/>
        <w:tabs>
          <w:tab w:val="left" w:pos="-720"/>
        </w:tabs>
        <w:suppressAutoHyphens/>
        <w:contextualSpacing w:val="0"/>
        <w:rPr>
          <w:rFonts w:ascii="Times New Roman" w:hAnsi="Times New Roman"/>
          <w:bCs/>
          <w:szCs w:val="24"/>
        </w:rPr>
      </w:pPr>
      <w:r w:rsidRPr="006B1319">
        <w:rPr>
          <w:rFonts w:ascii="Times New Roman" w:hAnsi="Times New Roman"/>
          <w:bCs/>
          <w:szCs w:val="24"/>
        </w:rPr>
        <w:t>There is no duplication of the information collected via this survey.  No similar information is available.</w:t>
      </w:r>
    </w:p>
    <w:p w:rsidR="00043C32" w:rsidP="00AD381B" w:rsidRDefault="00043C32" w14:paraId="07022979"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8FDC957" w14:textId="265C0327">
      <w:pPr>
        <w:pStyle w:val="ListParagraph"/>
        <w:contextualSpacing w:val="0"/>
        <w:rPr>
          <w:rFonts w:ascii="Times New Roman" w:hAnsi="Times New Roman"/>
          <w:szCs w:val="24"/>
        </w:rPr>
      </w:pPr>
    </w:p>
    <w:p w:rsidR="006B1319" w:rsidP="00AD381B" w:rsidRDefault="00881BBE" w14:paraId="32F1C077" w14:textId="0B66C19A">
      <w:pPr>
        <w:pStyle w:val="ListParagraph"/>
        <w:contextualSpacing w:val="0"/>
        <w:rPr>
          <w:rFonts w:ascii="Times New Roman" w:hAnsi="Times New Roman"/>
          <w:szCs w:val="24"/>
        </w:rPr>
      </w:pPr>
      <w:r w:rsidRPr="00881BBE">
        <w:rPr>
          <w:rFonts w:ascii="Times New Roman" w:hAnsi="Times New Roman"/>
          <w:szCs w:val="24"/>
        </w:rPr>
        <w:t>This collection does not impact small businesses or other small entities.</w:t>
      </w:r>
    </w:p>
    <w:p w:rsidR="00AD381B" w:rsidP="00AD381B" w:rsidRDefault="00AD381B" w14:paraId="3B220C43" w14:textId="77777777">
      <w:pPr>
        <w:pStyle w:val="ListParagraph"/>
        <w:contextualSpacing w:val="0"/>
        <w:rPr>
          <w:rFonts w:ascii="Times New Roman" w:hAnsi="Times New Roman"/>
          <w:szCs w:val="24"/>
        </w:rPr>
      </w:pPr>
    </w:p>
    <w:p w:rsidR="00043C32" w:rsidP="00AD381B" w:rsidRDefault="00043C32" w14:paraId="243D3158" w14:textId="4568E2B4">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E6631" w:rsidP="005E6631" w:rsidRDefault="005E6631" w14:paraId="63CDFDDD" w14:textId="7225EF19">
      <w:pPr>
        <w:tabs>
          <w:tab w:val="left" w:pos="-720"/>
        </w:tabs>
        <w:suppressAutoHyphens/>
        <w:rPr>
          <w:rFonts w:ascii="Times New Roman" w:hAnsi="Times New Roman"/>
          <w:b/>
          <w:szCs w:val="24"/>
        </w:rPr>
      </w:pPr>
    </w:p>
    <w:p w:rsidRPr="005E6631" w:rsidR="005E6631" w:rsidP="005E6631" w:rsidRDefault="005E6631" w14:paraId="345286E6" w14:textId="0DA8C3ED">
      <w:pPr>
        <w:tabs>
          <w:tab w:val="left" w:pos="-720"/>
        </w:tabs>
        <w:suppressAutoHyphens/>
        <w:ind w:left="720"/>
        <w:rPr>
          <w:rFonts w:ascii="Times New Roman" w:hAnsi="Times New Roman"/>
          <w:bCs/>
          <w:szCs w:val="24"/>
        </w:rPr>
      </w:pPr>
      <w:r w:rsidRPr="005E6631">
        <w:rPr>
          <w:rFonts w:ascii="Times New Roman" w:hAnsi="Times New Roman"/>
          <w:bCs/>
          <w:szCs w:val="24"/>
        </w:rPr>
        <w:t>If this survey is not conducted as described, the Department would be in violation of 20 U.S.C. §1121(d).</w:t>
      </w:r>
    </w:p>
    <w:p w:rsidRPr="005E6631" w:rsidR="005E6631" w:rsidP="005E6631" w:rsidRDefault="005E6631" w14:paraId="0333B7FC" w14:textId="77777777">
      <w:pPr>
        <w:tabs>
          <w:tab w:val="left" w:pos="-720"/>
        </w:tabs>
        <w:suppressAutoHyphens/>
        <w:rPr>
          <w:rFonts w:ascii="Times New Roman" w:hAnsi="Times New Roman"/>
          <w:b/>
          <w:szCs w:val="24"/>
        </w:rPr>
      </w:pPr>
    </w:p>
    <w:p w:rsidRPr="00AD381B" w:rsidR="00043C32" w:rsidP="00AD381B" w:rsidRDefault="00043C32" w14:paraId="5A9ACFFD"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02A00A5" w14:textId="77777777">
      <w:pPr>
        <w:tabs>
          <w:tab w:val="left" w:pos="-720"/>
        </w:tabs>
        <w:suppressAutoHyphens/>
        <w:rPr>
          <w:rFonts w:ascii="Times New Roman" w:hAnsi="Times New Roman"/>
          <w:b/>
          <w:szCs w:val="24"/>
        </w:rPr>
      </w:pPr>
    </w:p>
    <w:p w:rsidRPr="00AD381B" w:rsidR="00043C32" w:rsidP="00AD381B" w:rsidRDefault="00043C32" w14:paraId="6667645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2781A332"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35E768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49F4F55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5744F6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6A175C5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D3D5BD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5F99E8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4435CD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74D55A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CDB042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393B90B5"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D2B343D"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3D7FE2C0" w14:textId="77777777">
      <w:pPr>
        <w:numPr>
          <w:ilvl w:val="12"/>
          <w:numId w:val="0"/>
        </w:numPr>
        <w:tabs>
          <w:tab w:val="left" w:pos="-720"/>
        </w:tabs>
        <w:suppressAutoHyphens/>
        <w:rPr>
          <w:rFonts w:ascii="Times New Roman" w:hAnsi="Times New Roman"/>
          <w:b/>
          <w:szCs w:val="24"/>
        </w:rPr>
      </w:pPr>
    </w:p>
    <w:p w:rsidR="00043C32" w:rsidP="00AD381B" w:rsidRDefault="00043C32" w14:paraId="6E2AAA6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5D721C7" w14:textId="3DA2D31D">
      <w:pPr>
        <w:pStyle w:val="ListParagraph"/>
        <w:rPr>
          <w:rFonts w:ascii="Times New Roman" w:hAnsi="Times New Roman"/>
          <w:b/>
          <w:szCs w:val="24"/>
        </w:rPr>
      </w:pPr>
    </w:p>
    <w:p w:rsidRPr="009B4EF1" w:rsidR="009B4EF1" w:rsidP="00AD381B" w:rsidRDefault="009B4EF1" w14:paraId="2A89D4BB" w14:textId="7112FDAC">
      <w:pPr>
        <w:pStyle w:val="ListParagraph"/>
        <w:rPr>
          <w:rFonts w:ascii="Times New Roman" w:hAnsi="Times New Roman"/>
          <w:bCs/>
          <w:szCs w:val="24"/>
        </w:rPr>
      </w:pPr>
      <w:r w:rsidRPr="009B4EF1">
        <w:rPr>
          <w:rFonts w:ascii="Times New Roman" w:hAnsi="Times New Roman"/>
          <w:bCs/>
          <w:szCs w:val="24"/>
        </w:rPr>
        <w:t>There are no special circumstances that would require the information collection to be conducted in any of the ways described.</w:t>
      </w:r>
    </w:p>
    <w:p w:rsidRPr="00AD381B" w:rsidR="00AD381B" w:rsidP="00AD381B" w:rsidRDefault="00AD381B" w14:paraId="5937C7B4" w14:textId="77777777">
      <w:pPr>
        <w:tabs>
          <w:tab w:val="left" w:pos="-720"/>
        </w:tabs>
        <w:suppressAutoHyphens/>
        <w:rPr>
          <w:rFonts w:ascii="Times New Roman" w:hAnsi="Times New Roman"/>
          <w:szCs w:val="24"/>
        </w:rPr>
      </w:pPr>
    </w:p>
    <w:p w:rsidR="00D75313" w:rsidP="00AD381B" w:rsidRDefault="00043C32" w14:paraId="4BF51A5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150015D5"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3F5255E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4B5A035"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6CFFAA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03D0AE7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7C2E3F9" w14:textId="77777777">
      <w:pPr>
        <w:tabs>
          <w:tab w:val="left" w:pos="-720"/>
        </w:tabs>
        <w:suppressAutoHyphens/>
        <w:rPr>
          <w:rStyle w:val="a"/>
          <w:rFonts w:ascii="Times New Roman" w:hAnsi="Times New Roman"/>
          <w:b/>
          <w:szCs w:val="24"/>
        </w:rPr>
      </w:pPr>
    </w:p>
    <w:p w:rsidR="00043C32" w:rsidP="00AD381B" w:rsidRDefault="00043C32" w14:paraId="0AB0BD3F"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3958E20B" w14:textId="6468AC97">
      <w:pPr>
        <w:tabs>
          <w:tab w:val="left" w:pos="-720"/>
        </w:tabs>
        <w:suppressAutoHyphens/>
        <w:ind w:left="720"/>
        <w:rPr>
          <w:rFonts w:ascii="Times New Roman" w:hAnsi="Times New Roman"/>
          <w:b/>
          <w:szCs w:val="24"/>
        </w:rPr>
      </w:pPr>
    </w:p>
    <w:p w:rsidRPr="003779B5" w:rsidR="003779B5" w:rsidP="00AD381B" w:rsidRDefault="003779B5" w14:paraId="1EB21245" w14:textId="4ABCBB4B">
      <w:pPr>
        <w:tabs>
          <w:tab w:val="left" w:pos="-720"/>
        </w:tabs>
        <w:suppressAutoHyphens/>
        <w:ind w:left="720"/>
        <w:rPr>
          <w:rFonts w:ascii="Times New Roman" w:hAnsi="Times New Roman"/>
          <w:bCs/>
          <w:szCs w:val="24"/>
        </w:rPr>
      </w:pPr>
      <w:r w:rsidRPr="003779B5">
        <w:rPr>
          <w:rFonts w:ascii="Times New Roman" w:hAnsi="Times New Roman"/>
          <w:bCs/>
          <w:szCs w:val="24"/>
        </w:rPr>
        <w:t>The Department has consulted with persons outside the agency to obtain their views on the survey, including representatives of those from whom the information is to be obtained, to create a clearer and more efficient survey instrument.</w:t>
      </w:r>
    </w:p>
    <w:p w:rsidR="00E66550" w:rsidP="00AD381B" w:rsidRDefault="00E66550" w14:paraId="21E496C4" w14:textId="6FDB3FF7">
      <w:pPr>
        <w:tabs>
          <w:tab w:val="left" w:pos="-720"/>
        </w:tabs>
        <w:suppressAutoHyphens/>
        <w:ind w:left="720"/>
        <w:rPr>
          <w:rFonts w:ascii="Times New Roman" w:hAnsi="Times New Roman"/>
          <w:szCs w:val="24"/>
        </w:rPr>
      </w:pPr>
    </w:p>
    <w:p w:rsidR="00D16433" w:rsidP="00AD381B" w:rsidRDefault="00D16433" w14:paraId="4931EC8D" w14:textId="02186F44">
      <w:pPr>
        <w:tabs>
          <w:tab w:val="left" w:pos="-720"/>
        </w:tabs>
        <w:suppressAutoHyphens/>
        <w:ind w:left="720"/>
        <w:rPr>
          <w:rFonts w:ascii="Times New Roman" w:hAnsi="Times New Roman"/>
          <w:szCs w:val="24"/>
        </w:rPr>
      </w:pPr>
      <w:r>
        <w:rPr>
          <w:rFonts w:ascii="Times New Roman" w:hAnsi="Times New Roman"/>
          <w:szCs w:val="24"/>
        </w:rPr>
        <w:lastRenderedPageBreak/>
        <w:t xml:space="preserve">In addition, the Department is submitting both 60 day and </w:t>
      </w:r>
      <w:proofErr w:type="gramStart"/>
      <w:r>
        <w:rPr>
          <w:rFonts w:ascii="Times New Roman" w:hAnsi="Times New Roman"/>
          <w:szCs w:val="24"/>
        </w:rPr>
        <w:t>30 day</w:t>
      </w:r>
      <w:proofErr w:type="gramEnd"/>
      <w:r>
        <w:rPr>
          <w:rFonts w:ascii="Times New Roman" w:hAnsi="Times New Roman"/>
          <w:szCs w:val="24"/>
        </w:rPr>
        <w:t xml:space="preserve"> notices into the Federal Register inviting public comments.  The Department will review and respond to these </w:t>
      </w:r>
      <w:proofErr w:type="gramStart"/>
      <w:r>
        <w:rPr>
          <w:rFonts w:ascii="Times New Roman" w:hAnsi="Times New Roman"/>
          <w:szCs w:val="24"/>
        </w:rPr>
        <w:t>comments, and</w:t>
      </w:r>
      <w:proofErr w:type="gramEnd"/>
      <w:r>
        <w:rPr>
          <w:rFonts w:ascii="Times New Roman" w:hAnsi="Times New Roman"/>
          <w:szCs w:val="24"/>
        </w:rPr>
        <w:t xml:space="preserve"> make changes to the collection if appropriate.</w:t>
      </w:r>
    </w:p>
    <w:p w:rsidR="006677D0" w:rsidP="00AD381B" w:rsidRDefault="006677D0" w14:paraId="7E712C3C" w14:textId="56BB0444">
      <w:pPr>
        <w:tabs>
          <w:tab w:val="left" w:pos="-720"/>
        </w:tabs>
        <w:suppressAutoHyphens/>
        <w:ind w:left="720"/>
        <w:rPr>
          <w:rFonts w:ascii="Times New Roman" w:hAnsi="Times New Roman"/>
          <w:szCs w:val="24"/>
        </w:rPr>
      </w:pPr>
    </w:p>
    <w:p w:rsidR="006677D0" w:rsidP="006677D0" w:rsidRDefault="006677D0" w14:paraId="5F9F8908" w14:textId="0050A6F4">
      <w:pPr>
        <w:ind w:left="720"/>
        <w:rPr>
          <w:rFonts w:ascii="Times New Roman" w:hAnsi="Times New Roman"/>
          <w:szCs w:val="24"/>
        </w:rPr>
      </w:pPr>
      <w:r w:rsidRPr="006677D0">
        <w:rPr>
          <w:rFonts w:ascii="Times New Roman" w:hAnsi="Times New Roman"/>
        </w:rPr>
        <w:t xml:space="preserve">The International and Foreign Language Education Office has taken note of the public comments on the </w:t>
      </w:r>
      <w:proofErr w:type="gramStart"/>
      <w:r>
        <w:rPr>
          <w:rFonts w:ascii="Times New Roman" w:hAnsi="Times New Roman"/>
        </w:rPr>
        <w:t>60 day</w:t>
      </w:r>
      <w:proofErr w:type="gramEnd"/>
      <w:r>
        <w:rPr>
          <w:rFonts w:ascii="Times New Roman" w:hAnsi="Times New Roman"/>
        </w:rPr>
        <w:t xml:space="preserve"> notice of the </w:t>
      </w:r>
      <w:r w:rsidRPr="006677D0">
        <w:rPr>
          <w:rFonts w:ascii="Times New Roman" w:hAnsi="Times New Roman"/>
        </w:rPr>
        <w:t>FLAS Fellowship Program Survey on Postgraduate Employment Outcomes.  The survey shall proceed as designed.</w:t>
      </w:r>
      <w:r>
        <w:rPr>
          <w:rFonts w:ascii="Times New Roman" w:hAnsi="Times New Roman"/>
        </w:rPr>
        <w:t xml:space="preserve"> </w:t>
      </w:r>
      <w:r w:rsidRPr="006677D0">
        <w:rPr>
          <w:rFonts w:ascii="Times New Roman" w:hAnsi="Times New Roman"/>
        </w:rPr>
        <w:t>The Department will publish a 30-day F</w:t>
      </w:r>
      <w:r>
        <w:rPr>
          <w:rFonts w:ascii="Times New Roman" w:hAnsi="Times New Roman"/>
        </w:rPr>
        <w:t xml:space="preserve">ederal </w:t>
      </w:r>
      <w:r w:rsidRPr="006677D0">
        <w:rPr>
          <w:rFonts w:ascii="Times New Roman" w:hAnsi="Times New Roman"/>
        </w:rPr>
        <w:t>R</w:t>
      </w:r>
      <w:r>
        <w:rPr>
          <w:rFonts w:ascii="Times New Roman" w:hAnsi="Times New Roman"/>
        </w:rPr>
        <w:t xml:space="preserve">egister </w:t>
      </w:r>
      <w:r w:rsidRPr="006677D0">
        <w:rPr>
          <w:rFonts w:ascii="Times New Roman" w:hAnsi="Times New Roman"/>
        </w:rPr>
        <w:t>N</w:t>
      </w:r>
      <w:r>
        <w:rPr>
          <w:rFonts w:ascii="Times New Roman" w:hAnsi="Times New Roman"/>
        </w:rPr>
        <w:t>otice</w:t>
      </w:r>
      <w:r w:rsidRPr="006677D0">
        <w:rPr>
          <w:rFonts w:ascii="Times New Roman" w:hAnsi="Times New Roman"/>
        </w:rPr>
        <w:t xml:space="preserve"> for public comment</w:t>
      </w:r>
      <w:r>
        <w:rPr>
          <w:rFonts w:ascii="Times New Roman" w:hAnsi="Times New Roman"/>
        </w:rPr>
        <w:t>.</w:t>
      </w:r>
    </w:p>
    <w:p w:rsidR="00D16433" w:rsidP="00AD381B" w:rsidRDefault="00D16433" w14:paraId="633A7A76" w14:textId="5578DC21">
      <w:pPr>
        <w:tabs>
          <w:tab w:val="left" w:pos="-720"/>
        </w:tabs>
        <w:suppressAutoHyphens/>
        <w:ind w:left="720"/>
        <w:rPr>
          <w:rFonts w:ascii="Times New Roman" w:hAnsi="Times New Roman"/>
          <w:szCs w:val="24"/>
        </w:rPr>
      </w:pPr>
    </w:p>
    <w:p w:rsidR="00D16433" w:rsidP="00AD381B" w:rsidRDefault="00D16433" w14:paraId="18A1C0F9" w14:textId="77777777">
      <w:pPr>
        <w:tabs>
          <w:tab w:val="left" w:pos="-720"/>
        </w:tabs>
        <w:suppressAutoHyphens/>
        <w:ind w:left="720"/>
        <w:rPr>
          <w:rFonts w:ascii="Times New Roman" w:hAnsi="Times New Roman"/>
          <w:szCs w:val="24"/>
        </w:rPr>
      </w:pPr>
    </w:p>
    <w:p w:rsidR="00043C32" w:rsidP="00AD381B" w:rsidRDefault="00043C32" w14:paraId="59789DB7"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03475E62" w14:textId="77777777">
      <w:pPr>
        <w:pStyle w:val="ListParagraph"/>
        <w:tabs>
          <w:tab w:val="left" w:pos="-720"/>
        </w:tabs>
        <w:suppressAutoHyphens/>
        <w:contextualSpacing w:val="0"/>
        <w:rPr>
          <w:rFonts w:ascii="Times New Roman" w:hAnsi="Times New Roman"/>
          <w:b/>
          <w:szCs w:val="24"/>
        </w:rPr>
      </w:pPr>
    </w:p>
    <w:p w:rsidRPr="00722F21" w:rsidR="00920F63" w:rsidP="00920F63" w:rsidRDefault="00722F21" w14:paraId="63FC9477" w14:textId="5C8033A6">
      <w:pPr>
        <w:pStyle w:val="ListParagraph"/>
        <w:tabs>
          <w:tab w:val="left" w:pos="-720"/>
        </w:tabs>
        <w:suppressAutoHyphens/>
        <w:contextualSpacing w:val="0"/>
        <w:rPr>
          <w:rFonts w:ascii="Times New Roman" w:hAnsi="Times New Roman"/>
          <w:bCs/>
          <w:szCs w:val="24"/>
        </w:rPr>
      </w:pPr>
      <w:r w:rsidRPr="00722F21">
        <w:rPr>
          <w:rFonts w:ascii="Times New Roman" w:hAnsi="Times New Roman"/>
          <w:bCs/>
          <w:szCs w:val="24"/>
        </w:rPr>
        <w:t>No payments or gifts are provided to respondents.</w:t>
      </w:r>
    </w:p>
    <w:p w:rsidRPr="00920F63" w:rsidR="00722F21" w:rsidP="00920F63" w:rsidRDefault="00722F21" w14:paraId="13D3BD78"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6BD88248" w14:textId="518D73EB">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05056" w:rsidP="00D05056" w:rsidRDefault="00D05056" w14:paraId="3AA4D5E3" w14:textId="77777777">
      <w:pPr>
        <w:pStyle w:val="ListParagraph"/>
        <w:tabs>
          <w:tab w:val="left" w:pos="-720"/>
        </w:tabs>
        <w:suppressAutoHyphens/>
        <w:contextualSpacing w:val="0"/>
        <w:rPr>
          <w:rFonts w:ascii="Times New Roman" w:hAnsi="Times New Roman"/>
          <w:b/>
          <w:szCs w:val="24"/>
        </w:rPr>
      </w:pPr>
    </w:p>
    <w:p w:rsidRPr="00D05056" w:rsidR="00D05056" w:rsidP="00D05056" w:rsidRDefault="00D05056" w14:paraId="46537E6E" w14:textId="77777777">
      <w:pPr>
        <w:pStyle w:val="ListParagraph"/>
        <w:tabs>
          <w:tab w:val="left" w:pos="-720"/>
        </w:tabs>
        <w:suppressAutoHyphens/>
        <w:spacing w:after="100" w:afterAutospacing="1"/>
        <w:rPr>
          <w:rFonts w:ascii="Times New Roman" w:hAnsi="Times New Roman"/>
          <w:bCs/>
          <w:szCs w:val="24"/>
        </w:rPr>
      </w:pPr>
      <w:r w:rsidRPr="00D05056">
        <w:rPr>
          <w:rFonts w:ascii="Times New Roman" w:hAnsi="Times New Roman"/>
          <w:bCs/>
          <w:szCs w:val="24"/>
        </w:rPr>
        <w:t>The Department makes no pledge about the confidentiality of the data.  No PII is collected.</w:t>
      </w:r>
    </w:p>
    <w:p w:rsidRPr="00D75313" w:rsidR="00D05056" w:rsidP="00D05056" w:rsidRDefault="00D05056" w14:paraId="7227F4F4"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171820A0"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D05056" w:rsidRDefault="00920F63" w14:paraId="13A8547F" w14:textId="27AA7AA8">
      <w:pPr>
        <w:tabs>
          <w:tab w:val="left" w:pos="-720"/>
        </w:tabs>
        <w:suppressAutoHyphens/>
        <w:ind w:left="720"/>
        <w:rPr>
          <w:rFonts w:ascii="Times New Roman" w:hAnsi="Times New Roman"/>
          <w:b/>
          <w:szCs w:val="24"/>
        </w:rPr>
      </w:pPr>
    </w:p>
    <w:p w:rsidRPr="00D00D3D" w:rsidR="00D05056" w:rsidP="00920F63" w:rsidRDefault="00D05056" w14:paraId="3248A338" w14:textId="476D35CB">
      <w:pPr>
        <w:tabs>
          <w:tab w:val="left" w:pos="-720"/>
        </w:tabs>
        <w:suppressAutoHyphens/>
        <w:rPr>
          <w:rFonts w:ascii="Times New Roman" w:hAnsi="Times New Roman"/>
          <w:bCs/>
          <w:szCs w:val="24"/>
        </w:rPr>
      </w:pPr>
      <w:r w:rsidRPr="00D00D3D">
        <w:rPr>
          <w:rFonts w:ascii="Times New Roman" w:hAnsi="Times New Roman"/>
          <w:bCs/>
          <w:szCs w:val="24"/>
        </w:rPr>
        <w:lastRenderedPageBreak/>
        <w:tab/>
      </w:r>
      <w:r w:rsidRPr="00D00D3D" w:rsidR="00D00D3D">
        <w:rPr>
          <w:rFonts w:ascii="Times New Roman" w:hAnsi="Times New Roman"/>
          <w:bCs/>
          <w:szCs w:val="24"/>
        </w:rPr>
        <w:t>No questions of a sensitive nature are asked of respondents.</w:t>
      </w:r>
    </w:p>
    <w:p w:rsidRPr="00920F63" w:rsidR="00920F63" w:rsidP="00920F63" w:rsidRDefault="00920F63" w14:paraId="3BBE52B8" w14:textId="77777777">
      <w:pPr>
        <w:tabs>
          <w:tab w:val="left" w:pos="-720"/>
        </w:tabs>
        <w:suppressAutoHyphens/>
        <w:ind w:left="180"/>
        <w:rPr>
          <w:rFonts w:ascii="Times New Roman" w:hAnsi="Times New Roman"/>
          <w:szCs w:val="24"/>
        </w:rPr>
      </w:pPr>
    </w:p>
    <w:p w:rsidRPr="00920F63" w:rsidR="00043C32" w:rsidP="00AD381B" w:rsidRDefault="00043C32" w14:paraId="0F783AB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1271E244" w14:textId="77777777">
      <w:pPr>
        <w:tabs>
          <w:tab w:val="left" w:pos="-720"/>
        </w:tabs>
        <w:suppressAutoHyphens/>
        <w:rPr>
          <w:rStyle w:val="a"/>
          <w:rFonts w:ascii="Times New Roman" w:hAnsi="Times New Roman"/>
          <w:b/>
          <w:szCs w:val="24"/>
        </w:rPr>
      </w:pPr>
    </w:p>
    <w:p w:rsidR="00C224FD" w:rsidP="00C224FD" w:rsidRDefault="00C224FD" w14:paraId="3602055F"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0694EFF9"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1AC6CA7F"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75335F7"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2E4A17AD"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B7B249B" w14:textId="77777777">
      <w:pPr>
        <w:tabs>
          <w:tab w:val="left" w:pos="-720"/>
          <w:tab w:val="left" w:pos="1247"/>
        </w:tabs>
        <w:suppressAutoHyphens/>
        <w:rPr>
          <w:rStyle w:val="a"/>
          <w:rFonts w:ascii="Times New Roman" w:hAnsi="Times New Roman"/>
          <w:b/>
          <w:szCs w:val="24"/>
        </w:rPr>
      </w:pPr>
    </w:p>
    <w:p w:rsidRPr="00FD65D2" w:rsidR="00920F63" w:rsidP="00920F63" w:rsidRDefault="00946126" w14:paraId="006B11E0" w14:textId="568FE5CC">
      <w:pPr>
        <w:pStyle w:val="ListParagraph"/>
        <w:tabs>
          <w:tab w:val="left" w:pos="-720"/>
        </w:tabs>
        <w:suppressAutoHyphens/>
        <w:contextualSpacing w:val="0"/>
        <w:rPr>
          <w:rFonts w:ascii="Times New Roman" w:hAnsi="Times New Roman"/>
          <w:b/>
          <w:szCs w:val="24"/>
        </w:rPr>
      </w:pPr>
      <w:r w:rsidRPr="00FD65D2">
        <w:rPr>
          <w:rFonts w:ascii="Times New Roman" w:hAnsi="Times New Roman"/>
          <w:b/>
          <w:szCs w:val="24"/>
        </w:rPr>
        <w:t xml:space="preserve">Provide a descriptive narrative here in addition to completing the table </w:t>
      </w:r>
      <w:r w:rsidRPr="00FD65D2" w:rsidR="00952DF9">
        <w:rPr>
          <w:rFonts w:ascii="Times New Roman" w:hAnsi="Times New Roman"/>
          <w:b/>
          <w:szCs w:val="24"/>
        </w:rPr>
        <w:t xml:space="preserve">below </w:t>
      </w:r>
      <w:r w:rsidRPr="00FD65D2">
        <w:rPr>
          <w:rFonts w:ascii="Times New Roman" w:hAnsi="Times New Roman"/>
          <w:b/>
          <w:szCs w:val="24"/>
        </w:rPr>
        <w:t xml:space="preserve">with burden hour </w:t>
      </w:r>
      <w:r w:rsidRPr="00FD65D2" w:rsidR="00952DF9">
        <w:rPr>
          <w:rFonts w:ascii="Times New Roman" w:hAnsi="Times New Roman"/>
          <w:b/>
          <w:szCs w:val="24"/>
        </w:rPr>
        <w:t>estimates.</w:t>
      </w:r>
    </w:p>
    <w:p w:rsidRPr="00FD65D2" w:rsidR="00A45103" w:rsidP="00920F63" w:rsidRDefault="00A45103" w14:paraId="696FAD5B" w14:textId="7C5A6BA0">
      <w:pPr>
        <w:pStyle w:val="ListParagraph"/>
        <w:tabs>
          <w:tab w:val="left" w:pos="-720"/>
        </w:tabs>
        <w:suppressAutoHyphens/>
        <w:contextualSpacing w:val="0"/>
        <w:rPr>
          <w:rFonts w:ascii="Times New Roman" w:hAnsi="Times New Roman"/>
          <w:b/>
          <w:szCs w:val="24"/>
        </w:rPr>
      </w:pPr>
    </w:p>
    <w:p w:rsidR="00A45103" w:rsidP="00920F63" w:rsidRDefault="00A45103" w14:paraId="33DFC4B9" w14:textId="2D5DA571">
      <w:pPr>
        <w:pStyle w:val="ListParagraph"/>
        <w:tabs>
          <w:tab w:val="left" w:pos="-720"/>
        </w:tabs>
        <w:suppressAutoHyphens/>
        <w:contextualSpacing w:val="0"/>
        <w:rPr>
          <w:rFonts w:ascii="Times New Roman" w:hAnsi="Times New Roman"/>
          <w:bCs/>
          <w:szCs w:val="24"/>
        </w:rPr>
      </w:pPr>
      <w:r w:rsidRPr="00FD65D2">
        <w:rPr>
          <w:rFonts w:ascii="Times New Roman" w:hAnsi="Times New Roman"/>
          <w:bCs/>
          <w:szCs w:val="24"/>
        </w:rPr>
        <w:t>Using under nine people, the Department determined that it took 0.25 average burden hours per response to this survey. Then</w:t>
      </w:r>
      <w:r w:rsidRPr="00FD65D2" w:rsidR="00C21539">
        <w:rPr>
          <w:rFonts w:ascii="Times New Roman" w:hAnsi="Times New Roman"/>
          <w:bCs/>
          <w:szCs w:val="24"/>
        </w:rPr>
        <w:t xml:space="preserve"> they calculated that the number of responses (2400)</w:t>
      </w:r>
      <w:r w:rsidR="00FD65D2">
        <w:rPr>
          <w:rFonts w:ascii="Times New Roman" w:hAnsi="Times New Roman"/>
          <w:bCs/>
          <w:szCs w:val="24"/>
        </w:rPr>
        <w:t xml:space="preserve"> divided by the average burden hour per response</w:t>
      </w:r>
      <w:r w:rsidR="003937DC">
        <w:rPr>
          <w:rFonts w:ascii="Times New Roman" w:hAnsi="Times New Roman"/>
          <w:bCs/>
          <w:szCs w:val="24"/>
        </w:rPr>
        <w:t xml:space="preserve"> (0.25 hours) equals 600 total annual burden hours. The estimated respondent average hourly wage and the total annual costs are zero, because the </w:t>
      </w:r>
      <w:r w:rsidR="00C41F2D">
        <w:rPr>
          <w:rFonts w:ascii="Times New Roman" w:hAnsi="Times New Roman"/>
          <w:bCs/>
          <w:szCs w:val="24"/>
        </w:rPr>
        <w:t>individuals do not get paid for completing this survey.</w:t>
      </w:r>
    </w:p>
    <w:p w:rsidRPr="00FD65D2" w:rsidR="00C41F2D" w:rsidP="00920F63" w:rsidRDefault="00C41F2D" w14:paraId="7CA0B8EA" w14:textId="77777777">
      <w:pPr>
        <w:pStyle w:val="ListParagraph"/>
        <w:tabs>
          <w:tab w:val="left" w:pos="-720"/>
        </w:tabs>
        <w:suppressAutoHyphens/>
        <w:contextualSpacing w:val="0"/>
        <w:rPr>
          <w:rStyle w:val="a"/>
          <w:rFonts w:ascii="Times New Roman" w:hAnsi="Times New Roman"/>
          <w:bCs/>
          <w:szCs w:val="24"/>
        </w:rPr>
      </w:pPr>
    </w:p>
    <w:p w:rsidRPr="00920F63" w:rsidR="00ED7195" w:rsidP="00756FD3" w:rsidRDefault="00ED7195" w14:paraId="26997BE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0F35950B" w14:textId="77777777">
        <w:trPr>
          <w:tblHeader/>
        </w:trPr>
        <w:tc>
          <w:tcPr>
            <w:tcW w:w="1345" w:type="dxa"/>
          </w:tcPr>
          <w:p w:rsidR="00C86713" w:rsidP="00FE1BAE" w:rsidRDefault="00C86713" w14:paraId="6932B889" w14:textId="77777777">
            <w:pPr>
              <w:jc w:val="center"/>
              <w:rPr>
                <w:rFonts w:ascii="Times New Roman" w:hAnsi="Times New Roman"/>
                <w:sz w:val="20"/>
              </w:rPr>
            </w:pPr>
          </w:p>
          <w:p w:rsidR="00C86713" w:rsidP="00FE1BAE" w:rsidRDefault="00C86713" w14:paraId="59DE5BE3" w14:textId="77777777">
            <w:pPr>
              <w:jc w:val="center"/>
              <w:rPr>
                <w:rFonts w:ascii="Times New Roman" w:hAnsi="Times New Roman"/>
                <w:sz w:val="20"/>
              </w:rPr>
            </w:pPr>
          </w:p>
          <w:p w:rsidRPr="007F6104" w:rsidR="00C86713" w:rsidP="00FE1BAE" w:rsidRDefault="00C86713" w14:paraId="4277FC3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1013A146" w14:textId="77777777">
            <w:pPr>
              <w:jc w:val="center"/>
              <w:rPr>
                <w:rFonts w:ascii="Times New Roman" w:hAnsi="Times New Roman"/>
                <w:sz w:val="20"/>
              </w:rPr>
            </w:pPr>
          </w:p>
          <w:p w:rsidR="00C86713" w:rsidP="00FE1BAE" w:rsidRDefault="00C86713" w14:paraId="5C1EC55B" w14:textId="77777777">
            <w:pPr>
              <w:jc w:val="center"/>
              <w:rPr>
                <w:rFonts w:ascii="Times New Roman" w:hAnsi="Times New Roman"/>
                <w:sz w:val="20"/>
              </w:rPr>
            </w:pPr>
          </w:p>
          <w:p w:rsidRPr="007F6104" w:rsidR="00C86713" w:rsidP="00FE1BAE" w:rsidRDefault="00C86713" w14:paraId="2386267A"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6C7ED7CE" w14:textId="77777777">
            <w:pPr>
              <w:jc w:val="center"/>
              <w:rPr>
                <w:rFonts w:ascii="Times New Roman" w:hAnsi="Times New Roman"/>
                <w:sz w:val="20"/>
              </w:rPr>
            </w:pPr>
          </w:p>
          <w:p w:rsidR="00C86713" w:rsidP="00581C11" w:rsidRDefault="00C86713" w14:paraId="5929F099" w14:textId="77777777">
            <w:pPr>
              <w:shd w:val="clear" w:color="auto" w:fill="F2F2F2" w:themeFill="background1" w:themeFillShade="F2"/>
              <w:jc w:val="center"/>
              <w:rPr>
                <w:rFonts w:ascii="Times New Roman" w:hAnsi="Times New Roman"/>
                <w:sz w:val="20"/>
              </w:rPr>
            </w:pPr>
          </w:p>
          <w:p w:rsidRPr="007F6104" w:rsidR="00C86713" w:rsidP="00581C11" w:rsidRDefault="00C86713" w14:paraId="38FFF3A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4E34025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3C4BDE23" w14:textId="77777777">
            <w:pPr>
              <w:jc w:val="center"/>
              <w:rPr>
                <w:rFonts w:ascii="Times New Roman" w:hAnsi="Times New Roman"/>
                <w:sz w:val="20"/>
              </w:rPr>
            </w:pPr>
          </w:p>
          <w:p w:rsidR="00C86713" w:rsidP="00FE1BAE" w:rsidRDefault="00C86713" w14:paraId="4595C692" w14:textId="77777777">
            <w:pPr>
              <w:jc w:val="center"/>
              <w:rPr>
                <w:rFonts w:ascii="Times New Roman" w:hAnsi="Times New Roman"/>
                <w:sz w:val="20"/>
              </w:rPr>
            </w:pPr>
          </w:p>
          <w:p w:rsidRPr="007F6104" w:rsidR="00C86713" w:rsidP="00FE1BAE" w:rsidRDefault="00C86713" w14:paraId="1DEFB16C"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0F7642AC" w14:textId="77777777">
            <w:pPr>
              <w:jc w:val="center"/>
              <w:rPr>
                <w:rFonts w:ascii="Times New Roman" w:hAnsi="Times New Roman"/>
                <w:sz w:val="20"/>
              </w:rPr>
            </w:pPr>
          </w:p>
          <w:p w:rsidRPr="007F6104" w:rsidR="00C86713" w:rsidP="00FE1BAE" w:rsidRDefault="00C86713" w14:paraId="46E86A1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D3A071C" w14:textId="77777777">
            <w:pPr>
              <w:jc w:val="center"/>
              <w:rPr>
                <w:rFonts w:ascii="Times New Roman" w:hAnsi="Times New Roman"/>
                <w:sz w:val="20"/>
              </w:rPr>
            </w:pPr>
          </w:p>
          <w:p w:rsidRPr="007F6104" w:rsidR="00C86713" w:rsidP="00F31BEC" w:rsidRDefault="00C86713" w14:paraId="162F9D75"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3BB854A4" w14:textId="77777777">
            <w:pPr>
              <w:jc w:val="center"/>
              <w:rPr>
                <w:rFonts w:ascii="Times New Roman" w:hAnsi="Times New Roman"/>
                <w:sz w:val="20"/>
              </w:rPr>
            </w:pPr>
          </w:p>
          <w:p w:rsidR="00C86713" w:rsidP="00FE1BAE" w:rsidRDefault="00C86713" w14:paraId="2993E7D4" w14:textId="77777777">
            <w:pPr>
              <w:jc w:val="center"/>
              <w:rPr>
                <w:rFonts w:ascii="Times New Roman" w:hAnsi="Times New Roman"/>
                <w:sz w:val="20"/>
              </w:rPr>
            </w:pPr>
          </w:p>
          <w:p w:rsidRPr="007F6104" w:rsidR="00C86713" w:rsidP="00FE1BAE" w:rsidRDefault="00C86713" w14:paraId="2A317819"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46D926E1" w14:textId="77777777">
            <w:pPr>
              <w:jc w:val="center"/>
              <w:rPr>
                <w:rFonts w:ascii="Times New Roman" w:hAnsi="Times New Roman"/>
                <w:sz w:val="20"/>
              </w:rPr>
            </w:pPr>
          </w:p>
          <w:p w:rsidR="00C86713" w:rsidP="00FE1BAE" w:rsidRDefault="00C86713" w14:paraId="13B570BD" w14:textId="77777777">
            <w:pPr>
              <w:jc w:val="center"/>
              <w:rPr>
                <w:rFonts w:ascii="Times New Roman" w:hAnsi="Times New Roman"/>
                <w:sz w:val="20"/>
              </w:rPr>
            </w:pPr>
          </w:p>
          <w:p w:rsidRPr="007F6104" w:rsidR="00C86713" w:rsidP="00FE1BAE" w:rsidRDefault="00C86713" w14:paraId="32B2C4D3"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1B6AD199" w14:textId="77777777">
        <w:tc>
          <w:tcPr>
            <w:tcW w:w="1345" w:type="dxa"/>
          </w:tcPr>
          <w:p w:rsidRPr="008A0C78" w:rsidR="00C86713" w:rsidP="00FE1BAE" w:rsidRDefault="002E6B43" w14:paraId="15A377ED" w14:textId="481E3A10">
            <w:pPr>
              <w:rPr>
                <w:rFonts w:ascii="Times New Roman" w:hAnsi="Times New Roman"/>
                <w:szCs w:val="24"/>
              </w:rPr>
            </w:pPr>
            <w:r w:rsidRPr="008A0C78">
              <w:rPr>
                <w:rFonts w:ascii="Times New Roman" w:hAnsi="Times New Roman"/>
                <w:szCs w:val="24"/>
              </w:rPr>
              <w:t>Individuals</w:t>
            </w:r>
          </w:p>
        </w:tc>
        <w:tc>
          <w:tcPr>
            <w:tcW w:w="1265" w:type="dxa"/>
          </w:tcPr>
          <w:p w:rsidRPr="008A0C78" w:rsidR="00C86713" w:rsidP="00FE1BAE" w:rsidRDefault="00CD3F12" w14:paraId="3B3C8A07" w14:textId="7EB8D961">
            <w:pPr>
              <w:rPr>
                <w:rFonts w:ascii="Times New Roman" w:hAnsi="Times New Roman"/>
                <w:szCs w:val="24"/>
              </w:rPr>
            </w:pPr>
            <w:r w:rsidRPr="008A0C78">
              <w:rPr>
                <w:rFonts w:ascii="Times New Roman" w:hAnsi="Times New Roman"/>
                <w:szCs w:val="24"/>
              </w:rPr>
              <w:t>2400</w:t>
            </w:r>
          </w:p>
        </w:tc>
        <w:tc>
          <w:tcPr>
            <w:tcW w:w="1255" w:type="dxa"/>
          </w:tcPr>
          <w:p w:rsidRPr="008A0C78" w:rsidR="00C86713" w:rsidP="00FE1BAE" w:rsidRDefault="00C86713" w14:paraId="1C87FA99" w14:textId="77777777">
            <w:pPr>
              <w:rPr>
                <w:rFonts w:ascii="Times New Roman" w:hAnsi="Times New Roman"/>
                <w:szCs w:val="24"/>
              </w:rPr>
            </w:pPr>
          </w:p>
        </w:tc>
        <w:tc>
          <w:tcPr>
            <w:tcW w:w="1275" w:type="dxa"/>
          </w:tcPr>
          <w:p w:rsidRPr="008A0C78" w:rsidR="00C86713" w:rsidP="00FE1BAE" w:rsidRDefault="00075D93" w14:paraId="27A58112" w14:textId="2B294338">
            <w:pPr>
              <w:rPr>
                <w:rFonts w:ascii="Times New Roman" w:hAnsi="Times New Roman"/>
                <w:szCs w:val="24"/>
              </w:rPr>
            </w:pPr>
            <w:r w:rsidRPr="008A0C78">
              <w:rPr>
                <w:rFonts w:ascii="Times New Roman" w:hAnsi="Times New Roman"/>
                <w:szCs w:val="24"/>
              </w:rPr>
              <w:t>2400</w:t>
            </w:r>
          </w:p>
        </w:tc>
        <w:tc>
          <w:tcPr>
            <w:tcW w:w="1080" w:type="dxa"/>
          </w:tcPr>
          <w:p w:rsidRPr="008A0C78" w:rsidR="00C86713" w:rsidP="00FE1BAE" w:rsidRDefault="00A928B1" w14:paraId="13555FF1" w14:textId="2D138EB4">
            <w:pPr>
              <w:jc w:val="center"/>
              <w:rPr>
                <w:rFonts w:ascii="Times New Roman" w:hAnsi="Times New Roman"/>
                <w:szCs w:val="24"/>
              </w:rPr>
            </w:pPr>
            <w:r w:rsidRPr="008A0C78">
              <w:rPr>
                <w:rFonts w:ascii="Times New Roman" w:hAnsi="Times New Roman"/>
                <w:szCs w:val="24"/>
              </w:rPr>
              <w:t>2400</w:t>
            </w:r>
          </w:p>
        </w:tc>
        <w:tc>
          <w:tcPr>
            <w:tcW w:w="1335" w:type="dxa"/>
          </w:tcPr>
          <w:p w:rsidRPr="008A0C78" w:rsidR="00C86713" w:rsidP="00FE1BAE" w:rsidRDefault="00FC286E" w14:paraId="4D4E5034" w14:textId="7BFC769E">
            <w:pPr>
              <w:jc w:val="center"/>
              <w:rPr>
                <w:rFonts w:ascii="Times New Roman" w:hAnsi="Times New Roman"/>
                <w:szCs w:val="24"/>
              </w:rPr>
            </w:pPr>
            <w:r w:rsidRPr="008A0C78">
              <w:rPr>
                <w:rFonts w:ascii="Times New Roman" w:hAnsi="Times New Roman"/>
                <w:szCs w:val="24"/>
              </w:rPr>
              <w:t>0.25</w:t>
            </w:r>
          </w:p>
        </w:tc>
        <w:tc>
          <w:tcPr>
            <w:tcW w:w="900" w:type="dxa"/>
          </w:tcPr>
          <w:p w:rsidRPr="008A0C78" w:rsidR="00C86713" w:rsidP="00FE1BAE" w:rsidRDefault="000B1304" w14:paraId="5067C8CF" w14:textId="7BB47767">
            <w:pPr>
              <w:rPr>
                <w:rFonts w:ascii="Times New Roman" w:hAnsi="Times New Roman"/>
                <w:szCs w:val="24"/>
              </w:rPr>
            </w:pPr>
            <w:r w:rsidRPr="008A0C78">
              <w:rPr>
                <w:rFonts w:ascii="Times New Roman" w:hAnsi="Times New Roman"/>
                <w:szCs w:val="24"/>
              </w:rPr>
              <w:t>600</w:t>
            </w:r>
          </w:p>
        </w:tc>
        <w:tc>
          <w:tcPr>
            <w:tcW w:w="1530" w:type="dxa"/>
          </w:tcPr>
          <w:p w:rsidRPr="008A0C78" w:rsidR="00C86713" w:rsidP="00FE1BAE" w:rsidRDefault="00597F24" w14:paraId="388F98F2" w14:textId="3EFAD167">
            <w:pPr>
              <w:rPr>
                <w:rFonts w:ascii="Times New Roman" w:hAnsi="Times New Roman"/>
                <w:szCs w:val="24"/>
              </w:rPr>
            </w:pPr>
            <w:r w:rsidRPr="008A0C78">
              <w:rPr>
                <w:rFonts w:ascii="Times New Roman" w:hAnsi="Times New Roman"/>
                <w:szCs w:val="24"/>
              </w:rPr>
              <w:t>$0.00</w:t>
            </w:r>
          </w:p>
        </w:tc>
        <w:tc>
          <w:tcPr>
            <w:tcW w:w="1350" w:type="dxa"/>
          </w:tcPr>
          <w:p w:rsidRPr="008A0C78" w:rsidR="00C86713" w:rsidP="00FE1BAE" w:rsidRDefault="00597F24" w14:paraId="77EB5D65" w14:textId="448E12A1">
            <w:pPr>
              <w:rPr>
                <w:rFonts w:ascii="Times New Roman" w:hAnsi="Times New Roman"/>
                <w:szCs w:val="24"/>
              </w:rPr>
            </w:pPr>
            <w:r w:rsidRPr="008A0C78">
              <w:rPr>
                <w:rFonts w:ascii="Times New Roman" w:hAnsi="Times New Roman"/>
                <w:szCs w:val="24"/>
              </w:rPr>
              <w:t>$0.00</w:t>
            </w:r>
          </w:p>
        </w:tc>
      </w:tr>
      <w:tr w:rsidRPr="00442E07" w:rsidR="00C86713" w:rsidTr="00C875E8" w14:paraId="3318BB74" w14:textId="77777777">
        <w:tc>
          <w:tcPr>
            <w:tcW w:w="1345" w:type="dxa"/>
          </w:tcPr>
          <w:p w:rsidRPr="00442E07" w:rsidR="00C86713" w:rsidP="00FE1BAE" w:rsidRDefault="00C86713" w14:paraId="6BF78F41" w14:textId="77777777">
            <w:pPr>
              <w:rPr>
                <w:rFonts w:ascii="Times New Roman" w:hAnsi="Times New Roman"/>
                <w:szCs w:val="24"/>
              </w:rPr>
            </w:pPr>
          </w:p>
        </w:tc>
        <w:tc>
          <w:tcPr>
            <w:tcW w:w="1265" w:type="dxa"/>
          </w:tcPr>
          <w:p w:rsidRPr="00442E07" w:rsidR="00C86713" w:rsidP="00FE1BAE" w:rsidRDefault="00C86713" w14:paraId="133FA50E" w14:textId="77777777">
            <w:pPr>
              <w:rPr>
                <w:rFonts w:ascii="Times New Roman" w:hAnsi="Times New Roman"/>
                <w:szCs w:val="24"/>
              </w:rPr>
            </w:pPr>
          </w:p>
        </w:tc>
        <w:tc>
          <w:tcPr>
            <w:tcW w:w="1255" w:type="dxa"/>
          </w:tcPr>
          <w:p w:rsidRPr="00442E07" w:rsidR="00C86713" w:rsidP="00FE1BAE" w:rsidRDefault="00C86713" w14:paraId="0BABC80E" w14:textId="77777777">
            <w:pPr>
              <w:rPr>
                <w:rFonts w:ascii="Times New Roman" w:hAnsi="Times New Roman"/>
                <w:szCs w:val="24"/>
              </w:rPr>
            </w:pPr>
          </w:p>
        </w:tc>
        <w:tc>
          <w:tcPr>
            <w:tcW w:w="1275" w:type="dxa"/>
          </w:tcPr>
          <w:p w:rsidRPr="00442E07" w:rsidR="00C86713" w:rsidP="00FE1BAE" w:rsidRDefault="00C86713" w14:paraId="58267CE1" w14:textId="77777777">
            <w:pPr>
              <w:rPr>
                <w:rFonts w:ascii="Times New Roman" w:hAnsi="Times New Roman"/>
                <w:szCs w:val="24"/>
              </w:rPr>
            </w:pPr>
          </w:p>
        </w:tc>
        <w:tc>
          <w:tcPr>
            <w:tcW w:w="1080" w:type="dxa"/>
          </w:tcPr>
          <w:p w:rsidRPr="00442E07" w:rsidR="00C86713" w:rsidP="00FE1BAE" w:rsidRDefault="00C86713" w14:paraId="57919BA1" w14:textId="77777777">
            <w:pPr>
              <w:jc w:val="center"/>
              <w:rPr>
                <w:rFonts w:ascii="Times New Roman" w:hAnsi="Times New Roman"/>
                <w:szCs w:val="24"/>
              </w:rPr>
            </w:pPr>
          </w:p>
        </w:tc>
        <w:tc>
          <w:tcPr>
            <w:tcW w:w="1335" w:type="dxa"/>
          </w:tcPr>
          <w:p w:rsidRPr="00442E07" w:rsidR="00C86713" w:rsidP="00FE1BAE" w:rsidRDefault="00C86713" w14:paraId="080C4BCE" w14:textId="77777777">
            <w:pPr>
              <w:jc w:val="center"/>
              <w:rPr>
                <w:rFonts w:ascii="Times New Roman" w:hAnsi="Times New Roman"/>
                <w:szCs w:val="24"/>
              </w:rPr>
            </w:pPr>
          </w:p>
        </w:tc>
        <w:tc>
          <w:tcPr>
            <w:tcW w:w="900" w:type="dxa"/>
          </w:tcPr>
          <w:p w:rsidRPr="00442E07" w:rsidR="00C86713" w:rsidP="00FE1BAE" w:rsidRDefault="00C86713" w14:paraId="5AC4C8EB"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A5CCA38" w14:textId="77777777">
            <w:pPr>
              <w:rPr>
                <w:rFonts w:ascii="Times New Roman" w:hAnsi="Times New Roman"/>
                <w:szCs w:val="24"/>
              </w:rPr>
            </w:pPr>
          </w:p>
        </w:tc>
        <w:tc>
          <w:tcPr>
            <w:tcW w:w="1350" w:type="dxa"/>
          </w:tcPr>
          <w:p w:rsidRPr="00442E07" w:rsidR="00C86713" w:rsidP="00FE1BAE" w:rsidRDefault="00C86713" w14:paraId="64C6A0EE" w14:textId="77777777">
            <w:pPr>
              <w:rPr>
                <w:rFonts w:ascii="Times New Roman" w:hAnsi="Times New Roman"/>
                <w:szCs w:val="24"/>
              </w:rPr>
            </w:pPr>
          </w:p>
        </w:tc>
      </w:tr>
      <w:tr w:rsidRPr="00442E07" w:rsidR="00C86713" w:rsidTr="00C875E8" w14:paraId="0DAC9E36" w14:textId="77777777">
        <w:tc>
          <w:tcPr>
            <w:tcW w:w="1345" w:type="dxa"/>
          </w:tcPr>
          <w:p w:rsidRPr="00442E07" w:rsidR="00C86713" w:rsidP="00FE1BAE" w:rsidRDefault="00C86713" w14:paraId="56DC27AF" w14:textId="77777777">
            <w:pPr>
              <w:rPr>
                <w:rFonts w:ascii="Times New Roman" w:hAnsi="Times New Roman"/>
                <w:szCs w:val="24"/>
              </w:rPr>
            </w:pPr>
          </w:p>
        </w:tc>
        <w:tc>
          <w:tcPr>
            <w:tcW w:w="1265" w:type="dxa"/>
          </w:tcPr>
          <w:p w:rsidRPr="00442E07" w:rsidR="00C86713" w:rsidP="00FE1BAE" w:rsidRDefault="00C86713" w14:paraId="56EB368B" w14:textId="77777777">
            <w:pPr>
              <w:rPr>
                <w:rFonts w:ascii="Times New Roman" w:hAnsi="Times New Roman"/>
                <w:szCs w:val="24"/>
              </w:rPr>
            </w:pPr>
          </w:p>
        </w:tc>
        <w:tc>
          <w:tcPr>
            <w:tcW w:w="1255" w:type="dxa"/>
          </w:tcPr>
          <w:p w:rsidRPr="00442E07" w:rsidR="00C86713" w:rsidP="00FE1BAE" w:rsidRDefault="00C86713" w14:paraId="189867C3" w14:textId="77777777">
            <w:pPr>
              <w:rPr>
                <w:rFonts w:ascii="Times New Roman" w:hAnsi="Times New Roman"/>
                <w:szCs w:val="24"/>
              </w:rPr>
            </w:pPr>
          </w:p>
        </w:tc>
        <w:tc>
          <w:tcPr>
            <w:tcW w:w="1275" w:type="dxa"/>
          </w:tcPr>
          <w:p w:rsidRPr="00442E07" w:rsidR="00C86713" w:rsidP="00FE1BAE" w:rsidRDefault="00C86713" w14:paraId="29D16195" w14:textId="77777777">
            <w:pPr>
              <w:rPr>
                <w:rFonts w:ascii="Times New Roman" w:hAnsi="Times New Roman"/>
                <w:szCs w:val="24"/>
              </w:rPr>
            </w:pPr>
          </w:p>
        </w:tc>
        <w:tc>
          <w:tcPr>
            <w:tcW w:w="1080" w:type="dxa"/>
          </w:tcPr>
          <w:p w:rsidRPr="00442E07" w:rsidR="00C86713" w:rsidP="00FE1BAE" w:rsidRDefault="00C86713" w14:paraId="60995E61" w14:textId="77777777">
            <w:pPr>
              <w:jc w:val="center"/>
              <w:rPr>
                <w:rFonts w:ascii="Times New Roman" w:hAnsi="Times New Roman"/>
                <w:szCs w:val="24"/>
              </w:rPr>
            </w:pPr>
          </w:p>
        </w:tc>
        <w:tc>
          <w:tcPr>
            <w:tcW w:w="1335" w:type="dxa"/>
          </w:tcPr>
          <w:p w:rsidRPr="00442E07" w:rsidR="00C86713" w:rsidP="00FE1BAE" w:rsidRDefault="00C86713" w14:paraId="76C6937D" w14:textId="77777777">
            <w:pPr>
              <w:jc w:val="center"/>
              <w:rPr>
                <w:rFonts w:ascii="Times New Roman" w:hAnsi="Times New Roman"/>
                <w:szCs w:val="24"/>
              </w:rPr>
            </w:pPr>
          </w:p>
        </w:tc>
        <w:tc>
          <w:tcPr>
            <w:tcW w:w="900" w:type="dxa"/>
          </w:tcPr>
          <w:p w:rsidRPr="00442E07" w:rsidR="00C86713" w:rsidP="00FE1BAE" w:rsidRDefault="00C86713" w14:paraId="3B1523F6"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35117074" w14:textId="77777777">
            <w:pPr>
              <w:rPr>
                <w:rFonts w:ascii="Times New Roman" w:hAnsi="Times New Roman"/>
                <w:szCs w:val="24"/>
              </w:rPr>
            </w:pPr>
          </w:p>
        </w:tc>
        <w:tc>
          <w:tcPr>
            <w:tcW w:w="1350" w:type="dxa"/>
          </w:tcPr>
          <w:p w:rsidRPr="00442E07" w:rsidR="00C86713" w:rsidP="00FE1BAE" w:rsidRDefault="00C86713" w14:paraId="7913F50B" w14:textId="77777777">
            <w:pPr>
              <w:rPr>
                <w:rFonts w:ascii="Times New Roman" w:hAnsi="Times New Roman"/>
                <w:szCs w:val="24"/>
              </w:rPr>
            </w:pPr>
          </w:p>
        </w:tc>
      </w:tr>
      <w:tr w:rsidRPr="00442E07" w:rsidR="00C86713" w:rsidTr="00C875E8" w14:paraId="64288310" w14:textId="77777777">
        <w:tc>
          <w:tcPr>
            <w:tcW w:w="1345" w:type="dxa"/>
          </w:tcPr>
          <w:p w:rsidRPr="00442E07" w:rsidR="00C86713" w:rsidP="00FE1BAE" w:rsidRDefault="00C86713" w14:paraId="323E30CB" w14:textId="77777777">
            <w:pPr>
              <w:rPr>
                <w:rFonts w:ascii="Times New Roman" w:hAnsi="Times New Roman"/>
                <w:szCs w:val="24"/>
              </w:rPr>
            </w:pPr>
          </w:p>
        </w:tc>
        <w:tc>
          <w:tcPr>
            <w:tcW w:w="1265" w:type="dxa"/>
          </w:tcPr>
          <w:p w:rsidRPr="00442E07" w:rsidR="00C86713" w:rsidP="00FE1BAE" w:rsidRDefault="00C86713" w14:paraId="16E2B7E9" w14:textId="77777777">
            <w:pPr>
              <w:rPr>
                <w:rFonts w:ascii="Times New Roman" w:hAnsi="Times New Roman"/>
                <w:szCs w:val="24"/>
              </w:rPr>
            </w:pPr>
          </w:p>
        </w:tc>
        <w:tc>
          <w:tcPr>
            <w:tcW w:w="1255" w:type="dxa"/>
          </w:tcPr>
          <w:p w:rsidRPr="00442E07" w:rsidR="00C86713" w:rsidP="00FE1BAE" w:rsidRDefault="00C86713" w14:paraId="12B62928" w14:textId="77777777">
            <w:pPr>
              <w:rPr>
                <w:rFonts w:ascii="Times New Roman" w:hAnsi="Times New Roman"/>
                <w:szCs w:val="24"/>
              </w:rPr>
            </w:pPr>
          </w:p>
        </w:tc>
        <w:tc>
          <w:tcPr>
            <w:tcW w:w="1275" w:type="dxa"/>
          </w:tcPr>
          <w:p w:rsidRPr="00442E07" w:rsidR="00C86713" w:rsidP="00FE1BAE" w:rsidRDefault="00C86713" w14:paraId="7155B041" w14:textId="77777777">
            <w:pPr>
              <w:rPr>
                <w:rFonts w:ascii="Times New Roman" w:hAnsi="Times New Roman"/>
                <w:szCs w:val="24"/>
              </w:rPr>
            </w:pPr>
          </w:p>
        </w:tc>
        <w:tc>
          <w:tcPr>
            <w:tcW w:w="1080" w:type="dxa"/>
          </w:tcPr>
          <w:p w:rsidRPr="00442E07" w:rsidR="00C86713" w:rsidP="00FE1BAE" w:rsidRDefault="00C86713" w14:paraId="7F57ADD0" w14:textId="77777777">
            <w:pPr>
              <w:rPr>
                <w:rFonts w:ascii="Times New Roman" w:hAnsi="Times New Roman"/>
                <w:szCs w:val="24"/>
              </w:rPr>
            </w:pPr>
          </w:p>
        </w:tc>
        <w:tc>
          <w:tcPr>
            <w:tcW w:w="1335" w:type="dxa"/>
          </w:tcPr>
          <w:p w:rsidRPr="00442E07" w:rsidR="00C86713" w:rsidP="00FE1BAE" w:rsidRDefault="00C86713" w14:paraId="61B3FCAC" w14:textId="77777777">
            <w:pPr>
              <w:rPr>
                <w:rFonts w:ascii="Times New Roman" w:hAnsi="Times New Roman"/>
                <w:szCs w:val="24"/>
              </w:rPr>
            </w:pPr>
          </w:p>
        </w:tc>
        <w:tc>
          <w:tcPr>
            <w:tcW w:w="900" w:type="dxa"/>
          </w:tcPr>
          <w:p w:rsidRPr="00442E07" w:rsidR="00C86713" w:rsidP="00FE1BAE" w:rsidRDefault="00C86713" w14:paraId="50F132EB" w14:textId="77777777">
            <w:pPr>
              <w:rPr>
                <w:rFonts w:ascii="Times New Roman" w:hAnsi="Times New Roman"/>
                <w:szCs w:val="24"/>
              </w:rPr>
            </w:pPr>
          </w:p>
        </w:tc>
        <w:tc>
          <w:tcPr>
            <w:tcW w:w="1530" w:type="dxa"/>
          </w:tcPr>
          <w:p w:rsidRPr="00442E07" w:rsidR="00C86713" w:rsidP="00FE1BAE" w:rsidRDefault="00C86713" w14:paraId="503B3271" w14:textId="77777777">
            <w:pPr>
              <w:rPr>
                <w:rFonts w:ascii="Times New Roman" w:hAnsi="Times New Roman"/>
                <w:szCs w:val="24"/>
              </w:rPr>
            </w:pPr>
          </w:p>
        </w:tc>
        <w:tc>
          <w:tcPr>
            <w:tcW w:w="1350" w:type="dxa"/>
          </w:tcPr>
          <w:p w:rsidRPr="00442E07" w:rsidR="00C86713" w:rsidP="00FE1BAE" w:rsidRDefault="00C86713" w14:paraId="0A0B076C" w14:textId="77777777">
            <w:pPr>
              <w:rPr>
                <w:rFonts w:ascii="Times New Roman" w:hAnsi="Times New Roman"/>
                <w:szCs w:val="24"/>
              </w:rPr>
            </w:pPr>
          </w:p>
        </w:tc>
      </w:tr>
      <w:tr w:rsidRPr="00442E07" w:rsidR="009767AF" w:rsidTr="00C875E8" w14:paraId="32979E5B" w14:textId="77777777">
        <w:tc>
          <w:tcPr>
            <w:tcW w:w="1345" w:type="dxa"/>
          </w:tcPr>
          <w:p w:rsidRPr="00442E07" w:rsidR="009767AF" w:rsidP="00FE1BAE" w:rsidRDefault="009767AF" w14:paraId="0138EBEF" w14:textId="11134FCF">
            <w:pPr>
              <w:rPr>
                <w:rFonts w:ascii="Times New Roman" w:hAnsi="Times New Roman"/>
                <w:szCs w:val="24"/>
              </w:rPr>
            </w:pPr>
            <w:r>
              <w:rPr>
                <w:rFonts w:ascii="Times New Roman" w:hAnsi="Times New Roman"/>
                <w:szCs w:val="24"/>
              </w:rPr>
              <w:t>Annual Totals</w:t>
            </w:r>
          </w:p>
        </w:tc>
        <w:tc>
          <w:tcPr>
            <w:tcW w:w="1265" w:type="dxa"/>
          </w:tcPr>
          <w:p w:rsidR="009767AF" w:rsidP="00FE1BAE" w:rsidRDefault="009767AF" w14:paraId="554E72D9" w14:textId="77777777">
            <w:pPr>
              <w:rPr>
                <w:rFonts w:ascii="Times New Roman" w:hAnsi="Times New Roman"/>
                <w:szCs w:val="24"/>
              </w:rPr>
            </w:pPr>
          </w:p>
          <w:p w:rsidR="00A45103" w:rsidP="00FE1BAE" w:rsidRDefault="002750D8" w14:paraId="2BEF4249" w14:textId="07416112">
            <w:pPr>
              <w:rPr>
                <w:rFonts w:ascii="Times New Roman" w:hAnsi="Times New Roman"/>
                <w:szCs w:val="24"/>
              </w:rPr>
            </w:pPr>
            <w:r>
              <w:rPr>
                <w:rFonts w:ascii="Times New Roman" w:hAnsi="Times New Roman"/>
                <w:szCs w:val="24"/>
              </w:rPr>
              <w:t>2400</w:t>
            </w:r>
          </w:p>
          <w:p w:rsidRPr="00442E07" w:rsidR="00A45103" w:rsidP="00FE1BAE" w:rsidRDefault="00A45103" w14:paraId="7FBFF19C" w14:textId="3D98D9FB">
            <w:pPr>
              <w:rPr>
                <w:rFonts w:ascii="Times New Roman" w:hAnsi="Times New Roman"/>
                <w:szCs w:val="24"/>
              </w:rPr>
            </w:pPr>
          </w:p>
        </w:tc>
        <w:tc>
          <w:tcPr>
            <w:tcW w:w="1255" w:type="dxa"/>
          </w:tcPr>
          <w:p w:rsidRPr="00442E07" w:rsidR="009767AF" w:rsidP="00FE1BAE" w:rsidRDefault="009767AF" w14:paraId="01A4D9F3" w14:textId="77777777">
            <w:pPr>
              <w:rPr>
                <w:rFonts w:ascii="Times New Roman" w:hAnsi="Times New Roman"/>
                <w:szCs w:val="24"/>
              </w:rPr>
            </w:pPr>
          </w:p>
        </w:tc>
        <w:tc>
          <w:tcPr>
            <w:tcW w:w="1275" w:type="dxa"/>
          </w:tcPr>
          <w:p w:rsidRPr="00442E07" w:rsidR="009767AF" w:rsidP="00FE1BAE" w:rsidRDefault="002750D8" w14:paraId="2C49EA10" w14:textId="44CDCE38">
            <w:pPr>
              <w:rPr>
                <w:rFonts w:ascii="Times New Roman" w:hAnsi="Times New Roman"/>
                <w:szCs w:val="24"/>
              </w:rPr>
            </w:pPr>
            <w:r>
              <w:rPr>
                <w:rFonts w:ascii="Times New Roman" w:hAnsi="Times New Roman"/>
                <w:szCs w:val="24"/>
              </w:rPr>
              <w:t>2400</w:t>
            </w:r>
          </w:p>
        </w:tc>
        <w:tc>
          <w:tcPr>
            <w:tcW w:w="1080" w:type="dxa"/>
          </w:tcPr>
          <w:p w:rsidRPr="00442E07" w:rsidR="009767AF" w:rsidP="00FE1BAE" w:rsidRDefault="002750D8" w14:paraId="2AA536CA" w14:textId="24FB912F">
            <w:pPr>
              <w:rPr>
                <w:rFonts w:ascii="Times New Roman" w:hAnsi="Times New Roman"/>
                <w:szCs w:val="24"/>
              </w:rPr>
            </w:pPr>
            <w:r>
              <w:rPr>
                <w:rFonts w:ascii="Times New Roman" w:hAnsi="Times New Roman"/>
                <w:szCs w:val="24"/>
              </w:rPr>
              <w:t>2400</w:t>
            </w:r>
          </w:p>
        </w:tc>
        <w:tc>
          <w:tcPr>
            <w:tcW w:w="1335" w:type="dxa"/>
          </w:tcPr>
          <w:p w:rsidRPr="00442E07" w:rsidR="009767AF" w:rsidP="00FE1BAE" w:rsidRDefault="002750D8" w14:paraId="1F33B399" w14:textId="6D54EB95">
            <w:pPr>
              <w:rPr>
                <w:rFonts w:ascii="Times New Roman" w:hAnsi="Times New Roman"/>
                <w:szCs w:val="24"/>
              </w:rPr>
            </w:pPr>
            <w:r>
              <w:rPr>
                <w:rFonts w:ascii="Times New Roman" w:hAnsi="Times New Roman"/>
                <w:szCs w:val="24"/>
              </w:rPr>
              <w:t>0.25</w:t>
            </w:r>
          </w:p>
        </w:tc>
        <w:tc>
          <w:tcPr>
            <w:tcW w:w="900" w:type="dxa"/>
          </w:tcPr>
          <w:p w:rsidRPr="00442E07" w:rsidR="009767AF" w:rsidP="00FE1BAE" w:rsidRDefault="002750D8" w14:paraId="1D7DA600" w14:textId="56B27246">
            <w:pPr>
              <w:rPr>
                <w:rFonts w:ascii="Times New Roman" w:hAnsi="Times New Roman"/>
                <w:szCs w:val="24"/>
              </w:rPr>
            </w:pPr>
            <w:r>
              <w:rPr>
                <w:rFonts w:ascii="Times New Roman" w:hAnsi="Times New Roman"/>
                <w:szCs w:val="24"/>
              </w:rPr>
              <w:t>600</w:t>
            </w:r>
          </w:p>
        </w:tc>
        <w:tc>
          <w:tcPr>
            <w:tcW w:w="1530" w:type="dxa"/>
          </w:tcPr>
          <w:p w:rsidRPr="00442E07" w:rsidR="009767AF" w:rsidP="00FE1BAE" w:rsidRDefault="002750D8" w14:paraId="78560CAD" w14:textId="5A4B7A8D">
            <w:pPr>
              <w:rPr>
                <w:rFonts w:ascii="Times New Roman" w:hAnsi="Times New Roman"/>
                <w:szCs w:val="24"/>
              </w:rPr>
            </w:pPr>
            <w:r>
              <w:rPr>
                <w:rFonts w:ascii="Times New Roman" w:hAnsi="Times New Roman"/>
                <w:szCs w:val="24"/>
              </w:rPr>
              <w:t>$0.00</w:t>
            </w:r>
          </w:p>
        </w:tc>
        <w:tc>
          <w:tcPr>
            <w:tcW w:w="1350" w:type="dxa"/>
          </w:tcPr>
          <w:p w:rsidRPr="00442E07" w:rsidR="009767AF" w:rsidP="00FE1BAE" w:rsidRDefault="002750D8" w14:paraId="183133A9" w14:textId="5CB0EE73">
            <w:pPr>
              <w:rPr>
                <w:rFonts w:ascii="Times New Roman" w:hAnsi="Times New Roman"/>
                <w:szCs w:val="24"/>
              </w:rPr>
            </w:pPr>
            <w:r>
              <w:rPr>
                <w:rFonts w:ascii="Times New Roman" w:hAnsi="Times New Roman"/>
                <w:szCs w:val="24"/>
              </w:rPr>
              <w:t>$0.00</w:t>
            </w:r>
          </w:p>
        </w:tc>
      </w:tr>
    </w:tbl>
    <w:p w:rsidR="001A6AE0" w:rsidP="000446F5" w:rsidRDefault="001A6AE0" w14:paraId="7DA2D93A"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B7493E8"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25B25A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2DBFCFE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3296D9B5" w14:textId="77777777">
      <w:pPr>
        <w:tabs>
          <w:tab w:val="left" w:pos="-720"/>
        </w:tabs>
        <w:suppressAutoHyphens/>
        <w:rPr>
          <w:rFonts w:ascii="Times New Roman" w:hAnsi="Times New Roman"/>
          <w:b/>
          <w:szCs w:val="24"/>
        </w:rPr>
      </w:pPr>
    </w:p>
    <w:p w:rsidRPr="00ED7195" w:rsidR="00043C32" w:rsidP="00AD381B" w:rsidRDefault="00043C32" w14:paraId="602ACEF7"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552CE3E"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34BF0BAC"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202F9596"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C8A55A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D7195">
        <w:rPr>
          <w:rFonts w:ascii="Times New Roman" w:hAnsi="Times New Roman"/>
          <w:b/>
          <w:szCs w:val="24"/>
        </w:rPr>
        <w:lastRenderedPageBreak/>
        <w:t>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42042641" w14:textId="77777777">
      <w:pPr>
        <w:tabs>
          <w:tab w:val="left" w:pos="-720"/>
        </w:tabs>
        <w:suppressAutoHyphens/>
        <w:rPr>
          <w:rFonts w:ascii="Times New Roman" w:hAnsi="Times New Roman"/>
          <w:b/>
          <w:szCs w:val="24"/>
        </w:rPr>
      </w:pPr>
    </w:p>
    <w:p w:rsidRPr="00ED7195" w:rsidR="00043C32" w:rsidP="00AD381B" w:rsidRDefault="00043C32" w14:paraId="343C75DD" w14:textId="744D747E">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proofErr w:type="gramStart"/>
      <w:r w:rsidRPr="00ED7195">
        <w:rPr>
          <w:rFonts w:ascii="Times New Roman" w:hAnsi="Times New Roman"/>
          <w:b/>
          <w:szCs w:val="24"/>
        </w:rPr>
        <w:tab/>
        <w:t>:</w:t>
      </w:r>
      <w:r w:rsidR="00543059">
        <w:rPr>
          <w:rFonts w:ascii="Times New Roman" w:hAnsi="Times New Roman"/>
          <w:b/>
          <w:szCs w:val="24"/>
        </w:rPr>
        <w:t>$</w:t>
      </w:r>
      <w:proofErr w:type="gramEnd"/>
      <w:r w:rsidRPr="002750D8" w:rsidR="00543059">
        <w:rPr>
          <w:rFonts w:ascii="Times New Roman" w:hAnsi="Times New Roman"/>
          <w:b/>
          <w:szCs w:val="24"/>
        </w:rPr>
        <w:t>0.00</w:t>
      </w:r>
    </w:p>
    <w:p w:rsidRPr="00ED7195" w:rsidR="00043C32" w:rsidP="00AD381B" w:rsidRDefault="00043C32" w14:paraId="0E82687E" w14:textId="5BC842E9">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w:t>
      </w:r>
      <w:r w:rsidR="00F4769C">
        <w:rPr>
          <w:rFonts w:ascii="Times New Roman" w:hAnsi="Times New Roman"/>
          <w:b/>
          <w:szCs w:val="24"/>
        </w:rPr>
        <w:t>$</w:t>
      </w:r>
      <w:proofErr w:type="gramEnd"/>
      <w:r w:rsidRPr="002750D8" w:rsidR="00F4769C">
        <w:rPr>
          <w:rFonts w:ascii="Times New Roman" w:hAnsi="Times New Roman"/>
          <w:b/>
          <w:szCs w:val="24"/>
        </w:rPr>
        <w:t>0.00</w:t>
      </w:r>
      <w:r w:rsidRPr="00ED7195">
        <w:rPr>
          <w:rFonts w:ascii="Times New Roman" w:hAnsi="Times New Roman"/>
          <w:b/>
          <w:szCs w:val="24"/>
        </w:rPr>
        <w:t>_______________</w:t>
      </w:r>
    </w:p>
    <w:p w:rsidRPr="00ED7195" w:rsidR="00043C32" w:rsidP="00AD381B" w:rsidRDefault="00043C32" w14:paraId="3BEF6F02" w14:textId="1F710D75">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w:t>
      </w:r>
      <w:r w:rsidR="00F4478E">
        <w:rPr>
          <w:rFonts w:ascii="Times New Roman" w:hAnsi="Times New Roman"/>
          <w:b/>
          <w:szCs w:val="24"/>
        </w:rPr>
        <w:t>$</w:t>
      </w:r>
      <w:proofErr w:type="gramEnd"/>
      <w:r w:rsidRPr="008A0C78" w:rsidR="00F4478E">
        <w:rPr>
          <w:rFonts w:ascii="Times New Roman" w:hAnsi="Times New Roman"/>
          <w:b/>
          <w:szCs w:val="24"/>
        </w:rPr>
        <w:t>0.00</w:t>
      </w:r>
    </w:p>
    <w:p w:rsidR="00043C32" w:rsidP="00AD381B" w:rsidRDefault="00043C32" w14:paraId="6B827345" w14:textId="77777777">
      <w:pPr>
        <w:tabs>
          <w:tab w:val="left" w:pos="-720"/>
        </w:tabs>
        <w:suppressAutoHyphens/>
        <w:rPr>
          <w:rFonts w:ascii="Times New Roman" w:hAnsi="Times New Roman"/>
          <w:szCs w:val="24"/>
        </w:rPr>
      </w:pPr>
    </w:p>
    <w:p w:rsidRPr="00534B4A" w:rsidR="00043C32" w:rsidP="00AD381B" w:rsidRDefault="00043C32" w14:paraId="068D0C37"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46685" w:rsidP="00246685" w:rsidRDefault="00246685" w14:paraId="538553C0" w14:textId="77777777">
      <w:pPr>
        <w:pStyle w:val="ListParagraph"/>
        <w:tabs>
          <w:tab w:val="left" w:pos="-720"/>
        </w:tabs>
        <w:suppressAutoHyphens/>
        <w:spacing w:after="100" w:afterAutospacing="1"/>
        <w:rPr>
          <w:rStyle w:val="a"/>
          <w:szCs w:val="24"/>
        </w:rPr>
      </w:pPr>
    </w:p>
    <w:tbl>
      <w:tblPr>
        <w:tblpPr w:leftFromText="180" w:rightFromText="180" w:vertAnchor="text" w:horzAnchor="margin" w:tblpXSpec="center" w:tblpY="288"/>
        <w:tblW w:w="9558" w:type="dxa"/>
        <w:tblLook w:val="04A0" w:firstRow="1" w:lastRow="0" w:firstColumn="1" w:lastColumn="0" w:noHBand="0" w:noVBand="1"/>
      </w:tblPr>
      <w:tblGrid>
        <w:gridCol w:w="2985"/>
        <w:gridCol w:w="1710"/>
        <w:gridCol w:w="1260"/>
        <w:gridCol w:w="1080"/>
        <w:gridCol w:w="1268"/>
        <w:gridCol w:w="1256"/>
      </w:tblGrid>
      <w:tr w:rsidRPr="00614BB6" w:rsidR="00246685" w:rsidTr="00246685" w14:paraId="5271758D" w14:textId="77777777">
        <w:trPr>
          <w:trHeight w:val="600"/>
        </w:trPr>
        <w:tc>
          <w:tcPr>
            <w:tcW w:w="2985"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614BB6" w:rsidR="00246685" w:rsidRDefault="00246685" w14:paraId="3CEAD281" w14:textId="77777777">
            <w:pPr>
              <w:jc w:val="center"/>
              <w:rPr>
                <w:rFonts w:ascii="Times New Roman" w:hAnsi="Times New Roman"/>
                <w:b/>
                <w:bCs/>
                <w:color w:val="000000"/>
                <w:sz w:val="22"/>
                <w:szCs w:val="22"/>
              </w:rPr>
            </w:pPr>
            <w:r w:rsidRPr="00614BB6">
              <w:rPr>
                <w:rFonts w:ascii="Times New Roman" w:hAnsi="Times New Roman"/>
                <w:b/>
                <w:bCs/>
                <w:color w:val="000000"/>
                <w:sz w:val="22"/>
                <w:szCs w:val="22"/>
              </w:rPr>
              <w:t>Expense</w:t>
            </w:r>
          </w:p>
        </w:tc>
        <w:tc>
          <w:tcPr>
            <w:tcW w:w="1710" w:type="dxa"/>
            <w:tcBorders>
              <w:top w:val="single" w:color="auto" w:sz="4" w:space="0"/>
              <w:left w:val="nil"/>
              <w:bottom w:val="single" w:color="auto" w:sz="4" w:space="0"/>
              <w:right w:val="single" w:color="auto" w:sz="4" w:space="0"/>
            </w:tcBorders>
            <w:shd w:val="clear" w:color="auto" w:fill="D9D9D9"/>
            <w:vAlign w:val="bottom"/>
            <w:hideMark/>
          </w:tcPr>
          <w:p w:rsidRPr="00614BB6" w:rsidR="00246685" w:rsidRDefault="00246685" w14:paraId="179A6BF8" w14:textId="77777777">
            <w:pPr>
              <w:jc w:val="center"/>
              <w:rPr>
                <w:rFonts w:ascii="Times New Roman" w:hAnsi="Times New Roman"/>
                <w:b/>
                <w:bCs/>
                <w:color w:val="000000"/>
                <w:sz w:val="22"/>
                <w:szCs w:val="22"/>
              </w:rPr>
            </w:pPr>
            <w:r w:rsidRPr="00614BB6">
              <w:rPr>
                <w:rFonts w:ascii="Times New Roman" w:hAnsi="Times New Roman"/>
                <w:b/>
                <w:bCs/>
                <w:color w:val="000000"/>
                <w:sz w:val="22"/>
                <w:szCs w:val="22"/>
              </w:rPr>
              <w:t>Frequency of Expense</w:t>
            </w:r>
          </w:p>
        </w:tc>
        <w:tc>
          <w:tcPr>
            <w:tcW w:w="1260" w:type="dxa"/>
            <w:tcBorders>
              <w:top w:val="single" w:color="auto" w:sz="4" w:space="0"/>
              <w:left w:val="nil"/>
              <w:bottom w:val="single" w:color="auto" w:sz="4" w:space="0"/>
              <w:right w:val="single" w:color="auto" w:sz="4" w:space="0"/>
            </w:tcBorders>
            <w:shd w:val="clear" w:color="auto" w:fill="D9D9D9"/>
            <w:vAlign w:val="bottom"/>
            <w:hideMark/>
          </w:tcPr>
          <w:p w:rsidRPr="00614BB6" w:rsidR="00246685" w:rsidRDefault="00246685" w14:paraId="1A2CB90D" w14:textId="77777777">
            <w:pPr>
              <w:jc w:val="center"/>
              <w:rPr>
                <w:rFonts w:ascii="Times New Roman" w:hAnsi="Times New Roman"/>
                <w:b/>
                <w:bCs/>
                <w:color w:val="000000"/>
                <w:sz w:val="22"/>
                <w:szCs w:val="22"/>
              </w:rPr>
            </w:pPr>
            <w:r w:rsidRPr="00614BB6">
              <w:rPr>
                <w:rFonts w:ascii="Times New Roman" w:hAnsi="Times New Roman"/>
                <w:b/>
                <w:bCs/>
                <w:color w:val="000000"/>
                <w:sz w:val="22"/>
                <w:szCs w:val="22"/>
              </w:rPr>
              <w:t>Number of Staff</w:t>
            </w:r>
          </w:p>
        </w:tc>
        <w:tc>
          <w:tcPr>
            <w:tcW w:w="1080" w:type="dxa"/>
            <w:tcBorders>
              <w:top w:val="single" w:color="auto" w:sz="4" w:space="0"/>
              <w:left w:val="nil"/>
              <w:bottom w:val="single" w:color="auto" w:sz="4" w:space="0"/>
              <w:right w:val="single" w:color="auto" w:sz="4" w:space="0"/>
            </w:tcBorders>
            <w:shd w:val="clear" w:color="auto" w:fill="D9D9D9"/>
            <w:vAlign w:val="bottom"/>
            <w:hideMark/>
          </w:tcPr>
          <w:p w:rsidRPr="00614BB6" w:rsidR="00246685" w:rsidRDefault="00246685" w14:paraId="40C3E4CA" w14:textId="77777777">
            <w:pPr>
              <w:jc w:val="center"/>
              <w:rPr>
                <w:rFonts w:ascii="Times New Roman" w:hAnsi="Times New Roman"/>
                <w:b/>
                <w:bCs/>
                <w:color w:val="000000"/>
                <w:sz w:val="22"/>
                <w:szCs w:val="22"/>
              </w:rPr>
            </w:pPr>
            <w:r w:rsidRPr="00614BB6">
              <w:rPr>
                <w:rFonts w:ascii="Times New Roman" w:hAnsi="Times New Roman"/>
                <w:b/>
                <w:bCs/>
                <w:color w:val="000000"/>
                <w:sz w:val="22"/>
                <w:szCs w:val="22"/>
              </w:rPr>
              <w:t>Staff Hours</w:t>
            </w:r>
          </w:p>
        </w:tc>
        <w:tc>
          <w:tcPr>
            <w:tcW w:w="1267" w:type="dxa"/>
            <w:tcBorders>
              <w:top w:val="single" w:color="auto" w:sz="4" w:space="0"/>
              <w:left w:val="nil"/>
              <w:bottom w:val="single" w:color="auto" w:sz="4" w:space="0"/>
              <w:right w:val="single" w:color="auto" w:sz="4" w:space="0"/>
            </w:tcBorders>
            <w:shd w:val="clear" w:color="auto" w:fill="D9D9D9"/>
            <w:vAlign w:val="bottom"/>
            <w:hideMark/>
          </w:tcPr>
          <w:p w:rsidRPr="00614BB6" w:rsidR="00246685" w:rsidRDefault="00246685" w14:paraId="362CF4A5" w14:textId="77777777">
            <w:pPr>
              <w:jc w:val="center"/>
              <w:rPr>
                <w:rFonts w:ascii="Times New Roman" w:hAnsi="Times New Roman"/>
                <w:b/>
                <w:bCs/>
                <w:color w:val="000000"/>
                <w:sz w:val="22"/>
                <w:szCs w:val="22"/>
              </w:rPr>
            </w:pPr>
            <w:r w:rsidRPr="00614BB6">
              <w:rPr>
                <w:rFonts w:ascii="Times New Roman" w:hAnsi="Times New Roman"/>
                <w:b/>
                <w:bCs/>
                <w:color w:val="000000"/>
                <w:sz w:val="22"/>
                <w:szCs w:val="22"/>
              </w:rPr>
              <w:t>Wage/hour</w:t>
            </w:r>
          </w:p>
        </w:tc>
        <w:tc>
          <w:tcPr>
            <w:tcW w:w="1256" w:type="dxa"/>
            <w:tcBorders>
              <w:top w:val="single" w:color="auto" w:sz="4" w:space="0"/>
              <w:left w:val="nil"/>
              <w:bottom w:val="single" w:color="auto" w:sz="4" w:space="0"/>
              <w:right w:val="single" w:color="auto" w:sz="4" w:space="0"/>
            </w:tcBorders>
            <w:shd w:val="clear" w:color="auto" w:fill="D9D9D9"/>
            <w:vAlign w:val="bottom"/>
            <w:hideMark/>
          </w:tcPr>
          <w:p w:rsidRPr="00614BB6" w:rsidR="00246685" w:rsidRDefault="00246685" w14:paraId="75B240EB" w14:textId="77777777">
            <w:pPr>
              <w:jc w:val="center"/>
              <w:rPr>
                <w:rFonts w:ascii="Times New Roman" w:hAnsi="Times New Roman"/>
                <w:b/>
                <w:bCs/>
                <w:color w:val="000000"/>
                <w:sz w:val="22"/>
                <w:szCs w:val="22"/>
              </w:rPr>
            </w:pPr>
            <w:r w:rsidRPr="00614BB6">
              <w:rPr>
                <w:rFonts w:ascii="Times New Roman" w:hAnsi="Times New Roman"/>
                <w:b/>
                <w:bCs/>
                <w:color w:val="000000"/>
                <w:sz w:val="22"/>
                <w:szCs w:val="22"/>
              </w:rPr>
              <w:t>Annual Cost</w:t>
            </w:r>
          </w:p>
        </w:tc>
      </w:tr>
      <w:tr w:rsidRPr="00614BB6" w:rsidR="00246685" w:rsidTr="00246685" w14:paraId="0AFE1CB2"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65B77790" w14:textId="77777777">
            <w:pPr>
              <w:rPr>
                <w:rFonts w:ascii="Times New Roman" w:hAnsi="Times New Roman"/>
                <w:b/>
                <w:bCs/>
                <w:color w:val="000000"/>
                <w:sz w:val="22"/>
                <w:szCs w:val="22"/>
              </w:rPr>
            </w:pPr>
            <w:r w:rsidRPr="00614BB6">
              <w:rPr>
                <w:rFonts w:ascii="Times New Roman" w:hAnsi="Times New Roman"/>
                <w:b/>
                <w:bCs/>
                <w:color w:val="000000"/>
                <w:sz w:val="22"/>
                <w:szCs w:val="22"/>
              </w:rPr>
              <w:t>Clearance of Information Collection</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4A72CB3E" w14:textId="77777777">
            <w:pPr>
              <w:rPr>
                <w:rFonts w:ascii="Times New Roman" w:hAnsi="Times New Roman"/>
                <w:b/>
                <w:bCs/>
                <w:color w:val="000000"/>
                <w:sz w:val="22"/>
                <w:szCs w:val="22"/>
              </w:rPr>
            </w:pPr>
            <w:r w:rsidRPr="00614BB6">
              <w:rPr>
                <w:rFonts w:ascii="Times New Roman" w:hAnsi="Times New Roman"/>
                <w:b/>
                <w:bCs/>
                <w:color w:val="000000"/>
                <w:sz w:val="22"/>
                <w:szCs w:val="22"/>
              </w:rPr>
              <w:t>Once every 3 years</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30EBF3FF"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66FC5BBF"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80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7A588D9E"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$62.62</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323DE16F"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$5,009.60</w:t>
            </w:r>
          </w:p>
        </w:tc>
      </w:tr>
      <w:tr w:rsidRPr="00614BB6" w:rsidR="00246685" w:rsidTr="00246685" w14:paraId="182A2513"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519F8313" w14:textId="77777777">
            <w:pPr>
              <w:rPr>
                <w:rFonts w:ascii="Times New Roman" w:hAnsi="Times New Roman"/>
                <w:b/>
                <w:bCs/>
                <w:color w:val="000000"/>
                <w:sz w:val="22"/>
                <w:szCs w:val="22"/>
              </w:rPr>
            </w:pPr>
            <w:r w:rsidRPr="00614BB6">
              <w:rPr>
                <w:rFonts w:ascii="Times New Roman" w:hAnsi="Times New Roman"/>
                <w:b/>
                <w:bCs/>
                <w:color w:val="000000"/>
                <w:sz w:val="22"/>
                <w:szCs w:val="22"/>
              </w:rPr>
              <w:t>Preparation of Qualtrics contracting package</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6F744265" w14:textId="77777777">
            <w:pPr>
              <w:rPr>
                <w:rFonts w:ascii="Times New Roman" w:hAnsi="Times New Roman"/>
                <w:b/>
                <w:bCs/>
                <w:color w:val="000000"/>
                <w:sz w:val="22"/>
                <w:szCs w:val="22"/>
              </w:rPr>
            </w:pPr>
            <w:r w:rsidRPr="00614BB6">
              <w:rPr>
                <w:rFonts w:ascii="Times New Roman" w:hAnsi="Times New Roman"/>
                <w:b/>
                <w:bCs/>
                <w:color w:val="000000"/>
                <w:sz w:val="22"/>
                <w:szCs w:val="22"/>
              </w:rPr>
              <w:t>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5A241C5E"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36612FC5"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40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49726871"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$62.62</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451D82A7"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$2,504.80</w:t>
            </w:r>
          </w:p>
        </w:tc>
      </w:tr>
      <w:tr w:rsidRPr="00614BB6" w:rsidR="00246685" w:rsidTr="00246685" w14:paraId="2FC77052"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23DD0CAA" w14:textId="77777777">
            <w:pPr>
              <w:rPr>
                <w:rFonts w:ascii="Times New Roman" w:hAnsi="Times New Roman"/>
                <w:b/>
                <w:bCs/>
                <w:color w:val="000000"/>
                <w:sz w:val="22"/>
                <w:szCs w:val="22"/>
              </w:rPr>
            </w:pPr>
            <w:r w:rsidRPr="00614BB6">
              <w:rPr>
                <w:rFonts w:ascii="Times New Roman" w:hAnsi="Times New Roman"/>
                <w:b/>
                <w:bCs/>
                <w:color w:val="000000"/>
                <w:sz w:val="22"/>
                <w:szCs w:val="22"/>
              </w:rPr>
              <w:t>Cost of Qualtrics License</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723BA986" w14:textId="77777777">
            <w:pPr>
              <w:rPr>
                <w:rFonts w:ascii="Times New Roman" w:hAnsi="Times New Roman"/>
                <w:b/>
                <w:bCs/>
                <w:color w:val="000000"/>
                <w:sz w:val="22"/>
                <w:szCs w:val="22"/>
              </w:rPr>
            </w:pPr>
            <w:r w:rsidRPr="00614BB6">
              <w:rPr>
                <w:rFonts w:ascii="Times New Roman" w:hAnsi="Times New Roman"/>
                <w:b/>
                <w:bCs/>
                <w:color w:val="000000"/>
                <w:sz w:val="22"/>
                <w:szCs w:val="22"/>
              </w:rPr>
              <w:t>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75E37CBA"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3334DFEF"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0E7FB11D"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53BA5E7B"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$7,000.00</w:t>
            </w:r>
          </w:p>
        </w:tc>
      </w:tr>
      <w:tr w:rsidRPr="00614BB6" w:rsidR="00246685" w:rsidTr="00246685" w14:paraId="7AF517F8"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112CD940" w14:textId="77777777">
            <w:pPr>
              <w:rPr>
                <w:rFonts w:ascii="Times New Roman" w:hAnsi="Times New Roman"/>
                <w:b/>
                <w:bCs/>
                <w:color w:val="000000"/>
                <w:sz w:val="22"/>
                <w:szCs w:val="22"/>
              </w:rPr>
            </w:pPr>
            <w:r w:rsidRPr="00614BB6">
              <w:rPr>
                <w:rFonts w:ascii="Times New Roman" w:hAnsi="Times New Roman"/>
                <w:b/>
                <w:bCs/>
                <w:color w:val="000000"/>
                <w:sz w:val="22"/>
                <w:szCs w:val="22"/>
              </w:rPr>
              <w:t>Building survey in Qualtrics</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00972F77" w14:textId="77777777">
            <w:pPr>
              <w:rPr>
                <w:rFonts w:ascii="Times New Roman" w:hAnsi="Times New Roman"/>
                <w:b/>
                <w:bCs/>
                <w:color w:val="000000"/>
                <w:sz w:val="22"/>
                <w:szCs w:val="22"/>
              </w:rPr>
            </w:pPr>
            <w:r w:rsidRPr="00614BB6">
              <w:rPr>
                <w:rFonts w:ascii="Times New Roman" w:hAnsi="Times New Roman"/>
                <w:b/>
                <w:bCs/>
                <w:color w:val="000000"/>
                <w:sz w:val="22"/>
                <w:szCs w:val="22"/>
              </w:rPr>
              <w:t>Bi-annual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43049915"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2271A4F5"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20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7CD20046"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$57.45</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1F618341"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$1,149.00</w:t>
            </w:r>
          </w:p>
        </w:tc>
      </w:tr>
      <w:tr w:rsidRPr="00614BB6" w:rsidR="00246685" w:rsidTr="00246685" w14:paraId="01D0A9E2"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27A5909D" w14:textId="77777777">
            <w:pPr>
              <w:rPr>
                <w:rFonts w:ascii="Times New Roman" w:hAnsi="Times New Roman"/>
                <w:b/>
                <w:bCs/>
                <w:color w:val="000000"/>
                <w:sz w:val="22"/>
                <w:szCs w:val="22"/>
              </w:rPr>
            </w:pPr>
            <w:r w:rsidRPr="00614BB6">
              <w:rPr>
                <w:rFonts w:ascii="Times New Roman" w:hAnsi="Times New Roman"/>
                <w:b/>
                <w:bCs/>
                <w:color w:val="000000"/>
                <w:sz w:val="22"/>
                <w:szCs w:val="22"/>
              </w:rPr>
              <w:t>Distribution of survey to grantee institutions</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15A992E8" w14:textId="77777777">
            <w:pPr>
              <w:rPr>
                <w:rFonts w:ascii="Times New Roman" w:hAnsi="Times New Roman"/>
                <w:b/>
                <w:bCs/>
                <w:color w:val="000000"/>
                <w:sz w:val="22"/>
                <w:szCs w:val="22"/>
              </w:rPr>
            </w:pPr>
            <w:r w:rsidRPr="00614BB6">
              <w:rPr>
                <w:rFonts w:ascii="Times New Roman" w:hAnsi="Times New Roman"/>
                <w:b/>
                <w:bCs/>
                <w:color w:val="000000"/>
                <w:sz w:val="22"/>
                <w:szCs w:val="22"/>
              </w:rPr>
              <w:t>Bi-annual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257586C7"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28C0587C"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20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760F5EDE"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$57.45</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46B751F9"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$1,149.00</w:t>
            </w:r>
          </w:p>
        </w:tc>
      </w:tr>
      <w:tr w:rsidRPr="00614BB6" w:rsidR="00246685" w:rsidTr="00246685" w14:paraId="5E1B260E"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3D11F035" w14:textId="77777777">
            <w:pPr>
              <w:rPr>
                <w:rFonts w:ascii="Times New Roman" w:hAnsi="Times New Roman"/>
                <w:b/>
                <w:bCs/>
                <w:color w:val="000000"/>
                <w:sz w:val="22"/>
                <w:szCs w:val="22"/>
              </w:rPr>
            </w:pPr>
            <w:r w:rsidRPr="00614BB6">
              <w:rPr>
                <w:rFonts w:ascii="Times New Roman" w:hAnsi="Times New Roman"/>
                <w:b/>
                <w:bCs/>
                <w:color w:val="000000"/>
                <w:sz w:val="22"/>
                <w:szCs w:val="22"/>
              </w:rPr>
              <w:t>Technical Assistance to grantee institutions</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7439086E" w14:textId="77777777">
            <w:pPr>
              <w:rPr>
                <w:rFonts w:ascii="Times New Roman" w:hAnsi="Times New Roman"/>
                <w:b/>
                <w:bCs/>
                <w:color w:val="000000"/>
                <w:sz w:val="22"/>
                <w:szCs w:val="22"/>
              </w:rPr>
            </w:pPr>
            <w:r w:rsidRPr="00614BB6">
              <w:rPr>
                <w:rFonts w:ascii="Times New Roman" w:hAnsi="Times New Roman"/>
                <w:b/>
                <w:bCs/>
                <w:color w:val="000000"/>
                <w:sz w:val="22"/>
                <w:szCs w:val="22"/>
              </w:rPr>
              <w:t>Bi-annual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4B055960"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274283A1"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60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3DC08377"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$57.45</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1D804D1D"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$3,447.00</w:t>
            </w:r>
          </w:p>
        </w:tc>
      </w:tr>
      <w:tr w:rsidRPr="00614BB6" w:rsidR="00246685" w:rsidTr="00246685" w14:paraId="3680B6F2"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528FBCBA" w14:textId="77777777">
            <w:pPr>
              <w:rPr>
                <w:rFonts w:ascii="Times New Roman" w:hAnsi="Times New Roman"/>
                <w:b/>
                <w:bCs/>
                <w:color w:val="000000"/>
                <w:sz w:val="22"/>
                <w:szCs w:val="22"/>
              </w:rPr>
            </w:pPr>
            <w:r w:rsidRPr="00614BB6">
              <w:rPr>
                <w:rFonts w:ascii="Times New Roman" w:hAnsi="Times New Roman"/>
                <w:b/>
                <w:bCs/>
                <w:color w:val="000000"/>
                <w:sz w:val="22"/>
                <w:szCs w:val="22"/>
              </w:rPr>
              <w:t>Collection of survey responses</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6F481D02" w14:textId="77777777">
            <w:pPr>
              <w:rPr>
                <w:rFonts w:ascii="Times New Roman" w:hAnsi="Times New Roman"/>
                <w:b/>
                <w:bCs/>
                <w:color w:val="000000"/>
                <w:sz w:val="22"/>
                <w:szCs w:val="22"/>
              </w:rPr>
            </w:pPr>
            <w:r w:rsidRPr="00614BB6">
              <w:rPr>
                <w:rFonts w:ascii="Times New Roman" w:hAnsi="Times New Roman"/>
                <w:b/>
                <w:bCs/>
                <w:color w:val="000000"/>
                <w:sz w:val="22"/>
                <w:szCs w:val="22"/>
              </w:rPr>
              <w:t>Bi-annual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3C8DD614"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285A9CF3"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40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3743EE65"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$57.45</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441D638B"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$2,298.00</w:t>
            </w:r>
          </w:p>
        </w:tc>
      </w:tr>
      <w:tr w:rsidRPr="00614BB6" w:rsidR="00246685" w:rsidTr="00246685" w14:paraId="526B32B7"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46685" w14:paraId="02F72787" w14:textId="77777777">
            <w:pPr>
              <w:rPr>
                <w:rFonts w:ascii="Times New Roman" w:hAnsi="Times New Roman"/>
                <w:b/>
                <w:bCs/>
                <w:color w:val="000000"/>
                <w:sz w:val="22"/>
                <w:szCs w:val="22"/>
              </w:rPr>
            </w:pPr>
            <w:r w:rsidRPr="00614BB6">
              <w:rPr>
                <w:rFonts w:ascii="Times New Roman" w:hAnsi="Times New Roman"/>
                <w:b/>
                <w:bCs/>
                <w:color w:val="000000"/>
                <w:sz w:val="22"/>
                <w:szCs w:val="22"/>
              </w:rPr>
              <w:t>Drafting Survey report</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5EB40FB4" w14:textId="77777777">
            <w:pPr>
              <w:rPr>
                <w:rFonts w:ascii="Times New Roman" w:hAnsi="Times New Roman"/>
                <w:b/>
                <w:bCs/>
                <w:color w:val="000000"/>
                <w:sz w:val="22"/>
                <w:szCs w:val="22"/>
              </w:rPr>
            </w:pPr>
            <w:r w:rsidRPr="00614BB6">
              <w:rPr>
                <w:rFonts w:ascii="Times New Roman" w:hAnsi="Times New Roman"/>
                <w:b/>
                <w:bCs/>
                <w:color w:val="000000"/>
                <w:sz w:val="22"/>
                <w:szCs w:val="22"/>
              </w:rPr>
              <w:t>Bi-annual</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3CCB45EF"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5D46AEA0"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120</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7BA610EE"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$57.45</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2CE46E60"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$6,894.00</w:t>
            </w:r>
          </w:p>
        </w:tc>
      </w:tr>
      <w:tr w:rsidRPr="00614BB6" w:rsidR="00246685" w:rsidTr="00246685" w14:paraId="6282A6C9" w14:textId="77777777">
        <w:trPr>
          <w:trHeight w:val="300"/>
        </w:trPr>
        <w:tc>
          <w:tcPr>
            <w:tcW w:w="2985" w:type="dxa"/>
            <w:tcBorders>
              <w:top w:val="nil"/>
              <w:left w:val="single" w:color="auto" w:sz="4" w:space="0"/>
              <w:bottom w:val="single" w:color="auto" w:sz="4" w:space="0"/>
              <w:right w:val="single" w:color="auto" w:sz="4" w:space="0"/>
            </w:tcBorders>
            <w:noWrap/>
            <w:vAlign w:val="bottom"/>
            <w:hideMark/>
          </w:tcPr>
          <w:p w:rsidRPr="00614BB6" w:rsidR="00246685" w:rsidRDefault="002750D8" w14:paraId="75856826" w14:textId="744F3C40">
            <w:pPr>
              <w:rPr>
                <w:rFonts w:ascii="Times New Roman" w:hAnsi="Times New Roman"/>
                <w:b/>
                <w:bCs/>
                <w:color w:val="000000"/>
                <w:sz w:val="22"/>
                <w:szCs w:val="22"/>
              </w:rPr>
            </w:pPr>
            <w:r>
              <w:rPr>
                <w:rFonts w:ascii="Times New Roman" w:hAnsi="Times New Roman"/>
                <w:b/>
                <w:bCs/>
                <w:color w:val="000000"/>
                <w:sz w:val="22"/>
                <w:szCs w:val="22"/>
              </w:rPr>
              <w:t xml:space="preserve">Annual </w:t>
            </w:r>
            <w:r w:rsidRPr="00614BB6" w:rsidR="00246685">
              <w:rPr>
                <w:rFonts w:ascii="Times New Roman" w:hAnsi="Times New Roman"/>
                <w:b/>
                <w:bCs/>
                <w:color w:val="000000"/>
                <w:sz w:val="22"/>
                <w:szCs w:val="22"/>
              </w:rPr>
              <w:t>Total</w:t>
            </w:r>
          </w:p>
        </w:tc>
        <w:tc>
          <w:tcPr>
            <w:tcW w:w="1710" w:type="dxa"/>
            <w:tcBorders>
              <w:top w:val="nil"/>
              <w:left w:val="nil"/>
              <w:bottom w:val="single" w:color="auto" w:sz="4" w:space="0"/>
              <w:right w:val="single" w:color="auto" w:sz="4" w:space="0"/>
            </w:tcBorders>
            <w:noWrap/>
            <w:vAlign w:val="bottom"/>
            <w:hideMark/>
          </w:tcPr>
          <w:p w:rsidRPr="00614BB6" w:rsidR="00246685" w:rsidRDefault="00246685" w14:paraId="19F9798F"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260" w:type="dxa"/>
            <w:tcBorders>
              <w:top w:val="nil"/>
              <w:left w:val="nil"/>
              <w:bottom w:val="single" w:color="auto" w:sz="4" w:space="0"/>
              <w:right w:val="single" w:color="auto" w:sz="4" w:space="0"/>
            </w:tcBorders>
            <w:noWrap/>
            <w:vAlign w:val="bottom"/>
            <w:hideMark/>
          </w:tcPr>
          <w:p w:rsidRPr="00614BB6" w:rsidR="00246685" w:rsidRDefault="00246685" w14:paraId="12B93141"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080" w:type="dxa"/>
            <w:tcBorders>
              <w:top w:val="nil"/>
              <w:left w:val="nil"/>
              <w:bottom w:val="single" w:color="auto" w:sz="4" w:space="0"/>
              <w:right w:val="single" w:color="auto" w:sz="4" w:space="0"/>
            </w:tcBorders>
            <w:noWrap/>
            <w:vAlign w:val="bottom"/>
            <w:hideMark/>
          </w:tcPr>
          <w:p w:rsidRPr="00614BB6" w:rsidR="00246685" w:rsidRDefault="00246685" w14:paraId="65A336F8"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267" w:type="dxa"/>
            <w:tcBorders>
              <w:top w:val="nil"/>
              <w:left w:val="nil"/>
              <w:bottom w:val="single" w:color="auto" w:sz="4" w:space="0"/>
              <w:right w:val="single" w:color="auto" w:sz="4" w:space="0"/>
            </w:tcBorders>
            <w:noWrap/>
            <w:vAlign w:val="bottom"/>
            <w:hideMark/>
          </w:tcPr>
          <w:p w:rsidRPr="00614BB6" w:rsidR="00246685" w:rsidRDefault="00246685" w14:paraId="4180B650" w14:textId="77777777">
            <w:pPr>
              <w:rPr>
                <w:rFonts w:ascii="Times New Roman" w:hAnsi="Times New Roman"/>
                <w:b/>
                <w:bCs/>
                <w:color w:val="000000"/>
                <w:sz w:val="22"/>
                <w:szCs w:val="22"/>
              </w:rPr>
            </w:pPr>
            <w:r w:rsidRPr="00614BB6">
              <w:rPr>
                <w:rFonts w:ascii="Times New Roman" w:hAnsi="Times New Roman"/>
                <w:b/>
                <w:bCs/>
                <w:color w:val="000000"/>
                <w:sz w:val="22"/>
                <w:szCs w:val="22"/>
              </w:rPr>
              <w:t> </w:t>
            </w:r>
          </w:p>
        </w:tc>
        <w:tc>
          <w:tcPr>
            <w:tcW w:w="1256" w:type="dxa"/>
            <w:tcBorders>
              <w:top w:val="nil"/>
              <w:left w:val="nil"/>
              <w:bottom w:val="single" w:color="auto" w:sz="4" w:space="0"/>
              <w:right w:val="single" w:color="auto" w:sz="4" w:space="0"/>
            </w:tcBorders>
            <w:noWrap/>
            <w:vAlign w:val="bottom"/>
            <w:hideMark/>
          </w:tcPr>
          <w:p w:rsidRPr="00614BB6" w:rsidR="00246685" w:rsidRDefault="00246685" w14:paraId="01DEFC53" w14:textId="77777777">
            <w:pPr>
              <w:jc w:val="right"/>
              <w:rPr>
                <w:rFonts w:ascii="Times New Roman" w:hAnsi="Times New Roman"/>
                <w:b/>
                <w:bCs/>
                <w:color w:val="000000"/>
                <w:sz w:val="22"/>
                <w:szCs w:val="22"/>
              </w:rPr>
            </w:pPr>
            <w:r w:rsidRPr="00614BB6">
              <w:rPr>
                <w:rFonts w:ascii="Times New Roman" w:hAnsi="Times New Roman"/>
                <w:b/>
                <w:bCs/>
                <w:color w:val="000000"/>
                <w:sz w:val="22"/>
                <w:szCs w:val="22"/>
              </w:rPr>
              <w:t>$29,451.40</w:t>
            </w:r>
          </w:p>
        </w:tc>
      </w:tr>
    </w:tbl>
    <w:p w:rsidR="00534B4A" w:rsidP="00534B4A" w:rsidRDefault="00534B4A" w14:paraId="6C1A4E0E" w14:textId="77777777">
      <w:pPr>
        <w:tabs>
          <w:tab w:val="left" w:pos="-720"/>
        </w:tabs>
        <w:suppressAutoHyphens/>
        <w:rPr>
          <w:rFonts w:ascii="Times New Roman" w:hAnsi="Times New Roman"/>
          <w:szCs w:val="24"/>
        </w:rPr>
      </w:pPr>
    </w:p>
    <w:p w:rsidR="00534B4A" w:rsidP="00534B4A" w:rsidRDefault="00534B4A" w14:paraId="48315224"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27290E0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D0B683F"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9AB2CF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lastRenderedPageBreak/>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6E84E0D"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C6C5F6A" w14:textId="77777777">
        <w:tc>
          <w:tcPr>
            <w:tcW w:w="2048" w:type="dxa"/>
            <w:shd w:val="clear" w:color="auto" w:fill="D9D9D9" w:themeFill="background1" w:themeFillShade="D9"/>
          </w:tcPr>
          <w:p w:rsidR="0052073E" w:rsidP="00534B4A" w:rsidRDefault="0052073E" w14:paraId="79073883" w14:textId="77777777">
            <w:pPr>
              <w:tabs>
                <w:tab w:val="left" w:pos="-720"/>
              </w:tabs>
              <w:suppressAutoHyphens/>
              <w:rPr>
                <w:rFonts w:ascii="Times New Roman" w:hAnsi="Times New Roman"/>
                <w:b/>
                <w:szCs w:val="24"/>
              </w:rPr>
            </w:pPr>
          </w:p>
        </w:tc>
        <w:tc>
          <w:tcPr>
            <w:tcW w:w="2048" w:type="dxa"/>
          </w:tcPr>
          <w:p w:rsidR="0052073E" w:rsidP="00534B4A" w:rsidRDefault="0052073E" w14:paraId="250FFA1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0FA31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95C13B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8558F6C" w14:textId="77777777">
        <w:tc>
          <w:tcPr>
            <w:tcW w:w="2048" w:type="dxa"/>
          </w:tcPr>
          <w:p w:rsidR="0052073E" w:rsidP="00534B4A" w:rsidRDefault="0052073E" w14:paraId="149557D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2750D8" w:rsidR="0052073E" w:rsidP="00534B4A" w:rsidRDefault="00622D0A" w14:paraId="405800DD" w14:textId="1523647B">
            <w:pPr>
              <w:tabs>
                <w:tab w:val="left" w:pos="-720"/>
              </w:tabs>
              <w:suppressAutoHyphens/>
              <w:rPr>
                <w:rFonts w:ascii="Times New Roman" w:hAnsi="Times New Roman"/>
                <w:b/>
                <w:szCs w:val="24"/>
              </w:rPr>
            </w:pPr>
            <w:r w:rsidRPr="002750D8">
              <w:rPr>
                <w:rFonts w:ascii="Times New Roman" w:hAnsi="Times New Roman"/>
                <w:b/>
                <w:szCs w:val="24"/>
              </w:rPr>
              <w:t>0</w:t>
            </w:r>
          </w:p>
        </w:tc>
        <w:tc>
          <w:tcPr>
            <w:tcW w:w="2829" w:type="dxa"/>
          </w:tcPr>
          <w:p w:rsidRPr="002750D8" w:rsidR="0052073E" w:rsidP="00534B4A" w:rsidRDefault="00FD7AF5" w14:paraId="0B2600BF" w14:textId="5B2EC2EF">
            <w:pPr>
              <w:tabs>
                <w:tab w:val="left" w:pos="-720"/>
              </w:tabs>
              <w:suppressAutoHyphens/>
              <w:rPr>
                <w:rFonts w:ascii="Times New Roman" w:hAnsi="Times New Roman"/>
                <w:b/>
                <w:szCs w:val="24"/>
              </w:rPr>
            </w:pPr>
            <w:r w:rsidRPr="002750D8">
              <w:rPr>
                <w:rFonts w:ascii="Times New Roman" w:hAnsi="Times New Roman"/>
                <w:b/>
                <w:szCs w:val="24"/>
              </w:rPr>
              <w:t>600</w:t>
            </w:r>
            <w:r w:rsidRPr="002750D8" w:rsidR="00622D0A">
              <w:rPr>
                <w:rFonts w:ascii="Times New Roman" w:hAnsi="Times New Roman"/>
                <w:b/>
                <w:szCs w:val="24"/>
              </w:rPr>
              <w:t xml:space="preserve"> hours</w:t>
            </w:r>
          </w:p>
        </w:tc>
        <w:tc>
          <w:tcPr>
            <w:tcW w:w="2520" w:type="dxa"/>
          </w:tcPr>
          <w:p w:rsidRPr="002750D8" w:rsidR="0052073E" w:rsidP="00534B4A" w:rsidRDefault="00411AB1" w14:paraId="4BF7466D" w14:textId="2EC976DF">
            <w:pPr>
              <w:tabs>
                <w:tab w:val="left" w:pos="-720"/>
              </w:tabs>
              <w:suppressAutoHyphens/>
              <w:rPr>
                <w:rFonts w:ascii="Times New Roman" w:hAnsi="Times New Roman"/>
                <w:b/>
                <w:szCs w:val="24"/>
              </w:rPr>
            </w:pPr>
            <w:r w:rsidRPr="002750D8">
              <w:rPr>
                <w:rFonts w:ascii="Times New Roman" w:hAnsi="Times New Roman"/>
                <w:b/>
                <w:szCs w:val="24"/>
              </w:rPr>
              <w:t>0</w:t>
            </w:r>
          </w:p>
        </w:tc>
      </w:tr>
      <w:tr w:rsidR="0052073E" w:rsidTr="0052073E" w14:paraId="63AA1630" w14:textId="77777777">
        <w:tc>
          <w:tcPr>
            <w:tcW w:w="2048" w:type="dxa"/>
          </w:tcPr>
          <w:p w:rsidR="0052073E" w:rsidP="00534B4A" w:rsidRDefault="0052073E" w14:paraId="356C1B8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2750D8" w:rsidR="0052073E" w:rsidP="00534B4A" w:rsidRDefault="004344D0" w14:paraId="0F698043" w14:textId="6DD04745">
            <w:pPr>
              <w:tabs>
                <w:tab w:val="left" w:pos="-720"/>
              </w:tabs>
              <w:suppressAutoHyphens/>
              <w:rPr>
                <w:rFonts w:ascii="Times New Roman" w:hAnsi="Times New Roman"/>
                <w:b/>
                <w:szCs w:val="24"/>
              </w:rPr>
            </w:pPr>
            <w:r w:rsidRPr="002750D8">
              <w:rPr>
                <w:rFonts w:ascii="Times New Roman" w:hAnsi="Times New Roman"/>
                <w:b/>
                <w:szCs w:val="24"/>
              </w:rPr>
              <w:t>0</w:t>
            </w:r>
          </w:p>
        </w:tc>
        <w:tc>
          <w:tcPr>
            <w:tcW w:w="2829" w:type="dxa"/>
          </w:tcPr>
          <w:p w:rsidRPr="002750D8" w:rsidR="0052073E" w:rsidP="00534B4A" w:rsidRDefault="00BD58AF" w14:paraId="5D6A38DE" w14:textId="436817C2">
            <w:pPr>
              <w:tabs>
                <w:tab w:val="left" w:pos="-720"/>
              </w:tabs>
              <w:suppressAutoHyphens/>
              <w:rPr>
                <w:rFonts w:ascii="Times New Roman" w:hAnsi="Times New Roman"/>
                <w:b/>
                <w:szCs w:val="24"/>
              </w:rPr>
            </w:pPr>
            <w:r w:rsidRPr="002750D8">
              <w:rPr>
                <w:rFonts w:ascii="Times New Roman" w:hAnsi="Times New Roman"/>
                <w:b/>
                <w:szCs w:val="24"/>
              </w:rPr>
              <w:t>2400</w:t>
            </w:r>
          </w:p>
        </w:tc>
        <w:tc>
          <w:tcPr>
            <w:tcW w:w="2520" w:type="dxa"/>
          </w:tcPr>
          <w:p w:rsidRPr="002750D8" w:rsidR="0052073E" w:rsidP="00534B4A" w:rsidRDefault="004344D0" w14:paraId="4F149522" w14:textId="6A4B0173">
            <w:pPr>
              <w:tabs>
                <w:tab w:val="left" w:pos="-720"/>
              </w:tabs>
              <w:suppressAutoHyphens/>
              <w:rPr>
                <w:rFonts w:ascii="Times New Roman" w:hAnsi="Times New Roman"/>
                <w:b/>
                <w:szCs w:val="24"/>
              </w:rPr>
            </w:pPr>
            <w:r w:rsidRPr="002750D8">
              <w:rPr>
                <w:rFonts w:ascii="Times New Roman" w:hAnsi="Times New Roman"/>
                <w:b/>
                <w:szCs w:val="24"/>
              </w:rPr>
              <w:t>0</w:t>
            </w:r>
          </w:p>
        </w:tc>
      </w:tr>
      <w:tr w:rsidR="0052073E" w:rsidTr="0052073E" w14:paraId="543029A0" w14:textId="77777777">
        <w:tc>
          <w:tcPr>
            <w:tcW w:w="2048" w:type="dxa"/>
          </w:tcPr>
          <w:p w:rsidR="0052073E" w:rsidP="00534B4A" w:rsidRDefault="0052073E" w14:paraId="0F220B4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8A0C78" w:rsidR="0052073E" w:rsidP="00534B4A" w:rsidRDefault="00E80B93" w14:paraId="281856FA" w14:textId="629E062F">
            <w:pPr>
              <w:tabs>
                <w:tab w:val="left" w:pos="-720"/>
              </w:tabs>
              <w:suppressAutoHyphens/>
              <w:rPr>
                <w:rFonts w:ascii="Times New Roman" w:hAnsi="Times New Roman"/>
                <w:b/>
                <w:szCs w:val="24"/>
              </w:rPr>
            </w:pPr>
            <w:r w:rsidRPr="008A0C78">
              <w:rPr>
                <w:rFonts w:ascii="Times New Roman" w:hAnsi="Times New Roman"/>
                <w:b/>
                <w:szCs w:val="24"/>
              </w:rPr>
              <w:t>$0.00</w:t>
            </w:r>
          </w:p>
        </w:tc>
        <w:tc>
          <w:tcPr>
            <w:tcW w:w="2829" w:type="dxa"/>
          </w:tcPr>
          <w:p w:rsidRPr="008A0C78" w:rsidR="0052073E" w:rsidP="00534B4A" w:rsidRDefault="00411AB1" w14:paraId="7EA6C736" w14:textId="77777777">
            <w:pPr>
              <w:tabs>
                <w:tab w:val="left" w:pos="-720"/>
              </w:tabs>
              <w:suppressAutoHyphens/>
              <w:rPr>
                <w:rFonts w:ascii="Times New Roman" w:hAnsi="Times New Roman"/>
                <w:b/>
                <w:szCs w:val="24"/>
              </w:rPr>
            </w:pPr>
            <w:r w:rsidRPr="008A0C78">
              <w:rPr>
                <w:rFonts w:ascii="Times New Roman" w:hAnsi="Times New Roman"/>
                <w:b/>
                <w:szCs w:val="24"/>
              </w:rPr>
              <w:t>$</w:t>
            </w:r>
            <w:r w:rsidRPr="008A0C78" w:rsidR="001859FF">
              <w:rPr>
                <w:rFonts w:ascii="Times New Roman" w:hAnsi="Times New Roman"/>
                <w:b/>
                <w:szCs w:val="24"/>
              </w:rPr>
              <w:t>0.00</w:t>
            </w:r>
          </w:p>
          <w:p w:rsidRPr="008A0C78" w:rsidR="001859FF" w:rsidP="00534B4A" w:rsidRDefault="001859FF" w14:paraId="48CD6BAB" w14:textId="6F0DC761">
            <w:pPr>
              <w:tabs>
                <w:tab w:val="left" w:pos="-720"/>
              </w:tabs>
              <w:suppressAutoHyphens/>
              <w:rPr>
                <w:rFonts w:ascii="Times New Roman" w:hAnsi="Times New Roman"/>
                <w:b/>
                <w:szCs w:val="24"/>
              </w:rPr>
            </w:pPr>
          </w:p>
        </w:tc>
        <w:tc>
          <w:tcPr>
            <w:tcW w:w="2520" w:type="dxa"/>
          </w:tcPr>
          <w:p w:rsidRPr="008A0C78" w:rsidR="0052073E" w:rsidP="00534B4A" w:rsidRDefault="008100D9" w14:paraId="0BA85777" w14:textId="32FE7620">
            <w:pPr>
              <w:tabs>
                <w:tab w:val="left" w:pos="-720"/>
              </w:tabs>
              <w:suppressAutoHyphens/>
              <w:rPr>
                <w:rFonts w:ascii="Times New Roman" w:hAnsi="Times New Roman"/>
                <w:b/>
                <w:szCs w:val="24"/>
              </w:rPr>
            </w:pPr>
            <w:r w:rsidRPr="008A0C78">
              <w:rPr>
                <w:rFonts w:ascii="Times New Roman" w:hAnsi="Times New Roman"/>
                <w:b/>
                <w:szCs w:val="24"/>
              </w:rPr>
              <w:t>$0.00</w:t>
            </w:r>
          </w:p>
        </w:tc>
      </w:tr>
    </w:tbl>
    <w:p w:rsidR="00F27AAF" w:rsidP="00534B4A" w:rsidRDefault="00F27AAF" w14:paraId="56B9BE35" w14:textId="64B72F4D">
      <w:pPr>
        <w:tabs>
          <w:tab w:val="left" w:pos="-720"/>
        </w:tabs>
        <w:suppressAutoHyphens/>
        <w:rPr>
          <w:rFonts w:ascii="Times New Roman" w:hAnsi="Times New Roman"/>
          <w:b/>
          <w:szCs w:val="24"/>
        </w:rPr>
      </w:pPr>
    </w:p>
    <w:p w:rsidRPr="00877F03" w:rsidR="00877F03" w:rsidP="00877F03" w:rsidRDefault="00877F03" w14:paraId="629E9A7A" w14:textId="5BFFF1F7">
      <w:pPr>
        <w:tabs>
          <w:tab w:val="left" w:pos="-720"/>
        </w:tabs>
        <w:suppressAutoHyphens/>
        <w:ind w:left="720"/>
        <w:rPr>
          <w:rFonts w:ascii="Times New Roman" w:hAnsi="Times New Roman"/>
          <w:bCs/>
          <w:szCs w:val="24"/>
        </w:rPr>
      </w:pPr>
      <w:r w:rsidRPr="00877F03">
        <w:rPr>
          <w:rFonts w:ascii="Times New Roman" w:hAnsi="Times New Roman"/>
          <w:bCs/>
          <w:szCs w:val="24"/>
        </w:rPr>
        <w:t xml:space="preserve">Since this collection is a reinstatement, the burden increases as a result of a program change due to agency discretion. Some changes include: the elimination of duplicative questions; the modification of verbose and/or complicated questions to more efficient formats; and enabling of omitting questions if previous answers indicate that a question is not applicable. </w:t>
      </w:r>
    </w:p>
    <w:p w:rsidRPr="00534B4A" w:rsidR="00534B4A" w:rsidP="00534B4A" w:rsidRDefault="00534B4A" w14:paraId="2EC2E45A" w14:textId="77777777">
      <w:pPr>
        <w:tabs>
          <w:tab w:val="left" w:pos="-720"/>
        </w:tabs>
        <w:suppressAutoHyphens/>
        <w:rPr>
          <w:rFonts w:ascii="Times New Roman" w:hAnsi="Times New Roman"/>
          <w:szCs w:val="24"/>
        </w:rPr>
      </w:pPr>
    </w:p>
    <w:p w:rsidR="00043C32" w:rsidP="00AD381B" w:rsidRDefault="00043C32" w14:paraId="05BF1628" w14:textId="17E77523">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11D5" w:rsidP="004911D5" w:rsidRDefault="004911D5" w14:paraId="25856D7F" w14:textId="77777777">
      <w:pPr>
        <w:pStyle w:val="ListParagraph"/>
        <w:tabs>
          <w:tab w:val="left" w:pos="-720"/>
        </w:tabs>
        <w:suppressAutoHyphens/>
        <w:ind w:left="806"/>
        <w:contextualSpacing w:val="0"/>
        <w:rPr>
          <w:rStyle w:val="a"/>
          <w:rFonts w:ascii="Times New Roman" w:hAnsi="Times New Roman"/>
          <w:b/>
          <w:szCs w:val="24"/>
        </w:rPr>
      </w:pPr>
    </w:p>
    <w:p w:rsidRPr="004911D5" w:rsidR="004911D5" w:rsidP="004911D5" w:rsidRDefault="004911D5" w14:paraId="2FBF67A9" w14:textId="18EB5FC1">
      <w:pPr>
        <w:pStyle w:val="ListParagraph"/>
        <w:tabs>
          <w:tab w:val="left" w:pos="-720"/>
        </w:tabs>
        <w:suppressAutoHyphens/>
        <w:ind w:left="806"/>
        <w:contextualSpacing w:val="0"/>
        <w:rPr>
          <w:rStyle w:val="a"/>
          <w:rFonts w:ascii="Times New Roman" w:hAnsi="Times New Roman"/>
          <w:bCs/>
          <w:szCs w:val="24"/>
        </w:rPr>
      </w:pPr>
      <w:r w:rsidRPr="004911D5">
        <w:rPr>
          <w:rFonts w:ascii="Times New Roman" w:hAnsi="Times New Roman"/>
          <w:bCs/>
        </w:rPr>
        <w:t xml:space="preserve">The estimated time schedule is as follows: distribute the survey in </w:t>
      </w:r>
      <w:r w:rsidR="000B24BF">
        <w:rPr>
          <w:rFonts w:ascii="Times New Roman" w:hAnsi="Times New Roman"/>
          <w:bCs/>
        </w:rPr>
        <w:t>October</w:t>
      </w:r>
      <w:r w:rsidRPr="004911D5">
        <w:rPr>
          <w:rFonts w:ascii="Times New Roman" w:hAnsi="Times New Roman"/>
          <w:bCs/>
        </w:rPr>
        <w:t xml:space="preserve"> with a response deadline in the beginning of </w:t>
      </w:r>
      <w:r w:rsidR="0053021F">
        <w:rPr>
          <w:rFonts w:ascii="Times New Roman" w:hAnsi="Times New Roman"/>
          <w:bCs/>
        </w:rPr>
        <w:t>December</w:t>
      </w:r>
      <w:r w:rsidRPr="004911D5">
        <w:rPr>
          <w:rFonts w:ascii="Times New Roman" w:hAnsi="Times New Roman"/>
          <w:bCs/>
        </w:rPr>
        <w:t xml:space="preserve">. The data analysis, including cross-tabulations and a one-tailed t-test, would be completed by the end of </w:t>
      </w:r>
      <w:r w:rsidR="0053021F">
        <w:rPr>
          <w:rFonts w:ascii="Times New Roman" w:hAnsi="Times New Roman"/>
          <w:bCs/>
        </w:rPr>
        <w:t>March</w:t>
      </w:r>
      <w:r w:rsidRPr="004911D5">
        <w:rPr>
          <w:rFonts w:ascii="Times New Roman" w:hAnsi="Times New Roman"/>
          <w:bCs/>
        </w:rPr>
        <w:t xml:space="preserve">, corresponding tables would be completed by the end of </w:t>
      </w:r>
      <w:r w:rsidR="0053021F">
        <w:rPr>
          <w:rFonts w:ascii="Times New Roman" w:hAnsi="Times New Roman"/>
          <w:bCs/>
        </w:rPr>
        <w:t>April</w:t>
      </w:r>
      <w:r w:rsidRPr="004911D5">
        <w:rPr>
          <w:rFonts w:ascii="Times New Roman" w:hAnsi="Times New Roman"/>
          <w:bCs/>
        </w:rPr>
        <w:t xml:space="preserve">, and the report would be drafted by the end of </w:t>
      </w:r>
      <w:r w:rsidR="00CB2E31">
        <w:rPr>
          <w:rFonts w:ascii="Times New Roman" w:hAnsi="Times New Roman"/>
          <w:bCs/>
        </w:rPr>
        <w:t>July</w:t>
      </w:r>
      <w:r w:rsidRPr="004911D5">
        <w:rPr>
          <w:rFonts w:ascii="Times New Roman" w:hAnsi="Times New Roman"/>
          <w:bCs/>
        </w:rPr>
        <w:t>. The report must be cleared by OCO before publication and web posting. In an ideal year, that would be completed by the end of December.</w:t>
      </w:r>
    </w:p>
    <w:p w:rsidR="00534B4A" w:rsidP="00534B4A" w:rsidRDefault="00534B4A" w14:paraId="0EC1BE9F" w14:textId="77777777">
      <w:pPr>
        <w:tabs>
          <w:tab w:val="left" w:pos="-720"/>
        </w:tabs>
        <w:suppressAutoHyphens/>
        <w:rPr>
          <w:rFonts w:ascii="Times New Roman" w:hAnsi="Times New Roman"/>
          <w:szCs w:val="24"/>
        </w:rPr>
      </w:pPr>
    </w:p>
    <w:p w:rsidRPr="00534B4A" w:rsidR="00534B4A" w:rsidP="00534B4A" w:rsidRDefault="00534B4A" w14:paraId="39BA952E" w14:textId="77777777">
      <w:pPr>
        <w:tabs>
          <w:tab w:val="left" w:pos="-720"/>
        </w:tabs>
        <w:suppressAutoHyphens/>
        <w:rPr>
          <w:rFonts w:ascii="Times New Roman" w:hAnsi="Times New Roman"/>
          <w:szCs w:val="24"/>
        </w:rPr>
      </w:pPr>
    </w:p>
    <w:p w:rsidRPr="00534B4A" w:rsidR="00043C32" w:rsidP="00AD381B" w:rsidRDefault="00043C32" w14:paraId="45F9E12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B15FFA" w:rsidP="00B15FFA" w:rsidRDefault="00B15FFA" w14:paraId="0F1D7D00" w14:textId="77777777">
      <w:pPr>
        <w:tabs>
          <w:tab w:val="left" w:pos="-720"/>
        </w:tabs>
        <w:suppressAutoHyphens/>
        <w:ind w:left="720"/>
        <w:rPr>
          <w:rFonts w:ascii="Times New Roman" w:hAnsi="Times New Roman"/>
          <w:b/>
          <w:szCs w:val="24"/>
        </w:rPr>
      </w:pPr>
    </w:p>
    <w:p w:rsidRPr="00B15FFA" w:rsidR="00534B4A" w:rsidP="00B15FFA" w:rsidRDefault="00B15FFA" w14:paraId="1E3E532E" w14:textId="47E09E16">
      <w:pPr>
        <w:tabs>
          <w:tab w:val="left" w:pos="-720"/>
        </w:tabs>
        <w:suppressAutoHyphens/>
        <w:ind w:left="720"/>
        <w:rPr>
          <w:rFonts w:ascii="Times New Roman" w:hAnsi="Times New Roman"/>
          <w:bCs/>
          <w:szCs w:val="24"/>
        </w:rPr>
      </w:pPr>
      <w:r w:rsidRPr="00B15FFA">
        <w:rPr>
          <w:rFonts w:ascii="Times New Roman" w:hAnsi="Times New Roman"/>
          <w:bCs/>
          <w:szCs w:val="24"/>
        </w:rPr>
        <w:t>The expiration date for OMB approval of the information collection will be displayed as required.</w:t>
      </w:r>
    </w:p>
    <w:p w:rsidRPr="00534B4A" w:rsidR="00534B4A" w:rsidP="00534B4A" w:rsidRDefault="00534B4A" w14:paraId="5809DB49" w14:textId="77777777">
      <w:pPr>
        <w:tabs>
          <w:tab w:val="left" w:pos="-720"/>
        </w:tabs>
        <w:suppressAutoHyphens/>
        <w:ind w:left="360"/>
        <w:rPr>
          <w:rFonts w:ascii="Times New Roman" w:hAnsi="Times New Roman"/>
          <w:szCs w:val="24"/>
        </w:rPr>
      </w:pPr>
    </w:p>
    <w:p w:rsidR="001C73C0" w:rsidP="00AD381B" w:rsidRDefault="00043C32" w14:paraId="0D2E559E" w14:textId="773CBE5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653F10" w:rsidP="00653F10" w:rsidRDefault="00653F10" w14:paraId="705FBE63" w14:textId="5DB1CBC9">
      <w:pPr>
        <w:tabs>
          <w:tab w:val="left" w:pos="-720"/>
        </w:tabs>
        <w:suppressAutoHyphens/>
        <w:rPr>
          <w:rFonts w:ascii="Times New Roman" w:hAnsi="Times New Roman"/>
          <w:b/>
          <w:szCs w:val="24"/>
        </w:rPr>
      </w:pPr>
    </w:p>
    <w:p w:rsidRPr="00653F10" w:rsidR="00653F10" w:rsidP="00653F10" w:rsidRDefault="00653F10" w14:paraId="72CEC2C4" w14:textId="77777777">
      <w:pPr>
        <w:spacing w:after="100" w:afterAutospacing="1"/>
        <w:ind w:left="720"/>
        <w:rPr>
          <w:rFonts w:ascii="Times New Roman" w:hAnsi="Times New Roman"/>
          <w:bCs/>
        </w:rPr>
      </w:pPr>
      <w:r w:rsidRPr="00653F10">
        <w:rPr>
          <w:rFonts w:ascii="Times New Roman" w:hAnsi="Times New Roman"/>
          <w:bCs/>
        </w:rPr>
        <w:t>No exceptions to the certification statement are sought.</w:t>
      </w:r>
    </w:p>
    <w:p w:rsidRPr="00653F10" w:rsidR="00653F10" w:rsidP="00653F10" w:rsidRDefault="00653F10" w14:paraId="08E3D0E3" w14:textId="77777777">
      <w:pPr>
        <w:tabs>
          <w:tab w:val="left" w:pos="-720"/>
        </w:tabs>
        <w:suppressAutoHyphens/>
        <w:rPr>
          <w:rFonts w:ascii="Times New Roman" w:hAnsi="Times New Roman"/>
          <w:b/>
          <w:szCs w:val="24"/>
        </w:rPr>
      </w:pPr>
    </w:p>
    <w:sectPr w:rsidRPr="00653F10" w:rsidR="00653F10"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07D1" w14:textId="77777777" w:rsidR="00696EA2" w:rsidRDefault="00696EA2" w:rsidP="00043C32">
      <w:r>
        <w:separator/>
      </w:r>
    </w:p>
  </w:endnote>
  <w:endnote w:type="continuationSeparator" w:id="0">
    <w:p w14:paraId="777C540C" w14:textId="77777777" w:rsidR="00696EA2" w:rsidRDefault="00696EA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A6E6" w14:textId="77777777" w:rsidR="00386054" w:rsidRDefault="00D24E71">
    <w:pPr>
      <w:spacing w:before="140" w:line="100" w:lineRule="exact"/>
      <w:rPr>
        <w:sz w:val="10"/>
      </w:rPr>
    </w:pPr>
  </w:p>
  <w:p w14:paraId="6E13C322" w14:textId="77777777" w:rsidR="00386054" w:rsidRDefault="00D24E71">
    <w:pPr>
      <w:tabs>
        <w:tab w:val="left" w:pos="0"/>
      </w:tabs>
      <w:suppressAutoHyphens/>
    </w:pPr>
  </w:p>
  <w:p w14:paraId="0731D9AE" w14:textId="77777777" w:rsidR="00386054" w:rsidRDefault="00043C32">
    <w:pPr>
      <w:tabs>
        <w:tab w:val="left" w:pos="0"/>
      </w:tabs>
      <w:suppressAutoHyphens/>
    </w:pPr>
    <w:r>
      <w:rPr>
        <w:noProof/>
      </w:rPr>
      <mc:AlternateContent>
        <mc:Choice Requires="wps">
          <w:drawing>
            <wp:inline distT="0" distB="0" distL="0" distR="0" wp14:anchorId="4292C80E" wp14:editId="1411AC16">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C2928A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4292C80E"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3C2928A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5D3D" w14:textId="77777777" w:rsidR="00696EA2" w:rsidRDefault="00696EA2" w:rsidP="00043C32">
      <w:r>
        <w:separator/>
      </w:r>
    </w:p>
  </w:footnote>
  <w:footnote w:type="continuationSeparator" w:id="0">
    <w:p w14:paraId="0B8CD407" w14:textId="77777777" w:rsidR="00696EA2" w:rsidRDefault="00696EA2" w:rsidP="00043C32">
      <w:r>
        <w:continuationSeparator/>
      </w:r>
    </w:p>
  </w:footnote>
  <w:footnote w:id="1">
    <w:p w14:paraId="05038A28"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095D"/>
    <w:rsid w:val="00043C32"/>
    <w:rsid w:val="000446F5"/>
    <w:rsid w:val="00075D93"/>
    <w:rsid w:val="00093017"/>
    <w:rsid w:val="000B1304"/>
    <w:rsid w:val="000B24BF"/>
    <w:rsid w:val="001824F3"/>
    <w:rsid w:val="001859FF"/>
    <w:rsid w:val="001A6AE0"/>
    <w:rsid w:val="001B6F72"/>
    <w:rsid w:val="001C73C0"/>
    <w:rsid w:val="001E79BD"/>
    <w:rsid w:val="002074C4"/>
    <w:rsid w:val="002225CC"/>
    <w:rsid w:val="00224A3B"/>
    <w:rsid w:val="00240A39"/>
    <w:rsid w:val="00246685"/>
    <w:rsid w:val="00246FE9"/>
    <w:rsid w:val="00250100"/>
    <w:rsid w:val="00262A69"/>
    <w:rsid w:val="00270AF7"/>
    <w:rsid w:val="002750D8"/>
    <w:rsid w:val="002A3221"/>
    <w:rsid w:val="002C3520"/>
    <w:rsid w:val="002E14E0"/>
    <w:rsid w:val="002E3508"/>
    <w:rsid w:val="002E6B43"/>
    <w:rsid w:val="002F55E5"/>
    <w:rsid w:val="0032078A"/>
    <w:rsid w:val="0032539E"/>
    <w:rsid w:val="00374535"/>
    <w:rsid w:val="003779B5"/>
    <w:rsid w:val="003860E4"/>
    <w:rsid w:val="003937DC"/>
    <w:rsid w:val="003B1545"/>
    <w:rsid w:val="00411AB1"/>
    <w:rsid w:val="00412915"/>
    <w:rsid w:val="004344D0"/>
    <w:rsid w:val="00442E07"/>
    <w:rsid w:val="004820C8"/>
    <w:rsid w:val="004911D5"/>
    <w:rsid w:val="0052073E"/>
    <w:rsid w:val="00521B74"/>
    <w:rsid w:val="0053021F"/>
    <w:rsid w:val="00534B4A"/>
    <w:rsid w:val="00543059"/>
    <w:rsid w:val="00575DDA"/>
    <w:rsid w:val="00581C11"/>
    <w:rsid w:val="00597F24"/>
    <w:rsid w:val="005B54E9"/>
    <w:rsid w:val="005E6631"/>
    <w:rsid w:val="00614BB6"/>
    <w:rsid w:val="00622D0A"/>
    <w:rsid w:val="00653F10"/>
    <w:rsid w:val="006677D0"/>
    <w:rsid w:val="0068567A"/>
    <w:rsid w:val="00696EA2"/>
    <w:rsid w:val="006A292A"/>
    <w:rsid w:val="006A38F7"/>
    <w:rsid w:val="006A4EBB"/>
    <w:rsid w:val="006B1319"/>
    <w:rsid w:val="006B4172"/>
    <w:rsid w:val="006D4E45"/>
    <w:rsid w:val="00713B69"/>
    <w:rsid w:val="00722F21"/>
    <w:rsid w:val="0074559D"/>
    <w:rsid w:val="00755D99"/>
    <w:rsid w:val="00756FD3"/>
    <w:rsid w:val="00765392"/>
    <w:rsid w:val="00790E3E"/>
    <w:rsid w:val="007C0A4C"/>
    <w:rsid w:val="007F6104"/>
    <w:rsid w:val="00800D30"/>
    <w:rsid w:val="00807D1A"/>
    <w:rsid w:val="008100D9"/>
    <w:rsid w:val="008249B9"/>
    <w:rsid w:val="00874EFE"/>
    <w:rsid w:val="00877F03"/>
    <w:rsid w:val="00881BBE"/>
    <w:rsid w:val="00882126"/>
    <w:rsid w:val="008933F1"/>
    <w:rsid w:val="008A0C78"/>
    <w:rsid w:val="008B315D"/>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26A3"/>
    <w:rsid w:val="00986D0A"/>
    <w:rsid w:val="009B4EF1"/>
    <w:rsid w:val="009B6A5D"/>
    <w:rsid w:val="009E3E86"/>
    <w:rsid w:val="00A118A2"/>
    <w:rsid w:val="00A22CED"/>
    <w:rsid w:val="00A23F26"/>
    <w:rsid w:val="00A4001C"/>
    <w:rsid w:val="00A40AAB"/>
    <w:rsid w:val="00A45103"/>
    <w:rsid w:val="00A46D01"/>
    <w:rsid w:val="00A70816"/>
    <w:rsid w:val="00A73590"/>
    <w:rsid w:val="00A7636D"/>
    <w:rsid w:val="00A76816"/>
    <w:rsid w:val="00A9138E"/>
    <w:rsid w:val="00A928B1"/>
    <w:rsid w:val="00A9759E"/>
    <w:rsid w:val="00AC1C89"/>
    <w:rsid w:val="00AD381B"/>
    <w:rsid w:val="00AF5B5B"/>
    <w:rsid w:val="00AF5D1A"/>
    <w:rsid w:val="00B017F9"/>
    <w:rsid w:val="00B07213"/>
    <w:rsid w:val="00B10A05"/>
    <w:rsid w:val="00B15FFA"/>
    <w:rsid w:val="00B54167"/>
    <w:rsid w:val="00B62E06"/>
    <w:rsid w:val="00B64B1D"/>
    <w:rsid w:val="00B9671B"/>
    <w:rsid w:val="00BA1D31"/>
    <w:rsid w:val="00BD58AF"/>
    <w:rsid w:val="00C164D3"/>
    <w:rsid w:val="00C20670"/>
    <w:rsid w:val="00C21539"/>
    <w:rsid w:val="00C224FD"/>
    <w:rsid w:val="00C41F2D"/>
    <w:rsid w:val="00C86713"/>
    <w:rsid w:val="00C875E8"/>
    <w:rsid w:val="00C92035"/>
    <w:rsid w:val="00CA680F"/>
    <w:rsid w:val="00CB2E31"/>
    <w:rsid w:val="00CC2A72"/>
    <w:rsid w:val="00CC3FB5"/>
    <w:rsid w:val="00CD2067"/>
    <w:rsid w:val="00CD3F12"/>
    <w:rsid w:val="00CD47BC"/>
    <w:rsid w:val="00D00D3D"/>
    <w:rsid w:val="00D05056"/>
    <w:rsid w:val="00D16433"/>
    <w:rsid w:val="00D24E71"/>
    <w:rsid w:val="00D34984"/>
    <w:rsid w:val="00D36C35"/>
    <w:rsid w:val="00D75313"/>
    <w:rsid w:val="00E16ACD"/>
    <w:rsid w:val="00E17134"/>
    <w:rsid w:val="00E25EBC"/>
    <w:rsid w:val="00E53990"/>
    <w:rsid w:val="00E66550"/>
    <w:rsid w:val="00E80B93"/>
    <w:rsid w:val="00E84DF3"/>
    <w:rsid w:val="00E877BF"/>
    <w:rsid w:val="00EA1767"/>
    <w:rsid w:val="00EB0929"/>
    <w:rsid w:val="00EB0FA5"/>
    <w:rsid w:val="00EC01DD"/>
    <w:rsid w:val="00EC35E3"/>
    <w:rsid w:val="00ED7195"/>
    <w:rsid w:val="00F0414F"/>
    <w:rsid w:val="00F070F3"/>
    <w:rsid w:val="00F27AAF"/>
    <w:rsid w:val="00F31BEC"/>
    <w:rsid w:val="00F4478E"/>
    <w:rsid w:val="00F4769C"/>
    <w:rsid w:val="00F5782B"/>
    <w:rsid w:val="00F73131"/>
    <w:rsid w:val="00F76153"/>
    <w:rsid w:val="00FB4A11"/>
    <w:rsid w:val="00FC286E"/>
    <w:rsid w:val="00FC669D"/>
    <w:rsid w:val="00FD4F0B"/>
    <w:rsid w:val="00FD65D2"/>
    <w:rsid w:val="00FD7AF5"/>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03057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3760">
      <w:bodyDiv w:val="1"/>
      <w:marLeft w:val="0"/>
      <w:marRight w:val="0"/>
      <w:marTop w:val="0"/>
      <w:marBottom w:val="0"/>
      <w:divBdr>
        <w:top w:val="none" w:sz="0" w:space="0" w:color="auto"/>
        <w:left w:val="none" w:sz="0" w:space="0" w:color="auto"/>
        <w:bottom w:val="none" w:sz="0" w:space="0" w:color="auto"/>
        <w:right w:val="none" w:sz="0" w:space="0" w:color="auto"/>
      </w:divBdr>
    </w:div>
    <w:div w:id="1108306031">
      <w:bodyDiv w:val="1"/>
      <w:marLeft w:val="0"/>
      <w:marRight w:val="0"/>
      <w:marTop w:val="0"/>
      <w:marBottom w:val="0"/>
      <w:divBdr>
        <w:top w:val="none" w:sz="0" w:space="0" w:color="auto"/>
        <w:left w:val="none" w:sz="0" w:space="0" w:color="auto"/>
        <w:bottom w:val="none" w:sz="0" w:space="0" w:color="auto"/>
        <w:right w:val="none" w:sz="0" w:space="0" w:color="auto"/>
      </w:divBdr>
    </w:div>
    <w:div w:id="1598633529">
      <w:bodyDiv w:val="1"/>
      <w:marLeft w:val="0"/>
      <w:marRight w:val="0"/>
      <w:marTop w:val="0"/>
      <w:marBottom w:val="0"/>
      <w:divBdr>
        <w:top w:val="none" w:sz="0" w:space="0" w:color="auto"/>
        <w:left w:val="none" w:sz="0" w:space="0" w:color="auto"/>
        <w:bottom w:val="none" w:sz="0" w:space="0" w:color="auto"/>
        <w:right w:val="none" w:sz="0" w:space="0" w:color="auto"/>
      </w:divBdr>
    </w:div>
    <w:div w:id="1657417814">
      <w:bodyDiv w:val="1"/>
      <w:marLeft w:val="0"/>
      <w:marRight w:val="0"/>
      <w:marTop w:val="0"/>
      <w:marBottom w:val="0"/>
      <w:divBdr>
        <w:top w:val="none" w:sz="0" w:space="0" w:color="auto"/>
        <w:left w:val="none" w:sz="0" w:space="0" w:color="auto"/>
        <w:bottom w:val="none" w:sz="0" w:space="0" w:color="auto"/>
        <w:right w:val="none" w:sz="0" w:space="0" w:color="auto"/>
      </w:divBdr>
    </w:div>
    <w:div w:id="17841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2932</Words>
  <Characters>16716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2021-11-30T20:40:00Z</dcterms:created>
  <dcterms:modified xsi:type="dcterms:W3CDTF">2021-11-30T20:40:00Z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