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7A7B" w:rsidR="00DC5B7E" w:rsidP="009873EC" w:rsidRDefault="00DC5B7E" w14:paraId="4B631E6A" w14:textId="77777777">
      <w:pPr>
        <w:spacing w:line="240" w:lineRule="auto"/>
        <w:ind w:left="-130" w:right="144"/>
        <w:rPr>
          <w:rFonts w:ascii="Franklin Gothic Medium" w:hAnsi="Franklin Gothic Medium"/>
          <w:b/>
          <w:color w:val="003C79"/>
          <w:sz w:val="44"/>
          <w:szCs w:val="40"/>
        </w:rPr>
      </w:pPr>
      <w:r>
        <w:rPr>
          <w:noProof/>
        </w:rPr>
        <w:drawing>
          <wp:inline distT="0" distB="0" distL="0" distR="0" wp14:anchorId="0EFFC253" wp14:editId="04CEA43A">
            <wp:extent cx="6981824"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1824" cy="600075"/>
                    </a:xfrm>
                    <a:prstGeom prst="rect">
                      <a:avLst/>
                    </a:prstGeom>
                  </pic:spPr>
                </pic:pic>
              </a:graphicData>
            </a:graphic>
          </wp:inline>
        </w:drawing>
      </w:r>
    </w:p>
    <w:p w:rsidRPr="00EA7A7B" w:rsidR="00DC5B7E" w:rsidP="009873EC" w:rsidRDefault="00DC5B7E" w14:paraId="3492A199" w14:textId="77777777">
      <w:pPr>
        <w:pStyle w:val="CoverPage-Title"/>
        <w:contextualSpacing w:val="0"/>
        <w:rPr>
          <w:b w:val="0"/>
        </w:rPr>
      </w:pPr>
      <w:r>
        <w:rPr>
          <w:b w:val="0"/>
        </w:rPr>
        <w:t xml:space="preserve">Implementation of Title I/II-A Program Initiatives — </w:t>
      </w:r>
      <w:r w:rsidR="00A55425">
        <w:rPr>
          <w:b w:val="0"/>
        </w:rPr>
        <w:t>Survey Data Collection</w:t>
      </w:r>
    </w:p>
    <w:p w:rsidRPr="00EA7A7B" w:rsidR="00DC5B7E" w:rsidP="009873EC" w:rsidRDefault="00DC5B7E" w14:paraId="784E434B" w14:textId="77777777">
      <w:pPr>
        <w:spacing w:before="1200" w:after="240"/>
        <w:ind w:left="720"/>
        <w:contextualSpacing/>
        <w:rPr>
          <w:rFonts w:ascii="Franklin Gothic Medium" w:hAnsi="Franklin Gothic Medium"/>
          <w:color w:val="003C79"/>
          <w:sz w:val="32"/>
          <w:szCs w:val="28"/>
        </w:rPr>
      </w:pPr>
      <w:r w:rsidRPr="00EA7A7B">
        <w:rPr>
          <w:rFonts w:ascii="Franklin Gothic Medium" w:hAnsi="Franklin Gothic Medium"/>
          <w:color w:val="003C79"/>
          <w:sz w:val="32"/>
          <w:szCs w:val="28"/>
        </w:rPr>
        <w:t>Supporting Statement for Paperwork Reduction Act Submission</w:t>
      </w:r>
    </w:p>
    <w:p w:rsidRPr="002376CA" w:rsidR="00DC5B7E" w:rsidP="009873EC" w:rsidRDefault="00DC5B7E" w14:paraId="6D7896D8" w14:textId="77777777">
      <w:pPr>
        <w:pStyle w:val="CoverPage-Part"/>
        <w:spacing w:before="240"/>
        <w:ind w:left="1814" w:hanging="1094"/>
        <w:rPr>
          <w:rFonts w:asciiTheme="minorHAnsi" w:hAnsiTheme="minorHAnsi" w:cstheme="minorHAnsi"/>
        </w:rPr>
      </w:pPr>
      <w:r w:rsidRPr="002376CA">
        <w:rPr>
          <w:rFonts w:asciiTheme="minorHAnsi" w:hAnsiTheme="minorHAnsi" w:cstheme="minorHAnsi"/>
        </w:rPr>
        <w:t xml:space="preserve">PART A: Justification </w:t>
      </w:r>
    </w:p>
    <w:p w:rsidRPr="00EA7A7B" w:rsidR="00DC5B7E" w:rsidP="009873EC" w:rsidRDefault="00982AFF" w14:paraId="463FCD63" w14:textId="33CCCA54">
      <w:pPr>
        <w:spacing w:after="360" w:line="320" w:lineRule="atLeast"/>
        <w:ind w:left="720"/>
        <w:rPr>
          <w:rFonts w:ascii="Franklin Gothic Medium" w:hAnsi="Franklin Gothic Medium"/>
          <w:b/>
          <w:color w:val="003C79"/>
        </w:rPr>
      </w:pPr>
      <w:r>
        <w:rPr>
          <w:rFonts w:ascii="Franklin Gothic Medium" w:hAnsi="Franklin Gothic Medium"/>
          <w:b/>
          <w:color w:val="003C79"/>
        </w:rPr>
        <w:t>December</w:t>
      </w:r>
      <w:r w:rsidR="00A55425">
        <w:rPr>
          <w:rFonts w:ascii="Franklin Gothic Medium" w:hAnsi="Franklin Gothic Medium"/>
          <w:b/>
          <w:color w:val="003C79"/>
        </w:rPr>
        <w:t xml:space="preserve"> </w:t>
      </w:r>
      <w:r w:rsidRPr="00EA7A7B" w:rsidR="00DC5B7E">
        <w:rPr>
          <w:rFonts w:ascii="Franklin Gothic Medium" w:hAnsi="Franklin Gothic Medium"/>
          <w:b/>
          <w:color w:val="003C79"/>
        </w:rPr>
        <w:t>202</w:t>
      </w:r>
      <w:r w:rsidR="00DC5B7E">
        <w:rPr>
          <w:rFonts w:ascii="Franklin Gothic Medium" w:hAnsi="Franklin Gothic Medium"/>
          <w:b/>
          <w:color w:val="003C79"/>
        </w:rPr>
        <w:t>1</w:t>
      </w:r>
    </w:p>
    <w:p w:rsidRPr="00EA7A7B" w:rsidR="00DC5B7E" w:rsidP="009873EC" w:rsidRDefault="00DC5B7E" w14:paraId="18B71E9E" w14:textId="77777777">
      <w:pPr>
        <w:spacing w:before="240" w:line="240" w:lineRule="auto"/>
        <w:ind w:left="720"/>
        <w:rPr>
          <w:rFonts w:ascii="Franklin Gothic Medium" w:hAnsi="Franklin Gothic Medium"/>
          <w:color w:val="003C79"/>
        </w:rPr>
      </w:pPr>
      <w:r w:rsidRPr="00EA7A7B">
        <w:rPr>
          <w:rFonts w:ascii="Franklin Gothic Medium" w:hAnsi="Franklin Gothic Medium"/>
          <w:color w:val="003C79"/>
        </w:rPr>
        <w:t>Contract ED-IES-11-C-0063</w:t>
      </w:r>
    </w:p>
    <w:p w:rsidRPr="00EA7A7B" w:rsidR="00DC5B7E" w:rsidP="009873EC" w:rsidRDefault="00DC5B7E" w14:paraId="441E4A19" w14:textId="77777777">
      <w:pPr>
        <w:spacing w:before="60" w:after="60"/>
        <w:ind w:left="720"/>
        <w:rPr>
          <w:rFonts w:ascii="Franklin Gothic Medium" w:hAnsi="Franklin Gothic Medium"/>
          <w:color w:val="003C79"/>
          <w:sz w:val="22"/>
          <w:szCs w:val="24"/>
        </w:rPr>
      </w:pPr>
    </w:p>
    <w:p w:rsidRPr="00EA7A7B" w:rsidR="00DC5B7E" w:rsidP="009873EC" w:rsidRDefault="00DC5B7E" w14:paraId="590D6B7C" w14:textId="77777777">
      <w:pPr>
        <w:spacing w:before="60" w:after="60"/>
        <w:ind w:left="720"/>
        <w:rPr>
          <w:rFonts w:ascii="Franklin Gothic Book" w:hAnsi="Franklin Gothic Book"/>
          <w:color w:val="003C79"/>
          <w:sz w:val="22"/>
          <w:szCs w:val="24"/>
        </w:rPr>
      </w:pPr>
    </w:p>
    <w:p w:rsidRPr="00EA7A7B" w:rsidR="00DC5B7E" w:rsidP="009873EC" w:rsidRDefault="00DC5B7E" w14:paraId="72E15C0B" w14:textId="77777777">
      <w:pPr>
        <w:spacing w:before="60" w:after="60"/>
        <w:ind w:left="720"/>
        <w:rPr>
          <w:rFonts w:ascii="Franklin Gothic Book" w:hAnsi="Franklin Gothic Book"/>
          <w:color w:val="003C79"/>
          <w:sz w:val="22"/>
          <w:szCs w:val="24"/>
        </w:rPr>
      </w:pPr>
    </w:p>
    <w:p w:rsidRPr="00EA7A7B" w:rsidR="00DC5B7E" w:rsidP="009873EC" w:rsidRDefault="00DC5B7E" w14:paraId="4A9516B2" w14:textId="77777777">
      <w:pPr>
        <w:spacing w:before="240" w:line="240" w:lineRule="auto"/>
        <w:ind w:left="720"/>
        <w:rPr>
          <w:rFonts w:ascii="Franklin Gothic Medium" w:hAnsi="Franklin Gothic Medium"/>
          <w:color w:val="003C79"/>
        </w:rPr>
      </w:pPr>
      <w:r w:rsidRPr="00EA7A7B">
        <w:rPr>
          <w:rFonts w:ascii="Franklin Gothic Medium" w:hAnsi="Franklin Gothic Medium"/>
          <w:color w:val="003C79"/>
        </w:rPr>
        <w:t>Submitted to:</w:t>
      </w:r>
    </w:p>
    <w:p w:rsidRPr="00EA7A7B" w:rsidR="00DC5B7E" w:rsidP="009873EC" w:rsidRDefault="00DC5B7E" w14:paraId="54947883"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Institute of Education Sciences</w:t>
      </w:r>
    </w:p>
    <w:p w:rsidRPr="00EA7A7B" w:rsidR="00DC5B7E" w:rsidP="009873EC" w:rsidRDefault="00DC5B7E" w14:paraId="5EE02F3A"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U.S. Department of Education</w:t>
      </w:r>
    </w:p>
    <w:p w:rsidRPr="00EA7A7B" w:rsidR="00DC5B7E" w:rsidP="009873EC" w:rsidRDefault="00DC5B7E" w14:paraId="5980A4A7" w14:textId="77777777">
      <w:pPr>
        <w:spacing w:before="240" w:line="240" w:lineRule="auto"/>
        <w:ind w:left="720"/>
        <w:rPr>
          <w:rFonts w:ascii="Franklin Gothic Medium" w:hAnsi="Franklin Gothic Medium"/>
          <w:color w:val="003C79"/>
        </w:rPr>
      </w:pPr>
      <w:r w:rsidRPr="00EA7A7B">
        <w:rPr>
          <w:rFonts w:ascii="Franklin Gothic Medium" w:hAnsi="Franklin Gothic Medium"/>
          <w:color w:val="003C79"/>
        </w:rPr>
        <w:t>Submitted by:</w:t>
      </w:r>
    </w:p>
    <w:p w:rsidRPr="00EA7A7B" w:rsidR="00DC5B7E" w:rsidP="009873EC" w:rsidRDefault="00DC5B7E" w14:paraId="373979AE" w14:textId="77777777">
      <w:pPr>
        <w:spacing w:before="60" w:after="60"/>
        <w:ind w:left="720"/>
        <w:rPr>
          <w:rFonts w:ascii="Franklin Gothic Book" w:hAnsi="Franklin Gothic Book"/>
          <w:color w:val="003C79"/>
          <w:sz w:val="22"/>
          <w:szCs w:val="24"/>
        </w:rPr>
      </w:pPr>
      <w:proofErr w:type="spellStart"/>
      <w:r w:rsidRPr="00EA7A7B">
        <w:rPr>
          <w:rFonts w:ascii="Franklin Gothic Book" w:hAnsi="Franklin Gothic Book"/>
          <w:color w:val="003C79"/>
          <w:sz w:val="22"/>
          <w:szCs w:val="24"/>
        </w:rPr>
        <w:t>Westat</w:t>
      </w:r>
      <w:proofErr w:type="spellEnd"/>
    </w:p>
    <w:p w:rsidRPr="00EA7A7B" w:rsidR="00DC5B7E" w:rsidP="009873EC" w:rsidRDefault="00DC5B7E" w14:paraId="32FDC7FA"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An Employee-Owned Research Corporation</w:t>
      </w:r>
      <w:r w:rsidRPr="00EA7A7B">
        <w:rPr>
          <w:rFonts w:ascii="Franklin Gothic Book" w:hAnsi="Franklin Gothic Book"/>
          <w:color w:val="003C79"/>
          <w:sz w:val="22"/>
          <w:szCs w:val="24"/>
          <w:vertAlign w:val="superscript"/>
        </w:rPr>
        <w:t>®</w:t>
      </w:r>
    </w:p>
    <w:p w:rsidRPr="00EA7A7B" w:rsidR="00DC5B7E" w:rsidP="009873EC" w:rsidRDefault="00DC5B7E" w14:paraId="4CED8B66"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1600 Research Boulevard</w:t>
      </w:r>
    </w:p>
    <w:p w:rsidRPr="00EA7A7B" w:rsidR="00DC5B7E" w:rsidP="009873EC" w:rsidRDefault="00DC5B7E" w14:paraId="5009B021"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Rockville, Maryland 20850-3129</w:t>
      </w:r>
    </w:p>
    <w:p w:rsidRPr="00EA7A7B" w:rsidR="00DC5B7E" w:rsidP="009873EC" w:rsidRDefault="00DC5B7E" w14:paraId="1EB6C74B"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(301) 251-1500</w:t>
      </w:r>
    </w:p>
    <w:p w:rsidRPr="00EA7A7B" w:rsidR="00DC5B7E" w:rsidP="009873EC" w:rsidRDefault="00DC5B7E" w14:paraId="650851E6" w14:textId="77777777">
      <w:pPr>
        <w:spacing w:before="60" w:after="60"/>
        <w:ind w:left="720"/>
        <w:rPr>
          <w:rFonts w:ascii="Franklin Gothic Book" w:hAnsi="Franklin Gothic Book"/>
          <w:color w:val="003C79"/>
          <w:sz w:val="22"/>
          <w:szCs w:val="24"/>
        </w:rPr>
      </w:pPr>
    </w:p>
    <w:p w:rsidRPr="00EA7A7B" w:rsidR="00DC5B7E" w:rsidP="009873EC" w:rsidRDefault="00DC5B7E" w14:paraId="0B3AD39A"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and</w:t>
      </w:r>
    </w:p>
    <w:p w:rsidRPr="00EA7A7B" w:rsidR="00DC5B7E" w:rsidP="009873EC" w:rsidRDefault="00DC5B7E" w14:paraId="6AD475C3" w14:textId="77777777">
      <w:pPr>
        <w:spacing w:before="60" w:after="60"/>
        <w:ind w:left="720"/>
        <w:rPr>
          <w:rFonts w:ascii="Franklin Gothic Book" w:hAnsi="Franklin Gothic Book"/>
          <w:color w:val="003C79"/>
          <w:sz w:val="22"/>
          <w:szCs w:val="24"/>
        </w:rPr>
      </w:pPr>
    </w:p>
    <w:p w:rsidRPr="00EA7A7B" w:rsidR="00DC5B7E" w:rsidP="009873EC" w:rsidRDefault="00DC5B7E" w14:paraId="73B6AA3B"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 xml:space="preserve">Mathematica </w:t>
      </w:r>
    </w:p>
    <w:p w:rsidRPr="00EA7A7B" w:rsidR="00DC5B7E" w:rsidP="009873EC" w:rsidRDefault="00DC5B7E" w14:paraId="41AD84F5" w14:textId="77777777">
      <w:pPr>
        <w:spacing w:before="60" w:after="60"/>
        <w:ind w:left="720"/>
        <w:rPr>
          <w:rFonts w:ascii="Franklin Gothic Book" w:hAnsi="Franklin Gothic Book"/>
          <w:color w:val="003C79"/>
          <w:sz w:val="22"/>
          <w:szCs w:val="24"/>
        </w:rPr>
      </w:pPr>
      <w:r w:rsidRPr="009D17AE">
        <w:rPr>
          <w:rFonts w:ascii="Franklin Gothic Book" w:hAnsi="Franklin Gothic Book"/>
          <w:color w:val="003C79"/>
          <w:sz w:val="22"/>
          <w:szCs w:val="24"/>
        </w:rPr>
        <w:t>P.O. Box 2393</w:t>
      </w:r>
      <w:r w:rsidRPr="009D17AE">
        <w:rPr>
          <w:rFonts w:ascii="Franklin Gothic Book" w:hAnsi="Franklin Gothic Book"/>
          <w:color w:val="003C79"/>
          <w:sz w:val="22"/>
          <w:szCs w:val="24"/>
        </w:rPr>
        <w:br/>
        <w:t>Princeton, NJ 08543-2393</w:t>
      </w:r>
    </w:p>
    <w:p w:rsidRPr="00EA7A7B" w:rsidR="00DC5B7E" w:rsidP="00DC5B7E" w:rsidRDefault="00DC5B7E" w14:paraId="38D277A8" w14:textId="77777777">
      <w:pPr>
        <w:spacing w:before="60" w:after="60"/>
        <w:ind w:left="720"/>
        <w:rPr>
          <w:rFonts w:ascii="Franklin Gothic Book" w:hAnsi="Franklin Gothic Book"/>
          <w:color w:val="003C79"/>
          <w:sz w:val="22"/>
          <w:szCs w:val="24"/>
        </w:rPr>
        <w:sectPr w:rsidRPr="00EA7A7B" w:rsidR="00DC5B7E" w:rsidSect="009873EC">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432" w:left="720" w:header="432" w:footer="432" w:gutter="0"/>
          <w:cols w:space="720"/>
          <w:docGrid w:linePitch="360"/>
        </w:sectPr>
      </w:pPr>
    </w:p>
    <w:bookmarkStart w:name="_Toc80345963" w:displacedByCustomXml="next" w:id="0"/>
    <w:bookmarkStart w:name="_Toc77057810" w:displacedByCustomXml="next" w:id="1"/>
    <w:bookmarkStart w:name="_Toc75160175" w:displacedByCustomXml="next" w:id="2"/>
    <w:sdt>
      <w:sdtPr>
        <w:rPr>
          <w:rFonts w:asciiTheme="minorHAnsi" w:hAnsiTheme="minorHAnsi" w:cstheme="minorHAnsi"/>
          <w:b w:val="0"/>
          <w:bCs/>
          <w:i/>
          <w:noProof/>
          <w:sz w:val="22"/>
          <w:szCs w:val="22"/>
        </w:rPr>
        <w:id w:val="1523047212"/>
        <w:docPartObj>
          <w:docPartGallery w:val="Table of Contents"/>
          <w:docPartUnique/>
        </w:docPartObj>
      </w:sdtPr>
      <w:sdtEndPr>
        <w:rPr>
          <w:i w:val="0"/>
        </w:rPr>
      </w:sdtEndPr>
      <w:sdtContent>
        <w:p w:rsidR="00033BED" w:rsidP="00033BED" w:rsidRDefault="00033BED" w14:paraId="7D453AE6" w14:textId="77777777">
          <w:pPr>
            <w:pStyle w:val="TC-TableofContentsHeading"/>
            <w:rPr>
              <w:noProof/>
            </w:rPr>
          </w:pPr>
          <w:r>
            <w:rPr>
              <w:noProof/>
            </w:rPr>
            <w:t>Contents</w:t>
          </w:r>
          <w:bookmarkEnd w:id="2"/>
          <w:bookmarkEnd w:id="1"/>
          <w:bookmarkEnd w:id="0"/>
        </w:p>
        <w:p w:rsidR="006045FD" w:rsidP="006045FD" w:rsidRDefault="006045FD" w14:paraId="63F185B6" w14:textId="77777777">
          <w:pPr>
            <w:pStyle w:val="T0-ChapPgHd"/>
          </w:pPr>
          <w:r>
            <w:tab/>
            <w:t>Page</w:t>
          </w:r>
        </w:p>
        <w:p w:rsidRPr="008F0963" w:rsidR="001D261C" w:rsidP="004A1C89" w:rsidRDefault="001D261C" w14:paraId="43A37035" w14:textId="77777777">
          <w:pPr>
            <w:pStyle w:val="TOC1"/>
          </w:pPr>
          <w:r w:rsidRPr="004A1C89">
            <w:rPr>
              <w:b/>
              <w:bCs w:val="0"/>
            </w:rPr>
            <w:t>Part A.</w:t>
          </w:r>
          <w:r w:rsidRPr="004A1C89">
            <w:rPr>
              <w:b/>
              <w:bCs w:val="0"/>
            </w:rPr>
            <w:tab/>
          </w:r>
          <w:r w:rsidRPr="004A1C89" w:rsidR="004A5734">
            <w:rPr>
              <w:b/>
              <w:bCs w:val="0"/>
            </w:rPr>
            <w:t>Justification</w:t>
          </w:r>
          <w:r w:rsidRPr="00C100A1" w:rsidR="004A5734">
            <w:tab/>
            <w:t>1</w:t>
          </w:r>
        </w:p>
        <w:p w:rsidR="003B2277" w:rsidRDefault="003B2277" w14:paraId="5DBC9C4C" w14:textId="66982D0D">
          <w:pPr>
            <w:pStyle w:val="TOC2"/>
            <w:rPr>
              <w:rFonts w:eastAsiaTheme="minorEastAsia" w:cstheme="minorBidi"/>
            </w:rPr>
          </w:pPr>
          <w:r>
            <w:rPr>
              <w:b/>
              <w:noProof w:val="0"/>
            </w:rPr>
            <w:fldChar w:fldCharType="begin"/>
          </w:r>
          <w:r>
            <w:rPr>
              <w:b/>
              <w:noProof w:val="0"/>
            </w:rPr>
            <w:instrText xml:space="preserve"> TOC \o "3-3" \t "Heading 1,1,Heading 2,2,Q1-Best/Fin Q,1,SH-Sgl Sp Head,1,TT-Table Title,1,RH-Sgl Sp Head,1,RL-Fl Lft Sgl,1,TH-Table Heading,1,Header-1,1,R0-FL Lft Sgl Bold Italic,1" </w:instrText>
          </w:r>
          <w:r>
            <w:rPr>
              <w:b/>
              <w:noProof w:val="0"/>
            </w:rPr>
            <w:fldChar w:fldCharType="separate"/>
          </w:r>
          <w:r>
            <w:t>A.1.</w:t>
          </w:r>
          <w:r>
            <w:rPr>
              <w:rFonts w:eastAsiaTheme="minorEastAsia" w:cstheme="minorBidi"/>
            </w:rPr>
            <w:tab/>
          </w:r>
          <w:r>
            <w:t>Explanation of Circumstances That Make Collection of Data Necessary</w:t>
          </w:r>
          <w:r>
            <w:tab/>
          </w:r>
          <w:r>
            <w:fldChar w:fldCharType="begin"/>
          </w:r>
          <w:r>
            <w:instrText xml:space="preserve"> PAGEREF _Toc90275972 \h </w:instrText>
          </w:r>
          <w:r>
            <w:fldChar w:fldCharType="separate"/>
          </w:r>
          <w:r>
            <w:t>1</w:t>
          </w:r>
          <w:r>
            <w:fldChar w:fldCharType="end"/>
          </w:r>
        </w:p>
        <w:p w:rsidR="003B2277" w:rsidRDefault="003B2277" w14:paraId="27C4FEA8" w14:textId="1D1FA43C">
          <w:pPr>
            <w:pStyle w:val="TOC1"/>
            <w:rPr>
              <w:rFonts w:eastAsiaTheme="minorEastAsia" w:cstheme="minorBidi"/>
              <w:bCs w:val="0"/>
            </w:rPr>
          </w:pPr>
          <w:r w:rsidRPr="000D0C13">
            <w:t>A.2.</w:t>
          </w:r>
          <w:r>
            <w:rPr>
              <w:rFonts w:eastAsiaTheme="minorEastAsia" w:cstheme="minorBidi"/>
              <w:bCs w:val="0"/>
            </w:rPr>
            <w:tab/>
          </w:r>
          <w:r w:rsidRPr="000D0C13">
            <w:t>Purpose and Use of the Data</w:t>
          </w:r>
          <w:r>
            <w:tab/>
          </w:r>
          <w:r>
            <w:fldChar w:fldCharType="begin"/>
          </w:r>
          <w:r>
            <w:instrText xml:space="preserve"> PAGEREF _Toc90275973 \h </w:instrText>
          </w:r>
          <w:r>
            <w:fldChar w:fldCharType="separate"/>
          </w:r>
          <w:r>
            <w:t>2</w:t>
          </w:r>
          <w:r>
            <w:fldChar w:fldCharType="end"/>
          </w:r>
        </w:p>
        <w:p w:rsidRPr="003B2277" w:rsidR="003B2277" w:rsidP="003B2277" w:rsidRDefault="003B2277" w14:paraId="4B6A2DD9" w14:textId="428BC4AF">
          <w:pPr>
            <w:pStyle w:val="TOC3"/>
            <w:tabs>
              <w:tab w:val="clear" w:pos="8208"/>
              <w:tab w:val="clear" w:pos="8640"/>
              <w:tab w:val="right" w:leader="dot" w:pos="9180"/>
            </w:tabs>
            <w:ind w:right="0"/>
            <w:rPr>
              <w:rFonts w:asciiTheme="minorHAnsi" w:hAnsiTheme="minorHAnsi" w:eastAsiaTheme="minorEastAsia" w:cstheme="minorHAnsi"/>
              <w:noProof/>
              <w:sz w:val="22"/>
              <w:szCs w:val="22"/>
            </w:rPr>
          </w:pPr>
          <w:r w:rsidRPr="003B2277">
            <w:rPr>
              <w:rFonts w:asciiTheme="minorHAnsi" w:hAnsiTheme="minorHAnsi" w:cstheme="minorHAnsi"/>
              <w:noProof/>
              <w:sz w:val="22"/>
              <w:szCs w:val="22"/>
            </w:rPr>
            <w:t>A.2.1</w:t>
          </w:r>
          <w:r w:rsidRPr="003B2277">
            <w:rPr>
              <w:rFonts w:asciiTheme="minorHAnsi" w:hAnsiTheme="minorHAnsi" w:eastAsiaTheme="minorEastAsia" w:cstheme="minorHAnsi"/>
              <w:noProof/>
              <w:sz w:val="22"/>
              <w:szCs w:val="22"/>
            </w:rPr>
            <w:tab/>
          </w:r>
          <w:r w:rsidRPr="003B2277">
            <w:rPr>
              <w:rFonts w:asciiTheme="minorHAnsi" w:hAnsiTheme="minorHAnsi" w:cstheme="minorHAnsi"/>
              <w:noProof/>
              <w:sz w:val="22"/>
              <w:szCs w:val="22"/>
            </w:rPr>
            <w:t>Data Collection Activities for Which Clearance is Requested</w:t>
          </w:r>
          <w:r w:rsidRPr="003B2277">
            <w:rPr>
              <w:rFonts w:asciiTheme="minorHAnsi" w:hAnsiTheme="minorHAnsi" w:cstheme="minorHAnsi"/>
              <w:noProof/>
              <w:sz w:val="22"/>
              <w:szCs w:val="22"/>
            </w:rPr>
            <w:tab/>
          </w:r>
          <w:r w:rsidRPr="003B2277">
            <w:rPr>
              <w:rFonts w:asciiTheme="minorHAnsi" w:hAnsiTheme="minorHAnsi" w:cstheme="minorHAnsi"/>
              <w:noProof/>
              <w:sz w:val="22"/>
              <w:szCs w:val="22"/>
            </w:rPr>
            <w:fldChar w:fldCharType="begin"/>
          </w:r>
          <w:r w:rsidRPr="003B2277">
            <w:rPr>
              <w:rFonts w:asciiTheme="minorHAnsi" w:hAnsiTheme="minorHAnsi" w:cstheme="minorHAnsi"/>
              <w:noProof/>
              <w:sz w:val="22"/>
              <w:szCs w:val="22"/>
            </w:rPr>
            <w:instrText xml:space="preserve"> PAGEREF _Toc90275974 \h </w:instrText>
          </w:r>
          <w:r w:rsidRPr="003B2277">
            <w:rPr>
              <w:rFonts w:asciiTheme="minorHAnsi" w:hAnsiTheme="minorHAnsi" w:cstheme="minorHAnsi"/>
              <w:noProof/>
              <w:sz w:val="22"/>
              <w:szCs w:val="22"/>
            </w:rPr>
          </w:r>
          <w:r w:rsidRPr="003B2277">
            <w:rPr>
              <w:rFonts w:asciiTheme="minorHAnsi" w:hAnsiTheme="minorHAnsi" w:cstheme="minorHAnsi"/>
              <w:noProof/>
              <w:sz w:val="22"/>
              <w:szCs w:val="22"/>
            </w:rPr>
            <w:fldChar w:fldCharType="separate"/>
          </w:r>
          <w:r>
            <w:rPr>
              <w:rFonts w:asciiTheme="minorHAnsi" w:hAnsiTheme="minorHAnsi" w:cstheme="minorHAnsi"/>
              <w:noProof/>
              <w:sz w:val="22"/>
              <w:szCs w:val="22"/>
            </w:rPr>
            <w:t>2</w:t>
          </w:r>
          <w:r w:rsidRPr="003B2277">
            <w:rPr>
              <w:rFonts w:asciiTheme="minorHAnsi" w:hAnsiTheme="minorHAnsi" w:cstheme="minorHAnsi"/>
              <w:noProof/>
              <w:sz w:val="22"/>
              <w:szCs w:val="22"/>
            </w:rPr>
            <w:fldChar w:fldCharType="end"/>
          </w:r>
        </w:p>
        <w:p w:rsidR="003B2277" w:rsidRDefault="003B2277" w14:paraId="436DCE39" w14:textId="71CDB0F3">
          <w:pPr>
            <w:pStyle w:val="TOC2"/>
            <w:rPr>
              <w:rFonts w:eastAsiaTheme="minorEastAsia" w:cstheme="minorBidi"/>
            </w:rPr>
          </w:pPr>
          <w:r>
            <w:t>A.3.</w:t>
          </w:r>
          <w:r>
            <w:rPr>
              <w:rFonts w:eastAsiaTheme="minorEastAsia" w:cstheme="minorBidi"/>
            </w:rPr>
            <w:tab/>
          </w:r>
          <w:r>
            <w:t>Use of Technology to Reduce Burden</w:t>
          </w:r>
          <w:r>
            <w:tab/>
          </w:r>
          <w:r>
            <w:fldChar w:fldCharType="begin"/>
          </w:r>
          <w:r>
            <w:instrText xml:space="preserve"> PAGEREF _Toc90275975 \h </w:instrText>
          </w:r>
          <w:r>
            <w:fldChar w:fldCharType="separate"/>
          </w:r>
          <w:r>
            <w:t>3</w:t>
          </w:r>
          <w:r>
            <w:fldChar w:fldCharType="end"/>
          </w:r>
        </w:p>
        <w:p w:rsidR="003B2277" w:rsidRDefault="003B2277" w14:paraId="668D4C3A" w14:textId="583AE70C">
          <w:pPr>
            <w:pStyle w:val="TOC2"/>
            <w:rPr>
              <w:rFonts w:eastAsiaTheme="minorEastAsia" w:cstheme="minorBidi"/>
            </w:rPr>
          </w:pPr>
          <w:r>
            <w:t>A.4.</w:t>
          </w:r>
          <w:r>
            <w:rPr>
              <w:rFonts w:eastAsiaTheme="minorEastAsia" w:cstheme="minorBidi"/>
            </w:rPr>
            <w:tab/>
          </w:r>
          <w:r>
            <w:t>Efforts to Identify and Avoid Duplication</w:t>
          </w:r>
          <w:r>
            <w:tab/>
          </w:r>
          <w:r>
            <w:fldChar w:fldCharType="begin"/>
          </w:r>
          <w:r>
            <w:instrText xml:space="preserve"> PAGEREF _Toc90275976 \h </w:instrText>
          </w:r>
          <w:r>
            <w:fldChar w:fldCharType="separate"/>
          </w:r>
          <w:r>
            <w:t>4</w:t>
          </w:r>
          <w:r>
            <w:fldChar w:fldCharType="end"/>
          </w:r>
        </w:p>
        <w:p w:rsidR="003B2277" w:rsidRDefault="003B2277" w14:paraId="55B24002" w14:textId="3BF6F39C">
          <w:pPr>
            <w:pStyle w:val="TOC2"/>
            <w:rPr>
              <w:rFonts w:eastAsiaTheme="minorEastAsia" w:cstheme="minorBidi"/>
            </w:rPr>
          </w:pPr>
          <w:r>
            <w:t>A.5.</w:t>
          </w:r>
          <w:r>
            <w:rPr>
              <w:rFonts w:eastAsiaTheme="minorEastAsia" w:cstheme="minorBidi"/>
            </w:rPr>
            <w:tab/>
          </w:r>
          <w:r>
            <w:t>Efforts to Minimize Burden on Small Business or Other Entities</w:t>
          </w:r>
          <w:r>
            <w:tab/>
          </w:r>
          <w:r>
            <w:fldChar w:fldCharType="begin"/>
          </w:r>
          <w:r>
            <w:instrText xml:space="preserve"> PAGEREF _Toc90275977 \h </w:instrText>
          </w:r>
          <w:r>
            <w:fldChar w:fldCharType="separate"/>
          </w:r>
          <w:r>
            <w:t>4</w:t>
          </w:r>
          <w:r>
            <w:fldChar w:fldCharType="end"/>
          </w:r>
        </w:p>
        <w:p w:rsidR="003B2277" w:rsidRDefault="003B2277" w14:paraId="324E7EFE" w14:textId="08123438">
          <w:pPr>
            <w:pStyle w:val="TOC2"/>
            <w:rPr>
              <w:rFonts w:eastAsiaTheme="minorEastAsia" w:cstheme="minorBidi"/>
            </w:rPr>
          </w:pPr>
          <w:r>
            <w:t>A.6.</w:t>
          </w:r>
          <w:r>
            <w:rPr>
              <w:rFonts w:eastAsiaTheme="minorEastAsia" w:cstheme="minorBidi"/>
            </w:rPr>
            <w:tab/>
          </w:r>
          <w:r>
            <w:t>Consequences of Not Collecting Data</w:t>
          </w:r>
          <w:r>
            <w:tab/>
          </w:r>
          <w:r>
            <w:fldChar w:fldCharType="begin"/>
          </w:r>
          <w:r>
            <w:instrText xml:space="preserve"> PAGEREF _Toc90275978 \h </w:instrText>
          </w:r>
          <w:r>
            <w:fldChar w:fldCharType="separate"/>
          </w:r>
          <w:r>
            <w:t>4</w:t>
          </w:r>
          <w:r>
            <w:fldChar w:fldCharType="end"/>
          </w:r>
        </w:p>
        <w:p w:rsidR="003B2277" w:rsidRDefault="003B2277" w14:paraId="086AB031" w14:textId="251402CB">
          <w:pPr>
            <w:pStyle w:val="TOC2"/>
            <w:rPr>
              <w:rFonts w:eastAsiaTheme="minorEastAsia" w:cstheme="minorBidi"/>
            </w:rPr>
          </w:pPr>
          <w:r>
            <w:t>A.7.</w:t>
          </w:r>
          <w:r>
            <w:rPr>
              <w:rFonts w:eastAsiaTheme="minorEastAsia" w:cstheme="minorBidi"/>
            </w:rPr>
            <w:tab/>
          </w:r>
          <w:r>
            <w:t>Special Circumstances</w:t>
          </w:r>
          <w:r>
            <w:tab/>
          </w:r>
          <w:r>
            <w:fldChar w:fldCharType="begin"/>
          </w:r>
          <w:r>
            <w:instrText xml:space="preserve"> PAGEREF _Toc90275979 \h </w:instrText>
          </w:r>
          <w:r>
            <w:fldChar w:fldCharType="separate"/>
          </w:r>
          <w:r>
            <w:t>4</w:t>
          </w:r>
          <w:r>
            <w:fldChar w:fldCharType="end"/>
          </w:r>
        </w:p>
        <w:p w:rsidR="003B2277" w:rsidRDefault="003B2277" w14:paraId="7FF5FA13" w14:textId="4169674B">
          <w:pPr>
            <w:pStyle w:val="TOC2"/>
            <w:rPr>
              <w:rFonts w:eastAsiaTheme="minorEastAsia" w:cstheme="minorBidi"/>
            </w:rPr>
          </w:pPr>
          <w:r>
            <w:t>A.8.</w:t>
          </w:r>
          <w:r>
            <w:rPr>
              <w:rFonts w:eastAsiaTheme="minorEastAsia" w:cstheme="minorBidi"/>
            </w:rPr>
            <w:tab/>
          </w:r>
          <w:r>
            <w:t>Federal Register Announcement and Consultation</w:t>
          </w:r>
          <w:r>
            <w:tab/>
          </w:r>
          <w:r>
            <w:fldChar w:fldCharType="begin"/>
          </w:r>
          <w:r>
            <w:instrText xml:space="preserve"> PAGEREF _Toc90275980 \h </w:instrText>
          </w:r>
          <w:r>
            <w:fldChar w:fldCharType="separate"/>
          </w:r>
          <w:r>
            <w:t>5</w:t>
          </w:r>
          <w:r>
            <w:fldChar w:fldCharType="end"/>
          </w:r>
        </w:p>
        <w:p w:rsidR="003B2277" w:rsidRDefault="003B2277" w14:paraId="1A87A689" w14:textId="09C87188">
          <w:pPr>
            <w:pStyle w:val="TOC2"/>
            <w:rPr>
              <w:rFonts w:eastAsiaTheme="minorEastAsia" w:cstheme="minorBidi"/>
            </w:rPr>
          </w:pPr>
          <w:r>
            <w:t>A.9.</w:t>
          </w:r>
          <w:r>
            <w:rPr>
              <w:rFonts w:eastAsiaTheme="minorEastAsia" w:cstheme="minorBidi"/>
            </w:rPr>
            <w:tab/>
          </w:r>
          <w:r>
            <w:t>Payments to Respondents</w:t>
          </w:r>
          <w:r>
            <w:tab/>
          </w:r>
          <w:r>
            <w:fldChar w:fldCharType="begin"/>
          </w:r>
          <w:r>
            <w:instrText xml:space="preserve"> PAGEREF _Toc90275981 \h </w:instrText>
          </w:r>
          <w:r>
            <w:fldChar w:fldCharType="separate"/>
          </w:r>
          <w:r>
            <w:t>5</w:t>
          </w:r>
          <w:r>
            <w:fldChar w:fldCharType="end"/>
          </w:r>
        </w:p>
        <w:p w:rsidR="003B2277" w:rsidRDefault="003B2277" w14:paraId="610CA484" w14:textId="5AB04D7A">
          <w:pPr>
            <w:pStyle w:val="TOC2"/>
            <w:rPr>
              <w:rFonts w:eastAsiaTheme="minorEastAsia" w:cstheme="minorBidi"/>
            </w:rPr>
          </w:pPr>
          <w:r>
            <w:t>A.10.</w:t>
          </w:r>
          <w:r>
            <w:rPr>
              <w:rFonts w:eastAsiaTheme="minorEastAsia" w:cstheme="minorBidi"/>
            </w:rPr>
            <w:tab/>
          </w:r>
          <w:r>
            <w:t>Assurance of Confidentiality</w:t>
          </w:r>
          <w:r>
            <w:tab/>
          </w:r>
          <w:r>
            <w:fldChar w:fldCharType="begin"/>
          </w:r>
          <w:r>
            <w:instrText xml:space="preserve"> PAGEREF _Toc90275982 \h </w:instrText>
          </w:r>
          <w:r>
            <w:fldChar w:fldCharType="separate"/>
          </w:r>
          <w:r>
            <w:t>5</w:t>
          </w:r>
          <w:r>
            <w:fldChar w:fldCharType="end"/>
          </w:r>
        </w:p>
        <w:p w:rsidR="003B2277" w:rsidRDefault="003B2277" w14:paraId="3D10587C" w14:textId="64A84615">
          <w:pPr>
            <w:pStyle w:val="TOC2"/>
            <w:rPr>
              <w:rFonts w:eastAsiaTheme="minorEastAsia" w:cstheme="minorBidi"/>
            </w:rPr>
          </w:pPr>
          <w:r>
            <w:t>A.11.</w:t>
          </w:r>
          <w:r>
            <w:rPr>
              <w:rFonts w:eastAsiaTheme="minorEastAsia" w:cstheme="minorBidi"/>
            </w:rPr>
            <w:tab/>
          </w:r>
          <w:r>
            <w:t>Questions of a Sensitive Nature</w:t>
          </w:r>
          <w:r>
            <w:tab/>
          </w:r>
          <w:r>
            <w:fldChar w:fldCharType="begin"/>
          </w:r>
          <w:r>
            <w:instrText xml:space="preserve"> PAGEREF _Toc90275983 \h </w:instrText>
          </w:r>
          <w:r>
            <w:fldChar w:fldCharType="separate"/>
          </w:r>
          <w:r>
            <w:t>6</w:t>
          </w:r>
          <w:r>
            <w:fldChar w:fldCharType="end"/>
          </w:r>
        </w:p>
        <w:p w:rsidR="003B2277" w:rsidRDefault="003B2277" w14:paraId="371F628A" w14:textId="4FFC8A97">
          <w:pPr>
            <w:pStyle w:val="TOC2"/>
            <w:rPr>
              <w:rFonts w:eastAsiaTheme="minorEastAsia" w:cstheme="minorBidi"/>
            </w:rPr>
          </w:pPr>
          <w:r>
            <w:t>A.12.</w:t>
          </w:r>
          <w:r>
            <w:rPr>
              <w:rFonts w:eastAsiaTheme="minorEastAsia" w:cstheme="minorBidi"/>
            </w:rPr>
            <w:tab/>
          </w:r>
          <w:r>
            <w:t>Estimates of Respondent Burden</w:t>
          </w:r>
          <w:r>
            <w:tab/>
          </w:r>
          <w:r>
            <w:fldChar w:fldCharType="begin"/>
          </w:r>
          <w:r>
            <w:instrText xml:space="preserve"> PAGEREF _Toc90275984 \h </w:instrText>
          </w:r>
          <w:r>
            <w:fldChar w:fldCharType="separate"/>
          </w:r>
          <w:r>
            <w:t>7</w:t>
          </w:r>
          <w:r>
            <w:fldChar w:fldCharType="end"/>
          </w:r>
        </w:p>
        <w:p w:rsidR="003B2277" w:rsidRDefault="003B2277" w14:paraId="4A142BA3" w14:textId="70512A55">
          <w:pPr>
            <w:pStyle w:val="TOC2"/>
            <w:rPr>
              <w:rFonts w:eastAsiaTheme="minorEastAsia" w:cstheme="minorBidi"/>
            </w:rPr>
          </w:pPr>
          <w:r>
            <w:t>A.13.</w:t>
          </w:r>
          <w:r>
            <w:rPr>
              <w:rFonts w:eastAsiaTheme="minorEastAsia" w:cstheme="minorBidi"/>
            </w:rPr>
            <w:tab/>
          </w:r>
          <w:r>
            <w:t>Estimates of the Cost Burden to Respondents</w:t>
          </w:r>
          <w:r>
            <w:tab/>
          </w:r>
          <w:r>
            <w:fldChar w:fldCharType="begin"/>
          </w:r>
          <w:r>
            <w:instrText xml:space="preserve"> PAGEREF _Toc90275985 \h </w:instrText>
          </w:r>
          <w:r>
            <w:fldChar w:fldCharType="separate"/>
          </w:r>
          <w:r>
            <w:t>8</w:t>
          </w:r>
          <w:r>
            <w:fldChar w:fldCharType="end"/>
          </w:r>
        </w:p>
        <w:p w:rsidR="003B2277" w:rsidRDefault="003B2277" w14:paraId="02DAEE73" w14:textId="37225B27">
          <w:pPr>
            <w:pStyle w:val="TOC2"/>
            <w:rPr>
              <w:rFonts w:eastAsiaTheme="minorEastAsia" w:cstheme="minorBidi"/>
            </w:rPr>
          </w:pPr>
          <w:r>
            <w:t>A.14.</w:t>
          </w:r>
          <w:r>
            <w:rPr>
              <w:rFonts w:eastAsiaTheme="minorEastAsia" w:cstheme="minorBidi"/>
            </w:rPr>
            <w:tab/>
          </w:r>
          <w:r>
            <w:t>Estimates of Annualized Government Costs</w:t>
          </w:r>
          <w:r>
            <w:tab/>
          </w:r>
          <w:r>
            <w:fldChar w:fldCharType="begin"/>
          </w:r>
          <w:r>
            <w:instrText xml:space="preserve"> PAGEREF _Toc90275986 \h </w:instrText>
          </w:r>
          <w:r>
            <w:fldChar w:fldCharType="separate"/>
          </w:r>
          <w:r>
            <w:t>8</w:t>
          </w:r>
          <w:r>
            <w:fldChar w:fldCharType="end"/>
          </w:r>
        </w:p>
        <w:p w:rsidR="003B2277" w:rsidRDefault="003B2277" w14:paraId="23FA6A46" w14:textId="425E078E">
          <w:pPr>
            <w:pStyle w:val="TOC2"/>
            <w:rPr>
              <w:rFonts w:eastAsiaTheme="minorEastAsia" w:cstheme="minorBidi"/>
            </w:rPr>
          </w:pPr>
          <w:r>
            <w:t>A.15.</w:t>
          </w:r>
          <w:r>
            <w:rPr>
              <w:rFonts w:eastAsiaTheme="minorEastAsia" w:cstheme="minorBidi"/>
            </w:rPr>
            <w:tab/>
          </w:r>
          <w:r>
            <w:t>Changes in Hour Burden</w:t>
          </w:r>
          <w:r>
            <w:tab/>
          </w:r>
          <w:r>
            <w:fldChar w:fldCharType="begin"/>
          </w:r>
          <w:r>
            <w:instrText xml:space="preserve"> PAGEREF _Toc90275987 \h </w:instrText>
          </w:r>
          <w:r>
            <w:fldChar w:fldCharType="separate"/>
          </w:r>
          <w:r>
            <w:t>8</w:t>
          </w:r>
          <w:r>
            <w:fldChar w:fldCharType="end"/>
          </w:r>
        </w:p>
        <w:p w:rsidR="003B2277" w:rsidRDefault="003B2277" w14:paraId="58CBD79F" w14:textId="47E61D94">
          <w:pPr>
            <w:pStyle w:val="TOC2"/>
            <w:rPr>
              <w:rFonts w:eastAsiaTheme="minorEastAsia" w:cstheme="minorBidi"/>
            </w:rPr>
          </w:pPr>
          <w:r>
            <w:t>A.16.</w:t>
          </w:r>
          <w:r>
            <w:rPr>
              <w:rFonts w:eastAsiaTheme="minorEastAsia" w:cstheme="minorBidi"/>
            </w:rPr>
            <w:tab/>
          </w:r>
          <w:r>
            <w:t>Plans for Tabulation and Publication of Results</w:t>
          </w:r>
          <w:r>
            <w:tab/>
          </w:r>
          <w:r>
            <w:fldChar w:fldCharType="begin"/>
          </w:r>
          <w:r>
            <w:instrText xml:space="preserve"> PAGEREF _Toc90275988 \h </w:instrText>
          </w:r>
          <w:r>
            <w:fldChar w:fldCharType="separate"/>
          </w:r>
          <w:r>
            <w:t>8</w:t>
          </w:r>
          <w:r>
            <w:fldChar w:fldCharType="end"/>
          </w:r>
        </w:p>
        <w:p w:rsidR="003B2277" w:rsidRDefault="003B2277" w14:paraId="1F1BD797" w14:textId="257E8AA7">
          <w:pPr>
            <w:pStyle w:val="TOC2"/>
            <w:rPr>
              <w:rFonts w:eastAsiaTheme="minorEastAsia" w:cstheme="minorBidi"/>
            </w:rPr>
          </w:pPr>
          <w:r>
            <w:t>A.17.</w:t>
          </w:r>
          <w:r>
            <w:rPr>
              <w:rFonts w:eastAsiaTheme="minorEastAsia" w:cstheme="minorBidi"/>
            </w:rPr>
            <w:tab/>
          </w:r>
          <w:r>
            <w:t>Display of Expiration Date for OMB Approval</w:t>
          </w:r>
          <w:r>
            <w:tab/>
          </w:r>
          <w:r>
            <w:fldChar w:fldCharType="begin"/>
          </w:r>
          <w:r>
            <w:instrText xml:space="preserve"> PAGEREF _Toc90275989 \h </w:instrText>
          </w:r>
          <w:r>
            <w:fldChar w:fldCharType="separate"/>
          </w:r>
          <w:r>
            <w:t>9</w:t>
          </w:r>
          <w:r>
            <w:fldChar w:fldCharType="end"/>
          </w:r>
        </w:p>
        <w:p w:rsidR="003B2277" w:rsidRDefault="003B2277" w14:paraId="0A2A73C1" w14:textId="670921CC">
          <w:pPr>
            <w:pStyle w:val="TOC2"/>
            <w:rPr>
              <w:rFonts w:eastAsiaTheme="minorEastAsia" w:cstheme="minorBidi"/>
            </w:rPr>
          </w:pPr>
          <w:r>
            <w:t>A.18.</w:t>
          </w:r>
          <w:r>
            <w:rPr>
              <w:rFonts w:eastAsiaTheme="minorEastAsia" w:cstheme="minorBidi"/>
            </w:rPr>
            <w:tab/>
          </w:r>
          <w:r>
            <w:t>Exceptions to Certification Statement</w:t>
          </w:r>
          <w:r>
            <w:tab/>
          </w:r>
          <w:r>
            <w:fldChar w:fldCharType="begin"/>
          </w:r>
          <w:r>
            <w:instrText xml:space="preserve"> PAGEREF _Toc90275990 \h </w:instrText>
          </w:r>
          <w:r>
            <w:fldChar w:fldCharType="separate"/>
          </w:r>
          <w:r>
            <w:t>9</w:t>
          </w:r>
          <w:r>
            <w:fldChar w:fldCharType="end"/>
          </w:r>
        </w:p>
        <w:p w:rsidR="00672853" w:rsidP="004A1C89" w:rsidRDefault="003B2277" w14:paraId="55F5C27B" w14:textId="19A779EC">
          <w:pPr>
            <w:pStyle w:val="TOC1"/>
          </w:pPr>
          <w:r>
            <w:rPr>
              <w:b/>
              <w:noProof w:val="0"/>
            </w:rPr>
            <w:fldChar w:fldCharType="end"/>
          </w:r>
          <w:r w:rsidRPr="00C100A1" w:rsidR="00865A40">
            <w:t>Appendix A.</w:t>
          </w:r>
          <w:r w:rsidR="00F17ADB">
            <w:t>State survey</w:t>
          </w:r>
          <w:r w:rsidRPr="00C100A1" w:rsidR="004A5734">
            <w:tab/>
            <w:t>A-1</w:t>
          </w:r>
        </w:p>
        <w:p w:rsidR="005C2870" w:rsidP="004A1C89" w:rsidRDefault="005C2870" w14:paraId="5032C059" w14:textId="77777777">
          <w:pPr>
            <w:pStyle w:val="TOC1"/>
          </w:pPr>
          <w:r>
            <w:t>Appendix B.</w:t>
          </w:r>
          <w:r w:rsidR="00F17ADB">
            <w:t>District survey</w:t>
          </w:r>
          <w:r>
            <w:tab/>
            <w:t>B</w:t>
          </w:r>
          <w:r w:rsidRPr="00C100A1">
            <w:t>-1</w:t>
          </w:r>
        </w:p>
        <w:p w:rsidR="00F17ADB" w:rsidP="004A1C89" w:rsidRDefault="00F17ADB" w14:paraId="460A041A" w14:textId="77777777">
          <w:pPr>
            <w:pStyle w:val="TOC1"/>
          </w:pPr>
          <w:r>
            <w:t>Appendix C. Principal survey</w:t>
          </w:r>
          <w:r w:rsidRPr="00F17ADB">
            <w:t xml:space="preserve"> </w:t>
          </w:r>
          <w:r>
            <w:tab/>
            <w:t>C</w:t>
          </w:r>
          <w:r w:rsidRPr="00C100A1">
            <w:t>-1</w:t>
          </w:r>
        </w:p>
        <w:p w:rsidR="003917BA" w:rsidP="00563211" w:rsidRDefault="00F17ADB" w14:paraId="4BF0A256" w14:textId="0B525823">
          <w:pPr>
            <w:pStyle w:val="TOC1"/>
          </w:pPr>
          <w:r>
            <w:t xml:space="preserve">Appendix </w:t>
          </w:r>
          <w:r w:rsidR="009D6D2E">
            <w:t>D</w:t>
          </w:r>
          <w:r>
            <w:t xml:space="preserve">. Notification </w:t>
          </w:r>
          <w:r w:rsidR="00E03805">
            <w:t xml:space="preserve">and reminder </w:t>
          </w:r>
          <w:r>
            <w:t>materials</w:t>
          </w:r>
          <w:r>
            <w:tab/>
          </w:r>
          <w:r w:rsidR="003A3B2E">
            <w:t>D</w:t>
          </w:r>
          <w:r w:rsidRPr="00C100A1">
            <w:t>-1</w:t>
          </w:r>
        </w:p>
        <w:p w:rsidR="00563211" w:rsidP="00563211" w:rsidRDefault="00563211" w14:paraId="6990A265" w14:textId="77777777">
          <w:pPr>
            <w:pStyle w:val="TOC1"/>
          </w:pPr>
        </w:p>
        <w:p w:rsidRPr="007322D4" w:rsidR="00563211" w:rsidP="00563211" w:rsidRDefault="00563211" w14:paraId="6CB2DEC5" w14:textId="77777777">
          <w:pPr>
            <w:tabs>
              <w:tab w:val="left" w:pos="1080"/>
              <w:tab w:val="right" w:leader="dot" w:pos="8280"/>
            </w:tabs>
            <w:ind w:right="-1267"/>
            <w:rPr>
              <w:rFonts w:asciiTheme="minorHAnsi" w:hAnsiTheme="minorHAnsi" w:cstheme="minorHAnsi"/>
              <w:noProof/>
              <w:sz w:val="22"/>
              <w:szCs w:val="22"/>
            </w:rPr>
          </w:pPr>
          <w:r w:rsidRPr="007322D4">
            <w:rPr>
              <w:rFonts w:asciiTheme="minorHAnsi" w:hAnsiTheme="minorHAnsi" w:cstheme="minorHAnsi"/>
              <w:sz w:val="22"/>
              <w:szCs w:val="22"/>
            </w:rPr>
            <w:t>Tables</w:t>
          </w:r>
        </w:p>
        <w:p w:rsidRPr="006045FD" w:rsidR="00563211" w:rsidP="00563211" w:rsidRDefault="00563211" w14:paraId="251922DB" w14:textId="3049C4F8">
          <w:pPr>
            <w:pStyle w:val="TOC1"/>
          </w:pPr>
          <w:r>
            <w:t>A-1.</w:t>
          </w:r>
          <w:r>
            <w:tab/>
            <w:t xml:space="preserve">Estimates of </w:t>
          </w:r>
          <w:r w:rsidRPr="006045FD">
            <w:t>respondent burden</w:t>
          </w:r>
          <w:r w:rsidRPr="006045FD">
            <w:tab/>
          </w:r>
          <w:r w:rsidR="003B2277">
            <w:t>7</w:t>
          </w:r>
        </w:p>
        <w:p w:rsidRPr="00563211" w:rsidR="00672853" w:rsidP="00563211" w:rsidRDefault="00563211" w14:paraId="505AE5A1" w14:textId="017E5F41">
          <w:pPr>
            <w:pStyle w:val="TOC1"/>
            <w:sectPr w:rsidRPr="00563211" w:rsidR="00672853">
              <w:footerReference w:type="first" r:id="rId15"/>
              <w:pgSz w:w="12240" w:h="15840" w:code="1"/>
              <w:pgMar w:top="1440" w:right="1620" w:bottom="1440" w:left="1440" w:header="720" w:footer="576" w:gutter="0"/>
              <w:pgNumType w:fmt="lowerRoman" w:start="1"/>
              <w:cols w:space="720"/>
              <w:titlePg/>
              <w:docGrid w:linePitch="233"/>
            </w:sectPr>
          </w:pPr>
          <w:r w:rsidRPr="006045FD">
            <w:t>A-2</w:t>
          </w:r>
          <w:r w:rsidRPr="006045FD">
            <w:tab/>
            <w:t>Estimates of annual</w:t>
          </w:r>
          <w:r w:rsidRPr="00B156E7">
            <w:t xml:space="preserve"> responde</w:t>
          </w:r>
          <w:r>
            <w:t>nt burden over a 3-year period</w:t>
          </w:r>
          <w:r>
            <w:tab/>
          </w:r>
          <w:r w:rsidR="003B2277">
            <w:t>7</w:t>
          </w:r>
        </w:p>
      </w:sdtContent>
    </w:sdt>
    <w:p w:rsidRPr="00FB4655" w:rsidR="00672853" w:rsidP="00DF6494" w:rsidRDefault="004A5734" w14:paraId="4A28228F" w14:textId="77777777">
      <w:pPr>
        <w:pStyle w:val="Heading0"/>
        <w:rPr>
          <w:szCs w:val="24"/>
        </w:rPr>
      </w:pPr>
      <w:r w:rsidRPr="00FB4655">
        <w:lastRenderedPageBreak/>
        <w:t>Part A. Justification</w:t>
      </w:r>
    </w:p>
    <w:p w:rsidRPr="00FB4655" w:rsidR="00672853" w:rsidP="00730CBE" w:rsidRDefault="004A5734" w14:paraId="00C2B653" w14:textId="65C92AA4">
      <w:pPr>
        <w:pStyle w:val="L1-FlLSp12"/>
      </w:pPr>
      <w:r w:rsidRPr="00FB4655">
        <w:t xml:space="preserve">When the primary federal law governing K–12 schooling was updated in 2015 as </w:t>
      </w:r>
      <w:proofErr w:type="gramStart"/>
      <w:r w:rsidRPr="00FB4655">
        <w:t>the Every</w:t>
      </w:r>
      <w:proofErr w:type="gramEnd"/>
      <w:r w:rsidRPr="00FB4655">
        <w:t xml:space="preserve"> Student Succeeds Act (ESSA), it shifted many decisions to states and districts. However, through two of its core programs (Title I and Title II-A), ESSA retained federal requirements for states to set challenging content standards, assess student performance, </w:t>
      </w:r>
      <w:proofErr w:type="gramStart"/>
      <w:r w:rsidRPr="00730CBE">
        <w:t>identify</w:t>
      </w:r>
      <w:proofErr w:type="gramEnd"/>
      <w:r w:rsidRPr="00FB4655">
        <w:t xml:space="preserve"> and support low-performing schools, and promote the development of the educator workforce. How states and districts respond to the combination of flexibility and requirements</w:t>
      </w:r>
      <w:r w:rsidR="00305C9F">
        <w:t xml:space="preserve"> and how policies are enacted in schools and classrooms</w:t>
      </w:r>
      <w:r w:rsidRPr="00FB4655">
        <w:t xml:space="preserve"> will determine whether ESSA stimulates educational improvement as intended, which is particularly important in the wake of </w:t>
      </w:r>
      <w:r w:rsidR="00FC3CFE">
        <w:t xml:space="preserve">educational disruptions wrought by </w:t>
      </w:r>
      <w:r w:rsidRPr="00FB4655">
        <w:t>the coronavirus pandemic. The U.S. Department of Education</w:t>
      </w:r>
      <w:r w:rsidRPr="00FB4655" w:rsidR="00BF063D">
        <w:t xml:space="preserve"> (the </w:t>
      </w:r>
      <w:r w:rsidRPr="007D0501" w:rsidR="00BF063D">
        <w:t>Department</w:t>
      </w:r>
      <w:r w:rsidRPr="00FB4655" w:rsidR="00BF063D">
        <w:t>)</w:t>
      </w:r>
      <w:r w:rsidRPr="00FB4655">
        <w:t xml:space="preserve">, through its Institute </w:t>
      </w:r>
      <w:r w:rsidRPr="00FB4655" w:rsidR="008C2D80">
        <w:t>of</w:t>
      </w:r>
      <w:r w:rsidRPr="00FB4655">
        <w:t xml:space="preserve"> Education Sciences (IES), is requesting</w:t>
      </w:r>
      <w:r w:rsidRPr="00FB4655" w:rsidR="0077137D">
        <w:t xml:space="preserve"> clearance </w:t>
      </w:r>
      <w:r w:rsidR="006D57C9">
        <w:t>for data collection activities to support an implementation study of Title I and Title II-A. Th</w:t>
      </w:r>
      <w:r w:rsidR="001B6B99">
        <w:t>is</w:t>
      </w:r>
      <w:r w:rsidRPr="00FB4655" w:rsidR="0077137D">
        <w:t xml:space="preserve"> package request</w:t>
      </w:r>
      <w:r w:rsidR="001B6B99">
        <w:t>s</w:t>
      </w:r>
      <w:r w:rsidRPr="00FB4655" w:rsidR="0077137D">
        <w:t xml:space="preserve"> clearance for</w:t>
      </w:r>
      <w:r w:rsidR="004C01A3">
        <w:t xml:space="preserve"> </w:t>
      </w:r>
      <w:r w:rsidR="00F01C19">
        <w:t xml:space="preserve">the </w:t>
      </w:r>
      <w:r w:rsidRPr="00B22340" w:rsidR="004C01A3">
        <w:t>state</w:t>
      </w:r>
      <w:r w:rsidR="00B22340">
        <w:t xml:space="preserve">, </w:t>
      </w:r>
      <w:r w:rsidRPr="00FB4655" w:rsidR="0077137D">
        <w:t xml:space="preserve">district, </w:t>
      </w:r>
      <w:r w:rsidR="00982AFF">
        <w:t xml:space="preserve">and </w:t>
      </w:r>
      <w:r w:rsidRPr="00FB4655" w:rsidR="0077137D">
        <w:t>principal</w:t>
      </w:r>
      <w:r w:rsidR="00A07F6A">
        <w:t xml:space="preserve"> </w:t>
      </w:r>
      <w:r w:rsidRPr="00FB4655" w:rsidR="0077137D">
        <w:t>survey instruments and t</w:t>
      </w:r>
      <w:r w:rsidR="006E0952">
        <w:t>o administer</w:t>
      </w:r>
      <w:r w:rsidR="0011016A">
        <w:t xml:space="preserve"> these surveys</w:t>
      </w:r>
      <w:r w:rsidRPr="00FB4655" w:rsidR="0077137D">
        <w:t xml:space="preserve">. </w:t>
      </w:r>
    </w:p>
    <w:p w:rsidRPr="00E43E0A" w:rsidR="00672853" w:rsidP="00E43E0A" w:rsidRDefault="004A5734" w14:paraId="4F2B0C85" w14:textId="77777777">
      <w:pPr>
        <w:pStyle w:val="Heading2"/>
      </w:pPr>
      <w:bookmarkStart w:name="_Toc90275972" w:id="3"/>
      <w:r w:rsidRPr="00E43E0A">
        <w:t>A.1.</w:t>
      </w:r>
      <w:r w:rsidRPr="00E43E0A">
        <w:tab/>
        <w:t>Explanation of Circumstances That Make Collection of Data Necessary</w:t>
      </w:r>
      <w:bookmarkEnd w:id="3"/>
    </w:p>
    <w:p w:rsidRPr="00FB4655" w:rsidR="000B63FE" w:rsidP="00730CBE" w:rsidRDefault="001D5EA9" w14:paraId="3670F9EE" w14:textId="295F1C7F">
      <w:pPr>
        <w:pStyle w:val="L1-FlLSp12"/>
      </w:pPr>
      <w:r w:rsidRPr="00FB4655">
        <w:t xml:space="preserve">Promoting equal access to high-quality schooling is a central goal of federal education policy. The Title I and Title II-A programs authorized under the Elementary and Secondary Education Act (ESEA) </w:t>
      </w:r>
      <w:r w:rsidRPr="00FB4655" w:rsidR="003350B7">
        <w:t xml:space="preserve">as amended by ESSA </w:t>
      </w:r>
      <w:r w:rsidRPr="00FB4655">
        <w:t>further this goal by providing funds meant to help schools and districts better serve low-income students and improve teacher and principal quality. Together, these programs account for</w:t>
      </w:r>
      <w:r w:rsidRPr="00FB4655" w:rsidR="00FF7F8B">
        <w:t xml:space="preserve"> over 70 percent </w:t>
      </w:r>
      <w:r w:rsidRPr="00FB4655" w:rsidR="00413808">
        <w:t xml:space="preserve">of </w:t>
      </w:r>
      <w:r w:rsidRPr="00FB4655" w:rsidR="007E23BD">
        <w:t>ESEA funding for 2020.</w:t>
      </w:r>
      <w:r w:rsidRPr="00FB4655" w:rsidR="007E23BD">
        <w:rPr>
          <w:rStyle w:val="FootnoteReference"/>
        </w:rPr>
        <w:footnoteReference w:id="2"/>
      </w:r>
      <w:r w:rsidRPr="00FB4655" w:rsidR="007E23BD">
        <w:t xml:space="preserve"> </w:t>
      </w:r>
      <w:r w:rsidRPr="00FB4655" w:rsidR="00032313">
        <w:t xml:space="preserve">Under Title I, ESSA offers states and districts considerable autonomy while requiring them to adopt </w:t>
      </w:r>
      <w:r w:rsidRPr="00FB4655" w:rsidR="004D78F7">
        <w:t>challenging academic content standards</w:t>
      </w:r>
      <w:r w:rsidR="004D78F7">
        <w:t>, aligned assessments, and</w:t>
      </w:r>
      <w:r w:rsidRPr="00FB4655" w:rsidR="004D78F7">
        <w:t xml:space="preserve"> </w:t>
      </w:r>
      <w:r w:rsidRPr="00FB4655" w:rsidR="00032313">
        <w:t>accountability systems that set goals and identify and support low-performing schools</w:t>
      </w:r>
      <w:r w:rsidRPr="00FB4655" w:rsidR="00413808">
        <w:t>. Under Title</w:t>
      </w:r>
      <w:r w:rsidR="00E43E0A">
        <w:t> </w:t>
      </w:r>
      <w:r w:rsidRPr="00FB4655" w:rsidR="00413808">
        <w:t xml:space="preserve">II-A, ESSA </w:t>
      </w:r>
      <w:r w:rsidRPr="00FB4655" w:rsidR="00032313">
        <w:t xml:space="preserve">provides funding for a broad array of permissible activities to improve the effectiveness of educators and achieve an equitable distribution of effective educators. </w:t>
      </w:r>
    </w:p>
    <w:p w:rsidR="00F868C4" w:rsidP="00730CBE" w:rsidRDefault="006B708D" w14:paraId="0FBB5C0C" w14:textId="3BB747AB">
      <w:pPr>
        <w:pStyle w:val="L1-FlLSp12"/>
      </w:pPr>
      <w:r w:rsidRPr="002376CA">
        <w:t>The</w:t>
      </w:r>
      <w:r>
        <w:t xml:space="preserve"> purpose of the </w:t>
      </w:r>
      <w:r w:rsidR="00D919DE">
        <w:t xml:space="preserve">study of the </w:t>
      </w:r>
      <w:r w:rsidRPr="002376CA">
        <w:t>Implementation of Title I/II</w:t>
      </w:r>
      <w:r>
        <w:t>-A</w:t>
      </w:r>
      <w:r w:rsidRPr="002376CA">
        <w:t xml:space="preserve"> Program Init</w:t>
      </w:r>
      <w:r>
        <w:t xml:space="preserve">iatives is to describe the implementation of policies and practices </w:t>
      </w:r>
      <w:r w:rsidR="00CA1F8E">
        <w:t>related to</w:t>
      </w:r>
      <w:r>
        <w:t xml:space="preserve"> Titles I and II-A of ESEA at multiple points in time. </w:t>
      </w:r>
      <w:r w:rsidRPr="00FB4655" w:rsidR="00032313">
        <w:t>How states</w:t>
      </w:r>
      <w:r w:rsidR="00305C9F">
        <w:t xml:space="preserve">, </w:t>
      </w:r>
      <w:r w:rsidRPr="00FB4655" w:rsidR="00032313">
        <w:t>districts</w:t>
      </w:r>
      <w:r w:rsidR="00305C9F">
        <w:t xml:space="preserve">, </w:t>
      </w:r>
      <w:r w:rsidR="00982AFF">
        <w:t xml:space="preserve">and </w:t>
      </w:r>
      <w:r w:rsidR="00305C9F">
        <w:t xml:space="preserve">schools </w:t>
      </w:r>
      <w:r w:rsidRPr="00FB4655" w:rsidR="00032313">
        <w:t>implement ES</w:t>
      </w:r>
      <w:r>
        <w:t>E</w:t>
      </w:r>
      <w:r w:rsidRPr="00FB4655" w:rsidR="003350B7">
        <w:t xml:space="preserve">A </w:t>
      </w:r>
      <w:r w:rsidRPr="00FB4655" w:rsidR="00032313">
        <w:t>in four areas—state content standards, assessments</w:t>
      </w:r>
      <w:r w:rsidR="00A7738E">
        <w:t xml:space="preserve">, accountability and turning around low-performing schools, and improving </w:t>
      </w:r>
      <w:r w:rsidR="00030336">
        <w:t>educator</w:t>
      </w:r>
      <w:r w:rsidR="00A7738E">
        <w:t xml:space="preserve"> effectiveness</w:t>
      </w:r>
      <w:r w:rsidRPr="00FB4655" w:rsidR="00032313">
        <w:t xml:space="preserve">—is key to understanding </w:t>
      </w:r>
      <w:r>
        <w:t xml:space="preserve">what policies and </w:t>
      </w:r>
      <w:r w:rsidR="007F3CAF">
        <w:t>practices</w:t>
      </w:r>
      <w:r>
        <w:t xml:space="preserve"> are being implemented and </w:t>
      </w:r>
      <w:r w:rsidRPr="00FB4655" w:rsidR="00032313">
        <w:t xml:space="preserve">whether </w:t>
      </w:r>
      <w:r w:rsidRPr="00FB4655" w:rsidR="00E652A4">
        <w:t>the</w:t>
      </w:r>
      <w:r>
        <w:t>y are consistent with accomplishing the</w:t>
      </w:r>
      <w:r w:rsidRPr="00FB4655" w:rsidR="00E652A4">
        <w:t xml:space="preserve"> </w:t>
      </w:r>
      <w:r w:rsidRPr="00FB4655" w:rsidR="000B63FE">
        <w:t xml:space="preserve">Title I and Title II-A </w:t>
      </w:r>
      <w:r w:rsidRPr="00FB4655" w:rsidR="00032313">
        <w:t>program</w:t>
      </w:r>
      <w:r>
        <w:t xml:space="preserve"> goal</w:t>
      </w:r>
      <w:r w:rsidRPr="00FB4655" w:rsidR="00032313">
        <w:t xml:space="preserve">s </w:t>
      </w:r>
      <w:r>
        <w:t>of</w:t>
      </w:r>
      <w:r w:rsidRPr="00FB4655" w:rsidR="00032313">
        <w:t xml:space="preserve"> improving educational outcomes and increasing educational equity.</w:t>
      </w:r>
      <w:r w:rsidRPr="00FB4655" w:rsidR="00FF7F8B">
        <w:t xml:space="preserve"> </w:t>
      </w:r>
    </w:p>
    <w:p w:rsidRPr="00FB4655" w:rsidR="00032313" w:rsidP="00730CBE" w:rsidRDefault="00F54830" w14:paraId="1D0C8E52" w14:textId="2CDE9F26">
      <w:pPr>
        <w:pStyle w:val="L1-FlLSp12"/>
      </w:pPr>
      <w:r>
        <w:t xml:space="preserve">The </w:t>
      </w:r>
      <w:r w:rsidR="00F868C4">
        <w:t xml:space="preserve">2022 data collection follows the study’s two prior data collections </w:t>
      </w:r>
      <w:r>
        <w:t>in 2014</w:t>
      </w:r>
      <w:r w:rsidR="00B8488A">
        <w:t xml:space="preserve"> and 2018</w:t>
      </w:r>
      <w:r w:rsidR="00985A0E">
        <w:t>, during different phases</w:t>
      </w:r>
      <w:r w:rsidR="00774462">
        <w:t xml:space="preserve"> of ESEA implementation</w:t>
      </w:r>
      <w:r w:rsidR="00B8488A">
        <w:t xml:space="preserve">. </w:t>
      </w:r>
      <w:r w:rsidR="00873B6F">
        <w:t xml:space="preserve">The first </w:t>
      </w:r>
      <w:r w:rsidR="005220C7">
        <w:t xml:space="preserve">data collection, in </w:t>
      </w:r>
      <w:r w:rsidR="00873B6F">
        <w:t>2014</w:t>
      </w:r>
      <w:r w:rsidR="005220C7">
        <w:t xml:space="preserve">, </w:t>
      </w:r>
      <w:r w:rsidR="00774462">
        <w:t>occurred during the iteration of ESEA prior to ESSA</w:t>
      </w:r>
      <w:r w:rsidR="00873B6F">
        <w:t xml:space="preserve">. The second </w:t>
      </w:r>
      <w:r w:rsidR="00763006">
        <w:t>data collection</w:t>
      </w:r>
      <w:r w:rsidR="005220C7">
        <w:t>, in 2018</w:t>
      </w:r>
      <w:r>
        <w:t xml:space="preserve">, </w:t>
      </w:r>
      <w:r w:rsidR="00763006">
        <w:t xml:space="preserve">occurred </w:t>
      </w:r>
      <w:r>
        <w:t xml:space="preserve">when states and districts were </w:t>
      </w:r>
      <w:r w:rsidR="007F3CAF">
        <w:t xml:space="preserve">still </w:t>
      </w:r>
      <w:r>
        <w:t xml:space="preserve">transitioning to fully implementing ESSA. </w:t>
      </w:r>
      <w:r w:rsidRPr="00FB4655" w:rsidR="00C16069">
        <w:t>Examining implementation</w:t>
      </w:r>
      <w:r w:rsidR="00D038E1">
        <w:t xml:space="preserve"> four years later</w:t>
      </w:r>
      <w:r w:rsidRPr="00FB4655" w:rsidR="00C16069">
        <w:t xml:space="preserve"> in </w:t>
      </w:r>
      <w:r w:rsidR="00F868C4">
        <w:t>2022</w:t>
      </w:r>
      <w:r w:rsidRPr="00FB4655" w:rsidR="00C16069">
        <w:t xml:space="preserve"> </w:t>
      </w:r>
      <w:r w:rsidRPr="00FB4655" w:rsidR="00BF063D">
        <w:t xml:space="preserve">will provide </w:t>
      </w:r>
      <w:r w:rsidRPr="00FB4655" w:rsidR="00C16069">
        <w:t xml:space="preserve">a look </w:t>
      </w:r>
      <w:r w:rsidRPr="00FB4655" w:rsidR="00BF063D">
        <w:t xml:space="preserve">at </w:t>
      </w:r>
      <w:r w:rsidRPr="00FB4655" w:rsidR="00C16069">
        <w:t xml:space="preserve">state and district policies and related </w:t>
      </w:r>
      <w:r w:rsidR="00305C9F">
        <w:t>district</w:t>
      </w:r>
      <w:r w:rsidR="00982AFF">
        <w:t xml:space="preserve"> and </w:t>
      </w:r>
      <w:r w:rsidR="00305C9F">
        <w:t>school</w:t>
      </w:r>
      <w:r w:rsidR="00982AFF">
        <w:t xml:space="preserve"> </w:t>
      </w:r>
      <w:r w:rsidRPr="00FB4655" w:rsidR="00C16069">
        <w:t xml:space="preserve">practices </w:t>
      </w:r>
      <w:r w:rsidRPr="00FB4655" w:rsidR="00F20FFD">
        <w:t xml:space="preserve">that </w:t>
      </w:r>
      <w:r w:rsidRPr="00FB4655" w:rsidR="00C16069">
        <w:t xml:space="preserve">are more established </w:t>
      </w:r>
      <w:r w:rsidR="00CA1F8E">
        <w:t xml:space="preserve">several years after </w:t>
      </w:r>
      <w:r w:rsidRPr="00FB4655" w:rsidR="006B531F">
        <w:t>ESSA</w:t>
      </w:r>
      <w:r w:rsidR="00CA1F8E">
        <w:t>’s passage</w:t>
      </w:r>
      <w:r w:rsidR="009535E6">
        <w:t>,</w:t>
      </w:r>
      <w:r w:rsidRPr="00FB4655" w:rsidR="00BF063D">
        <w:t xml:space="preserve"> as well as </w:t>
      </w:r>
      <w:r w:rsidRPr="00FB4655" w:rsidR="00E96065">
        <w:t>implementation</w:t>
      </w:r>
      <w:r w:rsidR="00D038E1">
        <w:t xml:space="preserve"> at all </w:t>
      </w:r>
      <w:r w:rsidR="00152322">
        <w:t>three</w:t>
      </w:r>
      <w:r w:rsidR="00D038E1">
        <w:t xml:space="preserve"> levels</w:t>
      </w:r>
      <w:r w:rsidRPr="00FB4655" w:rsidR="00E96065">
        <w:t xml:space="preserve"> </w:t>
      </w:r>
      <w:r w:rsidR="00CA1F8E">
        <w:t>in the context of</w:t>
      </w:r>
      <w:r w:rsidRPr="00FB4655" w:rsidR="00E96065">
        <w:t xml:space="preserve"> the</w:t>
      </w:r>
      <w:r w:rsidRPr="00FB4655" w:rsidR="00B05CC4">
        <w:t xml:space="preserve"> </w:t>
      </w:r>
      <w:r w:rsidR="00371F0E">
        <w:t xml:space="preserve">COVID-19 </w:t>
      </w:r>
      <w:r w:rsidRPr="00FB4655" w:rsidR="00E96065">
        <w:t xml:space="preserve">pandemic. </w:t>
      </w:r>
    </w:p>
    <w:p w:rsidRPr="00FB4655" w:rsidR="00672853" w:rsidP="003B2277" w:rsidRDefault="004A5734" w14:paraId="334E019B" w14:textId="77777777">
      <w:pPr>
        <w:pStyle w:val="Heading2"/>
      </w:pPr>
      <w:bookmarkStart w:name="_Toc90275973" w:id="4"/>
      <w:r w:rsidRPr="00FB4655">
        <w:lastRenderedPageBreak/>
        <w:t>A.2.</w:t>
      </w:r>
      <w:r w:rsidRPr="00FB4655">
        <w:tab/>
      </w:r>
      <w:r w:rsidRPr="00FB4655" w:rsidR="0089716E">
        <w:t>Purpose and Use of the Data</w:t>
      </w:r>
      <w:bookmarkEnd w:id="4"/>
    </w:p>
    <w:p w:rsidRPr="006F2096" w:rsidR="006F2096" w:rsidP="00E43E0A" w:rsidRDefault="006F2096" w14:paraId="434094AD" w14:textId="691F1CB2">
      <w:pPr>
        <w:pStyle w:val="L1-FlLSp12"/>
      </w:pPr>
      <w:r w:rsidRPr="006F2096">
        <w:rPr>
          <w:rFonts w:eastAsia="Garamond"/>
        </w:rPr>
        <w:t xml:space="preserve">The data will be collected by </w:t>
      </w:r>
      <w:proofErr w:type="spellStart"/>
      <w:r w:rsidRPr="006F2096">
        <w:rPr>
          <w:rFonts w:eastAsia="Garamond"/>
        </w:rPr>
        <w:t>Westat</w:t>
      </w:r>
      <w:proofErr w:type="spellEnd"/>
      <w:r w:rsidRPr="006F2096">
        <w:rPr>
          <w:rFonts w:eastAsia="Garamond"/>
        </w:rPr>
        <w:t xml:space="preserve"> and its partner, Mathematica.</w:t>
      </w:r>
      <w:r w:rsidRPr="006F2096">
        <w:t xml:space="preserve"> The purpose of the 2022 data collection is to provide information on the core policies and practices related to Title I and Title II-A being implemented at the state, district, and school levels; and the resources and supports that states and districts provide to schools and teachers. The research questions for the data collection are as follows:</w:t>
      </w:r>
    </w:p>
    <w:p w:rsidRPr="006F2096" w:rsidR="006F2096" w:rsidP="00E43E0A" w:rsidRDefault="006F2096" w14:paraId="0989B7DA" w14:textId="43107733">
      <w:pPr>
        <w:numPr>
          <w:ilvl w:val="0"/>
          <w:numId w:val="8"/>
        </w:numPr>
        <w:spacing w:after="240"/>
        <w:rPr>
          <w:rFonts w:cs="Calibri" w:asciiTheme="minorHAnsi" w:hAnsiTheme="minorHAnsi"/>
          <w:sz w:val="22"/>
          <w:szCs w:val="22"/>
        </w:rPr>
      </w:pPr>
      <w:r w:rsidRPr="006F2096">
        <w:rPr>
          <w:rFonts w:asciiTheme="minorHAnsi" w:hAnsiTheme="minorHAnsi"/>
          <w:b/>
          <w:sz w:val="22"/>
          <w:szCs w:val="22"/>
        </w:rPr>
        <w:t xml:space="preserve">What materials and </w:t>
      </w:r>
      <w:r w:rsidR="00EC6FC6">
        <w:rPr>
          <w:rFonts w:asciiTheme="minorHAnsi" w:hAnsiTheme="minorHAnsi"/>
          <w:b/>
          <w:sz w:val="22"/>
          <w:szCs w:val="22"/>
        </w:rPr>
        <w:t>resources</w:t>
      </w:r>
      <w:r w:rsidRPr="006F2096">
        <w:rPr>
          <w:rFonts w:asciiTheme="minorHAnsi" w:hAnsiTheme="minorHAnsi"/>
          <w:b/>
          <w:sz w:val="22"/>
          <w:szCs w:val="22"/>
        </w:rPr>
        <w:t xml:space="preserve"> are states and districts providing to support the implementation of content standards?</w:t>
      </w:r>
      <w:r w:rsidRPr="006F2096">
        <w:rPr>
          <w:rFonts w:asciiTheme="minorHAnsi" w:hAnsiTheme="minorHAnsi"/>
          <w:sz w:val="22"/>
          <w:szCs w:val="22"/>
        </w:rPr>
        <w:t xml:space="preserve"> Did districts prioritize among the state content standards in response to the coronavirus pandemic?</w:t>
      </w:r>
    </w:p>
    <w:p w:rsidRPr="006F2096" w:rsidR="006F2096" w:rsidP="00E43E0A" w:rsidRDefault="006F2096" w14:paraId="1B997AB3" w14:textId="62AEF464">
      <w:pPr>
        <w:numPr>
          <w:ilvl w:val="0"/>
          <w:numId w:val="8"/>
        </w:numPr>
        <w:spacing w:after="240"/>
        <w:rPr>
          <w:rFonts w:cs="Calibri" w:asciiTheme="minorHAnsi" w:hAnsiTheme="minorHAnsi"/>
          <w:sz w:val="22"/>
          <w:szCs w:val="22"/>
        </w:rPr>
      </w:pPr>
      <w:r w:rsidRPr="006F2096">
        <w:rPr>
          <w:rFonts w:cs="Calibri" w:asciiTheme="minorHAnsi" w:hAnsiTheme="minorHAnsi"/>
          <w:b/>
          <w:bCs/>
          <w:sz w:val="22"/>
          <w:szCs w:val="22"/>
        </w:rPr>
        <w:t xml:space="preserve">How did states, districts, and schools use assessment results for the 2021-22 school year? </w:t>
      </w:r>
      <w:r w:rsidRPr="006F2096">
        <w:rPr>
          <w:rFonts w:cs="Calibri" w:asciiTheme="minorHAnsi" w:hAnsiTheme="minorHAnsi"/>
          <w:color w:val="000000"/>
          <w:sz w:val="22"/>
          <w:szCs w:val="22"/>
        </w:rPr>
        <w:t xml:space="preserve">To what extent and how do </w:t>
      </w:r>
      <w:r w:rsidRPr="006F2096">
        <w:rPr>
          <w:rFonts w:cs="Calibri" w:asciiTheme="minorHAnsi" w:hAnsiTheme="minorHAnsi"/>
          <w:bCs/>
          <w:sz w:val="22"/>
          <w:szCs w:val="22"/>
        </w:rPr>
        <w:t>states</w:t>
      </w:r>
      <w:r w:rsidRPr="006F2096">
        <w:rPr>
          <w:rFonts w:cs="Calibri" w:asciiTheme="minorHAnsi" w:hAnsiTheme="minorHAnsi"/>
          <w:color w:val="000000"/>
          <w:sz w:val="22"/>
          <w:szCs w:val="22"/>
        </w:rPr>
        <w:t xml:space="preserve">, </w:t>
      </w:r>
      <w:r w:rsidRPr="006F2096">
        <w:rPr>
          <w:rFonts w:cs="Calibri" w:asciiTheme="minorHAnsi" w:hAnsiTheme="minorHAnsi"/>
          <w:sz w:val="22"/>
          <w:szCs w:val="22"/>
        </w:rPr>
        <w:t>districts</w:t>
      </w:r>
      <w:r w:rsidRPr="006F2096">
        <w:rPr>
          <w:rFonts w:cs="Calibri" w:asciiTheme="minorHAnsi" w:hAnsiTheme="minorHAnsi"/>
          <w:color w:val="000000"/>
          <w:sz w:val="22"/>
          <w:szCs w:val="22"/>
        </w:rPr>
        <w:t>, and schools help educators and families understand student learning needs? Do principals find assessment results useful for instruction and to identify students needing support?</w:t>
      </w:r>
    </w:p>
    <w:p w:rsidRPr="006F2096" w:rsidR="006F2096" w:rsidP="00E43E0A" w:rsidRDefault="006F2096" w14:paraId="584B8F04" w14:textId="7D79D328">
      <w:pPr>
        <w:numPr>
          <w:ilvl w:val="0"/>
          <w:numId w:val="8"/>
        </w:numPr>
        <w:spacing w:after="240"/>
        <w:ind w:left="446"/>
        <w:rPr>
          <w:rFonts w:cs="Calibri" w:asciiTheme="minorHAnsi" w:hAnsiTheme="minorHAnsi"/>
          <w:bCs/>
          <w:sz w:val="22"/>
          <w:szCs w:val="22"/>
        </w:rPr>
      </w:pPr>
      <w:r w:rsidRPr="006F2096">
        <w:rPr>
          <w:rFonts w:cs="Calibri" w:asciiTheme="minorHAnsi" w:hAnsiTheme="minorHAnsi"/>
          <w:b/>
          <w:bCs/>
          <w:sz w:val="22"/>
          <w:szCs w:val="22"/>
        </w:rPr>
        <w:t>What measures from 2020-21 did states, districts, and schools use to assess school and student needs for support</w:t>
      </w:r>
      <w:r w:rsidR="00FB4DA8">
        <w:rPr>
          <w:rFonts w:cs="Calibri" w:asciiTheme="minorHAnsi" w:hAnsiTheme="minorHAnsi"/>
          <w:b/>
          <w:bCs/>
          <w:sz w:val="22"/>
          <w:szCs w:val="22"/>
        </w:rPr>
        <w:t>,</w:t>
      </w:r>
      <w:r w:rsidRPr="006F2096">
        <w:rPr>
          <w:rFonts w:cs="Calibri" w:asciiTheme="minorHAnsi" w:hAnsiTheme="minorHAnsi"/>
          <w:b/>
          <w:bCs/>
          <w:sz w:val="22"/>
          <w:szCs w:val="22"/>
        </w:rPr>
        <w:t xml:space="preserve"> and how have states modified their school performance systems since 2018?</w:t>
      </w:r>
      <w:r w:rsidRPr="006F2096">
        <w:rPr>
          <w:rFonts w:cs="Calibri" w:asciiTheme="minorHAnsi" w:hAnsiTheme="minorHAnsi"/>
          <w:bCs/>
          <w:sz w:val="22"/>
          <w:szCs w:val="22"/>
        </w:rPr>
        <w:t xml:space="preserve"> Have states modified their accountability plans under ESSA since 2018, and if so, how? How are states identifying and supporting lowest-performing schools? How are schools supporting students’ needs in the wake of the pandemic? Do stakeholders have access to state per pupil school-level expenditure data and how are states, districts, and schools using the data?</w:t>
      </w:r>
    </w:p>
    <w:p w:rsidRPr="006F2096" w:rsidR="006F2096" w:rsidP="00E43E0A" w:rsidRDefault="006F2096" w14:paraId="3B82D674" w14:textId="39833C96">
      <w:pPr>
        <w:numPr>
          <w:ilvl w:val="0"/>
          <w:numId w:val="8"/>
        </w:numPr>
        <w:spacing w:after="240"/>
        <w:ind w:left="446"/>
        <w:rPr>
          <w:rFonts w:cs="Calibri" w:asciiTheme="minorHAnsi" w:hAnsiTheme="minorHAnsi"/>
          <w:sz w:val="22"/>
          <w:szCs w:val="22"/>
        </w:rPr>
      </w:pPr>
      <w:r w:rsidRPr="006F2096">
        <w:rPr>
          <w:rFonts w:cs="Calibri" w:asciiTheme="minorHAnsi" w:hAnsiTheme="minorHAnsi"/>
          <w:b/>
          <w:bCs/>
          <w:color w:val="000000"/>
          <w:sz w:val="22"/>
          <w:szCs w:val="22"/>
        </w:rPr>
        <w:t>To what degree and in what areas are states, districts, and schools supporting teacher effectiveness in the 2021–22 school year?</w:t>
      </w:r>
      <w:r w:rsidRPr="006F2096">
        <w:rPr>
          <w:rFonts w:cs="Calibri" w:asciiTheme="minorHAnsi" w:hAnsiTheme="minorHAnsi"/>
          <w:color w:val="000000"/>
          <w:sz w:val="22"/>
          <w:szCs w:val="22"/>
        </w:rPr>
        <w:t xml:space="preserve"> What strategies are states and districts using to recruit, hire, and retain effective teachers?  How are states, districts, and schools using professional development and other strategies to help teachers support educational equity and improve teacher </w:t>
      </w:r>
      <w:r w:rsidRPr="006F2096">
        <w:rPr>
          <w:rFonts w:cs="Calibri" w:asciiTheme="minorHAnsi" w:hAnsiTheme="minorHAnsi"/>
          <w:bCs/>
          <w:sz w:val="22"/>
          <w:szCs w:val="22"/>
        </w:rPr>
        <w:t>effectiveness</w:t>
      </w:r>
      <w:r w:rsidRPr="006F2096">
        <w:rPr>
          <w:rFonts w:cs="Calibri" w:asciiTheme="minorHAnsi" w:hAnsiTheme="minorHAnsi"/>
          <w:color w:val="000000"/>
          <w:sz w:val="22"/>
          <w:szCs w:val="22"/>
        </w:rPr>
        <w:t xml:space="preserve">? How are teacher evaluation results used in districts? </w:t>
      </w:r>
      <w:r w:rsidRPr="006F2096">
        <w:rPr>
          <w:rFonts w:cs="Calibri" w:asciiTheme="minorHAnsi" w:hAnsiTheme="minorHAnsi"/>
          <w:sz w:val="22"/>
          <w:szCs w:val="22"/>
        </w:rPr>
        <w:t xml:space="preserve">Are states assessing the effectiveness of teacher </w:t>
      </w:r>
      <w:r w:rsidRPr="00E43E0A">
        <w:rPr>
          <w:rFonts w:cs="Calibri" w:asciiTheme="minorHAnsi" w:hAnsiTheme="minorHAnsi"/>
          <w:bCs/>
          <w:sz w:val="22"/>
          <w:szCs w:val="22"/>
        </w:rPr>
        <w:t>preparation</w:t>
      </w:r>
      <w:r w:rsidRPr="006F2096">
        <w:rPr>
          <w:rFonts w:cs="Calibri" w:asciiTheme="minorHAnsi" w:hAnsiTheme="minorHAnsi"/>
          <w:sz w:val="22"/>
          <w:szCs w:val="22"/>
        </w:rPr>
        <w:t xml:space="preserve"> programs, and if so, how? Do states and districts find equitable access to effective teachers for low-income and minority students?</w:t>
      </w:r>
    </w:p>
    <w:p w:rsidRPr="006F2096" w:rsidR="00365BA9" w:rsidP="00730CBE" w:rsidRDefault="00EC385F" w14:paraId="155F9B67" w14:textId="11F85736">
      <w:pPr>
        <w:pStyle w:val="L1-FlLSp12"/>
      </w:pPr>
      <w:r w:rsidRPr="006F2096">
        <w:t>Data from</w:t>
      </w:r>
      <w:r w:rsidRPr="006F2096" w:rsidR="000C29AC">
        <w:t xml:space="preserve"> state, district, </w:t>
      </w:r>
      <w:r w:rsidRPr="006F2096" w:rsidR="000A42DD">
        <w:t xml:space="preserve">and </w:t>
      </w:r>
      <w:r w:rsidRPr="006F2096" w:rsidR="000C29AC">
        <w:t>principal surveys</w:t>
      </w:r>
      <w:r w:rsidRPr="006F2096">
        <w:t xml:space="preserve"> will be collected to</w:t>
      </w:r>
      <w:r w:rsidRPr="006F2096" w:rsidR="000C29AC">
        <w:t xml:space="preserve"> address the research questions since there is no uniform source of current, detailed information on these topics</w:t>
      </w:r>
      <w:r w:rsidRPr="006F2096" w:rsidR="00C06A0D">
        <w:t xml:space="preserve"> for all states and a nationally representative sample of district</w:t>
      </w:r>
      <w:r w:rsidRPr="006F2096" w:rsidR="000A42DD">
        <w:t xml:space="preserve"> and </w:t>
      </w:r>
      <w:r w:rsidRPr="006F2096" w:rsidR="00C06A0D">
        <w:t>schools</w:t>
      </w:r>
      <w:r w:rsidRPr="006F2096" w:rsidR="000C29AC">
        <w:t>.</w:t>
      </w:r>
      <w:r w:rsidRPr="006F2096" w:rsidR="00C27992">
        <w:t xml:space="preserve"> </w:t>
      </w:r>
      <w:r w:rsidRPr="006F2096" w:rsidR="00C27992">
        <w:rPr>
          <w:bCs/>
        </w:rPr>
        <w:t xml:space="preserve">This package requests clearance for </w:t>
      </w:r>
      <w:r w:rsidRPr="006F2096" w:rsidR="00C27992">
        <w:t xml:space="preserve">the survey instruments and associated data collection procedures. </w:t>
      </w:r>
      <w:r w:rsidRPr="006F2096" w:rsidR="00107AD5">
        <w:t>The study’s data collection activities are listed below.</w:t>
      </w:r>
    </w:p>
    <w:p w:rsidRPr="00E43E0A" w:rsidR="00365BA9" w:rsidP="00E43E0A" w:rsidRDefault="00365BA9" w14:paraId="240FEE92" w14:textId="77777777">
      <w:pPr>
        <w:pStyle w:val="Heading3"/>
      </w:pPr>
      <w:bookmarkStart w:name="_Toc90275974" w:id="5"/>
      <w:bookmarkStart w:name="_Toc44917297" w:id="6"/>
      <w:r w:rsidRPr="00E43E0A">
        <w:t>A.2.1</w:t>
      </w:r>
      <w:r w:rsidRPr="00E43E0A">
        <w:tab/>
        <w:t>Data Collection Activities for Which Clearance is Requested</w:t>
      </w:r>
      <w:bookmarkEnd w:id="5"/>
      <w:r w:rsidRPr="00E43E0A">
        <w:t xml:space="preserve"> </w:t>
      </w:r>
      <w:bookmarkEnd w:id="6"/>
    </w:p>
    <w:p w:rsidRPr="009D3A2D" w:rsidR="0025508F" w:rsidP="00730CBE" w:rsidRDefault="0025508F" w14:paraId="43217F1A" w14:textId="77777777">
      <w:pPr>
        <w:pStyle w:val="L1-FlLSp12"/>
      </w:pPr>
      <w:r w:rsidRPr="00C62498">
        <w:rPr>
          <w:b/>
          <w:bCs/>
        </w:rPr>
        <w:t>State survey.</w:t>
      </w:r>
      <w:r w:rsidRPr="00C62498">
        <w:t xml:space="preserve"> Th</w:t>
      </w:r>
      <w:r>
        <w:t>is</w:t>
      </w:r>
      <w:r w:rsidRPr="00C62498">
        <w:t xml:space="preserve"> web-based state survey will focus on state policies</w:t>
      </w:r>
      <w:r>
        <w:t xml:space="preserve"> and state supports in each of the four core content areas:</w:t>
      </w:r>
      <w:r w:rsidRPr="00C62498">
        <w:t xml:space="preserve"> </w:t>
      </w:r>
      <w:r>
        <w:t xml:space="preserve">state content standards, assessments, </w:t>
      </w:r>
      <w:proofErr w:type="gramStart"/>
      <w:r w:rsidRPr="00C62498">
        <w:t>accountability</w:t>
      </w:r>
      <w:proofErr w:type="gramEnd"/>
      <w:r w:rsidRPr="00C62498">
        <w:t xml:space="preserve"> and support for low-performing schools, </w:t>
      </w:r>
      <w:r>
        <w:t xml:space="preserve">and </w:t>
      </w:r>
      <w:r w:rsidRPr="00C62498">
        <w:t xml:space="preserve">improving </w:t>
      </w:r>
      <w:r>
        <w:t>educator</w:t>
      </w:r>
      <w:r w:rsidRPr="00C62498">
        <w:t xml:space="preserve"> effectiveness. The survey will be sent to the chief school officer in each of the 50 states, the District of Columbia, and Puerto Rico beginning in March 2022, with the expectation that different sections of the survey may be filled out by different State Education Agency (SEA) staff, </w:t>
      </w:r>
      <w:r>
        <w:t xml:space="preserve">such as the Title I Director, </w:t>
      </w:r>
      <w:r w:rsidRPr="00C62498">
        <w:t xml:space="preserve">as determined by their </w:t>
      </w:r>
      <w:r>
        <w:t>areas of</w:t>
      </w:r>
      <w:r w:rsidRPr="00C62498">
        <w:t xml:space="preserve"> expertise. </w:t>
      </w:r>
      <w:r w:rsidRPr="009D3A2D">
        <w:t xml:space="preserve">States receiving Title I and Title II-A funds are expected to </w:t>
      </w:r>
      <w:r>
        <w:t>cooperate</w:t>
      </w:r>
      <w:r w:rsidRPr="009D3A2D">
        <w:t xml:space="preserve"> in Department evaluations following the Education </w:t>
      </w:r>
      <w:r w:rsidRPr="009D3A2D">
        <w:lastRenderedPageBreak/>
        <w:t>Department General Administrative Regulations (EDGAR) (34 C.F.R. § 76.591). The state survey is in Appendix A.</w:t>
      </w:r>
    </w:p>
    <w:p w:rsidRPr="009D3A2D" w:rsidR="0025508F" w:rsidP="00730CBE" w:rsidRDefault="0025508F" w14:paraId="1BF32F13" w14:textId="428ED7EC">
      <w:pPr>
        <w:pStyle w:val="L1-FlLSp12"/>
      </w:pPr>
      <w:r w:rsidRPr="00C62498">
        <w:rPr>
          <w:b/>
          <w:bCs/>
        </w:rPr>
        <w:t>District survey.</w:t>
      </w:r>
      <w:r w:rsidRPr="00C62498">
        <w:t xml:space="preserve"> This web-based survey will focus on the implementation of state policies</w:t>
      </w:r>
      <w:r>
        <w:t>,</w:t>
      </w:r>
      <w:r w:rsidRPr="00C62498">
        <w:t xml:space="preserve"> adoption of district policies and practices</w:t>
      </w:r>
      <w:r>
        <w:t>, and supports provided to schools and teachers</w:t>
      </w:r>
      <w:r w:rsidRPr="00C62498">
        <w:t xml:space="preserve"> </w:t>
      </w:r>
      <w:r>
        <w:t>in each of the four core content areas</w:t>
      </w:r>
      <w:r w:rsidRPr="00C62498">
        <w:t xml:space="preserve">. The survey will be administered to superintendents or their designees </w:t>
      </w:r>
      <w:r>
        <w:t>in</w:t>
      </w:r>
      <w:r w:rsidRPr="00C62498">
        <w:t xml:space="preserve"> 1,150 school districts</w:t>
      </w:r>
      <w:r w:rsidR="00303D3B">
        <w:t xml:space="preserve"> or charter local education agencies</w:t>
      </w:r>
      <w:r w:rsidRPr="00C62498">
        <w:t xml:space="preserve"> beginning in March 2022. </w:t>
      </w:r>
      <w:r w:rsidRPr="009D3A2D">
        <w:t xml:space="preserve">Districts receiving Title I and Title II-A </w:t>
      </w:r>
      <w:r w:rsidRPr="009D3A2D">
        <w:rPr>
          <w:bCs/>
        </w:rPr>
        <w:t xml:space="preserve">are expected to cooperate </w:t>
      </w:r>
      <w:r w:rsidRPr="009D3A2D">
        <w:t>in Department evaluations following the Education Department General Administrative Regulations (EDGAR) (34 C.F.R. § 76.591). The district survey is in Appendix B.</w:t>
      </w:r>
    </w:p>
    <w:p w:rsidRPr="00C62498" w:rsidR="0025508F" w:rsidP="00730CBE" w:rsidRDefault="0025508F" w14:paraId="4F08F16C" w14:textId="77777777">
      <w:pPr>
        <w:pStyle w:val="L1-FlLSp12"/>
      </w:pPr>
      <w:r w:rsidRPr="00C62498">
        <w:rPr>
          <w:b/>
          <w:bCs/>
        </w:rPr>
        <w:t>Principal survey.</w:t>
      </w:r>
      <w:r w:rsidRPr="00C62498">
        <w:t xml:space="preserve"> This web-based survey will focus on the implementation of state and district policies within schools, the usefulness of supports received from the state and </w:t>
      </w:r>
      <w:proofErr w:type="gramStart"/>
      <w:r w:rsidRPr="00C62498">
        <w:t>district, and</w:t>
      </w:r>
      <w:proofErr w:type="gramEnd"/>
      <w:r w:rsidRPr="00C62498">
        <w:t xml:space="preserve"> supports provided to teachers</w:t>
      </w:r>
      <w:r>
        <w:t xml:space="preserve"> in each of the four core content areas</w:t>
      </w:r>
      <w:r w:rsidRPr="00C62498">
        <w:t xml:space="preserve">. The </w:t>
      </w:r>
      <w:r>
        <w:t xml:space="preserve">voluntary </w:t>
      </w:r>
      <w:r w:rsidRPr="00C62498">
        <w:t xml:space="preserve">survey will be administered to principals from a nationally representative sample of 1,725 schools (nested within the sampled districts) beginning in February 2022. </w:t>
      </w:r>
      <w:r>
        <w:t>The principal survey is in Appendix C.</w:t>
      </w:r>
    </w:p>
    <w:p w:rsidR="00672853" w:rsidP="00E43E0A" w:rsidRDefault="004A5734" w14:paraId="661FA59E" w14:textId="77777777">
      <w:pPr>
        <w:pStyle w:val="Heading2"/>
      </w:pPr>
      <w:bookmarkStart w:name="_Toc90275975" w:id="7"/>
      <w:r>
        <w:t>A.3.</w:t>
      </w:r>
      <w:r>
        <w:tab/>
        <w:t>Use of Technology to Reduce Burden</w:t>
      </w:r>
      <w:bookmarkEnd w:id="7"/>
    </w:p>
    <w:p w:rsidR="009B224B" w:rsidP="00730CBE" w:rsidRDefault="00696E51" w14:paraId="0FB18CEA" w14:textId="77777777">
      <w:pPr>
        <w:pStyle w:val="L1-FlLSp12"/>
      </w:pPr>
      <w:r w:rsidRPr="0090042C">
        <w:t xml:space="preserve">The data collection is designed to obtain information in an efficient way that minimizes respondent burden. </w:t>
      </w:r>
      <w:r w:rsidR="009B224B">
        <w:t xml:space="preserve">The main method for doing so is the use of web-based surveys. Web-based surveys are preferred for several reasons: </w:t>
      </w:r>
    </w:p>
    <w:p w:rsidRPr="00E43E0A" w:rsidR="009B224B" w:rsidP="004D3F4C" w:rsidRDefault="009B224B" w14:paraId="2977A2E2" w14:textId="77777777">
      <w:pPr>
        <w:pStyle w:val="N1-1stBullet"/>
      </w:pPr>
      <w:r>
        <w:t xml:space="preserve">This survey mode enables </w:t>
      </w:r>
      <w:r w:rsidR="00B1048B">
        <w:t>sharing a direct link to the surveys in communications with respondents</w:t>
      </w:r>
      <w:r>
        <w:t xml:space="preserve">. </w:t>
      </w:r>
      <w:r w:rsidR="00696E51">
        <w:t>Respondents for all surveys will receive an invitation email and reminder email</w:t>
      </w:r>
      <w:r w:rsidR="0070596A">
        <w:t>s</w:t>
      </w:r>
      <w:r w:rsidR="00696E51">
        <w:t xml:space="preserve"> as needed. In each </w:t>
      </w:r>
      <w:r w:rsidRPr="00E43E0A" w:rsidR="00696E51">
        <w:t>correspondence, a URL to the survey will be shared</w:t>
      </w:r>
      <w:r w:rsidRPr="00E43E0A" w:rsidR="0070596A">
        <w:t xml:space="preserve">, which </w:t>
      </w:r>
      <w:r w:rsidRPr="00E43E0A" w:rsidR="0082467C">
        <w:t>allows</w:t>
      </w:r>
      <w:r w:rsidRPr="00E43E0A" w:rsidR="0070596A">
        <w:t xml:space="preserve"> respondents to click directly on the link to complete the survey</w:t>
      </w:r>
      <w:r w:rsidRPr="00E43E0A" w:rsidR="00696E51">
        <w:t xml:space="preserve">. </w:t>
      </w:r>
    </w:p>
    <w:p w:rsidRPr="00E43E0A" w:rsidR="009B224B" w:rsidP="004D3F4C" w:rsidRDefault="009B224B" w14:paraId="6DB08294" w14:textId="760938DB">
      <w:pPr>
        <w:pStyle w:val="N1-1stBullet"/>
      </w:pPr>
      <w:r w:rsidRPr="00E43E0A">
        <w:t>Web-based surveys allow for the use of: (1) s</w:t>
      </w:r>
      <w:r w:rsidRPr="00E43E0A" w:rsidR="00696E51">
        <w:t>kip patterns</w:t>
      </w:r>
      <w:r w:rsidRPr="00E43E0A">
        <w:t xml:space="preserve">, which </w:t>
      </w:r>
      <w:r w:rsidRPr="00E43E0A" w:rsidR="00696E51">
        <w:t>reduce burden</w:t>
      </w:r>
      <w:r w:rsidRPr="00E43E0A">
        <w:t xml:space="preserve">, and (2) </w:t>
      </w:r>
      <w:r w:rsidRPr="00E43E0A" w:rsidR="00696E51">
        <w:t>built-in edit</w:t>
      </w:r>
      <w:r w:rsidRPr="00E43E0A" w:rsidR="00303D3B">
        <w:t xml:space="preserve"> checks (e.g., ensuring percentage</w:t>
      </w:r>
      <w:r w:rsidRPr="00E43E0A" w:rsidR="00C721BC">
        <w:t>s</w:t>
      </w:r>
      <w:r w:rsidRPr="00E43E0A" w:rsidR="00303D3B">
        <w:t xml:space="preserve"> do not total to more than 100 percent),</w:t>
      </w:r>
      <w:r w:rsidRPr="00E43E0A">
        <w:t xml:space="preserve"> which </w:t>
      </w:r>
      <w:r w:rsidRPr="00E43E0A" w:rsidR="00696E51">
        <w:t>reduce response errors</w:t>
      </w:r>
      <w:r w:rsidRPr="00E43E0A" w:rsidR="00F92339">
        <w:t xml:space="preserve"> and decrease the need for the study team to reach out to respondents to check the accuracy of responses</w:t>
      </w:r>
      <w:r w:rsidRPr="00E43E0A" w:rsidR="00696E51">
        <w:t xml:space="preserve">. </w:t>
      </w:r>
    </w:p>
    <w:p w:rsidRPr="00E43E0A" w:rsidR="009B224B" w:rsidP="004D3F4C" w:rsidRDefault="009B224B" w14:paraId="278E56BC" w14:textId="25CB22C5">
      <w:pPr>
        <w:pStyle w:val="N1-1stBullet"/>
      </w:pPr>
      <w:r w:rsidRPr="00E43E0A">
        <w:t>W</w:t>
      </w:r>
      <w:r w:rsidRPr="00E43E0A" w:rsidR="00696E51">
        <w:t xml:space="preserve">eb-based surveys facilitate the completion of the survey by multiple respondents, </w:t>
      </w:r>
      <w:r w:rsidRPr="00E43E0A">
        <w:t xml:space="preserve">which we expect to occur at the state </w:t>
      </w:r>
      <w:r w:rsidRPr="00E43E0A" w:rsidR="0070596A">
        <w:t xml:space="preserve">level </w:t>
      </w:r>
      <w:r w:rsidRPr="00E43E0A">
        <w:t xml:space="preserve">and </w:t>
      </w:r>
      <w:r w:rsidRPr="00E43E0A" w:rsidR="0070596A">
        <w:t xml:space="preserve">potentially the </w:t>
      </w:r>
      <w:r w:rsidRPr="00E43E0A">
        <w:t>district level</w:t>
      </w:r>
      <w:r w:rsidRPr="00E43E0A" w:rsidR="0070596A">
        <w:t xml:space="preserve"> as well</w:t>
      </w:r>
      <w:r w:rsidRPr="00E43E0A">
        <w:t xml:space="preserve">. </w:t>
      </w:r>
      <w:r w:rsidRPr="00E43E0A" w:rsidR="0070596A">
        <w:t xml:space="preserve">For example, we expect the </w:t>
      </w:r>
      <w:r w:rsidRPr="00E43E0A" w:rsidR="001F5493">
        <w:t xml:space="preserve">three </w:t>
      </w:r>
      <w:r w:rsidRPr="00E43E0A" w:rsidR="0070596A">
        <w:t>sections of the state survey will be completed by three different staff members (or staff teams). As a result, the state survey URL will include embedded login information to reduce the number of communications from the study team to the state to securely provide login information separate from the survey URL</w:t>
      </w:r>
      <w:r w:rsidRPr="00E43E0A" w:rsidR="00772B53">
        <w:t>.</w:t>
      </w:r>
      <w:r w:rsidRPr="00E43E0A" w:rsidR="0070596A">
        <w:t xml:space="preserve"> </w:t>
      </w:r>
      <w:r w:rsidRPr="00E43E0A" w:rsidR="00E54E1C">
        <w:t xml:space="preserve">In addition, web-based surveys </w:t>
      </w:r>
      <w:r w:rsidRPr="00E43E0A" w:rsidR="00772B53">
        <w:t xml:space="preserve">reduce the burden of sharing access to the survey within the state or district and </w:t>
      </w:r>
      <w:r w:rsidRPr="00E43E0A">
        <w:t>allow</w:t>
      </w:r>
      <w:r w:rsidRPr="00E43E0A" w:rsidR="00E54E1C">
        <w:t xml:space="preserve"> </w:t>
      </w:r>
      <w:r w:rsidRPr="00E43E0A" w:rsidR="00696E51">
        <w:t xml:space="preserve">the most appropriate individual </w:t>
      </w:r>
      <w:r w:rsidRPr="00E43E0A">
        <w:t>to</w:t>
      </w:r>
      <w:r w:rsidRPr="00E43E0A" w:rsidR="00696E51">
        <w:t xml:space="preserve"> </w:t>
      </w:r>
      <w:r w:rsidRPr="00E43E0A" w:rsidR="00E54E1C">
        <w:t xml:space="preserve">easily </w:t>
      </w:r>
      <w:r w:rsidRPr="00E43E0A" w:rsidR="00696E51">
        <w:t>access each section and provide the data in their area of expertise.</w:t>
      </w:r>
      <w:r w:rsidRPr="00E43E0A" w:rsidR="00696E51">
        <w:rPr>
          <w:rFonts w:eastAsia="Calibri"/>
        </w:rPr>
        <w:t xml:space="preserve"> Each </w:t>
      </w:r>
      <w:r w:rsidRPr="00E43E0A" w:rsidR="00E54E1C">
        <w:rPr>
          <w:rFonts w:eastAsia="Calibri"/>
        </w:rPr>
        <w:t xml:space="preserve">state and </w:t>
      </w:r>
      <w:r w:rsidRPr="00E43E0A" w:rsidR="00696E51">
        <w:rPr>
          <w:rFonts w:eastAsia="Calibri"/>
        </w:rPr>
        <w:t xml:space="preserve">district will be assigned a single password for their agency, which can be shared with the most appropriate respondents within the </w:t>
      </w:r>
      <w:r w:rsidRPr="00E43E0A" w:rsidR="00E54E1C">
        <w:rPr>
          <w:rFonts w:eastAsia="Calibri"/>
        </w:rPr>
        <w:t xml:space="preserve">state and </w:t>
      </w:r>
      <w:r w:rsidRPr="00E43E0A" w:rsidR="00696E51">
        <w:rPr>
          <w:rFonts w:eastAsia="Calibri"/>
        </w:rPr>
        <w:t xml:space="preserve">district. More than one respondent can work on different sections of the web-based survey simultaneously. </w:t>
      </w:r>
    </w:p>
    <w:p w:rsidR="00696E51" w:rsidP="004D3F4C" w:rsidRDefault="00696E51" w14:paraId="1AA24497" w14:textId="77777777">
      <w:pPr>
        <w:pStyle w:val="N1-1stBullet"/>
      </w:pPr>
      <w:r w:rsidRPr="00E43E0A">
        <w:t xml:space="preserve">Using a web-based survey for </w:t>
      </w:r>
      <w:r w:rsidRPr="00E43E0A" w:rsidR="00083601">
        <w:t xml:space="preserve">all respondents </w:t>
      </w:r>
      <w:r w:rsidRPr="00E43E0A">
        <w:t>decreases the cost for postage, coding, keying</w:t>
      </w:r>
      <w:r w:rsidRPr="00E43E0A" w:rsidR="00032C94">
        <w:t>,</w:t>
      </w:r>
      <w:r w:rsidRPr="00E43E0A">
        <w:t xml:space="preserve"> and cleaning of the data. This survey</w:t>
      </w:r>
      <w:r>
        <w:t xml:space="preserve"> mode also </w:t>
      </w:r>
      <w:r w:rsidRPr="002376CA">
        <w:t>allow</w:t>
      </w:r>
      <w:r>
        <w:t>s</w:t>
      </w:r>
      <w:r w:rsidRPr="002376CA">
        <w:t xml:space="preserve"> respondents to complete the survey at a location and time of their choice</w:t>
      </w:r>
      <w:r>
        <w:t>.</w:t>
      </w:r>
    </w:p>
    <w:p w:rsidR="007527FF" w:rsidRDefault="007527FF" w14:paraId="077192AB" w14:textId="77777777">
      <w:pPr>
        <w:spacing w:line="240" w:lineRule="auto"/>
        <w:rPr>
          <w:rFonts w:asciiTheme="minorHAnsi" w:hAnsiTheme="minorHAnsi" w:cstheme="minorHAnsi"/>
          <w:b/>
          <w:sz w:val="28"/>
          <w:szCs w:val="28"/>
        </w:rPr>
      </w:pPr>
      <w:r>
        <w:rPr>
          <w:rFonts w:asciiTheme="minorHAnsi" w:hAnsiTheme="minorHAnsi" w:cstheme="minorHAnsi"/>
          <w:szCs w:val="28"/>
        </w:rPr>
        <w:br w:type="page"/>
      </w:r>
    </w:p>
    <w:p w:rsidRPr="00FB4655" w:rsidR="00672853" w:rsidP="00E43E0A" w:rsidRDefault="004A5734" w14:paraId="264D5EB3" w14:textId="5D1B9D62">
      <w:pPr>
        <w:pStyle w:val="Heading2"/>
      </w:pPr>
      <w:bookmarkStart w:name="_Toc90275976" w:id="8"/>
      <w:r w:rsidRPr="00FB4655">
        <w:lastRenderedPageBreak/>
        <w:t>A.4.</w:t>
      </w:r>
      <w:r w:rsidRPr="00FB4655">
        <w:tab/>
        <w:t>Efforts to Identify and Avoid Duplication</w:t>
      </w:r>
      <w:bookmarkEnd w:id="8"/>
    </w:p>
    <w:p w:rsidR="00806F0F" w:rsidP="00730CBE" w:rsidRDefault="00CE1322" w14:paraId="2DDD107D" w14:textId="7D01AACB">
      <w:pPr>
        <w:pStyle w:val="L1-FlLSp12"/>
      </w:pPr>
      <w:r w:rsidRPr="00FB4655">
        <w:t xml:space="preserve">The study will use extant documents </w:t>
      </w:r>
      <w:r w:rsidR="00806F0F">
        <w:t xml:space="preserve">for state information </w:t>
      </w:r>
      <w:r w:rsidRPr="00FB4655">
        <w:t>where possible</w:t>
      </w:r>
      <w:r>
        <w:t xml:space="preserve"> to reduce burden</w:t>
      </w:r>
      <w:r w:rsidRPr="00FB4655">
        <w:t>.</w:t>
      </w:r>
      <w:r w:rsidR="00806F0F">
        <w:t xml:space="preserve"> For example, the state survey section on accountability and support for low-performing schools includes several questions on state accountability systems (making up approximately one-third of the survey) that the study team will try to complete using information publicly available on state education agency websites and in approved ESSA state plans. If the study team can complete these questions using current and clear information, the online state survey will skip the state respondent over those questions. </w:t>
      </w:r>
      <w:r w:rsidR="00AF6CBA">
        <w:t>However, i</w:t>
      </w:r>
      <w:r w:rsidR="00806F0F">
        <w:t>f the study team is unsure about the clarity or timeliness of the information, the respondent will be asked the question.</w:t>
      </w:r>
    </w:p>
    <w:p w:rsidRPr="00FB4655" w:rsidR="00672853" w:rsidP="00E43E0A" w:rsidRDefault="004A5734" w14:paraId="49B3AC17" w14:textId="77777777">
      <w:pPr>
        <w:pStyle w:val="Heading2"/>
      </w:pPr>
      <w:bookmarkStart w:name="_Toc90275977" w:id="9"/>
      <w:r w:rsidRPr="00FB4655">
        <w:t>A.5.</w:t>
      </w:r>
      <w:r w:rsidRPr="00FB4655">
        <w:tab/>
        <w:t>Efforts to Minimize Burden on Small Business or Other Entities</w:t>
      </w:r>
      <w:bookmarkEnd w:id="9"/>
    </w:p>
    <w:p w:rsidRPr="00C62498" w:rsidR="00DD6A28" w:rsidP="00730CBE" w:rsidRDefault="004A5734" w14:paraId="36260767" w14:textId="77777777">
      <w:pPr>
        <w:pStyle w:val="L1-FlLSp12"/>
      </w:pPr>
      <w:r w:rsidRPr="00C62498">
        <w:t>No small businesses will be involved as respondents. Every effort will be made to minimize the burden on all respondents</w:t>
      </w:r>
      <w:r w:rsidR="002251D2">
        <w:t>, whether they are from larger or smaller districts and schools</w:t>
      </w:r>
      <w:r w:rsidRPr="00196884" w:rsidR="002251D2">
        <w:t>.</w:t>
      </w:r>
      <w:r w:rsidRPr="00C62498">
        <w:t xml:space="preserve"> </w:t>
      </w:r>
      <w:r w:rsidRPr="00C62498" w:rsidR="00DD6A28">
        <w:t xml:space="preserve">We will assist respondents by telephone and email. </w:t>
      </w:r>
    </w:p>
    <w:p w:rsidRPr="00681648" w:rsidR="006F443A" w:rsidP="00E43E0A" w:rsidRDefault="00AE7117" w14:paraId="77287A6C" w14:textId="50B02A18">
      <w:pPr>
        <w:pStyle w:val="L1-FlLSp12"/>
      </w:pPr>
      <w:r w:rsidRPr="00681648">
        <w:t xml:space="preserve">IES has </w:t>
      </w:r>
      <w:proofErr w:type="gramStart"/>
      <w:r w:rsidRPr="00681648">
        <w:t>a number of</w:t>
      </w:r>
      <w:proofErr w:type="gramEnd"/>
      <w:r w:rsidRPr="00681648">
        <w:t xml:space="preserve"> </w:t>
      </w:r>
      <w:r w:rsidRPr="00681648" w:rsidR="000F1089">
        <w:t>related studies underway</w:t>
      </w:r>
      <w:r w:rsidRPr="00681648">
        <w:t xml:space="preserve"> looking at other aspects of ESSA</w:t>
      </w:r>
      <w:r w:rsidRPr="00681648" w:rsidR="000F1089">
        <w:t xml:space="preserve"> and is taking steps to </w:t>
      </w:r>
      <w:r w:rsidR="00EE764F">
        <w:t xml:space="preserve">maximize learning about the implementation of ESSA while </w:t>
      </w:r>
      <w:r w:rsidRPr="00681648" w:rsidR="000F1089">
        <w:t>minimiz</w:t>
      </w:r>
      <w:r w:rsidR="00EE764F">
        <w:t>ing</w:t>
      </w:r>
      <w:r w:rsidRPr="00681648" w:rsidR="000F1089">
        <w:t xml:space="preserve"> the </w:t>
      </w:r>
      <w:r w:rsidR="00F4432D">
        <w:t>burden on individual districts and schools</w:t>
      </w:r>
      <w:r w:rsidRPr="00681648" w:rsidR="000F1089">
        <w:t xml:space="preserve">. </w:t>
      </w:r>
      <w:r w:rsidRPr="00681648">
        <w:t xml:space="preserve">In </w:t>
      </w:r>
      <w:r w:rsidR="00EE764F">
        <w:t>particular</w:t>
      </w:r>
      <w:r w:rsidRPr="00681648">
        <w:t xml:space="preserve">, </w:t>
      </w:r>
      <w:r w:rsidR="00EE764F">
        <w:t>the district sampling strategy</w:t>
      </w:r>
      <w:r w:rsidR="000B02F6">
        <w:t xml:space="preserve"> for the Implementation of Title I/II-A Program Initiatives’ 2022 data collection</w:t>
      </w:r>
      <w:r w:rsidR="00EE764F">
        <w:t xml:space="preserve"> minimizes overlap with the district samples for </w:t>
      </w:r>
      <w:r w:rsidR="00261268">
        <w:t>two other</w:t>
      </w:r>
      <w:r w:rsidR="00EE764F">
        <w:t xml:space="preserve"> IES studies: </w:t>
      </w:r>
      <w:r w:rsidRPr="00681648">
        <w:rPr>
          <w:kern w:val="36"/>
        </w:rPr>
        <w:t>the National Implementation Study of Student Support and Academic Enrichment Grants (Title IV, Part A)</w:t>
      </w:r>
      <w:r w:rsidR="00261268">
        <w:rPr>
          <w:kern w:val="36"/>
        </w:rPr>
        <w:t xml:space="preserve"> and</w:t>
      </w:r>
      <w:r w:rsidRPr="00681648">
        <w:rPr>
          <w:kern w:val="36"/>
        </w:rPr>
        <w:t xml:space="preserve"> the Study of Educational Policies, Supports and Practices for English Learners: Implementation of Title III and Social and Emotional Learning</w:t>
      </w:r>
      <w:r w:rsidR="00681648">
        <w:rPr>
          <w:kern w:val="36"/>
        </w:rPr>
        <w:t xml:space="preserve"> (the Title III study)</w:t>
      </w:r>
      <w:r w:rsidR="00D81DF5">
        <w:rPr>
          <w:kern w:val="36"/>
        </w:rPr>
        <w:t xml:space="preserve">. </w:t>
      </w:r>
      <w:r w:rsidRPr="00681648" w:rsidR="000F1089">
        <w:t xml:space="preserve">IES also is coordinating the </w:t>
      </w:r>
      <w:r w:rsidR="00AE6210">
        <w:t xml:space="preserve">Title I/II-A </w:t>
      </w:r>
      <w:r w:rsidRPr="00681648" w:rsidR="000F1089">
        <w:t xml:space="preserve">school </w:t>
      </w:r>
      <w:r w:rsidR="002E48A3">
        <w:t xml:space="preserve">sampling strategy </w:t>
      </w:r>
      <w:r w:rsidRPr="00681648" w:rsidR="000F1089">
        <w:t xml:space="preserve">with the Title III study </w:t>
      </w:r>
      <w:r w:rsidR="00AE6210">
        <w:t>(</w:t>
      </w:r>
      <w:r w:rsidR="00261268">
        <w:t>the Title IV, Part A study does not have a school sample</w:t>
      </w:r>
      <w:r w:rsidR="00AE6210">
        <w:t xml:space="preserve">) </w:t>
      </w:r>
      <w:r w:rsidRPr="00681648" w:rsidR="000F1089">
        <w:t xml:space="preserve">and </w:t>
      </w:r>
      <w:r w:rsidR="00681648">
        <w:t>the</w:t>
      </w:r>
      <w:r w:rsidRPr="00681648" w:rsidR="000F1089">
        <w:t xml:space="preserve"> 2022 National Assessment of Educational Progress (NAEP)</w:t>
      </w:r>
      <w:r w:rsidR="00AE6210">
        <w:t xml:space="preserve"> </w:t>
      </w:r>
      <w:r w:rsidRPr="00681648" w:rsidR="000F1089">
        <w:t xml:space="preserve">to minimize burden on </w:t>
      </w:r>
      <w:r w:rsidR="006E3E02">
        <w:t>individual</w:t>
      </w:r>
      <w:r w:rsidRPr="00681648" w:rsidR="000F1089">
        <w:t xml:space="preserve"> schools as much as possible. </w:t>
      </w:r>
      <w:r w:rsidRPr="00681648">
        <w:t xml:space="preserve">See Part B </w:t>
      </w:r>
      <w:proofErr w:type="gramStart"/>
      <w:r w:rsidRPr="00681648">
        <w:t>sections</w:t>
      </w:r>
      <w:proofErr w:type="gramEnd"/>
      <w:r w:rsidRPr="00681648">
        <w:t xml:space="preserve"> </w:t>
      </w:r>
      <w:r w:rsidRPr="00681648" w:rsidR="000F1089">
        <w:t xml:space="preserve">B.2.2.2 </w:t>
      </w:r>
      <w:r w:rsidRPr="00681648">
        <w:t xml:space="preserve">and </w:t>
      </w:r>
      <w:r w:rsidRPr="00681648" w:rsidR="000F1089">
        <w:t xml:space="preserve">B.2.2.3 </w:t>
      </w:r>
      <w:r w:rsidRPr="00681648">
        <w:t>for a brief overview of the other IES studies and more information on the coordinated sampling approach.</w:t>
      </w:r>
    </w:p>
    <w:p w:rsidRPr="00FB4655" w:rsidR="00672853" w:rsidP="004D3F4C" w:rsidRDefault="004A5734" w14:paraId="3E6F0FBF" w14:textId="77777777">
      <w:pPr>
        <w:pStyle w:val="Heading2"/>
      </w:pPr>
      <w:bookmarkStart w:name="_Toc90275978" w:id="10"/>
      <w:r w:rsidRPr="00FB4655">
        <w:t>A.6.</w:t>
      </w:r>
      <w:r w:rsidRPr="00FB4655">
        <w:tab/>
        <w:t>Consequences of Not Collecting Data</w:t>
      </w:r>
      <w:bookmarkEnd w:id="10"/>
    </w:p>
    <w:p w:rsidRPr="00FB4655" w:rsidR="0023353E" w:rsidP="00730CBE" w:rsidRDefault="009C2442" w14:paraId="577BC68F" w14:textId="5C540878">
      <w:pPr>
        <w:pStyle w:val="L1-FlLSp12"/>
      </w:pPr>
      <w:r w:rsidRPr="00EF3470">
        <w:t xml:space="preserve">Not collecting the data would leave policy makers and the public poorly informed about </w:t>
      </w:r>
      <w:r w:rsidR="00EF3470">
        <w:t xml:space="preserve">the implementation of </w:t>
      </w:r>
      <w:r w:rsidRPr="00EF3470" w:rsidR="00D811BA">
        <w:t>the core programs for federal education policy</w:t>
      </w:r>
      <w:r w:rsidR="00D21E96">
        <w:t xml:space="preserve"> during the critical pandemic recovery period</w:t>
      </w:r>
      <w:r w:rsidRPr="00EF3470" w:rsidR="00F050EE">
        <w:t>.</w:t>
      </w:r>
      <w:r w:rsidRPr="00EF3470" w:rsidR="00D811BA">
        <w:t xml:space="preserve"> How these </w:t>
      </w:r>
      <w:r w:rsidRPr="00EF3470" w:rsidR="004E30AA">
        <w:t xml:space="preserve">states, districts, </w:t>
      </w:r>
      <w:r w:rsidR="000A42DD">
        <w:t xml:space="preserve">and </w:t>
      </w:r>
      <w:r w:rsidRPr="00EF3470" w:rsidR="004E30AA">
        <w:t xml:space="preserve">schools </w:t>
      </w:r>
      <w:r w:rsidRPr="00EF3470" w:rsidR="00D811BA">
        <w:t xml:space="preserve">implement ESSA in four areas—state content standards, assessments, accountability and turning around low-performing schools, and improving educator effectiveness—is key to understanding whether the Title I and Title II-A programs will succeed in improving educational outcomes and increasing educational equity. </w:t>
      </w:r>
      <w:r w:rsidRPr="00EF3470" w:rsidR="0023353E">
        <w:t xml:space="preserve">This information is critical to the Department’s ability to improve federal programs and support states, districts, and schools. </w:t>
      </w:r>
      <w:r w:rsidR="00EF3470">
        <w:t xml:space="preserve">In addition, </w:t>
      </w:r>
      <w:r w:rsidR="001401B5">
        <w:t xml:space="preserve">principal </w:t>
      </w:r>
      <w:r w:rsidRPr="00EF3470">
        <w:t>perspectives are particularly important for the 2021–22 school year given that the pandemic has interrupted</w:t>
      </w:r>
      <w:r w:rsidRPr="00FB4655">
        <w:t xml:space="preserve"> the usual functioning of districts and schools and heightened the need to address educational equity.</w:t>
      </w:r>
    </w:p>
    <w:p w:rsidR="00672853" w:rsidP="00E43E0A" w:rsidRDefault="004A5734" w14:paraId="57F2BEA6" w14:textId="77777777">
      <w:pPr>
        <w:pStyle w:val="Heading2"/>
      </w:pPr>
      <w:bookmarkStart w:name="_Toc90275979" w:id="11"/>
      <w:r>
        <w:t>A.7.</w:t>
      </w:r>
      <w:r>
        <w:tab/>
        <w:t>Special Circumstances</w:t>
      </w:r>
      <w:bookmarkEnd w:id="11"/>
      <w:r>
        <w:t xml:space="preserve"> </w:t>
      </w:r>
    </w:p>
    <w:p w:rsidR="00672853" w:rsidP="00730CBE" w:rsidRDefault="004A5734" w14:paraId="19EF1E35" w14:textId="77777777">
      <w:pPr>
        <w:pStyle w:val="L1-FlLSp12"/>
      </w:pPr>
      <w:r>
        <w:t>There are no special circumstances involved with this data collection. The data collection will be conducted in a manner consistent with the guidelines in 5 CFR 1320.5.</w:t>
      </w:r>
    </w:p>
    <w:p w:rsidR="00672853" w:rsidP="004D3F4C" w:rsidRDefault="004A5734" w14:paraId="4BB3C4C9" w14:textId="77777777">
      <w:pPr>
        <w:pStyle w:val="Heading2"/>
      </w:pPr>
      <w:bookmarkStart w:name="_Toc90275980" w:id="12"/>
      <w:r>
        <w:lastRenderedPageBreak/>
        <w:t>A.8.</w:t>
      </w:r>
      <w:r>
        <w:tab/>
        <w:t>Federal Register Announcement and Consultation</w:t>
      </w:r>
      <w:bookmarkEnd w:id="12"/>
      <w:r>
        <w:t xml:space="preserve"> </w:t>
      </w:r>
    </w:p>
    <w:p w:rsidR="00672853" w:rsidP="00E43E0A" w:rsidRDefault="004A5734" w14:paraId="3CAF79E6" w14:textId="1ED5DA96">
      <w:pPr>
        <w:pStyle w:val="L1-FlLSp12"/>
      </w:pPr>
      <w:r>
        <w:t xml:space="preserve">The 60-day </w:t>
      </w:r>
      <w:r>
        <w:rPr>
          <w:i/>
        </w:rPr>
        <w:t>Federal Register</w:t>
      </w:r>
      <w:r>
        <w:t xml:space="preserve"> notice </w:t>
      </w:r>
      <w:r w:rsidRPr="00CE5C37" w:rsidR="00CE5C37">
        <w:t>(</w:t>
      </w:r>
      <w:hyperlink w:history="1" r:id="rId16">
        <w:r w:rsidRPr="00CE5C37" w:rsidR="00CE5C37">
          <w:rPr>
            <w:rStyle w:val="Hyperlink"/>
            <w:shd w:val="clear" w:color="auto" w:fill="D8D8D8"/>
          </w:rPr>
          <w:t>ED-2021-SCC-0129</w:t>
        </w:r>
      </w:hyperlink>
      <w:r w:rsidRPr="00CE5C37" w:rsidR="00CE5C37">
        <w:rPr>
          <w:rStyle w:val="Hyperlink"/>
          <w:shd w:val="clear" w:color="auto" w:fill="D8D8D8"/>
        </w:rPr>
        <w:t>)</w:t>
      </w:r>
      <w:r w:rsidR="00CE5C37">
        <w:rPr>
          <w:rStyle w:val="Hyperlink"/>
          <w:shd w:val="clear" w:color="auto" w:fill="D8D8D8"/>
        </w:rPr>
        <w:t xml:space="preserve"> </w:t>
      </w:r>
      <w:r>
        <w:t>was published on</w:t>
      </w:r>
      <w:r>
        <w:rPr>
          <w:rFonts w:eastAsiaTheme="minorHAnsi" w:cstheme="minorBidi"/>
        </w:rPr>
        <w:t xml:space="preserve"> </w:t>
      </w:r>
      <w:r w:rsidR="001401B5">
        <w:rPr>
          <w:rFonts w:eastAsiaTheme="minorHAnsi" w:cstheme="minorBidi"/>
        </w:rPr>
        <w:t>September 3, 2021</w:t>
      </w:r>
      <w:r>
        <w:rPr>
          <w:rFonts w:cs="Melior-Bold"/>
          <w:bCs/>
        </w:rPr>
        <w:t xml:space="preserve">, and the 30-day </w:t>
      </w:r>
      <w:r>
        <w:rPr>
          <w:rFonts w:cs="Melior-Bold"/>
          <w:bCs/>
          <w:i/>
        </w:rPr>
        <w:t xml:space="preserve">Federal Register </w:t>
      </w:r>
      <w:r>
        <w:rPr>
          <w:rFonts w:cs="Melior-Bold"/>
          <w:bCs/>
        </w:rPr>
        <w:t xml:space="preserve">notice was published on </w:t>
      </w:r>
      <w:r>
        <w:rPr>
          <w:rFonts w:cs="Melior-Bold"/>
          <w:bCs/>
          <w:highlight w:val="yellow"/>
        </w:rPr>
        <w:t>TBD</w:t>
      </w:r>
      <w:r>
        <w:t xml:space="preserve">. </w:t>
      </w:r>
    </w:p>
    <w:p w:rsidR="00672853" w:rsidP="00E43E0A" w:rsidRDefault="004A5734" w14:paraId="7995CC0F" w14:textId="77777777">
      <w:pPr>
        <w:pStyle w:val="L1-FlLSp12"/>
      </w:pPr>
      <w:r>
        <w:t>The study engages technical working groups to advise on the study and its findings. The most recent meeting of the technical working group was on May 3, 2019</w:t>
      </w:r>
      <w:r w:rsidR="00F479AC">
        <w:t>.</w:t>
      </w:r>
      <w:r>
        <w:t xml:space="preserve"> </w:t>
      </w:r>
      <w:r w:rsidR="00F479AC">
        <w:t>The meeting</w:t>
      </w:r>
      <w:r>
        <w:t xml:space="preserve"> focused on findings from the 2018 data collection and included a discussion of implications for the </w:t>
      </w:r>
      <w:r w:rsidR="00AB6CDB">
        <w:t xml:space="preserve">next round of </w:t>
      </w:r>
      <w:r>
        <w:t>data collection</w:t>
      </w:r>
      <w:r w:rsidR="00AB6CDB">
        <w:t>, currently planned for spring 2022</w:t>
      </w:r>
      <w:r>
        <w:t xml:space="preserve">. Members of the technical working group included: </w:t>
      </w:r>
    </w:p>
    <w:p w:rsidRPr="00C100A1" w:rsidR="00672853" w:rsidP="004D3F4C" w:rsidRDefault="004A5734" w14:paraId="75850483" w14:textId="77777777">
      <w:pPr>
        <w:pStyle w:val="N1-1stBullet"/>
      </w:pPr>
      <w:r w:rsidRPr="00C100A1">
        <w:t xml:space="preserve">Jessica </w:t>
      </w:r>
      <w:proofErr w:type="spellStart"/>
      <w:r w:rsidRPr="00C100A1">
        <w:t>Baghian</w:t>
      </w:r>
      <w:proofErr w:type="spellEnd"/>
      <w:r w:rsidRPr="00C100A1">
        <w:t>, Assistant State Superintendent for Assessment, Accountability, Early Childhood, Analytics, and Data Systems, Louisiana Department of Education</w:t>
      </w:r>
    </w:p>
    <w:p w:rsidRPr="00C100A1" w:rsidR="00672853" w:rsidP="004D3F4C" w:rsidRDefault="004A5734" w14:paraId="0B0B113A" w14:textId="77777777">
      <w:pPr>
        <w:pStyle w:val="N1-1stBullet"/>
      </w:pPr>
      <w:r w:rsidRPr="00C100A1">
        <w:t>Raymond Hart, Director of Research, Council of the Great City Schools</w:t>
      </w:r>
    </w:p>
    <w:p w:rsidRPr="00C100A1" w:rsidR="00672853" w:rsidP="004D3F4C" w:rsidRDefault="004A5734" w14:paraId="42A09D63" w14:textId="77777777">
      <w:pPr>
        <w:pStyle w:val="N1-1stBullet"/>
      </w:pPr>
      <w:r w:rsidRPr="00C100A1">
        <w:t xml:space="preserve">Frederick Hess, Resident Scholar and Director of Education Policy Studies, American Enterprise Institute </w:t>
      </w:r>
    </w:p>
    <w:p w:rsidRPr="00C100A1" w:rsidR="00672853" w:rsidP="004D3F4C" w:rsidRDefault="004A5734" w14:paraId="26C2A519" w14:textId="77777777">
      <w:pPr>
        <w:pStyle w:val="N1-1stBullet"/>
      </w:pPr>
      <w:r w:rsidRPr="00C100A1">
        <w:t>Sara Heyburn Morrison, Executive Director, Tennessee Board of Education</w:t>
      </w:r>
    </w:p>
    <w:p w:rsidRPr="00C100A1" w:rsidR="00672853" w:rsidP="004D3F4C" w:rsidRDefault="004A5734" w14:paraId="14448A86" w14:textId="77777777">
      <w:pPr>
        <w:pStyle w:val="N1-1stBullet"/>
      </w:pPr>
      <w:r w:rsidRPr="00C100A1">
        <w:t>Scott Norton, Deputy Executive Director for Programs, Council of Chief State School Officers</w:t>
      </w:r>
    </w:p>
    <w:p w:rsidRPr="00C100A1" w:rsidR="00672853" w:rsidP="004D3F4C" w:rsidRDefault="004A5734" w14:paraId="2482F360" w14:textId="77777777">
      <w:pPr>
        <w:pStyle w:val="N1-1stBullet"/>
      </w:pPr>
      <w:r w:rsidRPr="00C100A1">
        <w:t xml:space="preserve">Morgan </w:t>
      </w:r>
      <w:proofErr w:type="spellStart"/>
      <w:r w:rsidRPr="00C100A1">
        <w:t>Polikoff</w:t>
      </w:r>
      <w:proofErr w:type="spellEnd"/>
      <w:r w:rsidRPr="00C100A1">
        <w:t>, Associate Professor of Education, University of Southern California</w:t>
      </w:r>
    </w:p>
    <w:p w:rsidRPr="00C100A1" w:rsidR="00672853" w:rsidP="004D3F4C" w:rsidRDefault="004A5734" w14:paraId="4EBF624C" w14:textId="77777777">
      <w:pPr>
        <w:pStyle w:val="N1-1stBullet"/>
      </w:pPr>
      <w:r w:rsidRPr="00C100A1">
        <w:t>Martin West, Professor of Education, Harvard University</w:t>
      </w:r>
    </w:p>
    <w:p w:rsidR="00672853" w:rsidP="004D3F4C" w:rsidRDefault="004A5734" w14:paraId="1F2ACED5" w14:textId="77777777">
      <w:pPr>
        <w:pStyle w:val="N1-1stBullet"/>
      </w:pPr>
      <w:r w:rsidRPr="00C100A1">
        <w:t>Tonya Wolford, Chief of District Evaluation, Research, and Accountability, School District of Philadelphia</w:t>
      </w:r>
    </w:p>
    <w:p w:rsidR="00672853" w:rsidP="00E43E0A" w:rsidRDefault="004A5734" w14:paraId="63B30BBD" w14:textId="457C3479">
      <w:pPr>
        <w:pStyle w:val="Heading2"/>
      </w:pPr>
      <w:bookmarkStart w:name="_Toc90275981" w:id="13"/>
      <w:r>
        <w:t>A.9.</w:t>
      </w:r>
      <w:r>
        <w:tab/>
        <w:t>Payments to Respondents</w:t>
      </w:r>
      <w:bookmarkEnd w:id="13"/>
    </w:p>
    <w:p w:rsidR="003C1C8F" w:rsidP="00730CBE" w:rsidRDefault="003C1C8F" w14:paraId="449CB926" w14:textId="3C9D44EE">
      <w:pPr>
        <w:pStyle w:val="L1-FlLSp12"/>
      </w:pPr>
      <w:r>
        <w:t xml:space="preserve">Payments are proposed for principals since their participation is voluntary and </w:t>
      </w:r>
      <w:r>
        <w:rPr>
          <w:rFonts w:eastAsiaTheme="minorHAnsi"/>
        </w:rPr>
        <w:t>compensating study participants for their time and effort to complete the surveys will help the study achieve high response rates</w:t>
      </w:r>
      <w:r>
        <w:t xml:space="preserve">. </w:t>
      </w:r>
      <w:r>
        <w:rPr>
          <w:rFonts w:eastAsiaTheme="minorHAnsi"/>
        </w:rPr>
        <w:t xml:space="preserve">High response rates will, in turn, allow the study team to </w:t>
      </w:r>
      <w:proofErr w:type="gramStart"/>
      <w:r>
        <w:rPr>
          <w:rFonts w:eastAsiaTheme="minorHAnsi"/>
        </w:rPr>
        <w:t>more accurately address the study’s research questions</w:t>
      </w:r>
      <w:proofErr w:type="gramEnd"/>
      <w:r>
        <w:t xml:space="preserve">. </w:t>
      </w:r>
    </w:p>
    <w:p w:rsidR="003C1C8F" w:rsidP="00730CBE" w:rsidRDefault="0011316C" w14:paraId="4E7C30B7" w14:textId="786A4376">
      <w:pPr>
        <w:pStyle w:val="L1-FlLSp12"/>
      </w:pPr>
      <w:r w:rsidRPr="006F68A4">
        <w:t>If allowed by district policy, principals who complete a survey will receive a $20 thank you check. Where applicable, respondents will be informed of this incentive payment with their invitation to complete the survey.</w:t>
      </w:r>
      <w:r w:rsidR="003C1C8F">
        <w:t xml:space="preserve"> </w:t>
      </w:r>
      <w:r w:rsidRPr="002B0B95" w:rsidR="003C1C8F">
        <w:t xml:space="preserve">The proposed amounts </w:t>
      </w:r>
      <w:r w:rsidR="003C1C8F">
        <w:t xml:space="preserve">for these payments </w:t>
      </w:r>
      <w:r w:rsidRPr="002B0B95" w:rsidR="003C1C8F">
        <w:t xml:space="preserve">are </w:t>
      </w:r>
      <w:r w:rsidR="003C1C8F">
        <w:t>within</w:t>
      </w:r>
      <w:r w:rsidRPr="002B0B95" w:rsidR="003C1C8F">
        <w:t xml:space="preserve"> the incentive guidelines outlined in the March 22, </w:t>
      </w:r>
      <w:proofErr w:type="gramStart"/>
      <w:r w:rsidRPr="002B0B95" w:rsidR="003C1C8F">
        <w:t>2005</w:t>
      </w:r>
      <w:proofErr w:type="gramEnd"/>
      <w:r w:rsidRPr="002B0B95" w:rsidR="003C1C8F">
        <w:t xml:space="preserve"> memo, “Guidelines for Incentives for NCEE Evaluation Studies,” prepared for OMB</w:t>
      </w:r>
      <w:r w:rsidR="003C1C8F">
        <w:t>.</w:t>
      </w:r>
    </w:p>
    <w:p w:rsidR="00672853" w:rsidP="00E43E0A" w:rsidRDefault="004A5734" w14:paraId="10051100" w14:textId="77777777">
      <w:pPr>
        <w:pStyle w:val="Heading2"/>
      </w:pPr>
      <w:bookmarkStart w:name="_Toc90275982" w:id="14"/>
      <w:r>
        <w:t>A.10.</w:t>
      </w:r>
      <w:r>
        <w:tab/>
        <w:t>Assurance of Confidentiality</w:t>
      </w:r>
      <w:bookmarkEnd w:id="14"/>
    </w:p>
    <w:p w:rsidR="00672853" w:rsidP="00730CBE" w:rsidRDefault="004A5734" w14:paraId="54EED64C" w14:textId="77777777">
      <w:pPr>
        <w:pStyle w:val="L1-FlLSp12"/>
      </w:pPr>
      <w:r>
        <w:t xml:space="preserve">The Education Sciences Reform Act of 2002, Title I, Part E, Section 183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w:t>
      </w:r>
    </w:p>
    <w:p w:rsidR="00672853" w:rsidP="00730CBE" w:rsidRDefault="004A5734" w14:paraId="3B7265F2" w14:textId="77777777">
      <w:pPr>
        <w:pStyle w:val="L1-FlLSp12"/>
      </w:pPr>
      <w:r>
        <w:t xml:space="preserve">The names and email addresses of potential survey respondents will be collected for the limited purpose of drawing a sample, contacting those selected to complete the survey, and following up with </w:t>
      </w:r>
      <w:r>
        <w:lastRenderedPageBreak/>
        <w:t xml:space="preserve">nonrespondents. This information is typically already available in the public domain as directory information (i.e., state, district, and school websites). </w:t>
      </w:r>
    </w:p>
    <w:p w:rsidR="00672853" w:rsidP="00730CBE" w:rsidRDefault="004A5734" w14:paraId="44668021" w14:textId="77777777">
      <w:pPr>
        <w:pStyle w:val="L1-FlLSp12"/>
      </w:pPr>
      <w:r>
        <w:t xml:space="preserve">The following language will be included on the </w:t>
      </w:r>
      <w:r w:rsidR="00DE004E">
        <w:t>survey</w:t>
      </w:r>
      <w:r w:rsidR="0037716B">
        <w:t>s</w:t>
      </w:r>
      <w:r w:rsidR="00DE004E">
        <w:t xml:space="preserve"> </w:t>
      </w:r>
      <w:r>
        <w:t xml:space="preserve">under the Notice of Confidentiality: </w:t>
      </w:r>
    </w:p>
    <w:p w:rsidR="00672853" w:rsidP="00E43E0A" w:rsidRDefault="004A5734" w14:paraId="73CBAC30" w14:textId="6C07CE0F">
      <w:pPr>
        <w:pStyle w:val="N7-3Block"/>
        <w:spacing w:after="240"/>
        <w:rPr>
          <w:rFonts w:asciiTheme="minorHAnsi" w:hAnsiTheme="minorHAnsi" w:cstheme="minorHAnsi"/>
          <w:sz w:val="22"/>
          <w:szCs w:val="22"/>
        </w:rPr>
      </w:pPr>
      <w:r w:rsidRPr="00C100A1">
        <w:rPr>
          <w:rFonts w:asciiTheme="minorHAnsi" w:hAnsiTheme="minorHAnsi" w:cstheme="minorHAnsi"/>
          <w:sz w:val="22"/>
          <w:szCs w:val="22"/>
        </w:rPr>
        <w:t xml:space="preserve">“Information collected for this study comes under the confidentiality and data protection requirements of the Institute of Education Sciences (The Education Sciences Reform Act of 2002, </w:t>
      </w:r>
      <w:r w:rsidRPr="00C100A1" w:rsidR="00FB4655">
        <w:rPr>
          <w:rFonts w:asciiTheme="minorHAnsi" w:hAnsiTheme="minorHAnsi" w:cstheme="minorHAnsi"/>
          <w:sz w:val="22"/>
          <w:szCs w:val="22"/>
        </w:rPr>
        <w:t>Title I, Part E, Section 183).</w:t>
      </w:r>
      <w:r w:rsidRPr="00C100A1">
        <w:rPr>
          <w:rFonts w:asciiTheme="minorHAnsi" w:hAnsiTheme="minorHAnsi" w:cstheme="minorHAnsi"/>
          <w:sz w:val="22"/>
          <w:szCs w:val="22"/>
        </w:rPr>
        <w:t xml:space="preserve"> </w:t>
      </w:r>
      <w:r w:rsidRPr="008A1DD6" w:rsidR="002A0A5C">
        <w:rPr>
          <w:rFonts w:asciiTheme="minorHAnsi" w:hAnsiTheme="minorHAnsi" w:cstheme="minorHAnsi"/>
          <w:sz w:val="22"/>
          <w:szCs w:val="22"/>
        </w:rPr>
        <w:t xml:space="preserve">Responses to this data collection will be used </w:t>
      </w:r>
      <w:r w:rsidR="00FF6E64">
        <w:rPr>
          <w:rFonts w:asciiTheme="minorHAnsi" w:hAnsiTheme="minorHAnsi" w:cstheme="minorHAnsi"/>
          <w:sz w:val="22"/>
          <w:szCs w:val="22"/>
        </w:rPr>
        <w:t xml:space="preserve">by the U.S. Department of Education, its contractors, and collaborating researchers </w:t>
      </w:r>
      <w:r w:rsidRPr="008A1DD6" w:rsidR="002A0A5C">
        <w:rPr>
          <w:rFonts w:asciiTheme="minorHAnsi" w:hAnsiTheme="minorHAnsi" w:cstheme="minorHAnsi"/>
          <w:sz w:val="22"/>
          <w:szCs w:val="22"/>
        </w:rPr>
        <w:t>only for statistical purposes. The reports prepared for the study will summarize findings across the sample and will not associate responses with a specific district</w:t>
      </w:r>
      <w:r w:rsidR="002A0A5C">
        <w:rPr>
          <w:rFonts w:asciiTheme="minorHAnsi" w:hAnsiTheme="minorHAnsi" w:cstheme="minorHAnsi"/>
          <w:sz w:val="22"/>
          <w:szCs w:val="22"/>
        </w:rPr>
        <w:t>, school,</w:t>
      </w:r>
      <w:r w:rsidRPr="008A1DD6" w:rsidR="002A0A5C">
        <w:rPr>
          <w:rFonts w:asciiTheme="minorHAnsi" w:hAnsiTheme="minorHAnsi" w:cstheme="minorHAnsi"/>
          <w:sz w:val="22"/>
          <w:szCs w:val="22"/>
        </w:rPr>
        <w:t xml:space="preserve"> or individual. </w:t>
      </w:r>
      <w:r w:rsidRPr="00C100A1">
        <w:rPr>
          <w:rFonts w:asciiTheme="minorHAnsi" w:hAnsiTheme="minorHAnsi" w:cstheme="minorHAnsi"/>
          <w:sz w:val="22"/>
          <w:szCs w:val="22"/>
        </w:rPr>
        <w:t>All of the information you provide may be used only for statistical purposes and may not be disclosed, or used, in identifiable form for any other purpose except as required by law (20 U.S.C. §9573 and 6 U.S.C. §151).”</w:t>
      </w:r>
    </w:p>
    <w:p w:rsidRPr="0075707B" w:rsidR="0082012D" w:rsidP="00E43E0A" w:rsidRDefault="001B0994" w14:paraId="0BCFD38A" w14:textId="7CFC9557">
      <w:pPr>
        <w:pStyle w:val="L1-FlLSp12"/>
      </w:pPr>
      <w:r>
        <w:t>For the state and district surveys, the notice will include the following text: “</w:t>
      </w:r>
      <w:r w:rsidRPr="008A1DD6" w:rsidR="008A1DD6">
        <w:t>States</w:t>
      </w:r>
      <w:r>
        <w:t>/</w:t>
      </w:r>
      <w:r w:rsidRPr="008A1DD6" w:rsidR="008A1DD6">
        <w:t xml:space="preserve">districts receiving Title I </w:t>
      </w:r>
      <w:r w:rsidR="00642B55">
        <w:t xml:space="preserve">or </w:t>
      </w:r>
      <w:r w:rsidRPr="008A1DD6" w:rsidR="008A1DD6">
        <w:t xml:space="preserve">Title II-A funds </w:t>
      </w:r>
      <w:r w:rsidR="00642B55">
        <w:t xml:space="preserve">are expected </w:t>
      </w:r>
      <w:r w:rsidRPr="008A1DD6" w:rsidR="008A1DD6">
        <w:t>to</w:t>
      </w:r>
      <w:r>
        <w:t xml:space="preserve"> cooperate </w:t>
      </w:r>
      <w:r w:rsidRPr="008A1DD6" w:rsidR="008A1DD6">
        <w:t xml:space="preserve">in Department evaluations (Education Department General Administrative Regulations (EDGAR) (34 C.F.R. § 76.591)).” </w:t>
      </w:r>
      <w:r>
        <w:t xml:space="preserve">For the state survey, we also will note </w:t>
      </w:r>
      <w:r w:rsidRPr="00642B55" w:rsidR="000E797C">
        <w:t>that</w:t>
      </w:r>
      <w:r w:rsidRPr="00642B55">
        <w:t xml:space="preserve"> </w:t>
      </w:r>
      <w:r w:rsidRPr="00642B55" w:rsidR="0082012D">
        <w:t>while individual s</w:t>
      </w:r>
      <w:r w:rsidRPr="00642B55" w:rsidR="0082012D">
        <w:rPr>
          <w:rFonts w:eastAsia="Cambria"/>
        </w:rPr>
        <w:t xml:space="preserve">tates may be identified in reporting, </w:t>
      </w:r>
      <w:r w:rsidRPr="00642B55" w:rsidR="000E797C">
        <w:rPr>
          <w:rFonts w:eastAsia="Cambria"/>
        </w:rPr>
        <w:t xml:space="preserve">reports will not associate responses with a specific individual and </w:t>
      </w:r>
      <w:r w:rsidRPr="00642B55" w:rsidR="0082012D">
        <w:rPr>
          <w:rFonts w:eastAsia="Cambria"/>
        </w:rPr>
        <w:t>individual respondents will not be identified.</w:t>
      </w:r>
      <w:r w:rsidRPr="000E797C" w:rsidR="000E797C">
        <w:t xml:space="preserve"> </w:t>
      </w:r>
    </w:p>
    <w:p w:rsidR="00672853" w:rsidP="00E43E0A" w:rsidRDefault="004A5734" w14:paraId="0B64C872" w14:textId="77777777">
      <w:pPr>
        <w:pStyle w:val="L1-FlLSp12"/>
      </w:pPr>
      <w:r>
        <w:t>Specific steps to guarantee confidentiality</w:t>
      </w:r>
      <w:r w:rsidR="00CE71AB">
        <w:t xml:space="preserve"> of the information</w:t>
      </w:r>
      <w:r>
        <w:t xml:space="preserve"> </w:t>
      </w:r>
      <w:r w:rsidR="007E4872">
        <w:t xml:space="preserve">collected </w:t>
      </w:r>
      <w:r>
        <w:t>include the following:</w:t>
      </w:r>
    </w:p>
    <w:p w:rsidRPr="00C100A1" w:rsidR="00672853" w:rsidP="004D3F4C" w:rsidRDefault="004A5734" w14:paraId="70BC208B" w14:textId="00FA189B">
      <w:pPr>
        <w:pStyle w:val="N1-1stBullet"/>
      </w:pPr>
      <w:r w:rsidRPr="00DE24FE">
        <w:t xml:space="preserve">Identifying information about respondents (e.g., respondent name, address, and telephone number) </w:t>
      </w:r>
      <w:r w:rsidRPr="00C100A1">
        <w:t xml:space="preserve">will not be entered into the analysis data file but will be kept separate from other data and will be password protected. A unique identification number for each respondent will be used for building raw data and analysis files. </w:t>
      </w:r>
    </w:p>
    <w:p w:rsidRPr="00C100A1" w:rsidR="00672853" w:rsidP="004D3F4C" w:rsidRDefault="004A5734" w14:paraId="7C3966D5" w14:textId="77777777">
      <w:pPr>
        <w:pStyle w:val="N1-1stBullet"/>
      </w:pPr>
      <w:r w:rsidRPr="00C100A1">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r w:rsidR="007F0E90">
        <w:t xml:space="preserve"> </w:t>
      </w:r>
    </w:p>
    <w:p w:rsidRPr="00C100A1" w:rsidR="00672853" w:rsidP="004D3F4C" w:rsidRDefault="004A5734" w14:paraId="412B00C6" w14:textId="77777777">
      <w:pPr>
        <w:pStyle w:val="N1-1stBullet"/>
      </w:pPr>
      <w:r w:rsidRPr="00C100A1">
        <w:t xml:space="preserve">Access to the sample files will be limited to authorized study staff only; no others will be authorized such access. </w:t>
      </w:r>
    </w:p>
    <w:p w:rsidRPr="00C100A1" w:rsidR="00672853" w:rsidP="004D3F4C" w:rsidRDefault="004A5734" w14:paraId="29C98E76" w14:textId="77777777">
      <w:pPr>
        <w:pStyle w:val="N1-1stBullet"/>
      </w:pPr>
      <w:r w:rsidRPr="00C100A1">
        <w:t xml:space="preserve">All members of the study team will be briefed regarding confidentiality of the data. </w:t>
      </w:r>
    </w:p>
    <w:p w:rsidRPr="00C100A1" w:rsidR="00672853" w:rsidP="004D3F4C" w:rsidRDefault="004A5734" w14:paraId="346B193D" w14:textId="77777777">
      <w:pPr>
        <w:pStyle w:val="N1-1stBullet"/>
      </w:pPr>
      <w:r w:rsidRPr="00C100A1">
        <w:t xml:space="preserve">All data will be stored in secure areas accessible only to authorized staff members. Computer-generated output containing identifiable information will be maintained under the same conditions. </w:t>
      </w:r>
    </w:p>
    <w:p w:rsidRPr="00DE24FE" w:rsidR="00672853" w:rsidP="004D3F4C" w:rsidRDefault="004A5734" w14:paraId="0BB400DF" w14:textId="77777777">
      <w:pPr>
        <w:pStyle w:val="N1-1stBullet"/>
      </w:pPr>
      <w:r w:rsidRPr="00C100A1">
        <w:t>Hard copies containing</w:t>
      </w:r>
      <w:r w:rsidRPr="00DE24FE">
        <w:t xml:space="preserve"> confidential information that is no longer needed will be shredded. </w:t>
      </w:r>
    </w:p>
    <w:p w:rsidR="00672853" w:rsidP="00E43E0A" w:rsidRDefault="004A5734" w14:paraId="66AE5E55" w14:textId="77777777">
      <w:pPr>
        <w:pStyle w:val="Heading2"/>
      </w:pPr>
      <w:bookmarkStart w:name="_Toc90275983" w:id="15"/>
      <w:r>
        <w:t>A.11.</w:t>
      </w:r>
      <w:r>
        <w:tab/>
        <w:t>Questions of a Sensitive Nature</w:t>
      </w:r>
      <w:bookmarkEnd w:id="15"/>
    </w:p>
    <w:p w:rsidR="00672853" w:rsidP="00730CBE" w:rsidRDefault="004A5734" w14:paraId="3DF13A67" w14:textId="77777777">
      <w:pPr>
        <w:pStyle w:val="L1-FlLSp12"/>
      </w:pPr>
      <w:r>
        <w:t>There are no questions of a sensitive nature in the</w:t>
      </w:r>
      <w:r w:rsidR="00C34681">
        <w:t xml:space="preserve"> </w:t>
      </w:r>
      <w:r w:rsidR="007E4872">
        <w:t>surveys</w:t>
      </w:r>
      <w:r>
        <w:t>.</w:t>
      </w:r>
    </w:p>
    <w:p w:rsidR="00672853" w:rsidP="00E43E0A" w:rsidRDefault="004A5734" w14:paraId="253B3DDE" w14:textId="77777777">
      <w:pPr>
        <w:pStyle w:val="Heading2"/>
        <w:rPr>
          <w:sz w:val="22"/>
          <w:szCs w:val="22"/>
        </w:rPr>
      </w:pPr>
      <w:bookmarkStart w:name="_Toc90275984" w:id="16"/>
      <w:r>
        <w:lastRenderedPageBreak/>
        <w:t>A.12.</w:t>
      </w:r>
      <w:r>
        <w:tab/>
        <w:t>Estimates of Respondent Burden</w:t>
      </w:r>
      <w:bookmarkEnd w:id="16"/>
    </w:p>
    <w:p w:rsidR="00E6248A" w:rsidP="00730CBE" w:rsidRDefault="00E6248A" w14:paraId="7B8C50B3" w14:textId="7CA51793">
      <w:pPr>
        <w:pStyle w:val="L1-FlLSp12"/>
      </w:pPr>
      <w:r>
        <w:t>T</w:t>
      </w:r>
      <w:r w:rsidR="003A52A7">
        <w:t xml:space="preserve">he principal </w:t>
      </w:r>
      <w:r w:rsidR="00971FEC">
        <w:t>survey will be administered</w:t>
      </w:r>
      <w:r>
        <w:t xml:space="preserve"> beginning in February 2022</w:t>
      </w:r>
      <w:r w:rsidR="003A52A7">
        <w:t xml:space="preserve">, and the state and district surveys will </w:t>
      </w:r>
      <w:r>
        <w:t xml:space="preserve">be administered </w:t>
      </w:r>
      <w:r w:rsidR="003A52A7">
        <w:t>begin</w:t>
      </w:r>
      <w:r>
        <w:t>ning</w:t>
      </w:r>
      <w:r w:rsidR="003A52A7">
        <w:t xml:space="preserve"> in March 2022.</w:t>
      </w:r>
      <w:r w:rsidR="00377CFD">
        <w:t xml:space="preserve"> </w:t>
      </w:r>
      <w:r>
        <w:t>Principal survey administration begins earlier because it can be difficult to engage with those respondents after the school year ends, as principals are often out for up to several weeks</w:t>
      </w:r>
      <w:r w:rsidR="00CF0283">
        <w:t xml:space="preserve"> over the summer</w:t>
      </w:r>
      <w:r>
        <w:t xml:space="preserve">. </w:t>
      </w:r>
    </w:p>
    <w:p w:rsidRPr="006B3338" w:rsidR="006B3338" w:rsidP="00730CBE" w:rsidRDefault="007153D7" w14:paraId="278D9D77" w14:textId="0D8635BF">
      <w:pPr>
        <w:pStyle w:val="L1-FlLSp12"/>
      </w:pPr>
      <w:r>
        <w:t xml:space="preserve">In all, responses will be requested from </w:t>
      </w:r>
      <w:r w:rsidR="00CE5C37">
        <w:t>2,927</w:t>
      </w:r>
      <w:r w:rsidR="0070280C">
        <w:t xml:space="preserve"> </w:t>
      </w:r>
      <w:r>
        <w:t xml:space="preserve">respondents, and expected from </w:t>
      </w:r>
      <w:r w:rsidR="00CE5C37">
        <w:t>2,646</w:t>
      </w:r>
      <w:r w:rsidR="0070280C">
        <w:t xml:space="preserve"> </w:t>
      </w:r>
      <w:r>
        <w:t>respondents. Estimated time to complete the survey is 180 minutes for the state survey, 60 minutes for the district survey, and 30 minutes</w:t>
      </w:r>
      <w:r w:rsidR="009D3A2D">
        <w:t xml:space="preserve"> </w:t>
      </w:r>
      <w:r>
        <w:t>for the principal survey.</w:t>
      </w:r>
      <w:r w:rsidR="00EA6E3B">
        <w:t xml:space="preserve"> </w:t>
      </w:r>
      <w:r w:rsidR="0009268A">
        <w:t xml:space="preserve">Based on </w:t>
      </w:r>
      <w:r w:rsidR="00876EA9">
        <w:t xml:space="preserve">the study team’s </w:t>
      </w:r>
      <w:r w:rsidR="0009268A">
        <w:t>experience</w:t>
      </w:r>
      <w:r w:rsidR="00E6248A">
        <w:t xml:space="preserve"> on other similar studies and on the prior data collections under this study</w:t>
      </w:r>
      <w:r w:rsidR="0009268A">
        <w:t xml:space="preserve">, we estimate a response rate of 100 percent for the state survey, 95 percent for the district survey, </w:t>
      </w:r>
      <w:r w:rsidR="001401B5">
        <w:t xml:space="preserve">and </w:t>
      </w:r>
      <w:r w:rsidR="0009268A">
        <w:t xml:space="preserve">87 percent for the principal survey. </w:t>
      </w:r>
      <w:r w:rsidR="00FB4655">
        <w:t xml:space="preserve">Total burden for the </w:t>
      </w:r>
      <w:r w:rsidR="00DB0E3E">
        <w:t xml:space="preserve">survey </w:t>
      </w:r>
      <w:r w:rsidR="004A5734">
        <w:t>data c</w:t>
      </w:r>
      <w:r w:rsidR="00B549D8">
        <w:t>ollection i</w:t>
      </w:r>
      <w:r w:rsidR="00D4394D">
        <w:t xml:space="preserve">s </w:t>
      </w:r>
      <w:r w:rsidR="001401B5">
        <w:t>119,970</w:t>
      </w:r>
      <w:r w:rsidR="00050A20">
        <w:t xml:space="preserve"> </w:t>
      </w:r>
      <w:r w:rsidR="00B549D8">
        <w:t xml:space="preserve">minutes or </w:t>
      </w:r>
      <w:r w:rsidR="001401B5">
        <w:t>1,999.5</w:t>
      </w:r>
      <w:r w:rsidR="00050A20">
        <w:t xml:space="preserve"> </w:t>
      </w:r>
      <w:r w:rsidR="004A5734">
        <w:t xml:space="preserve">hours (see Table A-1 below). </w:t>
      </w:r>
      <w:r w:rsidR="006B3338">
        <w:t xml:space="preserve">The annualized burden over </w:t>
      </w:r>
      <w:r w:rsidR="00FB4655">
        <w:t>3</w:t>
      </w:r>
      <w:r w:rsidR="006B3338">
        <w:t xml:space="preserve"> years is presented in Table A-2.</w:t>
      </w:r>
    </w:p>
    <w:p w:rsidRPr="007F0E90" w:rsidR="00672853" w:rsidP="007F0E90" w:rsidRDefault="004A5734" w14:paraId="49BB962E" w14:textId="6F9CEA57">
      <w:pPr>
        <w:keepNext/>
        <w:keepLines/>
        <w:widowControl w:val="0"/>
        <w:tabs>
          <w:tab w:val="left" w:pos="1440"/>
        </w:tabs>
        <w:spacing w:after="120" w:line="264" w:lineRule="auto"/>
        <w:ind w:left="1440" w:hanging="1440"/>
        <w:rPr>
          <w:rFonts w:asciiTheme="minorHAnsi" w:hAnsiTheme="minorHAnsi" w:cstheme="minorHAnsi"/>
          <w:b/>
          <w:bCs/>
        </w:rPr>
      </w:pPr>
      <w:r w:rsidRPr="007F0E90">
        <w:rPr>
          <w:rFonts w:asciiTheme="minorHAnsi" w:hAnsiTheme="minorHAnsi" w:cstheme="minorHAnsi"/>
          <w:b/>
          <w:bCs/>
        </w:rPr>
        <w:t xml:space="preserve">Table A-1. </w:t>
      </w:r>
      <w:r w:rsidRPr="00F45529">
        <w:rPr>
          <w:rFonts w:asciiTheme="minorHAnsi" w:hAnsiTheme="minorHAnsi" w:cstheme="minorHAnsi"/>
          <w:b/>
          <w:bCs/>
        </w:rPr>
        <w:t>Estimates</w:t>
      </w:r>
      <w:r w:rsidRPr="007F0E90">
        <w:rPr>
          <w:rFonts w:asciiTheme="minorHAnsi" w:hAnsiTheme="minorHAnsi" w:cstheme="minorHAnsi"/>
          <w:b/>
          <w:bCs/>
        </w:rPr>
        <w:t xml:space="preserve"> of respondent burden</w:t>
      </w:r>
    </w:p>
    <w:tbl>
      <w:tblPr>
        <w:tblW w:w="94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10"/>
        <w:gridCol w:w="847"/>
        <w:gridCol w:w="810"/>
        <w:gridCol w:w="990"/>
        <w:gridCol w:w="900"/>
        <w:gridCol w:w="630"/>
        <w:gridCol w:w="990"/>
        <w:gridCol w:w="900"/>
        <w:gridCol w:w="1350"/>
      </w:tblGrid>
      <w:tr w:rsidR="00672853" w:rsidTr="00E43E0A" w14:paraId="228DFB3F" w14:textId="77777777">
        <w:trPr>
          <w:cantSplit/>
          <w:trHeight w:val="1888"/>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672853" w:rsidRDefault="004A5734" w14:paraId="3C7D32BC" w14:textId="77777777">
            <w:pPr>
              <w:pStyle w:val="ExhibitColumnHeader"/>
              <w:rPr>
                <w:rFonts w:asciiTheme="minorHAnsi" w:hAnsiTheme="minorHAnsi" w:cstheme="minorHAnsi"/>
                <w:sz w:val="22"/>
                <w:szCs w:val="22"/>
              </w:rPr>
            </w:pPr>
            <w:r>
              <w:rPr>
                <w:rFonts w:asciiTheme="minorHAnsi" w:hAnsiTheme="minorHAnsi" w:cstheme="minorHAnsi"/>
                <w:sz w:val="22"/>
                <w:szCs w:val="22"/>
              </w:rPr>
              <w:t>Informant/Data Collection Activity</w:t>
            </w:r>
          </w:p>
        </w:tc>
        <w:tc>
          <w:tcPr>
            <w:tcW w:w="847"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00672853" w:rsidP="7C86FC44" w:rsidRDefault="3641F390" w14:paraId="2A102FD6" w14:textId="77777777">
            <w:pPr>
              <w:pStyle w:val="ExhibitColumnHeader"/>
              <w:rPr>
                <w:rFonts w:asciiTheme="minorHAnsi" w:hAnsiTheme="minorHAnsi" w:cstheme="minorBidi"/>
                <w:sz w:val="22"/>
                <w:szCs w:val="22"/>
              </w:rPr>
            </w:pPr>
            <w:r w:rsidRPr="7C86FC44">
              <w:rPr>
                <w:rFonts w:asciiTheme="minorHAnsi" w:hAnsiTheme="minorHAnsi" w:cstheme="minorBidi"/>
                <w:sz w:val="22"/>
                <w:szCs w:val="22"/>
              </w:rPr>
              <w:t>Sample size</w:t>
            </w:r>
          </w:p>
        </w:tc>
        <w:tc>
          <w:tcPr>
            <w:tcW w:w="81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3641F390" w:rsidP="009D71F0" w:rsidRDefault="3641F390" w14:paraId="4A0800E7" w14:textId="77777777">
            <w:pPr>
              <w:pStyle w:val="ExhibitColumnHeader"/>
              <w:rPr>
                <w:b w:val="0"/>
                <w:bCs/>
              </w:rPr>
            </w:pPr>
            <w:r w:rsidRPr="009D71F0">
              <w:rPr>
                <w:rFonts w:asciiTheme="minorHAnsi" w:hAnsiTheme="minorHAnsi" w:cstheme="minorBidi"/>
                <w:sz w:val="22"/>
                <w:szCs w:val="22"/>
              </w:rPr>
              <w:t>Estimated response rate</w:t>
            </w:r>
          </w:p>
        </w:tc>
        <w:tc>
          <w:tcPr>
            <w:tcW w:w="99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3641F390" w:rsidP="009D71F0" w:rsidRDefault="3641F390" w14:paraId="301787CB" w14:textId="77777777">
            <w:pPr>
              <w:pStyle w:val="ExhibitColumnHeader"/>
              <w:rPr>
                <w:b w:val="0"/>
                <w:bCs/>
              </w:rPr>
            </w:pPr>
            <w:r w:rsidRPr="0089627E">
              <w:rPr>
                <w:rFonts w:asciiTheme="minorHAnsi" w:hAnsiTheme="minorHAnsi" w:cstheme="minorHAnsi"/>
                <w:sz w:val="22"/>
                <w:szCs w:val="22"/>
              </w:rPr>
              <w:t>Estimated number of respondents</w:t>
            </w:r>
          </w:p>
        </w:tc>
        <w:tc>
          <w:tcPr>
            <w:tcW w:w="90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00672853" w:rsidRDefault="004A5734" w14:paraId="11C1437A" w14:textId="77777777">
            <w:pPr>
              <w:pStyle w:val="ExhibitColumnHeader"/>
              <w:rPr>
                <w:rFonts w:asciiTheme="minorHAnsi" w:hAnsiTheme="minorHAnsi" w:cstheme="minorHAnsi"/>
                <w:sz w:val="22"/>
                <w:szCs w:val="22"/>
              </w:rPr>
            </w:pPr>
            <w:r>
              <w:rPr>
                <w:rFonts w:asciiTheme="minorHAnsi" w:hAnsiTheme="minorHAnsi" w:cstheme="minorHAnsi"/>
                <w:sz w:val="22"/>
                <w:szCs w:val="22"/>
              </w:rPr>
              <w:t xml:space="preserve">Minutes per completion </w:t>
            </w:r>
          </w:p>
        </w:tc>
        <w:tc>
          <w:tcPr>
            <w:tcW w:w="630" w:type="dxa"/>
            <w:tcBorders>
              <w:top w:val="single" w:color="auto" w:sz="4" w:space="0"/>
              <w:left w:val="single" w:color="auto" w:sz="4" w:space="0"/>
              <w:bottom w:val="single" w:color="auto" w:sz="4" w:space="0"/>
              <w:right w:val="single" w:color="auto" w:sz="4" w:space="0"/>
            </w:tcBorders>
            <w:shd w:val="clear" w:color="auto" w:fill="auto"/>
            <w:textDirection w:val="btLr"/>
          </w:tcPr>
          <w:p w:rsidR="00672853" w:rsidRDefault="004A5734" w14:paraId="3E4652CC" w14:textId="77777777">
            <w:pPr>
              <w:pStyle w:val="ExhibitColumnHeader"/>
              <w:rPr>
                <w:rFonts w:asciiTheme="minorHAnsi" w:hAnsiTheme="minorHAnsi" w:cstheme="minorHAnsi"/>
                <w:sz w:val="22"/>
                <w:szCs w:val="22"/>
              </w:rPr>
            </w:pPr>
            <w:r>
              <w:rPr>
                <w:rFonts w:asciiTheme="minorHAnsi" w:hAnsiTheme="minorHAnsi" w:cstheme="minorHAnsi"/>
                <w:sz w:val="22"/>
                <w:szCs w:val="22"/>
              </w:rPr>
              <w:t>Number of administrations</w:t>
            </w:r>
          </w:p>
        </w:tc>
        <w:tc>
          <w:tcPr>
            <w:tcW w:w="99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00672853" w:rsidRDefault="004A5734" w14:paraId="2AE32DC8" w14:textId="77777777">
            <w:pPr>
              <w:pStyle w:val="ExhibitColumnHeader"/>
              <w:rPr>
                <w:rFonts w:asciiTheme="minorHAnsi" w:hAnsiTheme="minorHAnsi" w:cstheme="minorHAnsi"/>
                <w:sz w:val="22"/>
                <w:szCs w:val="22"/>
              </w:rPr>
            </w:pPr>
            <w:r>
              <w:rPr>
                <w:rFonts w:asciiTheme="minorHAnsi" w:hAnsiTheme="minorHAnsi" w:cstheme="minorHAnsi"/>
                <w:sz w:val="22"/>
                <w:szCs w:val="22"/>
              </w:rPr>
              <w:t>Burden in minutes</w:t>
            </w:r>
          </w:p>
        </w:tc>
        <w:tc>
          <w:tcPr>
            <w:tcW w:w="90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00672853" w:rsidRDefault="004A5734" w14:paraId="68602B0B" w14:textId="77777777">
            <w:pPr>
              <w:pStyle w:val="ExhibitColumnHeader"/>
              <w:rPr>
                <w:rFonts w:asciiTheme="minorHAnsi" w:hAnsiTheme="minorHAnsi" w:cstheme="minorHAnsi"/>
                <w:sz w:val="22"/>
                <w:szCs w:val="22"/>
              </w:rPr>
            </w:pPr>
            <w:r>
              <w:rPr>
                <w:rFonts w:asciiTheme="minorHAnsi" w:hAnsiTheme="minorHAnsi" w:cstheme="minorHAnsi"/>
                <w:sz w:val="22"/>
                <w:szCs w:val="22"/>
              </w:rPr>
              <w:t>Total Burden Hours</w:t>
            </w:r>
          </w:p>
        </w:tc>
        <w:tc>
          <w:tcPr>
            <w:tcW w:w="13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00672853" w:rsidRDefault="004A5734" w14:paraId="4C603996" w14:textId="77777777">
            <w:pPr>
              <w:pStyle w:val="ExhibitColumnHeader"/>
              <w:rPr>
                <w:rFonts w:asciiTheme="minorHAnsi" w:hAnsiTheme="minorHAnsi" w:cstheme="minorHAnsi"/>
                <w:sz w:val="22"/>
                <w:szCs w:val="22"/>
              </w:rPr>
            </w:pPr>
            <w:r>
              <w:rPr>
                <w:rFonts w:asciiTheme="minorHAnsi" w:hAnsiTheme="minorHAnsi" w:cstheme="minorHAnsi"/>
                <w:sz w:val="22"/>
                <w:szCs w:val="22"/>
              </w:rPr>
              <w:t>Total Costs</w:t>
            </w:r>
          </w:p>
        </w:tc>
      </w:tr>
      <w:tr w:rsidR="00672853" w:rsidTr="00E43E0A" w14:paraId="70116F7C" w14:textId="77777777">
        <w:trPr>
          <w:cantSplit/>
          <w:trHeight w:val="300"/>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tcPr>
          <w:p w:rsidR="00672853" w:rsidRDefault="00C37F69" w14:paraId="3BEC6BDD" w14:textId="77777777">
            <w:pPr>
              <w:pStyle w:val="ExhibitText"/>
              <w:rPr>
                <w:rFonts w:asciiTheme="minorHAnsi" w:hAnsiTheme="minorHAnsi" w:cstheme="minorHAnsi"/>
                <w:sz w:val="22"/>
                <w:szCs w:val="22"/>
              </w:rPr>
            </w:pPr>
            <w:r>
              <w:rPr>
                <w:rFonts w:asciiTheme="minorHAnsi" w:hAnsiTheme="minorHAnsi" w:cstheme="minorHAnsi"/>
                <w:sz w:val="22"/>
                <w:szCs w:val="22"/>
              </w:rPr>
              <w:t>State survey</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bottom"/>
          </w:tcPr>
          <w:p w:rsidR="00672853" w:rsidRDefault="00DA4F4C" w14:paraId="77F2DE2A" w14:textId="77777777">
            <w:pPr>
              <w:jc w:val="center"/>
              <w:rPr>
                <w:rFonts w:asciiTheme="minorHAnsi" w:hAnsiTheme="minorHAnsi" w:cstheme="minorHAnsi"/>
                <w:bCs/>
                <w:sz w:val="22"/>
                <w:szCs w:val="22"/>
              </w:rPr>
            </w:pPr>
            <w:r>
              <w:rPr>
                <w:rFonts w:asciiTheme="minorHAnsi" w:hAnsiTheme="minorHAnsi" w:cstheme="minorHAnsi"/>
                <w:bCs/>
                <w:sz w:val="22"/>
                <w:szCs w:val="22"/>
              </w:rPr>
              <w:t>52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9D71F0" w:rsidR="7AC93D03" w:rsidP="7C86FC44" w:rsidRDefault="00252622" w14:paraId="3B41EC24" w14:textId="77777777">
            <w:pPr>
              <w:jc w:val="center"/>
              <w:rPr>
                <w:rFonts w:asciiTheme="minorHAnsi" w:hAnsiTheme="minorHAnsi" w:cstheme="minorHAnsi"/>
                <w:bCs/>
                <w:sz w:val="22"/>
                <w:szCs w:val="22"/>
              </w:rPr>
            </w:pPr>
            <w:r>
              <w:rPr>
                <w:rFonts w:asciiTheme="minorHAnsi" w:hAnsiTheme="minorHAnsi" w:cstheme="minorHAnsi"/>
                <w:bCs/>
                <w:sz w:val="22"/>
                <w:szCs w:val="22"/>
              </w:rPr>
              <w:t>100%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D71F0" w:rsidR="7AC93D03" w:rsidP="7C86FC44" w:rsidRDefault="00252622" w14:paraId="6B0CF6B8" w14:textId="77777777">
            <w:pPr>
              <w:jc w:val="center"/>
              <w:rPr>
                <w:rFonts w:asciiTheme="minorHAnsi" w:hAnsiTheme="minorHAnsi" w:cstheme="minorHAnsi"/>
                <w:bCs/>
                <w:sz w:val="22"/>
                <w:szCs w:val="22"/>
              </w:rPr>
            </w:pPr>
            <w:r>
              <w:rPr>
                <w:rFonts w:asciiTheme="minorHAnsi" w:hAnsiTheme="minorHAnsi" w:cstheme="minorHAnsi"/>
                <w:bCs/>
                <w:sz w:val="22"/>
                <w:szCs w:val="22"/>
              </w:rPr>
              <w:t>52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672853" w:rsidRDefault="00252622" w14:paraId="6B61E248" w14:textId="77777777">
            <w:pPr>
              <w:jc w:val="center"/>
              <w:rPr>
                <w:rFonts w:asciiTheme="minorHAnsi" w:hAnsiTheme="minorHAnsi" w:cstheme="minorHAnsi"/>
                <w:bCs/>
                <w:sz w:val="22"/>
                <w:szCs w:val="22"/>
              </w:rPr>
            </w:pPr>
            <w:r>
              <w:rPr>
                <w:rFonts w:asciiTheme="minorHAnsi" w:hAnsiTheme="minorHAnsi" w:cstheme="minorHAnsi"/>
                <w:bCs/>
                <w:sz w:val="22"/>
                <w:szCs w:val="22"/>
              </w:rPr>
              <w:t>180</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tcPr>
          <w:p w:rsidR="00672853" w:rsidRDefault="00252622" w14:paraId="2532E4A9" w14:textId="77777777">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tcPr>
          <w:p w:rsidR="00672853" w:rsidP="7C86FC44" w:rsidRDefault="00E23148" w14:paraId="2C7AEEA7" w14:textId="77777777">
            <w:pPr>
              <w:jc w:val="center"/>
              <w:rPr>
                <w:rFonts w:asciiTheme="minorHAnsi" w:hAnsiTheme="minorHAnsi" w:cstheme="minorBidi"/>
                <w:sz w:val="22"/>
                <w:szCs w:val="22"/>
              </w:rPr>
            </w:pPr>
            <w:r>
              <w:rPr>
                <w:rFonts w:asciiTheme="minorHAnsi" w:hAnsiTheme="minorHAnsi" w:cstheme="minorBidi"/>
                <w:sz w:val="22"/>
                <w:szCs w:val="22"/>
              </w:rPr>
              <w:t>9,360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672853" w:rsidP="7C86FC44" w:rsidRDefault="00E23148" w14:paraId="03224C8C" w14:textId="77777777">
            <w:pPr>
              <w:jc w:val="center"/>
              <w:rPr>
                <w:rFonts w:asciiTheme="minorHAnsi" w:hAnsiTheme="minorHAnsi" w:cstheme="minorBidi"/>
                <w:sz w:val="22"/>
                <w:szCs w:val="22"/>
              </w:rPr>
            </w:pPr>
            <w:r>
              <w:rPr>
                <w:rFonts w:asciiTheme="minorHAnsi" w:hAnsiTheme="minorHAnsi" w:cstheme="minorBidi"/>
                <w:sz w:val="22"/>
                <w:szCs w:val="22"/>
              </w:rPr>
              <w:t>156</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00672853" w:rsidP="7C86FC44" w:rsidRDefault="00E23148" w14:paraId="55DF3C19" w14:textId="77777777">
            <w:pPr>
              <w:jc w:val="center"/>
              <w:rPr>
                <w:rFonts w:asciiTheme="minorHAnsi" w:hAnsiTheme="minorHAnsi" w:cstheme="minorBidi"/>
                <w:sz w:val="22"/>
                <w:szCs w:val="22"/>
              </w:rPr>
            </w:pPr>
            <w:r>
              <w:rPr>
                <w:rFonts w:asciiTheme="minorHAnsi" w:hAnsiTheme="minorHAnsi" w:cstheme="minorBidi"/>
                <w:sz w:val="22"/>
                <w:szCs w:val="22"/>
              </w:rPr>
              <w:t>$7,725.12</w:t>
            </w:r>
          </w:p>
        </w:tc>
      </w:tr>
      <w:tr w:rsidR="00C37F69" w:rsidTr="00E43E0A" w14:paraId="07AFFDF5" w14:textId="77777777">
        <w:trPr>
          <w:cantSplit/>
          <w:trHeight w:val="300"/>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tcPr>
          <w:p w:rsidR="00C37F69" w:rsidRDefault="00C37F69" w14:paraId="67EEE82C" w14:textId="77777777">
            <w:pPr>
              <w:pStyle w:val="ExhibitText"/>
              <w:rPr>
                <w:rFonts w:asciiTheme="minorHAnsi" w:hAnsiTheme="minorHAnsi" w:cstheme="minorHAnsi"/>
                <w:sz w:val="22"/>
                <w:szCs w:val="22"/>
              </w:rPr>
            </w:pPr>
            <w:r>
              <w:rPr>
                <w:rFonts w:asciiTheme="minorHAnsi" w:hAnsiTheme="minorHAnsi" w:cstheme="minorHAnsi"/>
                <w:sz w:val="22"/>
                <w:szCs w:val="22"/>
              </w:rPr>
              <w:t>District survey</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bottom"/>
          </w:tcPr>
          <w:p w:rsidR="00C37F69" w:rsidRDefault="00366724" w14:paraId="534DD133" w14:textId="77777777">
            <w:pPr>
              <w:jc w:val="center"/>
              <w:rPr>
                <w:rFonts w:asciiTheme="minorHAnsi" w:hAnsiTheme="minorHAnsi" w:cstheme="minorHAnsi"/>
                <w:bCs/>
                <w:sz w:val="22"/>
                <w:szCs w:val="22"/>
              </w:rPr>
            </w:pPr>
            <w:r>
              <w:rPr>
                <w:rFonts w:asciiTheme="minorHAnsi" w:hAnsiTheme="minorHAnsi" w:cstheme="minorHAnsi"/>
                <w:bCs/>
                <w:sz w:val="22"/>
                <w:szCs w:val="22"/>
              </w:rPr>
              <w:t>1,150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9D71F0" w:rsidR="00C37F69" w:rsidP="7C86FC44" w:rsidRDefault="00366724" w14:paraId="6B5F7CF9" w14:textId="77777777">
            <w:pPr>
              <w:jc w:val="center"/>
              <w:rPr>
                <w:rFonts w:asciiTheme="minorHAnsi" w:hAnsiTheme="minorHAnsi" w:cstheme="minorHAnsi"/>
                <w:bCs/>
                <w:sz w:val="22"/>
                <w:szCs w:val="22"/>
              </w:rPr>
            </w:pPr>
            <w:r>
              <w:rPr>
                <w:rFonts w:asciiTheme="minorHAnsi" w:hAnsiTheme="minorHAnsi" w:cstheme="minorHAnsi"/>
                <w:bCs/>
                <w:sz w:val="22"/>
                <w:szCs w:val="22"/>
              </w:rPr>
              <w:t>95%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D71F0" w:rsidR="00C37F69" w:rsidP="7C86FC44" w:rsidRDefault="00945CC0" w14:paraId="494A486E" w14:textId="77777777">
            <w:pPr>
              <w:jc w:val="center"/>
              <w:rPr>
                <w:rFonts w:asciiTheme="minorHAnsi" w:hAnsiTheme="minorHAnsi" w:cstheme="minorHAnsi"/>
                <w:bCs/>
                <w:sz w:val="22"/>
                <w:szCs w:val="22"/>
              </w:rPr>
            </w:pPr>
            <w:r>
              <w:rPr>
                <w:rFonts w:asciiTheme="minorHAnsi" w:hAnsiTheme="minorHAnsi" w:cstheme="minorHAnsi"/>
                <w:bCs/>
                <w:sz w:val="22"/>
                <w:szCs w:val="22"/>
              </w:rPr>
              <w:t>1,093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C37F69" w:rsidRDefault="00945CC0" w14:paraId="41C9740F" w14:textId="77777777">
            <w:pPr>
              <w:jc w:val="center"/>
              <w:rPr>
                <w:rFonts w:asciiTheme="minorHAnsi" w:hAnsiTheme="minorHAnsi" w:cstheme="minorHAnsi"/>
                <w:bCs/>
                <w:sz w:val="22"/>
                <w:szCs w:val="22"/>
              </w:rPr>
            </w:pPr>
            <w:r>
              <w:rPr>
                <w:rFonts w:asciiTheme="minorHAnsi" w:hAnsiTheme="minorHAnsi" w:cstheme="minorHAnsi"/>
                <w:bCs/>
                <w:sz w:val="22"/>
                <w:szCs w:val="22"/>
              </w:rPr>
              <w:t>60</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tcPr>
          <w:p w:rsidR="00C37F69" w:rsidRDefault="00945CC0" w14:paraId="687643F4" w14:textId="77777777">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C37F69" w:rsidP="7C86FC44" w:rsidRDefault="00945CC0" w14:paraId="1C19E60C" w14:textId="77777777">
            <w:pPr>
              <w:jc w:val="center"/>
              <w:rPr>
                <w:rFonts w:asciiTheme="minorHAnsi" w:hAnsiTheme="minorHAnsi" w:cstheme="minorBidi"/>
                <w:sz w:val="22"/>
                <w:szCs w:val="22"/>
              </w:rPr>
            </w:pPr>
            <w:r>
              <w:rPr>
                <w:rFonts w:asciiTheme="minorHAnsi" w:hAnsiTheme="minorHAnsi" w:cstheme="minorBidi"/>
                <w:sz w:val="22"/>
                <w:szCs w:val="22"/>
              </w:rPr>
              <w:t>65,580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C37F69" w:rsidP="7C86FC44" w:rsidRDefault="00945CC0" w14:paraId="289B1E3F" w14:textId="77777777">
            <w:pPr>
              <w:jc w:val="center"/>
              <w:rPr>
                <w:rFonts w:asciiTheme="minorHAnsi" w:hAnsiTheme="minorHAnsi" w:cstheme="minorBidi"/>
                <w:sz w:val="22"/>
                <w:szCs w:val="22"/>
              </w:rPr>
            </w:pPr>
            <w:r>
              <w:rPr>
                <w:rFonts w:asciiTheme="minorHAnsi" w:hAnsiTheme="minorHAnsi" w:cstheme="minorBidi"/>
                <w:sz w:val="22"/>
                <w:szCs w:val="22"/>
              </w:rPr>
              <w:t>1,093</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C37F69" w:rsidP="7C86FC44" w:rsidRDefault="00945CC0" w14:paraId="61E42017" w14:textId="77777777">
            <w:pPr>
              <w:jc w:val="center"/>
              <w:rPr>
                <w:rFonts w:asciiTheme="minorHAnsi" w:hAnsiTheme="minorHAnsi" w:cstheme="minorBidi"/>
                <w:sz w:val="22"/>
                <w:szCs w:val="22"/>
              </w:rPr>
            </w:pPr>
            <w:r>
              <w:rPr>
                <w:rFonts w:asciiTheme="minorHAnsi" w:hAnsiTheme="minorHAnsi" w:cstheme="minorBidi"/>
                <w:sz w:val="22"/>
                <w:szCs w:val="22"/>
              </w:rPr>
              <w:t>$54,125.36</w:t>
            </w:r>
          </w:p>
        </w:tc>
      </w:tr>
      <w:tr w:rsidR="00C37F69" w:rsidTr="00E43E0A" w14:paraId="116B741B" w14:textId="77777777">
        <w:trPr>
          <w:cantSplit/>
          <w:trHeight w:val="300"/>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tcPr>
          <w:p w:rsidR="00C37F69" w:rsidRDefault="006F58AD" w14:paraId="05AE4D31" w14:textId="77777777">
            <w:pPr>
              <w:pStyle w:val="ExhibitText"/>
              <w:rPr>
                <w:rFonts w:asciiTheme="minorHAnsi" w:hAnsiTheme="minorHAnsi" w:cstheme="minorHAnsi"/>
                <w:sz w:val="22"/>
                <w:szCs w:val="22"/>
              </w:rPr>
            </w:pPr>
            <w:r>
              <w:rPr>
                <w:rFonts w:asciiTheme="minorHAnsi" w:hAnsiTheme="minorHAnsi" w:cstheme="minorHAnsi"/>
                <w:sz w:val="22"/>
                <w:szCs w:val="22"/>
              </w:rPr>
              <w:t>Principal</w:t>
            </w:r>
            <w:r w:rsidR="00C37F69">
              <w:rPr>
                <w:rFonts w:asciiTheme="minorHAnsi" w:hAnsiTheme="minorHAnsi" w:cstheme="minorHAnsi"/>
                <w:sz w:val="22"/>
                <w:szCs w:val="22"/>
              </w:rPr>
              <w:t xml:space="preserve"> survey</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bottom"/>
          </w:tcPr>
          <w:p w:rsidR="00C37F69" w:rsidRDefault="00C01A8D" w14:paraId="0AD3F239" w14:textId="77777777">
            <w:pPr>
              <w:jc w:val="center"/>
              <w:rPr>
                <w:rFonts w:asciiTheme="minorHAnsi" w:hAnsiTheme="minorHAnsi" w:cstheme="minorHAnsi"/>
                <w:bCs/>
                <w:sz w:val="22"/>
                <w:szCs w:val="22"/>
              </w:rPr>
            </w:pPr>
            <w:r>
              <w:rPr>
                <w:rFonts w:asciiTheme="minorHAnsi" w:hAnsiTheme="minorHAnsi" w:cstheme="minorHAnsi"/>
                <w:bCs/>
                <w:sz w:val="22"/>
                <w:szCs w:val="22"/>
              </w:rPr>
              <w:t>1,725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9D71F0" w:rsidR="00C37F69" w:rsidP="7C86FC44" w:rsidRDefault="00C01A8D" w14:paraId="000028A3" w14:textId="77777777">
            <w:pPr>
              <w:jc w:val="center"/>
              <w:rPr>
                <w:rFonts w:asciiTheme="minorHAnsi" w:hAnsiTheme="minorHAnsi" w:cstheme="minorHAnsi"/>
                <w:bCs/>
                <w:sz w:val="22"/>
                <w:szCs w:val="22"/>
              </w:rPr>
            </w:pPr>
            <w:r>
              <w:rPr>
                <w:rFonts w:asciiTheme="minorHAnsi" w:hAnsiTheme="minorHAnsi" w:cstheme="minorHAnsi"/>
                <w:bCs/>
                <w:sz w:val="22"/>
                <w:szCs w:val="22"/>
              </w:rPr>
              <w:t>87%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D71F0" w:rsidR="00C37F69" w:rsidP="7C86FC44" w:rsidRDefault="00C01A8D" w14:paraId="2123A3F9" w14:textId="77777777">
            <w:pPr>
              <w:jc w:val="center"/>
              <w:rPr>
                <w:rFonts w:asciiTheme="minorHAnsi" w:hAnsiTheme="minorHAnsi" w:cstheme="minorHAnsi"/>
                <w:bCs/>
                <w:sz w:val="22"/>
                <w:szCs w:val="22"/>
              </w:rPr>
            </w:pPr>
            <w:r>
              <w:rPr>
                <w:rFonts w:asciiTheme="minorHAnsi" w:hAnsiTheme="minorHAnsi" w:cstheme="minorHAnsi"/>
                <w:bCs/>
                <w:sz w:val="22"/>
                <w:szCs w:val="22"/>
              </w:rPr>
              <w:t>1,501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C37F69" w:rsidRDefault="00C01A8D" w14:paraId="6F56481E" w14:textId="77777777">
            <w:pPr>
              <w:jc w:val="center"/>
              <w:rPr>
                <w:rFonts w:asciiTheme="minorHAnsi" w:hAnsiTheme="minorHAnsi" w:cstheme="minorHAnsi"/>
                <w:bCs/>
                <w:sz w:val="22"/>
                <w:szCs w:val="22"/>
              </w:rPr>
            </w:pPr>
            <w:r>
              <w:rPr>
                <w:rFonts w:asciiTheme="minorHAnsi" w:hAnsiTheme="minorHAnsi" w:cstheme="minorHAnsi"/>
                <w:bCs/>
                <w:sz w:val="22"/>
                <w:szCs w:val="22"/>
              </w:rPr>
              <w:t>30</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tcPr>
          <w:p w:rsidR="00C37F69" w:rsidRDefault="00C01A8D" w14:paraId="5C19AB85" w14:textId="77777777">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C37F69" w:rsidP="00C01A8D" w:rsidRDefault="00C01A8D" w14:paraId="5FD5FAA3" w14:textId="77777777">
            <w:pPr>
              <w:jc w:val="center"/>
              <w:rPr>
                <w:rFonts w:asciiTheme="minorHAnsi" w:hAnsiTheme="minorHAnsi" w:cstheme="minorBidi"/>
                <w:sz w:val="22"/>
                <w:szCs w:val="22"/>
              </w:rPr>
            </w:pPr>
            <w:r>
              <w:rPr>
                <w:rFonts w:asciiTheme="minorHAnsi" w:hAnsiTheme="minorHAnsi" w:cstheme="minorBidi"/>
                <w:sz w:val="22"/>
                <w:szCs w:val="22"/>
              </w:rPr>
              <w:t>45,030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C37F69" w:rsidP="00C01A8D" w:rsidRDefault="00C01A8D" w14:paraId="2EFD1994" w14:textId="77777777">
            <w:pPr>
              <w:jc w:val="center"/>
              <w:rPr>
                <w:rFonts w:asciiTheme="minorHAnsi" w:hAnsiTheme="minorHAnsi" w:cstheme="minorBidi"/>
                <w:sz w:val="22"/>
                <w:szCs w:val="22"/>
              </w:rPr>
            </w:pPr>
            <w:r>
              <w:rPr>
                <w:rFonts w:asciiTheme="minorHAnsi" w:hAnsiTheme="minorHAnsi" w:cstheme="minorBidi"/>
                <w:sz w:val="22"/>
                <w:szCs w:val="22"/>
              </w:rPr>
              <w:t>750.5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C37F69" w:rsidP="7C86FC44" w:rsidRDefault="00F97741" w14:paraId="3ECB1EDA" w14:textId="77777777">
            <w:pPr>
              <w:jc w:val="center"/>
              <w:rPr>
                <w:rFonts w:asciiTheme="minorHAnsi" w:hAnsiTheme="minorHAnsi" w:cstheme="minorBidi"/>
                <w:sz w:val="22"/>
                <w:szCs w:val="22"/>
              </w:rPr>
            </w:pPr>
            <w:r>
              <w:rPr>
                <w:rFonts w:asciiTheme="minorHAnsi" w:hAnsiTheme="minorHAnsi" w:cstheme="minorBidi"/>
                <w:sz w:val="22"/>
                <w:szCs w:val="22"/>
              </w:rPr>
              <w:t>$37,164.76</w:t>
            </w:r>
          </w:p>
        </w:tc>
      </w:tr>
      <w:tr w:rsidR="00672853" w:rsidTr="00E43E0A" w14:paraId="0662DF16" w14:textId="77777777">
        <w:trPr>
          <w:cantSplit/>
          <w:trHeight w:val="300"/>
        </w:trPr>
        <w:tc>
          <w:tcPr>
            <w:tcW w:w="2010" w:type="dxa"/>
            <w:tcBorders>
              <w:top w:val="single" w:color="auto" w:sz="12" w:space="0"/>
              <w:left w:val="single" w:color="auto" w:sz="8" w:space="0"/>
              <w:bottom w:val="single" w:color="auto" w:sz="4" w:space="0"/>
              <w:right w:val="single" w:color="auto" w:sz="4" w:space="0"/>
            </w:tcBorders>
            <w:shd w:val="clear" w:color="auto" w:fill="auto"/>
            <w:noWrap/>
            <w:vAlign w:val="bottom"/>
            <w:hideMark/>
          </w:tcPr>
          <w:p w:rsidR="00672853" w:rsidRDefault="004A5734" w14:paraId="784DC2F6" w14:textId="77777777">
            <w:pPr>
              <w:pStyle w:val="ExhibitText"/>
              <w:spacing w:before="0" w:after="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Total</w:t>
            </w:r>
          </w:p>
        </w:tc>
        <w:tc>
          <w:tcPr>
            <w:tcW w:w="847" w:type="dxa"/>
            <w:tcBorders>
              <w:top w:val="single" w:color="auto" w:sz="12" w:space="0"/>
              <w:left w:val="single" w:color="auto" w:sz="4" w:space="0"/>
              <w:bottom w:val="single" w:color="auto" w:sz="4" w:space="0"/>
              <w:right w:val="single" w:color="auto" w:sz="4" w:space="0"/>
            </w:tcBorders>
            <w:shd w:val="clear" w:color="auto" w:fill="auto"/>
            <w:noWrap/>
            <w:vAlign w:val="bottom"/>
          </w:tcPr>
          <w:p w:rsidR="00672853" w:rsidRDefault="001401B5" w14:paraId="5A3D4FC7" w14:textId="06448064">
            <w:pPr>
              <w:jc w:val="center"/>
              <w:rPr>
                <w:rFonts w:asciiTheme="minorHAnsi" w:hAnsiTheme="minorHAnsi" w:cstheme="minorHAnsi"/>
                <w:b/>
                <w:bCs/>
                <w:sz w:val="22"/>
                <w:szCs w:val="22"/>
              </w:rPr>
            </w:pPr>
            <w:r>
              <w:rPr>
                <w:rFonts w:asciiTheme="minorHAnsi" w:hAnsiTheme="minorHAnsi" w:cstheme="minorHAnsi"/>
                <w:b/>
                <w:bCs/>
                <w:sz w:val="22"/>
                <w:szCs w:val="22"/>
              </w:rPr>
              <w:t>2,927</w:t>
            </w:r>
          </w:p>
        </w:tc>
        <w:tc>
          <w:tcPr>
            <w:tcW w:w="810" w:type="dxa"/>
            <w:tcBorders>
              <w:top w:val="single" w:color="auto" w:sz="12" w:space="0"/>
              <w:left w:val="single" w:color="auto" w:sz="4" w:space="0"/>
              <w:bottom w:val="single" w:color="auto" w:sz="4" w:space="0"/>
              <w:right w:val="single" w:color="auto" w:sz="4" w:space="0"/>
            </w:tcBorders>
            <w:shd w:val="clear" w:color="auto" w:fill="auto"/>
            <w:vAlign w:val="bottom"/>
          </w:tcPr>
          <w:p w:rsidRPr="00801044" w:rsidR="73E87872" w:rsidP="7C86FC44" w:rsidRDefault="73E87872" w14:paraId="7D2A5B3B" w14:textId="77777777">
            <w:pPr>
              <w:jc w:val="center"/>
              <w:rPr>
                <w:rFonts w:asciiTheme="minorHAnsi" w:hAnsiTheme="minorHAnsi" w:cstheme="minorHAnsi"/>
                <w:b/>
                <w:bCs/>
                <w:sz w:val="22"/>
                <w:szCs w:val="22"/>
              </w:rPr>
            </w:pPr>
            <w:r w:rsidRPr="00801044">
              <w:rPr>
                <w:rFonts w:asciiTheme="minorHAnsi" w:hAnsiTheme="minorHAnsi" w:cstheme="minorHAnsi"/>
                <w:b/>
                <w:bCs/>
                <w:sz w:val="22"/>
                <w:szCs w:val="22"/>
              </w:rPr>
              <w:t>n/a</w:t>
            </w:r>
          </w:p>
        </w:tc>
        <w:tc>
          <w:tcPr>
            <w:tcW w:w="990" w:type="dxa"/>
            <w:tcBorders>
              <w:top w:val="single" w:color="auto" w:sz="12" w:space="0"/>
              <w:left w:val="single" w:color="auto" w:sz="4" w:space="0"/>
              <w:bottom w:val="single" w:color="auto" w:sz="4" w:space="0"/>
              <w:right w:val="single" w:color="auto" w:sz="4" w:space="0"/>
            </w:tcBorders>
            <w:shd w:val="clear" w:color="auto" w:fill="auto"/>
            <w:vAlign w:val="bottom"/>
          </w:tcPr>
          <w:p w:rsidRPr="00801044" w:rsidR="73E87872" w:rsidP="7C86FC44" w:rsidRDefault="001401B5" w14:paraId="5CFAF3BF" w14:textId="0CFE3A4C">
            <w:pPr>
              <w:jc w:val="center"/>
              <w:rPr>
                <w:rFonts w:asciiTheme="minorHAnsi" w:hAnsiTheme="minorHAnsi" w:cstheme="minorHAnsi"/>
                <w:b/>
                <w:bCs/>
                <w:sz w:val="22"/>
                <w:szCs w:val="22"/>
              </w:rPr>
            </w:pPr>
            <w:r>
              <w:rPr>
                <w:rFonts w:asciiTheme="minorHAnsi" w:hAnsiTheme="minorHAnsi" w:cstheme="minorHAnsi"/>
                <w:b/>
                <w:bCs/>
                <w:sz w:val="22"/>
                <w:szCs w:val="22"/>
              </w:rPr>
              <w:t>2,646</w:t>
            </w:r>
          </w:p>
        </w:tc>
        <w:tc>
          <w:tcPr>
            <w:tcW w:w="900" w:type="dxa"/>
            <w:tcBorders>
              <w:top w:val="single" w:color="auto" w:sz="12" w:space="0"/>
              <w:left w:val="single" w:color="auto" w:sz="4" w:space="0"/>
              <w:bottom w:val="single" w:color="auto" w:sz="4" w:space="0"/>
              <w:right w:val="single" w:color="auto" w:sz="4" w:space="0"/>
            </w:tcBorders>
            <w:shd w:val="clear" w:color="auto" w:fill="auto"/>
            <w:noWrap/>
            <w:vAlign w:val="bottom"/>
          </w:tcPr>
          <w:p w:rsidRPr="00801044" w:rsidR="00672853" w:rsidRDefault="004A5734" w14:paraId="2265D668" w14:textId="77777777">
            <w:pPr>
              <w:jc w:val="center"/>
              <w:rPr>
                <w:rFonts w:asciiTheme="minorHAnsi" w:hAnsiTheme="minorHAnsi" w:cstheme="minorHAnsi"/>
                <w:b/>
                <w:bCs/>
                <w:sz w:val="22"/>
                <w:szCs w:val="22"/>
              </w:rPr>
            </w:pPr>
            <w:r w:rsidRPr="00801044">
              <w:rPr>
                <w:rFonts w:asciiTheme="minorHAnsi" w:hAnsiTheme="minorHAnsi" w:cstheme="minorHAnsi"/>
                <w:b/>
                <w:bCs/>
                <w:sz w:val="22"/>
                <w:szCs w:val="22"/>
              </w:rPr>
              <w:t>n/a</w:t>
            </w:r>
          </w:p>
        </w:tc>
        <w:tc>
          <w:tcPr>
            <w:tcW w:w="630" w:type="dxa"/>
            <w:tcBorders>
              <w:top w:val="single" w:color="auto" w:sz="12" w:space="0"/>
              <w:left w:val="single" w:color="auto" w:sz="4" w:space="0"/>
              <w:bottom w:val="single" w:color="auto" w:sz="4" w:space="0"/>
              <w:right w:val="single" w:color="auto" w:sz="4" w:space="0"/>
            </w:tcBorders>
            <w:shd w:val="clear" w:color="auto" w:fill="auto"/>
            <w:vAlign w:val="bottom"/>
          </w:tcPr>
          <w:p w:rsidRPr="00801044" w:rsidR="00672853" w:rsidRDefault="004A5734" w14:paraId="37DF1C76" w14:textId="77777777">
            <w:pPr>
              <w:jc w:val="center"/>
              <w:rPr>
                <w:rFonts w:asciiTheme="minorHAnsi" w:hAnsiTheme="minorHAnsi" w:cstheme="minorHAnsi"/>
                <w:b/>
                <w:bCs/>
                <w:sz w:val="22"/>
                <w:szCs w:val="22"/>
              </w:rPr>
            </w:pPr>
            <w:r w:rsidRPr="00801044">
              <w:rPr>
                <w:rFonts w:asciiTheme="minorHAnsi" w:hAnsiTheme="minorHAnsi" w:cstheme="minorHAnsi"/>
                <w:b/>
                <w:bCs/>
                <w:sz w:val="22"/>
                <w:szCs w:val="22"/>
              </w:rPr>
              <w:t>1</w:t>
            </w:r>
          </w:p>
        </w:tc>
        <w:tc>
          <w:tcPr>
            <w:tcW w:w="990" w:type="dxa"/>
            <w:tcBorders>
              <w:top w:val="single" w:color="auto" w:sz="12" w:space="0"/>
              <w:left w:val="single" w:color="auto" w:sz="4" w:space="0"/>
              <w:bottom w:val="single" w:color="auto" w:sz="4" w:space="0"/>
              <w:right w:val="single" w:color="auto" w:sz="4" w:space="0"/>
            </w:tcBorders>
            <w:shd w:val="clear" w:color="auto" w:fill="auto"/>
            <w:noWrap/>
            <w:vAlign w:val="bottom"/>
          </w:tcPr>
          <w:p w:rsidRPr="00801044" w:rsidR="00672853" w:rsidP="7C86FC44" w:rsidRDefault="001401B5" w14:paraId="0553BC0E" w14:textId="100F3168">
            <w:pPr>
              <w:jc w:val="center"/>
              <w:rPr>
                <w:rFonts w:asciiTheme="minorHAnsi" w:hAnsiTheme="minorHAnsi" w:cstheme="minorHAnsi"/>
                <w:b/>
                <w:bCs/>
                <w:sz w:val="22"/>
                <w:szCs w:val="22"/>
              </w:rPr>
            </w:pPr>
            <w:r>
              <w:rPr>
                <w:rFonts w:asciiTheme="minorHAnsi" w:hAnsiTheme="minorHAnsi" w:cstheme="minorHAnsi"/>
                <w:b/>
                <w:bCs/>
                <w:sz w:val="22"/>
                <w:szCs w:val="22"/>
              </w:rPr>
              <w:t>119,970</w:t>
            </w:r>
          </w:p>
        </w:tc>
        <w:tc>
          <w:tcPr>
            <w:tcW w:w="900" w:type="dxa"/>
            <w:tcBorders>
              <w:top w:val="single" w:color="auto" w:sz="12" w:space="0"/>
              <w:left w:val="single" w:color="auto" w:sz="4" w:space="0"/>
              <w:bottom w:val="single" w:color="auto" w:sz="4" w:space="0"/>
              <w:right w:val="single" w:color="auto" w:sz="4" w:space="0"/>
            </w:tcBorders>
            <w:shd w:val="clear" w:color="auto" w:fill="auto"/>
            <w:noWrap/>
            <w:vAlign w:val="bottom"/>
          </w:tcPr>
          <w:p w:rsidRPr="00801044" w:rsidR="00672853" w:rsidRDefault="001401B5" w14:paraId="786208C0" w14:textId="51CAFF89">
            <w:pPr>
              <w:jc w:val="center"/>
              <w:rPr>
                <w:rFonts w:asciiTheme="minorHAnsi" w:hAnsiTheme="minorHAnsi" w:cstheme="minorHAnsi"/>
                <w:b/>
                <w:bCs/>
                <w:sz w:val="22"/>
                <w:szCs w:val="22"/>
              </w:rPr>
            </w:pPr>
            <w:r>
              <w:rPr>
                <w:rFonts w:asciiTheme="minorHAnsi" w:hAnsiTheme="minorHAnsi" w:cstheme="minorHAnsi"/>
                <w:b/>
                <w:bCs/>
                <w:sz w:val="22"/>
                <w:szCs w:val="22"/>
              </w:rPr>
              <w:t>1,999.5</w:t>
            </w:r>
          </w:p>
        </w:tc>
        <w:tc>
          <w:tcPr>
            <w:tcW w:w="1350" w:type="dxa"/>
            <w:tcBorders>
              <w:top w:val="single" w:color="auto" w:sz="12" w:space="0"/>
              <w:left w:val="single" w:color="auto" w:sz="4" w:space="0"/>
              <w:bottom w:val="single" w:color="auto" w:sz="4" w:space="0"/>
              <w:right w:val="single" w:color="auto" w:sz="4" w:space="0"/>
            </w:tcBorders>
            <w:shd w:val="clear" w:color="auto" w:fill="auto"/>
            <w:noWrap/>
            <w:vAlign w:val="bottom"/>
          </w:tcPr>
          <w:p w:rsidRPr="00801044" w:rsidR="00672853" w:rsidP="00C37F69" w:rsidRDefault="001401B5" w14:paraId="63F69945" w14:textId="44DC28FD">
            <w:pPr>
              <w:jc w:val="center"/>
              <w:rPr>
                <w:rFonts w:asciiTheme="minorHAnsi" w:hAnsiTheme="minorHAnsi" w:cstheme="minorHAnsi"/>
                <w:b/>
                <w:bCs/>
                <w:sz w:val="22"/>
                <w:szCs w:val="22"/>
              </w:rPr>
            </w:pPr>
            <w:r>
              <w:rPr>
                <w:rFonts w:asciiTheme="minorHAnsi" w:hAnsiTheme="minorHAnsi" w:cstheme="minorHAnsi"/>
                <w:b/>
                <w:bCs/>
                <w:sz w:val="22"/>
                <w:szCs w:val="22"/>
              </w:rPr>
              <w:t>$99,015.24</w:t>
            </w:r>
          </w:p>
        </w:tc>
      </w:tr>
    </w:tbl>
    <w:p w:rsidRPr="00C62498" w:rsidR="00672853" w:rsidRDefault="004A5734" w14:paraId="1A14FB81" w14:textId="4F31B48B">
      <w:pPr>
        <w:spacing w:line="240" w:lineRule="auto"/>
        <w:rPr>
          <w:rFonts w:asciiTheme="minorHAnsi" w:hAnsiTheme="minorHAnsi" w:cstheme="minorHAnsi"/>
          <w:sz w:val="18"/>
          <w:szCs w:val="18"/>
        </w:rPr>
      </w:pPr>
      <w:r w:rsidRPr="00C62498">
        <w:rPr>
          <w:rFonts w:asciiTheme="minorHAnsi" w:hAnsiTheme="minorHAnsi" w:cstheme="minorHAnsi"/>
          <w:sz w:val="18"/>
          <w:szCs w:val="18"/>
        </w:rPr>
        <w:t xml:space="preserve">NOTE: </w:t>
      </w:r>
      <w:r w:rsidR="000E7EF4">
        <w:rPr>
          <w:rFonts w:asciiTheme="minorHAnsi" w:hAnsiTheme="minorHAnsi" w:cstheme="minorHAnsi"/>
          <w:sz w:val="18"/>
          <w:szCs w:val="18"/>
        </w:rPr>
        <w:t xml:space="preserve">The state survey includes the District of Columbia and Puerto Rico. </w:t>
      </w:r>
      <w:r w:rsidRPr="00C62498">
        <w:rPr>
          <w:rFonts w:asciiTheme="minorHAnsi" w:hAnsiTheme="minorHAnsi" w:cstheme="minorHAnsi"/>
          <w:sz w:val="18"/>
          <w:szCs w:val="18"/>
        </w:rPr>
        <w:t>Assumes an hourly rate of $</w:t>
      </w:r>
      <w:r w:rsidRPr="00C62498" w:rsidR="0095030E">
        <w:rPr>
          <w:rFonts w:asciiTheme="minorHAnsi" w:hAnsiTheme="minorHAnsi" w:cstheme="minorHAnsi"/>
          <w:sz w:val="18"/>
          <w:szCs w:val="18"/>
        </w:rPr>
        <w:t>49.52</w:t>
      </w:r>
      <w:r w:rsidRPr="00C62498">
        <w:rPr>
          <w:rFonts w:asciiTheme="minorHAnsi" w:hAnsiTheme="minorHAnsi" w:cstheme="minorHAnsi"/>
          <w:sz w:val="18"/>
          <w:szCs w:val="18"/>
        </w:rPr>
        <w:t xml:space="preserve"> per hour for </w:t>
      </w:r>
      <w:r w:rsidR="00CD4967">
        <w:rPr>
          <w:rFonts w:asciiTheme="minorHAnsi" w:hAnsiTheme="minorHAnsi" w:cstheme="minorHAnsi"/>
          <w:sz w:val="18"/>
          <w:szCs w:val="18"/>
        </w:rPr>
        <w:t xml:space="preserve">state, district, and school </w:t>
      </w:r>
      <w:r w:rsidRPr="00C62498">
        <w:rPr>
          <w:rFonts w:asciiTheme="minorHAnsi" w:hAnsiTheme="minorHAnsi" w:cstheme="minorHAnsi"/>
          <w:sz w:val="18"/>
          <w:szCs w:val="18"/>
        </w:rPr>
        <w:t>educational administrators</w:t>
      </w:r>
      <w:r w:rsidR="001401B5">
        <w:rPr>
          <w:rFonts w:asciiTheme="minorHAnsi" w:hAnsiTheme="minorHAnsi" w:cstheme="minorHAnsi"/>
          <w:sz w:val="18"/>
          <w:szCs w:val="18"/>
        </w:rPr>
        <w:t xml:space="preserve"> </w:t>
      </w:r>
      <w:r w:rsidRPr="00C62498">
        <w:rPr>
          <w:rFonts w:asciiTheme="minorHAnsi" w:hAnsiTheme="minorHAnsi" w:cstheme="minorHAnsi"/>
          <w:sz w:val="18"/>
          <w:szCs w:val="18"/>
        </w:rPr>
        <w:t>(derived from the Bureau of Labor Statistics’ Occupational Employment and Wages for educational administrators, May 20</w:t>
      </w:r>
      <w:r w:rsidRPr="00C62498" w:rsidR="006D2443">
        <w:rPr>
          <w:rFonts w:asciiTheme="minorHAnsi" w:hAnsiTheme="minorHAnsi" w:cstheme="minorHAnsi"/>
          <w:sz w:val="18"/>
          <w:szCs w:val="18"/>
        </w:rPr>
        <w:t>20</w:t>
      </w:r>
      <w:r w:rsidR="00566D57">
        <w:rPr>
          <w:rFonts w:asciiTheme="minorHAnsi" w:hAnsiTheme="minorHAnsi" w:cstheme="minorHAnsi"/>
          <w:sz w:val="18"/>
          <w:szCs w:val="18"/>
        </w:rPr>
        <w:t>. The mean hourly wage</w:t>
      </w:r>
      <w:r w:rsidRPr="00C62498" w:rsidR="00CB0F73">
        <w:rPr>
          <w:rFonts w:asciiTheme="minorHAnsi" w:hAnsiTheme="minorHAnsi" w:cstheme="minorHAnsi"/>
          <w:sz w:val="18"/>
          <w:szCs w:val="18"/>
        </w:rPr>
        <w:t xml:space="preserve"> was computed assuming </w:t>
      </w:r>
      <w:r w:rsidRPr="00C62498" w:rsidR="006D2443">
        <w:rPr>
          <w:rFonts w:asciiTheme="minorHAnsi" w:hAnsiTheme="minorHAnsi" w:cstheme="minorHAnsi"/>
          <w:sz w:val="18"/>
          <w:szCs w:val="18"/>
        </w:rPr>
        <w:t>2,080 hours per year</w:t>
      </w:r>
      <w:r w:rsidRPr="00C62498">
        <w:rPr>
          <w:rFonts w:asciiTheme="minorHAnsi" w:hAnsiTheme="minorHAnsi" w:cstheme="minorHAnsi"/>
          <w:sz w:val="18"/>
          <w:szCs w:val="18"/>
        </w:rPr>
        <w:t>). See</w:t>
      </w:r>
      <w:r w:rsidRPr="00C62498">
        <w:rPr>
          <w:rFonts w:asciiTheme="minorHAnsi" w:hAnsiTheme="minorHAnsi" w:cstheme="minorHAnsi"/>
          <w:color w:val="1F497D"/>
          <w:sz w:val="18"/>
          <w:szCs w:val="18"/>
        </w:rPr>
        <w:t xml:space="preserve">: </w:t>
      </w:r>
      <w:hyperlink w:history="1" r:id="rId17">
        <w:r w:rsidRPr="00C62498">
          <w:rPr>
            <w:rStyle w:val="Hyperlink"/>
            <w:rFonts w:asciiTheme="minorHAnsi" w:hAnsiTheme="minorHAnsi" w:cstheme="minorHAnsi"/>
            <w:sz w:val="18"/>
            <w:szCs w:val="18"/>
          </w:rPr>
          <w:t>https://www.bls.gov/oes/current/oes119032.htm</w:t>
        </w:r>
      </w:hyperlink>
      <w:r w:rsidRPr="00C62498">
        <w:rPr>
          <w:rFonts w:asciiTheme="minorHAnsi" w:hAnsiTheme="minorHAnsi" w:cstheme="minorHAnsi"/>
          <w:sz w:val="18"/>
          <w:szCs w:val="18"/>
        </w:rPr>
        <w:t xml:space="preserve">). </w:t>
      </w:r>
    </w:p>
    <w:p w:rsidR="00F45529" w:rsidRDefault="00F45529" w14:paraId="73199D42" w14:textId="77777777">
      <w:pPr>
        <w:spacing w:line="240" w:lineRule="auto"/>
        <w:rPr>
          <w:rFonts w:asciiTheme="minorHAnsi" w:hAnsiTheme="minorHAnsi" w:cstheme="minorHAnsi"/>
          <w:b/>
          <w:bCs/>
          <w:sz w:val="22"/>
          <w:szCs w:val="24"/>
        </w:rPr>
      </w:pPr>
    </w:p>
    <w:p w:rsidRPr="006D2443" w:rsidR="006D2443" w:rsidP="006D2443" w:rsidRDefault="006D2443" w14:paraId="38B2E516" w14:textId="77777777">
      <w:pPr>
        <w:keepNext/>
        <w:keepLines/>
        <w:widowControl w:val="0"/>
        <w:tabs>
          <w:tab w:val="left" w:pos="1440"/>
        </w:tabs>
        <w:spacing w:after="120" w:line="264" w:lineRule="auto"/>
        <w:ind w:left="1440" w:hanging="1440"/>
        <w:rPr>
          <w:rFonts w:asciiTheme="minorHAnsi" w:hAnsiTheme="minorHAnsi" w:cstheme="minorHAnsi"/>
          <w:b/>
          <w:bCs/>
          <w:sz w:val="22"/>
          <w:szCs w:val="24"/>
        </w:rPr>
      </w:pPr>
      <w:r w:rsidRPr="006D2443">
        <w:rPr>
          <w:rFonts w:asciiTheme="minorHAnsi" w:hAnsiTheme="minorHAnsi" w:cstheme="minorHAnsi"/>
          <w:b/>
          <w:bCs/>
          <w:sz w:val="22"/>
          <w:szCs w:val="24"/>
        </w:rPr>
        <w:t>Table A-2. Estimates of annual</w:t>
      </w:r>
      <w:r w:rsidR="00D4394D">
        <w:rPr>
          <w:rFonts w:asciiTheme="minorHAnsi" w:hAnsiTheme="minorHAnsi" w:cstheme="minorHAnsi"/>
          <w:b/>
          <w:bCs/>
          <w:sz w:val="22"/>
          <w:szCs w:val="24"/>
        </w:rPr>
        <w:t xml:space="preserve"> respondent burden over a 3-</w:t>
      </w:r>
      <w:r w:rsidRPr="006D2443">
        <w:rPr>
          <w:rFonts w:asciiTheme="minorHAnsi" w:hAnsiTheme="minorHAnsi" w:cstheme="minorHAnsi"/>
          <w:b/>
          <w:bCs/>
          <w:sz w:val="22"/>
          <w:szCs w:val="24"/>
        </w:rPr>
        <w:t>year period</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1500"/>
        <w:gridCol w:w="1500"/>
        <w:gridCol w:w="1500"/>
      </w:tblGrid>
      <w:tr w:rsidRPr="006D2443" w:rsidR="006D2443" w:rsidTr="00FB2BEE" w14:paraId="1FEFEE11" w14:textId="77777777">
        <w:trPr>
          <w:trHeight w:val="20"/>
        </w:trPr>
        <w:tc>
          <w:tcPr>
            <w:tcW w:w="4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D2443" w:rsidR="006D2443" w:rsidP="006D2443" w:rsidRDefault="006D2443" w14:paraId="420B5D6D" w14:textId="77777777">
            <w:pPr>
              <w:spacing w:before="20" w:after="20" w:line="240" w:lineRule="auto"/>
              <w:rPr>
                <w:rFonts w:asciiTheme="minorHAnsi" w:hAnsiTheme="minorHAnsi" w:cstheme="minorHAnsi"/>
                <w:b/>
                <w:color w:val="000000" w:themeColor="text1"/>
                <w:sz w:val="22"/>
                <w:szCs w:val="22"/>
              </w:rPr>
            </w:pPr>
            <w:r w:rsidRPr="006D2443">
              <w:rPr>
                <w:rFonts w:asciiTheme="minorHAnsi" w:hAnsiTheme="minorHAnsi" w:cstheme="minorHAnsi"/>
                <w:b/>
                <w:color w:val="000000" w:themeColor="text1"/>
                <w:sz w:val="22"/>
                <w:szCs w:val="22"/>
              </w:rPr>
              <w:t>Informant/Data Collection Activity</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443" w:rsidR="006D2443" w:rsidP="00FB2BEE" w:rsidRDefault="00E6248A" w14:paraId="490BEFAB" w14:textId="77777777">
            <w:pPr>
              <w:spacing w:before="20" w:after="20" w:line="240"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Annual </w:t>
            </w:r>
            <w:r w:rsidRPr="006D2443" w:rsidR="006D2443">
              <w:rPr>
                <w:rFonts w:asciiTheme="minorHAnsi" w:hAnsiTheme="minorHAnsi" w:cstheme="minorHAnsi"/>
                <w:b/>
                <w:color w:val="000000" w:themeColor="text1"/>
                <w:sz w:val="22"/>
                <w:szCs w:val="22"/>
              </w:rPr>
              <w:t>Number of Respondents</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443" w:rsidR="006D2443" w:rsidP="00FB2BEE" w:rsidRDefault="006D2443" w14:paraId="69F6617D" w14:textId="77777777">
            <w:pPr>
              <w:spacing w:before="20" w:after="20" w:line="240" w:lineRule="auto"/>
              <w:jc w:val="center"/>
              <w:rPr>
                <w:rFonts w:asciiTheme="minorHAnsi" w:hAnsiTheme="minorHAnsi" w:cstheme="minorHAnsi"/>
                <w:b/>
                <w:color w:val="000000" w:themeColor="text1"/>
                <w:sz w:val="22"/>
                <w:szCs w:val="22"/>
              </w:rPr>
            </w:pPr>
            <w:r w:rsidRPr="006D2443">
              <w:rPr>
                <w:rFonts w:asciiTheme="minorHAnsi" w:hAnsiTheme="minorHAnsi" w:cstheme="minorHAnsi"/>
                <w:b/>
                <w:color w:val="000000" w:themeColor="text1"/>
                <w:sz w:val="22"/>
                <w:szCs w:val="22"/>
              </w:rPr>
              <w:t xml:space="preserve">Total </w:t>
            </w:r>
            <w:r w:rsidR="00E6248A">
              <w:rPr>
                <w:rFonts w:asciiTheme="minorHAnsi" w:hAnsiTheme="minorHAnsi" w:cstheme="minorHAnsi"/>
                <w:b/>
                <w:color w:val="000000" w:themeColor="text1"/>
                <w:sz w:val="22"/>
                <w:szCs w:val="22"/>
              </w:rPr>
              <w:t xml:space="preserve">Annual </w:t>
            </w:r>
            <w:r w:rsidRPr="006D2443">
              <w:rPr>
                <w:rFonts w:asciiTheme="minorHAnsi" w:hAnsiTheme="minorHAnsi" w:cstheme="minorHAnsi"/>
                <w:b/>
                <w:color w:val="000000" w:themeColor="text1"/>
                <w:sz w:val="22"/>
                <w:szCs w:val="22"/>
              </w:rPr>
              <w:t>Burden Hours</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443" w:rsidR="006D2443" w:rsidP="00FB2BEE" w:rsidRDefault="006D2443" w14:paraId="2C06E79B" w14:textId="77777777">
            <w:pPr>
              <w:spacing w:before="20" w:after="20" w:line="240" w:lineRule="auto"/>
              <w:jc w:val="center"/>
              <w:rPr>
                <w:rFonts w:asciiTheme="minorHAnsi" w:hAnsiTheme="minorHAnsi" w:cstheme="minorHAnsi"/>
                <w:b/>
                <w:color w:val="000000" w:themeColor="text1"/>
                <w:sz w:val="22"/>
                <w:szCs w:val="22"/>
              </w:rPr>
            </w:pPr>
            <w:r w:rsidRPr="006D2443">
              <w:rPr>
                <w:rFonts w:asciiTheme="minorHAnsi" w:hAnsiTheme="minorHAnsi" w:cstheme="minorHAnsi"/>
                <w:b/>
                <w:color w:val="000000" w:themeColor="text1"/>
                <w:sz w:val="22"/>
                <w:szCs w:val="22"/>
              </w:rPr>
              <w:t xml:space="preserve">Total </w:t>
            </w:r>
            <w:r w:rsidR="00E6248A">
              <w:rPr>
                <w:rFonts w:asciiTheme="minorHAnsi" w:hAnsiTheme="minorHAnsi" w:cstheme="minorHAnsi"/>
                <w:b/>
                <w:color w:val="000000" w:themeColor="text1"/>
                <w:sz w:val="22"/>
                <w:szCs w:val="22"/>
              </w:rPr>
              <w:t xml:space="preserve">Annual </w:t>
            </w:r>
            <w:r w:rsidRPr="006D2443">
              <w:rPr>
                <w:rFonts w:asciiTheme="minorHAnsi" w:hAnsiTheme="minorHAnsi" w:cstheme="minorHAnsi"/>
                <w:b/>
                <w:color w:val="000000" w:themeColor="text1"/>
                <w:sz w:val="22"/>
                <w:szCs w:val="22"/>
              </w:rPr>
              <w:t>Costs</w:t>
            </w:r>
          </w:p>
        </w:tc>
      </w:tr>
      <w:tr w:rsidRPr="006D2443" w:rsidR="009545F2" w:rsidTr="003443BB" w14:paraId="44AB7C84" w14:textId="77777777">
        <w:trPr>
          <w:cantSplit/>
          <w:trHeight w:val="302"/>
        </w:trPr>
        <w:tc>
          <w:tcPr>
            <w:tcW w:w="4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D2443" w:rsidR="009545F2" w:rsidP="009545F2" w:rsidRDefault="009545F2" w14:paraId="528CC3F6" w14:textId="77777777">
            <w:pPr>
              <w:spacing w:before="40" w:after="40" w:line="264" w:lineRule="auto"/>
              <w:rPr>
                <w:rFonts w:asciiTheme="minorHAnsi" w:hAnsiTheme="minorHAnsi" w:cstheme="minorHAnsi"/>
                <w:bCs/>
                <w:color w:val="000000"/>
                <w:sz w:val="22"/>
                <w:szCs w:val="22"/>
              </w:rPr>
            </w:pPr>
            <w:r>
              <w:rPr>
                <w:rFonts w:asciiTheme="minorHAnsi" w:hAnsiTheme="minorHAnsi" w:cstheme="minorHAnsi"/>
                <w:bCs/>
                <w:color w:val="000000"/>
                <w:sz w:val="22"/>
                <w:szCs w:val="22"/>
              </w:rPr>
              <w:t>State survey</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D2443" w:rsidR="009545F2" w:rsidP="009545F2" w:rsidRDefault="009545F2" w14:paraId="7D46A0A3" w14:textId="77777777">
            <w:pPr>
              <w:spacing w:before="40" w:after="40" w:line="264" w:lineRule="auto"/>
              <w:jc w:val="center"/>
              <w:rPr>
                <w:rFonts w:asciiTheme="minorHAnsi" w:hAnsiTheme="minorHAnsi" w:cstheme="minorBidi"/>
                <w:sz w:val="22"/>
                <w:szCs w:val="22"/>
              </w:rPr>
            </w:pPr>
            <w:r>
              <w:rPr>
                <w:rFonts w:asciiTheme="minorHAnsi" w:hAnsiTheme="minorHAnsi" w:cstheme="minorBidi"/>
                <w:sz w:val="22"/>
                <w:szCs w:val="22"/>
              </w:rPr>
              <w:t>17</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D2443" w:rsidR="009545F2" w:rsidP="009545F2" w:rsidRDefault="009545F2" w14:paraId="198D791D" w14:textId="77777777">
            <w:pPr>
              <w:spacing w:before="40" w:after="40" w:line="264" w:lineRule="auto"/>
              <w:jc w:val="center"/>
              <w:rPr>
                <w:rFonts w:asciiTheme="minorHAnsi" w:hAnsiTheme="minorHAnsi" w:cstheme="minorBidi"/>
                <w:sz w:val="22"/>
                <w:szCs w:val="22"/>
              </w:rPr>
            </w:pPr>
            <w:r>
              <w:rPr>
                <w:rFonts w:asciiTheme="minorHAnsi" w:hAnsiTheme="minorHAnsi" w:cstheme="minorBidi"/>
                <w:sz w:val="22"/>
                <w:szCs w:val="22"/>
              </w:rPr>
              <w:t>52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D2443" w:rsidR="009545F2" w:rsidP="009545F2" w:rsidRDefault="009545F2" w14:paraId="636C1697" w14:textId="77777777">
            <w:pPr>
              <w:spacing w:before="40" w:after="40" w:line="264" w:lineRule="auto"/>
              <w:jc w:val="right"/>
              <w:rPr>
                <w:rFonts w:asciiTheme="minorHAnsi" w:hAnsiTheme="minorHAnsi" w:cstheme="minorBidi"/>
                <w:sz w:val="22"/>
                <w:szCs w:val="22"/>
              </w:rPr>
            </w:pPr>
            <w:r>
              <w:rPr>
                <w:rFonts w:asciiTheme="minorHAnsi" w:hAnsiTheme="minorHAnsi" w:cstheme="minorBidi"/>
                <w:sz w:val="22"/>
                <w:szCs w:val="22"/>
              </w:rPr>
              <w:t>$2,575.04</w:t>
            </w:r>
          </w:p>
        </w:tc>
      </w:tr>
      <w:tr w:rsidRPr="006D2443" w:rsidR="009545F2" w:rsidTr="003443BB" w14:paraId="078B3653" w14:textId="77777777">
        <w:trPr>
          <w:cantSplit/>
          <w:trHeight w:val="302"/>
        </w:trPr>
        <w:tc>
          <w:tcPr>
            <w:tcW w:w="4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D2443" w:rsidR="009545F2" w:rsidP="009545F2" w:rsidRDefault="009545F2" w14:paraId="01D4AFBF" w14:textId="77777777">
            <w:pPr>
              <w:spacing w:before="40" w:after="40" w:line="264" w:lineRule="auto"/>
              <w:rPr>
                <w:rFonts w:asciiTheme="minorHAnsi" w:hAnsiTheme="minorHAnsi" w:cstheme="minorHAnsi"/>
                <w:bCs/>
                <w:color w:val="000000"/>
                <w:sz w:val="22"/>
                <w:szCs w:val="22"/>
              </w:rPr>
            </w:pPr>
            <w:r>
              <w:rPr>
                <w:rFonts w:asciiTheme="minorHAnsi" w:hAnsiTheme="minorHAnsi" w:cstheme="minorHAnsi"/>
                <w:bCs/>
                <w:color w:val="000000"/>
                <w:sz w:val="22"/>
                <w:szCs w:val="22"/>
              </w:rPr>
              <w:t>District survey</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9545F2" w:rsidP="009545F2" w:rsidRDefault="009545F2" w14:paraId="5766D30E" w14:textId="77777777">
            <w:pPr>
              <w:spacing w:before="40" w:after="40" w:line="264" w:lineRule="auto"/>
              <w:jc w:val="center"/>
              <w:rPr>
                <w:rFonts w:asciiTheme="minorHAnsi" w:hAnsiTheme="minorHAnsi" w:cstheme="minorBidi"/>
                <w:sz w:val="22"/>
                <w:szCs w:val="22"/>
              </w:rPr>
            </w:pPr>
            <w:r>
              <w:rPr>
                <w:rFonts w:asciiTheme="minorHAnsi" w:hAnsiTheme="minorHAnsi" w:cstheme="minorBidi"/>
                <w:sz w:val="22"/>
                <w:szCs w:val="22"/>
              </w:rPr>
              <w:t>3</w:t>
            </w:r>
            <w:r w:rsidR="00FF3062">
              <w:rPr>
                <w:rFonts w:asciiTheme="minorHAnsi" w:hAnsiTheme="minorHAnsi" w:cstheme="minorBidi"/>
                <w:sz w:val="22"/>
                <w:szCs w:val="22"/>
              </w:rPr>
              <w:t>6</w:t>
            </w:r>
            <w:r>
              <w:rPr>
                <w:rFonts w:asciiTheme="minorHAnsi" w:hAnsiTheme="minorHAnsi" w:cstheme="minorBidi"/>
                <w:sz w:val="22"/>
                <w:szCs w:val="22"/>
              </w:rPr>
              <w:t>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9545F2" w:rsidP="009545F2" w:rsidRDefault="009545F2" w14:paraId="1EBBA16C" w14:textId="77777777">
            <w:pPr>
              <w:spacing w:before="40" w:after="40" w:line="264" w:lineRule="auto"/>
              <w:jc w:val="center"/>
              <w:rPr>
                <w:rFonts w:asciiTheme="minorHAnsi" w:hAnsiTheme="minorHAnsi" w:cstheme="minorBidi"/>
                <w:sz w:val="22"/>
                <w:szCs w:val="22"/>
              </w:rPr>
            </w:pPr>
            <w:r>
              <w:rPr>
                <w:rFonts w:asciiTheme="minorHAnsi" w:hAnsiTheme="minorHAnsi" w:cstheme="minorBidi"/>
                <w:sz w:val="22"/>
                <w:szCs w:val="22"/>
              </w:rPr>
              <w:t>364.3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9545F2" w:rsidP="009545F2" w:rsidRDefault="009545F2" w14:paraId="1F2C74D8" w14:textId="77777777">
            <w:pPr>
              <w:spacing w:before="40" w:after="40" w:line="264" w:lineRule="auto"/>
              <w:jc w:val="right"/>
              <w:rPr>
                <w:rFonts w:asciiTheme="minorHAnsi" w:hAnsiTheme="minorHAnsi" w:cstheme="minorBidi"/>
                <w:sz w:val="22"/>
                <w:szCs w:val="22"/>
              </w:rPr>
            </w:pPr>
            <w:r>
              <w:rPr>
                <w:rFonts w:asciiTheme="minorHAnsi" w:hAnsiTheme="minorHAnsi" w:cstheme="minorBidi"/>
                <w:sz w:val="22"/>
                <w:szCs w:val="22"/>
              </w:rPr>
              <w:t>$18,041.79</w:t>
            </w:r>
          </w:p>
        </w:tc>
      </w:tr>
      <w:tr w:rsidRPr="006D2443" w:rsidR="009545F2" w:rsidTr="003443BB" w14:paraId="1EC864E0" w14:textId="77777777">
        <w:trPr>
          <w:cantSplit/>
          <w:trHeight w:val="302"/>
        </w:trPr>
        <w:tc>
          <w:tcPr>
            <w:tcW w:w="4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D2443" w:rsidR="009545F2" w:rsidP="009545F2" w:rsidRDefault="009545F2" w14:paraId="02AFB5F1" w14:textId="77777777">
            <w:pPr>
              <w:spacing w:before="40" w:after="40" w:line="264" w:lineRule="auto"/>
              <w:rPr>
                <w:rFonts w:asciiTheme="minorHAnsi" w:hAnsiTheme="minorHAnsi" w:cstheme="minorHAnsi"/>
                <w:bCs/>
                <w:color w:val="000000"/>
                <w:sz w:val="22"/>
                <w:szCs w:val="22"/>
              </w:rPr>
            </w:pPr>
            <w:r>
              <w:rPr>
                <w:rFonts w:asciiTheme="minorHAnsi" w:hAnsiTheme="minorHAnsi" w:cstheme="minorHAnsi"/>
                <w:bCs/>
                <w:color w:val="000000"/>
                <w:sz w:val="22"/>
                <w:szCs w:val="22"/>
              </w:rPr>
              <w:t>Principal survey</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9545F2" w:rsidP="009545F2" w:rsidRDefault="009545F2" w14:paraId="29E3A356" w14:textId="77777777">
            <w:pPr>
              <w:spacing w:before="40" w:after="40" w:line="264" w:lineRule="auto"/>
              <w:jc w:val="center"/>
              <w:rPr>
                <w:rFonts w:asciiTheme="minorHAnsi" w:hAnsiTheme="minorHAnsi" w:cstheme="minorBidi"/>
                <w:sz w:val="22"/>
                <w:szCs w:val="22"/>
              </w:rPr>
            </w:pPr>
            <w:r>
              <w:rPr>
                <w:rFonts w:asciiTheme="minorHAnsi" w:hAnsiTheme="minorHAnsi" w:cstheme="minorBidi"/>
                <w:sz w:val="22"/>
                <w:szCs w:val="22"/>
              </w:rPr>
              <w:t>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9545F2" w:rsidP="009545F2" w:rsidRDefault="009545F2" w14:paraId="1CFDEA58" w14:textId="77777777">
            <w:pPr>
              <w:spacing w:before="40" w:after="40" w:line="264" w:lineRule="auto"/>
              <w:jc w:val="center"/>
              <w:rPr>
                <w:rFonts w:asciiTheme="minorHAnsi" w:hAnsiTheme="minorHAnsi" w:cstheme="minorBidi"/>
                <w:sz w:val="22"/>
                <w:szCs w:val="22"/>
              </w:rPr>
            </w:pPr>
            <w:r>
              <w:rPr>
                <w:rFonts w:asciiTheme="minorHAnsi" w:hAnsiTheme="minorHAnsi" w:cstheme="minorBidi"/>
                <w:sz w:val="22"/>
                <w:szCs w:val="22"/>
              </w:rPr>
              <w:t>250.2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7C86FC44" w:rsidR="009545F2" w:rsidP="009545F2" w:rsidRDefault="009545F2" w14:paraId="5414031D" w14:textId="77777777">
            <w:pPr>
              <w:spacing w:before="40" w:after="40" w:line="264" w:lineRule="auto"/>
              <w:jc w:val="right"/>
              <w:rPr>
                <w:rFonts w:asciiTheme="minorHAnsi" w:hAnsiTheme="minorHAnsi" w:cstheme="minorBidi"/>
                <w:sz w:val="22"/>
                <w:szCs w:val="22"/>
              </w:rPr>
            </w:pPr>
            <w:r>
              <w:rPr>
                <w:rFonts w:asciiTheme="minorHAnsi" w:hAnsiTheme="minorHAnsi" w:cstheme="minorBidi"/>
                <w:sz w:val="22"/>
                <w:szCs w:val="22"/>
              </w:rPr>
              <w:t>$12,388.25</w:t>
            </w:r>
          </w:p>
        </w:tc>
      </w:tr>
      <w:tr w:rsidRPr="006D2443" w:rsidR="009545F2" w:rsidTr="005C2870" w14:paraId="6C52865B" w14:textId="77777777">
        <w:trPr>
          <w:cantSplit/>
          <w:trHeight w:val="300"/>
        </w:trPr>
        <w:tc>
          <w:tcPr>
            <w:tcW w:w="4860" w:type="dxa"/>
            <w:tcBorders>
              <w:top w:val="single" w:color="auto" w:sz="12" w:space="0"/>
              <w:left w:val="single" w:color="auto" w:sz="8" w:space="0"/>
              <w:bottom w:val="single" w:color="auto" w:sz="12" w:space="0"/>
              <w:right w:val="single" w:color="auto" w:sz="4" w:space="0"/>
            </w:tcBorders>
            <w:shd w:val="clear" w:color="auto" w:fill="auto"/>
            <w:noWrap/>
            <w:vAlign w:val="bottom"/>
            <w:hideMark/>
          </w:tcPr>
          <w:p w:rsidRPr="006D2443" w:rsidR="009545F2" w:rsidP="009545F2" w:rsidRDefault="009545F2" w14:paraId="7A9FAB4E" w14:textId="77777777">
            <w:pPr>
              <w:spacing w:line="240" w:lineRule="auto"/>
              <w:rPr>
                <w:rFonts w:asciiTheme="minorHAnsi" w:hAnsiTheme="minorHAnsi" w:cstheme="minorHAnsi"/>
                <w:b/>
                <w:bCs/>
                <w:sz w:val="22"/>
                <w:szCs w:val="22"/>
              </w:rPr>
            </w:pPr>
            <w:r w:rsidRPr="006D2443">
              <w:rPr>
                <w:rFonts w:asciiTheme="minorHAnsi" w:hAnsiTheme="minorHAnsi" w:cstheme="minorHAnsi"/>
                <w:b/>
                <w:bCs/>
                <w:sz w:val="22"/>
                <w:szCs w:val="22"/>
              </w:rPr>
              <w:t>Total</w:t>
            </w:r>
          </w:p>
        </w:tc>
        <w:tc>
          <w:tcPr>
            <w:tcW w:w="1500" w:type="dxa"/>
            <w:tcBorders>
              <w:top w:val="single" w:color="auto" w:sz="12" w:space="0"/>
              <w:left w:val="single" w:color="auto" w:sz="4" w:space="0"/>
              <w:bottom w:val="single" w:color="auto" w:sz="12" w:space="0"/>
              <w:right w:val="single" w:color="auto" w:sz="4" w:space="0"/>
            </w:tcBorders>
            <w:shd w:val="clear" w:color="auto" w:fill="auto"/>
            <w:noWrap/>
            <w:vAlign w:val="bottom"/>
          </w:tcPr>
          <w:p w:rsidRPr="006D2443" w:rsidR="009545F2" w:rsidP="009545F2" w:rsidRDefault="00FA50A3" w14:paraId="5A7BB90F" w14:textId="482AFBB7">
            <w:pPr>
              <w:jc w:val="center"/>
              <w:rPr>
                <w:rFonts w:asciiTheme="minorHAnsi" w:hAnsiTheme="minorHAnsi" w:cstheme="minorBidi"/>
                <w:b/>
                <w:bCs/>
                <w:sz w:val="22"/>
                <w:szCs w:val="22"/>
              </w:rPr>
            </w:pPr>
            <w:r>
              <w:rPr>
                <w:rFonts w:asciiTheme="minorHAnsi" w:hAnsiTheme="minorHAnsi" w:cstheme="minorBidi"/>
                <w:b/>
                <w:bCs/>
                <w:sz w:val="22"/>
                <w:szCs w:val="22"/>
              </w:rPr>
              <w:t>881</w:t>
            </w:r>
          </w:p>
        </w:tc>
        <w:tc>
          <w:tcPr>
            <w:tcW w:w="1500" w:type="dxa"/>
            <w:tcBorders>
              <w:top w:val="single" w:color="auto" w:sz="12" w:space="0"/>
              <w:left w:val="single" w:color="auto" w:sz="4" w:space="0"/>
              <w:bottom w:val="single" w:color="auto" w:sz="12" w:space="0"/>
              <w:right w:val="single" w:color="auto" w:sz="4" w:space="0"/>
            </w:tcBorders>
            <w:shd w:val="clear" w:color="auto" w:fill="auto"/>
            <w:noWrap/>
            <w:vAlign w:val="bottom"/>
          </w:tcPr>
          <w:p w:rsidRPr="006D2443" w:rsidR="009545F2" w:rsidP="009545F2" w:rsidRDefault="00FA50A3" w14:paraId="577759AD" w14:textId="3407808F">
            <w:pPr>
              <w:jc w:val="center"/>
              <w:rPr>
                <w:rFonts w:asciiTheme="minorHAnsi" w:hAnsiTheme="minorHAnsi" w:cstheme="minorBidi"/>
                <w:b/>
                <w:bCs/>
                <w:sz w:val="22"/>
                <w:szCs w:val="22"/>
              </w:rPr>
            </w:pPr>
            <w:r>
              <w:rPr>
                <w:rFonts w:asciiTheme="minorHAnsi" w:hAnsiTheme="minorHAnsi" w:cstheme="minorBidi"/>
                <w:b/>
                <w:bCs/>
                <w:sz w:val="22"/>
                <w:szCs w:val="22"/>
              </w:rPr>
              <w:t>666.5</w:t>
            </w:r>
          </w:p>
        </w:tc>
        <w:tc>
          <w:tcPr>
            <w:tcW w:w="1500" w:type="dxa"/>
            <w:tcBorders>
              <w:top w:val="single" w:color="auto" w:sz="12" w:space="0"/>
              <w:left w:val="single" w:color="auto" w:sz="4" w:space="0"/>
              <w:bottom w:val="single" w:color="auto" w:sz="12" w:space="0"/>
              <w:right w:val="single" w:color="auto" w:sz="4" w:space="0"/>
            </w:tcBorders>
            <w:shd w:val="clear" w:color="auto" w:fill="auto"/>
            <w:noWrap/>
            <w:vAlign w:val="bottom"/>
          </w:tcPr>
          <w:p w:rsidRPr="006D2443" w:rsidR="009545F2" w:rsidP="001401B5" w:rsidRDefault="009545F2" w14:paraId="18B82AE6" w14:textId="1EDBC910">
            <w:pPr>
              <w:jc w:val="center"/>
              <w:rPr>
                <w:rFonts w:asciiTheme="minorHAnsi" w:hAnsiTheme="minorHAnsi" w:cstheme="minorBidi"/>
                <w:b/>
                <w:bCs/>
                <w:sz w:val="22"/>
                <w:szCs w:val="22"/>
              </w:rPr>
            </w:pPr>
            <w:r w:rsidRPr="00801044">
              <w:rPr>
                <w:rFonts w:asciiTheme="minorHAnsi" w:hAnsiTheme="minorHAnsi" w:cstheme="minorHAnsi"/>
                <w:b/>
                <w:bCs/>
                <w:sz w:val="22"/>
                <w:szCs w:val="22"/>
              </w:rPr>
              <w:t>$</w:t>
            </w:r>
            <w:r w:rsidR="00FA50A3">
              <w:rPr>
                <w:rFonts w:asciiTheme="minorHAnsi" w:hAnsiTheme="minorHAnsi" w:cstheme="minorHAnsi"/>
                <w:b/>
                <w:bCs/>
                <w:sz w:val="22"/>
                <w:szCs w:val="22"/>
              </w:rPr>
              <w:t>33,005.08</w:t>
            </w:r>
          </w:p>
        </w:tc>
      </w:tr>
    </w:tbl>
    <w:p w:rsidRPr="00C62498" w:rsidR="009D16E8" w:rsidP="009D16E8" w:rsidRDefault="009D16E8" w14:paraId="34F931DE" w14:textId="7E18BD9F">
      <w:pPr>
        <w:spacing w:line="240" w:lineRule="auto"/>
        <w:rPr>
          <w:rFonts w:asciiTheme="minorHAnsi" w:hAnsiTheme="minorHAnsi" w:cstheme="minorHAnsi"/>
          <w:sz w:val="18"/>
          <w:szCs w:val="18"/>
        </w:rPr>
      </w:pPr>
      <w:r>
        <w:rPr>
          <w:rFonts w:asciiTheme="minorHAnsi" w:hAnsiTheme="minorHAnsi" w:cstheme="minorHAnsi"/>
          <w:sz w:val="18"/>
          <w:szCs w:val="18"/>
        </w:rPr>
        <w:t xml:space="preserve">NOTE: Assumes an hourly rate of </w:t>
      </w:r>
      <w:r>
        <w:rPr>
          <w:rFonts w:asciiTheme="minorHAnsi" w:hAnsiTheme="minorHAnsi"/>
          <w:sz w:val="18"/>
          <w:szCs w:val="18"/>
        </w:rPr>
        <w:t xml:space="preserve">$49.52 </w:t>
      </w:r>
      <w:r>
        <w:rPr>
          <w:rFonts w:asciiTheme="minorHAnsi" w:hAnsiTheme="minorHAnsi" w:cstheme="minorHAnsi"/>
          <w:sz w:val="18"/>
          <w:szCs w:val="18"/>
        </w:rPr>
        <w:t xml:space="preserve">per hour for </w:t>
      </w:r>
      <w:r w:rsidR="00235290">
        <w:rPr>
          <w:rFonts w:asciiTheme="minorHAnsi" w:hAnsiTheme="minorHAnsi" w:cstheme="minorHAnsi"/>
          <w:sz w:val="18"/>
          <w:szCs w:val="18"/>
        </w:rPr>
        <w:t xml:space="preserve">state, district, and school </w:t>
      </w:r>
      <w:r>
        <w:rPr>
          <w:rFonts w:asciiTheme="minorHAnsi" w:hAnsiTheme="minorHAnsi" w:cstheme="minorHAnsi"/>
          <w:sz w:val="18"/>
          <w:szCs w:val="18"/>
        </w:rPr>
        <w:t xml:space="preserve">educational administrators (derived from the Bureau of Labor Statistics’ Occupational Employment and Wages for educational administrators, May 2020. The mean hourly way was computed assuming 2,080 hours per year). </w:t>
      </w:r>
      <w:r w:rsidRPr="00C62498">
        <w:rPr>
          <w:rFonts w:asciiTheme="minorHAnsi" w:hAnsiTheme="minorHAnsi" w:cstheme="minorHAnsi"/>
          <w:sz w:val="18"/>
          <w:szCs w:val="18"/>
        </w:rPr>
        <w:t>See</w:t>
      </w:r>
      <w:r w:rsidRPr="00C62498">
        <w:rPr>
          <w:rFonts w:asciiTheme="minorHAnsi" w:hAnsiTheme="minorHAnsi" w:cstheme="minorHAnsi"/>
          <w:color w:val="1F497D"/>
          <w:sz w:val="18"/>
          <w:szCs w:val="18"/>
        </w:rPr>
        <w:t xml:space="preserve">: </w:t>
      </w:r>
      <w:hyperlink w:history="1" r:id="rId18">
        <w:r w:rsidRPr="00C62498">
          <w:rPr>
            <w:rStyle w:val="Hyperlink"/>
            <w:rFonts w:asciiTheme="minorHAnsi" w:hAnsiTheme="minorHAnsi" w:cstheme="minorHAnsi"/>
            <w:sz w:val="18"/>
            <w:szCs w:val="18"/>
          </w:rPr>
          <w:t>https://www.bls.gov/oes/current/oes119032.htm</w:t>
        </w:r>
      </w:hyperlink>
      <w:r w:rsidRPr="00C62498">
        <w:rPr>
          <w:rFonts w:asciiTheme="minorHAnsi" w:hAnsiTheme="minorHAnsi" w:cstheme="minorHAnsi"/>
          <w:sz w:val="18"/>
          <w:szCs w:val="18"/>
        </w:rPr>
        <w:t xml:space="preserve">). </w:t>
      </w:r>
    </w:p>
    <w:p w:rsidRPr="00C62498" w:rsidR="006B3338" w:rsidRDefault="006B3338" w14:paraId="56FADF33" w14:textId="77777777">
      <w:pPr>
        <w:spacing w:line="240" w:lineRule="auto"/>
        <w:rPr>
          <w:rFonts w:asciiTheme="minorHAnsi" w:hAnsiTheme="minorHAnsi" w:cstheme="minorHAnsi"/>
          <w:sz w:val="18"/>
          <w:szCs w:val="18"/>
        </w:rPr>
      </w:pPr>
    </w:p>
    <w:p w:rsidR="00672853" w:rsidP="004D3F4C" w:rsidRDefault="004A5734" w14:paraId="7151814A" w14:textId="77777777">
      <w:pPr>
        <w:pStyle w:val="Heading2"/>
      </w:pPr>
      <w:bookmarkStart w:name="_Toc90275985" w:id="17"/>
      <w:r>
        <w:lastRenderedPageBreak/>
        <w:t>A.13.</w:t>
      </w:r>
      <w:r>
        <w:tab/>
        <w:t>Estimates of the Cost Burden to Respondents</w:t>
      </w:r>
      <w:bookmarkEnd w:id="17"/>
    </w:p>
    <w:p w:rsidR="00585AB0" w:rsidP="00730CBE" w:rsidRDefault="004A5734" w14:paraId="68311BDC" w14:textId="77777777">
      <w:pPr>
        <w:pStyle w:val="L1-FlLSp12"/>
      </w:pPr>
      <w:r>
        <w:t>There is no annualized capital/startup or ongoing operation and maintenance costs associated with collecting the information.</w:t>
      </w:r>
    </w:p>
    <w:p w:rsidR="00672853" w:rsidP="004D3F4C" w:rsidRDefault="004A5734" w14:paraId="015150F7" w14:textId="77777777">
      <w:pPr>
        <w:pStyle w:val="Heading2"/>
      </w:pPr>
      <w:bookmarkStart w:name="_Toc90275986" w:id="18"/>
      <w:r>
        <w:t>A.14.</w:t>
      </w:r>
      <w:r>
        <w:tab/>
        <w:t>Estimates of Annualized Government Costs</w:t>
      </w:r>
      <w:bookmarkEnd w:id="18"/>
    </w:p>
    <w:p w:rsidRPr="00C62498" w:rsidR="00FA50A3" w:rsidP="00730CBE" w:rsidRDefault="00FA50A3" w14:paraId="19E925C5" w14:textId="3214EFA1">
      <w:pPr>
        <w:pStyle w:val="L1-FlLSp12"/>
      </w:pPr>
      <w:r w:rsidRPr="00C62498">
        <w:t xml:space="preserve">The amount for the design; conduct of the state, district, </w:t>
      </w:r>
      <w:r>
        <w:t xml:space="preserve">and </w:t>
      </w:r>
      <w:r w:rsidRPr="00C62498">
        <w:t>school</w:t>
      </w:r>
      <w:r>
        <w:t xml:space="preserve"> surveys</w:t>
      </w:r>
      <w:r w:rsidRPr="00C62498">
        <w:t>; and analysis and reporting related to the 2022 data collection is $</w:t>
      </w:r>
      <w:r>
        <w:t>4,382,704</w:t>
      </w:r>
      <w:r w:rsidRPr="00C62498">
        <w:t xml:space="preserve">. The annualized cost over </w:t>
      </w:r>
      <w:r w:rsidR="009A366C">
        <w:t>3</w:t>
      </w:r>
      <w:r w:rsidRPr="00C62498">
        <w:t xml:space="preserve"> years for these activities is $</w:t>
      </w:r>
      <w:r>
        <w:t>1,</w:t>
      </w:r>
      <w:r w:rsidR="009A366C">
        <w:t>460</w:t>
      </w:r>
      <w:r>
        <w:t>,</w:t>
      </w:r>
      <w:r w:rsidR="009A366C">
        <w:t>901</w:t>
      </w:r>
      <w:r w:rsidRPr="00C62498">
        <w:t>.</w:t>
      </w:r>
    </w:p>
    <w:p w:rsidR="00672853" w:rsidP="004D3F4C" w:rsidRDefault="004A5734" w14:paraId="3793870C" w14:textId="77777777">
      <w:pPr>
        <w:pStyle w:val="Heading2"/>
      </w:pPr>
      <w:bookmarkStart w:name="_Toc90275987" w:id="19"/>
      <w:r>
        <w:t>A.15.</w:t>
      </w:r>
      <w:r>
        <w:tab/>
        <w:t>Changes in Hour Burden</w:t>
      </w:r>
      <w:bookmarkEnd w:id="19"/>
    </w:p>
    <w:p w:rsidR="00FA50A3" w:rsidP="00730CBE" w:rsidRDefault="00FA50A3" w14:paraId="4118D079" w14:textId="49409DBF">
      <w:pPr>
        <w:pStyle w:val="L1-FlLSp12"/>
      </w:pPr>
      <w:r>
        <w:t xml:space="preserve">The 2022 data collection is a new collection. No changes apply. </w:t>
      </w:r>
    </w:p>
    <w:p w:rsidRPr="00406CBF" w:rsidR="009D6C28" w:rsidP="004D3F4C" w:rsidRDefault="004A5734" w14:paraId="50AFF4A4" w14:textId="77777777">
      <w:pPr>
        <w:pStyle w:val="Heading2"/>
      </w:pPr>
      <w:bookmarkStart w:name="_Toc90275988" w:id="20"/>
      <w:r>
        <w:t>A.16.</w:t>
      </w:r>
      <w:r>
        <w:tab/>
      </w:r>
      <w:r w:rsidRPr="00406CBF" w:rsidR="009D6C28">
        <w:t>Plans for Tabulation and Publication of Results</w:t>
      </w:r>
      <w:bookmarkEnd w:id="20"/>
    </w:p>
    <w:p w:rsidRPr="00067A51" w:rsidR="009D6C28" w:rsidP="00730CBE" w:rsidRDefault="00474F81" w14:paraId="54A97679" w14:textId="3B0AB51A">
      <w:pPr>
        <w:pStyle w:val="L1-FlLSp12"/>
        <w:rPr>
          <w:webHidden/>
        </w:rPr>
      </w:pPr>
      <w:r>
        <w:rPr>
          <w:webHidden/>
        </w:rPr>
        <w:t>T</w:t>
      </w:r>
      <w:r w:rsidRPr="00067A51" w:rsidR="00DD40C0">
        <w:rPr>
          <w:webHidden/>
        </w:rPr>
        <w:t xml:space="preserve">he </w:t>
      </w:r>
      <w:r w:rsidRPr="00067A51" w:rsidR="009D6C28">
        <w:rPr>
          <w:webHidden/>
        </w:rPr>
        <w:t xml:space="preserve">state, district, </w:t>
      </w:r>
      <w:r w:rsidR="00FA50A3">
        <w:rPr>
          <w:webHidden/>
        </w:rPr>
        <w:t xml:space="preserve">and </w:t>
      </w:r>
      <w:r w:rsidRPr="00067A51" w:rsidR="009D6C28">
        <w:rPr>
          <w:webHidden/>
        </w:rPr>
        <w:t>principal survey data</w:t>
      </w:r>
      <w:r w:rsidR="005C7A26">
        <w:rPr>
          <w:webHidden/>
        </w:rPr>
        <w:t xml:space="preserve"> </w:t>
      </w:r>
      <w:r w:rsidRPr="00067A51" w:rsidR="009D6C28">
        <w:rPr>
          <w:webHidden/>
        </w:rPr>
        <w:t xml:space="preserve">will be analyzed descriptively and summarized into </w:t>
      </w:r>
      <w:r w:rsidR="00CA5757">
        <w:rPr>
          <w:webHidden/>
        </w:rPr>
        <w:t>two</w:t>
      </w:r>
      <w:r w:rsidRPr="00067A51" w:rsidR="005342D4">
        <w:rPr>
          <w:webHidden/>
        </w:rPr>
        <w:t xml:space="preserve"> </w:t>
      </w:r>
      <w:r w:rsidRPr="00067A51" w:rsidR="009D6C28">
        <w:rPr>
          <w:webHidden/>
        </w:rPr>
        <w:t>reports</w:t>
      </w:r>
      <w:r w:rsidR="00CA5757">
        <w:rPr>
          <w:webHidden/>
        </w:rPr>
        <w:t xml:space="preserve">. One report will focus </w:t>
      </w:r>
      <w:proofErr w:type="gramStart"/>
      <w:r w:rsidR="00CA5757">
        <w:rPr>
          <w:webHidden/>
        </w:rPr>
        <w:t xml:space="preserve">on </w:t>
      </w:r>
      <w:r w:rsidRPr="00067A51" w:rsidR="009D6C28">
        <w:rPr>
          <w:webHidden/>
        </w:rPr>
        <w:t xml:space="preserve"> </w:t>
      </w:r>
      <w:r w:rsidRPr="00067A51" w:rsidR="00D03A5A">
        <w:rPr>
          <w:webHidden/>
        </w:rPr>
        <w:t>state</w:t>
      </w:r>
      <w:proofErr w:type="gramEnd"/>
      <w:r w:rsidRPr="00067A51" w:rsidR="00D03A5A">
        <w:rPr>
          <w:webHidden/>
        </w:rPr>
        <w:t xml:space="preserve"> content standards</w:t>
      </w:r>
      <w:r w:rsidR="00FA50A3">
        <w:rPr>
          <w:webHidden/>
        </w:rPr>
        <w:t>,</w:t>
      </w:r>
      <w:r w:rsidRPr="00067A51" w:rsidR="00D03A5A">
        <w:rPr>
          <w:webHidden/>
        </w:rPr>
        <w:t xml:space="preserve"> assessments</w:t>
      </w:r>
      <w:r w:rsidR="00266FDB">
        <w:rPr>
          <w:webHidden/>
        </w:rPr>
        <w:t>,</w:t>
      </w:r>
      <w:r w:rsidRPr="00067A51" w:rsidR="00D03A5A">
        <w:rPr>
          <w:webHidden/>
        </w:rPr>
        <w:t xml:space="preserve"> </w:t>
      </w:r>
      <w:r w:rsidR="00CA5757">
        <w:rPr>
          <w:webHidden/>
        </w:rPr>
        <w:t xml:space="preserve">and </w:t>
      </w:r>
      <w:r w:rsidRPr="00067A51" w:rsidR="00D03A5A">
        <w:rPr>
          <w:webHidden/>
        </w:rPr>
        <w:t>a</w:t>
      </w:r>
      <w:r w:rsidRPr="00067A51" w:rsidR="00D03A5A">
        <w:t>ccountability</w:t>
      </w:r>
      <w:r w:rsidR="00CA5757">
        <w:t xml:space="preserve"> </w:t>
      </w:r>
      <w:r w:rsidRPr="00067A51" w:rsidR="00D03A5A">
        <w:t>and support for low-performing schools</w:t>
      </w:r>
      <w:r w:rsidR="005342D4">
        <w:t xml:space="preserve"> (including CSI schools)</w:t>
      </w:r>
      <w:r w:rsidR="00CA5757">
        <w:t>. The second report will focus on</w:t>
      </w:r>
      <w:r w:rsidRPr="00067A51" w:rsidR="00D03A5A">
        <w:t xml:space="preserve"> </w:t>
      </w:r>
      <w:r w:rsidRPr="00067A51" w:rsidR="00267F52">
        <w:t xml:space="preserve">teacher </w:t>
      </w:r>
      <w:r w:rsidRPr="00067A51" w:rsidR="00D03A5A">
        <w:t xml:space="preserve">effectiveness. </w:t>
      </w:r>
    </w:p>
    <w:p w:rsidRPr="00067A51" w:rsidR="00884C62" w:rsidP="00730CBE" w:rsidRDefault="00BB2951" w14:paraId="2CC08575" w14:textId="77777777">
      <w:pPr>
        <w:pStyle w:val="L1-FlLSp12"/>
        <w:rPr>
          <w:webHidden/>
        </w:rPr>
      </w:pPr>
      <w:r w:rsidRPr="00067A51">
        <w:t>E</w:t>
      </w:r>
      <w:r w:rsidRPr="00067A51" w:rsidR="00884C62">
        <w:t xml:space="preserve">xtensive descriptive analyses will be conducted using </w:t>
      </w:r>
      <w:r w:rsidRPr="00067A51">
        <w:t xml:space="preserve">the </w:t>
      </w:r>
      <w:r w:rsidRPr="00067A51" w:rsidR="00884C62">
        <w:t xml:space="preserve">survey data. We anticipate that straightforward descriptive statistics (e.g., means, frequencies, and percentages) and simple statistical tests (e.g., tests for differences of </w:t>
      </w:r>
      <w:r w:rsidRPr="00067A51" w:rsidR="00267F52">
        <w:t xml:space="preserve">means and </w:t>
      </w:r>
      <w:r w:rsidRPr="00067A51" w:rsidR="00884C62">
        <w:t>proportions) will typically be used to answer the research questions. The study is descriptive and not designed to estimate the impact of federal policies on state and local actions.</w:t>
      </w:r>
    </w:p>
    <w:p w:rsidRPr="00067A51" w:rsidR="00884C62" w:rsidP="00730CBE" w:rsidRDefault="00884C62" w14:paraId="754028B6" w14:textId="3B1D1BDB">
      <w:pPr>
        <w:pStyle w:val="L1-FlLSp12"/>
      </w:pPr>
      <w:r w:rsidRPr="00067A51">
        <w:t>Cross-tabulations will be important to answer questions about variation across district</w:t>
      </w:r>
      <w:r w:rsidR="004D3BA3">
        <w:t xml:space="preserve"> and </w:t>
      </w:r>
      <w:r w:rsidRPr="00067A51" w:rsidR="00267F52">
        <w:t>school</w:t>
      </w:r>
      <w:r w:rsidRPr="00067A51">
        <w:t xml:space="preserve"> characteristics. The primary characteristics of interest for the cross-tabulations are:</w:t>
      </w:r>
    </w:p>
    <w:p w:rsidRPr="00067A51" w:rsidR="00BB2951" w:rsidP="004D3F4C" w:rsidRDefault="004F1A29" w14:paraId="35E989DA" w14:textId="77777777">
      <w:pPr>
        <w:pStyle w:val="N1-1stBullet"/>
      </w:pPr>
      <w:r w:rsidRPr="00067A51">
        <w:t>District poverty level</w:t>
      </w:r>
      <w:r w:rsidRPr="00067A51" w:rsidR="00BB2951">
        <w:t xml:space="preserve"> is included because Title I is specifically intended to ameliorate the effects of poverty on local funding constraints and educational opportunity.</w:t>
      </w:r>
    </w:p>
    <w:p w:rsidRPr="00067A51" w:rsidR="00BB2951" w:rsidP="004D3F4C" w:rsidRDefault="00BB2951" w14:paraId="5B5A31AE" w14:textId="77777777">
      <w:pPr>
        <w:pStyle w:val="N1-1stBullet"/>
      </w:pPr>
      <w:r w:rsidRPr="00067A51">
        <w:t xml:space="preserve">District size is included because it may be related to district capacity to develop and implement programs. </w:t>
      </w:r>
    </w:p>
    <w:p w:rsidRPr="00067A51" w:rsidR="00BB2951" w:rsidP="004D3F4C" w:rsidRDefault="004F1A29" w14:paraId="2E30D6F9" w14:textId="77777777">
      <w:pPr>
        <w:pStyle w:val="N1-1stBullet"/>
      </w:pPr>
      <w:r w:rsidRPr="00067A51">
        <w:t>District urbanicity</w:t>
      </w:r>
      <w:r w:rsidRPr="00067A51" w:rsidR="00BB2951">
        <w:t xml:space="preserve"> is included because of the relationships between educational opportunity and rural isolation and the concentration of poverty in urban schools.</w:t>
      </w:r>
    </w:p>
    <w:p w:rsidRPr="00067A51" w:rsidR="004F1A29" w:rsidP="004D3F4C" w:rsidRDefault="00BB2951" w14:paraId="22B3E47A" w14:textId="77777777">
      <w:pPr>
        <w:pStyle w:val="N1-1stBullet"/>
      </w:pPr>
      <w:r w:rsidRPr="00067A51">
        <w:t>School grade span (high school, middle, and elementary grades</w:t>
      </w:r>
      <w:r w:rsidRPr="00067A51" w:rsidR="004F1A29">
        <w:t xml:space="preserve">) </w:t>
      </w:r>
      <w:r w:rsidRPr="00067A51">
        <w:t xml:space="preserve">is included because the implementation of state content standards and aligned assessments as well as accountability </w:t>
      </w:r>
      <w:r w:rsidR="007662CE">
        <w:t>measures and approaches to improving student outcomes</w:t>
      </w:r>
      <w:r w:rsidRPr="00067A51" w:rsidR="007662CE">
        <w:t xml:space="preserve"> </w:t>
      </w:r>
      <w:r w:rsidRPr="00067A51">
        <w:t xml:space="preserve">likely differ by grade level. </w:t>
      </w:r>
    </w:p>
    <w:p w:rsidRPr="00067A51" w:rsidR="004F1A29" w:rsidP="004D3F4C" w:rsidRDefault="004F1A29" w14:paraId="6A50E3E0" w14:textId="77777777">
      <w:pPr>
        <w:pStyle w:val="N1-1stBullet"/>
      </w:pPr>
      <w:r w:rsidRPr="00067A51">
        <w:t xml:space="preserve">School </w:t>
      </w:r>
      <w:r w:rsidRPr="00067A51" w:rsidR="00BB2951">
        <w:t xml:space="preserve">Title I status is included because the focus of Title I </w:t>
      </w:r>
      <w:proofErr w:type="gramStart"/>
      <w:r w:rsidRPr="00067A51" w:rsidR="00BB2951">
        <w:t>funds</w:t>
      </w:r>
      <w:proofErr w:type="gramEnd"/>
      <w:r w:rsidRPr="00067A51" w:rsidR="00BB2951">
        <w:t xml:space="preserve"> and requirements is to influence state and district policy </w:t>
      </w:r>
      <w:r w:rsidR="003A5369">
        <w:t xml:space="preserve">to improve equitable access to </w:t>
      </w:r>
      <w:r w:rsidR="00953245">
        <w:t xml:space="preserve">educational </w:t>
      </w:r>
      <w:r w:rsidR="00AE7D10">
        <w:t xml:space="preserve">opportunities. </w:t>
      </w:r>
    </w:p>
    <w:p w:rsidRPr="00067A51" w:rsidR="00BB2951" w:rsidP="004D3F4C" w:rsidRDefault="004F1A29" w14:paraId="3C42F41F" w14:textId="77777777">
      <w:pPr>
        <w:pStyle w:val="N1-1stBullet"/>
      </w:pPr>
      <w:r w:rsidRPr="00067A51">
        <w:t xml:space="preserve">School </w:t>
      </w:r>
      <w:r w:rsidRPr="00067A51" w:rsidR="00BB2951">
        <w:t>CSI status is included because districts are encouraged by federal policy to focus on these lowest-performing schools to bring about improvements.</w:t>
      </w:r>
    </w:p>
    <w:p w:rsidRPr="00067A51" w:rsidR="00A540F1" w:rsidP="00730CBE" w:rsidRDefault="00A540F1" w14:paraId="5FCA7F22" w14:textId="16758024">
      <w:pPr>
        <w:pStyle w:val="L1-FlLSp12"/>
      </w:pPr>
      <w:r w:rsidRPr="00067A51">
        <w:lastRenderedPageBreak/>
        <w:t xml:space="preserve">The reports may include some limited analyses of cross-level implementation by examining responses of districts, </w:t>
      </w:r>
      <w:r w:rsidR="007F78D7">
        <w:t xml:space="preserve">and </w:t>
      </w:r>
      <w:r w:rsidRPr="00067A51">
        <w:t>principals by categories of state or district responses. These analyses will examine the relationship between policies and programs originating at the state or district level and implementation “on the ground” in districts</w:t>
      </w:r>
      <w:r w:rsidR="007F78D7">
        <w:t xml:space="preserve"> and </w:t>
      </w:r>
      <w:r w:rsidRPr="00067A51">
        <w:t xml:space="preserve">schools. Examples of such analyses include examining the actions planned by districts to turn around lowest-performing schools by the interventions required by </w:t>
      </w:r>
      <w:proofErr w:type="gramStart"/>
      <w:r w:rsidRPr="00067A51">
        <w:t>states</w:t>
      </w:r>
      <w:r w:rsidR="007F78D7">
        <w:t>.</w:t>
      </w:r>
      <w:r w:rsidRPr="00067A51">
        <w:t>.</w:t>
      </w:r>
      <w:proofErr w:type="gramEnd"/>
      <w:r w:rsidRPr="00067A51">
        <w:t xml:space="preserve"> </w:t>
      </w:r>
    </w:p>
    <w:p w:rsidRPr="00067A51" w:rsidR="00BB2951" w:rsidP="00730CBE" w:rsidRDefault="001A6484" w14:paraId="15423C91" w14:textId="05E604A5">
      <w:pPr>
        <w:pStyle w:val="L1-FlLSp12"/>
      </w:pPr>
      <w:r w:rsidRPr="00067A51">
        <w:t xml:space="preserve">For state data, the study will report numbers of states and unweighted means and percentages. </w:t>
      </w:r>
      <w:r w:rsidRPr="00067A51" w:rsidR="00BB2951">
        <w:t>Because of the use of a statistical sample, survey data presented for districts</w:t>
      </w:r>
      <w:r w:rsidR="007F78D7">
        <w:t xml:space="preserve"> and </w:t>
      </w:r>
      <w:r w:rsidRPr="00067A51" w:rsidR="00BB2951">
        <w:t xml:space="preserve">schools will be weighted to national totals. In addition, the descriptive tables will indicate where differences between subgroups are statistically significant. We will use Chi-Square tests to test for significant differences among distributions and </w:t>
      </w:r>
      <w:r w:rsidRPr="00067A51" w:rsidR="00BB2951">
        <w:rPr>
          <w:i/>
        </w:rPr>
        <w:t>t</w:t>
      </w:r>
      <w:r w:rsidRPr="00067A51" w:rsidR="00BB2951">
        <w:t>-tests for differences in means.</w:t>
      </w:r>
    </w:p>
    <w:p w:rsidR="000A0B4D" w:rsidP="00730CBE" w:rsidRDefault="000A0B4D" w14:paraId="6D610568" w14:textId="77777777">
      <w:pPr>
        <w:pStyle w:val="L1-FlLSp12"/>
      </w:pPr>
      <w:r w:rsidRPr="00067A51">
        <w:t>The</w:t>
      </w:r>
      <w:r w:rsidRPr="00067A51" w:rsidR="00A540F1">
        <w:t xml:space="preserve"> </w:t>
      </w:r>
      <w:r w:rsidRPr="00067A51">
        <w:t>reports</w:t>
      </w:r>
      <w:r w:rsidRPr="00067A51" w:rsidR="00634DFB">
        <w:t xml:space="preserve"> are expected to be published in </w:t>
      </w:r>
      <w:r w:rsidR="005342D4">
        <w:t>2023 and</w:t>
      </w:r>
      <w:r w:rsidRPr="00067A51" w:rsidR="005342D4">
        <w:t xml:space="preserve"> </w:t>
      </w:r>
      <w:r w:rsidRPr="00067A51" w:rsidR="00634DFB">
        <w:t>2024 and</w:t>
      </w:r>
      <w:r w:rsidRPr="00067A51">
        <w:t xml:space="preserve"> will be available on the IES website. Each report will be 15 pages, with a set of technical appendices and compendium of data tables. The reports will be written for an audience of policy makers and practitioners. The reports will follow the January 2020 IES Style and Report guidance and meet all 508 compliance requirements.</w:t>
      </w:r>
      <w:r w:rsidRPr="00850CC8">
        <w:t xml:space="preserve"> </w:t>
      </w:r>
    </w:p>
    <w:p w:rsidRPr="000B6E66" w:rsidR="006F68A4" w:rsidP="00730CBE" w:rsidRDefault="006F68A4" w14:paraId="6F34A76E" w14:textId="2FB48217">
      <w:pPr>
        <w:pStyle w:val="L1-FlLSp12"/>
      </w:pPr>
      <w:r>
        <w:t>In addition to the reports for the Title I/II</w:t>
      </w:r>
      <w:r w:rsidR="0074531C">
        <w:t>-A</w:t>
      </w:r>
      <w:r>
        <w:t xml:space="preserve"> study, some survey data will be shared with </w:t>
      </w:r>
      <w:r w:rsidR="001E5B1A">
        <w:t>th</w:t>
      </w:r>
      <w:r>
        <w:t>e other IES implementation studies noted in section A</w:t>
      </w:r>
      <w:r w:rsidR="003D2858">
        <w:t xml:space="preserve">.5 for their reporting. </w:t>
      </w:r>
      <w:r w:rsidR="00EE764F">
        <w:t>Specifically</w:t>
      </w:r>
      <w:r>
        <w:t xml:space="preserve">, because of the strong overlap in content, </w:t>
      </w:r>
      <w:r w:rsidR="009C5811">
        <w:t xml:space="preserve">survey </w:t>
      </w:r>
      <w:r>
        <w:t xml:space="preserve">data related to Comprehensive Support and Improvement schools will be shared with the </w:t>
      </w:r>
      <w:r w:rsidRPr="00217616">
        <w:rPr>
          <w:kern w:val="36"/>
        </w:rPr>
        <w:t>Study of School Improvement Plans and Their Implementation</w:t>
      </w:r>
      <w:r w:rsidR="003D2858">
        <w:rPr>
          <w:kern w:val="36"/>
        </w:rPr>
        <w:t xml:space="preserve">, and </w:t>
      </w:r>
      <w:r>
        <w:t>data related to English learners will be shared with the Title III study.</w:t>
      </w:r>
    </w:p>
    <w:p w:rsidR="00672853" w:rsidP="004D3F4C" w:rsidRDefault="004A5734" w14:paraId="1B918214" w14:textId="77777777">
      <w:pPr>
        <w:pStyle w:val="Heading2"/>
      </w:pPr>
      <w:bookmarkStart w:name="_Toc90275989" w:id="21"/>
      <w:r>
        <w:t>A.17.</w:t>
      </w:r>
      <w:r>
        <w:tab/>
        <w:t>Display of Expiration Date for OMB Approval</w:t>
      </w:r>
      <w:bookmarkEnd w:id="21"/>
    </w:p>
    <w:p w:rsidR="00672853" w:rsidP="00730CBE" w:rsidRDefault="004A5734" w14:paraId="542EAA72" w14:textId="77777777">
      <w:pPr>
        <w:pStyle w:val="L1-FlLSp12"/>
      </w:pPr>
      <w:r>
        <w:t xml:space="preserve">The Institute of Education Sciences is not requesting a waiver for the display of the OMB approval number and expiration date. All data collection materials will display the expiration date for OMB approval. </w:t>
      </w:r>
    </w:p>
    <w:p w:rsidR="00672853" w:rsidP="004D3F4C" w:rsidRDefault="004A5734" w14:paraId="492E356E" w14:textId="77777777">
      <w:pPr>
        <w:pStyle w:val="Heading2"/>
      </w:pPr>
      <w:bookmarkStart w:name="_Toc90275990" w:id="22"/>
      <w:r>
        <w:t>A.18.</w:t>
      </w:r>
      <w:r>
        <w:tab/>
        <w:t>Exceptions to Certification Statement</w:t>
      </w:r>
      <w:bookmarkEnd w:id="22"/>
    </w:p>
    <w:p w:rsidR="00672853" w:rsidP="00730CBE" w:rsidRDefault="004A5734" w14:paraId="6E8C149D" w14:textId="3DDE803F">
      <w:pPr>
        <w:pStyle w:val="L1-FlLSp12"/>
      </w:pPr>
      <w:r>
        <w:t xml:space="preserve">This submission does </w:t>
      </w:r>
      <w:r>
        <w:rPr>
          <w:b/>
          <w:bCs/>
          <w:i/>
          <w:iCs/>
        </w:rPr>
        <w:t>not</w:t>
      </w:r>
      <w:r>
        <w:t xml:space="preserve"> require an exception to the Certificate for </w:t>
      </w:r>
      <w:r>
        <w:rPr>
          <w:i/>
        </w:rPr>
        <w:t>Paperwork Reduction Act</w:t>
      </w:r>
      <w:r>
        <w:t xml:space="preserve"> </w:t>
      </w:r>
      <w:r>
        <w:br/>
        <w:t>(5 CFR 1320.9).</w:t>
      </w:r>
    </w:p>
    <w:sectPr w:rsidR="00672853">
      <w:headerReference w:type="default" r:id="rId19"/>
      <w:footerReference w:type="default" r:id="rId20"/>
      <w:footerReference w:type="first" r:id="rId21"/>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2AF1" w14:textId="77777777" w:rsidR="007108CD" w:rsidRDefault="007108CD">
      <w:pPr>
        <w:spacing w:line="240" w:lineRule="auto"/>
      </w:pPr>
      <w:r>
        <w:separator/>
      </w:r>
    </w:p>
  </w:endnote>
  <w:endnote w:type="continuationSeparator" w:id="0">
    <w:p w14:paraId="15B6FE3C" w14:textId="77777777" w:rsidR="007108CD" w:rsidRDefault="007108CD">
      <w:pPr>
        <w:spacing w:line="240" w:lineRule="auto"/>
      </w:pPr>
      <w:r>
        <w:continuationSeparator/>
      </w:r>
    </w:p>
  </w:endnote>
  <w:endnote w:type="continuationNotice" w:id="1">
    <w:p w14:paraId="5385FDAF" w14:textId="77777777" w:rsidR="007108CD" w:rsidRDefault="007108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5281" w14:textId="77777777" w:rsidR="00FE46B6" w:rsidRDefault="00FE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4DE6" w14:textId="77777777" w:rsidR="00152322" w:rsidRDefault="00152322" w:rsidP="009873EC">
    <w:pPr>
      <w:pStyle w:val="Footer"/>
      <w:pBdr>
        <w:top w:val="single" w:sz="36" w:space="1" w:color="30528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1A0B" w14:textId="77777777" w:rsidR="00152322" w:rsidRDefault="00152322" w:rsidP="009873EC">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11812"/>
      <w:docPartObj>
        <w:docPartGallery w:val="Page Numbers (Bottom of Page)"/>
        <w:docPartUnique/>
      </w:docPartObj>
    </w:sdtPr>
    <w:sdtEndPr>
      <w:rPr>
        <w:noProof/>
      </w:rPr>
    </w:sdtEndPr>
    <w:sdtContent>
      <w:p w14:paraId="1CDF1219" w14:textId="091819FA" w:rsidR="00152322" w:rsidRDefault="00152322">
        <w:pPr>
          <w:pStyle w:val="Footer"/>
          <w:jc w:val="cente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FE46B6">
          <w:rPr>
            <w:rFonts w:asciiTheme="minorHAnsi" w:hAnsiTheme="minorHAnsi" w:cstheme="minorHAnsi"/>
            <w:noProof/>
          </w:rPr>
          <w:t>i</w:t>
        </w:r>
        <w:r>
          <w:rPr>
            <w:rFonts w:asciiTheme="minorHAnsi" w:hAnsiTheme="minorHAnsi"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889620755"/>
      <w:docPartObj>
        <w:docPartGallery w:val="Page Numbers (Bottom of Page)"/>
        <w:docPartUnique/>
      </w:docPartObj>
    </w:sdtPr>
    <w:sdtEndPr>
      <w:rPr>
        <w:noProof/>
      </w:rPr>
    </w:sdtEndPr>
    <w:sdtContent>
      <w:p w14:paraId="72F19A56" w14:textId="4AD5FD4E" w:rsidR="00152322" w:rsidRPr="008340CE" w:rsidRDefault="00152322">
        <w:pPr>
          <w:pStyle w:val="Footer"/>
          <w:jc w:val="center"/>
          <w:rPr>
            <w:rFonts w:asciiTheme="minorHAnsi" w:hAnsiTheme="minorHAnsi" w:cstheme="minorHAnsi"/>
            <w:sz w:val="22"/>
            <w:szCs w:val="22"/>
          </w:rPr>
        </w:pPr>
        <w:r w:rsidRPr="008340CE">
          <w:rPr>
            <w:rFonts w:asciiTheme="minorHAnsi" w:hAnsiTheme="minorHAnsi" w:cstheme="minorHAnsi"/>
            <w:sz w:val="22"/>
            <w:szCs w:val="22"/>
          </w:rPr>
          <w:fldChar w:fldCharType="begin"/>
        </w:r>
        <w:r w:rsidRPr="008340CE">
          <w:rPr>
            <w:rFonts w:asciiTheme="minorHAnsi" w:hAnsiTheme="minorHAnsi" w:cstheme="minorHAnsi"/>
            <w:sz w:val="22"/>
            <w:szCs w:val="22"/>
          </w:rPr>
          <w:instrText xml:space="preserve"> PAGE   \* MERGEFORMAT </w:instrText>
        </w:r>
        <w:r w:rsidRPr="008340CE">
          <w:rPr>
            <w:rFonts w:asciiTheme="minorHAnsi" w:hAnsiTheme="minorHAnsi" w:cstheme="minorHAnsi"/>
            <w:sz w:val="22"/>
            <w:szCs w:val="22"/>
          </w:rPr>
          <w:fldChar w:fldCharType="separate"/>
        </w:r>
        <w:r w:rsidR="00FE46B6">
          <w:rPr>
            <w:rFonts w:asciiTheme="minorHAnsi" w:hAnsiTheme="minorHAnsi" w:cstheme="minorHAnsi"/>
            <w:noProof/>
            <w:sz w:val="22"/>
            <w:szCs w:val="22"/>
          </w:rPr>
          <w:t>9</w:t>
        </w:r>
        <w:r w:rsidRPr="008340CE">
          <w:rPr>
            <w:rFonts w:asciiTheme="minorHAnsi" w:hAnsiTheme="minorHAnsi" w:cstheme="minorHAnsi"/>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893804460"/>
      <w:docPartObj>
        <w:docPartGallery w:val="Page Numbers (Bottom of Page)"/>
        <w:docPartUnique/>
      </w:docPartObj>
    </w:sdtPr>
    <w:sdtEndPr>
      <w:rPr>
        <w:noProof/>
      </w:rPr>
    </w:sdtEndPr>
    <w:sdtContent>
      <w:p w14:paraId="4D0345F6" w14:textId="05C2A334" w:rsidR="00152322" w:rsidRPr="008340CE" w:rsidRDefault="00152322">
        <w:pPr>
          <w:pStyle w:val="Footer"/>
          <w:jc w:val="center"/>
          <w:rPr>
            <w:rFonts w:asciiTheme="minorHAnsi" w:hAnsiTheme="minorHAnsi" w:cstheme="minorHAnsi"/>
            <w:sz w:val="22"/>
            <w:szCs w:val="22"/>
          </w:rPr>
        </w:pPr>
        <w:r w:rsidRPr="008340CE">
          <w:rPr>
            <w:rFonts w:asciiTheme="minorHAnsi" w:hAnsiTheme="minorHAnsi" w:cstheme="minorHAnsi"/>
            <w:sz w:val="22"/>
            <w:szCs w:val="22"/>
          </w:rPr>
          <w:fldChar w:fldCharType="begin"/>
        </w:r>
        <w:r w:rsidRPr="008340CE">
          <w:rPr>
            <w:rFonts w:asciiTheme="minorHAnsi" w:hAnsiTheme="minorHAnsi" w:cstheme="minorHAnsi"/>
            <w:sz w:val="22"/>
            <w:szCs w:val="22"/>
          </w:rPr>
          <w:instrText xml:space="preserve"> PAGE   \* MERGEFORMAT </w:instrText>
        </w:r>
        <w:r w:rsidRPr="008340CE">
          <w:rPr>
            <w:rFonts w:asciiTheme="minorHAnsi" w:hAnsiTheme="minorHAnsi" w:cstheme="minorHAnsi"/>
            <w:sz w:val="22"/>
            <w:szCs w:val="22"/>
          </w:rPr>
          <w:fldChar w:fldCharType="separate"/>
        </w:r>
        <w:r w:rsidR="00FE46B6">
          <w:rPr>
            <w:rFonts w:asciiTheme="minorHAnsi" w:hAnsiTheme="minorHAnsi" w:cstheme="minorHAnsi"/>
            <w:noProof/>
            <w:sz w:val="22"/>
            <w:szCs w:val="22"/>
          </w:rPr>
          <w:t>1</w:t>
        </w:r>
        <w:r w:rsidRPr="008340CE">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D5C9" w14:textId="77777777" w:rsidR="007108CD" w:rsidRDefault="007108CD">
      <w:pPr>
        <w:spacing w:line="240" w:lineRule="auto"/>
      </w:pPr>
      <w:r>
        <w:separator/>
      </w:r>
    </w:p>
  </w:footnote>
  <w:footnote w:type="continuationSeparator" w:id="0">
    <w:p w14:paraId="3D0E6627" w14:textId="77777777" w:rsidR="007108CD" w:rsidRDefault="007108CD">
      <w:pPr>
        <w:spacing w:line="240" w:lineRule="auto"/>
      </w:pPr>
      <w:r>
        <w:continuationSeparator/>
      </w:r>
    </w:p>
  </w:footnote>
  <w:footnote w:type="continuationNotice" w:id="1">
    <w:p w14:paraId="6113F317" w14:textId="77777777" w:rsidR="007108CD" w:rsidRDefault="007108CD">
      <w:pPr>
        <w:spacing w:line="240" w:lineRule="auto"/>
      </w:pPr>
    </w:p>
  </w:footnote>
  <w:footnote w:id="2">
    <w:p w14:paraId="48FF1CB3" w14:textId="77777777" w:rsidR="00152322" w:rsidRPr="00413808" w:rsidRDefault="00152322">
      <w:pPr>
        <w:pStyle w:val="FootnoteText"/>
        <w:rPr>
          <w:szCs w:val="16"/>
        </w:rPr>
      </w:pPr>
      <w:r>
        <w:rPr>
          <w:rStyle w:val="FootnoteReference"/>
        </w:rPr>
        <w:footnoteRef/>
      </w:r>
      <w:r>
        <w:tab/>
        <w:t xml:space="preserve">U.S. Department of Education. (2020). </w:t>
      </w:r>
      <w:r w:rsidRPr="00BF063D">
        <w:rPr>
          <w:i/>
        </w:rPr>
        <w:t>Fiscal year 2020 Congressional Action: 2020 Appropriations</w:t>
      </w:r>
      <w:r>
        <w:t xml:space="preserve">. </w:t>
      </w:r>
      <w:r w:rsidRPr="007E23BD">
        <w:rPr>
          <w:szCs w:val="16"/>
        </w:rPr>
        <w:t>Downloaded from:</w:t>
      </w:r>
      <w:r>
        <w:rPr>
          <w:szCs w:val="16"/>
        </w:rPr>
        <w:t xml:space="preserve"> </w:t>
      </w:r>
      <w:hyperlink r:id="rId1" w:history="1">
        <w:r w:rsidRPr="00FF7F8B">
          <w:rPr>
            <w:color w:val="0000FF"/>
            <w:szCs w:val="16"/>
            <w:u w:val="single"/>
          </w:rPr>
          <w:t>Department of Education Fiscal Year 2020 Congressional Action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495C" w14:textId="77777777" w:rsidR="00FE46B6" w:rsidRDefault="00FE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35D2" w14:textId="77777777" w:rsidR="00152322" w:rsidRDefault="00152322" w:rsidP="009873EC">
    <w:pPr>
      <w:pStyle w:val="Header"/>
      <w:spacing w:line="14" w:lineRule="exact"/>
    </w:pPr>
    <w:r>
      <w:rPr>
        <w:noProof/>
      </w:rPr>
      <w:drawing>
        <wp:anchor distT="0" distB="0" distL="114300" distR="114300" simplePos="0" relativeHeight="251658240" behindDoc="1" locked="0" layoutInCell="1" allowOverlap="1" wp14:anchorId="09DB1889" wp14:editId="3548E828">
          <wp:simplePos x="0" y="0"/>
          <wp:positionH relativeFrom="column">
            <wp:posOffset>-77098</wp:posOffset>
          </wp:positionH>
          <wp:positionV relativeFrom="paragraph">
            <wp:posOffset>1928941</wp:posOffset>
          </wp:positionV>
          <wp:extent cx="6949440" cy="6721029"/>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0E2E" w14:textId="77777777" w:rsidR="00152322" w:rsidRDefault="00152322" w:rsidP="009873EC">
    <w:pPr>
      <w:pStyle w:val="Header"/>
      <w:ind w:left="-540" w:right="-6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1225" w14:textId="77777777" w:rsidR="00152322" w:rsidRDefault="00152322" w:rsidP="009873EC">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0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2E83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F449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2E7C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9E3A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6CCD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10E8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BA99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D8C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04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964689"/>
    <w:multiLevelType w:val="hybridMultilevel"/>
    <w:tmpl w:val="4E02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84137"/>
    <w:multiLevelType w:val="hybridMultilevel"/>
    <w:tmpl w:val="06BCD5DE"/>
    <w:lvl w:ilvl="0" w:tplc="95AE9AFE">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78613F"/>
    <w:multiLevelType w:val="hybridMultilevel"/>
    <w:tmpl w:val="9564B2F6"/>
    <w:lvl w:ilvl="0" w:tplc="61A0D038">
      <w:start w:val="1"/>
      <w:numFmt w:val="bullet"/>
      <w:pStyle w:val="Bullet"/>
      <w:lvlText w:val=""/>
      <w:lvlJc w:val="left"/>
      <w:pPr>
        <w:ind w:left="540"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92A3C67"/>
    <w:multiLevelType w:val="hybridMultilevel"/>
    <w:tmpl w:val="BEEE6C50"/>
    <w:lvl w:ilvl="0" w:tplc="98440A16">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1"/>
  </w:num>
  <w:num w:numId="5">
    <w:abstractNumId w:val="16"/>
  </w:num>
  <w:num w:numId="6">
    <w:abstractNumId w:val="12"/>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F564B8"/>
    <w:rsid w:val="000012F9"/>
    <w:rsid w:val="000017A5"/>
    <w:rsid w:val="00002516"/>
    <w:rsid w:val="000039CB"/>
    <w:rsid w:val="0000553C"/>
    <w:rsid w:val="000074F0"/>
    <w:rsid w:val="000139A8"/>
    <w:rsid w:val="000222D3"/>
    <w:rsid w:val="0002391D"/>
    <w:rsid w:val="000253F5"/>
    <w:rsid w:val="00030336"/>
    <w:rsid w:val="00032313"/>
    <w:rsid w:val="000328DF"/>
    <w:rsid w:val="00032C94"/>
    <w:rsid w:val="00033BED"/>
    <w:rsid w:val="0003678A"/>
    <w:rsid w:val="0004236F"/>
    <w:rsid w:val="000462D9"/>
    <w:rsid w:val="00046F02"/>
    <w:rsid w:val="00050A20"/>
    <w:rsid w:val="0005407E"/>
    <w:rsid w:val="0006109E"/>
    <w:rsid w:val="00063F38"/>
    <w:rsid w:val="00067A51"/>
    <w:rsid w:val="0007326E"/>
    <w:rsid w:val="00081E74"/>
    <w:rsid w:val="00083601"/>
    <w:rsid w:val="00087255"/>
    <w:rsid w:val="00087D8D"/>
    <w:rsid w:val="00090140"/>
    <w:rsid w:val="0009268A"/>
    <w:rsid w:val="00092847"/>
    <w:rsid w:val="000A0B4D"/>
    <w:rsid w:val="000A0DEB"/>
    <w:rsid w:val="000A3A19"/>
    <w:rsid w:val="000A42DD"/>
    <w:rsid w:val="000A4A9A"/>
    <w:rsid w:val="000A4EB6"/>
    <w:rsid w:val="000A7B29"/>
    <w:rsid w:val="000B02F6"/>
    <w:rsid w:val="000B53C8"/>
    <w:rsid w:val="000B63FE"/>
    <w:rsid w:val="000C0995"/>
    <w:rsid w:val="000C29AC"/>
    <w:rsid w:val="000C4295"/>
    <w:rsid w:val="000C7FDC"/>
    <w:rsid w:val="000D16B1"/>
    <w:rsid w:val="000E70D9"/>
    <w:rsid w:val="000E797C"/>
    <w:rsid w:val="000E7EF4"/>
    <w:rsid w:val="000F1089"/>
    <w:rsid w:val="000F1705"/>
    <w:rsid w:val="000F1E67"/>
    <w:rsid w:val="000F1E9F"/>
    <w:rsid w:val="000F2777"/>
    <w:rsid w:val="000F29BB"/>
    <w:rsid w:val="000F35DE"/>
    <w:rsid w:val="000F4AEF"/>
    <w:rsid w:val="00100200"/>
    <w:rsid w:val="00102A8B"/>
    <w:rsid w:val="001041C3"/>
    <w:rsid w:val="00107AD5"/>
    <w:rsid w:val="00107F55"/>
    <w:rsid w:val="0011016A"/>
    <w:rsid w:val="00112EAE"/>
    <w:rsid w:val="0011316C"/>
    <w:rsid w:val="00121580"/>
    <w:rsid w:val="001401B5"/>
    <w:rsid w:val="00140CE3"/>
    <w:rsid w:val="0014164C"/>
    <w:rsid w:val="0014391A"/>
    <w:rsid w:val="00152322"/>
    <w:rsid w:val="0015296A"/>
    <w:rsid w:val="00176D39"/>
    <w:rsid w:val="001810BA"/>
    <w:rsid w:val="00181177"/>
    <w:rsid w:val="0018788F"/>
    <w:rsid w:val="00190F36"/>
    <w:rsid w:val="00192EE0"/>
    <w:rsid w:val="00194EFF"/>
    <w:rsid w:val="001A56A0"/>
    <w:rsid w:val="001A6484"/>
    <w:rsid w:val="001A73E9"/>
    <w:rsid w:val="001B05D3"/>
    <w:rsid w:val="001B0994"/>
    <w:rsid w:val="001B188B"/>
    <w:rsid w:val="001B62B8"/>
    <w:rsid w:val="001B6B99"/>
    <w:rsid w:val="001B7747"/>
    <w:rsid w:val="001C1316"/>
    <w:rsid w:val="001C5BF7"/>
    <w:rsid w:val="001D261C"/>
    <w:rsid w:val="001D5EA9"/>
    <w:rsid w:val="001E3F7A"/>
    <w:rsid w:val="001E5B1A"/>
    <w:rsid w:val="001E6774"/>
    <w:rsid w:val="001E73A0"/>
    <w:rsid w:val="001F187E"/>
    <w:rsid w:val="001F2A60"/>
    <w:rsid w:val="001F3DEA"/>
    <w:rsid w:val="001F405C"/>
    <w:rsid w:val="001F4FC9"/>
    <w:rsid w:val="001F5493"/>
    <w:rsid w:val="001F7BDB"/>
    <w:rsid w:val="00200BA6"/>
    <w:rsid w:val="00202FB1"/>
    <w:rsid w:val="00214959"/>
    <w:rsid w:val="002156D7"/>
    <w:rsid w:val="00220FDD"/>
    <w:rsid w:val="0022120C"/>
    <w:rsid w:val="002251D2"/>
    <w:rsid w:val="00230137"/>
    <w:rsid w:val="00233298"/>
    <w:rsid w:val="0023353E"/>
    <w:rsid w:val="00235290"/>
    <w:rsid w:val="00245FD8"/>
    <w:rsid w:val="00252622"/>
    <w:rsid w:val="00253EFE"/>
    <w:rsid w:val="002544A9"/>
    <w:rsid w:val="0025460D"/>
    <w:rsid w:val="0025508F"/>
    <w:rsid w:val="002554CC"/>
    <w:rsid w:val="00255882"/>
    <w:rsid w:val="00261268"/>
    <w:rsid w:val="00266FDB"/>
    <w:rsid w:val="002675A7"/>
    <w:rsid w:val="00267F52"/>
    <w:rsid w:val="00270877"/>
    <w:rsid w:val="00270FD2"/>
    <w:rsid w:val="002743CA"/>
    <w:rsid w:val="002768D5"/>
    <w:rsid w:val="00276F00"/>
    <w:rsid w:val="00287863"/>
    <w:rsid w:val="0029415D"/>
    <w:rsid w:val="00297D47"/>
    <w:rsid w:val="002A0A5C"/>
    <w:rsid w:val="002A51F4"/>
    <w:rsid w:val="002B06FB"/>
    <w:rsid w:val="002B18E6"/>
    <w:rsid w:val="002B2F3D"/>
    <w:rsid w:val="002B3D2E"/>
    <w:rsid w:val="002C0273"/>
    <w:rsid w:val="002C321B"/>
    <w:rsid w:val="002C3CFE"/>
    <w:rsid w:val="002C3E60"/>
    <w:rsid w:val="002E48A3"/>
    <w:rsid w:val="002F4C20"/>
    <w:rsid w:val="002F5D80"/>
    <w:rsid w:val="00303D3B"/>
    <w:rsid w:val="00305C9F"/>
    <w:rsid w:val="003066A9"/>
    <w:rsid w:val="00307DD6"/>
    <w:rsid w:val="00310AA0"/>
    <w:rsid w:val="00313E72"/>
    <w:rsid w:val="0031646E"/>
    <w:rsid w:val="00323168"/>
    <w:rsid w:val="00325718"/>
    <w:rsid w:val="00333E4B"/>
    <w:rsid w:val="003350B7"/>
    <w:rsid w:val="00336A94"/>
    <w:rsid w:val="0033777F"/>
    <w:rsid w:val="003443BB"/>
    <w:rsid w:val="0034565A"/>
    <w:rsid w:val="0034582F"/>
    <w:rsid w:val="00347200"/>
    <w:rsid w:val="00351D0F"/>
    <w:rsid w:val="003543F9"/>
    <w:rsid w:val="003548B8"/>
    <w:rsid w:val="00354DF0"/>
    <w:rsid w:val="00364D99"/>
    <w:rsid w:val="00365BA2"/>
    <w:rsid w:val="00365BA9"/>
    <w:rsid w:val="00366724"/>
    <w:rsid w:val="00371F0E"/>
    <w:rsid w:val="00372743"/>
    <w:rsid w:val="0037716B"/>
    <w:rsid w:val="00377CFD"/>
    <w:rsid w:val="00382AA7"/>
    <w:rsid w:val="003845D6"/>
    <w:rsid w:val="00384BD6"/>
    <w:rsid w:val="00385D4D"/>
    <w:rsid w:val="00387781"/>
    <w:rsid w:val="00387DE2"/>
    <w:rsid w:val="00390E47"/>
    <w:rsid w:val="003917BA"/>
    <w:rsid w:val="003949C9"/>
    <w:rsid w:val="003A0DC4"/>
    <w:rsid w:val="003A0FB9"/>
    <w:rsid w:val="003A3B2E"/>
    <w:rsid w:val="003A52A7"/>
    <w:rsid w:val="003A5369"/>
    <w:rsid w:val="003B2277"/>
    <w:rsid w:val="003B76DA"/>
    <w:rsid w:val="003B7D85"/>
    <w:rsid w:val="003C12DD"/>
    <w:rsid w:val="003C1C8F"/>
    <w:rsid w:val="003C3FA3"/>
    <w:rsid w:val="003C4347"/>
    <w:rsid w:val="003C6529"/>
    <w:rsid w:val="003D245E"/>
    <w:rsid w:val="003D2858"/>
    <w:rsid w:val="003D2DE7"/>
    <w:rsid w:val="003D4F2A"/>
    <w:rsid w:val="003E1AF9"/>
    <w:rsid w:val="003F00F0"/>
    <w:rsid w:val="003F2F4A"/>
    <w:rsid w:val="003F3134"/>
    <w:rsid w:val="003F6632"/>
    <w:rsid w:val="003F7314"/>
    <w:rsid w:val="00400046"/>
    <w:rsid w:val="00400426"/>
    <w:rsid w:val="00400690"/>
    <w:rsid w:val="00404E24"/>
    <w:rsid w:val="00406CBF"/>
    <w:rsid w:val="004074E2"/>
    <w:rsid w:val="00412205"/>
    <w:rsid w:val="00413808"/>
    <w:rsid w:val="0041671D"/>
    <w:rsid w:val="00417507"/>
    <w:rsid w:val="00420A37"/>
    <w:rsid w:val="004244FA"/>
    <w:rsid w:val="00424961"/>
    <w:rsid w:val="0042528C"/>
    <w:rsid w:val="00425F32"/>
    <w:rsid w:val="004326A4"/>
    <w:rsid w:val="00434740"/>
    <w:rsid w:val="0043571C"/>
    <w:rsid w:val="00435EB5"/>
    <w:rsid w:val="00444270"/>
    <w:rsid w:val="00447254"/>
    <w:rsid w:val="00447BE9"/>
    <w:rsid w:val="004550F7"/>
    <w:rsid w:val="00455E3A"/>
    <w:rsid w:val="00455FD2"/>
    <w:rsid w:val="00462C32"/>
    <w:rsid w:val="00466375"/>
    <w:rsid w:val="00471B81"/>
    <w:rsid w:val="00474F81"/>
    <w:rsid w:val="00485074"/>
    <w:rsid w:val="004854B1"/>
    <w:rsid w:val="00491770"/>
    <w:rsid w:val="00493D3A"/>
    <w:rsid w:val="004979B8"/>
    <w:rsid w:val="004A1C89"/>
    <w:rsid w:val="004A3526"/>
    <w:rsid w:val="004A5152"/>
    <w:rsid w:val="004A5734"/>
    <w:rsid w:val="004A5F7E"/>
    <w:rsid w:val="004B73EA"/>
    <w:rsid w:val="004C01A3"/>
    <w:rsid w:val="004C7989"/>
    <w:rsid w:val="004D075B"/>
    <w:rsid w:val="004D3BA3"/>
    <w:rsid w:val="004D3F4C"/>
    <w:rsid w:val="004D78F7"/>
    <w:rsid w:val="004D7BC7"/>
    <w:rsid w:val="004E30AA"/>
    <w:rsid w:val="004E39DF"/>
    <w:rsid w:val="004F0D17"/>
    <w:rsid w:val="004F1A29"/>
    <w:rsid w:val="00500D16"/>
    <w:rsid w:val="00501F94"/>
    <w:rsid w:val="005062F3"/>
    <w:rsid w:val="00506A5B"/>
    <w:rsid w:val="005108F9"/>
    <w:rsid w:val="00510D11"/>
    <w:rsid w:val="00512C3E"/>
    <w:rsid w:val="00514D18"/>
    <w:rsid w:val="00515655"/>
    <w:rsid w:val="005158A7"/>
    <w:rsid w:val="00517A86"/>
    <w:rsid w:val="005220C7"/>
    <w:rsid w:val="005227DB"/>
    <w:rsid w:val="00522811"/>
    <w:rsid w:val="005274EA"/>
    <w:rsid w:val="00533E90"/>
    <w:rsid w:val="005342D4"/>
    <w:rsid w:val="00535A5F"/>
    <w:rsid w:val="00536269"/>
    <w:rsid w:val="00540EEC"/>
    <w:rsid w:val="00542CA5"/>
    <w:rsid w:val="00547E37"/>
    <w:rsid w:val="00552301"/>
    <w:rsid w:val="00554776"/>
    <w:rsid w:val="00557F29"/>
    <w:rsid w:val="00563211"/>
    <w:rsid w:val="005650CC"/>
    <w:rsid w:val="00565264"/>
    <w:rsid w:val="005660C1"/>
    <w:rsid w:val="00566D57"/>
    <w:rsid w:val="00575AAB"/>
    <w:rsid w:val="005800E5"/>
    <w:rsid w:val="005814ED"/>
    <w:rsid w:val="00585AB0"/>
    <w:rsid w:val="005922DB"/>
    <w:rsid w:val="00594D62"/>
    <w:rsid w:val="005962FC"/>
    <w:rsid w:val="005A2955"/>
    <w:rsid w:val="005B058E"/>
    <w:rsid w:val="005B0BB0"/>
    <w:rsid w:val="005B10CD"/>
    <w:rsid w:val="005B1388"/>
    <w:rsid w:val="005B1513"/>
    <w:rsid w:val="005B3988"/>
    <w:rsid w:val="005B7414"/>
    <w:rsid w:val="005B77AD"/>
    <w:rsid w:val="005B77D5"/>
    <w:rsid w:val="005C2870"/>
    <w:rsid w:val="005C7A26"/>
    <w:rsid w:val="005D2D6E"/>
    <w:rsid w:val="005E2602"/>
    <w:rsid w:val="005E4FA4"/>
    <w:rsid w:val="005E6E23"/>
    <w:rsid w:val="005F025E"/>
    <w:rsid w:val="005F209A"/>
    <w:rsid w:val="005F4525"/>
    <w:rsid w:val="005F4FAF"/>
    <w:rsid w:val="005F641B"/>
    <w:rsid w:val="005F7206"/>
    <w:rsid w:val="006015A1"/>
    <w:rsid w:val="00601CEF"/>
    <w:rsid w:val="00603C96"/>
    <w:rsid w:val="006045FD"/>
    <w:rsid w:val="006051F6"/>
    <w:rsid w:val="006219CF"/>
    <w:rsid w:val="006228F8"/>
    <w:rsid w:val="006236F4"/>
    <w:rsid w:val="006253D5"/>
    <w:rsid w:val="00625F39"/>
    <w:rsid w:val="00626DED"/>
    <w:rsid w:val="00634DFB"/>
    <w:rsid w:val="00637D21"/>
    <w:rsid w:val="0064210D"/>
    <w:rsid w:val="00642B55"/>
    <w:rsid w:val="00644B14"/>
    <w:rsid w:val="00651A78"/>
    <w:rsid w:val="006565E4"/>
    <w:rsid w:val="0066072F"/>
    <w:rsid w:val="006617AA"/>
    <w:rsid w:val="00661B4A"/>
    <w:rsid w:val="00661FA1"/>
    <w:rsid w:val="006648F0"/>
    <w:rsid w:val="00664925"/>
    <w:rsid w:val="00672853"/>
    <w:rsid w:val="0067469E"/>
    <w:rsid w:val="00680E34"/>
    <w:rsid w:val="006810A1"/>
    <w:rsid w:val="00681648"/>
    <w:rsid w:val="00682B63"/>
    <w:rsid w:val="00684B78"/>
    <w:rsid w:val="00694992"/>
    <w:rsid w:val="006965F0"/>
    <w:rsid w:val="00696E51"/>
    <w:rsid w:val="00697283"/>
    <w:rsid w:val="00697CA3"/>
    <w:rsid w:val="006A3025"/>
    <w:rsid w:val="006B3338"/>
    <w:rsid w:val="006B50CE"/>
    <w:rsid w:val="006B531F"/>
    <w:rsid w:val="006B708D"/>
    <w:rsid w:val="006C02CF"/>
    <w:rsid w:val="006C0BAA"/>
    <w:rsid w:val="006C61D9"/>
    <w:rsid w:val="006C63A3"/>
    <w:rsid w:val="006C7E51"/>
    <w:rsid w:val="006D0EC6"/>
    <w:rsid w:val="006D2443"/>
    <w:rsid w:val="006D34B2"/>
    <w:rsid w:val="006D57C9"/>
    <w:rsid w:val="006D5F3B"/>
    <w:rsid w:val="006D65FB"/>
    <w:rsid w:val="006E04CF"/>
    <w:rsid w:val="006E0952"/>
    <w:rsid w:val="006E09D7"/>
    <w:rsid w:val="006E3843"/>
    <w:rsid w:val="006E3E02"/>
    <w:rsid w:val="006E55F9"/>
    <w:rsid w:val="006F2096"/>
    <w:rsid w:val="006F443A"/>
    <w:rsid w:val="006F5113"/>
    <w:rsid w:val="006F58AD"/>
    <w:rsid w:val="006F6496"/>
    <w:rsid w:val="006F68A4"/>
    <w:rsid w:val="006F72A9"/>
    <w:rsid w:val="0070161C"/>
    <w:rsid w:val="0070279F"/>
    <w:rsid w:val="0070280C"/>
    <w:rsid w:val="0070365C"/>
    <w:rsid w:val="007058B4"/>
    <w:rsid w:val="0070596A"/>
    <w:rsid w:val="007108CD"/>
    <w:rsid w:val="00710FBE"/>
    <w:rsid w:val="007115CB"/>
    <w:rsid w:val="007153D7"/>
    <w:rsid w:val="00721CB8"/>
    <w:rsid w:val="00722696"/>
    <w:rsid w:val="007239AC"/>
    <w:rsid w:val="007241CB"/>
    <w:rsid w:val="00724902"/>
    <w:rsid w:val="00730CBE"/>
    <w:rsid w:val="007322D4"/>
    <w:rsid w:val="0074531C"/>
    <w:rsid w:val="00750954"/>
    <w:rsid w:val="00750A02"/>
    <w:rsid w:val="007527FF"/>
    <w:rsid w:val="007613A5"/>
    <w:rsid w:val="00761707"/>
    <w:rsid w:val="00763006"/>
    <w:rsid w:val="007662CE"/>
    <w:rsid w:val="00770D61"/>
    <w:rsid w:val="0077137D"/>
    <w:rsid w:val="007723BF"/>
    <w:rsid w:val="00772B53"/>
    <w:rsid w:val="00774462"/>
    <w:rsid w:val="00784E6D"/>
    <w:rsid w:val="00785D43"/>
    <w:rsid w:val="007907F3"/>
    <w:rsid w:val="007960CA"/>
    <w:rsid w:val="007A18F6"/>
    <w:rsid w:val="007A30CB"/>
    <w:rsid w:val="007B07AC"/>
    <w:rsid w:val="007B155B"/>
    <w:rsid w:val="007B3A39"/>
    <w:rsid w:val="007B5201"/>
    <w:rsid w:val="007B6EE4"/>
    <w:rsid w:val="007C0AB1"/>
    <w:rsid w:val="007C6515"/>
    <w:rsid w:val="007C6AEA"/>
    <w:rsid w:val="007D0501"/>
    <w:rsid w:val="007D12CF"/>
    <w:rsid w:val="007D5834"/>
    <w:rsid w:val="007E09E2"/>
    <w:rsid w:val="007E1922"/>
    <w:rsid w:val="007E23BD"/>
    <w:rsid w:val="007E4872"/>
    <w:rsid w:val="007E76AE"/>
    <w:rsid w:val="007E7755"/>
    <w:rsid w:val="007E7A5F"/>
    <w:rsid w:val="007F0776"/>
    <w:rsid w:val="007F0E90"/>
    <w:rsid w:val="007F3CAF"/>
    <w:rsid w:val="007F4DDA"/>
    <w:rsid w:val="007F78D7"/>
    <w:rsid w:val="007F7C12"/>
    <w:rsid w:val="00801044"/>
    <w:rsid w:val="00805451"/>
    <w:rsid w:val="00806BB1"/>
    <w:rsid w:val="00806F0F"/>
    <w:rsid w:val="0081282B"/>
    <w:rsid w:val="00812EDD"/>
    <w:rsid w:val="0082012D"/>
    <w:rsid w:val="008230E4"/>
    <w:rsid w:val="0082467C"/>
    <w:rsid w:val="00824C5B"/>
    <w:rsid w:val="008278BA"/>
    <w:rsid w:val="00831F1A"/>
    <w:rsid w:val="00833558"/>
    <w:rsid w:val="008340CE"/>
    <w:rsid w:val="00834995"/>
    <w:rsid w:val="00836B2E"/>
    <w:rsid w:val="00842379"/>
    <w:rsid w:val="00844457"/>
    <w:rsid w:val="00845D3E"/>
    <w:rsid w:val="00853ADC"/>
    <w:rsid w:val="00854C2F"/>
    <w:rsid w:val="00856452"/>
    <w:rsid w:val="008577FE"/>
    <w:rsid w:val="008606CD"/>
    <w:rsid w:val="00863C3A"/>
    <w:rsid w:val="00865A40"/>
    <w:rsid w:val="008702FC"/>
    <w:rsid w:val="00873B6F"/>
    <w:rsid w:val="00874267"/>
    <w:rsid w:val="00875323"/>
    <w:rsid w:val="00876EA9"/>
    <w:rsid w:val="00884C62"/>
    <w:rsid w:val="00885629"/>
    <w:rsid w:val="008877DE"/>
    <w:rsid w:val="00890519"/>
    <w:rsid w:val="008935EB"/>
    <w:rsid w:val="00895DCF"/>
    <w:rsid w:val="0089627E"/>
    <w:rsid w:val="0089716E"/>
    <w:rsid w:val="008A0211"/>
    <w:rsid w:val="008A1DD6"/>
    <w:rsid w:val="008A2C16"/>
    <w:rsid w:val="008A2C6E"/>
    <w:rsid w:val="008A659E"/>
    <w:rsid w:val="008B36A3"/>
    <w:rsid w:val="008B57D5"/>
    <w:rsid w:val="008B7AAC"/>
    <w:rsid w:val="008C24CB"/>
    <w:rsid w:val="008C2D80"/>
    <w:rsid w:val="008C3602"/>
    <w:rsid w:val="008C4AFA"/>
    <w:rsid w:val="008C542F"/>
    <w:rsid w:val="008D0916"/>
    <w:rsid w:val="008D1394"/>
    <w:rsid w:val="008E18A2"/>
    <w:rsid w:val="008E3D8A"/>
    <w:rsid w:val="008F05DD"/>
    <w:rsid w:val="00900820"/>
    <w:rsid w:val="0090407D"/>
    <w:rsid w:val="0090532D"/>
    <w:rsid w:val="00906554"/>
    <w:rsid w:val="009147D0"/>
    <w:rsid w:val="00922176"/>
    <w:rsid w:val="00931895"/>
    <w:rsid w:val="009328A3"/>
    <w:rsid w:val="00934AAC"/>
    <w:rsid w:val="0093693F"/>
    <w:rsid w:val="00942A12"/>
    <w:rsid w:val="00945CC0"/>
    <w:rsid w:val="00945CC9"/>
    <w:rsid w:val="00945D70"/>
    <w:rsid w:val="009463C8"/>
    <w:rsid w:val="0095030E"/>
    <w:rsid w:val="00950902"/>
    <w:rsid w:val="009527C8"/>
    <w:rsid w:val="00953245"/>
    <w:rsid w:val="009533A3"/>
    <w:rsid w:val="009535E6"/>
    <w:rsid w:val="009545F2"/>
    <w:rsid w:val="00956F0E"/>
    <w:rsid w:val="0096437C"/>
    <w:rsid w:val="00971FEC"/>
    <w:rsid w:val="00972CE3"/>
    <w:rsid w:val="0097604D"/>
    <w:rsid w:val="00977ADD"/>
    <w:rsid w:val="00977E81"/>
    <w:rsid w:val="00980C32"/>
    <w:rsid w:val="0098118C"/>
    <w:rsid w:val="00982AFF"/>
    <w:rsid w:val="00985A0E"/>
    <w:rsid w:val="00986FB8"/>
    <w:rsid w:val="009870CA"/>
    <w:rsid w:val="009873EC"/>
    <w:rsid w:val="00991E69"/>
    <w:rsid w:val="00994456"/>
    <w:rsid w:val="00996883"/>
    <w:rsid w:val="009A1C7B"/>
    <w:rsid w:val="009A366C"/>
    <w:rsid w:val="009A52D6"/>
    <w:rsid w:val="009A5319"/>
    <w:rsid w:val="009A5B63"/>
    <w:rsid w:val="009B08E3"/>
    <w:rsid w:val="009B224B"/>
    <w:rsid w:val="009B28D9"/>
    <w:rsid w:val="009B7709"/>
    <w:rsid w:val="009B7F87"/>
    <w:rsid w:val="009C2442"/>
    <w:rsid w:val="009C5811"/>
    <w:rsid w:val="009C676D"/>
    <w:rsid w:val="009D0983"/>
    <w:rsid w:val="009D16E8"/>
    <w:rsid w:val="009D3098"/>
    <w:rsid w:val="009D3A2D"/>
    <w:rsid w:val="009D6C28"/>
    <w:rsid w:val="009D6D2E"/>
    <w:rsid w:val="009D6FBD"/>
    <w:rsid w:val="009D71F0"/>
    <w:rsid w:val="009E01F1"/>
    <w:rsid w:val="009E2B76"/>
    <w:rsid w:val="009E4BA5"/>
    <w:rsid w:val="009E765F"/>
    <w:rsid w:val="009E7EDB"/>
    <w:rsid w:val="009F16D0"/>
    <w:rsid w:val="009F3347"/>
    <w:rsid w:val="009F5D72"/>
    <w:rsid w:val="00A0260E"/>
    <w:rsid w:val="00A03082"/>
    <w:rsid w:val="00A07B6F"/>
    <w:rsid w:val="00A07EC0"/>
    <w:rsid w:val="00A07F6A"/>
    <w:rsid w:val="00A1010B"/>
    <w:rsid w:val="00A17016"/>
    <w:rsid w:val="00A17C1A"/>
    <w:rsid w:val="00A221B8"/>
    <w:rsid w:val="00A22219"/>
    <w:rsid w:val="00A25820"/>
    <w:rsid w:val="00A261B9"/>
    <w:rsid w:val="00A2712D"/>
    <w:rsid w:val="00A30A4A"/>
    <w:rsid w:val="00A32F0B"/>
    <w:rsid w:val="00A3349D"/>
    <w:rsid w:val="00A33C7A"/>
    <w:rsid w:val="00A4211E"/>
    <w:rsid w:val="00A4379D"/>
    <w:rsid w:val="00A5392D"/>
    <w:rsid w:val="00A540F1"/>
    <w:rsid w:val="00A5431A"/>
    <w:rsid w:val="00A55425"/>
    <w:rsid w:val="00A725ED"/>
    <w:rsid w:val="00A7738E"/>
    <w:rsid w:val="00A92C35"/>
    <w:rsid w:val="00A93C1F"/>
    <w:rsid w:val="00AA213C"/>
    <w:rsid w:val="00AA6E23"/>
    <w:rsid w:val="00AB678C"/>
    <w:rsid w:val="00AB6CDB"/>
    <w:rsid w:val="00AB7C38"/>
    <w:rsid w:val="00AC0CA4"/>
    <w:rsid w:val="00AC0DA5"/>
    <w:rsid w:val="00AC1889"/>
    <w:rsid w:val="00AC2427"/>
    <w:rsid w:val="00AC5CCE"/>
    <w:rsid w:val="00AC60AA"/>
    <w:rsid w:val="00AD2959"/>
    <w:rsid w:val="00AE1335"/>
    <w:rsid w:val="00AE6210"/>
    <w:rsid w:val="00AE6DA5"/>
    <w:rsid w:val="00AE7117"/>
    <w:rsid w:val="00AE7D10"/>
    <w:rsid w:val="00AF2184"/>
    <w:rsid w:val="00AF2388"/>
    <w:rsid w:val="00AF6197"/>
    <w:rsid w:val="00AF6CBA"/>
    <w:rsid w:val="00B01D4D"/>
    <w:rsid w:val="00B05CC4"/>
    <w:rsid w:val="00B06B2A"/>
    <w:rsid w:val="00B1048B"/>
    <w:rsid w:val="00B156E7"/>
    <w:rsid w:val="00B209C1"/>
    <w:rsid w:val="00B22340"/>
    <w:rsid w:val="00B23C53"/>
    <w:rsid w:val="00B276B4"/>
    <w:rsid w:val="00B31E18"/>
    <w:rsid w:val="00B43534"/>
    <w:rsid w:val="00B46FAD"/>
    <w:rsid w:val="00B549D8"/>
    <w:rsid w:val="00B65AF5"/>
    <w:rsid w:val="00B706DE"/>
    <w:rsid w:val="00B7123D"/>
    <w:rsid w:val="00B7184C"/>
    <w:rsid w:val="00B76035"/>
    <w:rsid w:val="00B76896"/>
    <w:rsid w:val="00B803F9"/>
    <w:rsid w:val="00B815DC"/>
    <w:rsid w:val="00B83490"/>
    <w:rsid w:val="00B8488A"/>
    <w:rsid w:val="00B86A3D"/>
    <w:rsid w:val="00B94DDA"/>
    <w:rsid w:val="00B9713E"/>
    <w:rsid w:val="00B97828"/>
    <w:rsid w:val="00BA508B"/>
    <w:rsid w:val="00BA5D5F"/>
    <w:rsid w:val="00BA72CC"/>
    <w:rsid w:val="00BB0422"/>
    <w:rsid w:val="00BB2951"/>
    <w:rsid w:val="00BB3B6C"/>
    <w:rsid w:val="00BC3921"/>
    <w:rsid w:val="00BC67B3"/>
    <w:rsid w:val="00BD1396"/>
    <w:rsid w:val="00BD19C5"/>
    <w:rsid w:val="00BD65A3"/>
    <w:rsid w:val="00BE185D"/>
    <w:rsid w:val="00BE3B6D"/>
    <w:rsid w:val="00BF063D"/>
    <w:rsid w:val="00BF346F"/>
    <w:rsid w:val="00BF4BBE"/>
    <w:rsid w:val="00BF4EF5"/>
    <w:rsid w:val="00C01A8D"/>
    <w:rsid w:val="00C043BF"/>
    <w:rsid w:val="00C06419"/>
    <w:rsid w:val="00C06A0D"/>
    <w:rsid w:val="00C100A1"/>
    <w:rsid w:val="00C11499"/>
    <w:rsid w:val="00C1498D"/>
    <w:rsid w:val="00C16069"/>
    <w:rsid w:val="00C20306"/>
    <w:rsid w:val="00C210BF"/>
    <w:rsid w:val="00C23167"/>
    <w:rsid w:val="00C24C9D"/>
    <w:rsid w:val="00C27912"/>
    <w:rsid w:val="00C27992"/>
    <w:rsid w:val="00C32EF6"/>
    <w:rsid w:val="00C34681"/>
    <w:rsid w:val="00C3513C"/>
    <w:rsid w:val="00C37F69"/>
    <w:rsid w:val="00C4552D"/>
    <w:rsid w:val="00C4722D"/>
    <w:rsid w:val="00C56659"/>
    <w:rsid w:val="00C60B6F"/>
    <w:rsid w:val="00C62498"/>
    <w:rsid w:val="00C721BC"/>
    <w:rsid w:val="00C73C13"/>
    <w:rsid w:val="00C75256"/>
    <w:rsid w:val="00C75B6C"/>
    <w:rsid w:val="00C7746D"/>
    <w:rsid w:val="00C81A03"/>
    <w:rsid w:val="00C9293F"/>
    <w:rsid w:val="00CA1F8E"/>
    <w:rsid w:val="00CA5757"/>
    <w:rsid w:val="00CA5DBA"/>
    <w:rsid w:val="00CA6A92"/>
    <w:rsid w:val="00CA6B8A"/>
    <w:rsid w:val="00CB0F73"/>
    <w:rsid w:val="00CB7CC4"/>
    <w:rsid w:val="00CC0508"/>
    <w:rsid w:val="00CC2374"/>
    <w:rsid w:val="00CC272C"/>
    <w:rsid w:val="00CC64F1"/>
    <w:rsid w:val="00CC6B3E"/>
    <w:rsid w:val="00CD4429"/>
    <w:rsid w:val="00CD4967"/>
    <w:rsid w:val="00CD4A27"/>
    <w:rsid w:val="00CE1322"/>
    <w:rsid w:val="00CE4441"/>
    <w:rsid w:val="00CE5C37"/>
    <w:rsid w:val="00CE71AB"/>
    <w:rsid w:val="00CE7BEF"/>
    <w:rsid w:val="00CF0283"/>
    <w:rsid w:val="00CF070F"/>
    <w:rsid w:val="00CF5797"/>
    <w:rsid w:val="00CF5ADB"/>
    <w:rsid w:val="00CF7684"/>
    <w:rsid w:val="00D038E1"/>
    <w:rsid w:val="00D03A5A"/>
    <w:rsid w:val="00D05D5E"/>
    <w:rsid w:val="00D160D1"/>
    <w:rsid w:val="00D2185F"/>
    <w:rsid w:val="00D21E96"/>
    <w:rsid w:val="00D22916"/>
    <w:rsid w:val="00D27851"/>
    <w:rsid w:val="00D344FD"/>
    <w:rsid w:val="00D40A0E"/>
    <w:rsid w:val="00D416EC"/>
    <w:rsid w:val="00D42245"/>
    <w:rsid w:val="00D42408"/>
    <w:rsid w:val="00D4394D"/>
    <w:rsid w:val="00D46438"/>
    <w:rsid w:val="00D52481"/>
    <w:rsid w:val="00D61300"/>
    <w:rsid w:val="00D6471C"/>
    <w:rsid w:val="00D671DF"/>
    <w:rsid w:val="00D676C1"/>
    <w:rsid w:val="00D75262"/>
    <w:rsid w:val="00D8002A"/>
    <w:rsid w:val="00D811BA"/>
    <w:rsid w:val="00D81DF5"/>
    <w:rsid w:val="00D879A6"/>
    <w:rsid w:val="00D919DE"/>
    <w:rsid w:val="00D92153"/>
    <w:rsid w:val="00DA3FD2"/>
    <w:rsid w:val="00DA4F4C"/>
    <w:rsid w:val="00DB0E3E"/>
    <w:rsid w:val="00DB22BA"/>
    <w:rsid w:val="00DC5B7E"/>
    <w:rsid w:val="00DC6259"/>
    <w:rsid w:val="00DC6749"/>
    <w:rsid w:val="00DD3123"/>
    <w:rsid w:val="00DD3260"/>
    <w:rsid w:val="00DD40C0"/>
    <w:rsid w:val="00DD6557"/>
    <w:rsid w:val="00DD6A28"/>
    <w:rsid w:val="00DE004E"/>
    <w:rsid w:val="00DE24FE"/>
    <w:rsid w:val="00DE3EC5"/>
    <w:rsid w:val="00DE4D13"/>
    <w:rsid w:val="00DE4FC6"/>
    <w:rsid w:val="00DE60E5"/>
    <w:rsid w:val="00DE744E"/>
    <w:rsid w:val="00DF0290"/>
    <w:rsid w:val="00DF6494"/>
    <w:rsid w:val="00DF72F2"/>
    <w:rsid w:val="00DF7588"/>
    <w:rsid w:val="00E03805"/>
    <w:rsid w:val="00E0547C"/>
    <w:rsid w:val="00E078C2"/>
    <w:rsid w:val="00E13404"/>
    <w:rsid w:val="00E22580"/>
    <w:rsid w:val="00E23148"/>
    <w:rsid w:val="00E249F1"/>
    <w:rsid w:val="00E24FCF"/>
    <w:rsid w:val="00E26A28"/>
    <w:rsid w:val="00E279BA"/>
    <w:rsid w:val="00E3037B"/>
    <w:rsid w:val="00E30AB5"/>
    <w:rsid w:val="00E355EE"/>
    <w:rsid w:val="00E41BB4"/>
    <w:rsid w:val="00E428B6"/>
    <w:rsid w:val="00E43E0A"/>
    <w:rsid w:val="00E4514F"/>
    <w:rsid w:val="00E502C5"/>
    <w:rsid w:val="00E54E1C"/>
    <w:rsid w:val="00E56ED9"/>
    <w:rsid w:val="00E614B4"/>
    <w:rsid w:val="00E623F8"/>
    <w:rsid w:val="00E6248A"/>
    <w:rsid w:val="00E632C7"/>
    <w:rsid w:val="00E640C7"/>
    <w:rsid w:val="00E652A4"/>
    <w:rsid w:val="00E67B96"/>
    <w:rsid w:val="00E71CB4"/>
    <w:rsid w:val="00E77A29"/>
    <w:rsid w:val="00E82BD4"/>
    <w:rsid w:val="00E86B11"/>
    <w:rsid w:val="00E87AB9"/>
    <w:rsid w:val="00E87FE3"/>
    <w:rsid w:val="00E90E53"/>
    <w:rsid w:val="00E91248"/>
    <w:rsid w:val="00E916E6"/>
    <w:rsid w:val="00E92322"/>
    <w:rsid w:val="00E92D59"/>
    <w:rsid w:val="00E9329A"/>
    <w:rsid w:val="00E9421E"/>
    <w:rsid w:val="00E96065"/>
    <w:rsid w:val="00EA6173"/>
    <w:rsid w:val="00EA6E3B"/>
    <w:rsid w:val="00EA7814"/>
    <w:rsid w:val="00EB299F"/>
    <w:rsid w:val="00EB58C6"/>
    <w:rsid w:val="00EC1452"/>
    <w:rsid w:val="00EC27D1"/>
    <w:rsid w:val="00EC385F"/>
    <w:rsid w:val="00EC45AD"/>
    <w:rsid w:val="00EC5DBF"/>
    <w:rsid w:val="00EC6DCA"/>
    <w:rsid w:val="00EC6FC6"/>
    <w:rsid w:val="00EC7812"/>
    <w:rsid w:val="00EC7C5D"/>
    <w:rsid w:val="00ED1E18"/>
    <w:rsid w:val="00ED4C69"/>
    <w:rsid w:val="00ED5003"/>
    <w:rsid w:val="00ED66E9"/>
    <w:rsid w:val="00ED74D8"/>
    <w:rsid w:val="00EE3E99"/>
    <w:rsid w:val="00EE4461"/>
    <w:rsid w:val="00EE764F"/>
    <w:rsid w:val="00EE7D44"/>
    <w:rsid w:val="00EF06DA"/>
    <w:rsid w:val="00EF2D23"/>
    <w:rsid w:val="00EF2EB6"/>
    <w:rsid w:val="00EF3470"/>
    <w:rsid w:val="00EF5290"/>
    <w:rsid w:val="00F01C19"/>
    <w:rsid w:val="00F0350F"/>
    <w:rsid w:val="00F04856"/>
    <w:rsid w:val="00F050EE"/>
    <w:rsid w:val="00F10311"/>
    <w:rsid w:val="00F16CAE"/>
    <w:rsid w:val="00F17ADB"/>
    <w:rsid w:val="00F2002F"/>
    <w:rsid w:val="00F20FFD"/>
    <w:rsid w:val="00F22827"/>
    <w:rsid w:val="00F2438E"/>
    <w:rsid w:val="00F2685F"/>
    <w:rsid w:val="00F26968"/>
    <w:rsid w:val="00F26CF5"/>
    <w:rsid w:val="00F32815"/>
    <w:rsid w:val="00F33F6E"/>
    <w:rsid w:val="00F34B9B"/>
    <w:rsid w:val="00F35BA3"/>
    <w:rsid w:val="00F3638B"/>
    <w:rsid w:val="00F4432D"/>
    <w:rsid w:val="00F44E02"/>
    <w:rsid w:val="00F45529"/>
    <w:rsid w:val="00F46FBB"/>
    <w:rsid w:val="00F47503"/>
    <w:rsid w:val="00F479AC"/>
    <w:rsid w:val="00F47B48"/>
    <w:rsid w:val="00F510AB"/>
    <w:rsid w:val="00F531E4"/>
    <w:rsid w:val="00F54830"/>
    <w:rsid w:val="00F55831"/>
    <w:rsid w:val="00F55F13"/>
    <w:rsid w:val="00F5646B"/>
    <w:rsid w:val="00F63DF8"/>
    <w:rsid w:val="00F665A6"/>
    <w:rsid w:val="00F67055"/>
    <w:rsid w:val="00F77CD9"/>
    <w:rsid w:val="00F80612"/>
    <w:rsid w:val="00F82333"/>
    <w:rsid w:val="00F84219"/>
    <w:rsid w:val="00F8432B"/>
    <w:rsid w:val="00F868C4"/>
    <w:rsid w:val="00F905EF"/>
    <w:rsid w:val="00F92339"/>
    <w:rsid w:val="00F939F3"/>
    <w:rsid w:val="00F93EB4"/>
    <w:rsid w:val="00F97741"/>
    <w:rsid w:val="00F97D65"/>
    <w:rsid w:val="00FA06DB"/>
    <w:rsid w:val="00FA19AD"/>
    <w:rsid w:val="00FA38B5"/>
    <w:rsid w:val="00FA50A3"/>
    <w:rsid w:val="00FA7615"/>
    <w:rsid w:val="00FA7EB3"/>
    <w:rsid w:val="00FA7ED0"/>
    <w:rsid w:val="00FB2BEE"/>
    <w:rsid w:val="00FB4655"/>
    <w:rsid w:val="00FB4DA8"/>
    <w:rsid w:val="00FC1E1D"/>
    <w:rsid w:val="00FC3CFE"/>
    <w:rsid w:val="00FC5771"/>
    <w:rsid w:val="00FC7AEC"/>
    <w:rsid w:val="00FD3D91"/>
    <w:rsid w:val="00FD4F25"/>
    <w:rsid w:val="00FD5D50"/>
    <w:rsid w:val="00FD6C40"/>
    <w:rsid w:val="00FD6CD6"/>
    <w:rsid w:val="00FE12EB"/>
    <w:rsid w:val="00FE46B6"/>
    <w:rsid w:val="00FE7756"/>
    <w:rsid w:val="00FF09C5"/>
    <w:rsid w:val="00FF1DC1"/>
    <w:rsid w:val="00FF2D2A"/>
    <w:rsid w:val="00FF3062"/>
    <w:rsid w:val="00FF3B75"/>
    <w:rsid w:val="00FF42F1"/>
    <w:rsid w:val="00FF595F"/>
    <w:rsid w:val="00FF64AD"/>
    <w:rsid w:val="00FF6E64"/>
    <w:rsid w:val="00FF7F8B"/>
    <w:rsid w:val="02F564B8"/>
    <w:rsid w:val="063A680E"/>
    <w:rsid w:val="0C374709"/>
    <w:rsid w:val="0C95D3E9"/>
    <w:rsid w:val="1020CA91"/>
    <w:rsid w:val="1105362C"/>
    <w:rsid w:val="15C500F2"/>
    <w:rsid w:val="16464EF0"/>
    <w:rsid w:val="183C62AC"/>
    <w:rsid w:val="1ABC1DF5"/>
    <w:rsid w:val="1C344276"/>
    <w:rsid w:val="1CD4FAD1"/>
    <w:rsid w:val="1DAFD2A6"/>
    <w:rsid w:val="21CF27B5"/>
    <w:rsid w:val="28FCB587"/>
    <w:rsid w:val="29122E06"/>
    <w:rsid w:val="2B46FC0D"/>
    <w:rsid w:val="2BA258D2"/>
    <w:rsid w:val="2D9A8217"/>
    <w:rsid w:val="2E767439"/>
    <w:rsid w:val="3641F390"/>
    <w:rsid w:val="37182611"/>
    <w:rsid w:val="3FCAB7F4"/>
    <w:rsid w:val="463F5114"/>
    <w:rsid w:val="4C7DECB8"/>
    <w:rsid w:val="4D400D93"/>
    <w:rsid w:val="4D4F4F55"/>
    <w:rsid w:val="506B8422"/>
    <w:rsid w:val="57C5B378"/>
    <w:rsid w:val="596D57EF"/>
    <w:rsid w:val="5DE7EC85"/>
    <w:rsid w:val="62C208AE"/>
    <w:rsid w:val="64A700D9"/>
    <w:rsid w:val="65DB839C"/>
    <w:rsid w:val="6BBF49EF"/>
    <w:rsid w:val="6CAE37C2"/>
    <w:rsid w:val="7385AB44"/>
    <w:rsid w:val="73E87872"/>
    <w:rsid w:val="7902D3EB"/>
    <w:rsid w:val="7AC93D03"/>
    <w:rsid w:val="7AEB2BE3"/>
    <w:rsid w:val="7C86F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51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pPr>
      <w:keepNext/>
      <w:tabs>
        <w:tab w:val="left" w:pos="1152"/>
      </w:tabs>
      <w:spacing w:line="360" w:lineRule="atLeast"/>
      <w:ind w:left="1152" w:hanging="1152"/>
      <w:outlineLvl w:val="0"/>
    </w:pPr>
    <w:rPr>
      <w:rFonts w:ascii="Calibri" w:hAnsi="Calibri"/>
      <w:b/>
      <w:sz w:val="28"/>
    </w:rPr>
  </w:style>
  <w:style w:type="paragraph" w:styleId="Heading2">
    <w:name w:val="heading 2"/>
    <w:aliases w:val="H2-Sec. Head,H2-Chap. Head"/>
    <w:basedOn w:val="Heading1"/>
    <w:next w:val="L1-FlLSp12"/>
    <w:link w:val="Heading2Char"/>
    <w:qFormat/>
    <w:rsid w:val="00E43E0A"/>
    <w:pPr>
      <w:spacing w:after="240"/>
      <w:outlineLvl w:val="1"/>
    </w:pPr>
    <w:rPr>
      <w:rFonts w:asciiTheme="minorHAnsi" w:hAnsiTheme="minorHAnsi" w:cstheme="minorHAnsi"/>
    </w:rPr>
  </w:style>
  <w:style w:type="paragraph" w:styleId="Heading3">
    <w:name w:val="heading 3"/>
    <w:aliases w:val="H3-Sec. Head"/>
    <w:basedOn w:val="Heading1"/>
    <w:next w:val="L1-FlLSp12"/>
    <w:link w:val="Heading3Char"/>
    <w:qFormat/>
    <w:rsid w:val="00E43E0A"/>
    <w:pPr>
      <w:spacing w:after="240"/>
      <w:outlineLvl w:val="2"/>
    </w:pPr>
    <w:rPr>
      <w:rFonts w:asciiTheme="minorHAnsi" w:hAnsiTheme="minorHAnsi" w:cstheme="minorHAnsi"/>
      <w:sz w:val="24"/>
    </w:rPr>
  </w:style>
  <w:style w:type="paragraph" w:styleId="Heading4">
    <w:name w:val="heading 4"/>
    <w:aliases w:val="H4 Sec.Heading"/>
    <w:basedOn w:val="Heading1"/>
    <w:next w:val="L1-FlLSp12"/>
    <w:link w:val="Heading4Char"/>
    <w:qFormat/>
    <w:pPr>
      <w:outlineLvl w:val="3"/>
    </w:pPr>
    <w:rPr>
      <w:i/>
      <w:sz w:val="24"/>
    </w:rPr>
  </w:style>
  <w:style w:type="paragraph" w:styleId="Heading5">
    <w:name w:val="heading 5"/>
    <w:basedOn w:val="Normal"/>
    <w:next w:val="Normal"/>
    <w:link w:val="Heading5Char"/>
    <w:qFormat/>
    <w:pPr>
      <w:keepLines/>
      <w:spacing w:before="360" w:line="360" w:lineRule="atLeast"/>
      <w:jc w:val="center"/>
      <w:outlineLvl w:val="4"/>
    </w:p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qFormat/>
    <w:rsid w:val="007D0501"/>
    <w:pPr>
      <w:tabs>
        <w:tab w:val="left" w:pos="120"/>
      </w:tabs>
      <w:spacing w:before="120" w:line="200" w:lineRule="atLeast"/>
      <w:ind w:left="115" w:hanging="115"/>
    </w:pPr>
    <w:rPr>
      <w:rFonts w:asciiTheme="minorHAnsi" w:hAnsiTheme="minorHAnsi"/>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rsid w:val="00730CBE"/>
    <w:pPr>
      <w:tabs>
        <w:tab w:val="left" w:pos="1152"/>
      </w:tabs>
      <w:spacing w:after="240" w:line="240" w:lineRule="auto"/>
    </w:pPr>
    <w:rPr>
      <w:rFonts w:asciiTheme="minorHAnsi" w:hAnsiTheme="minorHAnsi" w:cstheme="minorHAnsi"/>
      <w:sz w:val="22"/>
      <w:szCs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L1-FlLSp12"/>
    <w:rsid w:val="004D3F4C"/>
    <w:pPr>
      <w:numPr>
        <w:numId w:val="7"/>
      </w:numPr>
      <w:spacing w:after="180"/>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numPr>
        <w:numId w:val="2"/>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rsid w:val="004A1C89"/>
    <w:pPr>
      <w:tabs>
        <w:tab w:val="right" w:leader="dot" w:pos="9180"/>
      </w:tabs>
      <w:spacing w:after="120"/>
      <w:ind w:left="1440" w:hanging="1152"/>
    </w:pPr>
    <w:rPr>
      <w:rFonts w:asciiTheme="minorHAnsi" w:hAnsiTheme="minorHAnsi" w:cstheme="minorHAnsi"/>
      <w:bCs/>
      <w:noProof/>
      <w:sz w:val="22"/>
      <w:szCs w:val="22"/>
    </w:rPr>
  </w:style>
  <w:style w:type="paragraph" w:styleId="TOC2">
    <w:name w:val="toc 2"/>
    <w:basedOn w:val="TOC3"/>
    <w:uiPriority w:val="39"/>
    <w:qFormat/>
    <w:rsid w:val="00046F02"/>
    <w:pPr>
      <w:tabs>
        <w:tab w:val="clear" w:pos="8208"/>
        <w:tab w:val="clear" w:pos="8640"/>
        <w:tab w:val="right" w:leader="dot" w:pos="9180"/>
      </w:tabs>
      <w:spacing w:after="120"/>
      <w:ind w:left="2304" w:right="720"/>
    </w:pPr>
    <w:rPr>
      <w:rFonts w:asciiTheme="minorHAnsi" w:hAnsiTheme="minorHAnsi" w:cstheme="minorHAnsi"/>
      <w:noProof/>
      <w:sz w:val="22"/>
      <w:szCs w:val="22"/>
    </w:rPr>
  </w:style>
  <w:style w:type="paragraph" w:styleId="TOC3">
    <w:name w:val="toc 3"/>
    <w:basedOn w:val="Normal"/>
    <w:uiPriority w:val="39"/>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uiPriority w:val="99"/>
    <w:pPr>
      <w:tabs>
        <w:tab w:val="clear" w:pos="1152"/>
        <w:tab w:val="left" w:pos="1440"/>
      </w:tabs>
      <w:spacing w:line="240" w:lineRule="atLeast"/>
      <w:ind w:left="1440" w:hanging="1440"/>
    </w:pPr>
    <w:rPr>
      <w:b w:val="0"/>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Title"/>
    <w:rPr>
      <w:rFonts w:asciiTheme="minorHAnsi" w:hAnsiTheme="minorHAnsi" w:cstheme="minorHAnsi"/>
    </w:rPr>
  </w:style>
  <w:style w:type="paragraph" w:customStyle="1" w:styleId="Header-1">
    <w:name w:val="Header-1"/>
    <w:basedOn w:val="Heading1"/>
    <w:pPr>
      <w:tabs>
        <w:tab w:val="clear" w:pos="1152"/>
      </w:tabs>
      <w:spacing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paragraph" w:customStyle="1" w:styleId="NormalSS">
    <w:name w:val="NormalSS"/>
    <w:basedOn w:val="Normal"/>
    <w:link w:val="NormalSSChar"/>
    <w:qFormat/>
    <w:pPr>
      <w:tabs>
        <w:tab w:val="left" w:pos="432"/>
      </w:tabs>
      <w:spacing w:after="240" w:line="240" w:lineRule="auto"/>
      <w:ind w:firstLine="432"/>
      <w:jc w:val="both"/>
    </w:pPr>
    <w:rPr>
      <w:szCs w:val="24"/>
    </w:rPr>
  </w:style>
  <w:style w:type="character" w:customStyle="1" w:styleId="NormalSSChar">
    <w:name w:val="NormalSS Char"/>
    <w:basedOn w:val="DefaultParagraphFont"/>
    <w:link w:val="NormalSS"/>
    <w:rPr>
      <w:rFonts w:ascii="Garamond" w:hAnsi="Garamond"/>
      <w:sz w:val="24"/>
      <w:szCs w:val="24"/>
    </w:rPr>
  </w:style>
  <w:style w:type="paragraph" w:styleId="BodyText">
    <w:name w:val="Body Text"/>
    <w:basedOn w:val="Normal"/>
    <w:link w:val="BodyTextChar"/>
    <w:semiHidden/>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Pr>
      <w:sz w:val="22"/>
    </w:rPr>
  </w:style>
  <w:style w:type="paragraph" w:customStyle="1" w:styleId="AbtHeadB">
    <w:name w:val="AbtHead B"/>
    <w:basedOn w:val="Normal"/>
    <w:next w:val="BodyText"/>
    <w:uiPriority w:val="9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uiPriority w:val="99"/>
    <w:rPr>
      <w:rFonts w:ascii="Garamond" w:hAnsi="Garamond"/>
      <w:sz w:val="24"/>
    </w:rPr>
  </w:style>
  <w:style w:type="paragraph" w:styleId="ListParagraph">
    <w:name w:val="List Paragraph"/>
    <w:basedOn w:val="Normal"/>
    <w:qFormat/>
    <w:pPr>
      <w:ind w:left="720"/>
      <w:contextualSpacing/>
    </w:pPr>
  </w:style>
  <w:style w:type="paragraph" w:styleId="Caption">
    <w:name w:val="caption"/>
    <w:basedOn w:val="Normal"/>
    <w:next w:val="Normal"/>
    <w:unhideWhenUsed/>
    <w:qFormat/>
    <w:pPr>
      <w:keepNext/>
      <w:keepLines/>
      <w:widowControl w:val="0"/>
      <w:tabs>
        <w:tab w:val="left" w:pos="1440"/>
      </w:tabs>
      <w:spacing w:after="120" w:line="264" w:lineRule="auto"/>
      <w:ind w:left="1440" w:hanging="1440"/>
    </w:pPr>
    <w:rPr>
      <w:rFonts w:ascii="Calibri" w:hAnsi="Calibri"/>
      <w:b/>
      <w:bCs/>
      <w:sz w:val="22"/>
      <w:szCs w:val="24"/>
    </w:rPr>
  </w:style>
  <w:style w:type="paragraph" w:customStyle="1" w:styleId="ExhibitRowHeader">
    <w:name w:val="Exhibit Row Header"/>
    <w:basedOn w:val="BodyText"/>
    <w:pPr>
      <w:tabs>
        <w:tab w:val="clear" w:pos="720"/>
        <w:tab w:val="clear" w:pos="1080"/>
        <w:tab w:val="clear" w:pos="1440"/>
        <w:tab w:val="clear" w:pos="1800"/>
      </w:tabs>
      <w:spacing w:before="20" w:after="20" w:line="240" w:lineRule="auto"/>
    </w:pPr>
    <w:rPr>
      <w:rFonts w:ascii="Arial" w:hAnsi="Arial" w:cs="Arial"/>
      <w:b/>
      <w:color w:val="F8F8F8"/>
      <w:sz w:val="20"/>
      <w:szCs w:val="24"/>
    </w:rPr>
  </w:style>
  <w:style w:type="paragraph" w:customStyle="1" w:styleId="ExhibitText">
    <w:name w:val="Exhibit Text"/>
    <w:basedOn w:val="Normal"/>
    <w:qFormat/>
    <w:pPr>
      <w:spacing w:before="40" w:after="40" w:line="264" w:lineRule="auto"/>
    </w:pPr>
    <w:rPr>
      <w:rFonts w:ascii="Arial" w:hAnsi="Arial" w:cs="Arial"/>
      <w:bCs/>
      <w:color w:val="000000"/>
      <w:sz w:val="20"/>
      <w:szCs w:val="24"/>
    </w:rPr>
  </w:style>
  <w:style w:type="paragraph" w:customStyle="1" w:styleId="ExhibitColumnHeader">
    <w:name w:val="Exhibit Column Header"/>
    <w:basedOn w:val="ExhibitRowHeader"/>
    <w:qFormat/>
    <w:rPr>
      <w:color w:val="000000" w:themeColor="text1"/>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Garamond" w:hAnsi="Garamond"/>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Garamond" w:hAnsi="Garamond"/>
      <w:b/>
      <w:b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styleId="Hyperlink">
    <w:name w:val="Hyperlink"/>
    <w:basedOn w:val="DefaultParagraphFont"/>
    <w:uiPriority w:val="99"/>
    <w:rsid w:val="00046F02"/>
    <w:rPr>
      <w:color w:val="0000FF"/>
      <w:u w:val="single"/>
    </w:rPr>
  </w:style>
  <w:style w:type="paragraph" w:customStyle="1" w:styleId="ReportCover-AuthorName">
    <w:name w:val="ReportCover-AuthorName"/>
    <w:basedOn w:val="Normal"/>
    <w:rPr>
      <w:rFonts w:ascii="Franklin Gothic Medium" w:hAnsi="Franklin Gothic Medium"/>
      <w:color w:val="003C79"/>
      <w:sz w:val="22"/>
      <w:szCs w:val="22"/>
    </w:rPr>
  </w:style>
  <w:style w:type="paragraph" w:customStyle="1" w:styleId="ReportCover-AuthorsHead">
    <w:name w:val="ReportCover-AuthorsHead"/>
    <w:basedOn w:val="Normal"/>
    <w:rPr>
      <w:rFonts w:ascii="Franklin Gothic Medium" w:hAnsi="Franklin Gothic Medium"/>
      <w:b/>
      <w:color w:val="003C79"/>
      <w:szCs w:val="24"/>
    </w:rPr>
  </w:style>
  <w:style w:type="paragraph" w:customStyle="1" w:styleId="ReportCover-Date">
    <w:name w:val="ReportCover-Date"/>
    <w:basedOn w:val="Normal"/>
    <w:pPr>
      <w:spacing w:after="840" w:line="260" w:lineRule="exact"/>
    </w:pPr>
    <w:rPr>
      <w:rFonts w:ascii="Franklin Gothic Medium" w:hAnsi="Franklin Gothic Medium"/>
      <w:b/>
      <w:color w:val="003C79"/>
    </w:rPr>
  </w:style>
  <w:style w:type="paragraph" w:customStyle="1" w:styleId="ReportCover-BlankBottom">
    <w:name w:val="ReportCover-BlankBottom"/>
    <w:basedOn w:val="Normal"/>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pPr>
      <w:spacing w:line="260" w:lineRule="exact"/>
    </w:pPr>
    <w:rPr>
      <w:rFonts w:ascii="Franklin Gothic Medium" w:hAnsi="Franklin Gothic Medium"/>
      <w:color w:val="003C79"/>
      <w:sz w:val="20"/>
    </w:rPr>
  </w:style>
  <w:style w:type="paragraph" w:customStyle="1" w:styleId="ReportCover-Subtitle">
    <w:name w:val="ReportCover-Subtitle"/>
    <w:basedOn w:val="Normal"/>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pPr>
      <w:spacing w:line="420" w:lineRule="exact"/>
    </w:pPr>
    <w:rPr>
      <w:rFonts w:ascii="Franklin Gothic Medium" w:hAnsi="Franklin Gothic Medium"/>
      <w:b/>
      <w:color w:val="003C79"/>
      <w:sz w:val="40"/>
      <w:szCs w:val="40"/>
    </w:rPr>
  </w:style>
  <w:style w:type="character" w:customStyle="1" w:styleId="TT-TableTitleChar">
    <w:name w:val="TT-Table Title Char"/>
    <w:basedOn w:val="DefaultParagraphFont"/>
    <w:link w:val="TT-TableTitle"/>
    <w:uiPriority w:val="99"/>
    <w:rPr>
      <w:rFonts w:ascii="Franklin Gothic Medium" w:hAnsi="Franklin Gothic Medium"/>
      <w:sz w:val="22"/>
    </w:rPr>
  </w:style>
  <w:style w:type="paragraph" w:styleId="NoSpacing">
    <w:name w:val="No Spacing"/>
    <w:uiPriority w:val="1"/>
    <w:qFormat/>
    <w:rPr>
      <w:rFonts w:ascii="Myriad Pro" w:hAnsi="Myriad Pro" w:cstheme="minorBidi"/>
      <w:sz w:val="22"/>
      <w:szCs w:val="22"/>
    </w:rPr>
  </w:style>
  <w:style w:type="table" w:styleId="TableGrid">
    <w:name w:val="Table Grid"/>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uiPriority w:val="99"/>
    <w:qFormat/>
    <w:pPr>
      <w:numPr>
        <w:numId w:val="5"/>
      </w:numPr>
      <w:tabs>
        <w:tab w:val="left" w:pos="360"/>
      </w:tabs>
      <w:spacing w:after="180"/>
      <w:ind w:left="720" w:right="360" w:hanging="288"/>
      <w:jc w:val="both"/>
    </w:pPr>
    <w:rPr>
      <w:sz w:val="24"/>
      <w:szCs w:val="24"/>
    </w:rPr>
  </w:style>
  <w:style w:type="character" w:customStyle="1" w:styleId="FootnoteTextChar">
    <w:name w:val="Footnote Text Char"/>
    <w:aliases w:val="F1 Char"/>
    <w:basedOn w:val="DefaultParagraphFont"/>
    <w:link w:val="FootnoteText"/>
    <w:rsid w:val="007D0501"/>
    <w:rPr>
      <w:rFonts w:asciiTheme="minorHAnsi" w:hAnsiTheme="minorHAnsi"/>
      <w:sz w:val="16"/>
    </w:rPr>
  </w:style>
  <w:style w:type="character" w:styleId="FootnoteReference">
    <w:name w:val="footnote reference"/>
    <w:basedOn w:val="DefaultParagraphFont"/>
    <w:uiPriority w:val="99"/>
    <w:unhideWhenUsed/>
    <w:qFormat/>
    <w:rPr>
      <w:vertAlign w:val="superscript"/>
    </w:rPr>
  </w:style>
  <w:style w:type="character" w:customStyle="1" w:styleId="Heading1Char">
    <w:name w:val="Heading 1 Char"/>
    <w:aliases w:val="H1-Sec.Head Char"/>
    <w:basedOn w:val="DefaultParagraphFont"/>
    <w:link w:val="Heading1"/>
    <w:uiPriority w:val="99"/>
    <w:locked/>
    <w:rPr>
      <w:rFonts w:ascii="Calibri" w:hAnsi="Calibri"/>
      <w:b/>
      <w:sz w:val="28"/>
    </w:rPr>
  </w:style>
  <w:style w:type="character" w:customStyle="1" w:styleId="HeaderChar">
    <w:name w:val="Header Char"/>
    <w:basedOn w:val="DefaultParagraphFont"/>
    <w:link w:val="Header"/>
    <w:uiPriority w:val="99"/>
    <w:locked/>
    <w:rPr>
      <w:rFonts w:ascii="Garamond" w:hAnsi="Garamond"/>
      <w:sz w:val="16"/>
    </w:rPr>
  </w:style>
  <w:style w:type="character" w:customStyle="1" w:styleId="medium-normal">
    <w:name w:val="medium-normal"/>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Cs w:val="24"/>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semiHidden/>
    <w:unhideWhenUsed/>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Pr>
      <w:rFonts w:ascii="Consolas" w:eastAsiaTheme="minorHAnsi" w:hAnsi="Consolas" w:cstheme="minorBidi"/>
      <w:sz w:val="21"/>
      <w:szCs w:val="21"/>
    </w:rPr>
  </w:style>
  <w:style w:type="paragraph" w:customStyle="1" w:styleId="bodytext0">
    <w:name w:val="bodytext"/>
    <w:basedOn w:val="Normal"/>
    <w:pPr>
      <w:spacing w:before="100" w:beforeAutospacing="1" w:after="100" w:afterAutospacing="1" w:line="240" w:lineRule="auto"/>
    </w:pPr>
    <w:rPr>
      <w:rFonts w:ascii="Arial" w:hAnsi="Arial" w:cs="Arial"/>
      <w:color w:val="333333"/>
      <w:sz w:val="18"/>
      <w:szCs w:val="18"/>
    </w:rPr>
  </w:style>
  <w:style w:type="character" w:customStyle="1" w:styleId="programtitle1">
    <w:name w:val="programtitle1"/>
    <w:basedOn w:val="DefaultParagraphFont"/>
    <w:rPr>
      <w:rFonts w:ascii="Verdana" w:hAnsi="Verdana" w:hint="default"/>
      <w:b/>
      <w:bCs/>
      <w:caps/>
      <w:color w:val="333333"/>
      <w:sz w:val="24"/>
      <w:szCs w:val="24"/>
    </w:rPr>
  </w:style>
  <w:style w:type="paragraph" w:styleId="Title">
    <w:name w:val="Title"/>
    <w:basedOn w:val="Normal"/>
    <w:link w:val="TitleChar"/>
    <w:qFormat/>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Pr>
      <w:rFonts w:ascii="Calibri" w:hAnsi="Calibri"/>
      <w:b/>
      <w:color w:val="003C79"/>
      <w:sz w:val="32"/>
    </w:rPr>
  </w:style>
  <w:style w:type="paragraph" w:styleId="TOCHeading">
    <w:name w:val="TOC Heading"/>
    <w:basedOn w:val="Heading1"/>
    <w:next w:val="Normal"/>
    <w:uiPriority w:val="39"/>
    <w:semiHidden/>
    <w:unhideWhenUsed/>
    <w:qFormat/>
    <w:pPr>
      <w:keepLines/>
      <w:tabs>
        <w:tab w:val="clear" w:pos="1152"/>
      </w:tabs>
      <w:spacing w:before="480" w:line="276" w:lineRule="auto"/>
      <w:ind w:left="0" w:firstLine="0"/>
      <w:outlineLvl w:val="9"/>
    </w:pPr>
    <w:rPr>
      <w:rFonts w:asciiTheme="majorHAnsi" w:eastAsiaTheme="majorEastAsia" w:hAnsiTheme="majorHAnsi" w:cstheme="majorBidi"/>
      <w:bCs/>
      <w:color w:val="365F91" w:themeColor="accent1" w:themeShade="BF"/>
      <w:szCs w:val="28"/>
      <w:lang w:eastAsia="ja-JP"/>
    </w:rPr>
  </w:style>
  <w:style w:type="paragraph" w:styleId="TableofFigures">
    <w:name w:val="table of figures"/>
    <w:basedOn w:val="Normal"/>
    <w:next w:val="Normal"/>
    <w:uiPriority w:val="99"/>
    <w:unhideWhenUsed/>
  </w:style>
  <w:style w:type="character" w:customStyle="1" w:styleId="Heading2Char">
    <w:name w:val="Heading 2 Char"/>
    <w:aliases w:val="H2-Sec. Head Char,H2-Chap. Head Char"/>
    <w:basedOn w:val="DefaultParagraphFont"/>
    <w:link w:val="Heading2"/>
    <w:rsid w:val="00E43E0A"/>
    <w:rPr>
      <w:rFonts w:asciiTheme="minorHAnsi" w:hAnsiTheme="minorHAnsi" w:cstheme="minorHAnsi"/>
      <w:b/>
      <w:sz w:val="28"/>
    </w:rPr>
  </w:style>
  <w:style w:type="character" w:customStyle="1" w:styleId="Heading3Char">
    <w:name w:val="Heading 3 Char"/>
    <w:aliases w:val="H3-Sec. Head Char"/>
    <w:basedOn w:val="DefaultParagraphFont"/>
    <w:link w:val="Heading3"/>
    <w:rsid w:val="00E43E0A"/>
    <w:rPr>
      <w:rFonts w:asciiTheme="minorHAnsi" w:hAnsiTheme="minorHAnsi" w:cstheme="minorHAnsi"/>
      <w:b/>
      <w:sz w:val="24"/>
    </w:rPr>
  </w:style>
  <w:style w:type="character" w:customStyle="1" w:styleId="Heading4Char">
    <w:name w:val="Heading 4 Char"/>
    <w:aliases w:val="H4 Sec.Heading Char"/>
    <w:basedOn w:val="DefaultParagraphFont"/>
    <w:link w:val="Heading4"/>
    <w:rPr>
      <w:rFonts w:ascii="Calibri" w:hAnsi="Calibri"/>
      <w:b/>
      <w:i/>
      <w:sz w:val="24"/>
    </w:rPr>
  </w:style>
  <w:style w:type="character" w:customStyle="1" w:styleId="Heading5Char">
    <w:name w:val="Heading 5 Char"/>
    <w:basedOn w:val="DefaultParagraphFont"/>
    <w:link w:val="Heading5"/>
    <w:rPr>
      <w:rFonts w:ascii="Garamond" w:hAnsi="Garamond"/>
      <w:sz w:val="24"/>
    </w:rPr>
  </w:style>
  <w:style w:type="character" w:customStyle="1" w:styleId="Heading6Char">
    <w:name w:val="Heading 6 Char"/>
    <w:basedOn w:val="DefaultParagraphFont"/>
    <w:link w:val="Heading6"/>
    <w:rPr>
      <w:rFonts w:ascii="Garamond" w:hAnsi="Garamond"/>
      <w:b/>
      <w:caps/>
      <w:sz w:val="24"/>
    </w:rPr>
  </w:style>
  <w:style w:type="character" w:customStyle="1" w:styleId="Heading7Char">
    <w:name w:val="Heading 7 Char"/>
    <w:basedOn w:val="DefaultParagraphFont"/>
    <w:link w:val="Heading7"/>
    <w:rPr>
      <w:rFonts w:ascii="Garamond" w:hAnsi="Garamond"/>
      <w:sz w:val="24"/>
    </w:rPr>
  </w:style>
  <w:style w:type="paragraph" w:styleId="Revision">
    <w:name w:val="Revision"/>
    <w:hidden/>
    <w:uiPriority w:val="99"/>
    <w:semiHidden/>
    <w:rPr>
      <w:rFonts w:ascii="Garamond" w:hAnsi="Garamond"/>
      <w:sz w:val="24"/>
    </w:rPr>
  </w:style>
  <w:style w:type="paragraph" w:customStyle="1" w:styleId="TableHeaderCenter">
    <w:name w:val="Table Header Center"/>
    <w:basedOn w:val="Normal"/>
    <w:uiPriority w:val="99"/>
    <w:pPr>
      <w:spacing w:before="120" w:after="60" w:line="240" w:lineRule="auto"/>
      <w:jc w:val="center"/>
    </w:pPr>
    <w:rPr>
      <w:rFonts w:ascii="Lucida Sans" w:eastAsia="Calibri" w:hAnsi="Lucida Sans" w:cs="Lucida Sans"/>
      <w:sz w:val="18"/>
      <w:szCs w:val="18"/>
    </w:rPr>
  </w:style>
  <w:style w:type="paragraph" w:customStyle="1" w:styleId="TableHeaderLeft">
    <w:name w:val="Table Header Left"/>
    <w:basedOn w:val="Normal"/>
    <w:uiPriority w:val="99"/>
    <w:pPr>
      <w:spacing w:before="120" w:after="60" w:line="240" w:lineRule="auto"/>
    </w:pPr>
    <w:rPr>
      <w:rFonts w:ascii="Lucida Sans" w:eastAsia="Calibri" w:hAnsi="Lucida Sans" w:cs="Lucida Sans"/>
      <w:sz w:val="18"/>
      <w:szCs w:val="18"/>
    </w:rPr>
  </w:style>
  <w:style w:type="paragraph" w:customStyle="1" w:styleId="TableText">
    <w:name w:val="Table Text"/>
    <w:basedOn w:val="Normal"/>
    <w:uiPriority w:val="99"/>
    <w:pPr>
      <w:spacing w:line="240" w:lineRule="auto"/>
    </w:pPr>
    <w:rPr>
      <w:rFonts w:ascii="Lucida Sans" w:eastAsia="Calibri" w:hAnsi="Lucida Sans" w:cs="Lucida Sans"/>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rmaltextrun">
    <w:name w:val="normaltextrun"/>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journal">
    <w:name w:val="journal"/>
    <w:basedOn w:val="DefaultParagraphFont"/>
    <w:rsid w:val="000A4A9A"/>
  </w:style>
  <w:style w:type="character" w:customStyle="1" w:styleId="vol">
    <w:name w:val="vol"/>
    <w:basedOn w:val="DefaultParagraphFont"/>
    <w:rsid w:val="000A4A9A"/>
  </w:style>
  <w:style w:type="character" w:customStyle="1" w:styleId="pages">
    <w:name w:val="pages"/>
    <w:basedOn w:val="DefaultParagraphFont"/>
    <w:rsid w:val="000A4A9A"/>
  </w:style>
  <w:style w:type="paragraph" w:customStyle="1" w:styleId="Paragraph">
    <w:name w:val="Paragraph"/>
    <w:basedOn w:val="Normal"/>
    <w:qFormat/>
    <w:rsid w:val="00F82333"/>
    <w:pPr>
      <w:spacing w:after="160" w:line="264" w:lineRule="auto"/>
    </w:pPr>
    <w:rPr>
      <w:rFonts w:asciiTheme="minorHAnsi" w:eastAsiaTheme="minorHAnsi" w:hAnsiTheme="minorHAnsi" w:cstheme="minorBidi"/>
      <w:sz w:val="22"/>
      <w:szCs w:val="22"/>
    </w:rPr>
  </w:style>
  <w:style w:type="paragraph" w:customStyle="1" w:styleId="CoverPage-Title">
    <w:name w:val="CoverPage-Title"/>
    <w:basedOn w:val="Normal"/>
    <w:rsid w:val="00DC5B7E"/>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basedOn w:val="Normal"/>
    <w:rsid w:val="00DC5B7E"/>
    <w:pPr>
      <w:spacing w:before="1200" w:after="1200"/>
      <w:ind w:left="1812" w:hanging="1092"/>
      <w:contextualSpacing/>
    </w:pPr>
    <w:rPr>
      <w:rFonts w:ascii="Franklin Gothic Medium" w:hAnsi="Franklin Gothic Medium"/>
      <w:color w:val="003C79"/>
      <w:sz w:val="32"/>
      <w:szCs w:val="28"/>
    </w:rPr>
  </w:style>
  <w:style w:type="paragraph" w:styleId="EndnoteText">
    <w:name w:val="endnote text"/>
    <w:basedOn w:val="Normal"/>
    <w:link w:val="EndnoteTextChar"/>
    <w:uiPriority w:val="99"/>
    <w:semiHidden/>
    <w:unhideWhenUsed/>
    <w:rsid w:val="005F4525"/>
    <w:pPr>
      <w:spacing w:line="240" w:lineRule="auto"/>
    </w:pPr>
    <w:rPr>
      <w:sz w:val="20"/>
    </w:rPr>
  </w:style>
  <w:style w:type="character" w:customStyle="1" w:styleId="EndnoteTextChar">
    <w:name w:val="Endnote Text Char"/>
    <w:basedOn w:val="DefaultParagraphFont"/>
    <w:link w:val="EndnoteText"/>
    <w:uiPriority w:val="99"/>
    <w:semiHidden/>
    <w:rsid w:val="005F4525"/>
    <w:rPr>
      <w:rFonts w:ascii="Garamond" w:hAnsi="Garamond"/>
    </w:rPr>
  </w:style>
  <w:style w:type="character" w:styleId="EndnoteReference">
    <w:name w:val="endnote reference"/>
    <w:basedOn w:val="DefaultParagraphFont"/>
    <w:uiPriority w:val="99"/>
    <w:semiHidden/>
    <w:unhideWhenUsed/>
    <w:rsid w:val="005F4525"/>
    <w:rPr>
      <w:vertAlign w:val="superscript"/>
    </w:rPr>
  </w:style>
  <w:style w:type="character" w:customStyle="1" w:styleId="UnresolvedMention2">
    <w:name w:val="Unresolved Mention2"/>
    <w:basedOn w:val="DefaultParagraphFont"/>
    <w:uiPriority w:val="99"/>
    <w:semiHidden/>
    <w:unhideWhenUsed/>
    <w:rsid w:val="00E86B11"/>
    <w:rPr>
      <w:color w:val="605E5C"/>
      <w:shd w:val="clear" w:color="auto" w:fill="E1DFDD"/>
    </w:rPr>
  </w:style>
  <w:style w:type="character" w:customStyle="1" w:styleId="UnresolvedMention3">
    <w:name w:val="Unresolved Mention3"/>
    <w:basedOn w:val="DefaultParagraphFont"/>
    <w:uiPriority w:val="99"/>
    <w:semiHidden/>
    <w:unhideWhenUsed/>
    <w:rsid w:val="007C0AB1"/>
    <w:rPr>
      <w:color w:val="605E5C"/>
      <w:shd w:val="clear" w:color="auto" w:fill="E1DFDD"/>
    </w:rPr>
  </w:style>
  <w:style w:type="character" w:customStyle="1" w:styleId="L1-FlLSp12Char">
    <w:name w:val="L1-FlL Sp&amp;1/2 Char"/>
    <w:basedOn w:val="DefaultParagraphFont"/>
    <w:link w:val="L1-FlLSp12"/>
    <w:rsid w:val="00730CBE"/>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5497">
      <w:bodyDiv w:val="1"/>
      <w:marLeft w:val="0"/>
      <w:marRight w:val="0"/>
      <w:marTop w:val="0"/>
      <w:marBottom w:val="0"/>
      <w:divBdr>
        <w:top w:val="none" w:sz="0" w:space="0" w:color="auto"/>
        <w:left w:val="none" w:sz="0" w:space="0" w:color="auto"/>
        <w:bottom w:val="none" w:sz="0" w:space="0" w:color="auto"/>
        <w:right w:val="none" w:sz="0" w:space="0" w:color="auto"/>
      </w:divBdr>
    </w:div>
    <w:div w:id="256062109">
      <w:bodyDiv w:val="1"/>
      <w:marLeft w:val="0"/>
      <w:marRight w:val="0"/>
      <w:marTop w:val="0"/>
      <w:marBottom w:val="0"/>
      <w:divBdr>
        <w:top w:val="none" w:sz="0" w:space="0" w:color="auto"/>
        <w:left w:val="none" w:sz="0" w:space="0" w:color="auto"/>
        <w:bottom w:val="none" w:sz="0" w:space="0" w:color="auto"/>
        <w:right w:val="none" w:sz="0" w:space="0" w:color="auto"/>
      </w:divBdr>
    </w:div>
    <w:div w:id="423189040">
      <w:bodyDiv w:val="1"/>
      <w:marLeft w:val="0"/>
      <w:marRight w:val="0"/>
      <w:marTop w:val="0"/>
      <w:marBottom w:val="0"/>
      <w:divBdr>
        <w:top w:val="none" w:sz="0" w:space="0" w:color="auto"/>
        <w:left w:val="none" w:sz="0" w:space="0" w:color="auto"/>
        <w:bottom w:val="none" w:sz="0" w:space="0" w:color="auto"/>
        <w:right w:val="none" w:sz="0" w:space="0" w:color="auto"/>
      </w:divBdr>
    </w:div>
    <w:div w:id="425004813">
      <w:bodyDiv w:val="1"/>
      <w:marLeft w:val="0"/>
      <w:marRight w:val="0"/>
      <w:marTop w:val="0"/>
      <w:marBottom w:val="0"/>
      <w:divBdr>
        <w:top w:val="none" w:sz="0" w:space="0" w:color="auto"/>
        <w:left w:val="none" w:sz="0" w:space="0" w:color="auto"/>
        <w:bottom w:val="none" w:sz="0" w:space="0" w:color="auto"/>
        <w:right w:val="none" w:sz="0" w:space="0" w:color="auto"/>
      </w:divBdr>
      <w:divsChild>
        <w:div w:id="80220579">
          <w:marLeft w:val="0"/>
          <w:marRight w:val="0"/>
          <w:marTop w:val="0"/>
          <w:marBottom w:val="0"/>
          <w:divBdr>
            <w:top w:val="none" w:sz="0" w:space="0" w:color="auto"/>
            <w:left w:val="none" w:sz="0" w:space="0" w:color="auto"/>
            <w:bottom w:val="none" w:sz="0" w:space="0" w:color="auto"/>
            <w:right w:val="none" w:sz="0" w:space="0" w:color="auto"/>
          </w:divBdr>
          <w:divsChild>
            <w:div w:id="1905750157">
              <w:marLeft w:val="0"/>
              <w:marRight w:val="0"/>
              <w:marTop w:val="0"/>
              <w:marBottom w:val="0"/>
              <w:divBdr>
                <w:top w:val="none" w:sz="0" w:space="0" w:color="auto"/>
                <w:left w:val="none" w:sz="0" w:space="0" w:color="auto"/>
                <w:bottom w:val="none" w:sz="0" w:space="0" w:color="auto"/>
                <w:right w:val="none" w:sz="0" w:space="0" w:color="auto"/>
              </w:divBdr>
              <w:divsChild>
                <w:div w:id="1665622843">
                  <w:marLeft w:val="0"/>
                  <w:marRight w:val="0"/>
                  <w:marTop w:val="0"/>
                  <w:marBottom w:val="0"/>
                  <w:divBdr>
                    <w:top w:val="none" w:sz="0" w:space="0" w:color="auto"/>
                    <w:left w:val="none" w:sz="0" w:space="0" w:color="auto"/>
                    <w:bottom w:val="none" w:sz="0" w:space="0" w:color="auto"/>
                    <w:right w:val="none" w:sz="0" w:space="0" w:color="auto"/>
                  </w:divBdr>
                  <w:divsChild>
                    <w:div w:id="20709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34407">
      <w:bodyDiv w:val="1"/>
      <w:marLeft w:val="0"/>
      <w:marRight w:val="0"/>
      <w:marTop w:val="0"/>
      <w:marBottom w:val="0"/>
      <w:divBdr>
        <w:top w:val="none" w:sz="0" w:space="0" w:color="auto"/>
        <w:left w:val="none" w:sz="0" w:space="0" w:color="auto"/>
        <w:bottom w:val="none" w:sz="0" w:space="0" w:color="auto"/>
        <w:right w:val="none" w:sz="0" w:space="0" w:color="auto"/>
      </w:divBdr>
    </w:div>
    <w:div w:id="550657035">
      <w:bodyDiv w:val="1"/>
      <w:marLeft w:val="0"/>
      <w:marRight w:val="0"/>
      <w:marTop w:val="0"/>
      <w:marBottom w:val="0"/>
      <w:divBdr>
        <w:top w:val="none" w:sz="0" w:space="0" w:color="auto"/>
        <w:left w:val="none" w:sz="0" w:space="0" w:color="auto"/>
        <w:bottom w:val="none" w:sz="0" w:space="0" w:color="auto"/>
        <w:right w:val="none" w:sz="0" w:space="0" w:color="auto"/>
      </w:divBdr>
    </w:div>
    <w:div w:id="772166901">
      <w:bodyDiv w:val="1"/>
      <w:marLeft w:val="0"/>
      <w:marRight w:val="0"/>
      <w:marTop w:val="0"/>
      <w:marBottom w:val="0"/>
      <w:divBdr>
        <w:top w:val="none" w:sz="0" w:space="0" w:color="auto"/>
        <w:left w:val="none" w:sz="0" w:space="0" w:color="auto"/>
        <w:bottom w:val="none" w:sz="0" w:space="0" w:color="auto"/>
        <w:right w:val="none" w:sz="0" w:space="0" w:color="auto"/>
      </w:divBdr>
    </w:div>
    <w:div w:id="781850397">
      <w:bodyDiv w:val="1"/>
      <w:marLeft w:val="0"/>
      <w:marRight w:val="0"/>
      <w:marTop w:val="0"/>
      <w:marBottom w:val="0"/>
      <w:divBdr>
        <w:top w:val="none" w:sz="0" w:space="0" w:color="auto"/>
        <w:left w:val="none" w:sz="0" w:space="0" w:color="auto"/>
        <w:bottom w:val="none" w:sz="0" w:space="0" w:color="auto"/>
        <w:right w:val="none" w:sz="0" w:space="0" w:color="auto"/>
      </w:divBdr>
    </w:div>
    <w:div w:id="889613482">
      <w:bodyDiv w:val="1"/>
      <w:marLeft w:val="0"/>
      <w:marRight w:val="0"/>
      <w:marTop w:val="0"/>
      <w:marBottom w:val="0"/>
      <w:divBdr>
        <w:top w:val="none" w:sz="0" w:space="0" w:color="auto"/>
        <w:left w:val="none" w:sz="0" w:space="0" w:color="auto"/>
        <w:bottom w:val="none" w:sz="0" w:space="0" w:color="auto"/>
        <w:right w:val="none" w:sz="0" w:space="0" w:color="auto"/>
      </w:divBdr>
    </w:div>
    <w:div w:id="906958335">
      <w:bodyDiv w:val="1"/>
      <w:marLeft w:val="0"/>
      <w:marRight w:val="0"/>
      <w:marTop w:val="0"/>
      <w:marBottom w:val="0"/>
      <w:divBdr>
        <w:top w:val="none" w:sz="0" w:space="0" w:color="auto"/>
        <w:left w:val="none" w:sz="0" w:space="0" w:color="auto"/>
        <w:bottom w:val="none" w:sz="0" w:space="0" w:color="auto"/>
        <w:right w:val="none" w:sz="0" w:space="0" w:color="auto"/>
      </w:divBdr>
    </w:div>
    <w:div w:id="1011956839">
      <w:bodyDiv w:val="1"/>
      <w:marLeft w:val="0"/>
      <w:marRight w:val="0"/>
      <w:marTop w:val="0"/>
      <w:marBottom w:val="0"/>
      <w:divBdr>
        <w:top w:val="none" w:sz="0" w:space="0" w:color="auto"/>
        <w:left w:val="none" w:sz="0" w:space="0" w:color="auto"/>
        <w:bottom w:val="none" w:sz="0" w:space="0" w:color="auto"/>
        <w:right w:val="none" w:sz="0" w:space="0" w:color="auto"/>
      </w:divBdr>
    </w:div>
    <w:div w:id="1027485327">
      <w:bodyDiv w:val="1"/>
      <w:marLeft w:val="0"/>
      <w:marRight w:val="0"/>
      <w:marTop w:val="0"/>
      <w:marBottom w:val="0"/>
      <w:divBdr>
        <w:top w:val="none" w:sz="0" w:space="0" w:color="auto"/>
        <w:left w:val="none" w:sz="0" w:space="0" w:color="auto"/>
        <w:bottom w:val="none" w:sz="0" w:space="0" w:color="auto"/>
        <w:right w:val="none" w:sz="0" w:space="0" w:color="auto"/>
      </w:divBdr>
    </w:div>
    <w:div w:id="1149782823">
      <w:bodyDiv w:val="1"/>
      <w:marLeft w:val="0"/>
      <w:marRight w:val="0"/>
      <w:marTop w:val="0"/>
      <w:marBottom w:val="0"/>
      <w:divBdr>
        <w:top w:val="none" w:sz="0" w:space="0" w:color="auto"/>
        <w:left w:val="none" w:sz="0" w:space="0" w:color="auto"/>
        <w:bottom w:val="none" w:sz="0" w:space="0" w:color="auto"/>
        <w:right w:val="none" w:sz="0" w:space="0" w:color="auto"/>
      </w:divBdr>
    </w:div>
    <w:div w:id="1244872670">
      <w:bodyDiv w:val="1"/>
      <w:marLeft w:val="0"/>
      <w:marRight w:val="0"/>
      <w:marTop w:val="0"/>
      <w:marBottom w:val="0"/>
      <w:divBdr>
        <w:top w:val="none" w:sz="0" w:space="0" w:color="auto"/>
        <w:left w:val="none" w:sz="0" w:space="0" w:color="auto"/>
        <w:bottom w:val="none" w:sz="0" w:space="0" w:color="auto"/>
        <w:right w:val="none" w:sz="0" w:space="0" w:color="auto"/>
      </w:divBdr>
    </w:div>
    <w:div w:id="1281375467">
      <w:bodyDiv w:val="1"/>
      <w:marLeft w:val="0"/>
      <w:marRight w:val="0"/>
      <w:marTop w:val="0"/>
      <w:marBottom w:val="0"/>
      <w:divBdr>
        <w:top w:val="none" w:sz="0" w:space="0" w:color="auto"/>
        <w:left w:val="none" w:sz="0" w:space="0" w:color="auto"/>
        <w:bottom w:val="none" w:sz="0" w:space="0" w:color="auto"/>
        <w:right w:val="none" w:sz="0" w:space="0" w:color="auto"/>
      </w:divBdr>
    </w:div>
    <w:div w:id="1290237181">
      <w:bodyDiv w:val="1"/>
      <w:marLeft w:val="0"/>
      <w:marRight w:val="0"/>
      <w:marTop w:val="0"/>
      <w:marBottom w:val="0"/>
      <w:divBdr>
        <w:top w:val="none" w:sz="0" w:space="0" w:color="auto"/>
        <w:left w:val="none" w:sz="0" w:space="0" w:color="auto"/>
        <w:bottom w:val="none" w:sz="0" w:space="0" w:color="auto"/>
        <w:right w:val="none" w:sz="0" w:space="0" w:color="auto"/>
      </w:divBdr>
    </w:div>
    <w:div w:id="1313828311">
      <w:bodyDiv w:val="1"/>
      <w:marLeft w:val="0"/>
      <w:marRight w:val="0"/>
      <w:marTop w:val="0"/>
      <w:marBottom w:val="0"/>
      <w:divBdr>
        <w:top w:val="none" w:sz="0" w:space="0" w:color="auto"/>
        <w:left w:val="none" w:sz="0" w:space="0" w:color="auto"/>
        <w:bottom w:val="none" w:sz="0" w:space="0" w:color="auto"/>
        <w:right w:val="none" w:sz="0" w:space="0" w:color="auto"/>
      </w:divBdr>
    </w:div>
    <w:div w:id="1604535085">
      <w:bodyDiv w:val="1"/>
      <w:marLeft w:val="0"/>
      <w:marRight w:val="0"/>
      <w:marTop w:val="0"/>
      <w:marBottom w:val="0"/>
      <w:divBdr>
        <w:top w:val="none" w:sz="0" w:space="0" w:color="auto"/>
        <w:left w:val="none" w:sz="0" w:space="0" w:color="auto"/>
        <w:bottom w:val="none" w:sz="0" w:space="0" w:color="auto"/>
        <w:right w:val="none" w:sz="0" w:space="0" w:color="auto"/>
      </w:divBdr>
    </w:div>
    <w:div w:id="1656493289">
      <w:bodyDiv w:val="1"/>
      <w:marLeft w:val="0"/>
      <w:marRight w:val="0"/>
      <w:marTop w:val="0"/>
      <w:marBottom w:val="0"/>
      <w:divBdr>
        <w:top w:val="none" w:sz="0" w:space="0" w:color="auto"/>
        <w:left w:val="none" w:sz="0" w:space="0" w:color="auto"/>
        <w:bottom w:val="none" w:sz="0" w:space="0" w:color="auto"/>
        <w:right w:val="none" w:sz="0" w:space="0" w:color="auto"/>
      </w:divBdr>
    </w:div>
    <w:div w:id="1688825564">
      <w:bodyDiv w:val="1"/>
      <w:marLeft w:val="0"/>
      <w:marRight w:val="0"/>
      <w:marTop w:val="0"/>
      <w:marBottom w:val="0"/>
      <w:divBdr>
        <w:top w:val="none" w:sz="0" w:space="0" w:color="auto"/>
        <w:left w:val="none" w:sz="0" w:space="0" w:color="auto"/>
        <w:bottom w:val="none" w:sz="0" w:space="0" w:color="auto"/>
        <w:right w:val="none" w:sz="0" w:space="0" w:color="auto"/>
      </w:divBdr>
    </w:div>
    <w:div w:id="1769160580">
      <w:bodyDiv w:val="1"/>
      <w:marLeft w:val="0"/>
      <w:marRight w:val="0"/>
      <w:marTop w:val="0"/>
      <w:marBottom w:val="0"/>
      <w:divBdr>
        <w:top w:val="none" w:sz="0" w:space="0" w:color="auto"/>
        <w:left w:val="none" w:sz="0" w:space="0" w:color="auto"/>
        <w:bottom w:val="none" w:sz="0" w:space="0" w:color="auto"/>
        <w:right w:val="none" w:sz="0" w:space="0" w:color="auto"/>
      </w:divBdr>
    </w:div>
    <w:div w:id="1798334539">
      <w:bodyDiv w:val="1"/>
      <w:marLeft w:val="0"/>
      <w:marRight w:val="0"/>
      <w:marTop w:val="0"/>
      <w:marBottom w:val="0"/>
      <w:divBdr>
        <w:top w:val="none" w:sz="0" w:space="0" w:color="auto"/>
        <w:left w:val="none" w:sz="0" w:space="0" w:color="auto"/>
        <w:bottom w:val="none" w:sz="0" w:space="0" w:color="auto"/>
        <w:right w:val="none" w:sz="0" w:space="0" w:color="auto"/>
      </w:divBdr>
    </w:div>
    <w:div w:id="1810779825">
      <w:bodyDiv w:val="1"/>
      <w:marLeft w:val="0"/>
      <w:marRight w:val="0"/>
      <w:marTop w:val="0"/>
      <w:marBottom w:val="0"/>
      <w:divBdr>
        <w:top w:val="none" w:sz="0" w:space="0" w:color="auto"/>
        <w:left w:val="none" w:sz="0" w:space="0" w:color="auto"/>
        <w:bottom w:val="none" w:sz="0" w:space="0" w:color="auto"/>
        <w:right w:val="none" w:sz="0" w:space="0" w:color="auto"/>
      </w:divBdr>
    </w:div>
    <w:div w:id="1835144304">
      <w:bodyDiv w:val="1"/>
      <w:marLeft w:val="0"/>
      <w:marRight w:val="0"/>
      <w:marTop w:val="0"/>
      <w:marBottom w:val="0"/>
      <w:divBdr>
        <w:top w:val="none" w:sz="0" w:space="0" w:color="auto"/>
        <w:left w:val="none" w:sz="0" w:space="0" w:color="auto"/>
        <w:bottom w:val="none" w:sz="0" w:space="0" w:color="auto"/>
        <w:right w:val="none" w:sz="0" w:space="0" w:color="auto"/>
      </w:divBdr>
    </w:div>
    <w:div w:id="1855416173">
      <w:bodyDiv w:val="1"/>
      <w:marLeft w:val="0"/>
      <w:marRight w:val="0"/>
      <w:marTop w:val="0"/>
      <w:marBottom w:val="0"/>
      <w:divBdr>
        <w:top w:val="none" w:sz="0" w:space="0" w:color="auto"/>
        <w:left w:val="none" w:sz="0" w:space="0" w:color="auto"/>
        <w:bottom w:val="none" w:sz="0" w:space="0" w:color="auto"/>
        <w:right w:val="none" w:sz="0" w:space="0" w:color="auto"/>
      </w:divBdr>
    </w:div>
    <w:div w:id="1910991097">
      <w:bodyDiv w:val="1"/>
      <w:marLeft w:val="0"/>
      <w:marRight w:val="0"/>
      <w:marTop w:val="0"/>
      <w:marBottom w:val="0"/>
      <w:divBdr>
        <w:top w:val="none" w:sz="0" w:space="0" w:color="auto"/>
        <w:left w:val="none" w:sz="0" w:space="0" w:color="auto"/>
        <w:bottom w:val="none" w:sz="0" w:space="0" w:color="auto"/>
        <w:right w:val="none" w:sz="0" w:space="0" w:color="auto"/>
      </w:divBdr>
    </w:div>
    <w:div w:id="1943487401">
      <w:bodyDiv w:val="1"/>
      <w:marLeft w:val="0"/>
      <w:marRight w:val="0"/>
      <w:marTop w:val="0"/>
      <w:marBottom w:val="0"/>
      <w:divBdr>
        <w:top w:val="none" w:sz="0" w:space="0" w:color="auto"/>
        <w:left w:val="none" w:sz="0" w:space="0" w:color="auto"/>
        <w:bottom w:val="none" w:sz="0" w:space="0" w:color="auto"/>
        <w:right w:val="none" w:sz="0" w:space="0" w:color="auto"/>
      </w:divBdr>
    </w:div>
    <w:div w:id="1998610554">
      <w:bodyDiv w:val="1"/>
      <w:marLeft w:val="0"/>
      <w:marRight w:val="0"/>
      <w:marTop w:val="0"/>
      <w:marBottom w:val="0"/>
      <w:divBdr>
        <w:top w:val="none" w:sz="0" w:space="0" w:color="auto"/>
        <w:left w:val="none" w:sz="0" w:space="0" w:color="auto"/>
        <w:bottom w:val="none" w:sz="0" w:space="0" w:color="auto"/>
        <w:right w:val="none" w:sz="0" w:space="0" w:color="auto"/>
      </w:divBdr>
    </w:div>
    <w:div w:id="2074770156">
      <w:bodyDiv w:val="1"/>
      <w:marLeft w:val="0"/>
      <w:marRight w:val="0"/>
      <w:marTop w:val="0"/>
      <w:marBottom w:val="0"/>
      <w:divBdr>
        <w:top w:val="none" w:sz="0" w:space="0" w:color="auto"/>
        <w:left w:val="none" w:sz="0" w:space="0" w:color="auto"/>
        <w:bottom w:val="none" w:sz="0" w:space="0" w:color="auto"/>
        <w:right w:val="none" w:sz="0" w:space="0" w:color="auto"/>
      </w:divBdr>
    </w:div>
    <w:div w:id="21315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bls.gov/oes/current/oes119032.ht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ls.gov/oes/current/oes119032.htm" TargetMode="External"/><Relationship Id="rId2" Type="http://schemas.openxmlformats.org/officeDocument/2006/relationships/numbering" Target="numbering.xml"/><Relationship Id="rId16" Type="http://schemas.openxmlformats.org/officeDocument/2006/relationships/hyperlink" Target="https://www.federalregister.gov/documents/2021/09/03/2021-19044/agency-information-collection-activities-comment-request-implementation-of-title-iii-a-progra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verview/budget/budget20/20a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2AE0-A4FD-45E3-847E-9CF9832C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4202</Words>
  <Characters>24935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29079</CharactersWithSpaces>
  <SharedDoc>false</SharedDoc>
  <HLinks>
    <vt:vector size="138" baseType="variant">
      <vt:variant>
        <vt:i4>4325403</vt:i4>
      </vt:variant>
      <vt:variant>
        <vt:i4>126</vt:i4>
      </vt:variant>
      <vt:variant>
        <vt:i4>0</vt:i4>
      </vt:variant>
      <vt:variant>
        <vt:i4>5</vt:i4>
      </vt:variant>
      <vt:variant>
        <vt:lpwstr>https://www.bls.gov/oes/current/oes119032.htm</vt:lpwstr>
      </vt:variant>
      <vt:variant>
        <vt:lpwstr/>
      </vt:variant>
      <vt:variant>
        <vt:i4>4325403</vt:i4>
      </vt:variant>
      <vt:variant>
        <vt:i4>123</vt:i4>
      </vt:variant>
      <vt:variant>
        <vt:i4>0</vt:i4>
      </vt:variant>
      <vt:variant>
        <vt:i4>5</vt:i4>
      </vt:variant>
      <vt:variant>
        <vt:lpwstr>https://www.bls.gov/oes/current/oes119032.htm</vt:lpwstr>
      </vt:variant>
      <vt:variant>
        <vt:lpwstr/>
      </vt:variant>
      <vt:variant>
        <vt:i4>1900595</vt:i4>
      </vt:variant>
      <vt:variant>
        <vt:i4>116</vt:i4>
      </vt:variant>
      <vt:variant>
        <vt:i4>0</vt:i4>
      </vt:variant>
      <vt:variant>
        <vt:i4>5</vt:i4>
      </vt:variant>
      <vt:variant>
        <vt:lpwstr/>
      </vt:variant>
      <vt:variant>
        <vt:lpwstr>_Toc77057830</vt:lpwstr>
      </vt:variant>
      <vt:variant>
        <vt:i4>1310770</vt:i4>
      </vt:variant>
      <vt:variant>
        <vt:i4>110</vt:i4>
      </vt:variant>
      <vt:variant>
        <vt:i4>0</vt:i4>
      </vt:variant>
      <vt:variant>
        <vt:i4>5</vt:i4>
      </vt:variant>
      <vt:variant>
        <vt:lpwstr/>
      </vt:variant>
      <vt:variant>
        <vt:lpwstr>_Toc77057829</vt:lpwstr>
      </vt:variant>
      <vt:variant>
        <vt:i4>1376306</vt:i4>
      </vt:variant>
      <vt:variant>
        <vt:i4>104</vt:i4>
      </vt:variant>
      <vt:variant>
        <vt:i4>0</vt:i4>
      </vt:variant>
      <vt:variant>
        <vt:i4>5</vt:i4>
      </vt:variant>
      <vt:variant>
        <vt:lpwstr/>
      </vt:variant>
      <vt:variant>
        <vt:lpwstr>_Toc77057828</vt:lpwstr>
      </vt:variant>
      <vt:variant>
        <vt:i4>1703986</vt:i4>
      </vt:variant>
      <vt:variant>
        <vt:i4>98</vt:i4>
      </vt:variant>
      <vt:variant>
        <vt:i4>0</vt:i4>
      </vt:variant>
      <vt:variant>
        <vt:i4>5</vt:i4>
      </vt:variant>
      <vt:variant>
        <vt:lpwstr/>
      </vt:variant>
      <vt:variant>
        <vt:lpwstr>_Toc77057827</vt:lpwstr>
      </vt:variant>
      <vt:variant>
        <vt:i4>1769522</vt:i4>
      </vt:variant>
      <vt:variant>
        <vt:i4>92</vt:i4>
      </vt:variant>
      <vt:variant>
        <vt:i4>0</vt:i4>
      </vt:variant>
      <vt:variant>
        <vt:i4>5</vt:i4>
      </vt:variant>
      <vt:variant>
        <vt:lpwstr/>
      </vt:variant>
      <vt:variant>
        <vt:lpwstr>_Toc77057826</vt:lpwstr>
      </vt:variant>
      <vt:variant>
        <vt:i4>1572914</vt:i4>
      </vt:variant>
      <vt:variant>
        <vt:i4>86</vt:i4>
      </vt:variant>
      <vt:variant>
        <vt:i4>0</vt:i4>
      </vt:variant>
      <vt:variant>
        <vt:i4>5</vt:i4>
      </vt:variant>
      <vt:variant>
        <vt:lpwstr/>
      </vt:variant>
      <vt:variant>
        <vt:lpwstr>_Toc77057825</vt:lpwstr>
      </vt:variant>
      <vt:variant>
        <vt:i4>1638450</vt:i4>
      </vt:variant>
      <vt:variant>
        <vt:i4>80</vt:i4>
      </vt:variant>
      <vt:variant>
        <vt:i4>0</vt:i4>
      </vt:variant>
      <vt:variant>
        <vt:i4>5</vt:i4>
      </vt:variant>
      <vt:variant>
        <vt:lpwstr/>
      </vt:variant>
      <vt:variant>
        <vt:lpwstr>_Toc77057824</vt:lpwstr>
      </vt:variant>
      <vt:variant>
        <vt:i4>1966130</vt:i4>
      </vt:variant>
      <vt:variant>
        <vt:i4>74</vt:i4>
      </vt:variant>
      <vt:variant>
        <vt:i4>0</vt:i4>
      </vt:variant>
      <vt:variant>
        <vt:i4>5</vt:i4>
      </vt:variant>
      <vt:variant>
        <vt:lpwstr/>
      </vt:variant>
      <vt:variant>
        <vt:lpwstr>_Toc77057823</vt:lpwstr>
      </vt:variant>
      <vt:variant>
        <vt:i4>2031666</vt:i4>
      </vt:variant>
      <vt:variant>
        <vt:i4>68</vt:i4>
      </vt:variant>
      <vt:variant>
        <vt:i4>0</vt:i4>
      </vt:variant>
      <vt:variant>
        <vt:i4>5</vt:i4>
      </vt:variant>
      <vt:variant>
        <vt:lpwstr/>
      </vt:variant>
      <vt:variant>
        <vt:lpwstr>_Toc77057822</vt:lpwstr>
      </vt:variant>
      <vt:variant>
        <vt:i4>1835058</vt:i4>
      </vt:variant>
      <vt:variant>
        <vt:i4>62</vt:i4>
      </vt:variant>
      <vt:variant>
        <vt:i4>0</vt:i4>
      </vt:variant>
      <vt:variant>
        <vt:i4>5</vt:i4>
      </vt:variant>
      <vt:variant>
        <vt:lpwstr/>
      </vt:variant>
      <vt:variant>
        <vt:lpwstr>_Toc77057821</vt:lpwstr>
      </vt:variant>
      <vt:variant>
        <vt:i4>1900594</vt:i4>
      </vt:variant>
      <vt:variant>
        <vt:i4>56</vt:i4>
      </vt:variant>
      <vt:variant>
        <vt:i4>0</vt:i4>
      </vt:variant>
      <vt:variant>
        <vt:i4>5</vt:i4>
      </vt:variant>
      <vt:variant>
        <vt:lpwstr/>
      </vt:variant>
      <vt:variant>
        <vt:lpwstr>_Toc77057820</vt:lpwstr>
      </vt:variant>
      <vt:variant>
        <vt:i4>1310769</vt:i4>
      </vt:variant>
      <vt:variant>
        <vt:i4>50</vt:i4>
      </vt:variant>
      <vt:variant>
        <vt:i4>0</vt:i4>
      </vt:variant>
      <vt:variant>
        <vt:i4>5</vt:i4>
      </vt:variant>
      <vt:variant>
        <vt:lpwstr/>
      </vt:variant>
      <vt:variant>
        <vt:lpwstr>_Toc77057819</vt:lpwstr>
      </vt:variant>
      <vt:variant>
        <vt:i4>1376305</vt:i4>
      </vt:variant>
      <vt:variant>
        <vt:i4>44</vt:i4>
      </vt:variant>
      <vt:variant>
        <vt:i4>0</vt:i4>
      </vt:variant>
      <vt:variant>
        <vt:i4>5</vt:i4>
      </vt:variant>
      <vt:variant>
        <vt:lpwstr/>
      </vt:variant>
      <vt:variant>
        <vt:lpwstr>_Toc77057818</vt:lpwstr>
      </vt:variant>
      <vt:variant>
        <vt:i4>1703985</vt:i4>
      </vt:variant>
      <vt:variant>
        <vt:i4>38</vt:i4>
      </vt:variant>
      <vt:variant>
        <vt:i4>0</vt:i4>
      </vt:variant>
      <vt:variant>
        <vt:i4>5</vt:i4>
      </vt:variant>
      <vt:variant>
        <vt:lpwstr/>
      </vt:variant>
      <vt:variant>
        <vt:lpwstr>_Toc77057817</vt:lpwstr>
      </vt:variant>
      <vt:variant>
        <vt:i4>1769521</vt:i4>
      </vt:variant>
      <vt:variant>
        <vt:i4>32</vt:i4>
      </vt:variant>
      <vt:variant>
        <vt:i4>0</vt:i4>
      </vt:variant>
      <vt:variant>
        <vt:i4>5</vt:i4>
      </vt:variant>
      <vt:variant>
        <vt:lpwstr/>
      </vt:variant>
      <vt:variant>
        <vt:lpwstr>_Toc77057816</vt:lpwstr>
      </vt:variant>
      <vt:variant>
        <vt:i4>1572913</vt:i4>
      </vt:variant>
      <vt:variant>
        <vt:i4>26</vt:i4>
      </vt:variant>
      <vt:variant>
        <vt:i4>0</vt:i4>
      </vt:variant>
      <vt:variant>
        <vt:i4>5</vt:i4>
      </vt:variant>
      <vt:variant>
        <vt:lpwstr/>
      </vt:variant>
      <vt:variant>
        <vt:lpwstr>_Toc77057815</vt:lpwstr>
      </vt:variant>
      <vt:variant>
        <vt:i4>1638449</vt:i4>
      </vt:variant>
      <vt:variant>
        <vt:i4>20</vt:i4>
      </vt:variant>
      <vt:variant>
        <vt:i4>0</vt:i4>
      </vt:variant>
      <vt:variant>
        <vt:i4>5</vt:i4>
      </vt:variant>
      <vt:variant>
        <vt:lpwstr/>
      </vt:variant>
      <vt:variant>
        <vt:lpwstr>_Toc77057814</vt:lpwstr>
      </vt:variant>
      <vt:variant>
        <vt:i4>1966129</vt:i4>
      </vt:variant>
      <vt:variant>
        <vt:i4>14</vt:i4>
      </vt:variant>
      <vt:variant>
        <vt:i4>0</vt:i4>
      </vt:variant>
      <vt:variant>
        <vt:i4>5</vt:i4>
      </vt:variant>
      <vt:variant>
        <vt:lpwstr/>
      </vt:variant>
      <vt:variant>
        <vt:lpwstr>_Toc77057813</vt:lpwstr>
      </vt:variant>
      <vt:variant>
        <vt:i4>2031665</vt:i4>
      </vt:variant>
      <vt:variant>
        <vt:i4>8</vt:i4>
      </vt:variant>
      <vt:variant>
        <vt:i4>0</vt:i4>
      </vt:variant>
      <vt:variant>
        <vt:i4>5</vt:i4>
      </vt:variant>
      <vt:variant>
        <vt:lpwstr/>
      </vt:variant>
      <vt:variant>
        <vt:lpwstr>_Toc77057812</vt:lpwstr>
      </vt:variant>
      <vt:variant>
        <vt:i4>1835057</vt:i4>
      </vt:variant>
      <vt:variant>
        <vt:i4>2</vt:i4>
      </vt:variant>
      <vt:variant>
        <vt:i4>0</vt:i4>
      </vt:variant>
      <vt:variant>
        <vt:i4>5</vt:i4>
      </vt:variant>
      <vt:variant>
        <vt:lpwstr/>
      </vt:variant>
      <vt:variant>
        <vt:lpwstr>_Toc77057811</vt:lpwstr>
      </vt:variant>
      <vt:variant>
        <vt:i4>6619243</vt:i4>
      </vt:variant>
      <vt:variant>
        <vt:i4>0</vt:i4>
      </vt:variant>
      <vt:variant>
        <vt:i4>0</vt:i4>
      </vt:variant>
      <vt:variant>
        <vt:i4>5</vt:i4>
      </vt:variant>
      <vt:variant>
        <vt:lpwstr>https://www2.ed.gov/about/overview/budget/budget20/20action.pdf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2021-12-27T13:27:00Z</dcterms:created>
  <dcterms:modified xsi:type="dcterms:W3CDTF">2021-12-27T13:27:00Z</dcterms:modified>
</cp:coreProperties>
</file>