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5428B" w:rsidR="00BC15BE" w:rsidP="00BC15BE" w:rsidRDefault="00BC15BE" w14:paraId="6A3C0555" w14:textId="77777777">
      <w:pPr>
        <w:tabs>
          <w:tab w:val="center" w:pos="4680"/>
        </w:tabs>
        <w:jc w:val="center"/>
        <w:rPr>
          <w:b/>
          <w:bCs/>
          <w:sz w:val="24"/>
        </w:rPr>
      </w:pPr>
    </w:p>
    <w:p w:rsidRPr="00F5428B" w:rsidR="00BC15BE" w:rsidP="00BC15BE" w:rsidRDefault="00BC15BE" w14:paraId="1BA59068" w14:textId="77777777">
      <w:pPr>
        <w:tabs>
          <w:tab w:val="center" w:pos="4680"/>
        </w:tabs>
        <w:jc w:val="center"/>
        <w:rPr>
          <w:b/>
          <w:bCs/>
          <w:sz w:val="24"/>
        </w:rPr>
      </w:pPr>
      <w:r w:rsidRPr="00F5428B">
        <w:rPr>
          <w:b/>
          <w:bCs/>
          <w:sz w:val="24"/>
        </w:rPr>
        <w:t>SUPPORTING STATEMENT FOR</w:t>
      </w:r>
    </w:p>
    <w:p w:rsidRPr="00F5428B" w:rsidR="002B45F1" w:rsidP="002B45F1" w:rsidRDefault="002B45F1" w14:paraId="39A1A94B" w14:textId="4AD1C292">
      <w:pPr>
        <w:tabs>
          <w:tab w:val="center" w:pos="5040"/>
        </w:tabs>
        <w:jc w:val="center"/>
        <w:rPr>
          <w:b/>
          <w:bCs/>
          <w:sz w:val="24"/>
        </w:rPr>
      </w:pPr>
      <w:r w:rsidRPr="00F5428B">
        <w:rPr>
          <w:b/>
          <w:bCs/>
          <w:sz w:val="24"/>
        </w:rPr>
        <w:t>FERC-545</w:t>
      </w:r>
      <w:r w:rsidRPr="00E06116">
        <w:rPr>
          <w:bCs/>
          <w:sz w:val="24"/>
        </w:rPr>
        <w:t xml:space="preserve"> </w:t>
      </w:r>
      <w:r w:rsidR="00C40086">
        <w:rPr>
          <w:bCs/>
          <w:sz w:val="24"/>
        </w:rPr>
        <w:t>[</w:t>
      </w:r>
      <w:r w:rsidRPr="00F5428B">
        <w:rPr>
          <w:b/>
          <w:bCs/>
          <w:sz w:val="24"/>
        </w:rPr>
        <w:t xml:space="preserve">(Gas Pipeline Rates: Rate </w:t>
      </w:r>
      <w:r w:rsidR="00A873E5">
        <w:rPr>
          <w:b/>
          <w:bCs/>
          <w:sz w:val="24"/>
        </w:rPr>
        <w:t xml:space="preserve">Change </w:t>
      </w:r>
      <w:r w:rsidR="00C40086">
        <w:rPr>
          <w:b/>
          <w:bCs/>
          <w:sz w:val="24"/>
        </w:rPr>
        <w:t>(</w:t>
      </w:r>
      <w:r w:rsidR="00A873E5">
        <w:rPr>
          <w:b/>
          <w:bCs/>
          <w:sz w:val="24"/>
        </w:rPr>
        <w:t>Non-Formal</w:t>
      </w:r>
      <w:r w:rsidR="00E06116">
        <w:rPr>
          <w:b/>
          <w:bCs/>
          <w:sz w:val="24"/>
        </w:rPr>
        <w:t>)</w:t>
      </w:r>
      <w:r w:rsidR="00C40086">
        <w:rPr>
          <w:b/>
          <w:bCs/>
          <w:sz w:val="24"/>
        </w:rPr>
        <w:t>]</w:t>
      </w:r>
    </w:p>
    <w:p w:rsidRPr="00F5428B" w:rsidR="002B45F1" w:rsidP="002B45F1" w:rsidRDefault="00E06116" w14:paraId="09E86EFA" w14:textId="78F01DF2">
      <w:pPr>
        <w:tabs>
          <w:tab w:val="center" w:pos="5040"/>
        </w:tabs>
        <w:jc w:val="center"/>
        <w:rPr>
          <w:b/>
          <w:bCs/>
          <w:sz w:val="24"/>
        </w:rPr>
      </w:pPr>
      <w:r>
        <w:rPr>
          <w:b/>
          <w:bCs/>
          <w:sz w:val="24"/>
        </w:rPr>
        <w:t>in Docket No. RM96-1-04</w:t>
      </w:r>
      <w:r w:rsidR="00B51119">
        <w:rPr>
          <w:b/>
          <w:bCs/>
          <w:sz w:val="24"/>
        </w:rPr>
        <w:t>2</w:t>
      </w:r>
    </w:p>
    <w:p w:rsidRPr="00F5428B" w:rsidR="00BC15BE" w:rsidP="00BC15BE" w:rsidRDefault="00BC15BE" w14:paraId="34F6204C" w14:textId="77777777">
      <w:pPr>
        <w:rPr>
          <w:sz w:val="24"/>
        </w:rPr>
      </w:pPr>
    </w:p>
    <w:p w:rsidRPr="00052AF3" w:rsidR="002B45F1" w:rsidP="002B45F1" w:rsidRDefault="002B45F1" w14:paraId="35A0048C" w14:textId="499765EA">
      <w:pPr>
        <w:rPr>
          <w:sz w:val="24"/>
        </w:rPr>
      </w:pPr>
      <w:r w:rsidRPr="00052AF3">
        <w:rPr>
          <w:sz w:val="24"/>
        </w:rPr>
        <w:t>The Federal Energy Regulatory Commission (Commission or FERC) requests that the Office of Managem</w:t>
      </w:r>
      <w:r w:rsidRPr="00052AF3" w:rsidR="00E06116">
        <w:rPr>
          <w:sz w:val="24"/>
        </w:rPr>
        <w:t>ent and Budget (OMB) review/</w:t>
      </w:r>
      <w:r w:rsidRPr="00052AF3">
        <w:rPr>
          <w:sz w:val="24"/>
        </w:rPr>
        <w:t>approve changes to</w:t>
      </w:r>
      <w:r w:rsidRPr="00052AF3" w:rsidR="00E06116">
        <w:rPr>
          <w:sz w:val="24"/>
        </w:rPr>
        <w:t xml:space="preserve"> and the extension of</w:t>
      </w:r>
      <w:r w:rsidRPr="00052AF3">
        <w:rPr>
          <w:sz w:val="24"/>
        </w:rPr>
        <w:t xml:space="preserve"> </w:t>
      </w:r>
      <w:r w:rsidRPr="00052AF3" w:rsidR="00E06116">
        <w:rPr>
          <w:sz w:val="24"/>
        </w:rPr>
        <w:t xml:space="preserve">the </w:t>
      </w:r>
      <w:r w:rsidRPr="00052AF3">
        <w:rPr>
          <w:sz w:val="24"/>
        </w:rPr>
        <w:t>FERC-545</w:t>
      </w:r>
      <w:r w:rsidRPr="00052AF3" w:rsidR="00E06116">
        <w:rPr>
          <w:sz w:val="24"/>
        </w:rPr>
        <w:t xml:space="preserve"> information collection</w:t>
      </w:r>
      <w:r w:rsidRPr="00052AF3">
        <w:rPr>
          <w:sz w:val="24"/>
        </w:rPr>
        <w:t xml:space="preserve"> </w:t>
      </w:r>
      <w:r w:rsidRPr="00052AF3" w:rsidR="00C40086">
        <w:rPr>
          <w:sz w:val="24"/>
        </w:rPr>
        <w:t>[</w:t>
      </w:r>
      <w:r w:rsidRPr="00052AF3">
        <w:rPr>
          <w:sz w:val="24"/>
        </w:rPr>
        <w:t xml:space="preserve">(Gas Pipeline Rates: Rate Change </w:t>
      </w:r>
      <w:r w:rsidRPr="00052AF3" w:rsidR="00C40086">
        <w:rPr>
          <w:sz w:val="24"/>
        </w:rPr>
        <w:t>(</w:t>
      </w:r>
      <w:r w:rsidRPr="00052AF3">
        <w:rPr>
          <w:sz w:val="24"/>
        </w:rPr>
        <w:t>Non-Formal)</w:t>
      </w:r>
      <w:r w:rsidRPr="00052AF3" w:rsidR="00C40086">
        <w:rPr>
          <w:sz w:val="24"/>
        </w:rPr>
        <w:t>]</w:t>
      </w:r>
      <w:r w:rsidRPr="00052AF3">
        <w:rPr>
          <w:sz w:val="24"/>
        </w:rPr>
        <w:t>,</w:t>
      </w:r>
      <w:r w:rsidRPr="00052AF3">
        <w:rPr>
          <w:sz w:val="24"/>
          <w:vertAlign w:val="superscript"/>
        </w:rPr>
        <w:t xml:space="preserve"> </w:t>
      </w:r>
      <w:r w:rsidRPr="00052AF3">
        <w:rPr>
          <w:sz w:val="24"/>
        </w:rPr>
        <w:t>as stated in the</w:t>
      </w:r>
      <w:r w:rsidRPr="00052AF3" w:rsidR="00C50902">
        <w:rPr>
          <w:sz w:val="24"/>
        </w:rPr>
        <w:t xml:space="preserve"> </w:t>
      </w:r>
      <w:r w:rsidRPr="00052AF3" w:rsidR="00800B4C">
        <w:rPr>
          <w:sz w:val="24"/>
        </w:rPr>
        <w:t>Final Rule</w:t>
      </w:r>
      <w:r w:rsidRPr="00052AF3" w:rsidR="00C50902">
        <w:rPr>
          <w:sz w:val="24"/>
        </w:rPr>
        <w:t xml:space="preserve"> </w:t>
      </w:r>
      <w:r w:rsidRPr="00052AF3">
        <w:rPr>
          <w:sz w:val="24"/>
        </w:rPr>
        <w:t>in Docket No. RM</w:t>
      </w:r>
      <w:r w:rsidRPr="00052AF3" w:rsidR="00E06116">
        <w:rPr>
          <w:sz w:val="24"/>
        </w:rPr>
        <w:t>96-1-04</w:t>
      </w:r>
      <w:r w:rsidRPr="00052AF3" w:rsidR="00B51119">
        <w:rPr>
          <w:sz w:val="24"/>
        </w:rPr>
        <w:t>2</w:t>
      </w:r>
      <w:r w:rsidRPr="00052AF3">
        <w:rPr>
          <w:sz w:val="24"/>
        </w:rPr>
        <w:t>.</w:t>
      </w:r>
    </w:p>
    <w:p w:rsidRPr="00052AF3" w:rsidR="002B45F1" w:rsidP="00FB3975" w:rsidRDefault="002B45F1" w14:paraId="56DB3D15" w14:textId="77777777"/>
    <w:p w:rsidRPr="00FB3975" w:rsidR="006B7B80" w:rsidP="006B7B80" w:rsidRDefault="002B45F1" w14:paraId="33C340BF" w14:textId="2FF1AED7">
      <w:pPr>
        <w:pStyle w:val="FERCparanumber"/>
        <w:numPr>
          <w:ilvl w:val="0"/>
          <w:numId w:val="0"/>
        </w:numPr>
        <w:rPr>
          <w:sz w:val="24"/>
        </w:rPr>
      </w:pPr>
      <w:r w:rsidRPr="00052AF3">
        <w:rPr>
          <w:sz w:val="24"/>
        </w:rPr>
        <w:t>T</w:t>
      </w:r>
      <w:r w:rsidRPr="004B16C8">
        <w:rPr>
          <w:sz w:val="24"/>
        </w:rPr>
        <w:t xml:space="preserve">he Commission is submitting this consolidated supporting </w:t>
      </w:r>
      <w:r w:rsidRPr="00052AF3">
        <w:rPr>
          <w:sz w:val="24"/>
        </w:rPr>
        <w:t>statement to OM</w:t>
      </w:r>
      <w:r w:rsidRPr="00052AF3" w:rsidR="00A873E5">
        <w:rPr>
          <w:sz w:val="24"/>
        </w:rPr>
        <w:t>B with one</w:t>
      </w:r>
      <w:r w:rsidR="008B59AE">
        <w:rPr>
          <w:sz w:val="24"/>
        </w:rPr>
        <w:t xml:space="preserve"> Information Collection Requirement</w:t>
      </w:r>
      <w:r w:rsidRPr="00052AF3" w:rsidR="00A873E5">
        <w:rPr>
          <w:sz w:val="24"/>
        </w:rPr>
        <w:t xml:space="preserve"> </w:t>
      </w:r>
      <w:r w:rsidR="006071DF">
        <w:rPr>
          <w:sz w:val="24"/>
        </w:rPr>
        <w:t>(</w:t>
      </w:r>
      <w:r w:rsidRPr="00052AF3" w:rsidR="00A873E5">
        <w:rPr>
          <w:sz w:val="24"/>
        </w:rPr>
        <w:t>ICR</w:t>
      </w:r>
      <w:r w:rsidR="006071DF">
        <w:rPr>
          <w:sz w:val="24"/>
        </w:rPr>
        <w:t>)</w:t>
      </w:r>
      <w:r w:rsidRPr="00052AF3" w:rsidR="00A873E5">
        <w:rPr>
          <w:sz w:val="24"/>
        </w:rPr>
        <w:t xml:space="preserve"> for each of the two</w:t>
      </w:r>
      <w:r w:rsidRPr="00052AF3">
        <w:rPr>
          <w:sz w:val="24"/>
        </w:rPr>
        <w:t xml:space="preserve"> separate OMB Control Numbers</w:t>
      </w:r>
      <w:r w:rsidRPr="00052AF3" w:rsidR="00C40086">
        <w:rPr>
          <w:sz w:val="24"/>
        </w:rPr>
        <w:t xml:space="preserve"> (1902-0154 for FERC-545 and 1902-0174 for FERC-549C)</w:t>
      </w:r>
      <w:r w:rsidRPr="00052AF3">
        <w:rPr>
          <w:sz w:val="24"/>
        </w:rPr>
        <w:t>.</w:t>
      </w:r>
    </w:p>
    <w:p w:rsidRPr="00052AF3" w:rsidR="00BC15BE" w:rsidP="00BC15BE" w:rsidRDefault="00BC15BE" w14:paraId="56813438" w14:textId="77777777">
      <w:pPr>
        <w:rPr>
          <w:b/>
          <w:sz w:val="24"/>
        </w:rPr>
      </w:pPr>
    </w:p>
    <w:p w:rsidRPr="00052AF3" w:rsidR="00BC15BE" w:rsidP="00BC15BE" w:rsidRDefault="00BC15BE" w14:paraId="35BD39DC" w14:textId="65CD2A92">
      <w:pPr>
        <w:pStyle w:val="Level1"/>
        <w:widowControl/>
        <w:tabs>
          <w:tab w:val="left" w:pos="-1440"/>
          <w:tab w:val="num" w:pos="720"/>
        </w:tabs>
        <w:rPr>
          <w:b/>
        </w:rPr>
      </w:pPr>
      <w:r w:rsidRPr="00052AF3">
        <w:rPr>
          <w:b/>
        </w:rPr>
        <w:t>CIRCUMSTANCES THAT MAKE THE COLLECTION OF INFORMATION NECESSARY</w:t>
      </w:r>
    </w:p>
    <w:p w:rsidRPr="00052AF3" w:rsidR="00BC15BE" w:rsidP="00BC15BE" w:rsidRDefault="00BC15BE" w14:paraId="37618DE1" w14:textId="77777777">
      <w:pPr>
        <w:pStyle w:val="Level1"/>
        <w:widowControl/>
        <w:numPr>
          <w:ilvl w:val="0"/>
          <w:numId w:val="0"/>
        </w:numPr>
        <w:tabs>
          <w:tab w:val="left" w:pos="-1440"/>
        </w:tabs>
        <w:rPr>
          <w:b/>
        </w:rPr>
      </w:pPr>
    </w:p>
    <w:p w:rsidRPr="00052AF3" w:rsidR="00382D44" w:rsidP="002B45F1" w:rsidRDefault="00800B4C" w14:paraId="18839E98" w14:textId="2D533CDC">
      <w:pPr>
        <w:rPr>
          <w:sz w:val="24"/>
        </w:rPr>
      </w:pPr>
      <w:r w:rsidRPr="00052AF3">
        <w:rPr>
          <w:b/>
          <w:sz w:val="24"/>
          <w:u w:val="single"/>
        </w:rPr>
        <w:t>Final Rule</w:t>
      </w:r>
      <w:r w:rsidRPr="00052AF3" w:rsidR="00950A2F">
        <w:rPr>
          <w:b/>
          <w:sz w:val="24"/>
          <w:u w:val="single"/>
        </w:rPr>
        <w:t xml:space="preserve"> in </w:t>
      </w:r>
      <w:r w:rsidRPr="00052AF3" w:rsidR="002B45F1">
        <w:rPr>
          <w:b/>
          <w:sz w:val="24"/>
          <w:u w:val="single"/>
        </w:rPr>
        <w:t xml:space="preserve">Docket </w:t>
      </w:r>
      <w:r w:rsidRPr="00052AF3" w:rsidR="00EB7781">
        <w:rPr>
          <w:b/>
          <w:sz w:val="24"/>
          <w:u w:val="single"/>
        </w:rPr>
        <w:t xml:space="preserve">No. </w:t>
      </w:r>
      <w:r w:rsidRPr="00052AF3" w:rsidR="00D60724">
        <w:rPr>
          <w:b/>
          <w:sz w:val="24"/>
          <w:u w:val="single"/>
        </w:rPr>
        <w:t>RM96-1-04</w:t>
      </w:r>
      <w:r w:rsidRPr="00052AF3" w:rsidR="00B51119">
        <w:rPr>
          <w:b/>
          <w:sz w:val="24"/>
          <w:u w:val="single"/>
        </w:rPr>
        <w:t>2</w:t>
      </w:r>
    </w:p>
    <w:p w:rsidRPr="00052AF3" w:rsidR="009D1B59" w:rsidP="002B45F1" w:rsidRDefault="009D1B59" w14:paraId="3B19BFA5" w14:textId="77777777">
      <w:pPr>
        <w:rPr>
          <w:sz w:val="24"/>
        </w:rPr>
      </w:pPr>
    </w:p>
    <w:p w:rsidRPr="00FB3975" w:rsidR="00EB7781" w:rsidP="00B51119" w:rsidRDefault="00B51119" w14:paraId="4170C57B" w14:textId="5DDB8EBD">
      <w:pPr>
        <w:pStyle w:val="FERCparanumber"/>
        <w:numPr>
          <w:ilvl w:val="0"/>
          <w:numId w:val="0"/>
        </w:numPr>
        <w:rPr>
          <w:sz w:val="24"/>
        </w:rPr>
      </w:pPr>
      <w:r w:rsidRPr="00FB3975">
        <w:rPr>
          <w:sz w:val="24"/>
        </w:rPr>
        <w:t>Since 1996, the Commission has adopted regulations to standardize the business practices and communication methodologies of interstate natural gas pipelines to create a more integrated and efficient pipeline grid.  These regulations have been promulgated in the Order No. 587 series of orders,</w:t>
      </w:r>
      <w:r w:rsidRPr="00FB3975">
        <w:rPr>
          <w:rStyle w:val="FootnoteReference"/>
          <w:sz w:val="24"/>
          <w:szCs w:val="24"/>
        </w:rPr>
        <w:footnoteReference w:id="2"/>
      </w:r>
      <w:r w:rsidRPr="00FB3975">
        <w:rPr>
          <w:sz w:val="24"/>
        </w:rPr>
        <w:t xml:space="preserve"> wherein the Commission has incorporated by reference standards for interstate natural gas pipeline business practices and electronic communications that were developed and adopted by </w:t>
      </w:r>
      <w:r w:rsidRPr="00FB3975" w:rsidR="00755C82">
        <w:rPr>
          <w:sz w:val="24"/>
        </w:rPr>
        <w:t>the Wholesale Gas Quadrant (WGQ) of the North American Energy Standards Board (</w:t>
      </w:r>
      <w:r w:rsidRPr="00FB3975">
        <w:rPr>
          <w:sz w:val="24"/>
        </w:rPr>
        <w:t>NAESB</w:t>
      </w:r>
      <w:r w:rsidRPr="00FB3975" w:rsidR="00755C82">
        <w:rPr>
          <w:sz w:val="24"/>
        </w:rPr>
        <w:t>)</w:t>
      </w:r>
      <w:r w:rsidRPr="00FB3975">
        <w:rPr>
          <w:sz w:val="24"/>
        </w:rPr>
        <w:t xml:space="preserve">.  Upon incorporation by reference, version </w:t>
      </w:r>
      <w:r w:rsidRPr="00FB3975" w:rsidR="00A55A48">
        <w:rPr>
          <w:sz w:val="24"/>
        </w:rPr>
        <w:t xml:space="preserve">3.2 </w:t>
      </w:r>
      <w:r w:rsidRPr="00FB3975">
        <w:rPr>
          <w:sz w:val="24"/>
        </w:rPr>
        <w:t xml:space="preserve">of the standards </w:t>
      </w:r>
      <w:r w:rsidRPr="00FB3975" w:rsidR="00A55A48">
        <w:rPr>
          <w:sz w:val="24"/>
        </w:rPr>
        <w:t xml:space="preserve">(Version 3.2) </w:t>
      </w:r>
      <w:r w:rsidRPr="00FB3975">
        <w:rPr>
          <w:sz w:val="24"/>
        </w:rPr>
        <w:t>will replace the currently incorporated version (Version 3.1) of those business practice standards.</w:t>
      </w:r>
    </w:p>
    <w:p w:rsidRPr="00FB3975" w:rsidR="00A55A48" w:rsidP="00EB7781" w:rsidRDefault="00B51119" w14:paraId="0F192D15" w14:textId="77777777">
      <w:pPr>
        <w:pStyle w:val="FERCparanumber"/>
        <w:numPr>
          <w:ilvl w:val="0"/>
          <w:numId w:val="0"/>
        </w:numPr>
        <w:rPr>
          <w:sz w:val="24"/>
        </w:rPr>
      </w:pPr>
      <w:r w:rsidRPr="00FB3975">
        <w:rPr>
          <w:sz w:val="24"/>
        </w:rPr>
        <w:t>On August 17, 2020, NAESB filed a report informing the Commission that it had adopted and ratified WGQ Version 3.2 of its business practice standards applicable to interstate natural gas pipelines.  Version 3.2 of the WGQ includes business practice standards developed and modified in response to industry requests and directives from the NAESB Board of Directors.  This version also includes the standards developed in response to the recommendations of Sandia National Laboratory (Sandia),</w:t>
      </w:r>
      <w:r w:rsidRPr="00FB3975">
        <w:rPr>
          <w:rStyle w:val="FootnoteReference"/>
          <w:sz w:val="24"/>
          <w:szCs w:val="24"/>
        </w:rPr>
        <w:footnoteReference w:id="3"/>
      </w:r>
      <w:r w:rsidRPr="00FB3975">
        <w:rPr>
          <w:sz w:val="24"/>
        </w:rPr>
        <w:t xml:space="preserve"> which in 2019 issued a cybersecurity surety assessment of the </w:t>
      </w:r>
      <w:r w:rsidRPr="00FB3975">
        <w:rPr>
          <w:sz w:val="24"/>
        </w:rPr>
        <w:lastRenderedPageBreak/>
        <w:t>NAESB standards sponsored by DOE (Sandia Surety Assessment),</w:t>
      </w:r>
      <w:r w:rsidRPr="00FB3975">
        <w:rPr>
          <w:rStyle w:val="FootnoteReference"/>
          <w:sz w:val="24"/>
          <w:szCs w:val="24"/>
        </w:rPr>
        <w:footnoteReference w:id="4"/>
      </w:r>
      <w:r w:rsidRPr="00FB3975">
        <w:rPr>
          <w:sz w:val="24"/>
        </w:rPr>
        <w:t xml:space="preserve"> and the standards developed to enable the use of distributed ledger technologies when transacting the NAESB Base Contract for Sale and Purchase of Natural Gas.  The NAESB report identifies all the changes made to the WGQ Version 3.1 Standards and summarizes the deliberations that led to the changes being made.  It also identifies changes to the existing standards that were considered but not adopted due to a lack of consensus or other reasons.</w:t>
      </w:r>
    </w:p>
    <w:p w:rsidRPr="00FB3975" w:rsidR="00A55A48" w:rsidP="00EB7781" w:rsidRDefault="00A55A48" w14:paraId="4E2B65CC" w14:textId="77777777">
      <w:pPr>
        <w:pStyle w:val="FERCparanumber"/>
        <w:numPr>
          <w:ilvl w:val="0"/>
          <w:numId w:val="0"/>
        </w:numPr>
        <w:rPr>
          <w:sz w:val="24"/>
        </w:rPr>
      </w:pPr>
    </w:p>
    <w:p w:rsidRPr="00FB3975" w:rsidR="00A55A48" w:rsidP="00EB7781" w:rsidRDefault="00B51119" w14:paraId="2088B354" w14:textId="55D4A09F">
      <w:pPr>
        <w:pStyle w:val="FERCparanumber"/>
        <w:numPr>
          <w:ilvl w:val="0"/>
          <w:numId w:val="0"/>
        </w:numPr>
        <w:rPr>
          <w:sz w:val="24"/>
        </w:rPr>
      </w:pPr>
      <w:r w:rsidRPr="00FB3975">
        <w:rPr>
          <w:sz w:val="24"/>
        </w:rPr>
        <w:t xml:space="preserve">In response to the recommendations in the Sandia report, the proposals in this </w:t>
      </w:r>
      <w:r w:rsidRPr="00FB3975" w:rsidR="00800B4C">
        <w:rPr>
          <w:sz w:val="24"/>
        </w:rPr>
        <w:t>Final Rule</w:t>
      </w:r>
      <w:r w:rsidRPr="00FB3975">
        <w:rPr>
          <w:sz w:val="24"/>
        </w:rPr>
        <w:t xml:space="preserve"> would, if implemented, upgrade current business practices and communication standards by updating the Quadrant EDM Related Standards and IET Related Standards to specifically: (1) </w:t>
      </w:r>
      <w:r w:rsidRPr="00FB3975">
        <w:rPr>
          <w:sz w:val="24"/>
          <w:lang w:bidi="en-US"/>
        </w:rPr>
        <w:t xml:space="preserve">require the implementation of fixes or patches for known vulnerabilities as soon as reasonably practicable in coordination with other trading partners; (2) specify notification timelines to provide notice to trading partners of any systems or software that have not been updated and the potential impact of using the vulnerable system; (3) include both specific and broad adoptions of system security measures and specific notification and coordination during outages with affected trading partners; (4) maintain a minimum encryption strength of 128 bits, (5) specify that OpenPGP should be used to create public and private keys for privacy and digital signature applications; (6) specify </w:t>
      </w:r>
      <w:r w:rsidRPr="00FB3975" w:rsidR="00052AF3">
        <w:rPr>
          <w:sz w:val="24"/>
          <w:lang w:bidi="en-US"/>
        </w:rPr>
        <w:t>Hyper-Text Transport Protocol Secure (</w:t>
      </w:r>
      <w:r w:rsidRPr="00FB3975">
        <w:rPr>
          <w:sz w:val="24"/>
          <w:lang w:bidi="en-US"/>
        </w:rPr>
        <w:t>HTTPS</w:t>
      </w:r>
      <w:r w:rsidRPr="00FB3975" w:rsidR="00052AF3">
        <w:rPr>
          <w:sz w:val="24"/>
          <w:lang w:bidi="en-US"/>
        </w:rPr>
        <w:t>)</w:t>
      </w:r>
      <w:r w:rsidRPr="00FB3975">
        <w:rPr>
          <w:sz w:val="24"/>
          <w:lang w:bidi="en-US"/>
        </w:rPr>
        <w:t xml:space="preserve"> whenever secure communication is required to protect information in transit and support overall privacy needs; (7) use the largest feasible key length consistent with implementation of current business processes; (8) state that secure web sites should employ individual user credentials; and (9) encourage security assessments and coordination between customers, vendors, and trading partners.</w:t>
      </w:r>
    </w:p>
    <w:p w:rsidRPr="00FB3975" w:rsidR="00132E7B" w:rsidP="00EB7781" w:rsidRDefault="00B51119" w14:paraId="4A2BF82C" w14:textId="5922D4B8">
      <w:pPr>
        <w:pStyle w:val="FERCparanumber"/>
        <w:numPr>
          <w:ilvl w:val="0"/>
          <w:numId w:val="0"/>
        </w:numPr>
        <w:rPr>
          <w:sz w:val="24"/>
        </w:rPr>
      </w:pPr>
      <w:r w:rsidRPr="00FB3975">
        <w:rPr>
          <w:sz w:val="24"/>
        </w:rPr>
        <w:t xml:space="preserve">Further, in response to industry requests or through the normal course of WGQ activities, the proposals in this </w:t>
      </w:r>
      <w:r w:rsidRPr="00FB3975" w:rsidR="00800B4C">
        <w:rPr>
          <w:sz w:val="24"/>
        </w:rPr>
        <w:t>Final Rule</w:t>
      </w:r>
      <w:r w:rsidRPr="00FB3975">
        <w:rPr>
          <w:sz w:val="24"/>
        </w:rPr>
        <w:t xml:space="preserve"> would, if implemented, upgrade current business practices and communication standards by specifically: (1) updating the Nominations Related Standards to allow a Service Requester to determine which rights of the contract its segmentation nomination is using; (2) updating the Quadrant EDM Related Standards to (i) define a NAESB standard time frame for information to be retained on a pipeline’s Informational Postings web site, (ii) allow for processing functions at the line item level on Customer Activities web sites and allow for the use of icons and/or graphical control elements for navigation and/or processing functions, and (iii) make minor revisions designed to add clarity, update the minimum technical characteristics to account for changes in technology since the previous version (Version 3.1) of the WGQ standards, and update the minimum and suggested operating systems and web browsers that </w:t>
      </w:r>
      <w:r w:rsidRPr="00FB3975">
        <w:rPr>
          <w:sz w:val="24"/>
        </w:rPr>
        <w:lastRenderedPageBreak/>
        <w:t>entities should support; (3) updating multiple sets of standards to remove references to the term “gigacalories” and add the term “gigajoules” as the standard quantity for nominations, confirmations, and scheduling in Mexico; and (4) revising the NAESB WGQ data sets or other technical implementation documentation while not resulting in modifications to the underlying business practice standards.  The package of standards also includes minor corrections.</w:t>
      </w:r>
    </w:p>
    <w:p w:rsidRPr="00FB3975" w:rsidR="00132E7B" w:rsidP="00EB7781" w:rsidRDefault="00132E7B" w14:paraId="7FA89820" w14:textId="77777777">
      <w:pPr>
        <w:pStyle w:val="FERCparanumber"/>
        <w:numPr>
          <w:ilvl w:val="0"/>
          <w:numId w:val="0"/>
        </w:numPr>
        <w:rPr>
          <w:sz w:val="24"/>
        </w:rPr>
      </w:pPr>
    </w:p>
    <w:p w:rsidRPr="00FB3975" w:rsidR="00132E7B" w:rsidP="00EB7781" w:rsidRDefault="00B51119" w14:paraId="10B11D88" w14:textId="28477255">
      <w:pPr>
        <w:pStyle w:val="FERCparanumber"/>
        <w:numPr>
          <w:ilvl w:val="0"/>
          <w:numId w:val="0"/>
        </w:numPr>
        <w:rPr>
          <w:sz w:val="24"/>
        </w:rPr>
      </w:pPr>
      <w:r w:rsidRPr="00FB3975">
        <w:rPr>
          <w:sz w:val="24"/>
        </w:rPr>
        <w:t>The implementation of these data requirements will provide additional transparency to Informational Postings web sites and will improve communication standards.  The implementation of these standards and regulations will promote the additional efficiency and reliability of the natural gas industries’ operations thereby helping the Commission to carry out its responsibilities under the NGA.  In addition, the Commission’s Office of Enforcement will use the data for general industry oversight.</w:t>
      </w:r>
    </w:p>
    <w:p w:rsidRPr="00FB3975" w:rsidR="00132E7B" w:rsidP="00EB7781" w:rsidRDefault="00132E7B" w14:paraId="60EB6A07" w14:textId="77777777">
      <w:pPr>
        <w:pStyle w:val="FERCparanumber"/>
        <w:numPr>
          <w:ilvl w:val="0"/>
          <w:numId w:val="0"/>
        </w:numPr>
        <w:rPr>
          <w:sz w:val="24"/>
        </w:rPr>
      </w:pPr>
    </w:p>
    <w:p w:rsidRPr="00FB3975" w:rsidR="00F52DA0" w:rsidP="00FB3975" w:rsidRDefault="00B51119" w14:paraId="7ADFAD7D" w14:textId="57F9F866">
      <w:pPr>
        <w:pStyle w:val="FERCparanumber"/>
        <w:numPr>
          <w:ilvl w:val="0"/>
          <w:numId w:val="0"/>
        </w:numPr>
        <w:rPr>
          <w:sz w:val="24"/>
        </w:rPr>
      </w:pPr>
      <w:r w:rsidRPr="00FB3975">
        <w:rPr>
          <w:sz w:val="24"/>
        </w:rPr>
        <w:t>We have reviewed the requirements pertaining to business practices of interstate natural gas pipelines and made a preliminary determination that the revisions are necessary to establish a more efficient and integrated pipeline grid.  These requirements conform to our plan for efficient information collection, communication, and management within the natural gas pipeline industries.  We determined through our internal review, that there is specific, objective support for the burden estimates associated with the information requirements.</w:t>
      </w:r>
    </w:p>
    <w:p w:rsidRPr="00F5428B" w:rsidR="00BC15BE" w:rsidP="00BC15BE" w:rsidRDefault="00BC15BE" w14:paraId="3B3AF4AB" w14:textId="77777777">
      <w:pPr>
        <w:rPr>
          <w:sz w:val="24"/>
        </w:rPr>
      </w:pPr>
    </w:p>
    <w:p w:rsidRPr="00E2173D" w:rsidR="00006D51" w:rsidP="003F0E97" w:rsidRDefault="00BC15BE" w14:paraId="31C10311" w14:textId="2F003468">
      <w:pPr>
        <w:pStyle w:val="Level1"/>
        <w:widowControl/>
        <w:tabs>
          <w:tab w:val="left" w:pos="-1440"/>
          <w:tab w:val="num" w:pos="720"/>
        </w:tabs>
        <w:rPr>
          <w:b/>
        </w:rPr>
      </w:pPr>
      <w:r w:rsidRPr="00F5428B">
        <w:rPr>
          <w:b/>
        </w:rPr>
        <w:t>HOW, BY WHOM, AND FOR WHAT PURPOSE THE INFORMATION IS TO BE USED AND THE CONSEQUENCES OF NOT COLLECTING THE INFORMATION</w:t>
      </w:r>
    </w:p>
    <w:p w:rsidR="001361B9" w:rsidP="00E2173D" w:rsidRDefault="001361B9" w14:paraId="62FF0BC4" w14:textId="6D733E09">
      <w:pPr>
        <w:rPr>
          <w:sz w:val="24"/>
        </w:rPr>
      </w:pPr>
    </w:p>
    <w:p w:rsidRPr="001361B9" w:rsidR="001361B9" w:rsidP="001361B9" w:rsidRDefault="001361B9" w14:paraId="54A47DD9" w14:textId="2BBB52DF">
      <w:pPr>
        <w:rPr>
          <w:sz w:val="24"/>
        </w:rPr>
      </w:pPr>
      <w:r w:rsidRPr="001361B9">
        <w:rPr>
          <w:sz w:val="24"/>
        </w:rPr>
        <w:t xml:space="preserve">The Commission’s burden estimates for the proposals in this </w:t>
      </w:r>
      <w:r w:rsidR="00800B4C">
        <w:rPr>
          <w:sz w:val="24"/>
        </w:rPr>
        <w:t>Final Rule</w:t>
      </w:r>
      <w:r w:rsidRPr="001361B9">
        <w:rPr>
          <w:sz w:val="24"/>
        </w:rPr>
        <w:t xml:space="preserve"> are for one-time implementation of the information collection requirements of this </w:t>
      </w:r>
      <w:r w:rsidR="00800B4C">
        <w:rPr>
          <w:sz w:val="24"/>
        </w:rPr>
        <w:t>Final Rule</w:t>
      </w:r>
      <w:r w:rsidRPr="001361B9">
        <w:rPr>
          <w:sz w:val="24"/>
        </w:rPr>
        <w:t xml:space="preserve"> (including tariff filing which consists of the costs of preparing a tariff section under which every standard incorporated by reference by the Commission is listed and submitting the compliance tariff filing with the Commission for acceptance; the costs of documenting the process and procedures conducted during the Commission’s review of the tariff changes in the compliance filing; and the costs to pipelines for undertaking the necessary information technology work to comply with the new standards).</w:t>
      </w:r>
    </w:p>
    <w:p w:rsidR="001361B9" w:rsidP="001361B9" w:rsidRDefault="001361B9" w14:paraId="791FC552" w14:textId="7FDF0A08">
      <w:pPr>
        <w:spacing w:after="160" w:line="259" w:lineRule="auto"/>
        <w:rPr>
          <w:rFonts w:eastAsia="Calibri"/>
          <w:sz w:val="24"/>
        </w:rPr>
      </w:pPr>
      <w:r w:rsidRPr="001361B9">
        <w:rPr>
          <w:rFonts w:eastAsia="Calibri"/>
          <w:sz w:val="24"/>
        </w:rPr>
        <w:t xml:space="preserve">The collections of information related to this </w:t>
      </w:r>
      <w:r w:rsidR="00800B4C">
        <w:rPr>
          <w:rFonts w:eastAsia="Calibri"/>
          <w:sz w:val="24"/>
        </w:rPr>
        <w:t>Final Rule</w:t>
      </w:r>
      <w:r w:rsidRPr="001361B9">
        <w:rPr>
          <w:rFonts w:eastAsia="Calibri"/>
          <w:sz w:val="24"/>
        </w:rPr>
        <w:t xml:space="preserve"> fall under FERC–545 (Gas Pipeline Rates: Rate Change (Non-Formal))</w:t>
      </w:r>
      <w:r w:rsidRPr="001361B9">
        <w:rPr>
          <w:rFonts w:eastAsia="Calibri"/>
          <w:b/>
          <w:sz w:val="24"/>
          <w:vertAlign w:val="superscript"/>
        </w:rPr>
        <w:footnoteReference w:id="5"/>
      </w:r>
      <w:r w:rsidRPr="001361B9">
        <w:rPr>
          <w:rFonts w:eastAsia="Calibri"/>
          <w:sz w:val="24"/>
        </w:rPr>
        <w:t xml:space="preserve"> and FERC–549C (Standards for Business Practices of Interstate Natural Gas Pipelines).</w:t>
      </w:r>
      <w:r w:rsidRPr="001361B9">
        <w:rPr>
          <w:rFonts w:eastAsia="Calibri"/>
          <w:b/>
          <w:sz w:val="24"/>
          <w:vertAlign w:val="superscript"/>
        </w:rPr>
        <w:footnoteReference w:id="6"/>
      </w:r>
      <w:r w:rsidRPr="001361B9">
        <w:rPr>
          <w:rFonts w:eastAsia="Calibri"/>
          <w:sz w:val="24"/>
        </w:rPr>
        <w:t>The burden estimates are primarily related to implementing these standards and regulations and will not result in ongoing costs.</w:t>
      </w:r>
    </w:p>
    <w:p w:rsidRPr="001361B9" w:rsidR="001361B9" w:rsidP="001361B9" w:rsidRDefault="001361B9" w14:paraId="52A53BFA" w14:textId="2A90D496">
      <w:pPr>
        <w:spacing w:after="160" w:line="259" w:lineRule="auto"/>
        <w:rPr>
          <w:rFonts w:eastAsia="Calibri"/>
          <w:sz w:val="24"/>
        </w:rPr>
      </w:pPr>
      <w:r w:rsidRPr="001361B9">
        <w:rPr>
          <w:rFonts w:eastAsia="Calibri"/>
          <w:sz w:val="24"/>
        </w:rPr>
        <w:t xml:space="preserve">The standards we are proposing consist of seven suites of NAESB WGQ Business Practice Standards that address a variety of topics and are designed to streamline the transactional </w:t>
      </w:r>
      <w:r w:rsidRPr="001361B9">
        <w:rPr>
          <w:rFonts w:eastAsia="Calibri"/>
          <w:sz w:val="24"/>
        </w:rPr>
        <w:lastRenderedPageBreak/>
        <w:t>processes for the wholesale natural gas industry by promoting a more competitive and efficient market.  These include the:  WGQ Additional Business Practice Standards;</w:t>
      </w:r>
      <w:r w:rsidRPr="001361B9" w:rsidR="00BB1744">
        <w:rPr>
          <w:rFonts w:eastAsia="Calibri"/>
          <w:b/>
          <w:sz w:val="24"/>
          <w:vertAlign w:val="superscript"/>
        </w:rPr>
        <w:footnoteReference w:id="7"/>
      </w:r>
      <w:r w:rsidRPr="001361B9">
        <w:rPr>
          <w:rFonts w:eastAsia="Calibri"/>
          <w:sz w:val="24"/>
        </w:rPr>
        <w:t xml:space="preserve"> WGQ Nominations Related Business Practice Standards; WGQ Flowing Gas Related Business Practice Standards; WGQ Invoicing Related Business Practice Standards; Quadrant Electronic Delivery Mechanism Related Business Practice Standards; Capacity Release Related Business Practice Standards; and Internet Electronic Transport Related Business Practice Standards.</w:t>
      </w:r>
    </w:p>
    <w:p w:rsidRPr="001361B9" w:rsidR="001361B9" w:rsidP="001361B9" w:rsidRDefault="001361B9" w14:paraId="27FAD1CB" w14:textId="77777777">
      <w:pPr>
        <w:spacing w:after="160" w:line="259" w:lineRule="auto"/>
        <w:rPr>
          <w:rFonts w:eastAsia="Calibri"/>
          <w:sz w:val="24"/>
        </w:rPr>
      </w:pPr>
    </w:p>
    <w:p w:rsidRPr="001361B9" w:rsidR="001361B9" w:rsidP="001361B9" w:rsidRDefault="001361B9" w14:paraId="5C4F28C5" w14:textId="7AD81937">
      <w:pPr>
        <w:spacing w:after="160" w:line="259" w:lineRule="auto"/>
        <w:rPr>
          <w:rFonts w:eastAsia="Calibri"/>
          <w:sz w:val="24"/>
        </w:rPr>
      </w:pPr>
      <w:r w:rsidRPr="001361B9">
        <w:rPr>
          <w:rFonts w:eastAsia="Calibri"/>
          <w:b/>
          <w:sz w:val="24"/>
        </w:rPr>
        <w:t>The WGQ Additional Business Practice Standards</w:t>
      </w:r>
      <w:r w:rsidRPr="001361B9">
        <w:rPr>
          <w:rFonts w:eastAsia="Calibri"/>
          <w:sz w:val="24"/>
        </w:rPr>
        <w:t xml:space="preserve"> address six areas: Creditworthiness; Storage Information; Gas/Electric Operational Communications; Operational Capacity; Unsubscribed Capacity; and Location Data Download.</w:t>
      </w:r>
    </w:p>
    <w:p w:rsidRPr="001361B9" w:rsidR="001361B9" w:rsidP="001361B9" w:rsidRDefault="001361B9" w14:paraId="63DBE71B" w14:textId="6BB30308">
      <w:pPr>
        <w:numPr>
          <w:ilvl w:val="0"/>
          <w:numId w:val="16"/>
        </w:numPr>
        <w:spacing w:after="160" w:line="259" w:lineRule="auto"/>
        <w:rPr>
          <w:rFonts w:eastAsia="Calibri"/>
          <w:sz w:val="24"/>
        </w:rPr>
      </w:pPr>
      <w:r w:rsidRPr="001361B9">
        <w:rPr>
          <w:rFonts w:eastAsia="Calibri"/>
          <w:sz w:val="24"/>
        </w:rPr>
        <w:t>The Creditworthiness related standards describe requirements for the exchange of information, notification, and communication between parties during the creditworthiness evaluation process.</w:t>
      </w:r>
    </w:p>
    <w:p w:rsidRPr="001361B9" w:rsidR="001361B9" w:rsidP="001361B9" w:rsidRDefault="001361B9" w14:paraId="063DD2F9" w14:textId="78C9FBFF">
      <w:pPr>
        <w:numPr>
          <w:ilvl w:val="0"/>
          <w:numId w:val="16"/>
        </w:numPr>
        <w:spacing w:after="160" w:line="259" w:lineRule="auto"/>
        <w:rPr>
          <w:rFonts w:eastAsia="Calibri"/>
          <w:sz w:val="24"/>
        </w:rPr>
      </w:pPr>
      <w:r w:rsidRPr="001361B9">
        <w:rPr>
          <w:rFonts w:eastAsia="Calibri"/>
          <w:sz w:val="24"/>
        </w:rPr>
        <w:t>The Storage Information related standards define the information to be provided to natural gas service requesters related to storage activities and/or balances.</w:t>
      </w:r>
    </w:p>
    <w:p w:rsidRPr="001361B9" w:rsidR="001361B9" w:rsidP="001361B9" w:rsidRDefault="001361B9" w14:paraId="0CD35DF9" w14:textId="0065E57A">
      <w:pPr>
        <w:numPr>
          <w:ilvl w:val="0"/>
          <w:numId w:val="16"/>
        </w:numPr>
        <w:spacing w:after="160" w:line="259" w:lineRule="auto"/>
        <w:rPr>
          <w:rFonts w:eastAsia="Calibri"/>
          <w:sz w:val="24"/>
        </w:rPr>
      </w:pPr>
      <w:r w:rsidRPr="001361B9">
        <w:rPr>
          <w:rFonts w:eastAsia="Calibri"/>
          <w:sz w:val="24"/>
        </w:rPr>
        <w:t>The Gas/Electric Operational Communications related standards define communication protocols intended to improve coordination between the gas and electric industries in daily operational communications between transportation service providers and gas-fired power plants.  The standards include requirements for communicating anticipated power generation fuel for the upcoming day as well as any operating problems that might hinder gas-fired power plants from receiving contractual gas quantities.</w:t>
      </w:r>
    </w:p>
    <w:p w:rsidRPr="001361B9" w:rsidR="001361B9" w:rsidP="001361B9" w:rsidRDefault="001361B9" w14:paraId="23C8BFD3" w14:textId="4DB4C2D7">
      <w:pPr>
        <w:numPr>
          <w:ilvl w:val="0"/>
          <w:numId w:val="16"/>
        </w:numPr>
        <w:spacing w:after="160" w:line="259" w:lineRule="auto"/>
        <w:rPr>
          <w:rFonts w:eastAsia="Calibri"/>
          <w:sz w:val="24"/>
        </w:rPr>
      </w:pPr>
      <w:r w:rsidRPr="001361B9">
        <w:rPr>
          <w:rFonts w:eastAsia="Calibri"/>
          <w:sz w:val="24"/>
        </w:rPr>
        <w:t>The Operational Capacity related standards define requirements of the transportation service provider related to the reporting and requesting of a transportation service provider’s operational capacity, total scheduled quantity, and operationally available capacity.</w:t>
      </w:r>
    </w:p>
    <w:p w:rsidRPr="001361B9" w:rsidR="001361B9" w:rsidP="001361B9" w:rsidRDefault="001361B9" w14:paraId="6773B520" w14:textId="3FE9C8C2">
      <w:pPr>
        <w:numPr>
          <w:ilvl w:val="0"/>
          <w:numId w:val="16"/>
        </w:numPr>
        <w:spacing w:after="160" w:line="259" w:lineRule="auto"/>
        <w:rPr>
          <w:rFonts w:eastAsia="Calibri"/>
          <w:sz w:val="24"/>
        </w:rPr>
      </w:pPr>
      <w:r w:rsidRPr="001361B9">
        <w:rPr>
          <w:rFonts w:eastAsia="Calibri"/>
          <w:sz w:val="24"/>
        </w:rPr>
        <w:t>The Unsubscribed Capacity related standards define requirements of the transportation service provider related to the reporting and requesting of a transportation service provider’s available unsubscribed capacity.</w:t>
      </w:r>
    </w:p>
    <w:p w:rsidR="001361B9" w:rsidP="001361B9" w:rsidRDefault="001361B9" w14:paraId="0D441062" w14:textId="2F613251">
      <w:pPr>
        <w:numPr>
          <w:ilvl w:val="0"/>
          <w:numId w:val="16"/>
        </w:numPr>
        <w:spacing w:after="160" w:line="259" w:lineRule="auto"/>
        <w:rPr>
          <w:rFonts w:eastAsia="Calibri"/>
          <w:sz w:val="24"/>
        </w:rPr>
      </w:pPr>
      <w:r w:rsidRPr="001361B9">
        <w:rPr>
          <w:rFonts w:eastAsia="Calibri"/>
          <w:sz w:val="24"/>
        </w:rPr>
        <w:lastRenderedPageBreak/>
        <w:t>The Location Data Download related standards define requirements for the use of codes assigned by the transportation service provider for locations and common codes for parties communicating electronically.</w:t>
      </w:r>
    </w:p>
    <w:p w:rsidRPr="001361B9" w:rsidR="001361B9" w:rsidP="001361B9" w:rsidRDefault="001361B9" w14:paraId="5A8A8E54" w14:textId="6F34C93C">
      <w:pPr>
        <w:spacing w:after="160" w:line="259" w:lineRule="auto"/>
        <w:rPr>
          <w:rFonts w:eastAsia="Calibri"/>
          <w:sz w:val="24"/>
        </w:rPr>
      </w:pPr>
      <w:r w:rsidRPr="001361B9">
        <w:rPr>
          <w:rFonts w:eastAsia="Calibri"/>
          <w:sz w:val="24"/>
        </w:rPr>
        <w:t>The implementation of these standards and regulations will promote the additional efficiency and reliability of the natural gas industries’ operations thereby helping the Commission to carry out its responsibilities under the NGA.  In addition, the Commission’s Office of Enforcement will use the data for general industry oversight. These requirements conform to our plan for efficient information collection, communication, and management within the natural gas pipeline industries.</w:t>
      </w:r>
    </w:p>
    <w:p w:rsidRPr="001361B9" w:rsidR="001361B9" w:rsidP="001361B9" w:rsidRDefault="001361B9" w14:paraId="10831EB6" w14:textId="671F1887">
      <w:pPr>
        <w:spacing w:after="160" w:line="259" w:lineRule="auto"/>
        <w:rPr>
          <w:rFonts w:eastAsia="Calibri"/>
          <w:sz w:val="24"/>
        </w:rPr>
      </w:pPr>
      <w:r w:rsidRPr="001361B9">
        <w:rPr>
          <w:rFonts w:eastAsia="Calibri"/>
          <w:sz w:val="24"/>
        </w:rPr>
        <w:t>For each standard, the pipeline must specify in the tariff section or tariff sheet(s) listing all the NAESB standards:</w:t>
      </w:r>
    </w:p>
    <w:p w:rsidRPr="001361B9" w:rsidR="001361B9" w:rsidP="001361B9" w:rsidRDefault="001361B9" w14:paraId="113DD8B4" w14:textId="37E19702">
      <w:pPr>
        <w:spacing w:after="160" w:line="259" w:lineRule="auto"/>
        <w:rPr>
          <w:rFonts w:eastAsia="Calibri"/>
          <w:sz w:val="24"/>
        </w:rPr>
      </w:pPr>
      <w:r w:rsidRPr="001361B9">
        <w:rPr>
          <w:rFonts w:eastAsia="Calibri"/>
          <w:sz w:val="24"/>
        </w:rPr>
        <w:t>1.whether the standard is incorporated by reference;</w:t>
      </w:r>
    </w:p>
    <w:p w:rsidRPr="001361B9" w:rsidR="001361B9" w:rsidP="001361B9" w:rsidRDefault="001361B9" w14:paraId="0CAF27CB" w14:textId="79139EBD">
      <w:pPr>
        <w:spacing w:after="160" w:line="259" w:lineRule="auto"/>
        <w:rPr>
          <w:rFonts w:eastAsia="Calibri"/>
          <w:sz w:val="24"/>
        </w:rPr>
      </w:pPr>
      <w:r w:rsidRPr="001361B9">
        <w:rPr>
          <w:rFonts w:eastAsia="Calibri"/>
          <w:sz w:val="24"/>
        </w:rPr>
        <w:t>2.for those standards not incorporated by reference, the tariff provision that complies with the standard; or</w:t>
      </w:r>
    </w:p>
    <w:p w:rsidRPr="00910DCD" w:rsidR="001361B9" w:rsidP="00910DCD" w:rsidRDefault="001361B9" w14:paraId="71AF093B" w14:textId="5B79C934">
      <w:pPr>
        <w:spacing w:after="160" w:line="259" w:lineRule="auto"/>
        <w:rPr>
          <w:rFonts w:eastAsia="Calibri"/>
          <w:sz w:val="24"/>
        </w:rPr>
      </w:pPr>
      <w:r w:rsidRPr="001361B9">
        <w:rPr>
          <w:rFonts w:eastAsia="Calibri"/>
          <w:sz w:val="24"/>
        </w:rPr>
        <w:t>3.for those standards with which the pipeline does not comply, an explanatory statement, including  an indication of whether the pipeline has been granted a waiver, extension of time, or other variance with respect to compliance with the standard.</w:t>
      </w:r>
    </w:p>
    <w:p w:rsidR="00E2173D" w:rsidP="00E2173D" w:rsidRDefault="00E2173D" w14:paraId="4C6E3B1D" w14:textId="3D8DBF1F">
      <w:pPr>
        <w:rPr>
          <w:sz w:val="24"/>
        </w:rPr>
      </w:pPr>
      <w:r w:rsidRPr="00E2173D">
        <w:rPr>
          <w:sz w:val="24"/>
        </w:rPr>
        <w:t xml:space="preserve">In this </w:t>
      </w:r>
      <w:r w:rsidR="00800B4C">
        <w:rPr>
          <w:sz w:val="24"/>
        </w:rPr>
        <w:t>Final Rule</w:t>
      </w:r>
      <w:r w:rsidRPr="00E2173D">
        <w:rPr>
          <w:sz w:val="24"/>
        </w:rPr>
        <w:t>, we propose to incorporate by reference, in our regulations, Version 3.2 of the NAESB WGQ consensus business practice standards, with certain exceptions.</w:t>
      </w:r>
      <w:r w:rsidRPr="00E2173D">
        <w:rPr>
          <w:b/>
          <w:sz w:val="24"/>
          <w:vertAlign w:val="superscript"/>
        </w:rPr>
        <w:footnoteReference w:id="8"/>
      </w:r>
      <w:r w:rsidRPr="00E2173D">
        <w:rPr>
          <w:sz w:val="24"/>
        </w:rPr>
        <w:t xml:space="preserve">  We propose that compliance filings made in accordance with a </w:t>
      </w:r>
      <w:r w:rsidR="00800B4C">
        <w:rPr>
          <w:sz w:val="24"/>
        </w:rPr>
        <w:t>Final Rule</w:t>
      </w:r>
      <w:r w:rsidRPr="00E2173D">
        <w:rPr>
          <w:sz w:val="24"/>
        </w:rPr>
        <w:t xml:space="preserve"> be made 120 days after issuance of a </w:t>
      </w:r>
      <w:r w:rsidR="00800B4C">
        <w:rPr>
          <w:sz w:val="24"/>
        </w:rPr>
        <w:t>Final Rule</w:t>
      </w:r>
      <w:r w:rsidRPr="00E2173D">
        <w:rPr>
          <w:sz w:val="24"/>
        </w:rPr>
        <w:t xml:space="preserve"> in this proceeding or on the first business day thereafter if falling on a weekend or holiday, with an effective date 180 days from the date compliance filings are due in this proceeding or the first business day thereafter if falling on a weekend or holiday.  This will allow time for the Commission to process the compliance filings before the effective date of the new standards.</w:t>
      </w:r>
      <w:r w:rsidRPr="00E2173D">
        <w:rPr>
          <w:b/>
          <w:sz w:val="24"/>
          <w:vertAlign w:val="superscript"/>
        </w:rPr>
        <w:t xml:space="preserve"> </w:t>
      </w:r>
      <w:r>
        <w:rPr>
          <w:sz w:val="24"/>
        </w:rPr>
        <w:t xml:space="preserve"> </w:t>
      </w:r>
    </w:p>
    <w:p w:rsidRPr="00E2173D" w:rsidR="00805CDD" w:rsidP="00E2173D" w:rsidRDefault="00805CDD" w14:paraId="78A061C4" w14:textId="77777777">
      <w:pPr>
        <w:rPr>
          <w:sz w:val="24"/>
        </w:rPr>
      </w:pPr>
    </w:p>
    <w:p w:rsidR="00E2173D" w:rsidP="00E2173D" w:rsidRDefault="00E2173D" w14:paraId="69C4704F" w14:textId="620085B6">
      <w:pPr>
        <w:tabs>
          <w:tab w:val="num" w:pos="1440"/>
        </w:tabs>
        <w:rPr>
          <w:b/>
          <w:sz w:val="24"/>
          <w:u w:val="single"/>
        </w:rPr>
      </w:pPr>
      <w:bookmarkStart w:name="_bmk3" w:id="0"/>
      <w:bookmarkStart w:name="_Toc52890000" w:id="1"/>
      <w:r w:rsidRPr="00E2173D">
        <w:rPr>
          <w:b/>
          <w:sz w:val="24"/>
          <w:u w:val="single"/>
        </w:rPr>
        <w:t>M</w:t>
      </w:r>
      <w:bookmarkEnd w:id="0"/>
      <w:r w:rsidRPr="00E2173D">
        <w:rPr>
          <w:b/>
          <w:sz w:val="24"/>
          <w:u w:val="single"/>
        </w:rPr>
        <w:t>odifications to Previous Version of Standards</w:t>
      </w:r>
      <w:bookmarkEnd w:id="1"/>
    </w:p>
    <w:p w:rsidRPr="00E2173D" w:rsidR="00E2173D" w:rsidP="00E2173D" w:rsidRDefault="00E2173D" w14:paraId="0732046B" w14:textId="49168796">
      <w:pPr>
        <w:tabs>
          <w:tab w:val="num" w:pos="1440"/>
        </w:tabs>
        <w:rPr>
          <w:b/>
          <w:sz w:val="24"/>
          <w:u w:val="single"/>
        </w:rPr>
      </w:pPr>
    </w:p>
    <w:p w:rsidRPr="00E2173D" w:rsidR="00E2173D" w:rsidP="00E2173D" w:rsidRDefault="00E2173D" w14:paraId="30156F27" w14:textId="5D5E39D3">
      <w:pPr>
        <w:tabs>
          <w:tab w:val="num" w:pos="2160"/>
        </w:tabs>
        <w:rPr>
          <w:b/>
          <w:sz w:val="24"/>
          <w:u w:val="single"/>
        </w:rPr>
      </w:pPr>
      <w:bookmarkStart w:name="_bmk4" w:id="2"/>
      <w:bookmarkStart w:name="_Toc52890001" w:id="3"/>
      <w:r w:rsidRPr="00E2173D">
        <w:rPr>
          <w:b/>
          <w:sz w:val="24"/>
          <w:u w:val="single"/>
        </w:rPr>
        <w:t>M</w:t>
      </w:r>
      <w:bookmarkEnd w:id="2"/>
      <w:r w:rsidRPr="00E2173D">
        <w:rPr>
          <w:b/>
          <w:sz w:val="24"/>
          <w:u w:val="single"/>
        </w:rPr>
        <w:t>odifications in Response to the Sandia Surety Assessment</w:t>
      </w:r>
      <w:bookmarkEnd w:id="3"/>
    </w:p>
    <w:p w:rsidRPr="00E2173D" w:rsidR="00E2173D" w:rsidP="00E2173D" w:rsidRDefault="00E2173D" w14:paraId="4155E696" w14:textId="0639BD31">
      <w:pPr>
        <w:rPr>
          <w:sz w:val="24"/>
        </w:rPr>
      </w:pPr>
      <w:r w:rsidRPr="00E2173D">
        <w:rPr>
          <w:sz w:val="24"/>
        </w:rPr>
        <w:t xml:space="preserve">NAESB revised previously incorporated standards and developed new standards in response to the recommendations in the Sandia Surety Assessment.  Specifically, NAESB adopted revisions to the WGQ EDM Related Business Practice Standards, which establish the framework for the electronic dissemination and communication of information between parties in the North </w:t>
      </w:r>
      <w:r w:rsidRPr="00E2173D">
        <w:rPr>
          <w:sz w:val="24"/>
        </w:rPr>
        <w:lastRenderedPageBreak/>
        <w:t xml:space="preserve">American wholesale gas marketplace, and to the WGQ IET Related Business Practice Standards, which define the implementation of various technologies necessary to communicate transactions and other electronic data using standard protocols for electronic commerce over the internet between trading partners.  First, NAESB adopted two new standards, 4.3.109 and 10.3.28, to provide that trading partners should evaluate software fixes or patches for known vulnerabilities within 30 days and implement the fix or patch as soon as reasonably practicable based on the severity of the risk.  Second, NAESB adopted two new standards, 4.3.110 and 10.3.29, to provide that trading partners should mutually agree to the version of the EDM and IET to be used.  Third, the new standards specify notification and coordination timelines with trading partners, where applicable, to address vulnerable systems or software as soon as possible.  Fourth, the Sandia Surety Assessment recommended that NAESB consider guidelines for configuration and logging, network traffic monitoring, alerting systems, and manual continuity of operations in the event of abnormal behavior or failure conditions within the system.  In response, NAESB added language to new Standards 4.3.110 and 10.3.28 to include both specific and broad adoptions of such system security measures. </w:t>
      </w:r>
    </w:p>
    <w:p w:rsidR="00A560CE" w:rsidP="00E2173D" w:rsidRDefault="00A560CE" w14:paraId="449A6B5B" w14:textId="77777777">
      <w:pPr>
        <w:rPr>
          <w:sz w:val="24"/>
        </w:rPr>
      </w:pPr>
    </w:p>
    <w:p w:rsidRPr="00E2173D" w:rsidR="00E2173D" w:rsidP="00E2173D" w:rsidRDefault="00E2173D" w14:paraId="177BE3E8" w14:textId="6EE1B961">
      <w:pPr>
        <w:rPr>
          <w:sz w:val="24"/>
        </w:rPr>
      </w:pPr>
      <w:r w:rsidRPr="00E2173D">
        <w:rPr>
          <w:sz w:val="24"/>
        </w:rPr>
        <w:t>Further, NAESB added language to existing Standards 4.3.60, 4.3.61, 10.2.33, and 10.3.25 to clarify the Transport Layer Security protocol,</w:t>
      </w:r>
      <w:r w:rsidRPr="00E2173D">
        <w:rPr>
          <w:b/>
          <w:sz w:val="24"/>
          <w:vertAlign w:val="superscript"/>
        </w:rPr>
        <w:footnoteReference w:id="9"/>
      </w:r>
      <w:r w:rsidRPr="00E2173D">
        <w:rPr>
          <w:sz w:val="24"/>
        </w:rPr>
        <w:t xml:space="preserve"> which encrypts data to hide information from electronic observers on the internet.  NAESB also deleted all references to the Secure Sockets Layer protocol in the standards.</w:t>
      </w:r>
    </w:p>
    <w:p w:rsidRPr="00E2173D" w:rsidR="00E2173D" w:rsidP="00E2173D" w:rsidRDefault="00E2173D" w14:paraId="06E305D7" w14:textId="05E7B1FB">
      <w:pPr>
        <w:rPr>
          <w:sz w:val="24"/>
        </w:rPr>
      </w:pPr>
      <w:r w:rsidRPr="00E2173D">
        <w:rPr>
          <w:sz w:val="24"/>
        </w:rPr>
        <w:t>Concerning identification key lengths, the Sandia Surety Assessment recommended that Rivest-Shamir-Adelman keys</w:t>
      </w:r>
      <w:r w:rsidRPr="00E2173D">
        <w:rPr>
          <w:b/>
          <w:sz w:val="24"/>
          <w:vertAlign w:val="superscript"/>
        </w:rPr>
        <w:footnoteReference w:id="10"/>
      </w:r>
      <w:r w:rsidRPr="00E2173D">
        <w:rPr>
          <w:sz w:val="24"/>
        </w:rPr>
        <w:t xml:space="preserve"> must be no shorter than 2048 bits, Elliptic Curve Digital Signature Algorithm keys</w:t>
      </w:r>
      <w:r w:rsidRPr="00E2173D">
        <w:rPr>
          <w:b/>
          <w:sz w:val="24"/>
          <w:vertAlign w:val="superscript"/>
        </w:rPr>
        <w:footnoteReference w:id="11"/>
      </w:r>
      <w:r w:rsidRPr="00E2173D">
        <w:rPr>
          <w:sz w:val="24"/>
        </w:rPr>
        <w:t xml:space="preserve"> must be no shorter than 224 bits, Hash</w:t>
      </w:r>
      <w:r w:rsidRPr="00E2173D">
        <w:rPr>
          <w:b/>
          <w:sz w:val="24"/>
          <w:vertAlign w:val="superscript"/>
        </w:rPr>
        <w:footnoteReference w:id="12"/>
      </w:r>
      <w:r w:rsidRPr="00E2173D">
        <w:rPr>
          <w:sz w:val="24"/>
        </w:rPr>
        <w:t xml:space="preserve"> algorithms should be from the Secure Hash Algorithm (SHA)-2</w:t>
      </w:r>
      <w:r w:rsidRPr="00E2173D">
        <w:rPr>
          <w:b/>
          <w:sz w:val="24"/>
          <w:vertAlign w:val="superscript"/>
        </w:rPr>
        <w:footnoteReference w:id="13"/>
      </w:r>
      <w:r w:rsidRPr="00E2173D">
        <w:rPr>
          <w:sz w:val="24"/>
        </w:rPr>
        <w:t xml:space="preserve"> or SHA-3 families, and acceptable Advanced Encryption Standard key lengths range from 128, to 192, to 256.  The Sandia Surety Assessment recommended that, in general, implementors use the largest feasible key length consistent with implementation of current business processes.  In response, NAESB deleted Standard 4.3.83 to remove legacy support references and maintain a minimum encryption strength of 128 bits.  Further, NAESB revised existing Standards 10.2.34 and 10.3.15 to delete a proprietary Pretty Good Privacy </w:t>
      </w:r>
      <w:r w:rsidRPr="00E2173D">
        <w:rPr>
          <w:sz w:val="24"/>
        </w:rPr>
        <w:lastRenderedPageBreak/>
        <w:t>(PGP)</w:t>
      </w:r>
      <w:r w:rsidRPr="00E2173D">
        <w:rPr>
          <w:b/>
          <w:sz w:val="24"/>
          <w:vertAlign w:val="superscript"/>
        </w:rPr>
        <w:footnoteReference w:id="14"/>
      </w:r>
      <w:r w:rsidRPr="00E2173D">
        <w:rPr>
          <w:sz w:val="24"/>
        </w:rPr>
        <w:noBreakHyphen/>
        <w:t>related hyperlink and to accommodate license-free OpenPGP,</w:t>
      </w:r>
      <w:r w:rsidRPr="00E2173D">
        <w:rPr>
          <w:b/>
          <w:sz w:val="24"/>
          <w:vertAlign w:val="superscript"/>
        </w:rPr>
        <w:footnoteReference w:id="15"/>
      </w:r>
      <w:r w:rsidRPr="00E2173D">
        <w:rPr>
          <w:sz w:val="24"/>
        </w:rPr>
        <w:t xml:space="preserve"> respectively.  NAESB also adopted a new Standard 10.2.39 to specify that OpenPGP should be used to create public and private keys for privacy and digital signature applications.</w:t>
      </w:r>
    </w:p>
    <w:p w:rsidRPr="00E2173D" w:rsidR="00E2173D" w:rsidP="00E2173D" w:rsidRDefault="00E2173D" w14:paraId="4E63B251" w14:textId="3C325ED5">
      <w:pPr>
        <w:rPr>
          <w:sz w:val="24"/>
        </w:rPr>
      </w:pPr>
      <w:r w:rsidRPr="00E2173D">
        <w:rPr>
          <w:sz w:val="24"/>
        </w:rPr>
        <w:t>Further, NAESB revised existing Standards 4.3.60, 4.3.84, 10.3.4, and 10.3.16 to specify Hyper-Text Transport Protocol Secure (HTTPS),</w:t>
      </w:r>
      <w:r w:rsidRPr="00E2173D">
        <w:rPr>
          <w:b/>
          <w:sz w:val="24"/>
          <w:vertAlign w:val="superscript"/>
        </w:rPr>
        <w:footnoteReference w:id="16"/>
      </w:r>
      <w:r w:rsidRPr="00E2173D">
        <w:rPr>
          <w:sz w:val="24"/>
        </w:rPr>
        <w:t xml:space="preserve"> which is an encrypted version of Hyper-Text Transport Protocol (HTTP),</w:t>
      </w:r>
      <w:r w:rsidRPr="00E2173D">
        <w:rPr>
          <w:b/>
          <w:sz w:val="24"/>
          <w:vertAlign w:val="superscript"/>
        </w:rPr>
        <w:footnoteReference w:id="17"/>
      </w:r>
      <w:r w:rsidRPr="00E2173D">
        <w:rPr>
          <w:sz w:val="24"/>
        </w:rPr>
        <w:t xml:space="preserve"> whenever a secure communication is required to protect information in transit and support overall privacy needs.  Moreover, NAESB revised existing Standards 4.3.60 and 10.3.16 to require multi-factor (e.g., two-factor) authentication on an individual basis and state that secure web sites should employ individual user credentials.</w:t>
      </w:r>
    </w:p>
    <w:p w:rsidR="00A560CE" w:rsidP="00E2173D" w:rsidRDefault="00A560CE" w14:paraId="12DE35F9" w14:textId="736CD556">
      <w:pPr>
        <w:tabs>
          <w:tab w:val="num" w:pos="2160"/>
        </w:tabs>
        <w:rPr>
          <w:b/>
          <w:sz w:val="24"/>
          <w:u w:val="single"/>
        </w:rPr>
      </w:pPr>
      <w:bookmarkStart w:name="_bmk5" w:id="4"/>
      <w:bookmarkStart w:name="_Toc52890003" w:id="5"/>
    </w:p>
    <w:p w:rsidRPr="00E2173D" w:rsidR="00E2173D" w:rsidP="00E2173D" w:rsidRDefault="00E2173D" w14:paraId="61BCA384" w14:textId="13F2A106">
      <w:pPr>
        <w:tabs>
          <w:tab w:val="num" w:pos="2160"/>
        </w:tabs>
        <w:rPr>
          <w:b/>
          <w:sz w:val="24"/>
          <w:u w:val="single"/>
        </w:rPr>
      </w:pPr>
      <w:r w:rsidRPr="00E2173D">
        <w:rPr>
          <w:b/>
          <w:sz w:val="24"/>
          <w:u w:val="single"/>
        </w:rPr>
        <w:t>M</w:t>
      </w:r>
      <w:bookmarkEnd w:id="4"/>
      <w:r w:rsidRPr="00E2173D">
        <w:rPr>
          <w:b/>
          <w:sz w:val="24"/>
          <w:u w:val="single"/>
        </w:rPr>
        <w:t>odifications in Response to Industry Request</w:t>
      </w:r>
      <w:bookmarkEnd w:id="5"/>
    </w:p>
    <w:p w:rsidRPr="00E2173D" w:rsidR="00E2173D" w:rsidP="00E2173D" w:rsidRDefault="00E2173D" w14:paraId="1CD9F3D8" w14:textId="1B10C781">
      <w:pPr>
        <w:rPr>
          <w:sz w:val="24"/>
        </w:rPr>
      </w:pPr>
      <w:r w:rsidRPr="00E2173D">
        <w:rPr>
          <w:sz w:val="24"/>
        </w:rPr>
        <w:t>The following section describes standards development efforts undertaken by NAESB in response to industry requests or through the normal course of WGQ activities that resulted in modifications to the Nomination Related Standards, QEDM Standards, and an effort that impacted multiple sets of standards.  NAESB made corresponding revisions, where appropriate, to the related data sets and technical implementation as part of the standards development effort.</w:t>
      </w:r>
    </w:p>
    <w:p w:rsidRPr="00E2173D" w:rsidR="00E2173D" w:rsidP="00E2173D" w:rsidRDefault="00E2173D" w14:paraId="706C66BB" w14:textId="52F5A2EC">
      <w:pPr>
        <w:tabs>
          <w:tab w:val="num" w:pos="2880"/>
        </w:tabs>
        <w:rPr>
          <w:b/>
          <w:iCs/>
          <w:sz w:val="24"/>
          <w:u w:val="single"/>
        </w:rPr>
      </w:pPr>
      <w:r w:rsidRPr="00E2173D">
        <w:rPr>
          <w:b/>
          <w:iCs/>
          <w:sz w:val="24"/>
          <w:u w:val="single"/>
        </w:rPr>
        <w:t>Nomination Related Standards</w:t>
      </w:r>
    </w:p>
    <w:p w:rsidRPr="00E2173D" w:rsidR="00E2173D" w:rsidP="00E2173D" w:rsidRDefault="00E2173D" w14:paraId="09ADF5CB" w14:textId="4058A601">
      <w:pPr>
        <w:rPr>
          <w:sz w:val="24"/>
        </w:rPr>
      </w:pPr>
      <w:r w:rsidRPr="00E2173D">
        <w:rPr>
          <w:sz w:val="24"/>
        </w:rPr>
        <w:t>NAESB revised existing Standards 1.3.27, 1.4.1, and 1.4.2 to add a new data element “Capacity Block ID” to allow a Service Requester to determine which primary point rights of the contract their segmented nomination</w:t>
      </w:r>
      <w:r w:rsidRPr="00E2173D">
        <w:rPr>
          <w:b/>
          <w:sz w:val="24"/>
          <w:vertAlign w:val="superscript"/>
        </w:rPr>
        <w:footnoteReference w:id="18"/>
      </w:r>
      <w:r w:rsidRPr="00E2173D">
        <w:rPr>
          <w:sz w:val="24"/>
        </w:rPr>
        <w:t xml:space="preserve"> is using and eliminate an existing manual business process from the TSP to automate the business process.</w:t>
      </w:r>
    </w:p>
    <w:p w:rsidRPr="00E2173D" w:rsidR="00E2173D" w:rsidP="00E2173D" w:rsidRDefault="00E2173D" w14:paraId="71BB28E9" w14:textId="2D7A83A3">
      <w:pPr>
        <w:tabs>
          <w:tab w:val="num" w:pos="2880"/>
        </w:tabs>
        <w:rPr>
          <w:b/>
          <w:iCs/>
          <w:sz w:val="24"/>
          <w:u w:val="single"/>
        </w:rPr>
      </w:pPr>
      <w:r w:rsidRPr="00E2173D">
        <w:rPr>
          <w:b/>
          <w:iCs/>
          <w:sz w:val="24"/>
          <w:u w:val="single"/>
        </w:rPr>
        <w:t>Quadrant Electronic Delivery Mechanisms Related Standards</w:t>
      </w:r>
    </w:p>
    <w:p w:rsidRPr="00E2173D" w:rsidR="00E2173D" w:rsidP="00E2173D" w:rsidRDefault="00E2173D" w14:paraId="341D6D61" w14:textId="06910673">
      <w:pPr>
        <w:rPr>
          <w:sz w:val="24"/>
        </w:rPr>
      </w:pPr>
      <w:r w:rsidRPr="00E2173D">
        <w:rPr>
          <w:sz w:val="24"/>
        </w:rPr>
        <w:t>NAESB developed two new standards, Standard 4.3.107 to establish a standard data retention period for retrieval of Operationally Available data from the Informational Postings Web site, and Standard 4.3.108, to establish a standard data retention period for retrieval of Notices for the subcategories of Critical, Non-Critical and Planned Service Outage from the Informational Postings Web site.</w:t>
      </w:r>
    </w:p>
    <w:p w:rsidRPr="00E2173D" w:rsidR="00E2173D" w:rsidP="00E2173D" w:rsidRDefault="00E2173D" w14:paraId="67F9EA18" w14:textId="47B2B633">
      <w:pPr>
        <w:tabs>
          <w:tab w:val="num" w:pos="2880"/>
        </w:tabs>
        <w:rPr>
          <w:b/>
          <w:iCs/>
          <w:sz w:val="24"/>
          <w:u w:val="single"/>
        </w:rPr>
      </w:pPr>
      <w:bookmarkStart w:name="_Toc52890004" w:id="6"/>
      <w:r w:rsidRPr="00E2173D">
        <w:rPr>
          <w:b/>
          <w:iCs/>
          <w:sz w:val="24"/>
          <w:u w:val="single"/>
        </w:rPr>
        <w:lastRenderedPageBreak/>
        <w:t>Revisions Impacting Multiple Standards</w:t>
      </w:r>
      <w:bookmarkEnd w:id="6"/>
    </w:p>
    <w:p w:rsidRPr="00E2173D" w:rsidR="00E2173D" w:rsidP="00E2173D" w:rsidRDefault="00E2173D" w14:paraId="79967BF9" w14:textId="6DCB2AE1">
      <w:pPr>
        <w:rPr>
          <w:sz w:val="24"/>
        </w:rPr>
      </w:pPr>
      <w:r w:rsidRPr="00E2173D">
        <w:rPr>
          <w:sz w:val="24"/>
        </w:rPr>
        <w:t>NAESB revised multiple standards</w:t>
      </w:r>
      <w:r w:rsidRPr="00E2173D">
        <w:rPr>
          <w:b/>
          <w:sz w:val="24"/>
          <w:vertAlign w:val="superscript"/>
        </w:rPr>
        <w:footnoteReference w:id="19"/>
      </w:r>
      <w:r w:rsidRPr="00E2173D">
        <w:rPr>
          <w:sz w:val="24"/>
        </w:rPr>
        <w:t xml:space="preserve"> and data sets</w:t>
      </w:r>
      <w:r w:rsidRPr="00E2173D">
        <w:rPr>
          <w:b/>
          <w:sz w:val="24"/>
          <w:vertAlign w:val="superscript"/>
        </w:rPr>
        <w:footnoteReference w:id="20"/>
      </w:r>
      <w:r w:rsidRPr="00E2173D">
        <w:rPr>
          <w:sz w:val="24"/>
        </w:rPr>
        <w:t xml:space="preserve"> to remove references to the term “gigacalories” and add the term “gigajoules,” consistent with the standard quantity for nominations, confirmations, and scheduling in Mexico.</w:t>
      </w:r>
    </w:p>
    <w:p w:rsidRPr="00E2173D" w:rsidR="00E2173D" w:rsidP="00E2173D" w:rsidRDefault="00E2173D" w14:paraId="1D1EF6D2" w14:textId="51117C7D">
      <w:pPr>
        <w:tabs>
          <w:tab w:val="num" w:pos="2880"/>
        </w:tabs>
        <w:rPr>
          <w:b/>
          <w:iCs/>
          <w:sz w:val="24"/>
          <w:u w:val="single"/>
        </w:rPr>
      </w:pPr>
      <w:bookmarkStart w:name="_Toc52890005" w:id="7"/>
      <w:r w:rsidRPr="00E2173D">
        <w:rPr>
          <w:b/>
          <w:iCs/>
          <w:sz w:val="24"/>
          <w:u w:val="single"/>
        </w:rPr>
        <w:t>Other Material in NAESB’s Report</w:t>
      </w:r>
      <w:bookmarkEnd w:id="7"/>
    </w:p>
    <w:p w:rsidRPr="00E2173D" w:rsidR="00E2173D" w:rsidP="00E2173D" w:rsidRDefault="00E2173D" w14:paraId="47EF9767" w14:textId="37A68BED">
      <w:pPr>
        <w:rPr>
          <w:sz w:val="24"/>
        </w:rPr>
      </w:pPr>
      <w:r w:rsidRPr="00E2173D">
        <w:rPr>
          <w:sz w:val="24"/>
        </w:rPr>
        <w:t>NAESB revised multiple data sets which impacted technical implementation documentation only.</w:t>
      </w:r>
    </w:p>
    <w:p w:rsidRPr="00E2173D" w:rsidR="00E2173D" w:rsidP="00E2173D" w:rsidRDefault="00E2173D" w14:paraId="4D901E56" w14:textId="620C4B64">
      <w:pPr>
        <w:rPr>
          <w:sz w:val="24"/>
        </w:rPr>
      </w:pPr>
      <w:r w:rsidRPr="00E2173D">
        <w:rPr>
          <w:sz w:val="24"/>
        </w:rPr>
        <w:t>Further, NAESB revised its optional model contracts and corresponding Mexican and Canadian Addendums to reflect a standard digital representation of natural gas trade events.  NAESB states that these revisions are intended to capitalize on smart contracts and distributed ledger technologies.</w:t>
      </w:r>
    </w:p>
    <w:p w:rsidRPr="00E2173D" w:rsidR="00E2173D" w:rsidP="00E2173D" w:rsidRDefault="00E2173D" w14:paraId="2CE8B3DE" w14:textId="36900F53">
      <w:pPr>
        <w:tabs>
          <w:tab w:val="num" w:pos="1440"/>
        </w:tabs>
        <w:rPr>
          <w:b/>
          <w:sz w:val="24"/>
          <w:u w:val="single"/>
        </w:rPr>
      </w:pPr>
      <w:bookmarkStart w:name="_bmk6" w:id="8"/>
      <w:bookmarkStart w:name="_Toc52890006" w:id="9"/>
      <w:r w:rsidRPr="00E2173D">
        <w:rPr>
          <w:b/>
          <w:sz w:val="24"/>
          <w:u w:val="single"/>
        </w:rPr>
        <w:t>S</w:t>
      </w:r>
      <w:bookmarkEnd w:id="8"/>
      <w:r w:rsidRPr="00E2173D">
        <w:rPr>
          <w:b/>
          <w:sz w:val="24"/>
          <w:u w:val="single"/>
        </w:rPr>
        <w:t>tandards  Not to be Incorporated by Reference</w:t>
      </w:r>
      <w:bookmarkEnd w:id="9"/>
    </w:p>
    <w:p w:rsidRPr="00E2173D" w:rsidR="00E2173D" w:rsidP="00E2173D" w:rsidRDefault="00E2173D" w14:paraId="76491154" w14:textId="253A2B11">
      <w:pPr>
        <w:rPr>
          <w:sz w:val="24"/>
        </w:rPr>
      </w:pPr>
      <w:r w:rsidRPr="00E2173D">
        <w:rPr>
          <w:sz w:val="24"/>
        </w:rPr>
        <w:t>We propose to continue our past practice</w:t>
      </w:r>
      <w:r w:rsidRPr="00E2173D">
        <w:rPr>
          <w:b/>
          <w:sz w:val="24"/>
          <w:vertAlign w:val="superscript"/>
        </w:rPr>
        <w:footnoteReference w:id="21"/>
      </w:r>
      <w:r w:rsidRPr="00E2173D">
        <w:rPr>
          <w:sz w:val="24"/>
        </w:rPr>
        <w:t xml:space="preserve"> of not incorporating by reference into our regulations any optional model contracts because we do not require the use of these contracts and therefore we do not need to include them in our regulations.</w:t>
      </w:r>
      <w:r w:rsidRPr="00E2173D">
        <w:rPr>
          <w:b/>
          <w:sz w:val="24"/>
          <w:vertAlign w:val="superscript"/>
        </w:rPr>
        <w:footnoteReference w:id="22"/>
      </w:r>
      <w:r w:rsidRPr="00E2173D">
        <w:rPr>
          <w:sz w:val="24"/>
        </w:rPr>
        <w:t xml:space="preserve">  In addition, consistent with our findings in past proceedings, we are not proposing to incorporate by reference the Wholesale Electric Quadrant/WGQ eTariff Related Standards because the Commission  adopted and posted its standards and protocols for electronic tariff filings</w:t>
      </w:r>
      <w:r w:rsidRPr="00E2173D">
        <w:rPr>
          <w:b/>
          <w:sz w:val="24"/>
          <w:vertAlign w:val="superscript"/>
        </w:rPr>
        <w:footnoteReference w:id="23"/>
      </w:r>
    </w:p>
    <w:p w:rsidRPr="00E2173D" w:rsidR="00E2173D" w:rsidP="00E2173D" w:rsidRDefault="00790F34" w14:paraId="6C2AC0DE" w14:textId="0C86EA2C">
      <w:pPr>
        <w:tabs>
          <w:tab w:val="num" w:pos="1440"/>
        </w:tabs>
        <w:rPr>
          <w:b/>
          <w:sz w:val="24"/>
          <w:u w:val="single"/>
        </w:rPr>
      </w:pPr>
      <w:bookmarkStart w:name="_Toc52890007" w:id="10"/>
      <w:r>
        <w:rPr>
          <w:b/>
          <w:sz w:val="24"/>
          <w:u w:val="single"/>
        </w:rPr>
        <w:t>I</w:t>
      </w:r>
      <w:r w:rsidRPr="00E2173D" w:rsidR="00E2173D">
        <w:rPr>
          <w:b/>
          <w:sz w:val="24"/>
          <w:u w:val="single"/>
        </w:rPr>
        <w:t>mplementation Procedures</w:t>
      </w:r>
      <w:bookmarkEnd w:id="10"/>
    </w:p>
    <w:p w:rsidRPr="00E2173D" w:rsidR="00E2173D" w:rsidP="00E2173D" w:rsidRDefault="00E2173D" w14:paraId="3F360081" w14:textId="39A1C109">
      <w:pPr>
        <w:rPr>
          <w:sz w:val="24"/>
        </w:rPr>
      </w:pPr>
      <w:r w:rsidRPr="00E2173D">
        <w:rPr>
          <w:sz w:val="24"/>
        </w:rPr>
        <w:t>We propose to continue the compliance filing requirements as revised in Order No. 587-V.</w:t>
      </w:r>
      <w:r w:rsidRPr="00E2173D">
        <w:rPr>
          <w:b/>
          <w:sz w:val="24"/>
          <w:vertAlign w:val="superscript"/>
        </w:rPr>
        <w:footnoteReference w:id="24"/>
      </w:r>
      <w:r w:rsidRPr="00E2173D">
        <w:rPr>
          <w:sz w:val="24"/>
        </w:rPr>
        <w:t xml:space="preserve">  We propose that compliance filings made in accordance with a </w:t>
      </w:r>
      <w:r w:rsidR="00800B4C">
        <w:rPr>
          <w:sz w:val="24"/>
        </w:rPr>
        <w:t>Final Rule</w:t>
      </w:r>
      <w:r w:rsidRPr="00E2173D">
        <w:rPr>
          <w:sz w:val="24"/>
        </w:rPr>
        <w:t xml:space="preserve"> be made 120 days after issuance of a </w:t>
      </w:r>
      <w:r w:rsidR="00800B4C">
        <w:rPr>
          <w:sz w:val="24"/>
        </w:rPr>
        <w:t>Final Rule</w:t>
      </w:r>
      <w:r w:rsidRPr="00E2173D">
        <w:rPr>
          <w:sz w:val="24"/>
        </w:rPr>
        <w:t xml:space="preserve"> in this proceeding or on the first business day thereafter if falling on a weekend or holiday, with an effective date 180 days from the date compliance filings are due in this proceeding or the first business day thereafter if falling on a weekend or holiday.  As the Commission found in Order No. 587-V, adoption of the revised compliance filing requirements increases the transparency of the interstate natural gas pipelines’ incorporation by reference of the NAESB WGQ Standards so that shippers and the Commission will know which tariff provision(s) implements each standard as well as the status of each standard.</w:t>
      </w:r>
      <w:r w:rsidRPr="00E2173D">
        <w:rPr>
          <w:b/>
          <w:sz w:val="24"/>
          <w:vertAlign w:val="superscript"/>
        </w:rPr>
        <w:footnoteReference w:id="25"/>
      </w:r>
    </w:p>
    <w:p w:rsidRPr="00E2173D" w:rsidR="00E2173D" w:rsidP="00E2173D" w:rsidRDefault="00E2173D" w14:paraId="15BE3872" w14:textId="57373A1F">
      <w:pPr>
        <w:rPr>
          <w:sz w:val="24"/>
        </w:rPr>
      </w:pPr>
      <w:r w:rsidRPr="00E2173D">
        <w:rPr>
          <w:sz w:val="24"/>
        </w:rPr>
        <w:lastRenderedPageBreak/>
        <w:t>Consistent with our practice since Order No. 587-V, each pipeline must designate a single tariff section under which every NAESB WGQ Standard incorporated by reference by the Commission is listed.</w:t>
      </w:r>
      <w:r w:rsidRPr="00E2173D">
        <w:rPr>
          <w:b/>
          <w:sz w:val="24"/>
          <w:vertAlign w:val="superscript"/>
        </w:rPr>
        <w:footnoteReference w:id="26"/>
      </w:r>
      <w:r w:rsidRPr="00E2173D">
        <w:rPr>
          <w:sz w:val="24"/>
        </w:rPr>
        <w:t xml:space="preserve">  For each standard, the pipeline must specify in the tariff section or tariff sheet(s) listing all the NAESB standards:</w:t>
      </w:r>
    </w:p>
    <w:p w:rsidRPr="00E2173D" w:rsidR="00E2173D" w:rsidP="00E2173D" w:rsidRDefault="00E2173D" w14:paraId="3D883040" w14:textId="11CA4938">
      <w:pPr>
        <w:numPr>
          <w:ilvl w:val="0"/>
          <w:numId w:val="15"/>
        </w:numPr>
        <w:rPr>
          <w:sz w:val="24"/>
        </w:rPr>
      </w:pPr>
      <w:r w:rsidRPr="00E2173D">
        <w:rPr>
          <w:sz w:val="24"/>
        </w:rPr>
        <w:t>whether the standard is incorporated by reference;</w:t>
      </w:r>
    </w:p>
    <w:p w:rsidRPr="00E2173D" w:rsidR="00E2173D" w:rsidP="00E2173D" w:rsidRDefault="00E2173D" w14:paraId="2CAFE1FD" w14:textId="1BF50B76">
      <w:pPr>
        <w:numPr>
          <w:ilvl w:val="0"/>
          <w:numId w:val="15"/>
        </w:numPr>
        <w:rPr>
          <w:sz w:val="24"/>
        </w:rPr>
      </w:pPr>
      <w:r w:rsidRPr="00E2173D">
        <w:rPr>
          <w:sz w:val="24"/>
        </w:rPr>
        <w:t>for those standards not incorporated by reference, the tariff provision that complies with the standard; or</w:t>
      </w:r>
    </w:p>
    <w:p w:rsidRPr="00E2173D" w:rsidR="00E2173D" w:rsidP="00E2173D" w:rsidRDefault="00E2173D" w14:paraId="727D7F79" w14:textId="2D5F2C09">
      <w:pPr>
        <w:numPr>
          <w:ilvl w:val="0"/>
          <w:numId w:val="15"/>
        </w:numPr>
        <w:rPr>
          <w:sz w:val="24"/>
        </w:rPr>
      </w:pPr>
      <w:r w:rsidRPr="00E2173D">
        <w:rPr>
          <w:sz w:val="24"/>
        </w:rPr>
        <w:t>for those standards with which the pipeline does not comply, an explanatory statement, including an indication of whether the pipeline has been granted a waiver, extension of time, or other variance with respect to compliance with the standard.</w:t>
      </w:r>
      <w:r w:rsidRPr="00E2173D">
        <w:rPr>
          <w:b/>
          <w:sz w:val="24"/>
          <w:vertAlign w:val="superscript"/>
        </w:rPr>
        <w:footnoteReference w:id="27"/>
      </w:r>
    </w:p>
    <w:p w:rsidRPr="00E2173D" w:rsidR="00E2173D" w:rsidP="00E2173D" w:rsidRDefault="00E2173D" w14:paraId="0D2FC812" w14:textId="05A9B6E5">
      <w:pPr>
        <w:rPr>
          <w:sz w:val="24"/>
        </w:rPr>
      </w:pPr>
      <w:r w:rsidRPr="00E2173D">
        <w:rPr>
          <w:sz w:val="24"/>
        </w:rPr>
        <w:t>Likewise, consistent with past practice, we will post on our eLibrary web site (under Docket No. RM96-1-042) a sample tariff format, to provide filers an illustrative example to aid them in preparing their compliance filings.</w:t>
      </w:r>
      <w:r>
        <w:rPr>
          <w:sz w:val="24"/>
        </w:rPr>
        <w:t xml:space="preserve"> </w:t>
      </w:r>
      <w:r w:rsidRPr="00E2173D">
        <w:rPr>
          <w:sz w:val="24"/>
        </w:rPr>
        <w:t>Consistent with our policy since Order No. 587-V,</w:t>
      </w:r>
      <w:r w:rsidRPr="00E2173D">
        <w:rPr>
          <w:b/>
          <w:sz w:val="24"/>
          <w:vertAlign w:val="superscript"/>
        </w:rPr>
        <w:footnoteReference w:id="28"/>
      </w:r>
      <w:r w:rsidRPr="00E2173D">
        <w:rPr>
          <w:sz w:val="24"/>
        </w:rPr>
        <w:t xml:space="preserve"> we </w:t>
      </w:r>
      <w:r>
        <w:rPr>
          <w:sz w:val="24"/>
        </w:rPr>
        <w:t xml:space="preserve"> </w:t>
      </w:r>
      <w:r w:rsidRPr="00E2173D">
        <w:rPr>
          <w:sz w:val="24"/>
        </w:rPr>
        <w:t>propose that requests for waivers that do not meet the requirements set forth in Order No. 587-V will not be granted.  In particular, as we explained in Order No. 587-V, waivers are unnecessary and will not be granted when the standard applies only on condition the pipeline performs a business function and the pipeline currently does not perform that function.</w:t>
      </w:r>
      <w:r w:rsidRPr="00E2173D">
        <w:rPr>
          <w:b/>
          <w:sz w:val="24"/>
          <w:vertAlign w:val="superscript"/>
        </w:rPr>
        <w:footnoteReference w:id="29"/>
      </w:r>
      <w:r w:rsidRPr="00E2173D">
        <w:rPr>
          <w:sz w:val="24"/>
        </w:rPr>
        <w:t>If the pipeline is requesting a continuation of an existing waiver or extension of time, it must include a table in its transmittal letter that identifies the standard for which the Commission granted a waiver or extension of time, and the docket number or order citation to the proceeding in which the Commission granted the waiver or extension of time.  The pipeline also must present an explanation for why such waiver or extension of time should remain in force with regard to the WGQ Version 3.2 Standards.</w:t>
      </w:r>
      <w:r>
        <w:rPr>
          <w:sz w:val="24"/>
        </w:rPr>
        <w:t xml:space="preserve"> </w:t>
      </w:r>
      <w:r w:rsidRPr="00E2173D">
        <w:rPr>
          <w:sz w:val="24"/>
        </w:rPr>
        <w:t>This continues our practice of having pipelines include in their tariffs a common location that identifies the way in which the pipeline is incorporating all the NAESB WGQ Standards and the standards with which it is required to comply.</w:t>
      </w:r>
    </w:p>
    <w:p w:rsidRPr="00F5428B" w:rsidR="003F0E97" w:rsidP="003F0E97" w:rsidRDefault="003F0E97" w14:paraId="52D8ADD2" w14:textId="77777777">
      <w:pPr>
        <w:rPr>
          <w:sz w:val="24"/>
        </w:rPr>
      </w:pPr>
    </w:p>
    <w:p w:rsidRPr="00E34C4E" w:rsidR="00BC15BE" w:rsidP="00BC15BE" w:rsidRDefault="00BC15BE" w14:paraId="29271503" w14:textId="23448976">
      <w:pPr>
        <w:pStyle w:val="Level1"/>
        <w:widowControl/>
        <w:tabs>
          <w:tab w:val="left" w:pos="-1440"/>
          <w:tab w:val="num" w:pos="720"/>
        </w:tabs>
        <w:rPr>
          <w:b/>
        </w:rPr>
      </w:pPr>
      <w:r w:rsidRPr="00F5428B">
        <w:rPr>
          <w:b/>
        </w:rPr>
        <w:t>DESCRIBE ANY CONSIDERATION FOR THE USE OF IMPROVED INFORMATION TECHNOLOGY TO REDUCE BURDEN AND TECHNICAL OR LEGAL OBSTACLES TO REDUCING BURDEN</w:t>
      </w:r>
    </w:p>
    <w:p w:rsidR="00573C31" w:rsidP="00F8150C" w:rsidRDefault="00573C31" w14:paraId="69014BD5" w14:textId="77777777">
      <w:pPr>
        <w:rPr>
          <w:sz w:val="24"/>
        </w:rPr>
      </w:pPr>
    </w:p>
    <w:p w:rsidR="007B7E0C" w:rsidP="00F90719" w:rsidRDefault="00F8150C" w14:paraId="2179F510" w14:textId="2ABF9EFB">
      <w:pPr>
        <w:rPr>
          <w:sz w:val="24"/>
        </w:rPr>
      </w:pPr>
      <w:r w:rsidRPr="00F5428B">
        <w:rPr>
          <w:sz w:val="24"/>
        </w:rPr>
        <w:t>In previous rulemakings,</w:t>
      </w:r>
      <w:r w:rsidRPr="00F5428B">
        <w:rPr>
          <w:sz w:val="24"/>
          <w:vertAlign w:val="superscript"/>
        </w:rPr>
        <w:footnoteReference w:id="30"/>
      </w:r>
      <w:r w:rsidRPr="00F5428B">
        <w:rPr>
          <w:sz w:val="24"/>
        </w:rPr>
        <w:t xml:space="preserve"> the Commission implemented the capability and requirement for electronic </w:t>
      </w:r>
      <w:r w:rsidR="007B7E0C">
        <w:rPr>
          <w:sz w:val="24"/>
        </w:rPr>
        <w:t xml:space="preserve">tariff </w:t>
      </w:r>
      <w:r w:rsidRPr="00F5428B">
        <w:rPr>
          <w:sz w:val="24"/>
        </w:rPr>
        <w:t>filing</w:t>
      </w:r>
      <w:r w:rsidR="007B7E0C">
        <w:rPr>
          <w:sz w:val="24"/>
        </w:rPr>
        <w:t>s</w:t>
      </w:r>
      <w:r w:rsidRPr="00F5428B">
        <w:rPr>
          <w:sz w:val="24"/>
        </w:rPr>
        <w:t xml:space="preserve">.  </w:t>
      </w:r>
      <w:r w:rsidR="007B7E0C">
        <w:rPr>
          <w:sz w:val="24"/>
        </w:rPr>
        <w:t xml:space="preserve">Further, the Commission </w:t>
      </w:r>
      <w:r w:rsidRPr="00F5428B">
        <w:rPr>
          <w:sz w:val="24"/>
        </w:rPr>
        <w:t xml:space="preserve">improved the security </w:t>
      </w:r>
      <w:r w:rsidR="007B7E0C">
        <w:rPr>
          <w:sz w:val="24"/>
        </w:rPr>
        <w:t xml:space="preserve">for </w:t>
      </w:r>
      <w:r w:rsidRPr="00F5428B">
        <w:rPr>
          <w:sz w:val="24"/>
        </w:rPr>
        <w:t xml:space="preserve">submitting electronic </w:t>
      </w:r>
      <w:r w:rsidR="007B7E0C">
        <w:rPr>
          <w:sz w:val="24"/>
        </w:rPr>
        <w:t xml:space="preserve">tariff </w:t>
      </w:r>
      <w:r w:rsidRPr="00F5428B">
        <w:rPr>
          <w:sz w:val="24"/>
        </w:rPr>
        <w:t>filings</w:t>
      </w:r>
      <w:r w:rsidR="007B7E0C">
        <w:rPr>
          <w:sz w:val="24"/>
        </w:rPr>
        <w:t xml:space="preserve">.  In addition, the Commission improved </w:t>
      </w:r>
      <w:r w:rsidRPr="00F5428B">
        <w:rPr>
          <w:sz w:val="24"/>
        </w:rPr>
        <w:t xml:space="preserve">the pipelines’ on-line process of appointing </w:t>
      </w:r>
      <w:r w:rsidRPr="00F5428B">
        <w:rPr>
          <w:sz w:val="24"/>
        </w:rPr>
        <w:lastRenderedPageBreak/>
        <w:t>and modifying agents with the authority to make a</w:t>
      </w:r>
      <w:r w:rsidR="007B7E0C">
        <w:rPr>
          <w:sz w:val="24"/>
        </w:rPr>
        <w:t xml:space="preserve">n electronic tariff </w:t>
      </w:r>
      <w:r w:rsidRPr="00F5428B">
        <w:rPr>
          <w:sz w:val="24"/>
        </w:rPr>
        <w:t>filing on the pipeline’s behalf</w:t>
      </w:r>
      <w:r w:rsidR="006C2E0E">
        <w:rPr>
          <w:sz w:val="24"/>
        </w:rPr>
        <w:t>.</w:t>
      </w:r>
    </w:p>
    <w:p w:rsidRPr="00F5428B" w:rsidR="00C4337B" w:rsidP="00F8150C" w:rsidRDefault="00C4337B" w14:paraId="4984098A" w14:textId="77777777">
      <w:pPr>
        <w:rPr>
          <w:sz w:val="24"/>
        </w:rPr>
      </w:pPr>
    </w:p>
    <w:p w:rsidRPr="00F5428B" w:rsidR="00BC15BE" w:rsidP="00BC15BE" w:rsidRDefault="00BC15BE" w14:paraId="696ED31D" w14:textId="77777777">
      <w:pPr>
        <w:pStyle w:val="Level1"/>
        <w:widowControl/>
        <w:tabs>
          <w:tab w:val="left" w:pos="-1440"/>
          <w:tab w:val="num" w:pos="720"/>
        </w:tabs>
        <w:rPr>
          <w:b/>
        </w:rPr>
      </w:pPr>
      <w:r w:rsidRPr="00F5428B">
        <w:rPr>
          <w:b/>
        </w:rPr>
        <w:t>DESCRIBE EFFORTS TO IDENTIFY DUPLICATION AND SHOW SPECIFICALLY WHY ANY SIMILAR INFORMATION ALREADY AVAILABLE CANNOT BE USED OR MODIFIED FOR USE FOR THE PURPOSE(S) DESCRIBED IN INSTRUCTION NO. 2.</w:t>
      </w:r>
    </w:p>
    <w:p w:rsidRPr="00F5428B" w:rsidR="00F8150C" w:rsidP="00F8150C" w:rsidRDefault="00F8150C" w14:paraId="087C3C6A" w14:textId="1442C6D9">
      <w:pPr>
        <w:tabs>
          <w:tab w:val="num" w:pos="0"/>
        </w:tabs>
        <w:spacing w:before="100" w:beforeAutospacing="1" w:after="240"/>
        <w:rPr>
          <w:sz w:val="24"/>
        </w:rPr>
      </w:pPr>
      <w:r w:rsidRPr="00F5428B">
        <w:rPr>
          <w:sz w:val="24"/>
        </w:rPr>
        <w:t>Commission filings and data requirements are periodically reviewed in conjunction with OMB clearance expiration dates.  This includes a review of the Commission’s regulations and data requirements to identify duplication.  No duplication of the information collection requirements has been found.</w:t>
      </w:r>
    </w:p>
    <w:p w:rsidRPr="00F5428B" w:rsidR="00BC15BE" w:rsidP="00BC15BE" w:rsidRDefault="00BC15BE" w14:paraId="21267518" w14:textId="77777777">
      <w:pPr>
        <w:pStyle w:val="Level1"/>
        <w:widowControl/>
        <w:numPr>
          <w:ilvl w:val="0"/>
          <w:numId w:val="0"/>
        </w:numPr>
        <w:tabs>
          <w:tab w:val="left" w:pos="-1440"/>
        </w:tabs>
        <w:ind w:firstLine="720"/>
      </w:pPr>
    </w:p>
    <w:p w:rsidRPr="00F5428B" w:rsidR="00BC15BE" w:rsidP="00BC15BE" w:rsidRDefault="00BC15BE" w14:paraId="5B66D13D" w14:textId="77777777">
      <w:pPr>
        <w:pStyle w:val="Level1"/>
        <w:widowControl/>
        <w:tabs>
          <w:tab w:val="left" w:pos="-1440"/>
          <w:tab w:val="num" w:pos="720"/>
        </w:tabs>
        <w:rPr>
          <w:b/>
        </w:rPr>
      </w:pPr>
      <w:r w:rsidRPr="00F5428B">
        <w:rPr>
          <w:b/>
        </w:rPr>
        <w:t>METHODS USED TO MINIMIZE BURDEN IN COLLECTION OF INFORMATION INVOLVING SMALL ENTITIES</w:t>
      </w:r>
    </w:p>
    <w:p w:rsidR="00966D03" w:rsidP="00F8150C" w:rsidRDefault="00966D03" w14:paraId="19CD3887" w14:textId="77777777">
      <w:pPr>
        <w:rPr>
          <w:sz w:val="24"/>
        </w:rPr>
      </w:pPr>
    </w:p>
    <w:p w:rsidRPr="00F5428B" w:rsidR="00F8150C" w:rsidP="00F8150C" w:rsidRDefault="00F8150C" w14:paraId="70FE6071" w14:textId="1F9114F3">
      <w:pPr>
        <w:rPr>
          <w:sz w:val="24"/>
        </w:rPr>
      </w:pPr>
      <w:r w:rsidRPr="00F5428B">
        <w:rPr>
          <w:sz w:val="24"/>
        </w:rPr>
        <w:t xml:space="preserve">The Small Business Administration's (SBA) Office of Size Standards develops the numerical definition of a small business as matched to North American Industry Classification System Codes (NAICS). </w:t>
      </w:r>
      <w:r w:rsidR="00402714">
        <w:rPr>
          <w:sz w:val="24"/>
        </w:rPr>
        <w:t xml:space="preserve"> </w:t>
      </w:r>
      <w:r w:rsidRPr="00F5428B">
        <w:rPr>
          <w:sz w:val="24"/>
        </w:rPr>
        <w:t>The SBA (in 13 CFR 121.</w:t>
      </w:r>
      <w:r w:rsidR="00015DA5">
        <w:rPr>
          <w:sz w:val="24"/>
        </w:rPr>
        <w:t>2</w:t>
      </w:r>
      <w:r w:rsidRPr="00F5428B">
        <w:rPr>
          <w:sz w:val="24"/>
        </w:rPr>
        <w:t xml:space="preserve">01) has established a size standard for pipelines transporting natural gas, </w:t>
      </w:r>
      <w:r w:rsidR="00015DA5">
        <w:rPr>
          <w:sz w:val="24"/>
        </w:rPr>
        <w:t xml:space="preserve">currently </w:t>
      </w:r>
      <w:r w:rsidRPr="00F5428B">
        <w:rPr>
          <w:sz w:val="24"/>
        </w:rPr>
        <w:t xml:space="preserve">stating that a firm is a small entity if its </w:t>
      </w:r>
      <w:r w:rsidR="00015DA5">
        <w:rPr>
          <w:sz w:val="24"/>
        </w:rPr>
        <w:t xml:space="preserve">total </w:t>
      </w:r>
      <w:r w:rsidRPr="00F5428B">
        <w:rPr>
          <w:sz w:val="24"/>
        </w:rPr>
        <w:t>annual receipts (in</w:t>
      </w:r>
      <w:r w:rsidR="00015DA5">
        <w:rPr>
          <w:sz w:val="24"/>
        </w:rPr>
        <w:t xml:space="preserve"> combination with </w:t>
      </w:r>
      <w:r w:rsidRPr="00F5428B">
        <w:rPr>
          <w:sz w:val="24"/>
        </w:rPr>
        <w:t>its affiliates) are $</w:t>
      </w:r>
      <w:r w:rsidR="00573C31">
        <w:rPr>
          <w:sz w:val="24"/>
        </w:rPr>
        <w:t>30</w:t>
      </w:r>
      <w:r w:rsidRPr="00F5428B">
        <w:rPr>
          <w:sz w:val="24"/>
        </w:rPr>
        <w:t xml:space="preserve"> million or less.</w:t>
      </w:r>
      <w:r w:rsidRPr="00F5428B">
        <w:rPr>
          <w:rStyle w:val="FootnoteReference"/>
          <w:sz w:val="24"/>
          <w:szCs w:val="24"/>
        </w:rPr>
        <w:footnoteReference w:id="31"/>
      </w:r>
    </w:p>
    <w:p w:rsidR="00966D03" w:rsidP="00F8150C" w:rsidRDefault="00966D03" w14:paraId="02FFEA5C" w14:textId="77777777">
      <w:pPr>
        <w:rPr>
          <w:b/>
          <w:sz w:val="24"/>
        </w:rPr>
      </w:pPr>
    </w:p>
    <w:p w:rsidRPr="00F5428B" w:rsidR="00F8150C" w:rsidP="00F8150C" w:rsidRDefault="00F8150C" w14:paraId="2ECE79F4" w14:textId="1B9F2560">
      <w:pPr>
        <w:rPr>
          <w:sz w:val="24"/>
        </w:rPr>
      </w:pPr>
      <w:r w:rsidRPr="00F5428B">
        <w:rPr>
          <w:sz w:val="24"/>
        </w:rPr>
        <w:t xml:space="preserve">The FERC-545 </w:t>
      </w:r>
      <w:r w:rsidR="00F90719">
        <w:rPr>
          <w:sz w:val="24"/>
        </w:rPr>
        <w:t xml:space="preserve">and FERC-549C </w:t>
      </w:r>
      <w:r w:rsidR="000B2C2A">
        <w:rPr>
          <w:sz w:val="24"/>
        </w:rPr>
        <w:t>are</w:t>
      </w:r>
      <w:r w:rsidRPr="00F5428B">
        <w:rPr>
          <w:sz w:val="24"/>
        </w:rPr>
        <w:t xml:space="preserve"> filing requirement</w:t>
      </w:r>
      <w:r w:rsidR="000B2C2A">
        <w:rPr>
          <w:sz w:val="24"/>
        </w:rPr>
        <w:t>s</w:t>
      </w:r>
      <w:r w:rsidRPr="00F5428B">
        <w:rPr>
          <w:sz w:val="24"/>
        </w:rPr>
        <w:t xml:space="preserve"> related to pipeline rate filing obligations for the transportation and storage of natural gas.  The filing</w:t>
      </w:r>
      <w:r w:rsidR="000B2C2A">
        <w:rPr>
          <w:sz w:val="24"/>
        </w:rPr>
        <w:t>s</w:t>
      </w:r>
      <w:r w:rsidRPr="00F5428B">
        <w:rPr>
          <w:sz w:val="24"/>
        </w:rPr>
        <w:t xml:space="preserve"> collect data from both large and small respondent companies.  The data required </w:t>
      </w:r>
      <w:r w:rsidRPr="00F5428B" w:rsidR="00353A27">
        <w:rPr>
          <w:sz w:val="24"/>
        </w:rPr>
        <w:t xml:space="preserve">were designed to </w:t>
      </w:r>
      <w:r w:rsidRPr="00F5428B">
        <w:rPr>
          <w:sz w:val="24"/>
        </w:rPr>
        <w:t xml:space="preserve">impose the least possible burden for companies, while collecting the information required for processing the filings.  Use of the Internet to file documents electronically is the primary method the Commission uses to minimize the </w:t>
      </w:r>
      <w:r w:rsidRPr="00F5428B" w:rsidR="00353A27">
        <w:rPr>
          <w:sz w:val="24"/>
        </w:rPr>
        <w:t xml:space="preserve">filing </w:t>
      </w:r>
      <w:r w:rsidRPr="00F5428B">
        <w:rPr>
          <w:sz w:val="24"/>
        </w:rPr>
        <w:t>burden.</w:t>
      </w:r>
    </w:p>
    <w:p w:rsidRPr="00F5428B" w:rsidR="00BC15BE" w:rsidP="00573C31" w:rsidRDefault="00BC15BE" w14:paraId="1CB13102" w14:textId="77777777">
      <w:pPr>
        <w:pStyle w:val="FERCparanumber"/>
        <w:numPr>
          <w:ilvl w:val="0"/>
          <w:numId w:val="0"/>
        </w:numPr>
        <w:autoSpaceDE w:val="0"/>
        <w:autoSpaceDN w:val="0"/>
        <w:adjustRightInd w:val="0"/>
        <w:rPr>
          <w:sz w:val="24"/>
        </w:rPr>
      </w:pPr>
    </w:p>
    <w:p w:rsidRPr="00F5428B" w:rsidR="00BC15BE" w:rsidP="00BC15BE" w:rsidRDefault="00BC15BE" w14:paraId="54B1E88D" w14:textId="77777777">
      <w:pPr>
        <w:pStyle w:val="Level1"/>
        <w:widowControl/>
        <w:tabs>
          <w:tab w:val="left" w:pos="-1440"/>
          <w:tab w:val="num" w:pos="720"/>
        </w:tabs>
        <w:rPr>
          <w:b/>
        </w:rPr>
      </w:pPr>
      <w:r w:rsidRPr="00F5428B">
        <w:rPr>
          <w:b/>
        </w:rPr>
        <w:t>CONSEQUENCE TO FEDERAL PROGRAM IF COLLECTION WERE CONDUCTED LESS FREQUENTLY</w:t>
      </w:r>
    </w:p>
    <w:p w:rsidR="001B1135" w:rsidP="00F8150C" w:rsidRDefault="001B1135" w14:paraId="2BA137A1" w14:textId="77777777">
      <w:pPr>
        <w:tabs>
          <w:tab w:val="left" w:pos="0"/>
        </w:tabs>
        <w:rPr>
          <w:sz w:val="24"/>
        </w:rPr>
      </w:pPr>
    </w:p>
    <w:p w:rsidRPr="00F5428B" w:rsidR="00F8150C" w:rsidP="00F8150C" w:rsidRDefault="000B2C2A" w14:paraId="62DFD3E8" w14:textId="43699F41">
      <w:pPr>
        <w:tabs>
          <w:tab w:val="left" w:pos="0"/>
        </w:tabs>
        <w:rPr>
          <w:sz w:val="24"/>
        </w:rPr>
      </w:pPr>
      <w:r>
        <w:rPr>
          <w:sz w:val="24"/>
        </w:rPr>
        <w:lastRenderedPageBreak/>
        <w:t xml:space="preserve">The </w:t>
      </w:r>
      <w:r w:rsidRPr="00F5428B" w:rsidR="00F8150C">
        <w:rPr>
          <w:sz w:val="24"/>
        </w:rPr>
        <w:t>FERC-545</w:t>
      </w:r>
      <w:r w:rsidR="00573C31">
        <w:rPr>
          <w:sz w:val="24"/>
        </w:rPr>
        <w:t xml:space="preserve"> and FERC-549C</w:t>
      </w:r>
      <w:r w:rsidRPr="00F5428B" w:rsidR="00F8150C">
        <w:rPr>
          <w:sz w:val="24"/>
        </w:rPr>
        <w:t xml:space="preserve"> </w:t>
      </w:r>
      <w:r w:rsidR="00BD6B0B">
        <w:rPr>
          <w:sz w:val="24"/>
        </w:rPr>
        <w:t>is a one-time compliance filing</w:t>
      </w:r>
      <w:r w:rsidRPr="00F5428B" w:rsidR="00F8150C">
        <w:rPr>
          <w:sz w:val="24"/>
        </w:rPr>
        <w:t xml:space="preserve">.  Failure to collect the information would prohibit </w:t>
      </w:r>
      <w:r w:rsidR="001B1135">
        <w:rPr>
          <w:sz w:val="24"/>
        </w:rPr>
        <w:t>the Commission</w:t>
      </w:r>
      <w:r w:rsidRPr="00F5428B" w:rsidR="001B1135">
        <w:rPr>
          <w:sz w:val="24"/>
        </w:rPr>
        <w:t xml:space="preserve"> </w:t>
      </w:r>
      <w:r w:rsidRPr="00F5428B" w:rsidR="00F8150C">
        <w:rPr>
          <w:sz w:val="24"/>
        </w:rPr>
        <w:t xml:space="preserve">from properly monitoring and evaluating pipeline transactions and meeting statutory obligations under </w:t>
      </w:r>
      <w:r w:rsidR="001B1135">
        <w:rPr>
          <w:sz w:val="24"/>
        </w:rPr>
        <w:t xml:space="preserve">the </w:t>
      </w:r>
      <w:r>
        <w:rPr>
          <w:sz w:val="24"/>
        </w:rPr>
        <w:t>Natural Gas Policy Act and Natural Gas Act.</w:t>
      </w:r>
      <w:r w:rsidRPr="00F5428B" w:rsidR="00F8150C">
        <w:rPr>
          <w:sz w:val="24"/>
        </w:rPr>
        <w:t>.</w:t>
      </w:r>
    </w:p>
    <w:p w:rsidRPr="00F5428B" w:rsidR="00BC15BE" w:rsidP="00BC15BE" w:rsidRDefault="00BC15BE" w14:paraId="3FD162DE" w14:textId="77777777">
      <w:pPr>
        <w:pStyle w:val="Level1"/>
        <w:widowControl/>
        <w:numPr>
          <w:ilvl w:val="0"/>
          <w:numId w:val="0"/>
        </w:numPr>
        <w:tabs>
          <w:tab w:val="left" w:pos="-1440"/>
        </w:tabs>
      </w:pPr>
    </w:p>
    <w:p w:rsidRPr="00F5428B" w:rsidR="00BC15BE" w:rsidP="00BC15BE" w:rsidRDefault="00BC15BE" w14:paraId="5ECAB497" w14:textId="77777777">
      <w:pPr>
        <w:pStyle w:val="Level1"/>
        <w:widowControl/>
        <w:tabs>
          <w:tab w:val="left" w:pos="-1440"/>
          <w:tab w:val="num" w:pos="720"/>
        </w:tabs>
        <w:rPr>
          <w:b/>
        </w:rPr>
      </w:pPr>
      <w:r w:rsidRPr="00F5428B">
        <w:rPr>
          <w:b/>
        </w:rPr>
        <w:t>EXPLAIN ANY SPECIAL CIRCUMSTANCES RELATING TO THE INFORMATION COLLECTION</w:t>
      </w:r>
    </w:p>
    <w:p w:rsidRPr="00F5428B" w:rsidR="00BC15BE" w:rsidP="00BC15BE" w:rsidRDefault="00BC15BE" w14:paraId="217EEBCF" w14:textId="77777777">
      <w:pPr>
        <w:pStyle w:val="Level1"/>
        <w:numPr>
          <w:ilvl w:val="0"/>
          <w:numId w:val="0"/>
        </w:numPr>
      </w:pPr>
    </w:p>
    <w:p w:rsidRPr="00F5428B" w:rsidR="00F8150C" w:rsidP="00BC15BE" w:rsidRDefault="00BD6B0B" w14:paraId="41837890" w14:textId="7077BD58">
      <w:pPr>
        <w:pStyle w:val="Level1"/>
        <w:numPr>
          <w:ilvl w:val="0"/>
          <w:numId w:val="0"/>
        </w:numPr>
      </w:pPr>
      <w:r>
        <w:t xml:space="preserve">The FERC-545 </w:t>
      </w:r>
      <w:r w:rsidR="00573C31">
        <w:t xml:space="preserve">and FERC-549C </w:t>
      </w:r>
      <w:r w:rsidRPr="00F5428B" w:rsidR="00F8150C">
        <w:t>present</w:t>
      </w:r>
      <w:r>
        <w:t>s</w:t>
      </w:r>
      <w:r w:rsidRPr="00F5428B" w:rsidR="00F8150C">
        <w:t xml:space="preserve"> no special circumstances.</w:t>
      </w:r>
    </w:p>
    <w:p w:rsidRPr="00F5428B" w:rsidR="00F45B52" w:rsidP="00BC15BE" w:rsidRDefault="00F45B52" w14:paraId="6BB4F597" w14:textId="77777777">
      <w:pPr>
        <w:pStyle w:val="Level1"/>
        <w:numPr>
          <w:ilvl w:val="0"/>
          <w:numId w:val="0"/>
        </w:numPr>
      </w:pPr>
    </w:p>
    <w:p w:rsidRPr="00F5428B" w:rsidR="00BC15BE" w:rsidP="00BC15BE" w:rsidRDefault="00BC15BE" w14:paraId="183E946C" w14:textId="77777777">
      <w:pPr>
        <w:pStyle w:val="Level1"/>
        <w:widowControl/>
        <w:tabs>
          <w:tab w:val="left" w:pos="-1440"/>
          <w:tab w:val="num" w:pos="720"/>
        </w:tabs>
        <w:rPr>
          <w:b/>
        </w:rPr>
      </w:pPr>
      <w:r w:rsidRPr="00F5428B">
        <w:rPr>
          <w:b/>
        </w:rPr>
        <w:t>DESCRIBE EFFORTS TO CONSULT OUTSIDE THE AGENCY: SUMMARIZE PUBLIC COMMENTS AND AGENCY'S RESPONSE TO THESE COMMENTS</w:t>
      </w:r>
    </w:p>
    <w:p w:rsidR="00A5298F" w:rsidP="00BC15BE" w:rsidRDefault="00A5298F" w14:paraId="517D2728" w14:textId="169B5E3F">
      <w:pPr>
        <w:tabs>
          <w:tab w:val="left" w:pos="-1440"/>
        </w:tabs>
        <w:rPr>
          <w:sz w:val="24"/>
        </w:rPr>
      </w:pPr>
    </w:p>
    <w:p w:rsidRPr="00FB3975" w:rsidR="008E08A2" w:rsidP="008E08A2" w:rsidRDefault="00A75096" w14:paraId="69CADB90" w14:textId="3E4880A0">
      <w:pPr>
        <w:tabs>
          <w:tab w:val="left" w:pos="-1440"/>
        </w:tabs>
        <w:rPr>
          <w:sz w:val="24"/>
        </w:rPr>
      </w:pPr>
      <w:r>
        <w:rPr>
          <w:sz w:val="24"/>
        </w:rPr>
        <w:t xml:space="preserve">The </w:t>
      </w:r>
      <w:r w:rsidR="00DC1D42">
        <w:rPr>
          <w:sz w:val="24"/>
        </w:rPr>
        <w:t xml:space="preserve">NOPR </w:t>
      </w:r>
      <w:bookmarkStart w:name="_GoBack" w:id="11"/>
      <w:bookmarkEnd w:id="11"/>
      <w:r>
        <w:rPr>
          <w:sz w:val="24"/>
        </w:rPr>
        <w:t xml:space="preserve">published on </w:t>
      </w:r>
      <w:r w:rsidR="00DC1D42">
        <w:rPr>
          <w:sz w:val="24"/>
        </w:rPr>
        <w:t>March 5, 2021 and the Final Rule August 10</w:t>
      </w:r>
      <w:r>
        <w:rPr>
          <w:sz w:val="24"/>
        </w:rPr>
        <w:t>, 2021 to solicit comment</w:t>
      </w:r>
      <w:r w:rsidR="001915FB">
        <w:rPr>
          <w:sz w:val="24"/>
        </w:rPr>
        <w:t>.</w:t>
      </w:r>
      <w:r w:rsidR="008E08A2">
        <w:rPr>
          <w:sz w:val="24"/>
        </w:rPr>
        <w:t xml:space="preserve">  </w:t>
      </w:r>
      <w:r w:rsidR="008E08A2">
        <w:rPr>
          <w:bCs/>
          <w:sz w:val="24"/>
        </w:rPr>
        <w:t>Specifically, t</w:t>
      </w:r>
      <w:r w:rsidRPr="00FB3975" w:rsidR="008E08A2">
        <w:rPr>
          <w:bCs/>
          <w:sz w:val="24"/>
        </w:rPr>
        <w:t>he Commission solicited comments on the need for t</w:t>
      </w:r>
      <w:r w:rsidR="008E08A2">
        <w:rPr>
          <w:bCs/>
          <w:sz w:val="24"/>
        </w:rPr>
        <w:t xml:space="preserve">he collection of </w:t>
      </w:r>
      <w:r w:rsidRPr="00FB3975" w:rsidR="008E08A2">
        <w:rPr>
          <w:bCs/>
          <w:sz w:val="24"/>
        </w:rPr>
        <w:t>information, whether the</w:t>
      </w:r>
      <w:r w:rsidR="008E08A2">
        <w:rPr>
          <w:sz w:val="24"/>
        </w:rPr>
        <w:t xml:space="preserve"> </w:t>
      </w:r>
      <w:r w:rsidRPr="00FB3975" w:rsidR="008E08A2">
        <w:rPr>
          <w:bCs/>
          <w:sz w:val="24"/>
        </w:rPr>
        <w:t>information will have practical utility, the accuracy of the provided burden estimates,</w:t>
      </w:r>
      <w:r w:rsidR="008E08A2">
        <w:rPr>
          <w:bCs/>
          <w:sz w:val="24"/>
        </w:rPr>
        <w:t xml:space="preserve"> </w:t>
      </w:r>
      <w:r w:rsidRPr="00FB3975" w:rsidR="008E08A2">
        <w:rPr>
          <w:bCs/>
          <w:sz w:val="24"/>
        </w:rPr>
        <w:t>ways to enhance the quality, utility, and clarity of the information to be collected, and any</w:t>
      </w:r>
      <w:r w:rsidR="008E08A2">
        <w:rPr>
          <w:sz w:val="24"/>
        </w:rPr>
        <w:t xml:space="preserve"> </w:t>
      </w:r>
      <w:r w:rsidRPr="00FB3975" w:rsidR="008E08A2">
        <w:rPr>
          <w:bCs/>
          <w:sz w:val="24"/>
        </w:rPr>
        <w:t>suggested methods for minimizing respondents’ burden, including the use of automated</w:t>
      </w:r>
      <w:r w:rsidR="008E08A2">
        <w:rPr>
          <w:sz w:val="24"/>
        </w:rPr>
        <w:t xml:space="preserve"> </w:t>
      </w:r>
      <w:r w:rsidRPr="00FB3975" w:rsidR="008E08A2">
        <w:rPr>
          <w:bCs/>
          <w:sz w:val="24"/>
        </w:rPr>
        <w:t>information techniques.</w:t>
      </w:r>
      <w:r w:rsidR="008E08A2">
        <w:rPr>
          <w:bCs/>
          <w:sz w:val="24"/>
        </w:rPr>
        <w:t xml:space="preserve">  </w:t>
      </w:r>
      <w:r w:rsidRPr="00FB3975" w:rsidR="008E08A2">
        <w:rPr>
          <w:bCs/>
          <w:sz w:val="24"/>
        </w:rPr>
        <w:t>No comments were filed raising any objections to the burden</w:t>
      </w:r>
      <w:r w:rsidR="008E08A2">
        <w:rPr>
          <w:sz w:val="24"/>
        </w:rPr>
        <w:t xml:space="preserve"> </w:t>
      </w:r>
      <w:r w:rsidRPr="00FB3975" w:rsidR="008E08A2">
        <w:rPr>
          <w:bCs/>
          <w:sz w:val="24"/>
        </w:rPr>
        <w:t xml:space="preserve">estimate presented in the Version 3.2 </w:t>
      </w:r>
      <w:r w:rsidR="00DC1D42">
        <w:rPr>
          <w:bCs/>
          <w:sz w:val="24"/>
        </w:rPr>
        <w:t>NOPR</w:t>
      </w:r>
      <w:r w:rsidRPr="00FB3975" w:rsidR="008E08A2">
        <w:rPr>
          <w:bCs/>
          <w:sz w:val="24"/>
        </w:rPr>
        <w:t>.</w:t>
      </w:r>
      <w:r w:rsidR="008E08A2">
        <w:rPr>
          <w:bCs/>
          <w:sz w:val="24"/>
        </w:rPr>
        <w:t xml:space="preserve">  </w:t>
      </w:r>
      <w:r w:rsidRPr="008E08A2" w:rsidR="008E08A2">
        <w:rPr>
          <w:bCs/>
          <w:sz w:val="24"/>
        </w:rPr>
        <w:t>Accordingly,</w:t>
      </w:r>
      <w:r w:rsidR="008E08A2">
        <w:rPr>
          <w:bCs/>
          <w:sz w:val="24"/>
        </w:rPr>
        <w:t xml:space="preserve"> the Commission used </w:t>
      </w:r>
      <w:r w:rsidRPr="008E08A2" w:rsidR="008E08A2">
        <w:rPr>
          <w:bCs/>
          <w:sz w:val="24"/>
        </w:rPr>
        <w:t>that same burden</w:t>
      </w:r>
      <w:r w:rsidR="008E08A2">
        <w:rPr>
          <w:sz w:val="24"/>
        </w:rPr>
        <w:t xml:space="preserve"> </w:t>
      </w:r>
      <w:r w:rsidRPr="008E08A2" w:rsidR="008E08A2">
        <w:rPr>
          <w:bCs/>
          <w:sz w:val="24"/>
        </w:rPr>
        <w:t>estimate in th</w:t>
      </w:r>
      <w:r w:rsidR="008E08A2">
        <w:rPr>
          <w:bCs/>
          <w:sz w:val="24"/>
        </w:rPr>
        <w:t xml:space="preserve">e </w:t>
      </w:r>
      <w:r w:rsidRPr="008E08A2" w:rsidR="008E08A2">
        <w:rPr>
          <w:bCs/>
          <w:sz w:val="24"/>
        </w:rPr>
        <w:t>Final Rule.</w:t>
      </w:r>
    </w:p>
    <w:p w:rsidRPr="00F5428B" w:rsidR="00573C31" w:rsidP="00BC15BE" w:rsidRDefault="00573C31" w14:paraId="7CB15471" w14:textId="77777777">
      <w:pPr>
        <w:tabs>
          <w:tab w:val="left" w:pos="-1440"/>
        </w:tabs>
        <w:rPr>
          <w:b/>
          <w:sz w:val="24"/>
        </w:rPr>
      </w:pPr>
    </w:p>
    <w:p w:rsidRPr="00F5428B" w:rsidR="00BC15BE" w:rsidP="00BC15BE" w:rsidRDefault="00BC15BE" w14:paraId="3AD239FD" w14:textId="6A6B29EA">
      <w:pPr>
        <w:rPr>
          <w:b/>
          <w:sz w:val="24"/>
        </w:rPr>
      </w:pPr>
      <w:r w:rsidRPr="00F5428B">
        <w:rPr>
          <w:bCs/>
          <w:sz w:val="24"/>
        </w:rPr>
        <w:t>9.</w:t>
      </w:r>
      <w:r w:rsidRPr="00F5428B">
        <w:rPr>
          <w:bCs/>
          <w:sz w:val="24"/>
        </w:rPr>
        <w:tab/>
      </w:r>
      <w:r w:rsidRPr="00F5428B">
        <w:rPr>
          <w:b/>
          <w:sz w:val="24"/>
        </w:rPr>
        <w:t>EXPLAIN ANY PAYMENT OR GIFTS TO RESPONDENTS</w:t>
      </w:r>
    </w:p>
    <w:p w:rsidR="002F39BD" w:rsidP="00BC15BE" w:rsidRDefault="002F39BD" w14:paraId="7051282D" w14:textId="77777777">
      <w:pPr>
        <w:rPr>
          <w:sz w:val="24"/>
        </w:rPr>
      </w:pPr>
    </w:p>
    <w:p w:rsidRPr="00F5428B" w:rsidR="00BC15BE" w:rsidP="00BC15BE" w:rsidRDefault="00BC15BE" w14:paraId="747F4580" w14:textId="4362EEE9">
      <w:pPr>
        <w:rPr>
          <w:sz w:val="24"/>
        </w:rPr>
      </w:pPr>
      <w:r w:rsidRPr="00F5428B">
        <w:rPr>
          <w:sz w:val="24"/>
        </w:rPr>
        <w:t>There are no payments or gifts</w:t>
      </w:r>
      <w:r w:rsidR="000326C9">
        <w:rPr>
          <w:sz w:val="24"/>
        </w:rPr>
        <w:t xml:space="preserve"> made or given </w:t>
      </w:r>
      <w:r w:rsidRPr="00F5428B">
        <w:rPr>
          <w:sz w:val="24"/>
        </w:rPr>
        <w:t xml:space="preserve">to respondents associated with </w:t>
      </w:r>
      <w:r w:rsidRPr="00F5428B" w:rsidR="00F8150C">
        <w:rPr>
          <w:sz w:val="24"/>
        </w:rPr>
        <w:t>collections FERC-545</w:t>
      </w:r>
      <w:r w:rsidR="006512E7">
        <w:rPr>
          <w:sz w:val="24"/>
        </w:rPr>
        <w:t xml:space="preserve"> and </w:t>
      </w:r>
      <w:r w:rsidR="00573C31">
        <w:rPr>
          <w:sz w:val="24"/>
        </w:rPr>
        <w:t>549C</w:t>
      </w:r>
      <w:r w:rsidR="006512E7">
        <w:rPr>
          <w:sz w:val="24"/>
        </w:rPr>
        <w:t>.</w:t>
      </w:r>
    </w:p>
    <w:p w:rsidRPr="00F5428B" w:rsidR="00BC15BE" w:rsidP="00BC15BE" w:rsidRDefault="00BC15BE" w14:paraId="519A22C7" w14:textId="77777777">
      <w:pPr>
        <w:ind w:left="720" w:hanging="720"/>
        <w:rPr>
          <w:b/>
          <w:bCs/>
          <w:sz w:val="24"/>
        </w:rPr>
      </w:pPr>
    </w:p>
    <w:p w:rsidRPr="00F5428B" w:rsidR="00BC15BE" w:rsidP="00BC15BE" w:rsidRDefault="00BC15BE" w14:paraId="2135200F" w14:textId="77777777">
      <w:pPr>
        <w:ind w:left="720" w:hanging="720"/>
        <w:rPr>
          <w:b/>
          <w:sz w:val="24"/>
        </w:rPr>
      </w:pPr>
      <w:r w:rsidRPr="00F5428B">
        <w:rPr>
          <w:bCs/>
          <w:sz w:val="24"/>
        </w:rPr>
        <w:t>1</w:t>
      </w:r>
      <w:r w:rsidRPr="00F5428B">
        <w:rPr>
          <w:sz w:val="24"/>
        </w:rPr>
        <w:t>0.</w:t>
      </w:r>
      <w:r w:rsidRPr="00F5428B">
        <w:rPr>
          <w:sz w:val="24"/>
        </w:rPr>
        <w:tab/>
      </w:r>
      <w:r w:rsidRPr="00F5428B">
        <w:rPr>
          <w:b/>
          <w:sz w:val="24"/>
        </w:rPr>
        <w:t>DESCRIBE ANY ASSURANCE OF CONFIDENTIALITY PROVIDED TO RESPONDENTS</w:t>
      </w:r>
    </w:p>
    <w:p w:rsidR="00CE4075" w:rsidP="00BC15BE" w:rsidRDefault="00CE4075" w14:paraId="042B506D" w14:textId="77777777">
      <w:pPr>
        <w:rPr>
          <w:sz w:val="24"/>
        </w:rPr>
      </w:pPr>
    </w:p>
    <w:p w:rsidRPr="00F5428B" w:rsidR="00BC15BE" w:rsidP="00BC15BE" w:rsidRDefault="00C95983" w14:paraId="0CB91422" w14:textId="699D63E2">
      <w:pPr>
        <w:rPr>
          <w:sz w:val="24"/>
        </w:rPr>
      </w:pPr>
      <w:r>
        <w:rPr>
          <w:sz w:val="24"/>
        </w:rPr>
        <w:t>T</w:t>
      </w:r>
      <w:r w:rsidRPr="00F5428B" w:rsidR="00F8150C">
        <w:rPr>
          <w:sz w:val="24"/>
        </w:rPr>
        <w:t xml:space="preserve">he FERC-545 </w:t>
      </w:r>
      <w:r w:rsidR="00573C31">
        <w:rPr>
          <w:sz w:val="24"/>
        </w:rPr>
        <w:t xml:space="preserve">and FERC-549C </w:t>
      </w:r>
      <w:r w:rsidRPr="00F5428B" w:rsidR="00F8150C">
        <w:rPr>
          <w:sz w:val="24"/>
        </w:rPr>
        <w:t>data is public.  In general, for submittals to the Commission, filers may submit specific requests for confidential treatment to the extent permitted by law; details are available in 18 C.F.R. Section 388.112.</w:t>
      </w:r>
    </w:p>
    <w:p w:rsidRPr="00F5428B" w:rsidR="00F8150C" w:rsidP="00BC15BE" w:rsidRDefault="00F8150C" w14:paraId="3346081C" w14:textId="77777777">
      <w:pPr>
        <w:rPr>
          <w:sz w:val="24"/>
        </w:rPr>
      </w:pPr>
    </w:p>
    <w:p w:rsidRPr="00F5428B" w:rsidR="00BC15BE" w:rsidP="00BC15BE" w:rsidRDefault="00BC15BE" w14:paraId="20B1F703" w14:textId="77777777">
      <w:pPr>
        <w:pStyle w:val="Level1"/>
        <w:numPr>
          <w:ilvl w:val="0"/>
          <w:numId w:val="3"/>
        </w:numPr>
        <w:rPr>
          <w:b/>
        </w:rPr>
      </w:pPr>
      <w:r w:rsidRPr="00F5428B">
        <w:rPr>
          <w:b/>
        </w:rPr>
        <w:t>PROVIDE ADDITIONAL JUSTIFICATION FOR ANY QUESTIONS OF A SENSITIVE NATURE, SUCH AS SEXUAL BEHAVIOR AND ATTITUDES, RELIGIOUS BELIEFS, AND OTHER MATTERS THAT ARE COMMONLY CONSIDERED PRIVATE.</w:t>
      </w:r>
    </w:p>
    <w:p w:rsidR="00A17430" w:rsidP="00BC15BE" w:rsidRDefault="00A17430" w14:paraId="46AEDFC5" w14:textId="77777777">
      <w:pPr>
        <w:rPr>
          <w:sz w:val="24"/>
        </w:rPr>
      </w:pPr>
    </w:p>
    <w:p w:rsidRPr="00F5428B" w:rsidR="00BC15BE" w:rsidP="00BC15BE" w:rsidRDefault="00BC15BE" w14:paraId="3DCB60E8" w14:textId="77777777">
      <w:pPr>
        <w:rPr>
          <w:sz w:val="24"/>
        </w:rPr>
      </w:pPr>
      <w:r w:rsidRPr="00F5428B">
        <w:rPr>
          <w:sz w:val="24"/>
        </w:rPr>
        <w:t>There are no questions of a sensitive nature in the reporting requirements.</w:t>
      </w:r>
    </w:p>
    <w:p w:rsidRPr="00F5428B" w:rsidR="00BC15BE" w:rsidP="00BC15BE" w:rsidRDefault="00BC15BE" w14:paraId="3E51840A" w14:textId="77777777">
      <w:pPr>
        <w:rPr>
          <w:sz w:val="24"/>
        </w:rPr>
      </w:pPr>
    </w:p>
    <w:p w:rsidRPr="00F5428B" w:rsidR="00BC15BE" w:rsidP="00BC15BE" w:rsidRDefault="00BC15BE" w14:paraId="584352B7" w14:textId="77777777">
      <w:pPr>
        <w:pStyle w:val="Level1"/>
        <w:rPr>
          <w:b/>
        </w:rPr>
      </w:pPr>
      <w:r w:rsidRPr="00F5428B">
        <w:rPr>
          <w:b/>
        </w:rPr>
        <w:lastRenderedPageBreak/>
        <w:t>ESTIMATED BURDEN OF COLLECTION OF INFORMATION</w:t>
      </w:r>
    </w:p>
    <w:p w:rsidR="00EF3830" w:rsidP="00F8150C" w:rsidRDefault="00EF3830" w14:paraId="119D3529" w14:textId="77777777">
      <w:pPr>
        <w:pStyle w:val="FERCparanumber"/>
        <w:numPr>
          <w:ilvl w:val="0"/>
          <w:numId w:val="0"/>
        </w:numPr>
        <w:rPr>
          <w:b/>
          <w:sz w:val="24"/>
          <w:u w:val="single"/>
        </w:rPr>
      </w:pPr>
    </w:p>
    <w:p w:rsidRPr="00FB3975" w:rsidR="00F90719" w:rsidP="00863189" w:rsidRDefault="00F90719" w14:paraId="552F7161" w14:textId="12F0D8A1">
      <w:pPr>
        <w:pStyle w:val="FERCparanumber"/>
        <w:numPr>
          <w:ilvl w:val="0"/>
          <w:numId w:val="0"/>
        </w:numPr>
        <w:rPr>
          <w:sz w:val="24"/>
        </w:rPr>
      </w:pPr>
      <w:r w:rsidRPr="00FB3975">
        <w:rPr>
          <w:sz w:val="24"/>
        </w:rPr>
        <w:t>The Commission’s burden estimates for the proposals in this</w:t>
      </w:r>
      <w:r w:rsidRPr="00FB3975" w:rsidR="00103C09">
        <w:rPr>
          <w:sz w:val="24"/>
        </w:rPr>
        <w:t xml:space="preserve"> </w:t>
      </w:r>
      <w:r w:rsidRPr="00FB3975" w:rsidR="00800B4C">
        <w:rPr>
          <w:sz w:val="24"/>
        </w:rPr>
        <w:t>Final Rule</w:t>
      </w:r>
      <w:r w:rsidRPr="00FB3975">
        <w:rPr>
          <w:sz w:val="24"/>
        </w:rPr>
        <w:t xml:space="preserve"> are for one-time implementation of the information collection requirements of this </w:t>
      </w:r>
      <w:r w:rsidRPr="00FB3975" w:rsidR="00800B4C">
        <w:rPr>
          <w:sz w:val="24"/>
        </w:rPr>
        <w:t>Final Rule</w:t>
      </w:r>
      <w:r w:rsidRPr="00FB3975">
        <w:rPr>
          <w:sz w:val="24"/>
        </w:rPr>
        <w:t xml:space="preserve"> (including tariff filing, documentation of the process and procedures, and information technology work).</w:t>
      </w:r>
    </w:p>
    <w:p w:rsidRPr="00FB3975" w:rsidR="00F90719" w:rsidP="00863189" w:rsidRDefault="00F90719" w14:paraId="181D6FB5" w14:textId="3509E007">
      <w:pPr>
        <w:pStyle w:val="FERCparanumber"/>
        <w:numPr>
          <w:ilvl w:val="0"/>
          <w:numId w:val="0"/>
        </w:numPr>
        <w:rPr>
          <w:sz w:val="24"/>
        </w:rPr>
      </w:pPr>
      <w:r w:rsidRPr="00FB3975">
        <w:rPr>
          <w:sz w:val="24"/>
        </w:rPr>
        <w:t xml:space="preserve">The collections of information related to this </w:t>
      </w:r>
      <w:r w:rsidRPr="00FB3975" w:rsidR="00800B4C">
        <w:rPr>
          <w:sz w:val="24"/>
        </w:rPr>
        <w:t>Final Rule</w:t>
      </w:r>
      <w:r w:rsidRPr="00FB3975">
        <w:rPr>
          <w:sz w:val="24"/>
        </w:rPr>
        <w:t xml:space="preserve"> fall under FERC–545 (Gas Pipeline Rates: Rate Change (Non-Formal))</w:t>
      </w:r>
      <w:r w:rsidRPr="00FB3975">
        <w:rPr>
          <w:rStyle w:val="FootnoteReference"/>
          <w:sz w:val="24"/>
          <w:szCs w:val="24"/>
        </w:rPr>
        <w:footnoteReference w:id="32"/>
      </w:r>
      <w:r w:rsidRPr="00FB3975">
        <w:rPr>
          <w:sz w:val="24"/>
        </w:rPr>
        <w:t xml:space="preserve"> and FERC–549C</w:t>
      </w:r>
      <w:r w:rsidR="00B70817">
        <w:rPr>
          <w:sz w:val="24"/>
        </w:rPr>
        <w:t>.</w:t>
      </w:r>
      <w:r w:rsidRPr="00FB3975">
        <w:rPr>
          <w:sz w:val="24"/>
        </w:rPr>
        <w:t xml:space="preserve"> (Standards for Business Practices of Interstate Natural Gas Pipelines).</w:t>
      </w:r>
      <w:r w:rsidRPr="00FB3975">
        <w:rPr>
          <w:rStyle w:val="FootnoteReference"/>
          <w:sz w:val="24"/>
          <w:szCs w:val="24"/>
        </w:rPr>
        <w:footnoteReference w:id="33"/>
      </w:r>
      <w:r w:rsidRPr="00FB3975">
        <w:rPr>
          <w:sz w:val="24"/>
        </w:rPr>
        <w:t xml:space="preserve">  The following estimates of reporting burden are related only to this </w:t>
      </w:r>
      <w:r w:rsidRPr="00FB3975" w:rsidR="00800B4C">
        <w:rPr>
          <w:sz w:val="24"/>
        </w:rPr>
        <w:t>Final Rule</w:t>
      </w:r>
      <w:r w:rsidRPr="00FB3975">
        <w:rPr>
          <w:sz w:val="24"/>
        </w:rPr>
        <w:t xml:space="preserve"> and anticipate the costs to pipelines for compliance with this </w:t>
      </w:r>
      <w:r w:rsidRPr="00FB3975" w:rsidR="00800B4C">
        <w:rPr>
          <w:sz w:val="24"/>
        </w:rPr>
        <w:t>Final Rule</w:t>
      </w:r>
      <w:r w:rsidRPr="00FB3975">
        <w:rPr>
          <w:sz w:val="24"/>
        </w:rPr>
        <w:t>.  The burden estimates are primarily related to implementing these standards and regulations and will not result in ongoing costs.</w:t>
      </w:r>
    </w:p>
    <w:p w:rsidRPr="00FB3975" w:rsidR="00103C09" w:rsidP="00863189" w:rsidRDefault="00103C09" w14:paraId="35053CA3" w14:textId="77777777">
      <w:pPr>
        <w:pStyle w:val="FERCparanumber"/>
        <w:numPr>
          <w:ilvl w:val="0"/>
          <w:numId w:val="0"/>
        </w:numPr>
        <w:rPr>
          <w:sz w:val="24"/>
        </w:rPr>
      </w:pPr>
    </w:p>
    <w:tbl>
      <w:tblPr>
        <w:tblW w:w="5591" w:type="pct"/>
        <w:tblInd w:w="-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24"/>
        <w:gridCol w:w="1407"/>
        <w:gridCol w:w="1495"/>
        <w:gridCol w:w="1499"/>
        <w:gridCol w:w="1227"/>
        <w:gridCol w:w="1928"/>
        <w:gridCol w:w="1675"/>
      </w:tblGrid>
      <w:tr w:rsidRPr="00932257" w:rsidR="00F90719" w:rsidTr="00E3104D" w14:paraId="5C3C3F1F" w14:textId="77777777">
        <w:trPr>
          <w:cantSplit/>
          <w:trHeight w:val="188"/>
          <w:tblHeader/>
        </w:trPr>
        <w:tc>
          <w:tcPr>
            <w:tcW w:w="5000" w:type="pct"/>
            <w:gridSpan w:val="7"/>
            <w:tcBorders>
              <w:bottom w:val="single" w:color="auto" w:sz="4" w:space="0"/>
            </w:tcBorders>
            <w:shd w:val="clear" w:color="auto" w:fill="D9D9D9"/>
          </w:tcPr>
          <w:p w:rsidRPr="00932257" w:rsidR="00F90719" w:rsidP="00E3104D" w:rsidRDefault="00F90719" w14:paraId="3C532196" w14:textId="440A24C1">
            <w:pPr>
              <w:keepNext/>
              <w:jc w:val="center"/>
              <w:rPr>
                <w:b/>
                <w:szCs w:val="20"/>
              </w:rPr>
            </w:pPr>
            <w:r w:rsidRPr="00932257">
              <w:rPr>
                <w:b/>
                <w:szCs w:val="20"/>
              </w:rPr>
              <w:t>RM96-1-04</w:t>
            </w:r>
            <w:r>
              <w:rPr>
                <w:b/>
                <w:szCs w:val="20"/>
              </w:rPr>
              <w:t>2</w:t>
            </w:r>
            <w:r w:rsidRPr="00932257">
              <w:rPr>
                <w:b/>
                <w:szCs w:val="20"/>
              </w:rPr>
              <w:t xml:space="preserve"> </w:t>
            </w:r>
            <w:r w:rsidR="00800B4C">
              <w:rPr>
                <w:b/>
                <w:szCs w:val="20"/>
              </w:rPr>
              <w:t>Final Rule</w:t>
            </w:r>
            <w:r w:rsidRPr="00932257">
              <w:rPr>
                <w:b/>
                <w:szCs w:val="20"/>
              </w:rPr>
              <w:t xml:space="preserve"> (Standards for Business Practices of Interstate Natural Gas Pipelines)</w:t>
            </w:r>
          </w:p>
        </w:tc>
      </w:tr>
      <w:tr w:rsidRPr="00932257" w:rsidR="00F90719" w:rsidTr="00E3104D" w14:paraId="0723EE96" w14:textId="77777777">
        <w:trPr>
          <w:cantSplit/>
          <w:tblHeader/>
        </w:trPr>
        <w:tc>
          <w:tcPr>
            <w:tcW w:w="585" w:type="pct"/>
            <w:shd w:val="clear" w:color="auto" w:fill="D9D9D9"/>
          </w:tcPr>
          <w:p w:rsidRPr="00932257" w:rsidR="00F90719" w:rsidP="00E3104D" w:rsidRDefault="00F90719" w14:paraId="0E4E7AFB" w14:textId="77777777">
            <w:pPr>
              <w:jc w:val="center"/>
              <w:rPr>
                <w:rFonts w:eastAsia="Calibri"/>
                <w:b/>
                <w:szCs w:val="20"/>
              </w:rPr>
            </w:pPr>
          </w:p>
        </w:tc>
        <w:tc>
          <w:tcPr>
            <w:tcW w:w="673" w:type="pct"/>
            <w:shd w:val="clear" w:color="auto" w:fill="D9D9D9"/>
            <w:vAlign w:val="bottom"/>
          </w:tcPr>
          <w:p w:rsidRPr="00932257" w:rsidR="00F90719" w:rsidP="00E3104D" w:rsidRDefault="00F90719" w14:paraId="73D0A62E" w14:textId="77777777">
            <w:pPr>
              <w:jc w:val="center"/>
              <w:rPr>
                <w:rFonts w:eastAsia="Calibri"/>
                <w:b/>
                <w:szCs w:val="20"/>
              </w:rPr>
            </w:pPr>
            <w:r w:rsidRPr="00932257">
              <w:rPr>
                <w:rFonts w:eastAsia="Calibri"/>
                <w:b/>
                <w:szCs w:val="20"/>
              </w:rPr>
              <w:t>Number of Respondents</w:t>
            </w:r>
            <w:r w:rsidRPr="00932257">
              <w:rPr>
                <w:rStyle w:val="FootnoteReference"/>
              </w:rPr>
              <w:footnoteReference w:id="34"/>
            </w:r>
          </w:p>
          <w:p w:rsidRPr="00932257" w:rsidR="00F90719" w:rsidP="00E3104D" w:rsidRDefault="00F90719" w14:paraId="268418FD" w14:textId="77777777">
            <w:pPr>
              <w:jc w:val="center"/>
              <w:rPr>
                <w:rFonts w:eastAsia="Calibri"/>
                <w:b/>
                <w:szCs w:val="20"/>
              </w:rPr>
            </w:pPr>
            <w:r w:rsidRPr="00932257">
              <w:rPr>
                <w:rFonts w:eastAsia="Calibri"/>
                <w:b/>
                <w:szCs w:val="20"/>
              </w:rPr>
              <w:t>(1)</w:t>
            </w:r>
          </w:p>
        </w:tc>
        <w:tc>
          <w:tcPr>
            <w:tcW w:w="715" w:type="pct"/>
            <w:shd w:val="clear" w:color="auto" w:fill="D9D9D9"/>
            <w:vAlign w:val="bottom"/>
          </w:tcPr>
          <w:p w:rsidRPr="00932257" w:rsidR="00F90719" w:rsidP="00E3104D" w:rsidRDefault="00F90719" w14:paraId="34BF7981" w14:textId="77777777">
            <w:pPr>
              <w:jc w:val="center"/>
              <w:rPr>
                <w:rFonts w:eastAsia="Calibri"/>
                <w:b/>
                <w:szCs w:val="20"/>
              </w:rPr>
            </w:pPr>
            <w:r w:rsidRPr="00932257">
              <w:rPr>
                <w:rFonts w:eastAsia="Calibri"/>
                <w:b/>
                <w:szCs w:val="20"/>
              </w:rPr>
              <w:t>Annual Number of Responses per Respondent</w:t>
            </w:r>
          </w:p>
          <w:p w:rsidRPr="00932257" w:rsidR="00F90719" w:rsidP="00E3104D" w:rsidRDefault="00F90719" w14:paraId="30A50A4E" w14:textId="77777777">
            <w:pPr>
              <w:jc w:val="center"/>
              <w:rPr>
                <w:rFonts w:eastAsia="Calibri"/>
                <w:b/>
                <w:szCs w:val="20"/>
              </w:rPr>
            </w:pPr>
            <w:r w:rsidRPr="00932257">
              <w:rPr>
                <w:rFonts w:eastAsia="Calibri"/>
                <w:b/>
                <w:szCs w:val="20"/>
              </w:rPr>
              <w:t>(2)</w:t>
            </w:r>
          </w:p>
        </w:tc>
        <w:tc>
          <w:tcPr>
            <w:tcW w:w="717" w:type="pct"/>
            <w:shd w:val="clear" w:color="auto" w:fill="D9D9D9"/>
            <w:vAlign w:val="bottom"/>
          </w:tcPr>
          <w:p w:rsidRPr="00932257" w:rsidR="00F90719" w:rsidP="00E3104D" w:rsidRDefault="00F90719" w14:paraId="46890DE7" w14:textId="77777777">
            <w:pPr>
              <w:jc w:val="center"/>
              <w:rPr>
                <w:rFonts w:eastAsia="Calibri"/>
                <w:b/>
                <w:szCs w:val="20"/>
              </w:rPr>
            </w:pPr>
            <w:r w:rsidRPr="00932257">
              <w:rPr>
                <w:rFonts w:eastAsia="Calibri"/>
                <w:b/>
                <w:szCs w:val="20"/>
              </w:rPr>
              <w:t>Total Number of Responses (1)*(2)=</w:t>
            </w:r>
          </w:p>
          <w:p w:rsidRPr="00932257" w:rsidR="00F90719" w:rsidP="00E3104D" w:rsidRDefault="00F90719" w14:paraId="12E74045" w14:textId="77777777">
            <w:pPr>
              <w:jc w:val="center"/>
              <w:rPr>
                <w:rFonts w:eastAsia="Calibri"/>
                <w:b/>
                <w:szCs w:val="20"/>
              </w:rPr>
            </w:pPr>
            <w:r w:rsidRPr="00932257">
              <w:rPr>
                <w:rFonts w:eastAsia="Calibri"/>
                <w:b/>
                <w:szCs w:val="20"/>
              </w:rPr>
              <w:t>(3)</w:t>
            </w:r>
          </w:p>
        </w:tc>
        <w:tc>
          <w:tcPr>
            <w:tcW w:w="587" w:type="pct"/>
            <w:shd w:val="clear" w:color="auto" w:fill="D9D9D9"/>
            <w:vAlign w:val="bottom"/>
          </w:tcPr>
          <w:p w:rsidRPr="00932257" w:rsidR="00F90719" w:rsidP="00E3104D" w:rsidRDefault="00F90719" w14:paraId="4C995961" w14:textId="77777777">
            <w:pPr>
              <w:jc w:val="center"/>
              <w:rPr>
                <w:rFonts w:eastAsia="Calibri"/>
                <w:b/>
                <w:szCs w:val="20"/>
              </w:rPr>
            </w:pPr>
            <w:r w:rsidRPr="00932257">
              <w:rPr>
                <w:rFonts w:eastAsia="Calibri"/>
                <w:b/>
                <w:szCs w:val="20"/>
              </w:rPr>
              <w:t>Average Burden Hr. Per Response</w:t>
            </w:r>
          </w:p>
          <w:p w:rsidRPr="00932257" w:rsidR="00F90719" w:rsidP="00E3104D" w:rsidRDefault="00F90719" w14:paraId="3206AE90" w14:textId="77777777">
            <w:pPr>
              <w:jc w:val="center"/>
              <w:rPr>
                <w:rFonts w:eastAsia="Calibri"/>
                <w:b/>
                <w:szCs w:val="20"/>
              </w:rPr>
            </w:pPr>
            <w:r w:rsidRPr="00932257">
              <w:rPr>
                <w:rFonts w:eastAsia="Calibri"/>
                <w:b/>
                <w:szCs w:val="20"/>
              </w:rPr>
              <w:t>(4)</w:t>
            </w:r>
          </w:p>
        </w:tc>
        <w:tc>
          <w:tcPr>
            <w:tcW w:w="922" w:type="pct"/>
            <w:shd w:val="clear" w:color="auto" w:fill="D9D9D9"/>
            <w:vAlign w:val="bottom"/>
          </w:tcPr>
          <w:p w:rsidRPr="00932257" w:rsidR="00F90719" w:rsidP="00E3104D" w:rsidRDefault="00F90719" w14:paraId="4563995D" w14:textId="77777777">
            <w:pPr>
              <w:jc w:val="center"/>
              <w:rPr>
                <w:rFonts w:eastAsia="Calibri"/>
                <w:b/>
                <w:szCs w:val="20"/>
              </w:rPr>
            </w:pPr>
            <w:r w:rsidRPr="00932257">
              <w:rPr>
                <w:rFonts w:eastAsia="Calibri"/>
                <w:b/>
                <w:szCs w:val="20"/>
              </w:rPr>
              <w:t>Total Annual Burden Hours &amp; Total Annual Cost</w:t>
            </w:r>
            <w:r w:rsidRPr="00932257">
              <w:rPr>
                <w:rStyle w:val="FootnoteReference"/>
              </w:rPr>
              <w:footnoteReference w:id="35"/>
            </w:r>
          </w:p>
          <w:p w:rsidRPr="00932257" w:rsidR="00F90719" w:rsidP="00E3104D" w:rsidRDefault="00F90719" w14:paraId="18FF5077" w14:textId="77777777">
            <w:pPr>
              <w:jc w:val="center"/>
              <w:rPr>
                <w:rFonts w:eastAsia="Calibri"/>
                <w:b/>
                <w:szCs w:val="20"/>
              </w:rPr>
            </w:pPr>
            <w:r w:rsidRPr="00932257">
              <w:rPr>
                <w:rFonts w:eastAsia="Calibri"/>
                <w:b/>
                <w:szCs w:val="20"/>
              </w:rPr>
              <w:t>(3)*(4)=(5)</w:t>
            </w:r>
          </w:p>
        </w:tc>
        <w:tc>
          <w:tcPr>
            <w:tcW w:w="801" w:type="pct"/>
            <w:shd w:val="clear" w:color="auto" w:fill="D9D9D9"/>
            <w:vAlign w:val="bottom"/>
          </w:tcPr>
          <w:p w:rsidRPr="00932257" w:rsidR="00F90719" w:rsidP="00E3104D" w:rsidRDefault="00F90719" w14:paraId="15BEAA3E" w14:textId="77777777">
            <w:pPr>
              <w:jc w:val="center"/>
              <w:rPr>
                <w:rFonts w:eastAsia="Calibri"/>
                <w:b/>
                <w:szCs w:val="20"/>
              </w:rPr>
            </w:pPr>
            <w:r w:rsidRPr="00932257">
              <w:rPr>
                <w:rFonts w:eastAsia="Calibri"/>
                <w:b/>
                <w:szCs w:val="20"/>
              </w:rPr>
              <w:t xml:space="preserve">Annual Costs Per Respondent </w:t>
            </w:r>
          </w:p>
          <w:p w:rsidRPr="00932257" w:rsidR="00F90719" w:rsidP="00E3104D" w:rsidRDefault="00F90719" w14:paraId="4E95CB2A" w14:textId="77777777">
            <w:pPr>
              <w:jc w:val="center"/>
              <w:rPr>
                <w:rFonts w:eastAsia="Calibri"/>
                <w:b/>
                <w:szCs w:val="20"/>
              </w:rPr>
            </w:pPr>
            <w:r w:rsidRPr="00932257">
              <w:rPr>
                <w:rFonts w:eastAsia="Calibri"/>
                <w:b/>
                <w:szCs w:val="20"/>
              </w:rPr>
              <w:t>($)</w:t>
            </w:r>
          </w:p>
          <w:p w:rsidRPr="00932257" w:rsidR="00F90719" w:rsidP="00E3104D" w:rsidRDefault="00F90719" w14:paraId="639FDE67" w14:textId="77777777">
            <w:pPr>
              <w:jc w:val="center"/>
              <w:rPr>
                <w:rFonts w:eastAsia="Calibri"/>
                <w:b/>
                <w:szCs w:val="20"/>
              </w:rPr>
            </w:pPr>
            <w:r w:rsidRPr="00932257">
              <w:rPr>
                <w:rFonts w:eastAsia="Calibri"/>
                <w:b/>
                <w:szCs w:val="20"/>
              </w:rPr>
              <w:t>(5)</w:t>
            </w:r>
            <w:r>
              <w:rPr>
                <w:rFonts w:eastAsia="Calibri"/>
                <w:b/>
                <w:szCs w:val="20"/>
              </w:rPr>
              <w:t>/</w:t>
            </w:r>
            <w:r w:rsidRPr="00932257">
              <w:rPr>
                <w:rFonts w:eastAsia="Calibri"/>
                <w:b/>
                <w:szCs w:val="20"/>
              </w:rPr>
              <w:t xml:space="preserve"> (1) = (6)</w:t>
            </w:r>
          </w:p>
        </w:tc>
      </w:tr>
      <w:tr w:rsidRPr="00932257" w:rsidR="00F90719" w:rsidTr="00E3104D" w14:paraId="42DDF1DA" w14:textId="77777777">
        <w:trPr>
          <w:cantSplit/>
        </w:trPr>
        <w:tc>
          <w:tcPr>
            <w:tcW w:w="585" w:type="pct"/>
          </w:tcPr>
          <w:p w:rsidRPr="00932257" w:rsidR="00F90719" w:rsidP="00E3104D" w:rsidRDefault="00F90719" w14:paraId="0884A9D1" w14:textId="77777777">
            <w:pPr>
              <w:rPr>
                <w:rFonts w:eastAsia="Calibri"/>
                <w:szCs w:val="20"/>
              </w:rPr>
            </w:pPr>
            <w:r w:rsidRPr="00932257">
              <w:rPr>
                <w:rFonts w:eastAsia="Calibri"/>
                <w:szCs w:val="20"/>
              </w:rPr>
              <w:t>FERC-545 (one-time)</w:t>
            </w:r>
          </w:p>
        </w:tc>
        <w:tc>
          <w:tcPr>
            <w:tcW w:w="673" w:type="pct"/>
          </w:tcPr>
          <w:p w:rsidRPr="00932257" w:rsidR="00F90719" w:rsidP="00E3104D" w:rsidRDefault="00F90719" w14:paraId="647368AD" w14:textId="77777777">
            <w:pPr>
              <w:jc w:val="right"/>
              <w:rPr>
                <w:rFonts w:eastAsia="Calibri"/>
                <w:szCs w:val="20"/>
              </w:rPr>
            </w:pPr>
            <w:r w:rsidRPr="00932257">
              <w:rPr>
                <w:rFonts w:eastAsia="Calibri"/>
                <w:szCs w:val="20"/>
              </w:rPr>
              <w:t>1</w:t>
            </w:r>
            <w:r>
              <w:rPr>
                <w:rFonts w:eastAsia="Calibri"/>
                <w:szCs w:val="20"/>
              </w:rPr>
              <w:t>78</w:t>
            </w:r>
          </w:p>
        </w:tc>
        <w:tc>
          <w:tcPr>
            <w:tcW w:w="715" w:type="pct"/>
          </w:tcPr>
          <w:p w:rsidRPr="00932257" w:rsidR="00F90719" w:rsidP="00E3104D" w:rsidRDefault="00F90719" w14:paraId="3A83A611" w14:textId="77777777">
            <w:pPr>
              <w:jc w:val="right"/>
              <w:rPr>
                <w:rFonts w:eastAsia="Calibri"/>
                <w:szCs w:val="20"/>
              </w:rPr>
            </w:pPr>
            <w:r w:rsidRPr="00932257">
              <w:rPr>
                <w:rFonts w:eastAsia="Calibri"/>
                <w:szCs w:val="20"/>
              </w:rPr>
              <w:t>1</w:t>
            </w:r>
          </w:p>
        </w:tc>
        <w:tc>
          <w:tcPr>
            <w:tcW w:w="717" w:type="pct"/>
          </w:tcPr>
          <w:p w:rsidRPr="00932257" w:rsidR="00F90719" w:rsidP="00E3104D" w:rsidRDefault="00F90719" w14:paraId="67869F42" w14:textId="77777777">
            <w:pPr>
              <w:jc w:val="right"/>
              <w:rPr>
                <w:rFonts w:eastAsia="Calibri"/>
                <w:szCs w:val="20"/>
              </w:rPr>
            </w:pPr>
            <w:r w:rsidRPr="00932257">
              <w:rPr>
                <w:rFonts w:eastAsia="Calibri"/>
                <w:szCs w:val="20"/>
              </w:rPr>
              <w:t>1</w:t>
            </w:r>
            <w:r>
              <w:rPr>
                <w:rFonts w:eastAsia="Calibri"/>
                <w:szCs w:val="20"/>
              </w:rPr>
              <w:t>78</w:t>
            </w:r>
          </w:p>
        </w:tc>
        <w:tc>
          <w:tcPr>
            <w:tcW w:w="587" w:type="pct"/>
          </w:tcPr>
          <w:p w:rsidRPr="00932257" w:rsidR="00F90719" w:rsidP="00E3104D" w:rsidRDefault="00F90719" w14:paraId="329892F3" w14:textId="77777777">
            <w:pPr>
              <w:jc w:val="right"/>
              <w:rPr>
                <w:rFonts w:eastAsia="Calibri"/>
                <w:szCs w:val="20"/>
              </w:rPr>
            </w:pPr>
            <w:r w:rsidRPr="00932257">
              <w:rPr>
                <w:rFonts w:eastAsia="Calibri"/>
                <w:szCs w:val="20"/>
              </w:rPr>
              <w:t>10 hrs.;</w:t>
            </w:r>
          </w:p>
          <w:p w:rsidRPr="00932257" w:rsidR="00F90719" w:rsidP="00E3104D" w:rsidRDefault="00F90719" w14:paraId="224A444E" w14:textId="77777777">
            <w:pPr>
              <w:jc w:val="right"/>
              <w:rPr>
                <w:rFonts w:eastAsia="Calibri"/>
                <w:szCs w:val="20"/>
              </w:rPr>
            </w:pPr>
            <w:r w:rsidRPr="00932257">
              <w:rPr>
                <w:rFonts w:eastAsia="Calibri"/>
                <w:szCs w:val="20"/>
              </w:rPr>
              <w:t>$1,</w:t>
            </w:r>
            <w:r>
              <w:rPr>
                <w:rFonts w:eastAsia="Calibri"/>
                <w:szCs w:val="20"/>
              </w:rPr>
              <w:t>010</w:t>
            </w:r>
          </w:p>
        </w:tc>
        <w:tc>
          <w:tcPr>
            <w:tcW w:w="922" w:type="pct"/>
          </w:tcPr>
          <w:p w:rsidRPr="00932257" w:rsidR="00F90719" w:rsidP="00E3104D" w:rsidRDefault="00F90719" w14:paraId="162B1784" w14:textId="77777777">
            <w:pPr>
              <w:jc w:val="right"/>
              <w:rPr>
                <w:rFonts w:eastAsia="Calibri"/>
                <w:szCs w:val="20"/>
              </w:rPr>
            </w:pPr>
            <w:r w:rsidRPr="00932257">
              <w:rPr>
                <w:rFonts w:eastAsia="Calibri"/>
                <w:szCs w:val="20"/>
              </w:rPr>
              <w:t>1,</w:t>
            </w:r>
            <w:r>
              <w:rPr>
                <w:rFonts w:eastAsia="Calibri"/>
                <w:szCs w:val="20"/>
              </w:rPr>
              <w:t>780</w:t>
            </w:r>
            <w:r w:rsidRPr="00932257">
              <w:rPr>
                <w:rFonts w:eastAsia="Calibri"/>
                <w:szCs w:val="20"/>
              </w:rPr>
              <w:t xml:space="preserve"> hrs.;</w:t>
            </w:r>
          </w:p>
          <w:p w:rsidRPr="00932257" w:rsidR="00F90719" w:rsidP="00E3104D" w:rsidRDefault="00F90719" w14:paraId="0E31D8C1" w14:textId="77777777">
            <w:pPr>
              <w:jc w:val="right"/>
              <w:rPr>
                <w:rFonts w:eastAsia="Calibri"/>
                <w:szCs w:val="20"/>
              </w:rPr>
            </w:pPr>
            <w:r w:rsidRPr="00932257">
              <w:rPr>
                <w:rFonts w:eastAsia="Calibri"/>
                <w:szCs w:val="20"/>
              </w:rPr>
              <w:t>$</w:t>
            </w:r>
            <w:r>
              <w:rPr>
                <w:rFonts w:eastAsia="Calibri"/>
                <w:szCs w:val="20"/>
              </w:rPr>
              <w:t>179,780</w:t>
            </w:r>
          </w:p>
        </w:tc>
        <w:tc>
          <w:tcPr>
            <w:tcW w:w="801" w:type="pct"/>
          </w:tcPr>
          <w:p w:rsidRPr="00932257" w:rsidR="00F90719" w:rsidP="00E3104D" w:rsidRDefault="00F90719" w14:paraId="295527A0" w14:textId="77777777">
            <w:pPr>
              <w:jc w:val="right"/>
              <w:rPr>
                <w:rFonts w:eastAsia="Calibri"/>
                <w:szCs w:val="20"/>
              </w:rPr>
            </w:pPr>
            <w:r w:rsidRPr="00932257">
              <w:rPr>
                <w:rFonts w:eastAsia="Calibri"/>
                <w:szCs w:val="20"/>
              </w:rPr>
              <w:t>$1,</w:t>
            </w:r>
            <w:r>
              <w:rPr>
                <w:rFonts w:eastAsia="Calibri"/>
                <w:szCs w:val="20"/>
              </w:rPr>
              <w:t>010</w:t>
            </w:r>
          </w:p>
        </w:tc>
      </w:tr>
      <w:tr w:rsidRPr="00932257" w:rsidR="00F90719" w:rsidTr="00E3104D" w14:paraId="2A437B12" w14:textId="77777777">
        <w:trPr>
          <w:cantSplit/>
        </w:trPr>
        <w:tc>
          <w:tcPr>
            <w:tcW w:w="585" w:type="pct"/>
          </w:tcPr>
          <w:p w:rsidRPr="00932257" w:rsidR="00F90719" w:rsidP="00E3104D" w:rsidRDefault="00F90719" w14:paraId="57941209" w14:textId="77777777">
            <w:pPr>
              <w:rPr>
                <w:rFonts w:eastAsia="Calibri"/>
                <w:szCs w:val="20"/>
              </w:rPr>
            </w:pPr>
            <w:r w:rsidRPr="00932257">
              <w:rPr>
                <w:rFonts w:eastAsia="Calibri"/>
                <w:szCs w:val="20"/>
              </w:rPr>
              <w:lastRenderedPageBreak/>
              <w:t>FERC-549C (one-time)</w:t>
            </w:r>
          </w:p>
        </w:tc>
        <w:tc>
          <w:tcPr>
            <w:tcW w:w="673" w:type="pct"/>
          </w:tcPr>
          <w:p w:rsidRPr="00932257" w:rsidR="00F90719" w:rsidP="00E3104D" w:rsidRDefault="00F90719" w14:paraId="6684B4F0" w14:textId="77777777">
            <w:pPr>
              <w:jc w:val="right"/>
              <w:rPr>
                <w:rFonts w:eastAsia="Calibri"/>
                <w:szCs w:val="20"/>
              </w:rPr>
            </w:pPr>
            <w:r w:rsidRPr="00932257">
              <w:rPr>
                <w:rFonts w:eastAsia="Calibri"/>
                <w:szCs w:val="20"/>
              </w:rPr>
              <w:t>1</w:t>
            </w:r>
            <w:r>
              <w:rPr>
                <w:rFonts w:eastAsia="Calibri"/>
                <w:szCs w:val="20"/>
              </w:rPr>
              <w:t>78</w:t>
            </w:r>
          </w:p>
        </w:tc>
        <w:tc>
          <w:tcPr>
            <w:tcW w:w="715" w:type="pct"/>
          </w:tcPr>
          <w:p w:rsidRPr="00932257" w:rsidR="00F90719" w:rsidP="00E3104D" w:rsidRDefault="00F90719" w14:paraId="0C1E5AF2" w14:textId="77777777">
            <w:pPr>
              <w:jc w:val="right"/>
              <w:rPr>
                <w:rFonts w:eastAsia="Calibri"/>
                <w:szCs w:val="20"/>
              </w:rPr>
            </w:pPr>
            <w:r w:rsidRPr="00932257">
              <w:rPr>
                <w:rFonts w:eastAsia="Calibri"/>
                <w:szCs w:val="20"/>
              </w:rPr>
              <w:t>1</w:t>
            </w:r>
          </w:p>
        </w:tc>
        <w:tc>
          <w:tcPr>
            <w:tcW w:w="717" w:type="pct"/>
          </w:tcPr>
          <w:p w:rsidRPr="00932257" w:rsidR="00F90719" w:rsidP="00E3104D" w:rsidRDefault="00F90719" w14:paraId="03939DC8" w14:textId="77777777">
            <w:pPr>
              <w:jc w:val="right"/>
              <w:rPr>
                <w:rFonts w:eastAsia="Calibri"/>
                <w:szCs w:val="20"/>
              </w:rPr>
            </w:pPr>
            <w:r w:rsidRPr="00932257">
              <w:rPr>
                <w:rFonts w:eastAsia="Calibri"/>
                <w:szCs w:val="20"/>
              </w:rPr>
              <w:t>1</w:t>
            </w:r>
            <w:r>
              <w:rPr>
                <w:rFonts w:eastAsia="Calibri"/>
                <w:szCs w:val="20"/>
              </w:rPr>
              <w:t>78</w:t>
            </w:r>
          </w:p>
        </w:tc>
        <w:tc>
          <w:tcPr>
            <w:tcW w:w="587" w:type="pct"/>
          </w:tcPr>
          <w:p w:rsidRPr="00932257" w:rsidR="00F90719" w:rsidP="00E3104D" w:rsidRDefault="00F90719" w14:paraId="5118A70B" w14:textId="77777777">
            <w:pPr>
              <w:jc w:val="right"/>
              <w:rPr>
                <w:rFonts w:eastAsia="Calibri"/>
                <w:szCs w:val="20"/>
              </w:rPr>
            </w:pPr>
            <w:r>
              <w:rPr>
                <w:rFonts w:eastAsia="Calibri"/>
                <w:szCs w:val="20"/>
              </w:rPr>
              <w:t>100</w:t>
            </w:r>
            <w:r w:rsidRPr="00932257">
              <w:rPr>
                <w:rFonts w:eastAsia="Calibri"/>
                <w:szCs w:val="20"/>
              </w:rPr>
              <w:t xml:space="preserve"> hrs.;</w:t>
            </w:r>
          </w:p>
          <w:p w:rsidRPr="00932257" w:rsidR="00F90719" w:rsidP="00E3104D" w:rsidRDefault="00F90719" w14:paraId="39CD4356" w14:textId="77777777">
            <w:pPr>
              <w:jc w:val="right"/>
              <w:rPr>
                <w:rFonts w:eastAsia="Calibri"/>
                <w:szCs w:val="20"/>
              </w:rPr>
            </w:pPr>
            <w:r w:rsidRPr="00932257">
              <w:rPr>
                <w:rFonts w:eastAsia="Calibri"/>
                <w:szCs w:val="20"/>
              </w:rPr>
              <w:t>$</w:t>
            </w:r>
            <w:r>
              <w:rPr>
                <w:rFonts w:eastAsia="Calibri"/>
                <w:szCs w:val="20"/>
              </w:rPr>
              <w:t>10,100</w:t>
            </w:r>
          </w:p>
        </w:tc>
        <w:tc>
          <w:tcPr>
            <w:tcW w:w="922" w:type="pct"/>
          </w:tcPr>
          <w:p w:rsidRPr="00932257" w:rsidR="00F90719" w:rsidP="00E3104D" w:rsidRDefault="00F90719" w14:paraId="129D1B21" w14:textId="77777777">
            <w:pPr>
              <w:jc w:val="right"/>
              <w:rPr>
                <w:rFonts w:eastAsia="Calibri"/>
                <w:szCs w:val="20"/>
              </w:rPr>
            </w:pPr>
            <w:r>
              <w:rPr>
                <w:rFonts w:eastAsia="Calibri"/>
                <w:szCs w:val="20"/>
              </w:rPr>
              <w:t>17,800</w:t>
            </w:r>
            <w:r w:rsidRPr="00932257">
              <w:rPr>
                <w:rFonts w:eastAsia="Calibri"/>
                <w:szCs w:val="20"/>
              </w:rPr>
              <w:t xml:space="preserve"> hrs.;</w:t>
            </w:r>
          </w:p>
          <w:p w:rsidRPr="00932257" w:rsidR="00F90719" w:rsidP="00E3104D" w:rsidRDefault="00F90719" w14:paraId="30266F25" w14:textId="77777777">
            <w:pPr>
              <w:jc w:val="right"/>
              <w:rPr>
                <w:rFonts w:eastAsia="Calibri"/>
                <w:szCs w:val="20"/>
              </w:rPr>
            </w:pPr>
            <w:r w:rsidRPr="00932257">
              <w:rPr>
                <w:rFonts w:eastAsia="Calibri"/>
                <w:szCs w:val="20"/>
              </w:rPr>
              <w:t>$</w:t>
            </w:r>
            <w:r>
              <w:rPr>
                <w:rFonts w:eastAsia="Calibri"/>
                <w:szCs w:val="20"/>
              </w:rPr>
              <w:t>1,797,800</w:t>
            </w:r>
          </w:p>
        </w:tc>
        <w:tc>
          <w:tcPr>
            <w:tcW w:w="801" w:type="pct"/>
          </w:tcPr>
          <w:p w:rsidRPr="00932257" w:rsidR="00F90719" w:rsidP="00E3104D" w:rsidRDefault="00F90719" w14:paraId="4D82B415" w14:textId="77777777">
            <w:pPr>
              <w:jc w:val="right"/>
              <w:rPr>
                <w:rFonts w:eastAsia="Calibri"/>
                <w:szCs w:val="20"/>
              </w:rPr>
            </w:pPr>
            <w:r w:rsidRPr="00932257">
              <w:rPr>
                <w:rFonts w:eastAsia="Calibri"/>
                <w:szCs w:val="20"/>
              </w:rPr>
              <w:t>$</w:t>
            </w:r>
            <w:r>
              <w:rPr>
                <w:rFonts w:eastAsia="Calibri"/>
                <w:szCs w:val="20"/>
              </w:rPr>
              <w:t>10,100</w:t>
            </w:r>
          </w:p>
        </w:tc>
      </w:tr>
      <w:tr w:rsidRPr="00932257" w:rsidR="00F90719" w:rsidTr="00E3104D" w14:paraId="7BF8F59C" w14:textId="77777777">
        <w:trPr>
          <w:cantSplit/>
        </w:trPr>
        <w:tc>
          <w:tcPr>
            <w:tcW w:w="585" w:type="pct"/>
          </w:tcPr>
          <w:p w:rsidRPr="00932257" w:rsidR="00F90719" w:rsidP="00E3104D" w:rsidRDefault="00F90719" w14:paraId="79D53B86" w14:textId="77777777">
            <w:pPr>
              <w:rPr>
                <w:rFonts w:eastAsia="Calibri"/>
                <w:b/>
                <w:szCs w:val="20"/>
              </w:rPr>
            </w:pPr>
            <w:r w:rsidRPr="00932257">
              <w:rPr>
                <w:rFonts w:eastAsia="Calibri"/>
                <w:b/>
                <w:szCs w:val="20"/>
              </w:rPr>
              <w:t>TOTAL</w:t>
            </w:r>
          </w:p>
        </w:tc>
        <w:tc>
          <w:tcPr>
            <w:tcW w:w="1388" w:type="pct"/>
            <w:gridSpan w:val="2"/>
            <w:shd w:val="clear" w:color="auto" w:fill="D9D9D9" w:themeFill="background1" w:themeFillShade="D9"/>
          </w:tcPr>
          <w:p w:rsidRPr="00932257" w:rsidR="00F90719" w:rsidP="00E3104D" w:rsidRDefault="00F90719" w14:paraId="045989A8" w14:textId="77777777">
            <w:pPr>
              <w:jc w:val="right"/>
              <w:rPr>
                <w:rFonts w:eastAsia="Calibri"/>
                <w:szCs w:val="20"/>
              </w:rPr>
            </w:pPr>
          </w:p>
        </w:tc>
        <w:tc>
          <w:tcPr>
            <w:tcW w:w="717" w:type="pct"/>
          </w:tcPr>
          <w:p w:rsidRPr="00932257" w:rsidR="00F90719" w:rsidP="00E3104D" w:rsidRDefault="00F90719" w14:paraId="7A029CD0" w14:textId="77777777">
            <w:pPr>
              <w:jc w:val="right"/>
              <w:rPr>
                <w:rFonts w:eastAsia="Calibri"/>
                <w:szCs w:val="20"/>
              </w:rPr>
            </w:pPr>
            <w:r w:rsidRPr="00932257">
              <w:rPr>
                <w:rFonts w:eastAsia="Calibri"/>
                <w:szCs w:val="20"/>
              </w:rPr>
              <w:t>3</w:t>
            </w:r>
            <w:r>
              <w:rPr>
                <w:rFonts w:eastAsia="Calibri"/>
                <w:szCs w:val="20"/>
              </w:rPr>
              <w:t>56</w:t>
            </w:r>
          </w:p>
        </w:tc>
        <w:tc>
          <w:tcPr>
            <w:tcW w:w="587" w:type="pct"/>
            <w:shd w:val="clear" w:color="auto" w:fill="D9D9D9" w:themeFill="background1" w:themeFillShade="D9"/>
          </w:tcPr>
          <w:p w:rsidRPr="00932257" w:rsidR="00F90719" w:rsidP="00E3104D" w:rsidRDefault="00F90719" w14:paraId="5146CCE6" w14:textId="77777777">
            <w:pPr>
              <w:jc w:val="right"/>
              <w:rPr>
                <w:rFonts w:eastAsia="Calibri"/>
                <w:szCs w:val="20"/>
              </w:rPr>
            </w:pPr>
          </w:p>
        </w:tc>
        <w:tc>
          <w:tcPr>
            <w:tcW w:w="922" w:type="pct"/>
          </w:tcPr>
          <w:p w:rsidRPr="00932257" w:rsidR="00F90719" w:rsidP="00E3104D" w:rsidRDefault="00F90719" w14:paraId="242F7EC7" w14:textId="77777777">
            <w:pPr>
              <w:jc w:val="right"/>
              <w:rPr>
                <w:rFonts w:eastAsia="Calibri"/>
                <w:szCs w:val="20"/>
              </w:rPr>
            </w:pPr>
            <w:r>
              <w:rPr>
                <w:rFonts w:eastAsia="Calibri"/>
                <w:szCs w:val="20"/>
              </w:rPr>
              <w:t>19,580</w:t>
            </w:r>
            <w:r w:rsidRPr="00932257">
              <w:rPr>
                <w:rFonts w:eastAsia="Calibri"/>
                <w:szCs w:val="20"/>
              </w:rPr>
              <w:t xml:space="preserve"> hrs.;</w:t>
            </w:r>
          </w:p>
          <w:p w:rsidRPr="00932257" w:rsidR="00F90719" w:rsidP="00E3104D" w:rsidRDefault="00F90719" w14:paraId="4D1F6F5C" w14:textId="77777777">
            <w:pPr>
              <w:jc w:val="right"/>
              <w:rPr>
                <w:rFonts w:eastAsia="Calibri"/>
                <w:szCs w:val="20"/>
              </w:rPr>
            </w:pPr>
            <w:r w:rsidRPr="00932257">
              <w:rPr>
                <w:rFonts w:eastAsia="Calibri"/>
                <w:szCs w:val="20"/>
              </w:rPr>
              <w:t>$</w:t>
            </w:r>
            <w:bookmarkStart w:name="_Hlk54788655" w:id="12"/>
            <w:r>
              <w:rPr>
                <w:rFonts w:eastAsia="Calibri"/>
                <w:szCs w:val="20"/>
              </w:rPr>
              <w:t>1,</w:t>
            </w:r>
            <w:bookmarkEnd w:id="12"/>
            <w:r>
              <w:rPr>
                <w:rFonts w:eastAsia="Calibri"/>
                <w:szCs w:val="20"/>
              </w:rPr>
              <w:t>977,580</w:t>
            </w:r>
          </w:p>
        </w:tc>
        <w:tc>
          <w:tcPr>
            <w:tcW w:w="801" w:type="pct"/>
            <w:shd w:val="clear" w:color="auto" w:fill="D9D9D9" w:themeFill="background1" w:themeFillShade="D9"/>
          </w:tcPr>
          <w:p w:rsidRPr="00932257" w:rsidR="00F90719" w:rsidP="00E3104D" w:rsidRDefault="00F90719" w14:paraId="49FFF8CF" w14:textId="77777777">
            <w:pPr>
              <w:jc w:val="right"/>
              <w:rPr>
                <w:rFonts w:eastAsia="Calibri"/>
                <w:szCs w:val="20"/>
              </w:rPr>
            </w:pPr>
          </w:p>
        </w:tc>
      </w:tr>
    </w:tbl>
    <w:p w:rsidR="00F90719" w:rsidP="00F90719" w:rsidRDefault="00F90719" w14:paraId="18F36EC4" w14:textId="77777777">
      <w:pPr>
        <w:pStyle w:val="FERCparanumber"/>
        <w:numPr>
          <w:ilvl w:val="0"/>
          <w:numId w:val="0"/>
        </w:numPr>
      </w:pPr>
    </w:p>
    <w:p w:rsidRPr="00FB3975" w:rsidR="00F90719" w:rsidP="00F90719" w:rsidRDefault="00F90719" w14:paraId="4DED09E1" w14:textId="3F07A51D">
      <w:pPr>
        <w:pStyle w:val="FERCparanumber"/>
        <w:numPr>
          <w:ilvl w:val="0"/>
          <w:numId w:val="0"/>
        </w:numPr>
        <w:rPr>
          <w:sz w:val="24"/>
        </w:rPr>
      </w:pPr>
      <w:r w:rsidRPr="00FB3975">
        <w:rPr>
          <w:sz w:val="24"/>
        </w:rPr>
        <w:t>The one-time burden (for both the FERC-545 and FERC-549C) will take place in Year 1 and will be averaged over three years:</w:t>
      </w:r>
    </w:p>
    <w:p w:rsidRPr="00FB3975" w:rsidR="00F90719" w:rsidP="00F90719" w:rsidRDefault="00F90719" w14:paraId="19A0CAD1" w14:textId="77777777">
      <w:pPr>
        <w:pStyle w:val="FERCparanumber"/>
        <w:numPr>
          <w:ilvl w:val="0"/>
          <w:numId w:val="0"/>
        </w:numPr>
        <w:rPr>
          <w:sz w:val="24"/>
        </w:rPr>
      </w:pPr>
      <w:r w:rsidRPr="00FB3975">
        <w:rPr>
          <w:sz w:val="24"/>
        </w:rPr>
        <w:t>FERC-545: 1,780 hours ÷ 3 = 593 hours/year over three years</w:t>
      </w:r>
    </w:p>
    <w:p w:rsidRPr="00FB3975" w:rsidR="00F90719" w:rsidP="00F90719" w:rsidRDefault="00F90719" w14:paraId="489171BE" w14:textId="77777777">
      <w:pPr>
        <w:pStyle w:val="FERCparanumber"/>
        <w:numPr>
          <w:ilvl w:val="0"/>
          <w:numId w:val="0"/>
        </w:numPr>
        <w:rPr>
          <w:sz w:val="24"/>
        </w:rPr>
      </w:pPr>
      <w:r w:rsidRPr="00FB3975">
        <w:rPr>
          <w:sz w:val="24"/>
        </w:rPr>
        <w:t>FERC-549C: 17,800 hours ÷ 3 = 5,933 hours/year over three years</w:t>
      </w:r>
    </w:p>
    <w:p w:rsidRPr="00FB3975" w:rsidR="00F90719" w:rsidP="00F90719" w:rsidRDefault="00F90719" w14:paraId="0EC55A3F" w14:textId="77777777">
      <w:pPr>
        <w:pStyle w:val="FERCparanumber"/>
        <w:numPr>
          <w:ilvl w:val="0"/>
          <w:numId w:val="0"/>
        </w:numPr>
        <w:rPr>
          <w:sz w:val="24"/>
        </w:rPr>
      </w:pPr>
      <w:r w:rsidRPr="00FB3975">
        <w:rPr>
          <w:sz w:val="24"/>
        </w:rPr>
        <w:t>The number of responses is also averaged over three years (for both the FERC-545 and FERC-549C):</w:t>
      </w:r>
    </w:p>
    <w:p w:rsidRPr="00FB3975" w:rsidR="00F90719" w:rsidP="00F90719" w:rsidRDefault="00F90719" w14:paraId="4423DCA8" w14:textId="77777777">
      <w:pPr>
        <w:pStyle w:val="FERCparanumber"/>
        <w:numPr>
          <w:ilvl w:val="0"/>
          <w:numId w:val="0"/>
        </w:numPr>
        <w:rPr>
          <w:sz w:val="24"/>
        </w:rPr>
      </w:pPr>
      <w:r w:rsidRPr="00FB3975">
        <w:rPr>
          <w:sz w:val="24"/>
        </w:rPr>
        <w:t>FERC-545: 178 responses ÷ 3 = 59 responses/year</w:t>
      </w:r>
    </w:p>
    <w:p w:rsidRPr="00FB3975" w:rsidR="00F90719" w:rsidP="00F90719" w:rsidRDefault="00F90719" w14:paraId="2ED4F498" w14:textId="77777777">
      <w:pPr>
        <w:pStyle w:val="FERCparanumber"/>
        <w:numPr>
          <w:ilvl w:val="0"/>
          <w:numId w:val="0"/>
        </w:numPr>
        <w:rPr>
          <w:sz w:val="24"/>
        </w:rPr>
      </w:pPr>
      <w:r w:rsidRPr="00FB3975">
        <w:rPr>
          <w:sz w:val="24"/>
        </w:rPr>
        <w:t>FERC-549C: 178 responses ÷ 3 = 59 responses/year</w:t>
      </w:r>
    </w:p>
    <w:p w:rsidRPr="00FB3975" w:rsidR="00F90719" w:rsidP="00F90719" w:rsidRDefault="00F90719" w14:paraId="3AB843B6" w14:textId="77777777">
      <w:pPr>
        <w:pStyle w:val="FERCparanumber"/>
        <w:numPr>
          <w:ilvl w:val="0"/>
          <w:numId w:val="0"/>
        </w:numPr>
        <w:rPr>
          <w:sz w:val="24"/>
        </w:rPr>
      </w:pPr>
      <w:r w:rsidRPr="00FB3975">
        <w:rPr>
          <w:sz w:val="24"/>
        </w:rPr>
        <w:t>The responses and burden for Years 1-3 will total respectively as follows:</w:t>
      </w:r>
    </w:p>
    <w:p w:rsidRPr="00FB3975" w:rsidR="00F90719" w:rsidP="00F90719" w:rsidRDefault="00F90719" w14:paraId="4A0A6473" w14:textId="77777777">
      <w:pPr>
        <w:pStyle w:val="FERCparanumber"/>
        <w:numPr>
          <w:ilvl w:val="0"/>
          <w:numId w:val="0"/>
        </w:numPr>
        <w:rPr>
          <w:sz w:val="24"/>
        </w:rPr>
      </w:pPr>
      <w:r w:rsidRPr="00FB3975">
        <w:rPr>
          <w:sz w:val="24"/>
        </w:rPr>
        <w:t>Year 1: 59 responses; 593 hours (FERC-545); 5,933 hours (FERC-549C)</w:t>
      </w:r>
    </w:p>
    <w:p w:rsidRPr="00FB3975" w:rsidR="00F90719" w:rsidP="00F90719" w:rsidRDefault="00F90719" w14:paraId="0BBC669F" w14:textId="77777777">
      <w:pPr>
        <w:pStyle w:val="FERCparanumber"/>
        <w:numPr>
          <w:ilvl w:val="0"/>
          <w:numId w:val="0"/>
        </w:numPr>
        <w:rPr>
          <w:sz w:val="24"/>
        </w:rPr>
      </w:pPr>
      <w:r w:rsidRPr="00FB3975">
        <w:rPr>
          <w:sz w:val="24"/>
        </w:rPr>
        <w:t>Year 2: 59 responses; 593 hours (FERC-545); 5,933 hours (FERC-549C)</w:t>
      </w:r>
    </w:p>
    <w:p w:rsidRPr="00FB3975" w:rsidR="00F90719" w:rsidP="00F90719" w:rsidRDefault="00F90719" w14:paraId="55B9A93E" w14:textId="48303C7F">
      <w:pPr>
        <w:pStyle w:val="FERCparanumber"/>
        <w:numPr>
          <w:ilvl w:val="0"/>
          <w:numId w:val="0"/>
        </w:numPr>
        <w:rPr>
          <w:sz w:val="24"/>
        </w:rPr>
      </w:pPr>
      <w:r w:rsidRPr="00FB3975">
        <w:rPr>
          <w:sz w:val="24"/>
        </w:rPr>
        <w:t>Year 3: 59 responses; 593 hours (FERC-545); 5,933 hours (FERC-549C)</w:t>
      </w:r>
    </w:p>
    <w:p w:rsidRPr="00932257" w:rsidR="00F90719" w:rsidP="00F90719" w:rsidRDefault="00F90719" w14:paraId="7D8DABE0" w14:textId="77777777">
      <w:pPr>
        <w:pStyle w:val="FERCparanumber"/>
        <w:numPr>
          <w:ilvl w:val="0"/>
          <w:numId w:val="0"/>
        </w:numPr>
      </w:pPr>
    </w:p>
    <w:p w:rsidRPr="00F5428B" w:rsidR="00BC15BE" w:rsidP="00BC15BE" w:rsidRDefault="00BC15BE" w14:paraId="2D5A5365" w14:textId="77777777">
      <w:pPr>
        <w:pStyle w:val="Level1"/>
        <w:rPr>
          <w:b/>
        </w:rPr>
      </w:pPr>
      <w:r w:rsidRPr="00F5428B">
        <w:rPr>
          <w:b/>
        </w:rPr>
        <w:t>ESTIMATE OF THE TOTAL ANNUAL COST BURDEN TO RESPONDENTS</w:t>
      </w:r>
    </w:p>
    <w:p w:rsidR="008F65E6" w:rsidP="00BC15BE" w:rsidRDefault="008F65E6" w14:paraId="42F2561B" w14:textId="77777777">
      <w:pPr>
        <w:rPr>
          <w:sz w:val="24"/>
        </w:rPr>
      </w:pPr>
    </w:p>
    <w:p w:rsidRPr="00F5428B" w:rsidR="00BC15BE" w:rsidP="00BC15BE" w:rsidRDefault="00F8150C" w14:paraId="65DE3541" w14:textId="6E54B7C5">
      <w:pPr>
        <w:rPr>
          <w:sz w:val="24"/>
        </w:rPr>
      </w:pPr>
      <w:r w:rsidRPr="00F5428B">
        <w:rPr>
          <w:sz w:val="24"/>
        </w:rPr>
        <w:t xml:space="preserve">There are no capital or start-up costs for the requirements in the </w:t>
      </w:r>
      <w:r w:rsidR="00800B4C">
        <w:rPr>
          <w:sz w:val="24"/>
        </w:rPr>
        <w:t>Final Rule</w:t>
      </w:r>
      <w:r w:rsidRPr="00F5428B">
        <w:rPr>
          <w:sz w:val="24"/>
        </w:rPr>
        <w:t xml:space="preserve"> in RM96-1-0</w:t>
      </w:r>
      <w:r w:rsidR="00D36F12">
        <w:rPr>
          <w:sz w:val="24"/>
        </w:rPr>
        <w:t>4</w:t>
      </w:r>
      <w:r w:rsidR="00573C31">
        <w:rPr>
          <w:sz w:val="24"/>
        </w:rPr>
        <w:t>2</w:t>
      </w:r>
      <w:r w:rsidRPr="00F5428B">
        <w:rPr>
          <w:sz w:val="24"/>
        </w:rPr>
        <w:t xml:space="preserve"> that are not associated with the burden hours.  All of the costs are related to burden hours and are detailed in </w:t>
      </w:r>
      <w:r w:rsidR="00AC5B84">
        <w:rPr>
          <w:sz w:val="24"/>
        </w:rPr>
        <w:t>Questions</w:t>
      </w:r>
      <w:r w:rsidR="008611ED">
        <w:rPr>
          <w:sz w:val="24"/>
        </w:rPr>
        <w:t xml:space="preserve"> </w:t>
      </w:r>
      <w:r w:rsidR="00AC5B84">
        <w:rPr>
          <w:sz w:val="24"/>
        </w:rPr>
        <w:t>#</w:t>
      </w:r>
      <w:r w:rsidRPr="00F5428B">
        <w:rPr>
          <w:sz w:val="24"/>
        </w:rPr>
        <w:t xml:space="preserve">12 and </w:t>
      </w:r>
      <w:r w:rsidR="00AC5B84">
        <w:rPr>
          <w:sz w:val="24"/>
        </w:rPr>
        <w:t>#</w:t>
      </w:r>
      <w:r w:rsidRPr="00F5428B">
        <w:rPr>
          <w:sz w:val="24"/>
        </w:rPr>
        <w:t>15.</w:t>
      </w:r>
    </w:p>
    <w:p w:rsidRPr="00F5428B" w:rsidR="00F8150C" w:rsidP="00BC15BE" w:rsidRDefault="00F8150C" w14:paraId="18ADEA96" w14:textId="77777777">
      <w:pPr>
        <w:rPr>
          <w:sz w:val="24"/>
        </w:rPr>
      </w:pPr>
    </w:p>
    <w:p w:rsidRPr="00F5428B" w:rsidR="00BC15BE" w:rsidP="00BC15BE" w:rsidRDefault="00BC15BE" w14:paraId="630D4C84" w14:textId="77777777">
      <w:pPr>
        <w:pStyle w:val="Level1"/>
        <w:rPr>
          <w:b/>
        </w:rPr>
      </w:pPr>
      <w:r w:rsidRPr="00F5428B">
        <w:rPr>
          <w:b/>
        </w:rPr>
        <w:t>ESTIMATED ANNUALIZED COST TO FEDERAL GOVERNMENT</w:t>
      </w:r>
    </w:p>
    <w:p w:rsidRPr="00F5428B" w:rsidR="00BC15BE" w:rsidP="00BC15BE" w:rsidRDefault="00BC15BE" w14:paraId="103D3D7F" w14:textId="77777777">
      <w:pPr>
        <w:rPr>
          <w:sz w:val="24"/>
        </w:rPr>
      </w:pPr>
    </w:p>
    <w:p w:rsidRPr="00F5428B" w:rsidR="003D2136" w:rsidP="003D2136" w:rsidRDefault="003D2136" w14:paraId="186CE6F0" w14:textId="064CE4E1">
      <w:pPr>
        <w:rPr>
          <w:sz w:val="24"/>
          <w:vertAlign w:val="superscript"/>
        </w:rPr>
      </w:pPr>
      <w:r w:rsidRPr="00F5428B">
        <w:rPr>
          <w:sz w:val="24"/>
        </w:rPr>
        <w:t xml:space="preserve">The following federal costs relate only to the new requirements in the </w:t>
      </w:r>
      <w:r w:rsidR="00800B4C">
        <w:rPr>
          <w:sz w:val="24"/>
        </w:rPr>
        <w:t>Final Rule</w:t>
      </w:r>
      <w:r w:rsidRPr="00F5428B">
        <w:rPr>
          <w:sz w:val="24"/>
        </w:rPr>
        <w:t>.</w:t>
      </w:r>
      <w:r w:rsidRPr="00F5428B" w:rsidDel="00807E75">
        <w:rPr>
          <w:sz w:val="24"/>
          <w:vertAlign w:val="superscript"/>
        </w:rPr>
        <w:t xml:space="preserve"> </w:t>
      </w:r>
    </w:p>
    <w:p w:rsidRPr="00F5428B" w:rsidR="002C118D" w:rsidP="002C118D" w:rsidRDefault="002C118D" w14:paraId="24E448B3" w14:textId="77777777">
      <w:pPr>
        <w:rPr>
          <w:sz w:val="24"/>
        </w:rPr>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48"/>
        <w:gridCol w:w="3101"/>
        <w:gridCol w:w="3196"/>
      </w:tblGrid>
      <w:tr w:rsidRPr="00F5428B" w:rsidR="002C118D" w:rsidTr="00573C31" w14:paraId="76270073" w14:textId="77777777">
        <w:tc>
          <w:tcPr>
            <w:tcW w:w="3148" w:type="dxa"/>
            <w:shd w:val="clear" w:color="auto" w:fill="CCCCCC"/>
          </w:tcPr>
          <w:p w:rsidRPr="00F5428B" w:rsidR="002C118D" w:rsidP="008D4689" w:rsidRDefault="002C118D" w14:paraId="64C5C7C1" w14:textId="77777777">
            <w:pPr>
              <w:rPr>
                <w:sz w:val="24"/>
              </w:rPr>
            </w:pPr>
          </w:p>
        </w:tc>
        <w:tc>
          <w:tcPr>
            <w:tcW w:w="3101" w:type="dxa"/>
            <w:shd w:val="clear" w:color="auto" w:fill="CCCCCC"/>
            <w:vAlign w:val="bottom"/>
          </w:tcPr>
          <w:p w:rsidRPr="00F5428B" w:rsidR="002C118D" w:rsidP="008D4689" w:rsidRDefault="002C118D" w14:paraId="128D10F5" w14:textId="77777777">
            <w:pPr>
              <w:jc w:val="center"/>
              <w:rPr>
                <w:b/>
                <w:sz w:val="24"/>
              </w:rPr>
            </w:pPr>
            <w:r w:rsidRPr="00F5428B">
              <w:rPr>
                <w:b/>
                <w:sz w:val="24"/>
              </w:rPr>
              <w:t>Number of Hours or FTE’s</w:t>
            </w:r>
          </w:p>
        </w:tc>
        <w:tc>
          <w:tcPr>
            <w:tcW w:w="3196" w:type="dxa"/>
            <w:shd w:val="clear" w:color="auto" w:fill="CCCCCC"/>
            <w:vAlign w:val="bottom"/>
          </w:tcPr>
          <w:p w:rsidRPr="00F5428B" w:rsidR="002C118D" w:rsidP="008D4689" w:rsidRDefault="002C118D" w14:paraId="48D03250" w14:textId="77777777">
            <w:pPr>
              <w:jc w:val="center"/>
              <w:rPr>
                <w:b/>
                <w:sz w:val="24"/>
              </w:rPr>
            </w:pPr>
            <w:r w:rsidRPr="00F5428B">
              <w:rPr>
                <w:b/>
                <w:sz w:val="24"/>
              </w:rPr>
              <w:t>Estimated Annual Federal Cost ($)</w:t>
            </w:r>
            <w:r w:rsidRPr="00F5428B">
              <w:rPr>
                <w:sz w:val="24"/>
                <w:vertAlign w:val="superscript"/>
              </w:rPr>
              <w:footnoteReference w:id="36"/>
            </w:r>
            <w:r w:rsidRPr="00F5428B">
              <w:rPr>
                <w:b/>
                <w:sz w:val="24"/>
              </w:rPr>
              <w:t xml:space="preserve"> </w:t>
            </w:r>
          </w:p>
        </w:tc>
      </w:tr>
      <w:tr w:rsidRPr="00E37BB0" w:rsidR="002C118D" w:rsidTr="00573C31" w14:paraId="5823F039" w14:textId="77777777">
        <w:tc>
          <w:tcPr>
            <w:tcW w:w="3148" w:type="dxa"/>
          </w:tcPr>
          <w:p w:rsidRPr="00F5428B" w:rsidR="002C118D" w:rsidP="008D4689" w:rsidRDefault="002C118D" w14:paraId="5149305D" w14:textId="659DC968">
            <w:pPr>
              <w:rPr>
                <w:sz w:val="24"/>
              </w:rPr>
            </w:pPr>
            <w:r w:rsidRPr="00F5428B">
              <w:rPr>
                <w:sz w:val="24"/>
              </w:rPr>
              <w:t>PRA</w:t>
            </w:r>
            <w:r w:rsidRPr="00F5428B">
              <w:rPr>
                <w:rStyle w:val="FootnoteReference"/>
                <w:sz w:val="24"/>
                <w:szCs w:val="24"/>
              </w:rPr>
              <w:footnoteReference w:id="37"/>
            </w:r>
            <w:r w:rsidRPr="00F5428B">
              <w:rPr>
                <w:sz w:val="24"/>
              </w:rPr>
              <w:t xml:space="preserve"> Administration Cost</w:t>
            </w:r>
            <w:r w:rsidRPr="00F5428B">
              <w:rPr>
                <w:sz w:val="24"/>
                <w:vertAlign w:val="superscript"/>
              </w:rPr>
              <w:footnoteReference w:id="38"/>
            </w:r>
          </w:p>
        </w:tc>
        <w:tc>
          <w:tcPr>
            <w:tcW w:w="3101" w:type="dxa"/>
            <w:shd w:val="clear" w:color="auto" w:fill="FFFFFF"/>
            <w:vAlign w:val="bottom"/>
          </w:tcPr>
          <w:p w:rsidRPr="00F5428B" w:rsidR="002C118D" w:rsidP="008D4689" w:rsidRDefault="002C118D" w14:paraId="7FD151E6" w14:textId="77777777">
            <w:pPr>
              <w:jc w:val="right"/>
              <w:rPr>
                <w:sz w:val="24"/>
              </w:rPr>
            </w:pPr>
            <w:r w:rsidRPr="00F5428B">
              <w:rPr>
                <w:sz w:val="24"/>
              </w:rPr>
              <w:t>-</w:t>
            </w:r>
          </w:p>
        </w:tc>
        <w:tc>
          <w:tcPr>
            <w:tcW w:w="3196" w:type="dxa"/>
            <w:vAlign w:val="bottom"/>
          </w:tcPr>
          <w:p w:rsidRPr="00E37BB0" w:rsidR="002C118D" w:rsidP="008D4689" w:rsidRDefault="00565AA0" w14:paraId="1C3FD6E6" w14:textId="560DBAA1">
            <w:pPr>
              <w:jc w:val="right"/>
              <w:rPr>
                <w:sz w:val="24"/>
              </w:rPr>
            </w:pPr>
            <w:r w:rsidRPr="00E37BB0">
              <w:rPr>
                <w:sz w:val="24"/>
              </w:rPr>
              <w:t>$</w:t>
            </w:r>
            <w:r w:rsidR="00573C31">
              <w:rPr>
                <w:sz w:val="24"/>
              </w:rPr>
              <w:t>6,</w:t>
            </w:r>
            <w:r w:rsidR="00714BD9">
              <w:rPr>
                <w:sz w:val="24"/>
              </w:rPr>
              <w:t>475</w:t>
            </w:r>
            <w:r w:rsidRPr="00E37BB0" w:rsidR="00A277D4">
              <w:rPr>
                <w:rStyle w:val="FootnoteReference"/>
                <w:b w:val="0"/>
              </w:rPr>
              <w:footnoteReference w:id="39"/>
            </w:r>
          </w:p>
        </w:tc>
      </w:tr>
      <w:tr w:rsidRPr="00F5428B" w:rsidR="002C118D" w:rsidTr="00573C31" w14:paraId="69BB6999" w14:textId="77777777">
        <w:tc>
          <w:tcPr>
            <w:tcW w:w="3148" w:type="dxa"/>
            <w:vAlign w:val="bottom"/>
          </w:tcPr>
          <w:p w:rsidRPr="00F5428B" w:rsidR="002C118D" w:rsidP="008D4689" w:rsidRDefault="002C118D" w14:paraId="75C39D29" w14:textId="77777777">
            <w:pPr>
              <w:ind w:left="720"/>
              <w:jc w:val="right"/>
              <w:rPr>
                <w:i/>
                <w:sz w:val="24"/>
              </w:rPr>
            </w:pPr>
            <w:r w:rsidRPr="00F5428B">
              <w:rPr>
                <w:sz w:val="24"/>
              </w:rPr>
              <w:t>Data Processing and Analysis, Sub-Total</w:t>
            </w:r>
            <w:r w:rsidRPr="00E37BB0">
              <w:rPr>
                <w:rStyle w:val="FootnoteReference"/>
                <w:b w:val="0"/>
                <w:sz w:val="24"/>
                <w:szCs w:val="24"/>
              </w:rPr>
              <w:footnoteReference w:id="40"/>
            </w:r>
          </w:p>
        </w:tc>
        <w:tc>
          <w:tcPr>
            <w:tcW w:w="3101" w:type="dxa"/>
            <w:shd w:val="clear" w:color="auto" w:fill="FFFFFF" w:themeFill="background1"/>
            <w:vAlign w:val="bottom"/>
          </w:tcPr>
          <w:p w:rsidRPr="00F5428B" w:rsidR="002C118D" w:rsidP="008D4689" w:rsidRDefault="002C118D" w14:paraId="6C7121A8" w14:textId="77777777">
            <w:pPr>
              <w:jc w:val="right"/>
              <w:rPr>
                <w:sz w:val="24"/>
              </w:rPr>
            </w:pPr>
            <w:r w:rsidRPr="00F5428B">
              <w:rPr>
                <w:sz w:val="24"/>
              </w:rPr>
              <w:t>1</w:t>
            </w:r>
            <w:r w:rsidRPr="00E37BB0">
              <w:rPr>
                <w:rStyle w:val="FootnoteReference"/>
                <w:b w:val="0"/>
                <w:sz w:val="24"/>
                <w:szCs w:val="24"/>
              </w:rPr>
              <w:footnoteReference w:id="41"/>
            </w:r>
          </w:p>
        </w:tc>
        <w:tc>
          <w:tcPr>
            <w:tcW w:w="3196" w:type="dxa"/>
            <w:vAlign w:val="bottom"/>
          </w:tcPr>
          <w:p w:rsidRPr="00F5428B" w:rsidR="002C118D" w:rsidDel="00423194" w:rsidP="008D4689" w:rsidRDefault="005409EE" w14:paraId="4B251C4C" w14:textId="7EF51884">
            <w:pPr>
              <w:jc w:val="right"/>
              <w:rPr>
                <w:sz w:val="24"/>
              </w:rPr>
            </w:pPr>
            <w:r>
              <w:rPr>
                <w:sz w:val="24"/>
              </w:rPr>
              <w:t>$1</w:t>
            </w:r>
            <w:r w:rsidR="00573C31">
              <w:rPr>
                <w:sz w:val="24"/>
              </w:rPr>
              <w:t>72,329</w:t>
            </w:r>
          </w:p>
        </w:tc>
      </w:tr>
      <w:tr w:rsidRPr="00F5428B" w:rsidR="002C118D" w:rsidTr="00573C31" w14:paraId="16E4597A" w14:textId="77777777">
        <w:tc>
          <w:tcPr>
            <w:tcW w:w="3148" w:type="dxa"/>
            <w:vAlign w:val="bottom"/>
          </w:tcPr>
          <w:p w:rsidRPr="00F5428B" w:rsidR="002C118D" w:rsidP="008D4689" w:rsidRDefault="002C118D" w14:paraId="55CEF231" w14:textId="77777777">
            <w:pPr>
              <w:ind w:left="720"/>
              <w:jc w:val="right"/>
              <w:rPr>
                <w:i/>
                <w:sz w:val="24"/>
              </w:rPr>
            </w:pPr>
            <w:r w:rsidRPr="00F5428B">
              <w:rPr>
                <w:i/>
                <w:sz w:val="24"/>
              </w:rPr>
              <w:t>FERC-545</w:t>
            </w:r>
          </w:p>
        </w:tc>
        <w:tc>
          <w:tcPr>
            <w:tcW w:w="3101" w:type="dxa"/>
            <w:shd w:val="clear" w:color="auto" w:fill="FFFFFF" w:themeFill="background1"/>
            <w:vAlign w:val="bottom"/>
          </w:tcPr>
          <w:p w:rsidRPr="00F5428B" w:rsidR="002C118D" w:rsidP="008D4689" w:rsidRDefault="002C118D" w14:paraId="7F2E12F2" w14:textId="77777777">
            <w:pPr>
              <w:jc w:val="right"/>
              <w:rPr>
                <w:i/>
                <w:sz w:val="24"/>
              </w:rPr>
            </w:pPr>
            <w:r w:rsidRPr="00F5428B">
              <w:rPr>
                <w:sz w:val="24"/>
              </w:rPr>
              <w:t>0.</w:t>
            </w:r>
            <w:r w:rsidR="00D36F12">
              <w:rPr>
                <w:sz w:val="24"/>
              </w:rPr>
              <w:t>7</w:t>
            </w:r>
            <w:r w:rsidRPr="00F5428B">
              <w:rPr>
                <w:sz w:val="24"/>
              </w:rPr>
              <w:t>5</w:t>
            </w:r>
          </w:p>
        </w:tc>
        <w:tc>
          <w:tcPr>
            <w:tcW w:w="3196" w:type="dxa"/>
            <w:vAlign w:val="bottom"/>
          </w:tcPr>
          <w:p w:rsidRPr="00F5428B" w:rsidR="002C118D" w:rsidP="008D4689" w:rsidRDefault="005409EE" w14:paraId="2599C341" w14:textId="7602349C">
            <w:pPr>
              <w:jc w:val="right"/>
              <w:rPr>
                <w:i/>
                <w:sz w:val="24"/>
              </w:rPr>
            </w:pPr>
            <w:r>
              <w:rPr>
                <w:sz w:val="24"/>
              </w:rPr>
              <w:t>$</w:t>
            </w:r>
            <w:r w:rsidR="00D36F12">
              <w:rPr>
                <w:sz w:val="24"/>
              </w:rPr>
              <w:t>12</w:t>
            </w:r>
            <w:r w:rsidR="00573C31">
              <w:rPr>
                <w:sz w:val="24"/>
              </w:rPr>
              <w:t>9,247</w:t>
            </w:r>
          </w:p>
        </w:tc>
      </w:tr>
      <w:tr w:rsidRPr="00F5428B" w:rsidR="002C118D" w:rsidTr="00573C31" w14:paraId="61D79815" w14:textId="77777777">
        <w:tc>
          <w:tcPr>
            <w:tcW w:w="3148" w:type="dxa"/>
            <w:vAlign w:val="bottom"/>
          </w:tcPr>
          <w:p w:rsidRPr="00F5428B" w:rsidR="002C118D" w:rsidP="008D4689" w:rsidRDefault="002C118D" w14:paraId="51494E06" w14:textId="77777777">
            <w:pPr>
              <w:ind w:left="720"/>
              <w:jc w:val="right"/>
              <w:rPr>
                <w:i/>
                <w:sz w:val="24"/>
              </w:rPr>
            </w:pPr>
            <w:r w:rsidRPr="00F5428B">
              <w:rPr>
                <w:i/>
                <w:sz w:val="24"/>
              </w:rPr>
              <w:t>FERC-549C</w:t>
            </w:r>
          </w:p>
        </w:tc>
        <w:tc>
          <w:tcPr>
            <w:tcW w:w="3101" w:type="dxa"/>
            <w:shd w:val="clear" w:color="auto" w:fill="FFFFFF" w:themeFill="background1"/>
            <w:vAlign w:val="bottom"/>
          </w:tcPr>
          <w:p w:rsidRPr="00F5428B" w:rsidR="002C118D" w:rsidP="008D4689" w:rsidRDefault="002C118D" w14:paraId="04431892" w14:textId="77777777">
            <w:pPr>
              <w:jc w:val="right"/>
              <w:rPr>
                <w:i/>
                <w:sz w:val="24"/>
              </w:rPr>
            </w:pPr>
            <w:r w:rsidRPr="00F5428B">
              <w:rPr>
                <w:sz w:val="24"/>
              </w:rPr>
              <w:t>0.</w:t>
            </w:r>
            <w:r w:rsidR="00D36F12">
              <w:rPr>
                <w:sz w:val="24"/>
              </w:rPr>
              <w:t>2</w:t>
            </w:r>
            <w:r w:rsidRPr="00F5428B">
              <w:rPr>
                <w:sz w:val="24"/>
              </w:rPr>
              <w:t>5</w:t>
            </w:r>
          </w:p>
        </w:tc>
        <w:tc>
          <w:tcPr>
            <w:tcW w:w="3196" w:type="dxa"/>
            <w:vAlign w:val="bottom"/>
          </w:tcPr>
          <w:p w:rsidRPr="00F5428B" w:rsidR="002C118D" w:rsidP="008D4689" w:rsidRDefault="005409EE" w14:paraId="1D124B18" w14:textId="14DA7631">
            <w:pPr>
              <w:jc w:val="right"/>
              <w:rPr>
                <w:i/>
                <w:sz w:val="24"/>
              </w:rPr>
            </w:pPr>
            <w:r>
              <w:rPr>
                <w:sz w:val="24"/>
              </w:rPr>
              <w:t>$</w:t>
            </w:r>
            <w:r w:rsidR="00D36F12">
              <w:rPr>
                <w:sz w:val="24"/>
              </w:rPr>
              <w:t>4</w:t>
            </w:r>
            <w:r w:rsidR="00573C31">
              <w:rPr>
                <w:sz w:val="24"/>
              </w:rPr>
              <w:t>3,082</w:t>
            </w:r>
          </w:p>
        </w:tc>
      </w:tr>
      <w:tr w:rsidRPr="00F5428B" w:rsidR="002C118D" w:rsidTr="00573C31" w14:paraId="5D9EC3FC" w14:textId="77777777">
        <w:tc>
          <w:tcPr>
            <w:tcW w:w="3148" w:type="dxa"/>
          </w:tcPr>
          <w:p w:rsidRPr="00F5428B" w:rsidR="002C118D" w:rsidP="008D4689" w:rsidRDefault="002C118D" w14:paraId="26F23898" w14:textId="77777777">
            <w:pPr>
              <w:rPr>
                <w:b/>
                <w:sz w:val="24"/>
              </w:rPr>
            </w:pPr>
            <w:r w:rsidRPr="00F5428B">
              <w:rPr>
                <w:b/>
                <w:sz w:val="24"/>
              </w:rPr>
              <w:t>FERC Total</w:t>
            </w:r>
          </w:p>
        </w:tc>
        <w:tc>
          <w:tcPr>
            <w:tcW w:w="3101" w:type="dxa"/>
            <w:vAlign w:val="bottom"/>
          </w:tcPr>
          <w:p w:rsidRPr="00F5428B" w:rsidR="002C118D" w:rsidP="008D4689" w:rsidRDefault="002C118D" w14:paraId="3571E654" w14:textId="77777777">
            <w:pPr>
              <w:jc w:val="right"/>
              <w:rPr>
                <w:sz w:val="24"/>
              </w:rPr>
            </w:pPr>
            <w:r w:rsidRPr="00F5428B">
              <w:rPr>
                <w:sz w:val="24"/>
              </w:rPr>
              <w:t>1</w:t>
            </w:r>
          </w:p>
        </w:tc>
        <w:tc>
          <w:tcPr>
            <w:tcW w:w="3196" w:type="dxa"/>
            <w:vAlign w:val="bottom"/>
          </w:tcPr>
          <w:p w:rsidRPr="00F5428B" w:rsidR="002C118D" w:rsidP="008D4689" w:rsidRDefault="00A277D4" w14:paraId="6D9DE673" w14:textId="1A98860A">
            <w:pPr>
              <w:jc w:val="right"/>
              <w:rPr>
                <w:sz w:val="24"/>
              </w:rPr>
            </w:pPr>
            <w:r>
              <w:rPr>
                <w:sz w:val="24"/>
              </w:rPr>
              <w:t>$1</w:t>
            </w:r>
            <w:r w:rsidR="00261F73">
              <w:rPr>
                <w:sz w:val="24"/>
              </w:rPr>
              <w:t>7</w:t>
            </w:r>
            <w:r w:rsidR="000652A8">
              <w:rPr>
                <w:sz w:val="24"/>
              </w:rPr>
              <w:t>8,804</w:t>
            </w:r>
          </w:p>
        </w:tc>
      </w:tr>
    </w:tbl>
    <w:p w:rsidRPr="00F5428B" w:rsidR="00BC15BE" w:rsidP="00BC15BE" w:rsidRDefault="00BC15BE" w14:paraId="2ED17E47" w14:textId="77777777">
      <w:pPr>
        <w:rPr>
          <w:sz w:val="24"/>
        </w:rPr>
      </w:pPr>
    </w:p>
    <w:p w:rsidR="00AC5B84" w:rsidP="00AC5B84" w:rsidRDefault="00BC15BE" w14:paraId="116A3679" w14:textId="229E72D9">
      <w:pPr>
        <w:pStyle w:val="Level1"/>
        <w:rPr>
          <w:b/>
        </w:rPr>
      </w:pPr>
      <w:r w:rsidRPr="00F5428B">
        <w:rPr>
          <w:b/>
        </w:rPr>
        <w:t>REASONS FOR CHANGES IN BURDEN INCLUDING THE NEED FOR ANY INCREASE</w:t>
      </w:r>
    </w:p>
    <w:p w:rsidRPr="00573C31" w:rsidR="00573C31" w:rsidP="00573C31" w:rsidRDefault="00573C31" w14:paraId="33A8BD82" w14:textId="77777777">
      <w:pPr>
        <w:pStyle w:val="Level1"/>
        <w:numPr>
          <w:ilvl w:val="0"/>
          <w:numId w:val="0"/>
        </w:numPr>
        <w:rPr>
          <w:b/>
        </w:rPr>
      </w:pPr>
    </w:p>
    <w:p w:rsidRPr="00FB3975" w:rsidR="00AC5B84" w:rsidP="00FA0BA0" w:rsidRDefault="002C118D" w14:paraId="5D6F67BD" w14:textId="07AF35ED">
      <w:pPr>
        <w:rPr>
          <w:sz w:val="24"/>
        </w:rPr>
      </w:pPr>
      <w:r w:rsidRPr="00F5428B">
        <w:rPr>
          <w:sz w:val="24"/>
        </w:rPr>
        <w:t>The</w:t>
      </w:r>
      <w:r w:rsidRPr="00F5428B">
        <w:rPr>
          <w:b/>
          <w:sz w:val="24"/>
        </w:rPr>
        <w:t xml:space="preserve"> </w:t>
      </w:r>
      <w:r w:rsidR="00800B4C">
        <w:rPr>
          <w:sz w:val="24"/>
        </w:rPr>
        <w:t>Final Rule</w:t>
      </w:r>
      <w:r w:rsidR="00602497">
        <w:rPr>
          <w:sz w:val="24"/>
        </w:rPr>
        <w:t xml:space="preserve"> </w:t>
      </w:r>
      <w:r w:rsidR="005228C3">
        <w:rPr>
          <w:sz w:val="24"/>
        </w:rPr>
        <w:t>in RM96-1-04</w:t>
      </w:r>
      <w:r w:rsidR="00602497">
        <w:rPr>
          <w:sz w:val="24"/>
        </w:rPr>
        <w:t>2</w:t>
      </w:r>
      <w:r w:rsidRPr="00F5428B">
        <w:rPr>
          <w:sz w:val="24"/>
        </w:rPr>
        <w:t xml:space="preserve"> </w:t>
      </w:r>
      <w:r w:rsidRPr="00F52DA0" w:rsidR="002D1A59">
        <w:rPr>
          <w:sz w:val="24"/>
        </w:rPr>
        <w:t>amends the Commission’s regulations at 18 CFR 284.12</w:t>
      </w:r>
      <w:r w:rsidR="002D1A59">
        <w:rPr>
          <w:sz w:val="24"/>
        </w:rPr>
        <w:t>(a)</w:t>
      </w:r>
      <w:r w:rsidRPr="00F52DA0" w:rsidR="002D1A59">
        <w:rPr>
          <w:sz w:val="24"/>
        </w:rPr>
        <w:t xml:space="preserve"> to incorporate by reference the latest version (Version 3.</w:t>
      </w:r>
      <w:r w:rsidR="00602497">
        <w:rPr>
          <w:sz w:val="24"/>
        </w:rPr>
        <w:t>2</w:t>
      </w:r>
      <w:r w:rsidRPr="00F52DA0" w:rsidR="002D1A59">
        <w:rPr>
          <w:sz w:val="24"/>
        </w:rPr>
        <w:t>) of seven business practice standards applicable to interstate natural gas pipelines adopted by NAESB’s WGQ.</w:t>
      </w:r>
      <w:r w:rsidR="00FA0BA0">
        <w:rPr>
          <w:sz w:val="24"/>
        </w:rPr>
        <w:t xml:space="preserve">  </w:t>
      </w:r>
      <w:r w:rsidRPr="00FA0BA0" w:rsidR="00FA0BA0">
        <w:rPr>
          <w:sz w:val="24"/>
        </w:rPr>
        <w:t>Th</w:t>
      </w:r>
      <w:r w:rsidR="00FA0BA0">
        <w:rPr>
          <w:sz w:val="24"/>
        </w:rPr>
        <w:t>e</w:t>
      </w:r>
      <w:r w:rsidRPr="00FA0BA0" w:rsidR="00FA0BA0">
        <w:rPr>
          <w:sz w:val="24"/>
        </w:rPr>
        <w:t xml:space="preserve"> Final Rule requires interstate</w:t>
      </w:r>
      <w:r w:rsidR="00FA0BA0">
        <w:rPr>
          <w:sz w:val="24"/>
        </w:rPr>
        <w:t xml:space="preserve"> </w:t>
      </w:r>
      <w:r w:rsidRPr="00FA0BA0" w:rsidR="00FA0BA0">
        <w:rPr>
          <w:sz w:val="24"/>
        </w:rPr>
        <w:t>natural gas pipelines to file compliance filings with the Commission by November 12,</w:t>
      </w:r>
      <w:r w:rsidR="00FA0BA0">
        <w:rPr>
          <w:sz w:val="24"/>
        </w:rPr>
        <w:t xml:space="preserve"> </w:t>
      </w:r>
      <w:r w:rsidRPr="00FA0BA0" w:rsidR="00FA0BA0">
        <w:rPr>
          <w:sz w:val="24"/>
        </w:rPr>
        <w:t>2021 and to comply with the standards incorporated by reference in this rule on and after</w:t>
      </w:r>
      <w:r w:rsidR="00FA0BA0">
        <w:rPr>
          <w:sz w:val="24"/>
        </w:rPr>
        <w:t xml:space="preserve"> </w:t>
      </w:r>
      <w:r w:rsidRPr="00FA0BA0" w:rsidR="00FA0BA0">
        <w:rPr>
          <w:sz w:val="24"/>
        </w:rPr>
        <w:t>June 1, 2022.</w:t>
      </w:r>
      <w:r w:rsidRPr="00F52DA0" w:rsidR="002D1A59">
        <w:rPr>
          <w:sz w:val="24"/>
        </w:rPr>
        <w:t xml:space="preserve">  </w:t>
      </w:r>
      <w:r w:rsidR="002D1A59">
        <w:rPr>
          <w:sz w:val="24"/>
        </w:rPr>
        <w:t xml:space="preserve">By incorporating these standards by reference into the Commission’s regulations the Commission has made compliance mandatory and enforceable.  Non-compliance, absent a specific waiver, violates the Commission’s regulations as well as the terms of each pipeline’s tariff.  </w:t>
      </w:r>
    </w:p>
    <w:p w:rsidR="00D43303" w:rsidP="00AC5B84" w:rsidRDefault="00D43303" w14:paraId="60D78174" w14:textId="77777777">
      <w:pPr>
        <w:rPr>
          <w:rFonts w:eastAsia="Calibri"/>
          <w:sz w:val="24"/>
        </w:rPr>
      </w:pPr>
    </w:p>
    <w:p w:rsidR="00095B57" w:rsidP="00565AA0" w:rsidRDefault="002D1A59" w14:paraId="58B21BC2" w14:textId="70757E82">
      <w:pPr>
        <w:rPr>
          <w:rFonts w:eastAsia="Calibri"/>
          <w:sz w:val="24"/>
        </w:rPr>
      </w:pPr>
      <w:r w:rsidRPr="00F52DA0">
        <w:rPr>
          <w:rFonts w:eastAsia="Calibri"/>
          <w:sz w:val="24"/>
        </w:rPr>
        <w:t>Lastly, NAESB added a self-identification provision that assists end users in determining whether counterparties are commercial market participants as defined by the United States Commodity Futures Trading Commission.</w:t>
      </w:r>
    </w:p>
    <w:p w:rsidR="00D43303" w:rsidP="002C118D" w:rsidRDefault="00D43303" w14:paraId="6EDA4538" w14:textId="77777777">
      <w:pPr>
        <w:rPr>
          <w:b/>
          <w:bCs/>
          <w:sz w:val="24"/>
        </w:rPr>
      </w:pPr>
    </w:p>
    <w:p w:rsidRPr="00F5428B" w:rsidR="002C118D" w:rsidP="002C118D" w:rsidRDefault="002C118D" w14:paraId="7932BC89" w14:textId="2C1CF8AC">
      <w:pPr>
        <w:rPr>
          <w:b/>
          <w:sz w:val="24"/>
        </w:rPr>
      </w:pPr>
      <w:r w:rsidRPr="00F5428B">
        <w:rPr>
          <w:b/>
          <w:bCs/>
          <w:sz w:val="24"/>
        </w:rPr>
        <w:t>Summary table</w:t>
      </w:r>
      <w:r w:rsidRPr="00F5428B">
        <w:rPr>
          <w:bCs/>
          <w:sz w:val="24"/>
        </w:rPr>
        <w:t xml:space="preserve"> of changes to burden hours, with current approved inventory, as listed in ROCIS and reginfo.gov follow.  (The additional burden</w:t>
      </w:r>
      <w:r w:rsidR="00B572D2">
        <w:rPr>
          <w:bCs/>
          <w:sz w:val="24"/>
        </w:rPr>
        <w:t xml:space="preserve"> is being implemented </w:t>
      </w:r>
      <w:r w:rsidRPr="00F5428B">
        <w:rPr>
          <w:bCs/>
          <w:sz w:val="24"/>
        </w:rPr>
        <w:t xml:space="preserve">due to the </w:t>
      </w:r>
      <w:r w:rsidR="00800B4C">
        <w:rPr>
          <w:bCs/>
          <w:sz w:val="24"/>
        </w:rPr>
        <w:t xml:space="preserve">Final Rule </w:t>
      </w:r>
      <w:r w:rsidR="00565AA0">
        <w:rPr>
          <w:bCs/>
          <w:sz w:val="24"/>
        </w:rPr>
        <w:t>in RM96-1-04</w:t>
      </w:r>
      <w:r w:rsidR="00B572D2">
        <w:rPr>
          <w:bCs/>
          <w:sz w:val="24"/>
        </w:rPr>
        <w:t>2</w:t>
      </w:r>
      <w:r w:rsidRPr="00F5428B">
        <w:rPr>
          <w:bCs/>
          <w:sz w:val="24"/>
        </w:rPr>
        <w:t xml:space="preserve"> </w:t>
      </w:r>
      <w:r w:rsidR="00D94EDA">
        <w:rPr>
          <w:bCs/>
          <w:sz w:val="24"/>
        </w:rPr>
        <w:t xml:space="preserve">and </w:t>
      </w:r>
      <w:r w:rsidRPr="00F5428B">
        <w:rPr>
          <w:bCs/>
          <w:sz w:val="24"/>
        </w:rPr>
        <w:t>is being averaged over Years 1-3, as discussed in #12 above.)</w:t>
      </w:r>
    </w:p>
    <w:p w:rsidRPr="00F5428B" w:rsidR="002C118D" w:rsidP="002C118D" w:rsidRDefault="002C118D" w14:paraId="2A77D060" w14:textId="77777777">
      <w:pPr>
        <w:rPr>
          <w:sz w:val="24"/>
        </w:rPr>
      </w:pPr>
    </w:p>
    <w:tbl>
      <w:tblPr>
        <w:tblW w:w="951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957"/>
      </w:tblGrid>
      <w:tr w:rsidRPr="00F5428B" w:rsidR="002C118D" w:rsidTr="003F1AE2" w14:paraId="5CE990D0" w14:textId="77777777">
        <w:trPr>
          <w:trHeight w:val="870"/>
        </w:trPr>
        <w:tc>
          <w:tcPr>
            <w:tcW w:w="2679" w:type="dxa"/>
            <w:tcBorders>
              <w:bottom w:val="single" w:color="auto" w:sz="4" w:space="0"/>
            </w:tcBorders>
            <w:shd w:val="clear" w:color="auto" w:fill="D9D9D9"/>
            <w:vAlign w:val="bottom"/>
          </w:tcPr>
          <w:p w:rsidRPr="00F5428B" w:rsidR="002C118D" w:rsidP="008D4689" w:rsidRDefault="002C118D" w14:paraId="5181CF69" w14:textId="77777777">
            <w:pPr>
              <w:jc w:val="center"/>
              <w:rPr>
                <w:rFonts w:eastAsia="Calibri"/>
                <w:b/>
                <w:sz w:val="24"/>
              </w:rPr>
            </w:pPr>
          </w:p>
        </w:tc>
        <w:tc>
          <w:tcPr>
            <w:tcW w:w="1461" w:type="dxa"/>
            <w:tcBorders>
              <w:bottom w:val="single" w:color="auto" w:sz="4" w:space="0"/>
            </w:tcBorders>
            <w:shd w:val="clear" w:color="auto" w:fill="D9D9D9"/>
            <w:vAlign w:val="bottom"/>
          </w:tcPr>
          <w:p w:rsidRPr="00F5428B" w:rsidR="002C118D" w:rsidP="008D4689" w:rsidRDefault="002C118D" w14:paraId="7BFED57E" w14:textId="77777777">
            <w:pPr>
              <w:jc w:val="center"/>
              <w:rPr>
                <w:rFonts w:eastAsia="Calibri"/>
                <w:b/>
                <w:sz w:val="24"/>
              </w:rPr>
            </w:pPr>
            <w:r w:rsidRPr="00F5428B">
              <w:rPr>
                <w:rFonts w:eastAsia="Calibri"/>
                <w:b/>
                <w:sz w:val="24"/>
              </w:rPr>
              <w:t>Total Request</w:t>
            </w:r>
          </w:p>
        </w:tc>
        <w:tc>
          <w:tcPr>
            <w:tcW w:w="1620" w:type="dxa"/>
            <w:tcBorders>
              <w:bottom w:val="single" w:color="auto" w:sz="4" w:space="0"/>
            </w:tcBorders>
            <w:shd w:val="clear" w:color="auto" w:fill="D9D9D9"/>
            <w:vAlign w:val="bottom"/>
          </w:tcPr>
          <w:p w:rsidRPr="00F5428B" w:rsidR="002C118D" w:rsidP="008D4689" w:rsidRDefault="002C118D" w14:paraId="7A51479E" w14:textId="77777777">
            <w:pPr>
              <w:jc w:val="center"/>
              <w:rPr>
                <w:rFonts w:eastAsia="Calibri"/>
                <w:b/>
                <w:sz w:val="24"/>
              </w:rPr>
            </w:pPr>
            <w:r w:rsidRPr="00F5428B">
              <w:rPr>
                <w:rFonts w:eastAsia="Calibri"/>
                <w:b/>
                <w:sz w:val="24"/>
              </w:rPr>
              <w:t>Previously Approved</w:t>
            </w:r>
          </w:p>
        </w:tc>
        <w:tc>
          <w:tcPr>
            <w:tcW w:w="1800" w:type="dxa"/>
            <w:tcBorders>
              <w:bottom w:val="single" w:color="auto" w:sz="4" w:space="0"/>
            </w:tcBorders>
            <w:shd w:val="clear" w:color="auto" w:fill="D9D9D9"/>
            <w:vAlign w:val="bottom"/>
          </w:tcPr>
          <w:p w:rsidRPr="00F5428B" w:rsidR="002C118D" w:rsidP="008D4689" w:rsidRDefault="002C118D" w14:paraId="1B357A8D" w14:textId="77777777">
            <w:pPr>
              <w:jc w:val="center"/>
              <w:rPr>
                <w:rFonts w:eastAsia="Calibri"/>
                <w:b/>
                <w:sz w:val="24"/>
              </w:rPr>
            </w:pPr>
            <w:r w:rsidRPr="00F5428B">
              <w:rPr>
                <w:rFonts w:eastAsia="Calibri"/>
                <w:b/>
                <w:sz w:val="24"/>
              </w:rPr>
              <w:t>Change due to Adjustment in Estimate</w:t>
            </w:r>
          </w:p>
        </w:tc>
        <w:tc>
          <w:tcPr>
            <w:tcW w:w="1957" w:type="dxa"/>
            <w:tcBorders>
              <w:bottom w:val="single" w:color="auto" w:sz="4" w:space="0"/>
            </w:tcBorders>
            <w:shd w:val="clear" w:color="auto" w:fill="D9D9D9"/>
            <w:vAlign w:val="bottom"/>
          </w:tcPr>
          <w:p w:rsidRPr="00F5428B" w:rsidR="002C118D" w:rsidP="008D4689" w:rsidRDefault="002C118D" w14:paraId="6DAB3A54" w14:textId="77777777">
            <w:pPr>
              <w:jc w:val="center"/>
              <w:rPr>
                <w:rFonts w:eastAsia="Calibri"/>
                <w:b/>
                <w:sz w:val="24"/>
              </w:rPr>
            </w:pPr>
            <w:r w:rsidRPr="00F5428B">
              <w:rPr>
                <w:rFonts w:eastAsia="Calibri"/>
                <w:b/>
                <w:sz w:val="24"/>
              </w:rPr>
              <w:t>Change Due to Agency Discretion</w:t>
            </w:r>
          </w:p>
        </w:tc>
      </w:tr>
      <w:tr w:rsidRPr="00F5428B" w:rsidR="002C118D" w:rsidTr="003F1AE2" w14:paraId="5A63EA38" w14:textId="77777777">
        <w:trPr>
          <w:trHeight w:val="431"/>
        </w:trPr>
        <w:tc>
          <w:tcPr>
            <w:tcW w:w="9517" w:type="dxa"/>
            <w:gridSpan w:val="5"/>
            <w:shd w:val="clear" w:color="auto" w:fill="C6D9F1" w:themeFill="text2" w:themeFillTint="33"/>
            <w:vAlign w:val="bottom"/>
          </w:tcPr>
          <w:p w:rsidRPr="00F5428B" w:rsidR="002C118D" w:rsidP="008D4689" w:rsidRDefault="005228C3" w14:paraId="076575C6" w14:textId="77777777">
            <w:pPr>
              <w:jc w:val="center"/>
              <w:rPr>
                <w:b/>
                <w:bCs/>
                <w:sz w:val="24"/>
              </w:rPr>
            </w:pPr>
            <w:r>
              <w:rPr>
                <w:b/>
                <w:bCs/>
                <w:sz w:val="24"/>
              </w:rPr>
              <w:t>FERC-545</w:t>
            </w:r>
          </w:p>
        </w:tc>
      </w:tr>
      <w:tr w:rsidRPr="00F5428B" w:rsidR="002C118D" w:rsidTr="003F1AE2" w14:paraId="05D53088" w14:textId="77777777">
        <w:trPr>
          <w:trHeight w:val="591"/>
        </w:trPr>
        <w:tc>
          <w:tcPr>
            <w:tcW w:w="2679" w:type="dxa"/>
            <w:shd w:val="clear" w:color="auto" w:fill="auto"/>
          </w:tcPr>
          <w:p w:rsidRPr="00F5428B" w:rsidR="002C118D" w:rsidP="008D4689" w:rsidRDefault="002C118D" w14:paraId="461D5683" w14:textId="77777777">
            <w:pPr>
              <w:jc w:val="center"/>
              <w:rPr>
                <w:rFonts w:eastAsia="Calibri"/>
                <w:sz w:val="24"/>
              </w:rPr>
            </w:pPr>
            <w:r w:rsidRPr="00F5428B">
              <w:rPr>
                <w:rFonts w:eastAsia="Calibri"/>
                <w:sz w:val="24"/>
              </w:rPr>
              <w:t>Annual Number of Responses</w:t>
            </w:r>
          </w:p>
        </w:tc>
        <w:tc>
          <w:tcPr>
            <w:tcW w:w="1461" w:type="dxa"/>
            <w:shd w:val="clear" w:color="auto" w:fill="auto"/>
            <w:vAlign w:val="bottom"/>
          </w:tcPr>
          <w:p w:rsidRPr="00F5428B" w:rsidR="002C118D" w:rsidP="00862E03" w:rsidRDefault="00862E03" w14:paraId="6E8CB634" w14:textId="6EB5362C">
            <w:pPr>
              <w:jc w:val="center"/>
              <w:rPr>
                <w:rFonts w:eastAsia="Calibri"/>
                <w:sz w:val="24"/>
              </w:rPr>
            </w:pPr>
            <w:r>
              <w:rPr>
                <w:rFonts w:eastAsia="Calibri"/>
                <w:sz w:val="24"/>
              </w:rPr>
              <w:t>1,465</w:t>
            </w:r>
          </w:p>
        </w:tc>
        <w:tc>
          <w:tcPr>
            <w:tcW w:w="1620" w:type="dxa"/>
            <w:shd w:val="clear" w:color="auto" w:fill="auto"/>
            <w:vAlign w:val="bottom"/>
          </w:tcPr>
          <w:p w:rsidRPr="00F5428B" w:rsidR="002C118D" w:rsidP="00862E03" w:rsidRDefault="003F1AE2" w14:paraId="2736E832" w14:textId="41F13490">
            <w:pPr>
              <w:jc w:val="center"/>
              <w:rPr>
                <w:rFonts w:eastAsia="Calibri"/>
                <w:sz w:val="24"/>
              </w:rPr>
            </w:pPr>
            <w:r>
              <w:rPr>
                <w:rFonts w:eastAsia="Calibri"/>
                <w:sz w:val="24"/>
              </w:rPr>
              <w:t>1</w:t>
            </w:r>
            <w:r w:rsidR="001D5A3B">
              <w:rPr>
                <w:rFonts w:eastAsia="Calibri"/>
                <w:sz w:val="24"/>
              </w:rPr>
              <w:t>,</w:t>
            </w:r>
            <w:r>
              <w:rPr>
                <w:rFonts w:eastAsia="Calibri"/>
                <w:sz w:val="24"/>
              </w:rPr>
              <w:t>287</w:t>
            </w:r>
          </w:p>
        </w:tc>
        <w:tc>
          <w:tcPr>
            <w:tcW w:w="1800" w:type="dxa"/>
            <w:shd w:val="clear" w:color="auto" w:fill="auto"/>
            <w:vAlign w:val="bottom"/>
          </w:tcPr>
          <w:p w:rsidRPr="00F5428B" w:rsidR="002C118D" w:rsidP="00862E03" w:rsidRDefault="00413B83" w14:paraId="00769106" w14:textId="5DC16B75">
            <w:pPr>
              <w:jc w:val="center"/>
              <w:rPr>
                <w:rFonts w:eastAsia="Calibri"/>
                <w:sz w:val="24"/>
              </w:rPr>
            </w:pPr>
            <w:r>
              <w:rPr>
                <w:rFonts w:eastAsia="Calibri"/>
                <w:sz w:val="24"/>
              </w:rPr>
              <w:t>0</w:t>
            </w:r>
          </w:p>
        </w:tc>
        <w:tc>
          <w:tcPr>
            <w:tcW w:w="1957" w:type="dxa"/>
            <w:shd w:val="clear" w:color="auto" w:fill="auto"/>
            <w:vAlign w:val="bottom"/>
          </w:tcPr>
          <w:p w:rsidRPr="00F5428B" w:rsidR="002C118D" w:rsidP="00862E03" w:rsidRDefault="00C34573" w14:paraId="5FA631E6" w14:textId="6044507A">
            <w:pPr>
              <w:jc w:val="center"/>
              <w:rPr>
                <w:rFonts w:eastAsia="Calibri"/>
                <w:sz w:val="24"/>
              </w:rPr>
            </w:pPr>
            <w:r>
              <w:rPr>
                <w:rFonts w:eastAsia="Calibri"/>
                <w:sz w:val="24"/>
              </w:rPr>
              <w:t>178</w:t>
            </w:r>
          </w:p>
        </w:tc>
      </w:tr>
      <w:tr w:rsidRPr="00F5428B" w:rsidR="002C118D" w:rsidTr="003F1AE2" w14:paraId="4B89B22C" w14:textId="77777777">
        <w:trPr>
          <w:trHeight w:val="575"/>
        </w:trPr>
        <w:tc>
          <w:tcPr>
            <w:tcW w:w="2679" w:type="dxa"/>
            <w:shd w:val="clear" w:color="auto" w:fill="auto"/>
          </w:tcPr>
          <w:p w:rsidRPr="00F5428B" w:rsidR="002C118D" w:rsidP="008D4689" w:rsidRDefault="002C118D" w14:paraId="5EB38687" w14:textId="77777777">
            <w:pPr>
              <w:jc w:val="center"/>
              <w:rPr>
                <w:rFonts w:eastAsia="Calibri"/>
                <w:sz w:val="24"/>
              </w:rPr>
            </w:pPr>
            <w:r w:rsidRPr="00F5428B">
              <w:rPr>
                <w:rFonts w:eastAsia="Calibri"/>
                <w:sz w:val="24"/>
              </w:rPr>
              <w:t>Annual Time Burden (Hr.)</w:t>
            </w:r>
          </w:p>
        </w:tc>
        <w:tc>
          <w:tcPr>
            <w:tcW w:w="1461" w:type="dxa"/>
            <w:shd w:val="clear" w:color="auto" w:fill="auto"/>
            <w:vAlign w:val="bottom"/>
          </w:tcPr>
          <w:p w:rsidRPr="00F5428B" w:rsidR="002C118D" w:rsidP="00862E03" w:rsidRDefault="00862E03" w14:paraId="283CE0EE" w14:textId="4D9CED9F">
            <w:pPr>
              <w:jc w:val="center"/>
              <w:rPr>
                <w:rFonts w:eastAsia="Calibri"/>
                <w:sz w:val="24"/>
              </w:rPr>
            </w:pPr>
            <w:r>
              <w:rPr>
                <w:rFonts w:eastAsia="Calibri"/>
                <w:sz w:val="24"/>
              </w:rPr>
              <w:t>2</w:t>
            </w:r>
            <w:r w:rsidR="005C6925">
              <w:rPr>
                <w:rFonts w:eastAsia="Calibri"/>
                <w:sz w:val="24"/>
              </w:rPr>
              <w:t>85</w:t>
            </w:r>
            <w:r w:rsidR="002C7122">
              <w:rPr>
                <w:rFonts w:eastAsia="Calibri"/>
                <w:sz w:val="24"/>
              </w:rPr>
              <w:t>,668</w:t>
            </w:r>
          </w:p>
        </w:tc>
        <w:tc>
          <w:tcPr>
            <w:tcW w:w="1620" w:type="dxa"/>
            <w:shd w:val="clear" w:color="auto" w:fill="auto"/>
            <w:vAlign w:val="bottom"/>
          </w:tcPr>
          <w:p w:rsidRPr="00F5428B" w:rsidR="002C118D" w:rsidP="00862E03" w:rsidRDefault="0073773B" w14:paraId="428DD5EA" w14:textId="37236C41">
            <w:pPr>
              <w:jc w:val="center"/>
              <w:rPr>
                <w:rFonts w:eastAsia="Calibri"/>
                <w:sz w:val="24"/>
              </w:rPr>
            </w:pPr>
            <w:r>
              <w:rPr>
                <w:rFonts w:eastAsia="Calibri"/>
                <w:sz w:val="24"/>
              </w:rPr>
              <w:t>2</w:t>
            </w:r>
            <w:r w:rsidR="003F1AE2">
              <w:rPr>
                <w:rFonts w:eastAsia="Calibri"/>
                <w:sz w:val="24"/>
              </w:rPr>
              <w:t>38,888</w:t>
            </w:r>
          </w:p>
        </w:tc>
        <w:tc>
          <w:tcPr>
            <w:tcW w:w="1800" w:type="dxa"/>
            <w:shd w:val="clear" w:color="auto" w:fill="auto"/>
            <w:vAlign w:val="bottom"/>
          </w:tcPr>
          <w:p w:rsidRPr="00F5428B" w:rsidR="002C118D" w:rsidP="00862E03" w:rsidRDefault="00413B83" w14:paraId="56544879" w14:textId="4BE160E2">
            <w:pPr>
              <w:jc w:val="center"/>
              <w:rPr>
                <w:rFonts w:eastAsia="Calibri"/>
                <w:sz w:val="24"/>
              </w:rPr>
            </w:pPr>
            <w:r>
              <w:rPr>
                <w:rFonts w:eastAsia="Calibri"/>
                <w:sz w:val="24"/>
              </w:rPr>
              <w:t>0</w:t>
            </w:r>
          </w:p>
        </w:tc>
        <w:tc>
          <w:tcPr>
            <w:tcW w:w="1957" w:type="dxa"/>
            <w:shd w:val="clear" w:color="auto" w:fill="auto"/>
            <w:vAlign w:val="bottom"/>
          </w:tcPr>
          <w:p w:rsidRPr="00F5428B" w:rsidR="002C118D" w:rsidP="00862E03" w:rsidRDefault="00C34573" w14:paraId="7A6D3B52" w14:textId="204E8B48">
            <w:pPr>
              <w:jc w:val="center"/>
              <w:rPr>
                <w:rFonts w:eastAsia="Calibri"/>
                <w:sz w:val="24"/>
              </w:rPr>
            </w:pPr>
            <w:r>
              <w:rPr>
                <w:rFonts w:eastAsia="Calibri"/>
                <w:sz w:val="24"/>
              </w:rPr>
              <w:t>1,780</w:t>
            </w:r>
          </w:p>
        </w:tc>
      </w:tr>
      <w:tr w:rsidRPr="00F5428B" w:rsidR="002C118D" w:rsidTr="003F1AE2" w14:paraId="3CC2CB67" w14:textId="77777777">
        <w:trPr>
          <w:trHeight w:val="295"/>
        </w:trPr>
        <w:tc>
          <w:tcPr>
            <w:tcW w:w="2679" w:type="dxa"/>
            <w:tcBorders>
              <w:bottom w:val="single" w:color="auto" w:sz="4" w:space="0"/>
            </w:tcBorders>
            <w:shd w:val="clear" w:color="auto" w:fill="auto"/>
          </w:tcPr>
          <w:p w:rsidRPr="00F5428B" w:rsidR="002C118D" w:rsidP="008D4689" w:rsidRDefault="002C118D" w14:paraId="7C8525B6" w14:textId="77777777">
            <w:pPr>
              <w:jc w:val="center"/>
              <w:rPr>
                <w:rFonts w:eastAsia="Calibri"/>
                <w:sz w:val="24"/>
              </w:rPr>
            </w:pPr>
            <w:r w:rsidRPr="00F5428B">
              <w:rPr>
                <w:rFonts w:eastAsia="Calibri"/>
                <w:sz w:val="24"/>
              </w:rPr>
              <w:t>Annual Cost Burden ($)</w:t>
            </w:r>
          </w:p>
        </w:tc>
        <w:tc>
          <w:tcPr>
            <w:tcW w:w="1461" w:type="dxa"/>
            <w:tcBorders>
              <w:bottom w:val="single" w:color="auto" w:sz="4" w:space="0"/>
            </w:tcBorders>
            <w:shd w:val="clear" w:color="auto" w:fill="auto"/>
            <w:vAlign w:val="bottom"/>
          </w:tcPr>
          <w:p w:rsidRPr="00F5428B" w:rsidR="002C118D" w:rsidP="00862E03" w:rsidRDefault="002C118D" w14:paraId="1B04AE41" w14:textId="77777777">
            <w:pPr>
              <w:jc w:val="center"/>
              <w:rPr>
                <w:rFonts w:eastAsia="Calibri"/>
                <w:sz w:val="24"/>
                <w:highlight w:val="yellow"/>
              </w:rPr>
            </w:pPr>
            <w:r w:rsidRPr="00F5428B">
              <w:rPr>
                <w:rFonts w:eastAsia="Calibri"/>
                <w:sz w:val="24"/>
              </w:rPr>
              <w:t>$0</w:t>
            </w:r>
          </w:p>
        </w:tc>
        <w:tc>
          <w:tcPr>
            <w:tcW w:w="1620" w:type="dxa"/>
            <w:tcBorders>
              <w:bottom w:val="single" w:color="auto" w:sz="4" w:space="0"/>
            </w:tcBorders>
            <w:shd w:val="clear" w:color="auto" w:fill="auto"/>
            <w:vAlign w:val="bottom"/>
          </w:tcPr>
          <w:p w:rsidRPr="00F5428B" w:rsidR="002C118D" w:rsidP="00862E03" w:rsidRDefault="002C118D" w14:paraId="1D9DC643" w14:textId="77777777">
            <w:pPr>
              <w:jc w:val="center"/>
              <w:rPr>
                <w:rFonts w:eastAsia="Calibri"/>
                <w:sz w:val="24"/>
              </w:rPr>
            </w:pPr>
            <w:r w:rsidRPr="00F5428B">
              <w:rPr>
                <w:rFonts w:eastAsia="Calibri"/>
                <w:sz w:val="24"/>
              </w:rPr>
              <w:t>$0</w:t>
            </w:r>
          </w:p>
        </w:tc>
        <w:tc>
          <w:tcPr>
            <w:tcW w:w="1800" w:type="dxa"/>
            <w:tcBorders>
              <w:bottom w:val="single" w:color="auto" w:sz="4" w:space="0"/>
            </w:tcBorders>
            <w:shd w:val="clear" w:color="auto" w:fill="auto"/>
            <w:vAlign w:val="bottom"/>
          </w:tcPr>
          <w:p w:rsidRPr="00F5428B" w:rsidR="002C118D" w:rsidP="00862E03" w:rsidRDefault="002C118D" w14:paraId="48CBB93A" w14:textId="77777777">
            <w:pPr>
              <w:jc w:val="center"/>
              <w:rPr>
                <w:rFonts w:eastAsia="Calibri"/>
                <w:sz w:val="24"/>
              </w:rPr>
            </w:pPr>
            <w:r w:rsidRPr="00F5428B">
              <w:rPr>
                <w:rFonts w:eastAsia="Calibri"/>
                <w:sz w:val="24"/>
              </w:rPr>
              <w:t>$0</w:t>
            </w:r>
          </w:p>
        </w:tc>
        <w:tc>
          <w:tcPr>
            <w:tcW w:w="1957" w:type="dxa"/>
            <w:tcBorders>
              <w:bottom w:val="single" w:color="auto" w:sz="4" w:space="0"/>
            </w:tcBorders>
            <w:shd w:val="clear" w:color="auto" w:fill="auto"/>
            <w:vAlign w:val="bottom"/>
          </w:tcPr>
          <w:p w:rsidRPr="00F5428B" w:rsidR="002C118D" w:rsidP="00862E03" w:rsidRDefault="002C118D" w14:paraId="4A8DCB73" w14:textId="77777777">
            <w:pPr>
              <w:jc w:val="center"/>
              <w:rPr>
                <w:rFonts w:eastAsia="Calibri"/>
                <w:sz w:val="24"/>
              </w:rPr>
            </w:pPr>
            <w:r w:rsidRPr="00F5428B">
              <w:rPr>
                <w:rFonts w:eastAsia="Calibri"/>
                <w:sz w:val="24"/>
              </w:rPr>
              <w:t>$0</w:t>
            </w:r>
          </w:p>
        </w:tc>
      </w:tr>
    </w:tbl>
    <w:p w:rsidR="002C118D" w:rsidP="00BC15BE" w:rsidRDefault="002C118D" w14:paraId="1801F2FB" w14:textId="4001F7A9">
      <w:pPr>
        <w:rPr>
          <w:sz w:val="24"/>
        </w:rPr>
      </w:pPr>
    </w:p>
    <w:p w:rsidR="00862E03" w:rsidP="00BC15BE" w:rsidRDefault="00862E03" w14:paraId="2686D727" w14:textId="1DF8B4F5">
      <w:pPr>
        <w:rPr>
          <w:sz w:val="24"/>
        </w:rPr>
      </w:pPr>
    </w:p>
    <w:tbl>
      <w:tblPr>
        <w:tblW w:w="951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957"/>
      </w:tblGrid>
      <w:tr w:rsidRPr="00862E03" w:rsidR="00862E03" w:rsidTr="00E3104D" w14:paraId="184E9D04" w14:textId="77777777">
        <w:trPr>
          <w:trHeight w:val="870"/>
        </w:trPr>
        <w:tc>
          <w:tcPr>
            <w:tcW w:w="2679" w:type="dxa"/>
            <w:tcBorders>
              <w:bottom w:val="single" w:color="auto" w:sz="4" w:space="0"/>
            </w:tcBorders>
            <w:shd w:val="clear" w:color="auto" w:fill="D9D9D9"/>
            <w:vAlign w:val="bottom"/>
          </w:tcPr>
          <w:p w:rsidRPr="00862E03" w:rsidR="00862E03" w:rsidP="00862E03" w:rsidRDefault="00862E03" w14:paraId="6ABE724F" w14:textId="77777777">
            <w:pPr>
              <w:rPr>
                <w:b/>
                <w:sz w:val="24"/>
              </w:rPr>
            </w:pPr>
          </w:p>
        </w:tc>
        <w:tc>
          <w:tcPr>
            <w:tcW w:w="1461" w:type="dxa"/>
            <w:tcBorders>
              <w:bottom w:val="single" w:color="auto" w:sz="4" w:space="0"/>
            </w:tcBorders>
            <w:shd w:val="clear" w:color="auto" w:fill="D9D9D9"/>
            <w:vAlign w:val="bottom"/>
          </w:tcPr>
          <w:p w:rsidRPr="00862E03" w:rsidR="00862E03" w:rsidP="00862E03" w:rsidRDefault="00862E03" w14:paraId="2734319E" w14:textId="77777777">
            <w:pPr>
              <w:rPr>
                <w:b/>
                <w:sz w:val="24"/>
              </w:rPr>
            </w:pPr>
            <w:r w:rsidRPr="00862E03">
              <w:rPr>
                <w:b/>
                <w:sz w:val="24"/>
              </w:rPr>
              <w:t>Total Request</w:t>
            </w:r>
          </w:p>
        </w:tc>
        <w:tc>
          <w:tcPr>
            <w:tcW w:w="1620" w:type="dxa"/>
            <w:tcBorders>
              <w:bottom w:val="single" w:color="auto" w:sz="4" w:space="0"/>
            </w:tcBorders>
            <w:shd w:val="clear" w:color="auto" w:fill="D9D9D9"/>
            <w:vAlign w:val="bottom"/>
          </w:tcPr>
          <w:p w:rsidRPr="00862E03" w:rsidR="00862E03" w:rsidP="00862E03" w:rsidRDefault="00862E03" w14:paraId="186049FA" w14:textId="77777777">
            <w:pPr>
              <w:rPr>
                <w:b/>
                <w:sz w:val="24"/>
              </w:rPr>
            </w:pPr>
            <w:r w:rsidRPr="00862E03">
              <w:rPr>
                <w:b/>
                <w:sz w:val="24"/>
              </w:rPr>
              <w:t>Previously Approved</w:t>
            </w:r>
          </w:p>
        </w:tc>
        <w:tc>
          <w:tcPr>
            <w:tcW w:w="1800" w:type="dxa"/>
            <w:tcBorders>
              <w:bottom w:val="single" w:color="auto" w:sz="4" w:space="0"/>
            </w:tcBorders>
            <w:shd w:val="clear" w:color="auto" w:fill="D9D9D9"/>
            <w:vAlign w:val="bottom"/>
          </w:tcPr>
          <w:p w:rsidRPr="00862E03" w:rsidR="00862E03" w:rsidP="00862E03" w:rsidRDefault="00862E03" w14:paraId="4102AB8D" w14:textId="77777777">
            <w:pPr>
              <w:rPr>
                <w:b/>
                <w:sz w:val="24"/>
              </w:rPr>
            </w:pPr>
            <w:r w:rsidRPr="00862E03">
              <w:rPr>
                <w:b/>
                <w:sz w:val="24"/>
              </w:rPr>
              <w:t>Change due to Adjustment in Estimate</w:t>
            </w:r>
          </w:p>
        </w:tc>
        <w:tc>
          <w:tcPr>
            <w:tcW w:w="1957" w:type="dxa"/>
            <w:tcBorders>
              <w:bottom w:val="single" w:color="auto" w:sz="4" w:space="0"/>
            </w:tcBorders>
            <w:shd w:val="clear" w:color="auto" w:fill="D9D9D9"/>
            <w:vAlign w:val="bottom"/>
          </w:tcPr>
          <w:p w:rsidRPr="00862E03" w:rsidR="00862E03" w:rsidP="00862E03" w:rsidRDefault="00862E03" w14:paraId="1E7C0EC0" w14:textId="77777777">
            <w:pPr>
              <w:rPr>
                <w:b/>
                <w:sz w:val="24"/>
              </w:rPr>
            </w:pPr>
            <w:r w:rsidRPr="00862E03">
              <w:rPr>
                <w:b/>
                <w:sz w:val="24"/>
              </w:rPr>
              <w:t>Change Due to Agency Discretion</w:t>
            </w:r>
          </w:p>
        </w:tc>
      </w:tr>
      <w:tr w:rsidRPr="00862E03" w:rsidR="00862E03" w:rsidTr="00E3104D" w14:paraId="2C22EF4C" w14:textId="77777777">
        <w:trPr>
          <w:trHeight w:val="431"/>
        </w:trPr>
        <w:tc>
          <w:tcPr>
            <w:tcW w:w="9517" w:type="dxa"/>
            <w:gridSpan w:val="5"/>
            <w:shd w:val="clear" w:color="auto" w:fill="C6D9F1" w:themeFill="text2" w:themeFillTint="33"/>
            <w:vAlign w:val="bottom"/>
          </w:tcPr>
          <w:p w:rsidRPr="00862E03" w:rsidR="00862E03" w:rsidP="00862E03" w:rsidRDefault="00862E03" w14:paraId="1AEA5DF3" w14:textId="0C1183A8">
            <w:pPr>
              <w:jc w:val="center"/>
              <w:rPr>
                <w:b/>
                <w:bCs/>
                <w:sz w:val="24"/>
              </w:rPr>
            </w:pPr>
            <w:r w:rsidRPr="00862E03">
              <w:rPr>
                <w:b/>
                <w:bCs/>
                <w:sz w:val="24"/>
              </w:rPr>
              <w:t>FERC-54</w:t>
            </w:r>
            <w:r>
              <w:rPr>
                <w:b/>
                <w:bCs/>
                <w:sz w:val="24"/>
              </w:rPr>
              <w:t>9C</w:t>
            </w:r>
          </w:p>
        </w:tc>
      </w:tr>
      <w:tr w:rsidRPr="00862E03" w:rsidR="00862E03" w:rsidTr="00E3104D" w14:paraId="543AF2B3" w14:textId="77777777">
        <w:trPr>
          <w:trHeight w:val="591"/>
        </w:trPr>
        <w:tc>
          <w:tcPr>
            <w:tcW w:w="2679" w:type="dxa"/>
            <w:shd w:val="clear" w:color="auto" w:fill="auto"/>
          </w:tcPr>
          <w:p w:rsidRPr="00862E03" w:rsidR="00862E03" w:rsidP="00862E03" w:rsidRDefault="00862E03" w14:paraId="5342FD0B" w14:textId="77777777">
            <w:pPr>
              <w:rPr>
                <w:sz w:val="24"/>
              </w:rPr>
            </w:pPr>
            <w:r w:rsidRPr="00862E03">
              <w:rPr>
                <w:sz w:val="24"/>
              </w:rPr>
              <w:t>Annual Number of Responses</w:t>
            </w:r>
          </w:p>
        </w:tc>
        <w:tc>
          <w:tcPr>
            <w:tcW w:w="1461" w:type="dxa"/>
            <w:shd w:val="clear" w:color="auto" w:fill="auto"/>
            <w:vAlign w:val="bottom"/>
          </w:tcPr>
          <w:p w:rsidRPr="00862E03" w:rsidR="00862E03" w:rsidP="00862E03" w:rsidRDefault="00862E03" w14:paraId="4BF25EF2" w14:textId="399BFFA0">
            <w:pPr>
              <w:jc w:val="center"/>
              <w:rPr>
                <w:sz w:val="24"/>
              </w:rPr>
            </w:pPr>
            <w:r>
              <w:rPr>
                <w:sz w:val="24"/>
              </w:rPr>
              <w:t>723</w:t>
            </w:r>
          </w:p>
        </w:tc>
        <w:tc>
          <w:tcPr>
            <w:tcW w:w="1620" w:type="dxa"/>
            <w:shd w:val="clear" w:color="auto" w:fill="auto"/>
            <w:vAlign w:val="bottom"/>
          </w:tcPr>
          <w:p w:rsidRPr="00862E03" w:rsidR="00862E03" w:rsidP="00862E03" w:rsidRDefault="00862E03" w14:paraId="2C313C7D" w14:textId="53A951A0">
            <w:pPr>
              <w:jc w:val="center"/>
              <w:rPr>
                <w:sz w:val="24"/>
              </w:rPr>
            </w:pPr>
            <w:r>
              <w:rPr>
                <w:sz w:val="24"/>
              </w:rPr>
              <w:t>545</w:t>
            </w:r>
          </w:p>
        </w:tc>
        <w:tc>
          <w:tcPr>
            <w:tcW w:w="1800" w:type="dxa"/>
            <w:shd w:val="clear" w:color="auto" w:fill="auto"/>
            <w:vAlign w:val="bottom"/>
          </w:tcPr>
          <w:p w:rsidRPr="00862E03" w:rsidR="00862E03" w:rsidP="00862E03" w:rsidRDefault="00413B83" w14:paraId="77EA4154" w14:textId="00420015">
            <w:pPr>
              <w:jc w:val="center"/>
              <w:rPr>
                <w:sz w:val="24"/>
              </w:rPr>
            </w:pPr>
            <w:r>
              <w:rPr>
                <w:sz w:val="24"/>
              </w:rPr>
              <w:t>0</w:t>
            </w:r>
          </w:p>
        </w:tc>
        <w:tc>
          <w:tcPr>
            <w:tcW w:w="1957" w:type="dxa"/>
            <w:shd w:val="clear" w:color="auto" w:fill="auto"/>
            <w:vAlign w:val="bottom"/>
          </w:tcPr>
          <w:p w:rsidRPr="00862E03" w:rsidR="00862E03" w:rsidP="00862E03" w:rsidRDefault="00C34573" w14:paraId="70D91D03" w14:textId="7F09DE92">
            <w:pPr>
              <w:jc w:val="center"/>
              <w:rPr>
                <w:sz w:val="24"/>
              </w:rPr>
            </w:pPr>
            <w:r>
              <w:rPr>
                <w:sz w:val="24"/>
              </w:rPr>
              <w:t>178</w:t>
            </w:r>
          </w:p>
        </w:tc>
      </w:tr>
      <w:tr w:rsidRPr="00862E03" w:rsidR="00862E03" w:rsidTr="00E3104D" w14:paraId="6E286B1C" w14:textId="77777777">
        <w:trPr>
          <w:trHeight w:val="575"/>
        </w:trPr>
        <w:tc>
          <w:tcPr>
            <w:tcW w:w="2679" w:type="dxa"/>
            <w:shd w:val="clear" w:color="auto" w:fill="auto"/>
          </w:tcPr>
          <w:p w:rsidRPr="00862E03" w:rsidR="00862E03" w:rsidP="00862E03" w:rsidRDefault="00862E03" w14:paraId="747DAB8B" w14:textId="77777777">
            <w:pPr>
              <w:rPr>
                <w:sz w:val="24"/>
              </w:rPr>
            </w:pPr>
            <w:r w:rsidRPr="00862E03">
              <w:rPr>
                <w:sz w:val="24"/>
              </w:rPr>
              <w:t>Annual Time Burden (Hr.)</w:t>
            </w:r>
          </w:p>
        </w:tc>
        <w:tc>
          <w:tcPr>
            <w:tcW w:w="1461" w:type="dxa"/>
            <w:shd w:val="clear" w:color="auto" w:fill="auto"/>
            <w:vAlign w:val="bottom"/>
          </w:tcPr>
          <w:p w:rsidRPr="00862E03" w:rsidR="00862E03" w:rsidP="00862E03" w:rsidRDefault="00862E03" w14:paraId="142AF0A1" w14:textId="4D606430">
            <w:pPr>
              <w:jc w:val="center"/>
              <w:rPr>
                <w:sz w:val="24"/>
              </w:rPr>
            </w:pPr>
            <w:r>
              <w:rPr>
                <w:sz w:val="24"/>
              </w:rPr>
              <w:t>66,050</w:t>
            </w:r>
          </w:p>
        </w:tc>
        <w:tc>
          <w:tcPr>
            <w:tcW w:w="1620" w:type="dxa"/>
            <w:shd w:val="clear" w:color="auto" w:fill="auto"/>
            <w:vAlign w:val="bottom"/>
          </w:tcPr>
          <w:p w:rsidRPr="00862E03" w:rsidR="00862E03" w:rsidP="00862E03" w:rsidRDefault="00862E03" w14:paraId="4E5E1127" w14:textId="53C9584C">
            <w:pPr>
              <w:jc w:val="center"/>
              <w:rPr>
                <w:sz w:val="24"/>
              </w:rPr>
            </w:pPr>
            <w:r>
              <w:rPr>
                <w:sz w:val="24"/>
              </w:rPr>
              <w:t>48,250</w:t>
            </w:r>
          </w:p>
        </w:tc>
        <w:tc>
          <w:tcPr>
            <w:tcW w:w="1800" w:type="dxa"/>
            <w:shd w:val="clear" w:color="auto" w:fill="auto"/>
            <w:vAlign w:val="bottom"/>
          </w:tcPr>
          <w:p w:rsidRPr="00862E03" w:rsidR="00862E03" w:rsidP="00862E03" w:rsidRDefault="00413B83" w14:paraId="09C4D5A5" w14:textId="38AC890B">
            <w:pPr>
              <w:jc w:val="center"/>
              <w:rPr>
                <w:sz w:val="24"/>
              </w:rPr>
            </w:pPr>
            <w:r>
              <w:rPr>
                <w:sz w:val="24"/>
              </w:rPr>
              <w:t>0</w:t>
            </w:r>
          </w:p>
        </w:tc>
        <w:tc>
          <w:tcPr>
            <w:tcW w:w="1957" w:type="dxa"/>
            <w:shd w:val="clear" w:color="auto" w:fill="auto"/>
            <w:vAlign w:val="bottom"/>
          </w:tcPr>
          <w:p w:rsidRPr="00862E03" w:rsidR="00862E03" w:rsidP="00862E03" w:rsidRDefault="00C34573" w14:paraId="5F44D190" w14:textId="4E12328D">
            <w:pPr>
              <w:jc w:val="center"/>
              <w:rPr>
                <w:sz w:val="24"/>
              </w:rPr>
            </w:pPr>
            <w:r>
              <w:rPr>
                <w:sz w:val="24"/>
              </w:rPr>
              <w:t>17,800</w:t>
            </w:r>
          </w:p>
        </w:tc>
      </w:tr>
      <w:tr w:rsidRPr="00862E03" w:rsidR="00862E03" w:rsidTr="00E3104D" w14:paraId="15FB5753" w14:textId="77777777">
        <w:trPr>
          <w:trHeight w:val="295"/>
        </w:trPr>
        <w:tc>
          <w:tcPr>
            <w:tcW w:w="2679" w:type="dxa"/>
            <w:tcBorders>
              <w:bottom w:val="single" w:color="auto" w:sz="4" w:space="0"/>
            </w:tcBorders>
            <w:shd w:val="clear" w:color="auto" w:fill="auto"/>
          </w:tcPr>
          <w:p w:rsidRPr="00862E03" w:rsidR="00862E03" w:rsidP="00862E03" w:rsidRDefault="00862E03" w14:paraId="1FA1FD4C" w14:textId="77777777">
            <w:pPr>
              <w:rPr>
                <w:sz w:val="24"/>
              </w:rPr>
            </w:pPr>
            <w:r w:rsidRPr="00862E03">
              <w:rPr>
                <w:sz w:val="24"/>
              </w:rPr>
              <w:t>Annual Cost Burden ($)</w:t>
            </w:r>
          </w:p>
        </w:tc>
        <w:tc>
          <w:tcPr>
            <w:tcW w:w="1461" w:type="dxa"/>
            <w:tcBorders>
              <w:bottom w:val="single" w:color="auto" w:sz="4" w:space="0"/>
            </w:tcBorders>
            <w:shd w:val="clear" w:color="auto" w:fill="auto"/>
            <w:vAlign w:val="bottom"/>
          </w:tcPr>
          <w:p w:rsidRPr="00862E03" w:rsidR="00862E03" w:rsidP="00862E03" w:rsidRDefault="00862E03" w14:paraId="247F0448" w14:textId="77777777">
            <w:pPr>
              <w:jc w:val="center"/>
              <w:rPr>
                <w:sz w:val="24"/>
              </w:rPr>
            </w:pPr>
            <w:r w:rsidRPr="00862E03">
              <w:rPr>
                <w:sz w:val="24"/>
              </w:rPr>
              <w:t>$0</w:t>
            </w:r>
          </w:p>
        </w:tc>
        <w:tc>
          <w:tcPr>
            <w:tcW w:w="1620" w:type="dxa"/>
            <w:tcBorders>
              <w:bottom w:val="single" w:color="auto" w:sz="4" w:space="0"/>
            </w:tcBorders>
            <w:shd w:val="clear" w:color="auto" w:fill="auto"/>
            <w:vAlign w:val="bottom"/>
          </w:tcPr>
          <w:p w:rsidRPr="00862E03" w:rsidR="00862E03" w:rsidP="00862E03" w:rsidRDefault="00862E03" w14:paraId="37D4166C" w14:textId="77777777">
            <w:pPr>
              <w:jc w:val="center"/>
              <w:rPr>
                <w:sz w:val="24"/>
              </w:rPr>
            </w:pPr>
            <w:r w:rsidRPr="00862E03">
              <w:rPr>
                <w:sz w:val="24"/>
              </w:rPr>
              <w:t>$0</w:t>
            </w:r>
          </w:p>
        </w:tc>
        <w:tc>
          <w:tcPr>
            <w:tcW w:w="1800" w:type="dxa"/>
            <w:tcBorders>
              <w:bottom w:val="single" w:color="auto" w:sz="4" w:space="0"/>
            </w:tcBorders>
            <w:shd w:val="clear" w:color="auto" w:fill="auto"/>
            <w:vAlign w:val="bottom"/>
          </w:tcPr>
          <w:p w:rsidRPr="00862E03" w:rsidR="00862E03" w:rsidP="00862E03" w:rsidRDefault="00862E03" w14:paraId="5E6D0606" w14:textId="77777777">
            <w:pPr>
              <w:jc w:val="center"/>
              <w:rPr>
                <w:sz w:val="24"/>
              </w:rPr>
            </w:pPr>
            <w:r w:rsidRPr="00862E03">
              <w:rPr>
                <w:sz w:val="24"/>
              </w:rPr>
              <w:t>$0</w:t>
            </w:r>
          </w:p>
        </w:tc>
        <w:tc>
          <w:tcPr>
            <w:tcW w:w="1957" w:type="dxa"/>
            <w:tcBorders>
              <w:bottom w:val="single" w:color="auto" w:sz="4" w:space="0"/>
            </w:tcBorders>
            <w:shd w:val="clear" w:color="auto" w:fill="auto"/>
            <w:vAlign w:val="bottom"/>
          </w:tcPr>
          <w:p w:rsidRPr="00862E03" w:rsidR="00862E03" w:rsidP="00862E03" w:rsidRDefault="00862E03" w14:paraId="178CF763" w14:textId="77777777">
            <w:pPr>
              <w:jc w:val="center"/>
              <w:rPr>
                <w:sz w:val="24"/>
              </w:rPr>
            </w:pPr>
            <w:r w:rsidRPr="00862E03">
              <w:rPr>
                <w:sz w:val="24"/>
              </w:rPr>
              <w:t>$0</w:t>
            </w:r>
          </w:p>
        </w:tc>
      </w:tr>
    </w:tbl>
    <w:p w:rsidRPr="00F5428B" w:rsidR="00862E03" w:rsidP="00BC15BE" w:rsidRDefault="00862E03" w14:paraId="6942E0E9" w14:textId="77777777">
      <w:pPr>
        <w:rPr>
          <w:sz w:val="24"/>
        </w:rPr>
      </w:pPr>
    </w:p>
    <w:p w:rsidRPr="00F5428B" w:rsidR="00BC15BE" w:rsidP="00BC15BE" w:rsidRDefault="00BC15BE" w14:paraId="1DD34261" w14:textId="77777777">
      <w:pPr>
        <w:pStyle w:val="Level1"/>
        <w:rPr>
          <w:b/>
        </w:rPr>
      </w:pPr>
      <w:r w:rsidRPr="00F5428B">
        <w:rPr>
          <w:b/>
        </w:rPr>
        <w:t>TIME SCHEDULE FOR PUBLICATION OF DATA</w:t>
      </w:r>
    </w:p>
    <w:p w:rsidR="000C0189" w:rsidP="00BC15BE" w:rsidRDefault="000C0189" w14:paraId="0A20ADCA" w14:textId="77777777">
      <w:pPr>
        <w:rPr>
          <w:sz w:val="24"/>
        </w:rPr>
      </w:pPr>
    </w:p>
    <w:p w:rsidRPr="00F5428B" w:rsidR="00BC15BE" w:rsidP="00BC15BE" w:rsidRDefault="003D2136" w14:paraId="22B7D8AE" w14:textId="77777777">
      <w:pPr>
        <w:rPr>
          <w:sz w:val="24"/>
        </w:rPr>
      </w:pPr>
      <w:r w:rsidRPr="00F5428B">
        <w:rPr>
          <w:sz w:val="24"/>
        </w:rPr>
        <w:t>There are no publications of the information</w:t>
      </w:r>
      <w:r w:rsidRPr="00F5428B" w:rsidR="00BC15BE">
        <w:rPr>
          <w:sz w:val="24"/>
        </w:rPr>
        <w:t>.</w:t>
      </w:r>
    </w:p>
    <w:p w:rsidRPr="00F5428B" w:rsidR="00BC15BE" w:rsidP="00BC15BE" w:rsidRDefault="00BC15BE" w14:paraId="02004AD4" w14:textId="77777777">
      <w:pPr>
        <w:rPr>
          <w:sz w:val="24"/>
        </w:rPr>
      </w:pPr>
    </w:p>
    <w:p w:rsidRPr="00F5428B" w:rsidR="00BC15BE" w:rsidP="00BC15BE" w:rsidRDefault="00BC15BE" w14:paraId="604362A8" w14:textId="77777777">
      <w:pPr>
        <w:pStyle w:val="Level1"/>
        <w:rPr>
          <w:b/>
        </w:rPr>
      </w:pPr>
      <w:r w:rsidRPr="00F5428B">
        <w:rPr>
          <w:b/>
        </w:rPr>
        <w:t>DISPLAY OF EXPIRATION DATE</w:t>
      </w:r>
    </w:p>
    <w:p w:rsidR="000C0189" w:rsidP="00BC15BE" w:rsidRDefault="000C0189" w14:paraId="3EFB0E76" w14:textId="77777777">
      <w:pPr>
        <w:rPr>
          <w:sz w:val="24"/>
        </w:rPr>
      </w:pPr>
    </w:p>
    <w:p w:rsidRPr="00F5428B" w:rsidR="00863D5C" w:rsidP="00BC15BE" w:rsidRDefault="003D2136" w14:paraId="618AD701" w14:textId="67BD910C">
      <w:pPr>
        <w:rPr>
          <w:sz w:val="24"/>
        </w:rPr>
      </w:pPr>
      <w:r w:rsidRPr="00F5428B">
        <w:rPr>
          <w:sz w:val="24"/>
        </w:rPr>
        <w:t xml:space="preserve">The expiration dates are displayed on ferc.gov with links to the updated table from </w:t>
      </w:r>
      <w:hyperlink w:history="1" r:id="rId13">
        <w:r w:rsidRPr="00232BA8" w:rsidR="003F1AE2">
          <w:rPr>
            <w:rStyle w:val="Hyperlink"/>
            <w:sz w:val="24"/>
          </w:rPr>
          <w:t>http://www.ferc.gov/docs-filing/efiling.asp</w:t>
        </w:r>
      </w:hyperlink>
      <w:r w:rsidRPr="00863D5C" w:rsidR="00863D5C">
        <w:rPr>
          <w:sz w:val="24"/>
        </w:rPr>
        <w:t>https://www.ferc.gov/filing-forms</w:t>
      </w:r>
      <w:r w:rsidR="00863D5C">
        <w:rPr>
          <w:sz w:val="24"/>
        </w:rPr>
        <w:t>.</w:t>
      </w:r>
    </w:p>
    <w:p w:rsidRPr="00F5428B" w:rsidR="00BC15BE" w:rsidP="00BC15BE" w:rsidRDefault="00BC15BE" w14:paraId="39DDEEB5" w14:textId="77777777">
      <w:pPr>
        <w:rPr>
          <w:sz w:val="24"/>
        </w:rPr>
      </w:pPr>
    </w:p>
    <w:p w:rsidRPr="00F5428B" w:rsidR="00BC15BE" w:rsidP="00BC15BE" w:rsidRDefault="00BC15BE" w14:paraId="121B55AC" w14:textId="77777777">
      <w:pPr>
        <w:pStyle w:val="Level1"/>
        <w:rPr>
          <w:b/>
        </w:rPr>
      </w:pPr>
      <w:r w:rsidRPr="00F5428B">
        <w:rPr>
          <w:b/>
        </w:rPr>
        <w:t>EXCEPTIONS TO THE CERTIFICATION STATEMENT</w:t>
      </w:r>
    </w:p>
    <w:p w:rsidR="000C0189" w:rsidP="00BC15BE" w:rsidRDefault="000C0189" w14:paraId="4508C369" w14:textId="77777777">
      <w:pPr>
        <w:rPr>
          <w:sz w:val="24"/>
        </w:rPr>
      </w:pPr>
    </w:p>
    <w:p w:rsidRPr="00F5428B" w:rsidR="00BC15BE" w:rsidP="00BC15BE" w:rsidRDefault="00BC15BE" w14:paraId="7C3D7C44" w14:textId="77777777">
      <w:pPr>
        <w:rPr>
          <w:sz w:val="24"/>
        </w:rPr>
      </w:pPr>
      <w:r w:rsidRPr="00F5428B">
        <w:rPr>
          <w:sz w:val="24"/>
        </w:rPr>
        <w:t>There are no exceptions.</w:t>
      </w:r>
    </w:p>
    <w:p w:rsidRPr="00F5428B" w:rsidR="0010764F" w:rsidRDefault="0010764F" w14:paraId="5DD536D6" w14:textId="77777777">
      <w:pPr>
        <w:rPr>
          <w:sz w:val="24"/>
        </w:rPr>
      </w:pPr>
    </w:p>
    <w:sectPr w:rsidRPr="00F5428B" w:rsidR="0010764F" w:rsidSect="008D4689">
      <w:headerReference w:type="default" r:id="rId14"/>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52E7A" w14:textId="77777777" w:rsidR="00531B60" w:rsidRDefault="00531B60" w:rsidP="00BC15BE">
      <w:r>
        <w:separator/>
      </w:r>
    </w:p>
  </w:endnote>
  <w:endnote w:type="continuationSeparator" w:id="0">
    <w:p w14:paraId="163424F1" w14:textId="77777777" w:rsidR="00531B60" w:rsidRDefault="00531B60" w:rsidP="00BC15BE">
      <w:r>
        <w:continuationSeparator/>
      </w:r>
    </w:p>
  </w:endnote>
  <w:endnote w:type="continuationNotice" w:id="1">
    <w:p w14:paraId="079E4953" w14:textId="77777777" w:rsidR="00531B60" w:rsidRDefault="00531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8E5A3" w14:textId="77777777" w:rsidR="00531B60" w:rsidRDefault="00531B60" w:rsidP="00BC15BE">
      <w:r>
        <w:separator/>
      </w:r>
    </w:p>
  </w:footnote>
  <w:footnote w:type="continuationSeparator" w:id="0">
    <w:p w14:paraId="6B2DAD4A" w14:textId="77777777" w:rsidR="00531B60" w:rsidRDefault="00531B60" w:rsidP="00BC15BE">
      <w:r>
        <w:continuationSeparator/>
      </w:r>
    </w:p>
  </w:footnote>
  <w:footnote w:type="continuationNotice" w:id="1">
    <w:p w14:paraId="73F6859B" w14:textId="77777777" w:rsidR="00531B60" w:rsidRDefault="00531B60"/>
  </w:footnote>
  <w:footnote w:id="2">
    <w:p w14:paraId="0CB6E7C8" w14:textId="6E725C0A" w:rsidR="00B51119" w:rsidRDefault="00B51119" w:rsidP="00B51119">
      <w:pPr>
        <w:pStyle w:val="FootnoteText"/>
      </w:pPr>
      <w:r w:rsidRPr="00932257">
        <w:rPr>
          <w:rStyle w:val="FootnoteReference"/>
        </w:rPr>
        <w:footnoteRef/>
      </w:r>
      <w:r>
        <w:t xml:space="preserve"> </w:t>
      </w:r>
      <w:r w:rsidRPr="00110725">
        <w:t xml:space="preserve">This series of orders began with the Commission’s issuance of </w:t>
      </w:r>
      <w:r w:rsidRPr="00110725">
        <w:rPr>
          <w:i/>
        </w:rPr>
        <w:t xml:space="preserve">Standards for </w:t>
      </w:r>
      <w:r>
        <w:rPr>
          <w:i/>
        </w:rPr>
        <w:t>Bus.</w:t>
      </w:r>
      <w:r w:rsidRPr="00110725">
        <w:rPr>
          <w:i/>
        </w:rPr>
        <w:t xml:space="preserve"> Practices of Interstate </w:t>
      </w:r>
      <w:r>
        <w:rPr>
          <w:i/>
        </w:rPr>
        <w:t>Nat.</w:t>
      </w:r>
      <w:r w:rsidRPr="00110725">
        <w:rPr>
          <w:i/>
        </w:rPr>
        <w:t xml:space="preserve"> Gas Pipelines</w:t>
      </w:r>
      <w:r w:rsidRPr="00110725">
        <w:t xml:space="preserve">, </w:t>
      </w:r>
      <w:r>
        <w:t>Ord. No.</w:t>
      </w:r>
      <w:r w:rsidRPr="00110725">
        <w:t xml:space="preserve"> 587</w:t>
      </w:r>
      <w:r w:rsidRPr="00BA1F44">
        <w:t>, FERC Stats. &amp; Regs. ¶ 31,038</w:t>
      </w:r>
      <w:r w:rsidRPr="0000262C">
        <w:t xml:space="preserve"> (1996).</w:t>
      </w:r>
    </w:p>
  </w:footnote>
  <w:footnote w:id="3">
    <w:p w14:paraId="5FE6ABA9" w14:textId="77777777" w:rsidR="00B51119" w:rsidRDefault="00B51119" w:rsidP="00B51119">
      <w:pPr>
        <w:pStyle w:val="FootnoteText"/>
      </w:pPr>
      <w:r>
        <w:rPr>
          <w:rStyle w:val="FootnoteReference"/>
        </w:rPr>
        <w:footnoteRef/>
      </w:r>
      <w:r>
        <w:t xml:space="preserve"> Sandia is a multidisciplinary national laboratory and federally funded research and development center for the U.S. Department of Energy’s (DOE) National Nuclear Security Administration that supports numerous federal, state, and local government agencies, companies, and organizations.</w:t>
      </w:r>
    </w:p>
  </w:footnote>
  <w:footnote w:id="4">
    <w:p w14:paraId="2F546197" w14:textId="77777777" w:rsidR="00B51119" w:rsidRDefault="00B51119" w:rsidP="00B51119">
      <w:pPr>
        <w:pStyle w:val="FootnoteText"/>
        <w:rPr>
          <w:szCs w:val="26"/>
          <w:lang w:bidi="en-US"/>
        </w:rPr>
      </w:pPr>
      <w:r>
        <w:rPr>
          <w:rStyle w:val="FootnoteReference"/>
        </w:rPr>
        <w:footnoteRef/>
      </w:r>
      <w:r>
        <w:rPr>
          <w:szCs w:val="26"/>
        </w:rPr>
        <w:t xml:space="preserve"> </w:t>
      </w:r>
      <w:r>
        <w:rPr>
          <w:szCs w:val="26"/>
          <w:lang w:bidi="en-US"/>
        </w:rPr>
        <w:t>In April 2017, NAESB announced that Sandia, through funding provided by DOE, would be performing a surety assessment of the NAESB standards.  As determined by Sandia and DOE, the purpose of the surety assessment was to analyze cybersecurity elements within the standards, focusing on four areas: (1) the NAESB Certification Program for Accredited Certification Authorities, including the Wholesale Electric Quadrant (WEQ)-012 Public Key Infrastructure Business Practice Standards, the NAESB Accreditation Requirements for Authorized Certificate Authorities, and the Authorized Certification Authority Process; (2) the WEQ Open Access Same-Time Information Systems suite of standards; (3) the WGQ and Retail Markets Quadrant Internet Electronic Transport (IET) and Quadrant Electronic Delivery Mechanism (EDM) Related Standards Manual; and (4) a high-level dependency analysis between the gas and electric markets to evaluate the different security paradigms the markets employ.</w:t>
      </w:r>
    </w:p>
  </w:footnote>
  <w:footnote w:id="5">
    <w:p w14:paraId="625D7C9E" w14:textId="77777777" w:rsidR="001361B9" w:rsidRDefault="001361B9" w:rsidP="001361B9">
      <w:pPr>
        <w:pStyle w:val="FootnoteText"/>
      </w:pPr>
      <w:r w:rsidRPr="00932257">
        <w:rPr>
          <w:rStyle w:val="FootnoteReference"/>
        </w:rPr>
        <w:footnoteRef/>
      </w:r>
      <w:r>
        <w:t xml:space="preserve"> </w:t>
      </w:r>
      <w:r w:rsidRPr="00E64311">
        <w:t>FERC-545 covers rate change filings made by natural gas pipelines, including tariff changes.</w:t>
      </w:r>
    </w:p>
  </w:footnote>
  <w:footnote w:id="6">
    <w:p w14:paraId="37829257" w14:textId="77777777" w:rsidR="001361B9" w:rsidRDefault="001361B9" w:rsidP="001361B9">
      <w:pPr>
        <w:pStyle w:val="FootnoteText"/>
      </w:pPr>
      <w:r w:rsidRPr="00932257">
        <w:rPr>
          <w:rStyle w:val="FootnoteReference"/>
        </w:rPr>
        <w:footnoteRef/>
      </w:r>
      <w:r>
        <w:t xml:space="preserve"> </w:t>
      </w:r>
      <w:r w:rsidRPr="00E64311">
        <w:t>FERC-549C covers Standards for Business Practices of Interstate Natural Gas Pipelines.</w:t>
      </w:r>
    </w:p>
  </w:footnote>
  <w:footnote w:id="7">
    <w:p w14:paraId="461C44D3" w14:textId="6BC58C29" w:rsidR="00BB1744" w:rsidRDefault="00BB1744" w:rsidP="00BB1744">
      <w:pPr>
        <w:pStyle w:val="FootnoteText"/>
      </w:pPr>
      <w:r w:rsidRPr="00932257">
        <w:rPr>
          <w:rStyle w:val="FootnoteReference"/>
        </w:rPr>
        <w:footnoteRef/>
      </w:r>
      <w:r>
        <w:t xml:space="preserve"> </w:t>
      </w:r>
      <w:r w:rsidRPr="00FB3975">
        <w:rPr>
          <w:bCs/>
        </w:rPr>
        <w:t>The WGQ Additional Business Practice Standards</w:t>
      </w:r>
      <w:r w:rsidRPr="00BB1744">
        <w:rPr>
          <w:bCs/>
        </w:rPr>
        <w:t xml:space="preserve"> address six areas: Creditworthiness; Storage Information; Gas/Electric Operational</w:t>
      </w:r>
      <w:r w:rsidRPr="00BB1744">
        <w:t xml:space="preserve"> Communications; Operational Capacity; Unsubscribed Capacity; and Location Data Download.</w:t>
      </w:r>
    </w:p>
  </w:footnote>
  <w:footnote w:id="8">
    <w:p w14:paraId="7D1B058B" w14:textId="77777777" w:rsidR="00E2173D" w:rsidRDefault="00E2173D" w:rsidP="00E2173D">
      <w:pPr>
        <w:pStyle w:val="FootnoteText"/>
      </w:pPr>
      <w:r w:rsidRPr="00932257">
        <w:rPr>
          <w:rStyle w:val="FootnoteReference"/>
        </w:rPr>
        <w:footnoteRef/>
      </w:r>
      <w:r>
        <w:t xml:space="preserve"> In the discussion below we identify the NAESB WGQ Version 3.2 Standards that we propose </w:t>
      </w:r>
      <w:r w:rsidRPr="00077D3E">
        <w:rPr>
          <w:u w:val="single"/>
        </w:rPr>
        <w:t>not</w:t>
      </w:r>
      <w:r>
        <w:t xml:space="preserve"> to incorporate by reference.</w:t>
      </w:r>
    </w:p>
  </w:footnote>
  <w:footnote w:id="9">
    <w:p w14:paraId="10B0AFBE" w14:textId="77777777" w:rsidR="00E2173D" w:rsidRDefault="00E2173D" w:rsidP="00E2173D">
      <w:pPr>
        <w:pStyle w:val="FootnoteText"/>
      </w:pPr>
      <w:r w:rsidRPr="00932257">
        <w:rPr>
          <w:rStyle w:val="FootnoteReference"/>
        </w:rPr>
        <w:footnoteRef/>
      </w:r>
      <w:r>
        <w:t xml:space="preserve"> The National Institute of Standards and Technology Special Pub.</w:t>
      </w:r>
      <w:r w:rsidRPr="00A07345">
        <w:t xml:space="preserve"> 800-52 requires government </w:t>
      </w:r>
      <w:r>
        <w:t>Transport Layer Security</w:t>
      </w:r>
      <w:r w:rsidRPr="00A07345">
        <w:t xml:space="preserve"> servers and clients to support T</w:t>
      </w:r>
      <w:r>
        <w:t>ransport Layer Security</w:t>
      </w:r>
      <w:r w:rsidRPr="00A07345">
        <w:t xml:space="preserve"> </w:t>
      </w:r>
      <w:r>
        <w:t xml:space="preserve">Version </w:t>
      </w:r>
      <w:r w:rsidRPr="00A07345">
        <w:t>1.2 and recommends support for T</w:t>
      </w:r>
      <w:r>
        <w:t>ransport Layer Security</w:t>
      </w:r>
      <w:r w:rsidRPr="00A07345">
        <w:t xml:space="preserve"> </w:t>
      </w:r>
      <w:r>
        <w:t xml:space="preserve">Version </w:t>
      </w:r>
      <w:r w:rsidRPr="00A07345">
        <w:t xml:space="preserve">1.3 by </w:t>
      </w:r>
      <w:r>
        <w:t xml:space="preserve">the year </w:t>
      </w:r>
      <w:r w:rsidRPr="00A07345">
        <w:t>2024.</w:t>
      </w:r>
    </w:p>
  </w:footnote>
  <w:footnote w:id="10">
    <w:p w14:paraId="6552C471" w14:textId="77777777" w:rsidR="00E2173D" w:rsidRDefault="00E2173D" w:rsidP="00E2173D">
      <w:pPr>
        <w:pStyle w:val="FootnoteText"/>
        <w:rPr>
          <w:rFonts w:asciiTheme="minorHAnsi" w:hAnsiTheme="minorHAnsi" w:cstheme="minorBidi"/>
        </w:rPr>
      </w:pPr>
      <w:r>
        <w:rPr>
          <w:rStyle w:val="FootnoteReference"/>
        </w:rPr>
        <w:footnoteRef/>
      </w:r>
      <w:r>
        <w:rPr>
          <w:szCs w:val="26"/>
        </w:rPr>
        <w:t xml:space="preserve"> Rivest-Shamir-Adelman is a public key infrastructure algorithm composed of a public component and a private component that is typically installed on a recognized Certificate Authority.</w:t>
      </w:r>
    </w:p>
  </w:footnote>
  <w:footnote w:id="11">
    <w:p w14:paraId="33471AA3" w14:textId="77777777" w:rsidR="00E2173D" w:rsidRDefault="00E2173D" w:rsidP="00E2173D">
      <w:pPr>
        <w:pStyle w:val="FootnoteText"/>
        <w:rPr>
          <w:rFonts w:asciiTheme="minorHAnsi" w:hAnsiTheme="minorHAnsi" w:cstheme="minorBidi"/>
        </w:rPr>
      </w:pPr>
      <w:r>
        <w:rPr>
          <w:rStyle w:val="FootnoteReference"/>
        </w:rPr>
        <w:footnoteRef/>
      </w:r>
      <w:r>
        <w:rPr>
          <w:szCs w:val="26"/>
        </w:rPr>
        <w:t xml:space="preserve"> Elliptic Curve Digital Signature Algorithm public keys generate an encrypted signature to validate data.</w:t>
      </w:r>
    </w:p>
  </w:footnote>
  <w:footnote w:id="12">
    <w:p w14:paraId="49D5B528" w14:textId="77777777" w:rsidR="00E2173D" w:rsidRPr="00093C52" w:rsidRDefault="00E2173D" w:rsidP="00E2173D">
      <w:pPr>
        <w:pStyle w:val="FootnoteText"/>
        <w:rPr>
          <w:szCs w:val="26"/>
        </w:rPr>
      </w:pPr>
      <w:r>
        <w:rPr>
          <w:rStyle w:val="FootnoteReference"/>
        </w:rPr>
        <w:footnoteRef/>
      </w:r>
      <w:r>
        <w:rPr>
          <w:szCs w:val="26"/>
        </w:rPr>
        <w:t xml:space="preserve"> A Hash is cryptology technique used for digital signatures in which a series of numbers that may represent, for example, a password, an image, a document, or an executable file is used to generate a cryptographic hash (i.e., a large number).</w:t>
      </w:r>
    </w:p>
  </w:footnote>
  <w:footnote w:id="13">
    <w:p w14:paraId="2693A67C" w14:textId="77777777" w:rsidR="00E2173D" w:rsidRPr="00093C52" w:rsidRDefault="00E2173D" w:rsidP="00E2173D">
      <w:pPr>
        <w:pStyle w:val="FootnoteText"/>
        <w:rPr>
          <w:szCs w:val="26"/>
        </w:rPr>
      </w:pPr>
      <w:r>
        <w:rPr>
          <w:rStyle w:val="FootnoteReference"/>
        </w:rPr>
        <w:footnoteRef/>
      </w:r>
      <w:r>
        <w:rPr>
          <w:szCs w:val="26"/>
        </w:rPr>
        <w:t xml:space="preserve"> SHA-2 is a set of cryptographic hash functions.</w:t>
      </w:r>
    </w:p>
  </w:footnote>
  <w:footnote w:id="14">
    <w:p w14:paraId="0966AC8E" w14:textId="77777777" w:rsidR="00E2173D" w:rsidRDefault="00E2173D" w:rsidP="00E2173D">
      <w:pPr>
        <w:pStyle w:val="FootnoteText"/>
        <w:rPr>
          <w:szCs w:val="26"/>
        </w:rPr>
      </w:pPr>
      <w:r>
        <w:rPr>
          <w:rStyle w:val="FootnoteReference"/>
        </w:rPr>
        <w:footnoteRef/>
      </w:r>
      <w:r>
        <w:rPr>
          <w:szCs w:val="26"/>
        </w:rPr>
        <w:t xml:space="preserve"> PGP is a proprietary (i.e., an organization must pay to use it) encryption program developed to enhance the confidentiality and integrity of data.</w:t>
      </w:r>
    </w:p>
  </w:footnote>
  <w:footnote w:id="15">
    <w:p w14:paraId="42F67E54" w14:textId="77777777" w:rsidR="00E2173D" w:rsidRPr="000603CD" w:rsidRDefault="00E2173D" w:rsidP="00E2173D">
      <w:pPr>
        <w:pStyle w:val="FootnoteText"/>
        <w:rPr>
          <w:szCs w:val="26"/>
        </w:rPr>
      </w:pPr>
      <w:r>
        <w:rPr>
          <w:rStyle w:val="FootnoteReference"/>
        </w:rPr>
        <w:footnoteRef/>
      </w:r>
      <w:r>
        <w:rPr>
          <w:szCs w:val="26"/>
        </w:rPr>
        <w:t xml:space="preserve"> OpenPGP is an encryption standard defined by the Internet Engineering Task Force enabling design and implementation free of licensing fees.  At present, the encryption method is generally considered the most secure.</w:t>
      </w:r>
    </w:p>
  </w:footnote>
  <w:footnote w:id="16">
    <w:p w14:paraId="055945F2" w14:textId="77777777" w:rsidR="00E2173D" w:rsidRPr="000603CD" w:rsidRDefault="00E2173D" w:rsidP="00E2173D">
      <w:pPr>
        <w:pStyle w:val="FootnoteText"/>
        <w:rPr>
          <w:szCs w:val="26"/>
        </w:rPr>
      </w:pPr>
      <w:r>
        <w:rPr>
          <w:rStyle w:val="FootnoteReference"/>
        </w:rPr>
        <w:footnoteRef/>
      </w:r>
      <w:r>
        <w:rPr>
          <w:szCs w:val="26"/>
        </w:rPr>
        <w:t xml:space="preserve"> HTTPS authentication encrypts username and password combinations as part of a Uniform Resource Locator address.  To obtain an HTTPS connection, a web browser must contact a trusted, commercial Certificate Authority, such as a NAESB Authorized Certificate Authority, to obtain the web server’s public key, and follow other applicable HTTPS procedures.</w:t>
      </w:r>
    </w:p>
  </w:footnote>
  <w:footnote w:id="17">
    <w:p w14:paraId="4CDCF7D5" w14:textId="77777777" w:rsidR="00E2173D" w:rsidRPr="00093C52" w:rsidRDefault="00E2173D" w:rsidP="00E2173D">
      <w:pPr>
        <w:pStyle w:val="FootnoteText"/>
        <w:rPr>
          <w:szCs w:val="26"/>
        </w:rPr>
      </w:pPr>
      <w:r>
        <w:rPr>
          <w:rStyle w:val="FootnoteReference"/>
        </w:rPr>
        <w:footnoteRef/>
      </w:r>
      <w:r>
        <w:rPr>
          <w:szCs w:val="26"/>
        </w:rPr>
        <w:t xml:space="preserve"> HTTP is the original communications protocol of the Internet which enables a web browser to depict text, pictures, shapes, live data, and click targets on a web browser.  However, us</w:t>
      </w:r>
      <w:r w:rsidRPr="000E0E4A">
        <w:rPr>
          <w:szCs w:val="26"/>
        </w:rPr>
        <w:t>ername</w:t>
      </w:r>
      <w:r>
        <w:rPr>
          <w:szCs w:val="26"/>
        </w:rPr>
        <w:t xml:space="preserve"> and </w:t>
      </w:r>
      <w:r w:rsidRPr="000E0E4A">
        <w:rPr>
          <w:szCs w:val="26"/>
        </w:rPr>
        <w:t>password combinations are not encrypted in HTTP basic authentication</w:t>
      </w:r>
      <w:r>
        <w:rPr>
          <w:szCs w:val="26"/>
        </w:rPr>
        <w:t>.</w:t>
      </w:r>
    </w:p>
  </w:footnote>
  <w:footnote w:id="18">
    <w:p w14:paraId="541C7295" w14:textId="77777777" w:rsidR="00E2173D" w:rsidRPr="000603CD" w:rsidRDefault="00E2173D" w:rsidP="00E2173D">
      <w:pPr>
        <w:pStyle w:val="FootnoteText"/>
        <w:rPr>
          <w:szCs w:val="26"/>
        </w:rPr>
      </w:pPr>
      <w:r>
        <w:rPr>
          <w:rStyle w:val="FootnoteReference"/>
        </w:rPr>
        <w:footnoteRef/>
      </w:r>
      <w:r>
        <w:rPr>
          <w:szCs w:val="26"/>
        </w:rPr>
        <w:t xml:space="preserve"> </w:t>
      </w:r>
      <w:r w:rsidRPr="000603CD">
        <w:rPr>
          <w:szCs w:val="26"/>
        </w:rPr>
        <w:t xml:space="preserve">In order for a Service Requester to have control over </w:t>
      </w:r>
      <w:r>
        <w:rPr>
          <w:szCs w:val="26"/>
        </w:rPr>
        <w:t>its</w:t>
      </w:r>
      <w:r w:rsidRPr="000603CD">
        <w:rPr>
          <w:szCs w:val="26"/>
        </w:rPr>
        <w:t xml:space="preserve"> segmented nomination(s), the </w:t>
      </w:r>
      <w:r>
        <w:rPr>
          <w:szCs w:val="26"/>
        </w:rPr>
        <w:t>Transportation Service Provider (</w:t>
      </w:r>
      <w:r w:rsidRPr="000603CD">
        <w:rPr>
          <w:szCs w:val="26"/>
        </w:rPr>
        <w:t>TSP</w:t>
      </w:r>
      <w:r>
        <w:rPr>
          <w:szCs w:val="26"/>
        </w:rPr>
        <w:t>)</w:t>
      </w:r>
      <w:r w:rsidRPr="000603CD">
        <w:rPr>
          <w:szCs w:val="26"/>
        </w:rPr>
        <w:t xml:space="preserve"> will require a </w:t>
      </w:r>
      <w:r>
        <w:rPr>
          <w:szCs w:val="26"/>
        </w:rPr>
        <w:t>“</w:t>
      </w:r>
      <w:r w:rsidRPr="000603CD">
        <w:rPr>
          <w:szCs w:val="26"/>
        </w:rPr>
        <w:t>Capacity Block ID</w:t>
      </w:r>
      <w:r>
        <w:rPr>
          <w:szCs w:val="26"/>
        </w:rPr>
        <w:t>”</w:t>
      </w:r>
      <w:r w:rsidRPr="000603CD">
        <w:rPr>
          <w:szCs w:val="26"/>
        </w:rPr>
        <w:t xml:space="preserve"> to be submitted with each nomination line item specifying a Transaction Type of “Segmented.</w:t>
      </w:r>
      <w:r>
        <w:rPr>
          <w:szCs w:val="26"/>
        </w:rPr>
        <w:t>”</w:t>
      </w:r>
    </w:p>
  </w:footnote>
  <w:footnote w:id="19">
    <w:p w14:paraId="62648D8D" w14:textId="77777777" w:rsidR="00E2173D" w:rsidRDefault="00E2173D" w:rsidP="00E2173D">
      <w:pPr>
        <w:pStyle w:val="FootnoteText"/>
        <w:rPr>
          <w:rFonts w:asciiTheme="minorHAnsi" w:hAnsiTheme="minorHAnsi" w:cstheme="minorBidi"/>
        </w:rPr>
      </w:pPr>
      <w:r>
        <w:rPr>
          <w:rStyle w:val="FootnoteReference"/>
        </w:rPr>
        <w:footnoteRef/>
      </w:r>
      <w:r>
        <w:rPr>
          <w:szCs w:val="26"/>
        </w:rPr>
        <w:t xml:space="preserve"> NAESB WGQ Version 3.2 Standards 1.3.14, 1.3.15, 1.3.82, and 3.3.3.</w:t>
      </w:r>
    </w:p>
  </w:footnote>
  <w:footnote w:id="20">
    <w:p w14:paraId="469748BE" w14:textId="77777777" w:rsidR="00E2173D" w:rsidRDefault="00E2173D" w:rsidP="00E2173D">
      <w:pPr>
        <w:pStyle w:val="FootnoteText"/>
        <w:rPr>
          <w:rFonts w:asciiTheme="minorHAnsi" w:hAnsiTheme="minorHAnsi" w:cstheme="minorBidi"/>
        </w:rPr>
      </w:pPr>
      <w:r>
        <w:rPr>
          <w:rStyle w:val="FootnoteReference"/>
        </w:rPr>
        <w:footnoteRef/>
      </w:r>
      <w:r>
        <w:rPr>
          <w:szCs w:val="26"/>
        </w:rPr>
        <w:t xml:space="preserve"> NAESB WGQ Version 3.2 Standards 0.4.1 through 0.4.3, 1.4.1, 1.4.3 through 1.4.6, 2.4.1, 2.4.6, 2.4.17, 3.4.1, 3.4.2, 5.4.24 through 5.4.26.</w:t>
      </w:r>
    </w:p>
  </w:footnote>
  <w:footnote w:id="21">
    <w:p w14:paraId="34CE77CB" w14:textId="4B23611F" w:rsidR="00E2173D" w:rsidRDefault="00E2173D" w:rsidP="00E2173D">
      <w:pPr>
        <w:pStyle w:val="FootnoteText"/>
      </w:pPr>
      <w:r w:rsidRPr="00932257">
        <w:rPr>
          <w:rStyle w:val="FootnoteReference"/>
        </w:rPr>
        <w:footnoteRef/>
      </w:r>
      <w:r>
        <w:t xml:space="preserve"> </w:t>
      </w:r>
      <w:r w:rsidRPr="005E4BDE">
        <w:rPr>
          <w:i/>
        </w:rPr>
        <w:t>See</w:t>
      </w:r>
      <w:r>
        <w:rPr>
          <w:i/>
        </w:rPr>
        <w:t>, e.g.,</w:t>
      </w:r>
      <w:r w:rsidRPr="005E4BDE">
        <w:rPr>
          <w:i/>
        </w:rPr>
        <w:t xml:space="preserve"> Standards for </w:t>
      </w:r>
      <w:r>
        <w:rPr>
          <w:i/>
        </w:rPr>
        <w:t>Bus.</w:t>
      </w:r>
      <w:r w:rsidRPr="005E4BDE">
        <w:rPr>
          <w:i/>
        </w:rPr>
        <w:t xml:space="preserve"> Practices of Interstate </w:t>
      </w:r>
      <w:r>
        <w:rPr>
          <w:i/>
        </w:rPr>
        <w:t>Nat.</w:t>
      </w:r>
      <w:r w:rsidRPr="005E4BDE">
        <w:rPr>
          <w:i/>
        </w:rPr>
        <w:t xml:space="preserve"> Gas Pipelines</w:t>
      </w:r>
      <w:r>
        <w:t xml:space="preserve">, Notice of Proposed Rulemaking, </w:t>
      </w:r>
      <w:r w:rsidRPr="0039464E">
        <w:t>164 FERC ¶ 61,125</w:t>
      </w:r>
      <w:r>
        <w:t>, at P 16 (2018) (</w:t>
      </w:r>
      <w:r w:rsidRPr="000603CD">
        <w:rPr>
          <w:i/>
          <w:iCs/>
        </w:rPr>
        <w:t>WGQ Version 3.</w:t>
      </w:r>
      <w:r>
        <w:rPr>
          <w:i/>
          <w:iCs/>
        </w:rPr>
        <w:t>1</w:t>
      </w:r>
      <w:r w:rsidRPr="000603CD">
        <w:rPr>
          <w:i/>
          <w:iCs/>
        </w:rPr>
        <w:t xml:space="preserve"> </w:t>
      </w:r>
      <w:r w:rsidR="00790F34">
        <w:rPr>
          <w:i/>
          <w:iCs/>
        </w:rPr>
        <w:t>Proposed Rule</w:t>
      </w:r>
      <w:r>
        <w:t>).</w:t>
      </w:r>
    </w:p>
  </w:footnote>
  <w:footnote w:id="22">
    <w:p w14:paraId="6FD66742" w14:textId="77777777" w:rsidR="00E2173D" w:rsidRPr="00393FAA" w:rsidRDefault="00E2173D" w:rsidP="00E2173D">
      <w:pPr>
        <w:pStyle w:val="FootnoteText"/>
      </w:pPr>
      <w:r w:rsidRPr="00932257">
        <w:rPr>
          <w:rStyle w:val="FootnoteReference"/>
        </w:rPr>
        <w:footnoteRef/>
      </w:r>
      <w:r>
        <w:t xml:space="preserve"> </w:t>
      </w:r>
      <w:r w:rsidRPr="005B1E93">
        <w:rPr>
          <w:i/>
        </w:rPr>
        <w:t>Id.</w:t>
      </w:r>
      <w:r>
        <w:t xml:space="preserve">, </w:t>
      </w:r>
      <w:r w:rsidRPr="00716C7A">
        <w:rPr>
          <w:i/>
        </w:rPr>
        <w:t xml:space="preserve">Standards for </w:t>
      </w:r>
      <w:r>
        <w:rPr>
          <w:i/>
        </w:rPr>
        <w:t>Bus.</w:t>
      </w:r>
      <w:r w:rsidRPr="00716C7A">
        <w:rPr>
          <w:i/>
        </w:rPr>
        <w:t xml:space="preserve"> Practices of Interstate </w:t>
      </w:r>
      <w:r>
        <w:rPr>
          <w:i/>
        </w:rPr>
        <w:t>Nat.</w:t>
      </w:r>
      <w:r w:rsidRPr="00716C7A">
        <w:rPr>
          <w:i/>
        </w:rPr>
        <w:t xml:space="preserve"> Gas Pipelines</w:t>
      </w:r>
      <w:r>
        <w:rPr>
          <w:i/>
        </w:rPr>
        <w:t>,</w:t>
      </w:r>
      <w:r w:rsidRPr="00716C7A">
        <w:t xml:space="preserve"> </w:t>
      </w:r>
      <w:r>
        <w:t>Ord. No.</w:t>
      </w:r>
      <w:r w:rsidRPr="006224AA">
        <w:t xml:space="preserve"> 587-V, </w:t>
      </w:r>
      <w:r w:rsidRPr="008127C6">
        <w:t>140 FERC ¶ 61,036</w:t>
      </w:r>
      <w:r>
        <w:t>,</w:t>
      </w:r>
      <w:r w:rsidRPr="006224AA">
        <w:t xml:space="preserve"> at </w:t>
      </w:r>
      <w:r>
        <w:t>n.11 (2012) (Ord. No. 587-V).</w:t>
      </w:r>
    </w:p>
  </w:footnote>
  <w:footnote w:id="23">
    <w:p w14:paraId="0F4437E1" w14:textId="315069C2" w:rsidR="00E2173D" w:rsidRDefault="00E2173D" w:rsidP="00E2173D">
      <w:pPr>
        <w:pStyle w:val="FootnoteText"/>
      </w:pPr>
      <w:r w:rsidRPr="00932257">
        <w:rPr>
          <w:rStyle w:val="FootnoteReference"/>
        </w:rPr>
        <w:footnoteRef/>
      </w:r>
      <w:r>
        <w:t xml:space="preserve"> </w:t>
      </w:r>
      <w:r w:rsidRPr="005B1E93">
        <w:rPr>
          <w:i/>
        </w:rPr>
        <w:t>WGQ Version 3.</w:t>
      </w:r>
      <w:r>
        <w:rPr>
          <w:i/>
        </w:rPr>
        <w:t>1</w:t>
      </w:r>
      <w:r w:rsidRPr="005B1E93">
        <w:rPr>
          <w:i/>
        </w:rPr>
        <w:t xml:space="preserve"> </w:t>
      </w:r>
      <w:r w:rsidR="00790F34">
        <w:rPr>
          <w:i/>
        </w:rPr>
        <w:t>Proposed Rule</w:t>
      </w:r>
      <w:r w:rsidRPr="005B1E93">
        <w:t xml:space="preserve">, </w:t>
      </w:r>
      <w:r w:rsidRPr="0039464E">
        <w:t>164 FERC ¶ 61,125</w:t>
      </w:r>
      <w:r w:rsidRPr="005B1E93">
        <w:t xml:space="preserve"> at P </w:t>
      </w:r>
      <w:r>
        <w:t xml:space="preserve">16; </w:t>
      </w:r>
      <w:r>
        <w:rPr>
          <w:i/>
        </w:rPr>
        <w:t>Elec.</w:t>
      </w:r>
      <w:r w:rsidRPr="006B6CBC">
        <w:rPr>
          <w:i/>
        </w:rPr>
        <w:t xml:space="preserve"> Tariff Filings</w:t>
      </w:r>
      <w:r>
        <w:t xml:space="preserve">, Ord. No. 714, </w:t>
      </w:r>
      <w:r w:rsidRPr="008127C6">
        <w:t>124 FERC ¶ 61,270</w:t>
      </w:r>
      <w:r>
        <w:t xml:space="preserve"> (2008).</w:t>
      </w:r>
    </w:p>
  </w:footnote>
  <w:footnote w:id="24">
    <w:p w14:paraId="4720719A" w14:textId="77777777" w:rsidR="00E2173D" w:rsidRDefault="00E2173D" w:rsidP="00E2173D">
      <w:pPr>
        <w:pStyle w:val="FootnoteText"/>
      </w:pPr>
      <w:r w:rsidRPr="00932257">
        <w:rPr>
          <w:rStyle w:val="FootnoteReference"/>
        </w:rPr>
        <w:footnoteRef/>
      </w:r>
      <w:r>
        <w:t xml:space="preserve"> Ord. No.</w:t>
      </w:r>
      <w:r w:rsidRPr="00561059">
        <w:t xml:space="preserve"> 587-V, </w:t>
      </w:r>
      <w:r w:rsidRPr="008127C6">
        <w:t>140 FERC ¶ 61,036</w:t>
      </w:r>
      <w:r w:rsidRPr="00561059">
        <w:t xml:space="preserve"> at</w:t>
      </w:r>
      <w:r>
        <w:t xml:space="preserve"> PP 36-39.</w:t>
      </w:r>
    </w:p>
  </w:footnote>
  <w:footnote w:id="25">
    <w:p w14:paraId="42B309FF" w14:textId="77777777" w:rsidR="00E2173D" w:rsidRDefault="00E2173D" w:rsidP="00E2173D">
      <w:pPr>
        <w:pStyle w:val="FootnoteText"/>
      </w:pPr>
      <w:r w:rsidRPr="00932257">
        <w:rPr>
          <w:rStyle w:val="FootnoteReference"/>
        </w:rPr>
        <w:footnoteRef/>
      </w:r>
      <w:r>
        <w:t xml:space="preserve"> </w:t>
      </w:r>
      <w:r w:rsidRPr="00716C7A">
        <w:rPr>
          <w:i/>
        </w:rPr>
        <w:t>Trans-Union Interstate Pipeline L.P</w:t>
      </w:r>
      <w:r w:rsidRPr="00716C7A">
        <w:t>.</w:t>
      </w:r>
      <w:r>
        <w:t xml:space="preserve">, </w:t>
      </w:r>
      <w:r w:rsidRPr="00561059">
        <w:t>141 FERC ¶</w:t>
      </w:r>
      <w:r>
        <w:t xml:space="preserve"> </w:t>
      </w:r>
      <w:r w:rsidRPr="00561059">
        <w:t>61,167</w:t>
      </w:r>
      <w:r>
        <w:t>, at P 36 (2012) (Ord. No.</w:t>
      </w:r>
      <w:r w:rsidRPr="00716C7A">
        <w:t xml:space="preserve"> 587-V</w:t>
      </w:r>
      <w:r>
        <w:t xml:space="preserve"> Compliance Order).</w:t>
      </w:r>
    </w:p>
  </w:footnote>
  <w:footnote w:id="26">
    <w:p w14:paraId="69934870" w14:textId="47D735F6" w:rsidR="00E2173D" w:rsidRDefault="00E2173D" w:rsidP="00E2173D">
      <w:pPr>
        <w:pStyle w:val="FootnoteText"/>
      </w:pPr>
      <w:r w:rsidRPr="00932257">
        <w:rPr>
          <w:rStyle w:val="FootnoteReference"/>
        </w:rPr>
        <w:footnoteRef/>
      </w:r>
      <w:r>
        <w:t xml:space="preserve"> </w:t>
      </w:r>
      <w:r w:rsidRPr="00E832D2">
        <w:rPr>
          <w:i/>
        </w:rPr>
        <w:t>Id.</w:t>
      </w:r>
      <w:r w:rsidRPr="00E832D2">
        <w:t xml:space="preserve"> P 3</w:t>
      </w:r>
      <w:r>
        <w:t xml:space="preserve">6; </w:t>
      </w:r>
      <w:r w:rsidRPr="000603CD">
        <w:rPr>
          <w:i/>
          <w:iCs/>
        </w:rPr>
        <w:t xml:space="preserve">WGQ Version 3.1 </w:t>
      </w:r>
      <w:r w:rsidR="00790F34">
        <w:rPr>
          <w:i/>
          <w:iCs/>
        </w:rPr>
        <w:t>Proposed Rule</w:t>
      </w:r>
      <w:r>
        <w:t xml:space="preserve">, </w:t>
      </w:r>
      <w:r w:rsidRPr="0039464E">
        <w:t>164 FERC ¶ 61,125</w:t>
      </w:r>
      <w:r>
        <w:t xml:space="preserve"> at P 18</w:t>
      </w:r>
      <w:r w:rsidRPr="00E832D2">
        <w:t>.</w:t>
      </w:r>
    </w:p>
  </w:footnote>
  <w:footnote w:id="27">
    <w:p w14:paraId="524ED17E" w14:textId="77777777" w:rsidR="00E2173D" w:rsidRDefault="00E2173D" w:rsidP="00E2173D">
      <w:pPr>
        <w:pStyle w:val="FootnoteText"/>
      </w:pPr>
      <w:r>
        <w:rPr>
          <w:rStyle w:val="FootnoteReference"/>
        </w:rPr>
        <w:footnoteRef/>
      </w:r>
      <w:r>
        <w:t xml:space="preserve"> </w:t>
      </w:r>
      <w:r w:rsidRPr="00F34FE4">
        <w:t>Shippers can use the Commission’s electronic tariff system to locate the tariff record containing the NAESB standards, which will indicate the docket in which any waiver or extension of time was granted.</w:t>
      </w:r>
    </w:p>
  </w:footnote>
  <w:footnote w:id="28">
    <w:p w14:paraId="34C7C2B0" w14:textId="77777777" w:rsidR="00E2173D" w:rsidRDefault="00E2173D" w:rsidP="00E2173D">
      <w:pPr>
        <w:pStyle w:val="FootnoteText"/>
      </w:pPr>
      <w:r w:rsidRPr="00932257">
        <w:rPr>
          <w:rStyle w:val="FootnoteReference"/>
        </w:rPr>
        <w:footnoteRef/>
      </w:r>
      <w:r>
        <w:t xml:space="preserve"> Ord. No. 587-V, </w:t>
      </w:r>
      <w:r w:rsidRPr="008127C6">
        <w:t>140 FERC ¶ 61,036</w:t>
      </w:r>
      <w:r>
        <w:t>.</w:t>
      </w:r>
    </w:p>
  </w:footnote>
  <w:footnote w:id="29">
    <w:p w14:paraId="6E84B3B3" w14:textId="77777777" w:rsidR="00E2173D" w:rsidRPr="00561059" w:rsidRDefault="00E2173D" w:rsidP="00E2173D">
      <w:pPr>
        <w:pStyle w:val="FootnoteText"/>
        <w:rPr>
          <w:color w:val="000000"/>
          <w:szCs w:val="23"/>
        </w:rPr>
      </w:pPr>
      <w:r w:rsidRPr="00932257">
        <w:rPr>
          <w:rStyle w:val="FootnoteReference"/>
        </w:rPr>
        <w:footnoteRef/>
      </w:r>
      <w:r>
        <w:t xml:space="preserve"> </w:t>
      </w:r>
      <w:r>
        <w:rPr>
          <w:color w:val="000000"/>
          <w:szCs w:val="23"/>
        </w:rPr>
        <w:t>Ord. No.</w:t>
      </w:r>
      <w:r w:rsidRPr="00BE6301">
        <w:rPr>
          <w:color w:val="000000"/>
          <w:szCs w:val="23"/>
        </w:rPr>
        <w:t xml:space="preserve"> 587-V Compliance Order,</w:t>
      </w:r>
      <w:r>
        <w:rPr>
          <w:i/>
          <w:color w:val="000000"/>
          <w:szCs w:val="23"/>
        </w:rPr>
        <w:t xml:space="preserve"> </w:t>
      </w:r>
      <w:r w:rsidRPr="00301287">
        <w:rPr>
          <w:color w:val="000000"/>
          <w:szCs w:val="23"/>
        </w:rPr>
        <w:t>141 FERC ¶</w:t>
      </w:r>
      <w:r>
        <w:t xml:space="preserve"> </w:t>
      </w:r>
      <w:r w:rsidRPr="00301287">
        <w:rPr>
          <w:color w:val="000000"/>
          <w:szCs w:val="23"/>
        </w:rPr>
        <w:t>61,167</w:t>
      </w:r>
      <w:r>
        <w:rPr>
          <w:color w:val="000000"/>
          <w:szCs w:val="23"/>
        </w:rPr>
        <w:t xml:space="preserve"> at PP 4, 38.</w:t>
      </w:r>
    </w:p>
  </w:footnote>
  <w:footnote w:id="30">
    <w:p w14:paraId="40F6DFDB" w14:textId="4B9EAB86" w:rsidR="00D36F12" w:rsidRPr="002567E4" w:rsidRDefault="00D36F12" w:rsidP="002567E4">
      <w:pPr>
        <w:pStyle w:val="FootnoteText"/>
      </w:pPr>
      <w:r w:rsidRPr="002567E4">
        <w:rPr>
          <w:rStyle w:val="FootnoteReference"/>
          <w:sz w:val="20"/>
          <w:szCs w:val="20"/>
        </w:rPr>
        <w:footnoteRef/>
      </w:r>
      <w:r w:rsidRPr="002567E4">
        <w:t xml:space="preserve"> More information is available on FERC’s eTariff page at</w:t>
      </w:r>
      <w:r w:rsidR="007B7E0C">
        <w:t xml:space="preserve"> </w:t>
      </w:r>
      <w:hyperlink r:id="rId1" w:history="1">
        <w:r w:rsidR="007B7E0C" w:rsidRPr="006E6CF9">
          <w:rPr>
            <w:rStyle w:val="Hyperlink"/>
          </w:rPr>
          <w:t>https://ferconline.ferc.gov/Login.aspx</w:t>
        </w:r>
      </w:hyperlink>
      <w:r w:rsidR="007B7E0C">
        <w:t xml:space="preserve">. </w:t>
      </w:r>
    </w:p>
  </w:footnote>
  <w:footnote w:id="31">
    <w:p w14:paraId="39D8825B" w14:textId="212705E1" w:rsidR="00015DA5" w:rsidRDefault="00D36F12" w:rsidP="002567E4">
      <w:pPr>
        <w:pStyle w:val="FootnoteText"/>
      </w:pPr>
      <w:r w:rsidRPr="002567E4">
        <w:rPr>
          <w:rStyle w:val="FootnoteReference"/>
          <w:sz w:val="20"/>
          <w:szCs w:val="20"/>
        </w:rPr>
        <w:footnoteRef/>
      </w:r>
      <w:r w:rsidRPr="002567E4">
        <w:t xml:space="preserve"> U.S. Small Business Administration, Table of Small Business Size Standards for  Pipeline Transportation of Natural Gas, NAICS Code 486210,  </w:t>
      </w:r>
      <w:r w:rsidR="00015DA5" w:rsidRPr="00015DA5">
        <w:t>Subsector 486-Pipeline Transportation; North</w:t>
      </w:r>
      <w:r w:rsidR="00015DA5">
        <w:t xml:space="preserve"> </w:t>
      </w:r>
      <w:r w:rsidR="00015DA5" w:rsidRPr="00015DA5">
        <w:t>American Industry Classification System code 486210; Pipeline Transportation of</w:t>
      </w:r>
      <w:r w:rsidR="00015DA5">
        <w:t xml:space="preserve"> </w:t>
      </w:r>
      <w:r w:rsidR="00015DA5" w:rsidRPr="00015DA5">
        <w:t>Natural Gas (2020)</w:t>
      </w:r>
      <w:r w:rsidR="00015DA5">
        <w:t xml:space="preserve"> </w:t>
      </w:r>
      <w:r w:rsidRPr="002567E4">
        <w:t>available at</w:t>
      </w:r>
      <w:hyperlink r:id="rId2" w:history="1">
        <w:r w:rsidR="00015DA5" w:rsidRPr="00216693">
          <w:rPr>
            <w:rStyle w:val="Hyperlink"/>
          </w:rPr>
          <w:t>https://www.sba.gov/sites/default/files/2019-08/SBA%20Table%20of%20Size%20Standards_Effective%20Aug%2019%2C%202019_Rev.pdf</w:t>
        </w:r>
      </w:hyperlink>
      <w:r w:rsidR="00015DA5">
        <w:t>.</w:t>
      </w:r>
    </w:p>
    <w:p w14:paraId="075C000E" w14:textId="77777777" w:rsidR="00015DA5" w:rsidRDefault="00015DA5" w:rsidP="002567E4">
      <w:pPr>
        <w:pStyle w:val="FootnoteText"/>
      </w:pPr>
    </w:p>
    <w:p w14:paraId="59F6B092" w14:textId="7119462D" w:rsidR="00D36F12" w:rsidRPr="002567E4" w:rsidRDefault="00015DA5" w:rsidP="002567E4">
      <w:pPr>
        <w:pStyle w:val="FootnoteText"/>
      </w:pPr>
      <w:r>
        <w:t>.</w:t>
      </w:r>
      <w:r w:rsidR="00D36F12" w:rsidRPr="002567E4">
        <w:t xml:space="preserve">, Subsector 486. </w:t>
      </w:r>
    </w:p>
    <w:p w14:paraId="67E0ACF9" w14:textId="7D9585A6" w:rsidR="00D36F12" w:rsidRPr="002567E4" w:rsidRDefault="00D36F12" w:rsidP="002567E4">
      <w:pPr>
        <w:pStyle w:val="FootnoteText"/>
      </w:pPr>
      <w:r w:rsidRPr="002567E4">
        <w:t>Matched to North American Industry Classification System Codes, Natural Gas Pipeline Transportation, NAICS Code 486210, page 27.</w:t>
      </w:r>
    </w:p>
  </w:footnote>
  <w:footnote w:id="32">
    <w:p w14:paraId="4E9E944D" w14:textId="77777777" w:rsidR="00F90719" w:rsidRDefault="00F90719" w:rsidP="00F90719">
      <w:pPr>
        <w:pStyle w:val="FootnoteText"/>
      </w:pPr>
      <w:r w:rsidRPr="00932257">
        <w:rPr>
          <w:rStyle w:val="FootnoteReference"/>
        </w:rPr>
        <w:footnoteRef/>
      </w:r>
      <w:r>
        <w:t xml:space="preserve"> </w:t>
      </w:r>
      <w:r w:rsidRPr="00E64311">
        <w:t>FERC-545 covers rate change filings made by natural gas pipelines, including tariff changes.</w:t>
      </w:r>
    </w:p>
  </w:footnote>
  <w:footnote w:id="33">
    <w:p w14:paraId="34AC3394" w14:textId="77777777" w:rsidR="00F90719" w:rsidRDefault="00F90719" w:rsidP="00F90719">
      <w:pPr>
        <w:pStyle w:val="FootnoteText"/>
      </w:pPr>
      <w:r w:rsidRPr="00932257">
        <w:rPr>
          <w:rStyle w:val="FootnoteReference"/>
        </w:rPr>
        <w:footnoteRef/>
      </w:r>
      <w:r>
        <w:t xml:space="preserve"> </w:t>
      </w:r>
      <w:r w:rsidRPr="00E64311">
        <w:t>FERC-549C covers Standards for Business Practices of Interstate Natural Gas Pipelines.</w:t>
      </w:r>
    </w:p>
  </w:footnote>
  <w:footnote w:id="34">
    <w:p w14:paraId="4D4373EE" w14:textId="77777777" w:rsidR="00F90719" w:rsidRDefault="00F90719" w:rsidP="00F90719">
      <w:pPr>
        <w:pStyle w:val="FootnoteText"/>
      </w:pPr>
      <w:r w:rsidRPr="00932257">
        <w:rPr>
          <w:rStyle w:val="FootnoteReference"/>
        </w:rPr>
        <w:footnoteRef/>
      </w:r>
      <w:r>
        <w:t xml:space="preserve"> The number of respondents is the number of entities in which a change in burden from the current standards to the proposed exists, not the total number of entities from the current or proposed standards that are applicable.</w:t>
      </w:r>
    </w:p>
  </w:footnote>
  <w:footnote w:id="35">
    <w:p w14:paraId="2FC35006" w14:textId="77777777" w:rsidR="00F90719" w:rsidRDefault="00F90719" w:rsidP="00F90719">
      <w:pPr>
        <w:pStyle w:val="FootnoteText"/>
        <w:rPr>
          <w:szCs w:val="26"/>
        </w:rPr>
      </w:pPr>
      <w:r w:rsidRPr="00932257">
        <w:rPr>
          <w:rStyle w:val="FootnoteReference"/>
        </w:rPr>
        <w:footnoteRef/>
      </w:r>
      <w:r>
        <w:t xml:space="preserve"> </w:t>
      </w:r>
      <w:r w:rsidRPr="00086BC1">
        <w:rPr>
          <w:szCs w:val="26"/>
        </w:rPr>
        <w:t>The estimated hourly cost (salary plus benefits) provided in this section is based on</w:t>
      </w:r>
      <w:r>
        <w:rPr>
          <w:szCs w:val="26"/>
        </w:rPr>
        <w:t xml:space="preserve"> the salary figures for </w:t>
      </w:r>
      <w:r w:rsidRPr="00795D0F">
        <w:rPr>
          <w:szCs w:val="26"/>
        </w:rPr>
        <w:t xml:space="preserve">May 2019 posted </w:t>
      </w:r>
      <w:r w:rsidRPr="00086BC1">
        <w:rPr>
          <w:szCs w:val="26"/>
        </w:rPr>
        <w:t xml:space="preserve">by the Bureau of Labor Statistics for the Utilities sector (available at </w:t>
      </w:r>
      <w:hyperlink r:id="rId3" w:history="1">
        <w:r w:rsidRPr="007C0B8D">
          <w:rPr>
            <w:rStyle w:val="Hyperlink"/>
            <w:szCs w:val="26"/>
          </w:rPr>
          <w:t>https://www.bls.gov/oes/current/naics3_221000.htm</w:t>
        </w:r>
      </w:hyperlink>
      <w:r w:rsidRPr="00F629A1">
        <w:rPr>
          <w:szCs w:val="26"/>
        </w:rPr>
        <w:t>)</w:t>
      </w:r>
      <w:r>
        <w:rPr>
          <w:szCs w:val="26"/>
        </w:rPr>
        <w:t xml:space="preserve"> </w:t>
      </w:r>
      <w:r w:rsidRPr="00086BC1">
        <w:rPr>
          <w:szCs w:val="26"/>
        </w:rPr>
        <w:t xml:space="preserve">and scaled to reflect benefits using the relative importance of employer costs </w:t>
      </w:r>
      <w:r>
        <w:rPr>
          <w:szCs w:val="26"/>
        </w:rPr>
        <w:t xml:space="preserve">for </w:t>
      </w:r>
      <w:r w:rsidRPr="00086BC1">
        <w:rPr>
          <w:szCs w:val="26"/>
        </w:rPr>
        <w:t>empl</w:t>
      </w:r>
      <w:r>
        <w:rPr>
          <w:szCs w:val="26"/>
        </w:rPr>
        <w:t>oyee compensation from June 2020</w:t>
      </w:r>
      <w:r w:rsidRPr="00086BC1">
        <w:rPr>
          <w:szCs w:val="26"/>
        </w:rPr>
        <w:t xml:space="preserve"> (available at</w:t>
      </w:r>
      <w:r>
        <w:rPr>
          <w:szCs w:val="26"/>
        </w:rPr>
        <w:t xml:space="preserve"> </w:t>
      </w:r>
      <w:hyperlink r:id="rId4" w:history="1">
        <w:r w:rsidRPr="007C0B8D">
          <w:rPr>
            <w:rStyle w:val="Hyperlink"/>
            <w:szCs w:val="26"/>
          </w:rPr>
          <w:t>https://www.bls.gov/news.release/ecec.nr0.htm</w:t>
        </w:r>
      </w:hyperlink>
      <w:r w:rsidRPr="00086BC1">
        <w:rPr>
          <w:szCs w:val="26"/>
        </w:rPr>
        <w:t xml:space="preserve">). </w:t>
      </w:r>
      <w:r>
        <w:rPr>
          <w:szCs w:val="26"/>
        </w:rPr>
        <w:t xml:space="preserve"> </w:t>
      </w:r>
      <w:r w:rsidRPr="00086BC1">
        <w:rPr>
          <w:szCs w:val="26"/>
        </w:rPr>
        <w:t xml:space="preserve">The hourly estimates for salary plus benefits are: </w:t>
      </w:r>
    </w:p>
    <w:p w14:paraId="72E1B27F" w14:textId="77777777" w:rsidR="00F90719" w:rsidRDefault="00F90719" w:rsidP="00F90719">
      <w:pPr>
        <w:pStyle w:val="FootnoteText"/>
        <w:rPr>
          <w:rFonts w:eastAsia="Calibri"/>
          <w:szCs w:val="26"/>
        </w:rPr>
      </w:pPr>
      <w:r w:rsidRPr="00086BC1">
        <w:rPr>
          <w:rFonts w:eastAsia="Calibri"/>
          <w:szCs w:val="26"/>
        </w:rPr>
        <w:t>Computer and I</w:t>
      </w:r>
      <w:r>
        <w:rPr>
          <w:rFonts w:eastAsia="Calibri"/>
          <w:szCs w:val="26"/>
        </w:rPr>
        <w:t>nformation Systems Manager (Occupation Code: 11-3021), $101.58</w:t>
      </w:r>
    </w:p>
    <w:p w14:paraId="57899471" w14:textId="77777777" w:rsidR="00F90719" w:rsidRDefault="00F90719" w:rsidP="00F90719">
      <w:pPr>
        <w:pStyle w:val="FootnoteText"/>
        <w:rPr>
          <w:rFonts w:eastAsia="Calibri"/>
          <w:szCs w:val="26"/>
        </w:rPr>
      </w:pPr>
      <w:r>
        <w:rPr>
          <w:rFonts w:eastAsia="Calibri"/>
          <w:szCs w:val="26"/>
        </w:rPr>
        <w:t>Computer and Information Analysts (Occupation Code:  15-1120(1221), $87.42</w:t>
      </w:r>
    </w:p>
    <w:p w14:paraId="541098E1" w14:textId="77777777" w:rsidR="00F90719" w:rsidRDefault="00F90719" w:rsidP="00F90719">
      <w:pPr>
        <w:pStyle w:val="FootnoteText"/>
        <w:rPr>
          <w:rFonts w:eastAsia="Calibri"/>
          <w:szCs w:val="26"/>
        </w:rPr>
      </w:pPr>
      <w:r>
        <w:rPr>
          <w:rFonts w:eastAsia="Calibri"/>
          <w:szCs w:val="26"/>
        </w:rPr>
        <w:t>Electrical Engineer (Occupation Code: 17-2071), $70.19</w:t>
      </w:r>
    </w:p>
    <w:p w14:paraId="1BC5C3CF" w14:textId="77777777" w:rsidR="00F90719" w:rsidRPr="00086BC1" w:rsidRDefault="00F90719" w:rsidP="00F90719">
      <w:pPr>
        <w:pStyle w:val="FootnoteText"/>
        <w:rPr>
          <w:rFonts w:eastAsia="Calibri"/>
          <w:szCs w:val="26"/>
        </w:rPr>
      </w:pPr>
      <w:r>
        <w:rPr>
          <w:rFonts w:eastAsia="Calibri"/>
          <w:szCs w:val="26"/>
        </w:rPr>
        <w:t>Legal (Occupation Code:</w:t>
      </w:r>
      <w:r w:rsidRPr="00086BC1">
        <w:rPr>
          <w:rFonts w:eastAsia="Calibri"/>
          <w:szCs w:val="26"/>
        </w:rPr>
        <w:t xml:space="preserve"> 23-0000), $14</w:t>
      </w:r>
      <w:r>
        <w:rPr>
          <w:rFonts w:eastAsia="Calibri"/>
          <w:szCs w:val="26"/>
        </w:rPr>
        <w:t>2.65</w:t>
      </w:r>
    </w:p>
    <w:p w14:paraId="0CF5AE66" w14:textId="77777777" w:rsidR="00F90719" w:rsidRPr="00C328EF" w:rsidRDefault="00F90719" w:rsidP="00910DCD">
      <w:pPr>
        <w:pStyle w:val="FootnoteText"/>
      </w:pPr>
      <w:r w:rsidRPr="00086BC1">
        <w:t>The average hourly cost (salary plus benefits), weighting all of th</w:t>
      </w:r>
      <w:r>
        <w:t>ese skill sets evenly, is $100.50</w:t>
      </w:r>
      <w:r w:rsidRPr="00086BC1">
        <w:t>.</w:t>
      </w:r>
      <w:r>
        <w:t xml:space="preserve">  We round it to $101/</w:t>
      </w:r>
      <w:r w:rsidRPr="00086BC1">
        <w:t>hour.</w:t>
      </w:r>
    </w:p>
  </w:footnote>
  <w:footnote w:id="36">
    <w:p w14:paraId="1AA21F48" w14:textId="7A9EEC79" w:rsidR="00D36F12" w:rsidRPr="002567E4" w:rsidRDefault="00D36F12" w:rsidP="002567E4">
      <w:pPr>
        <w:pStyle w:val="FootnoteText"/>
      </w:pPr>
      <w:r w:rsidRPr="002567E4">
        <w:rPr>
          <w:rStyle w:val="FootnoteReference"/>
          <w:sz w:val="20"/>
          <w:szCs w:val="20"/>
        </w:rPr>
        <w:footnoteRef/>
      </w:r>
      <w:r w:rsidRPr="002567E4">
        <w:t xml:space="preserve"> Based on FERC’s Fiscal Year 20</w:t>
      </w:r>
      <w:r w:rsidR="00573C31">
        <w:t>19</w:t>
      </w:r>
      <w:r w:rsidRPr="002567E4">
        <w:t xml:space="preserve"> average cost per FTE (salary plus benefits) of $1</w:t>
      </w:r>
      <w:r w:rsidR="00573C31">
        <w:t>72,329</w:t>
      </w:r>
      <w:r w:rsidRPr="002567E4">
        <w:t xml:space="preserve"> per year (or 2,080 work hours), rounded to $</w:t>
      </w:r>
      <w:r w:rsidR="00F90719">
        <w:t>83</w:t>
      </w:r>
      <w:r w:rsidRPr="002567E4">
        <w:t xml:space="preserve">.00 per hour. </w:t>
      </w:r>
    </w:p>
  </w:footnote>
  <w:footnote w:id="37">
    <w:p w14:paraId="5896C281" w14:textId="77777777" w:rsidR="00D36F12" w:rsidRPr="002567E4" w:rsidRDefault="00D36F12" w:rsidP="002567E4">
      <w:pPr>
        <w:pStyle w:val="FootnoteText"/>
      </w:pPr>
      <w:r w:rsidRPr="002567E4">
        <w:rPr>
          <w:rStyle w:val="FootnoteReference"/>
          <w:sz w:val="20"/>
          <w:szCs w:val="20"/>
        </w:rPr>
        <w:footnoteRef/>
      </w:r>
      <w:r w:rsidRPr="002567E4">
        <w:t xml:space="preserve"> Paperwork Reduction Act of 1995 (PRA)</w:t>
      </w:r>
    </w:p>
  </w:footnote>
  <w:footnote w:id="38">
    <w:p w14:paraId="2AB0B54B" w14:textId="71A62A73" w:rsidR="00D36F12" w:rsidRPr="002567E4" w:rsidRDefault="00D36F12" w:rsidP="002567E4">
      <w:pPr>
        <w:pStyle w:val="FootnoteText"/>
      </w:pPr>
      <w:r w:rsidRPr="002567E4">
        <w:rPr>
          <w:rStyle w:val="FootnoteReference"/>
          <w:sz w:val="20"/>
          <w:szCs w:val="20"/>
        </w:rPr>
        <w:footnoteRef/>
      </w:r>
      <w:r w:rsidRPr="002567E4">
        <w:t xml:space="preserve"> The PRA Administration Cost is $ </w:t>
      </w:r>
      <w:r w:rsidR="00573C31">
        <w:t>6,</w:t>
      </w:r>
      <w:r w:rsidR="00714BD9">
        <w:t>475</w:t>
      </w:r>
      <w:r w:rsidRPr="002567E4">
        <w:t>, and includes preparing supporting statements, notices, and other activities associated with P</w:t>
      </w:r>
      <w:r w:rsidR="008B59AE">
        <w:t xml:space="preserve">RA </w:t>
      </w:r>
      <w:r w:rsidRPr="002567E4">
        <w:t>compliance.</w:t>
      </w:r>
    </w:p>
  </w:footnote>
  <w:footnote w:id="39">
    <w:p w14:paraId="26909FBA" w14:textId="77A386BE" w:rsidR="00A277D4" w:rsidRPr="002567E4" w:rsidRDefault="00A277D4" w:rsidP="002567E4">
      <w:pPr>
        <w:pStyle w:val="FootnoteText"/>
      </w:pPr>
      <w:r w:rsidRPr="002567E4">
        <w:rPr>
          <w:rStyle w:val="FootnoteReference"/>
          <w:sz w:val="20"/>
          <w:szCs w:val="20"/>
        </w:rPr>
        <w:footnoteRef/>
      </w:r>
      <w:r w:rsidRPr="002567E4">
        <w:t xml:space="preserve"> This cost will be applied to both the FERC-545 and FERC-549C</w:t>
      </w:r>
      <w:r w:rsidR="004D5056" w:rsidRPr="002567E4">
        <w:t xml:space="preserve"> information collections</w:t>
      </w:r>
      <w:r w:rsidR="006462AD" w:rsidRPr="002567E4">
        <w:t xml:space="preserve"> as related </w:t>
      </w:r>
      <w:r w:rsidR="008B59AE">
        <w:t xml:space="preserve">to </w:t>
      </w:r>
      <w:r w:rsidR="006462AD" w:rsidRPr="002567E4">
        <w:t>their respective ICRs.</w:t>
      </w:r>
    </w:p>
  </w:footnote>
  <w:footnote w:id="40">
    <w:p w14:paraId="5827BD56" w14:textId="77777777" w:rsidR="00D36F12" w:rsidRPr="002567E4" w:rsidRDefault="00D36F12" w:rsidP="002567E4">
      <w:pPr>
        <w:pStyle w:val="FootnoteText"/>
      </w:pPr>
      <w:r w:rsidRPr="002567E4">
        <w:rPr>
          <w:rStyle w:val="FootnoteReference"/>
          <w:sz w:val="20"/>
          <w:szCs w:val="20"/>
        </w:rPr>
        <w:footnoteRef/>
      </w:r>
      <w:r w:rsidRPr="002567E4">
        <w:t xml:space="preserve"> The estimate of federal FTE’s and the indicated split between FERC-545 and FERC-549C is based on staff’s experience and the fact that the FERC-545 filings are one-time filings, with the FERC-549C requirements both one-time and on-going.</w:t>
      </w:r>
    </w:p>
  </w:footnote>
  <w:footnote w:id="41">
    <w:p w14:paraId="079763D6" w14:textId="0EB77298" w:rsidR="00D36F12" w:rsidRPr="002567E4" w:rsidRDefault="00D36F12" w:rsidP="002567E4">
      <w:pPr>
        <w:pStyle w:val="FootnoteText"/>
      </w:pPr>
      <w:r w:rsidRPr="002567E4">
        <w:rPr>
          <w:rStyle w:val="FootnoteReference"/>
          <w:sz w:val="20"/>
          <w:szCs w:val="20"/>
        </w:rPr>
        <w:footnoteRef/>
      </w:r>
      <w:r w:rsidRPr="002567E4">
        <w:t xml:space="preserve"> </w:t>
      </w:r>
      <w:r w:rsidRPr="002567E4">
        <w:rPr>
          <w:shd w:val="clear" w:color="auto" w:fill="FFFFFF"/>
        </w:rPr>
        <w:t xml:space="preserve">The 1 FTE we are estimating here in connection with the issuance of the </w:t>
      </w:r>
      <w:r w:rsidR="00C152C8">
        <w:rPr>
          <w:shd w:val="clear" w:color="auto" w:fill="FFFFFF"/>
        </w:rPr>
        <w:t xml:space="preserve">Final </w:t>
      </w:r>
      <w:r w:rsidR="00790F34">
        <w:rPr>
          <w:shd w:val="clear" w:color="auto" w:fill="FFFFFF"/>
        </w:rPr>
        <w:t xml:space="preserve">Rule </w:t>
      </w:r>
      <w:r w:rsidRPr="002567E4">
        <w:rPr>
          <w:shd w:val="clear" w:color="auto" w:fill="FFFFFF"/>
        </w:rPr>
        <w:t xml:space="preserve">in Docket No. </w:t>
      </w:r>
      <w:r w:rsidRPr="002567E4">
        <w:rPr>
          <w:bCs/>
          <w:shd w:val="clear" w:color="auto" w:fill="FFFFFF"/>
        </w:rPr>
        <w:t>RM96-1-04</w:t>
      </w:r>
      <w:r w:rsidR="00573C31">
        <w:rPr>
          <w:bCs/>
          <w:shd w:val="clear" w:color="auto" w:fill="FFFFFF"/>
        </w:rPr>
        <w:t>2</w:t>
      </w:r>
      <w:r w:rsidRPr="002567E4">
        <w:rPr>
          <w:shd w:val="clear" w:color="auto" w:fill="FFFFFF"/>
        </w:rPr>
        <w:t xml:space="preserve"> does not represent an additional FTE.</w:t>
      </w:r>
      <w:r w:rsidR="00AC5B84" w:rsidRPr="002567E4">
        <w:rPr>
          <w:shd w:val="clear" w:color="auto" w:fill="FFFFFF"/>
        </w:rPr>
        <w:t xml:space="preserve"> </w:t>
      </w:r>
      <w:r w:rsidR="00C152C8">
        <w:rPr>
          <w:shd w:val="clear" w:color="auto" w:fill="FFFFFF"/>
        </w:rPr>
        <w:t xml:space="preserve"> </w:t>
      </w:r>
      <w:r w:rsidR="00AC5B84" w:rsidRPr="002567E4">
        <w:rPr>
          <w:shd w:val="clear" w:color="auto" w:fill="FFFFFF"/>
        </w:rPr>
        <w:t xml:space="preserve">Rather, 1 FTE represents federal effort as applied to both FERC-545 and FERC-549C currently and after the </w:t>
      </w:r>
      <w:r w:rsidR="00800B4C">
        <w:rPr>
          <w:shd w:val="clear" w:color="auto" w:fill="FFFFFF"/>
        </w:rPr>
        <w:t>Final Rule</w:t>
      </w:r>
      <w:r w:rsidR="00AC5B84" w:rsidRPr="002567E4">
        <w:rPr>
          <w:shd w:val="clear" w:color="auto" w:fill="FFFFFF"/>
        </w:rPr>
        <w:t xml:space="preserve"> is effective.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75F88" w14:textId="77777777" w:rsidR="00D36F12" w:rsidRPr="00F5428B" w:rsidRDefault="00D36F12" w:rsidP="008D4689">
    <w:pPr>
      <w:pStyle w:val="Header"/>
      <w:framePr w:wrap="around" w:vAnchor="text" w:hAnchor="margin" w:xAlign="right" w:y="1"/>
      <w:rPr>
        <w:rStyle w:val="PageNumber"/>
      </w:rPr>
    </w:pPr>
    <w:r w:rsidRPr="00F5428B">
      <w:rPr>
        <w:rStyle w:val="PageNumber"/>
      </w:rPr>
      <w:fldChar w:fldCharType="begin"/>
    </w:r>
    <w:r w:rsidRPr="00F5428B">
      <w:rPr>
        <w:rStyle w:val="PageNumber"/>
      </w:rPr>
      <w:instrText xml:space="preserve">PAGE  </w:instrText>
    </w:r>
    <w:r w:rsidRPr="00F5428B">
      <w:rPr>
        <w:rStyle w:val="PageNumber"/>
      </w:rPr>
      <w:fldChar w:fldCharType="separate"/>
    </w:r>
    <w:r w:rsidR="007F1802">
      <w:rPr>
        <w:rStyle w:val="PageNumber"/>
        <w:noProof/>
      </w:rPr>
      <w:t>1</w:t>
    </w:r>
    <w:r w:rsidRPr="00F5428B">
      <w:rPr>
        <w:rStyle w:val="PageNumber"/>
      </w:rPr>
      <w:fldChar w:fldCharType="end"/>
    </w:r>
  </w:p>
  <w:p w14:paraId="36C8BE19" w14:textId="2FA6C4C5" w:rsidR="00D36F12" w:rsidRDefault="00D36F12" w:rsidP="002B45F1">
    <w:pPr>
      <w:pStyle w:val="Header"/>
    </w:pPr>
    <w:r w:rsidRPr="00A873E5">
      <w:t>FERC-545 (OMB Control No. 1902-0154)</w:t>
    </w:r>
  </w:p>
  <w:p w14:paraId="2BD795A8" w14:textId="6AB0FBC9" w:rsidR="003B6C0A" w:rsidRPr="00A873E5" w:rsidRDefault="003B6C0A" w:rsidP="002B45F1">
    <w:pPr>
      <w:pStyle w:val="Header"/>
    </w:pPr>
    <w:r>
      <w:t>FERC-549C (OMB Control No. 1902-0174)</w:t>
    </w:r>
  </w:p>
  <w:p w14:paraId="4E3188D1" w14:textId="1D5BDCBC" w:rsidR="00D36F12" w:rsidRDefault="00D36F12" w:rsidP="008D4689">
    <w:pPr>
      <w:tabs>
        <w:tab w:val="left" w:pos="-1440"/>
      </w:tabs>
      <w:ind w:left="5760" w:right="360" w:hanging="5760"/>
      <w:rPr>
        <w:sz w:val="24"/>
      </w:rPr>
    </w:pPr>
    <w:r w:rsidRPr="00A873E5">
      <w:rPr>
        <w:sz w:val="24"/>
      </w:rPr>
      <w:t>Docket No. RM96-1-04</w:t>
    </w:r>
    <w:r w:rsidR="003F1AE2">
      <w:rPr>
        <w:sz w:val="24"/>
      </w:rPr>
      <w:t>2</w:t>
    </w:r>
    <w:r w:rsidRPr="00A873E5">
      <w:rPr>
        <w:sz w:val="24"/>
      </w:rPr>
      <w:t xml:space="preserve"> </w:t>
    </w:r>
    <w:r w:rsidR="00800B4C">
      <w:rPr>
        <w:sz w:val="24"/>
      </w:rPr>
      <w:t>Final Rule</w:t>
    </w:r>
    <w:r w:rsidR="00103C09">
      <w:rPr>
        <w:sz w:val="24"/>
      </w:rPr>
      <w:t xml:space="preserve"> </w:t>
    </w:r>
    <w:r w:rsidRPr="00A873E5">
      <w:rPr>
        <w:sz w:val="24"/>
      </w:rPr>
      <w:t xml:space="preserve">(issued </w:t>
    </w:r>
    <w:r w:rsidR="00C950E3">
      <w:rPr>
        <w:sz w:val="24"/>
      </w:rPr>
      <w:t>7/15/2021</w:t>
    </w:r>
    <w:r w:rsidR="00FB3975">
      <w:rPr>
        <w:sz w:val="24"/>
      </w:rPr>
      <w:t>)</w:t>
    </w:r>
    <w:r w:rsidR="00910DCD">
      <w:rPr>
        <w:sz w:val="24"/>
      </w:rPr>
      <w:t xml:space="preserve"> </w:t>
    </w:r>
    <w:r w:rsidR="00157642">
      <w:rPr>
        <w:sz w:val="24"/>
      </w:rPr>
      <w:t>(published 8/10/2021)</w:t>
    </w:r>
  </w:p>
  <w:p w14:paraId="7537BEA5" w14:textId="57B9FA37" w:rsidR="00910DCD" w:rsidRPr="00A873E5" w:rsidRDefault="00910DCD" w:rsidP="008D4689">
    <w:pPr>
      <w:tabs>
        <w:tab w:val="left" w:pos="-1440"/>
      </w:tabs>
      <w:ind w:left="5760" w:right="360" w:hanging="5760"/>
      <w:rPr>
        <w:sz w:val="24"/>
      </w:rPr>
    </w:pPr>
    <w:r>
      <w:rPr>
        <w:sz w:val="24"/>
      </w:rPr>
      <w:t>Updated:</w:t>
    </w:r>
    <w:r w:rsidR="00157642">
      <w:rPr>
        <w:sz w:val="24"/>
      </w:rPr>
      <w:t>8</w:t>
    </w:r>
    <w:r>
      <w:rPr>
        <w:sz w:val="24"/>
      </w:rPr>
      <w:t>/</w:t>
    </w:r>
    <w:r w:rsidR="00157642">
      <w:rPr>
        <w:sz w:val="24"/>
      </w:rPr>
      <w:t>10</w:t>
    </w:r>
    <w:r>
      <w:rPr>
        <w:sz w:val="24"/>
      </w:rPr>
      <w:t>/2021</w:t>
    </w:r>
  </w:p>
  <w:p w14:paraId="780E8A6C" w14:textId="0B5686F7" w:rsidR="00D36F12" w:rsidRDefault="00D36F12" w:rsidP="008D4689">
    <w:pPr>
      <w:tabs>
        <w:tab w:val="left" w:pos="-1440"/>
      </w:tabs>
      <w:ind w:left="5760" w:right="360" w:hanging="5760"/>
      <w:rPr>
        <w:sz w:val="24"/>
      </w:rPr>
    </w:pPr>
    <w:r w:rsidRPr="00A873E5">
      <w:rPr>
        <w:sz w:val="24"/>
      </w:rPr>
      <w:t xml:space="preserve">RIN:  </w:t>
    </w:r>
    <w:r w:rsidR="001915FB" w:rsidRPr="001915FB">
      <w:t>1902-AF80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31C72F6"/>
    <w:multiLevelType w:val="hybridMultilevel"/>
    <w:tmpl w:val="45CAD20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 w15:restartNumberingAfterBreak="0">
    <w:nsid w:val="05D32DCB"/>
    <w:multiLevelType w:val="hybridMultilevel"/>
    <w:tmpl w:val="1964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4364F"/>
    <w:multiLevelType w:val="hybridMultilevel"/>
    <w:tmpl w:val="8B4E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04DF4"/>
    <w:multiLevelType w:val="hybridMultilevel"/>
    <w:tmpl w:val="8794AC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3655DC0"/>
    <w:multiLevelType w:val="hybridMultilevel"/>
    <w:tmpl w:val="98F20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A208B7"/>
    <w:multiLevelType w:val="hybridMultilevel"/>
    <w:tmpl w:val="4472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1562D7"/>
    <w:multiLevelType w:val="hybridMultilevel"/>
    <w:tmpl w:val="57F2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E719D3"/>
    <w:multiLevelType w:val="hybridMultilevel"/>
    <w:tmpl w:val="B9A2F77C"/>
    <w:lvl w:ilvl="0" w:tplc="0409000F">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AC1F6C"/>
    <w:multiLevelType w:val="hybridMultilevel"/>
    <w:tmpl w:val="4F8A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6B3665"/>
    <w:multiLevelType w:val="hybridMultilevel"/>
    <w:tmpl w:val="1A1E3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84C7D3A"/>
    <w:multiLevelType w:val="hybridMultilevel"/>
    <w:tmpl w:val="32F2D67C"/>
    <w:lvl w:ilvl="0" w:tplc="2B943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087E03"/>
    <w:multiLevelType w:val="hybridMultilevel"/>
    <w:tmpl w:val="2F0C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19055B"/>
    <w:multiLevelType w:val="hybridMultilevel"/>
    <w:tmpl w:val="29866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3B09D3"/>
    <w:multiLevelType w:val="hybridMultilevel"/>
    <w:tmpl w:val="CBA4F348"/>
    <w:lvl w:ilvl="0" w:tplc="A886A3F8">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4E4DD3"/>
    <w:multiLevelType w:val="hybridMultilevel"/>
    <w:tmpl w:val="C6FC6362"/>
    <w:lvl w:ilvl="0" w:tplc="03DC8F60">
      <w:start w:val="1"/>
      <w:numFmt w:val="decimal"/>
      <w:lvlText w:val="%1."/>
      <w:lvlJc w:val="left"/>
      <w:pPr>
        <w:tabs>
          <w:tab w:val="num" w:pos="720"/>
        </w:tabs>
        <w:ind w:left="0" w:firstLine="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0"/>
    <w:lvlOverride w:ilvl="0">
      <w:startOverride w:val="11"/>
      <w:lvl w:ilvl="0">
        <w:start w:val="11"/>
        <w:numFmt w:val="decimal"/>
        <w:pStyle w:val="Level1"/>
        <w:lvlText w:val="%1."/>
        <w:lvlJc w:val="left"/>
      </w:lvl>
    </w:lvlOverride>
  </w:num>
  <w:num w:numId="4">
    <w:abstractNumId w:val="10"/>
  </w:num>
  <w:num w:numId="5">
    <w:abstractNumId w:val="4"/>
  </w:num>
  <w:num w:numId="6">
    <w:abstractNumId w:val="15"/>
  </w:num>
  <w:num w:numId="7">
    <w:abstractNumId w:val="3"/>
  </w:num>
  <w:num w:numId="8">
    <w:abstractNumId w:val="1"/>
  </w:num>
  <w:num w:numId="9">
    <w:abstractNumId w:val="7"/>
  </w:num>
  <w:num w:numId="10">
    <w:abstractNumId w:val="9"/>
  </w:num>
  <w:num w:numId="11">
    <w:abstractNumId w:val="13"/>
  </w:num>
  <w:num w:numId="12">
    <w:abstractNumId w:val="2"/>
  </w:num>
  <w:num w:numId="13">
    <w:abstractNumId w:val="12"/>
  </w:num>
  <w:num w:numId="14">
    <w:abstractNumId w:val="14"/>
  </w:num>
  <w:num w:numId="15">
    <w:abstractNumId w:val="11"/>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BE"/>
    <w:rsid w:val="00006D51"/>
    <w:rsid w:val="00015DA5"/>
    <w:rsid w:val="00023257"/>
    <w:rsid w:val="000326C9"/>
    <w:rsid w:val="00035182"/>
    <w:rsid w:val="000524C2"/>
    <w:rsid w:val="00052AF3"/>
    <w:rsid w:val="000652A8"/>
    <w:rsid w:val="00074EFD"/>
    <w:rsid w:val="00095B57"/>
    <w:rsid w:val="000B2C2A"/>
    <w:rsid w:val="000C0189"/>
    <w:rsid w:val="000C4030"/>
    <w:rsid w:val="000D03CF"/>
    <w:rsid w:val="000E2C3C"/>
    <w:rsid w:val="000E71C5"/>
    <w:rsid w:val="00103C09"/>
    <w:rsid w:val="0010764F"/>
    <w:rsid w:val="001235FD"/>
    <w:rsid w:val="00132E7B"/>
    <w:rsid w:val="00133C8D"/>
    <w:rsid w:val="001361B9"/>
    <w:rsid w:val="001456AE"/>
    <w:rsid w:val="00157642"/>
    <w:rsid w:val="00162EBD"/>
    <w:rsid w:val="001839B0"/>
    <w:rsid w:val="00185817"/>
    <w:rsid w:val="001915FB"/>
    <w:rsid w:val="001A535C"/>
    <w:rsid w:val="001B1135"/>
    <w:rsid w:val="001D5A3B"/>
    <w:rsid w:val="001F1E2C"/>
    <w:rsid w:val="0020662B"/>
    <w:rsid w:val="00212D57"/>
    <w:rsid w:val="00215D6C"/>
    <w:rsid w:val="00256088"/>
    <w:rsid w:val="002567E4"/>
    <w:rsid w:val="00261F73"/>
    <w:rsid w:val="00275D69"/>
    <w:rsid w:val="0027779E"/>
    <w:rsid w:val="00292218"/>
    <w:rsid w:val="00295055"/>
    <w:rsid w:val="002978F1"/>
    <w:rsid w:val="002A2273"/>
    <w:rsid w:val="002A2AFD"/>
    <w:rsid w:val="002A4EBF"/>
    <w:rsid w:val="002B4415"/>
    <w:rsid w:val="002B45F1"/>
    <w:rsid w:val="002C118D"/>
    <w:rsid w:val="002C7122"/>
    <w:rsid w:val="002D1A59"/>
    <w:rsid w:val="002D4D89"/>
    <w:rsid w:val="002D7F3A"/>
    <w:rsid w:val="002E2010"/>
    <w:rsid w:val="002E6CFA"/>
    <w:rsid w:val="002E7DA9"/>
    <w:rsid w:val="002F39BD"/>
    <w:rsid w:val="002F6758"/>
    <w:rsid w:val="00353A27"/>
    <w:rsid w:val="00382D44"/>
    <w:rsid w:val="00385B39"/>
    <w:rsid w:val="003A6CBA"/>
    <w:rsid w:val="003B6C0A"/>
    <w:rsid w:val="003D2136"/>
    <w:rsid w:val="003E0393"/>
    <w:rsid w:val="003F0E97"/>
    <w:rsid w:val="003F1AE2"/>
    <w:rsid w:val="00402714"/>
    <w:rsid w:val="00413B83"/>
    <w:rsid w:val="00416822"/>
    <w:rsid w:val="004266B7"/>
    <w:rsid w:val="00440A6C"/>
    <w:rsid w:val="00462F10"/>
    <w:rsid w:val="00467965"/>
    <w:rsid w:val="00467A1C"/>
    <w:rsid w:val="004714B2"/>
    <w:rsid w:val="00476985"/>
    <w:rsid w:val="00481661"/>
    <w:rsid w:val="004832CE"/>
    <w:rsid w:val="00486D73"/>
    <w:rsid w:val="004B16C8"/>
    <w:rsid w:val="004D5056"/>
    <w:rsid w:val="00504150"/>
    <w:rsid w:val="005228C3"/>
    <w:rsid w:val="00531B60"/>
    <w:rsid w:val="00533037"/>
    <w:rsid w:val="005409EE"/>
    <w:rsid w:val="00552843"/>
    <w:rsid w:val="00554171"/>
    <w:rsid w:val="00565AA0"/>
    <w:rsid w:val="005703D3"/>
    <w:rsid w:val="00573C31"/>
    <w:rsid w:val="00577E07"/>
    <w:rsid w:val="005A77A4"/>
    <w:rsid w:val="005B305F"/>
    <w:rsid w:val="005C31E9"/>
    <w:rsid w:val="005C6925"/>
    <w:rsid w:val="005E7DE0"/>
    <w:rsid w:val="005F2E53"/>
    <w:rsid w:val="00602497"/>
    <w:rsid w:val="006071DF"/>
    <w:rsid w:val="00613D99"/>
    <w:rsid w:val="00622554"/>
    <w:rsid w:val="006462AD"/>
    <w:rsid w:val="006512E7"/>
    <w:rsid w:val="00652747"/>
    <w:rsid w:val="00653765"/>
    <w:rsid w:val="00671BA2"/>
    <w:rsid w:val="00681128"/>
    <w:rsid w:val="00684BD1"/>
    <w:rsid w:val="00691DF4"/>
    <w:rsid w:val="006943C1"/>
    <w:rsid w:val="006B7B80"/>
    <w:rsid w:val="006B7EB4"/>
    <w:rsid w:val="006C2E0E"/>
    <w:rsid w:val="006E49AD"/>
    <w:rsid w:val="006F3568"/>
    <w:rsid w:val="007051A1"/>
    <w:rsid w:val="00714BD9"/>
    <w:rsid w:val="00725D1D"/>
    <w:rsid w:val="0073773B"/>
    <w:rsid w:val="00741AE3"/>
    <w:rsid w:val="00755C82"/>
    <w:rsid w:val="0076212B"/>
    <w:rsid w:val="007777B4"/>
    <w:rsid w:val="00786B8A"/>
    <w:rsid w:val="00790B4E"/>
    <w:rsid w:val="00790F34"/>
    <w:rsid w:val="007973BC"/>
    <w:rsid w:val="007A42A3"/>
    <w:rsid w:val="007A7CD6"/>
    <w:rsid w:val="007B7E0C"/>
    <w:rsid w:val="007C35D1"/>
    <w:rsid w:val="007D0453"/>
    <w:rsid w:val="007E1376"/>
    <w:rsid w:val="007F1802"/>
    <w:rsid w:val="007F2B47"/>
    <w:rsid w:val="007F3726"/>
    <w:rsid w:val="007F4D97"/>
    <w:rsid w:val="00800B4C"/>
    <w:rsid w:val="00805CDD"/>
    <w:rsid w:val="00817FF3"/>
    <w:rsid w:val="00860043"/>
    <w:rsid w:val="008611ED"/>
    <w:rsid w:val="00862E03"/>
    <w:rsid w:val="00863189"/>
    <w:rsid w:val="00863D5C"/>
    <w:rsid w:val="00866355"/>
    <w:rsid w:val="0087618D"/>
    <w:rsid w:val="008A250D"/>
    <w:rsid w:val="008B59AE"/>
    <w:rsid w:val="008D3989"/>
    <w:rsid w:val="008D4689"/>
    <w:rsid w:val="008D6559"/>
    <w:rsid w:val="008E08A2"/>
    <w:rsid w:val="008F65E6"/>
    <w:rsid w:val="008F718E"/>
    <w:rsid w:val="00910DCD"/>
    <w:rsid w:val="0094085E"/>
    <w:rsid w:val="00950A2F"/>
    <w:rsid w:val="00966D03"/>
    <w:rsid w:val="00971F55"/>
    <w:rsid w:val="00980CA7"/>
    <w:rsid w:val="00986AA7"/>
    <w:rsid w:val="009878A3"/>
    <w:rsid w:val="009B43B6"/>
    <w:rsid w:val="009B640A"/>
    <w:rsid w:val="009C3D22"/>
    <w:rsid w:val="009C5ED8"/>
    <w:rsid w:val="009D1B59"/>
    <w:rsid w:val="009F020C"/>
    <w:rsid w:val="00A17430"/>
    <w:rsid w:val="00A1752A"/>
    <w:rsid w:val="00A277D4"/>
    <w:rsid w:val="00A4633A"/>
    <w:rsid w:val="00A5298F"/>
    <w:rsid w:val="00A55A48"/>
    <w:rsid w:val="00A560CE"/>
    <w:rsid w:val="00A75096"/>
    <w:rsid w:val="00A873E5"/>
    <w:rsid w:val="00AA44F5"/>
    <w:rsid w:val="00AC5B84"/>
    <w:rsid w:val="00B2471C"/>
    <w:rsid w:val="00B3074E"/>
    <w:rsid w:val="00B33CE5"/>
    <w:rsid w:val="00B33E93"/>
    <w:rsid w:val="00B3775B"/>
    <w:rsid w:val="00B37E87"/>
    <w:rsid w:val="00B51119"/>
    <w:rsid w:val="00B572D2"/>
    <w:rsid w:val="00B6435E"/>
    <w:rsid w:val="00B70817"/>
    <w:rsid w:val="00B719A3"/>
    <w:rsid w:val="00B83849"/>
    <w:rsid w:val="00B83CB7"/>
    <w:rsid w:val="00B90ECF"/>
    <w:rsid w:val="00B96244"/>
    <w:rsid w:val="00BA3975"/>
    <w:rsid w:val="00BB1744"/>
    <w:rsid w:val="00BC15BE"/>
    <w:rsid w:val="00BD6B0B"/>
    <w:rsid w:val="00BE7994"/>
    <w:rsid w:val="00C002D1"/>
    <w:rsid w:val="00C132B3"/>
    <w:rsid w:val="00C152C8"/>
    <w:rsid w:val="00C16812"/>
    <w:rsid w:val="00C34573"/>
    <w:rsid w:val="00C375B5"/>
    <w:rsid w:val="00C40086"/>
    <w:rsid w:val="00C4337B"/>
    <w:rsid w:val="00C50902"/>
    <w:rsid w:val="00C51371"/>
    <w:rsid w:val="00C60DEA"/>
    <w:rsid w:val="00C6428D"/>
    <w:rsid w:val="00C82FB6"/>
    <w:rsid w:val="00C91AC4"/>
    <w:rsid w:val="00C950E3"/>
    <w:rsid w:val="00C95983"/>
    <w:rsid w:val="00CE4075"/>
    <w:rsid w:val="00CF2FD7"/>
    <w:rsid w:val="00CF57C2"/>
    <w:rsid w:val="00D008ED"/>
    <w:rsid w:val="00D019E6"/>
    <w:rsid w:val="00D25A7D"/>
    <w:rsid w:val="00D36F12"/>
    <w:rsid w:val="00D43303"/>
    <w:rsid w:val="00D53DB5"/>
    <w:rsid w:val="00D60724"/>
    <w:rsid w:val="00D64990"/>
    <w:rsid w:val="00D81DD0"/>
    <w:rsid w:val="00D856B0"/>
    <w:rsid w:val="00D93F72"/>
    <w:rsid w:val="00D94EDA"/>
    <w:rsid w:val="00DA0302"/>
    <w:rsid w:val="00DA678D"/>
    <w:rsid w:val="00DC1D42"/>
    <w:rsid w:val="00DD0DF0"/>
    <w:rsid w:val="00DE3EE7"/>
    <w:rsid w:val="00DE6187"/>
    <w:rsid w:val="00DF17B3"/>
    <w:rsid w:val="00DF624B"/>
    <w:rsid w:val="00E06116"/>
    <w:rsid w:val="00E111A5"/>
    <w:rsid w:val="00E133F3"/>
    <w:rsid w:val="00E2173D"/>
    <w:rsid w:val="00E34C4E"/>
    <w:rsid w:val="00E37BB0"/>
    <w:rsid w:val="00E44AA6"/>
    <w:rsid w:val="00E57C05"/>
    <w:rsid w:val="00E639DE"/>
    <w:rsid w:val="00E64A43"/>
    <w:rsid w:val="00E83E38"/>
    <w:rsid w:val="00EB7781"/>
    <w:rsid w:val="00EC2AAF"/>
    <w:rsid w:val="00EC646E"/>
    <w:rsid w:val="00ED09DA"/>
    <w:rsid w:val="00EF3830"/>
    <w:rsid w:val="00F35E8E"/>
    <w:rsid w:val="00F4226F"/>
    <w:rsid w:val="00F45B52"/>
    <w:rsid w:val="00F513B7"/>
    <w:rsid w:val="00F52DA0"/>
    <w:rsid w:val="00F5428B"/>
    <w:rsid w:val="00F56F9C"/>
    <w:rsid w:val="00F66FF0"/>
    <w:rsid w:val="00F8150C"/>
    <w:rsid w:val="00F86954"/>
    <w:rsid w:val="00F90719"/>
    <w:rsid w:val="00F959E9"/>
    <w:rsid w:val="00FA0BA0"/>
    <w:rsid w:val="00FA7C25"/>
    <w:rsid w:val="00FB3975"/>
    <w:rsid w:val="00FD7DF0"/>
    <w:rsid w:val="00FE6EB5"/>
    <w:rsid w:val="00FF3A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079A0D"/>
  <w15:docId w15:val="{F6C51622-ABBA-4DC9-8428-2A11D531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BE"/>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uiPriority w:val="99"/>
    <w:qFormat/>
    <w:rsid w:val="00BC15BE"/>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C15BE"/>
    <w:rPr>
      <w:rFonts w:ascii="Times New Roman" w:hAnsi="Times New Roman"/>
      <w:b/>
      <w:sz w:val="26"/>
      <w:szCs w:val="26"/>
      <w:vertAlign w:val="superscript"/>
    </w:rPr>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Char,fn1,fn3"/>
    <w:basedOn w:val="Normal"/>
    <w:link w:val="FootnoteTextChar2"/>
    <w:qFormat/>
    <w:rsid w:val="007A42A3"/>
    <w:rPr>
      <w:sz w:val="20"/>
      <w:szCs w:val="20"/>
    </w:rPr>
  </w:style>
  <w:style w:type="character" w:customStyle="1" w:styleId="FootnoteTextChar">
    <w:name w:val="Footnote Text Char"/>
    <w:aliases w:val="Footnote Text Char Char Char,Footnote Text Char1 Char1 Char Char,Footnote Text Char2 Char Char Char Char,Footnote Text Char Char1 Char Char Char Char,Footnote Text Char1 Char Char Char Char,Footnote Text Char Char Char Char Char Char"/>
    <w:basedOn w:val="DefaultParagraphFont"/>
    <w:rsid w:val="00BC15BE"/>
    <w:rPr>
      <w:rFonts w:ascii="Times New Roman" w:eastAsia="Times New Roman" w:hAnsi="Times New Roman" w:cs="Times New Roman"/>
      <w:sz w:val="20"/>
      <w:szCs w:val="20"/>
    </w:rPr>
  </w:style>
  <w:style w:type="paragraph" w:customStyle="1" w:styleId="Level1">
    <w:name w:val="Level 1"/>
    <w:basedOn w:val="Normal"/>
    <w:rsid w:val="00BC15BE"/>
    <w:pPr>
      <w:widowControl w:val="0"/>
      <w:numPr>
        <w:numId w:val="2"/>
      </w:numPr>
      <w:autoSpaceDE w:val="0"/>
      <w:autoSpaceDN w:val="0"/>
      <w:adjustRightInd w:val="0"/>
      <w:outlineLvl w:val="0"/>
    </w:pPr>
    <w:rPr>
      <w:sz w:val="24"/>
    </w:rPr>
  </w:style>
  <w:style w:type="paragraph" w:styleId="Header">
    <w:name w:val="header"/>
    <w:basedOn w:val="Normal"/>
    <w:link w:val="HeaderChar"/>
    <w:uiPriority w:val="99"/>
    <w:rsid w:val="00BC15BE"/>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uiPriority w:val="99"/>
    <w:rsid w:val="00BC15BE"/>
    <w:rPr>
      <w:rFonts w:ascii="Times New Roman" w:eastAsia="Times New Roman" w:hAnsi="Times New Roman" w:cs="Times New Roman"/>
      <w:sz w:val="24"/>
      <w:szCs w:val="24"/>
    </w:rPr>
  </w:style>
  <w:style w:type="character" w:styleId="PageNumber">
    <w:name w:val="page number"/>
    <w:basedOn w:val="DefaultParagraphFont"/>
    <w:rsid w:val="00BC15BE"/>
  </w:style>
  <w:style w:type="character" w:styleId="Hyperlink">
    <w:name w:val="Hyperlink"/>
    <w:rsid w:val="00BC15BE"/>
    <w:rPr>
      <w:color w:val="0000FF"/>
      <w:u w:val="single"/>
    </w:rPr>
  </w:style>
  <w:style w:type="character" w:customStyle="1" w:styleId="FootnoteTextChar2">
    <w:name w:val="Footnote Text Char2"/>
    <w:aliases w:val="Footnote Text1 Char Char,Footnote Text Char Ch Char,Footnote Text Char1 Char,Footnote Text1 Char1 Char,Footnote Text Char Ch1 Char,Footnote Text Char2 Char Char,Footnote Text Char Char1 Char Char,ft Char1,fn Char,ft Char Char"/>
    <w:link w:val="FootnoteText"/>
    <w:rsid w:val="007A42A3"/>
    <w:rPr>
      <w:rFonts w:ascii="Times New Roman" w:eastAsia="Times New Roman" w:hAnsi="Times New Roman" w:cs="Times New Roman"/>
      <w:sz w:val="20"/>
      <w:szCs w:val="20"/>
    </w:rPr>
  </w:style>
  <w:style w:type="character" w:customStyle="1" w:styleId="FERCparanumberChar">
    <w:name w:val="FERC paranumber Char"/>
    <w:link w:val="FERCparanumber"/>
    <w:uiPriority w:val="99"/>
    <w:rsid w:val="00BC15BE"/>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C15BE"/>
    <w:pPr>
      <w:tabs>
        <w:tab w:val="center" w:pos="4680"/>
        <w:tab w:val="right" w:pos="9360"/>
      </w:tabs>
    </w:pPr>
  </w:style>
  <w:style w:type="character" w:customStyle="1" w:styleId="FooterChar">
    <w:name w:val="Footer Char"/>
    <w:basedOn w:val="DefaultParagraphFont"/>
    <w:link w:val="Footer"/>
    <w:uiPriority w:val="99"/>
    <w:rsid w:val="00BC15BE"/>
    <w:rPr>
      <w:rFonts w:ascii="Times New Roman" w:eastAsia="Times New Roman" w:hAnsi="Times New Roman" w:cs="Times New Roman"/>
      <w:sz w:val="26"/>
      <w:szCs w:val="24"/>
    </w:rPr>
  </w:style>
  <w:style w:type="paragraph" w:styleId="NormalWeb">
    <w:name w:val="Normal (Web)"/>
    <w:basedOn w:val="Normal"/>
    <w:uiPriority w:val="99"/>
    <w:unhideWhenUsed/>
    <w:rsid w:val="00BC15BE"/>
    <w:pPr>
      <w:spacing w:before="100" w:beforeAutospacing="1" w:after="100" w:afterAutospacing="1"/>
    </w:pPr>
    <w:rPr>
      <w:sz w:val="24"/>
    </w:rPr>
  </w:style>
  <w:style w:type="paragraph" w:styleId="ListParagraph">
    <w:name w:val="List Paragraph"/>
    <w:basedOn w:val="Normal"/>
    <w:uiPriority w:val="99"/>
    <w:qFormat/>
    <w:rsid w:val="002B45F1"/>
    <w:pPr>
      <w:widowControl w:val="0"/>
      <w:autoSpaceDE w:val="0"/>
      <w:autoSpaceDN w:val="0"/>
      <w:adjustRightInd w:val="0"/>
      <w:ind w:left="720"/>
      <w:contextualSpacing/>
    </w:pPr>
    <w:rPr>
      <w:sz w:val="24"/>
    </w:rPr>
  </w:style>
  <w:style w:type="paragraph" w:styleId="BalloonText">
    <w:name w:val="Balloon Text"/>
    <w:basedOn w:val="Normal"/>
    <w:link w:val="BalloonTextChar"/>
    <w:uiPriority w:val="99"/>
    <w:semiHidden/>
    <w:unhideWhenUsed/>
    <w:rsid w:val="002B45F1"/>
    <w:rPr>
      <w:rFonts w:ascii="Tahoma" w:hAnsi="Tahoma" w:cs="Tahoma"/>
      <w:sz w:val="16"/>
      <w:szCs w:val="16"/>
    </w:rPr>
  </w:style>
  <w:style w:type="character" w:customStyle="1" w:styleId="BalloonTextChar">
    <w:name w:val="Balloon Text Char"/>
    <w:basedOn w:val="DefaultParagraphFont"/>
    <w:link w:val="BalloonText"/>
    <w:uiPriority w:val="99"/>
    <w:semiHidden/>
    <w:rsid w:val="002B45F1"/>
    <w:rPr>
      <w:rFonts w:ascii="Tahoma" w:eastAsia="Times New Roman" w:hAnsi="Tahoma" w:cs="Tahoma"/>
      <w:sz w:val="16"/>
      <w:szCs w:val="16"/>
    </w:rPr>
  </w:style>
  <w:style w:type="character" w:styleId="CommentReference">
    <w:name w:val="annotation reference"/>
    <w:basedOn w:val="DefaultParagraphFont"/>
    <w:uiPriority w:val="99"/>
    <w:semiHidden/>
    <w:rsid w:val="003F0E97"/>
    <w:rPr>
      <w:rFonts w:cs="Times New Roman"/>
      <w:sz w:val="16"/>
      <w:szCs w:val="16"/>
    </w:rPr>
  </w:style>
  <w:style w:type="paragraph" w:styleId="CommentText">
    <w:name w:val="annotation text"/>
    <w:basedOn w:val="Normal"/>
    <w:link w:val="CommentTextChar"/>
    <w:uiPriority w:val="99"/>
    <w:semiHidden/>
    <w:rsid w:val="003F0E97"/>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3F0E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50C"/>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F8150C"/>
    <w:rPr>
      <w:rFonts w:ascii="Times New Roman" w:eastAsia="Times New Roman" w:hAnsi="Times New Roman" w:cs="Times New Roman"/>
      <w:b/>
      <w:bCs/>
      <w:sz w:val="20"/>
      <w:szCs w:val="20"/>
    </w:rPr>
  </w:style>
  <w:style w:type="character" w:customStyle="1" w:styleId="FERCparanumberChar1">
    <w:name w:val="FERC paranumber Char1"/>
    <w:uiPriority w:val="99"/>
    <w:rsid w:val="00F8150C"/>
    <w:rPr>
      <w:rFonts w:ascii="Times New Roman" w:eastAsia="Times New Roman" w:hAnsi="Times New Roman"/>
      <w:sz w:val="26"/>
      <w:szCs w:val="24"/>
    </w:rPr>
  </w:style>
  <w:style w:type="table" w:styleId="TableGrid">
    <w:name w:val="Table Grid"/>
    <w:basedOn w:val="TableNormal"/>
    <w:rsid w:val="003D2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D51"/>
    <w:pPr>
      <w:spacing w:after="0" w:line="240" w:lineRule="auto"/>
    </w:pPr>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7D0453"/>
    <w:rPr>
      <w:color w:val="800080" w:themeColor="followedHyperlink"/>
      <w:u w:val="single"/>
    </w:rPr>
  </w:style>
  <w:style w:type="character" w:styleId="UnresolvedMention">
    <w:name w:val="Unresolved Mention"/>
    <w:basedOn w:val="DefaultParagraphFont"/>
    <w:uiPriority w:val="99"/>
    <w:semiHidden/>
    <w:unhideWhenUsed/>
    <w:rsid w:val="003F1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264943">
      <w:bodyDiv w:val="1"/>
      <w:marLeft w:val="0"/>
      <w:marRight w:val="0"/>
      <w:marTop w:val="0"/>
      <w:marBottom w:val="0"/>
      <w:divBdr>
        <w:top w:val="none" w:sz="0" w:space="0" w:color="auto"/>
        <w:left w:val="none" w:sz="0" w:space="0" w:color="auto"/>
        <w:bottom w:val="none" w:sz="0" w:space="0" w:color="auto"/>
        <w:right w:val="none" w:sz="0" w:space="0" w:color="auto"/>
      </w:divBdr>
      <w:divsChild>
        <w:div w:id="2012180470">
          <w:marLeft w:val="0"/>
          <w:marRight w:val="0"/>
          <w:marTop w:val="0"/>
          <w:marBottom w:val="0"/>
          <w:divBdr>
            <w:top w:val="none" w:sz="0" w:space="0" w:color="auto"/>
            <w:left w:val="none" w:sz="0" w:space="0" w:color="auto"/>
            <w:bottom w:val="none" w:sz="0" w:space="0" w:color="auto"/>
            <w:right w:val="none" w:sz="0" w:space="0" w:color="auto"/>
          </w:divBdr>
          <w:divsChild>
            <w:div w:id="1624380243">
              <w:marLeft w:val="0"/>
              <w:marRight w:val="0"/>
              <w:marTop w:val="0"/>
              <w:marBottom w:val="0"/>
              <w:divBdr>
                <w:top w:val="none" w:sz="0" w:space="0" w:color="auto"/>
                <w:left w:val="none" w:sz="0" w:space="0" w:color="auto"/>
                <w:bottom w:val="none" w:sz="0" w:space="0" w:color="auto"/>
                <w:right w:val="none" w:sz="0" w:space="0" w:color="auto"/>
              </w:divBdr>
              <w:divsChild>
                <w:div w:id="1275559644">
                  <w:marLeft w:val="0"/>
                  <w:marRight w:val="0"/>
                  <w:marTop w:val="0"/>
                  <w:marBottom w:val="0"/>
                  <w:divBdr>
                    <w:top w:val="none" w:sz="0" w:space="0" w:color="auto"/>
                    <w:left w:val="none" w:sz="0" w:space="0" w:color="auto"/>
                    <w:bottom w:val="none" w:sz="0" w:space="0" w:color="auto"/>
                    <w:right w:val="none" w:sz="0" w:space="0" w:color="auto"/>
                  </w:divBdr>
                  <w:divsChild>
                    <w:div w:id="1465386056">
                      <w:marLeft w:val="0"/>
                      <w:marRight w:val="0"/>
                      <w:marTop w:val="0"/>
                      <w:marBottom w:val="0"/>
                      <w:divBdr>
                        <w:top w:val="none" w:sz="0" w:space="0" w:color="auto"/>
                        <w:left w:val="none" w:sz="0" w:space="0" w:color="auto"/>
                        <w:bottom w:val="none" w:sz="0" w:space="0" w:color="auto"/>
                        <w:right w:val="none" w:sz="0" w:space="0" w:color="auto"/>
                      </w:divBdr>
                      <w:divsChild>
                        <w:div w:id="558901593">
                          <w:marLeft w:val="0"/>
                          <w:marRight w:val="0"/>
                          <w:marTop w:val="0"/>
                          <w:marBottom w:val="0"/>
                          <w:divBdr>
                            <w:top w:val="none" w:sz="0" w:space="0" w:color="auto"/>
                            <w:left w:val="none" w:sz="0" w:space="0" w:color="auto"/>
                            <w:bottom w:val="none" w:sz="0" w:space="0" w:color="auto"/>
                            <w:right w:val="none" w:sz="0" w:space="0" w:color="auto"/>
                          </w:divBdr>
                          <w:divsChild>
                            <w:div w:id="985089116">
                              <w:marLeft w:val="0"/>
                              <w:marRight w:val="0"/>
                              <w:marTop w:val="0"/>
                              <w:marBottom w:val="0"/>
                              <w:divBdr>
                                <w:top w:val="none" w:sz="0" w:space="0" w:color="auto"/>
                                <w:left w:val="none" w:sz="0" w:space="0" w:color="auto"/>
                                <w:bottom w:val="none" w:sz="0" w:space="0" w:color="auto"/>
                                <w:right w:val="none" w:sz="0" w:space="0" w:color="auto"/>
                              </w:divBdr>
                              <w:divsChild>
                                <w:div w:id="2097166578">
                                  <w:marLeft w:val="0"/>
                                  <w:marRight w:val="0"/>
                                  <w:marTop w:val="0"/>
                                  <w:marBottom w:val="0"/>
                                  <w:divBdr>
                                    <w:top w:val="none" w:sz="0" w:space="0" w:color="auto"/>
                                    <w:left w:val="none" w:sz="0" w:space="0" w:color="auto"/>
                                    <w:bottom w:val="none" w:sz="0" w:space="0" w:color="auto"/>
                                    <w:right w:val="none" w:sz="0" w:space="0" w:color="auto"/>
                                  </w:divBdr>
                                  <w:divsChild>
                                    <w:div w:id="1512254130">
                                      <w:marLeft w:val="0"/>
                                      <w:marRight w:val="0"/>
                                      <w:marTop w:val="0"/>
                                      <w:marBottom w:val="0"/>
                                      <w:divBdr>
                                        <w:top w:val="none" w:sz="0" w:space="0" w:color="auto"/>
                                        <w:left w:val="none" w:sz="0" w:space="0" w:color="auto"/>
                                        <w:bottom w:val="none" w:sz="0" w:space="0" w:color="auto"/>
                                        <w:right w:val="none" w:sz="0" w:space="0" w:color="auto"/>
                                      </w:divBdr>
                                      <w:divsChild>
                                        <w:div w:id="1685784766">
                                          <w:marLeft w:val="0"/>
                                          <w:marRight w:val="0"/>
                                          <w:marTop w:val="0"/>
                                          <w:marBottom w:val="0"/>
                                          <w:divBdr>
                                            <w:top w:val="none" w:sz="0" w:space="0" w:color="auto"/>
                                            <w:left w:val="none" w:sz="0" w:space="0" w:color="auto"/>
                                            <w:bottom w:val="none" w:sz="0" w:space="0" w:color="auto"/>
                                            <w:right w:val="none" w:sz="0" w:space="0" w:color="auto"/>
                                          </w:divBdr>
                                          <w:divsChild>
                                            <w:div w:id="1317496808">
                                              <w:marLeft w:val="0"/>
                                              <w:marRight w:val="0"/>
                                              <w:marTop w:val="0"/>
                                              <w:marBottom w:val="0"/>
                                              <w:divBdr>
                                                <w:top w:val="none" w:sz="0" w:space="0" w:color="auto"/>
                                                <w:left w:val="none" w:sz="0" w:space="0" w:color="auto"/>
                                                <w:bottom w:val="none" w:sz="0" w:space="0" w:color="auto"/>
                                                <w:right w:val="none" w:sz="0" w:space="0" w:color="auto"/>
                                              </w:divBdr>
                                              <w:divsChild>
                                                <w:div w:id="1225606885">
                                                  <w:marLeft w:val="0"/>
                                                  <w:marRight w:val="0"/>
                                                  <w:marTop w:val="0"/>
                                                  <w:marBottom w:val="0"/>
                                                  <w:divBdr>
                                                    <w:top w:val="none" w:sz="0" w:space="0" w:color="auto"/>
                                                    <w:left w:val="none" w:sz="0" w:space="0" w:color="auto"/>
                                                    <w:bottom w:val="none" w:sz="0" w:space="0" w:color="auto"/>
                                                    <w:right w:val="none" w:sz="0" w:space="0" w:color="auto"/>
                                                  </w:divBdr>
                                                  <w:divsChild>
                                                    <w:div w:id="1381901290">
                                                      <w:marLeft w:val="0"/>
                                                      <w:marRight w:val="0"/>
                                                      <w:marTop w:val="0"/>
                                                      <w:marBottom w:val="0"/>
                                                      <w:divBdr>
                                                        <w:top w:val="none" w:sz="0" w:space="0" w:color="auto"/>
                                                        <w:left w:val="none" w:sz="0" w:space="0" w:color="auto"/>
                                                        <w:bottom w:val="none" w:sz="0" w:space="0" w:color="auto"/>
                                                        <w:right w:val="none" w:sz="0" w:space="0" w:color="auto"/>
                                                      </w:divBdr>
                                                      <w:divsChild>
                                                        <w:div w:id="2128350548">
                                                          <w:marLeft w:val="0"/>
                                                          <w:marRight w:val="0"/>
                                                          <w:marTop w:val="0"/>
                                                          <w:marBottom w:val="0"/>
                                                          <w:divBdr>
                                                            <w:top w:val="none" w:sz="0" w:space="0" w:color="auto"/>
                                                            <w:left w:val="none" w:sz="0" w:space="0" w:color="auto"/>
                                                            <w:bottom w:val="none" w:sz="0" w:space="0" w:color="auto"/>
                                                            <w:right w:val="none" w:sz="0" w:space="0" w:color="auto"/>
                                                          </w:divBdr>
                                                          <w:divsChild>
                                                            <w:div w:id="1796216029">
                                                              <w:marLeft w:val="0"/>
                                                              <w:marRight w:val="0"/>
                                                              <w:marTop w:val="0"/>
                                                              <w:marBottom w:val="0"/>
                                                              <w:divBdr>
                                                                <w:top w:val="none" w:sz="0" w:space="0" w:color="auto"/>
                                                                <w:left w:val="none" w:sz="0" w:space="0" w:color="auto"/>
                                                                <w:bottom w:val="none" w:sz="0" w:space="0" w:color="auto"/>
                                                                <w:right w:val="none" w:sz="0" w:space="0" w:color="auto"/>
                                                              </w:divBdr>
                                                              <w:divsChild>
                                                                <w:div w:id="601566924">
                                                                  <w:marLeft w:val="480"/>
                                                                  <w:marRight w:val="0"/>
                                                                  <w:marTop w:val="0"/>
                                                                  <w:marBottom w:val="0"/>
                                                                  <w:divBdr>
                                                                    <w:top w:val="none" w:sz="0" w:space="0" w:color="auto"/>
                                                                    <w:left w:val="none" w:sz="0" w:space="0" w:color="auto"/>
                                                                    <w:bottom w:val="none" w:sz="0" w:space="0" w:color="auto"/>
                                                                    <w:right w:val="none" w:sz="0" w:space="0" w:color="auto"/>
                                                                  </w:divBdr>
                                                                  <w:divsChild>
                                                                    <w:div w:id="480849274">
                                                                      <w:marLeft w:val="0"/>
                                                                      <w:marRight w:val="0"/>
                                                                      <w:marTop w:val="0"/>
                                                                      <w:marBottom w:val="0"/>
                                                                      <w:divBdr>
                                                                        <w:top w:val="none" w:sz="0" w:space="0" w:color="auto"/>
                                                                        <w:left w:val="none" w:sz="0" w:space="0" w:color="auto"/>
                                                                        <w:bottom w:val="none" w:sz="0" w:space="0" w:color="auto"/>
                                                                        <w:right w:val="none" w:sz="0" w:space="0" w:color="auto"/>
                                                                      </w:divBdr>
                                                                      <w:divsChild>
                                                                        <w:div w:id="214703263">
                                                                          <w:marLeft w:val="0"/>
                                                                          <w:marRight w:val="0"/>
                                                                          <w:marTop w:val="0"/>
                                                                          <w:marBottom w:val="0"/>
                                                                          <w:divBdr>
                                                                            <w:top w:val="none" w:sz="0" w:space="0" w:color="auto"/>
                                                                            <w:left w:val="none" w:sz="0" w:space="0" w:color="auto"/>
                                                                            <w:bottom w:val="none" w:sz="0" w:space="0" w:color="auto"/>
                                                                            <w:right w:val="none" w:sz="0" w:space="0" w:color="auto"/>
                                                                          </w:divBdr>
                                                                          <w:divsChild>
                                                                            <w:div w:id="1970545753">
                                                                              <w:marLeft w:val="0"/>
                                                                              <w:marRight w:val="0"/>
                                                                              <w:marTop w:val="0"/>
                                                                              <w:marBottom w:val="0"/>
                                                                              <w:divBdr>
                                                                                <w:top w:val="none" w:sz="0" w:space="0" w:color="auto"/>
                                                                                <w:left w:val="none" w:sz="0" w:space="0" w:color="auto"/>
                                                                                <w:bottom w:val="none" w:sz="0" w:space="0" w:color="auto"/>
                                                                                <w:right w:val="none" w:sz="0" w:space="0" w:color="auto"/>
                                                                              </w:divBdr>
                                                                              <w:divsChild>
                                                                                <w:div w:id="1469319011">
                                                                                  <w:marLeft w:val="0"/>
                                                                                  <w:marRight w:val="0"/>
                                                                                  <w:marTop w:val="0"/>
                                                                                  <w:marBottom w:val="0"/>
                                                                                  <w:divBdr>
                                                                                    <w:top w:val="none" w:sz="0" w:space="0" w:color="auto"/>
                                                                                    <w:left w:val="none" w:sz="0" w:space="0" w:color="auto"/>
                                                                                    <w:bottom w:val="none" w:sz="0" w:space="0" w:color="auto"/>
                                                                                    <w:right w:val="none" w:sz="0" w:space="0" w:color="auto"/>
                                                                                  </w:divBdr>
                                                                                  <w:divsChild>
                                                                                    <w:div w:id="506403651">
                                                                                      <w:marLeft w:val="0"/>
                                                                                      <w:marRight w:val="0"/>
                                                                                      <w:marTop w:val="0"/>
                                                                                      <w:marBottom w:val="0"/>
                                                                                      <w:divBdr>
                                                                                        <w:top w:val="none" w:sz="0" w:space="0" w:color="auto"/>
                                                                                        <w:left w:val="none" w:sz="0" w:space="0" w:color="auto"/>
                                                                                        <w:bottom w:val="none" w:sz="0" w:space="0" w:color="auto"/>
                                                                                        <w:right w:val="none" w:sz="0" w:space="0" w:color="auto"/>
                                                                                      </w:divBdr>
                                                                                      <w:divsChild>
                                                                                        <w:div w:id="336347885">
                                                                                          <w:marLeft w:val="0"/>
                                                                                          <w:marRight w:val="0"/>
                                                                                          <w:marTop w:val="240"/>
                                                                                          <w:marBottom w:val="0"/>
                                                                                          <w:divBdr>
                                                                                            <w:top w:val="none" w:sz="0" w:space="0" w:color="auto"/>
                                                                                            <w:left w:val="none" w:sz="0" w:space="0" w:color="auto"/>
                                                                                            <w:bottom w:val="single" w:sz="6" w:space="23" w:color="auto"/>
                                                                                            <w:right w:val="none" w:sz="0" w:space="0" w:color="auto"/>
                                                                                          </w:divBdr>
                                                                                          <w:divsChild>
                                                                                            <w:div w:id="2000186876">
                                                                                              <w:marLeft w:val="0"/>
                                                                                              <w:marRight w:val="0"/>
                                                                                              <w:marTop w:val="0"/>
                                                                                              <w:marBottom w:val="0"/>
                                                                                              <w:divBdr>
                                                                                                <w:top w:val="none" w:sz="0" w:space="0" w:color="auto"/>
                                                                                                <w:left w:val="none" w:sz="0" w:space="0" w:color="auto"/>
                                                                                                <w:bottom w:val="none" w:sz="0" w:space="0" w:color="auto"/>
                                                                                                <w:right w:val="none" w:sz="0" w:space="0" w:color="auto"/>
                                                                                              </w:divBdr>
                                                                                              <w:divsChild>
                                                                                                <w:div w:id="653025633">
                                                                                                  <w:marLeft w:val="0"/>
                                                                                                  <w:marRight w:val="0"/>
                                                                                                  <w:marTop w:val="0"/>
                                                                                                  <w:marBottom w:val="0"/>
                                                                                                  <w:divBdr>
                                                                                                    <w:top w:val="none" w:sz="0" w:space="0" w:color="auto"/>
                                                                                                    <w:left w:val="none" w:sz="0" w:space="0" w:color="auto"/>
                                                                                                    <w:bottom w:val="none" w:sz="0" w:space="0" w:color="auto"/>
                                                                                                    <w:right w:val="none" w:sz="0" w:space="0" w:color="auto"/>
                                                                                                  </w:divBdr>
                                                                                                  <w:divsChild>
                                                                                                    <w:div w:id="248971648">
                                                                                                      <w:marLeft w:val="0"/>
                                                                                                      <w:marRight w:val="0"/>
                                                                                                      <w:marTop w:val="0"/>
                                                                                                      <w:marBottom w:val="0"/>
                                                                                                      <w:divBdr>
                                                                                                        <w:top w:val="none" w:sz="0" w:space="0" w:color="auto"/>
                                                                                                        <w:left w:val="none" w:sz="0" w:space="0" w:color="auto"/>
                                                                                                        <w:bottom w:val="none" w:sz="0" w:space="0" w:color="auto"/>
                                                                                                        <w:right w:val="none" w:sz="0" w:space="0" w:color="auto"/>
                                                                                                      </w:divBdr>
                                                                                                      <w:divsChild>
                                                                                                        <w:div w:id="109861761">
                                                                                                          <w:marLeft w:val="0"/>
                                                                                                          <w:marRight w:val="0"/>
                                                                                                          <w:marTop w:val="0"/>
                                                                                                          <w:marBottom w:val="0"/>
                                                                                                          <w:divBdr>
                                                                                                            <w:top w:val="none" w:sz="0" w:space="0" w:color="auto"/>
                                                                                                            <w:left w:val="none" w:sz="0" w:space="0" w:color="auto"/>
                                                                                                            <w:bottom w:val="none" w:sz="0" w:space="0" w:color="auto"/>
                                                                                                            <w:right w:val="none" w:sz="0" w:space="0" w:color="auto"/>
                                                                                                          </w:divBdr>
                                                                                                          <w:divsChild>
                                                                                                            <w:div w:id="658465172">
                                                                                                              <w:marLeft w:val="0"/>
                                                                                                              <w:marRight w:val="0"/>
                                                                                                              <w:marTop w:val="0"/>
                                                                                                              <w:marBottom w:val="0"/>
                                                                                                              <w:divBdr>
                                                                                                                <w:top w:val="none" w:sz="0" w:space="0" w:color="auto"/>
                                                                                                                <w:left w:val="none" w:sz="0" w:space="0" w:color="auto"/>
                                                                                                                <w:bottom w:val="none" w:sz="0" w:space="0" w:color="auto"/>
                                                                                                                <w:right w:val="none" w:sz="0" w:space="0" w:color="auto"/>
                                                                                                              </w:divBdr>
                                                                                                              <w:divsChild>
                                                                                                                <w:div w:id="164521922">
                                                                                                                  <w:marLeft w:val="0"/>
                                                                                                                  <w:marRight w:val="0"/>
                                                                                                                  <w:marTop w:val="0"/>
                                                                                                                  <w:marBottom w:val="0"/>
                                                                                                                  <w:divBdr>
                                                                                                                    <w:top w:val="none" w:sz="0" w:space="0" w:color="auto"/>
                                                                                                                    <w:left w:val="none" w:sz="0" w:space="0" w:color="auto"/>
                                                                                                                    <w:bottom w:val="none" w:sz="0" w:space="0" w:color="auto"/>
                                                                                                                    <w:right w:val="none" w:sz="0" w:space="0" w:color="auto"/>
                                                                                                                  </w:divBdr>
                                                                                                                  <w:divsChild>
                                                                                                                    <w:div w:id="1455979712">
                                                                                                                      <w:marLeft w:val="0"/>
                                                                                                                      <w:marRight w:val="0"/>
                                                                                                                      <w:marTop w:val="0"/>
                                                                                                                      <w:marBottom w:val="0"/>
                                                                                                                      <w:divBdr>
                                                                                                                        <w:top w:val="none" w:sz="0" w:space="0" w:color="auto"/>
                                                                                                                        <w:left w:val="none" w:sz="0" w:space="0" w:color="auto"/>
                                                                                                                        <w:bottom w:val="none" w:sz="0" w:space="0" w:color="auto"/>
                                                                                                                        <w:right w:val="none" w:sz="0" w:space="0" w:color="auto"/>
                                                                                                                      </w:divBdr>
                                                                                                                      <w:divsChild>
                                                                                                                        <w:div w:id="13851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efiling.as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naics3_221000.htm" TargetMode="External"/><Relationship Id="rId2" Type="http://schemas.openxmlformats.org/officeDocument/2006/relationships/hyperlink" Target="https://www.sba.gov/sites/default/files/2019-08/SBA%20Table%20of%20Size%20Standards_Effective%20Aug%2019%2C%202019_Rev.pdf" TargetMode="External"/><Relationship Id="rId1" Type="http://schemas.openxmlformats.org/officeDocument/2006/relationships/hyperlink" Target="https://ferconline.ferc.gov/Login.aspx" TargetMode="External"/><Relationship Id="rId4" Type="http://schemas.openxmlformats.org/officeDocument/2006/relationships/hyperlink" Target="https://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545</_x0031__x002e__x0020_Collection_x0020_Number>
    <Date xmlns="d6eefc7d-9817-4fa6-84d5-3bc009be21b8">2019-02-04T05:00:00+00:00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RM96-1-041</_x0031__x002e__x0020_Docket_x0020_Number>
    <_x0033__x002e__x0020_Collection_x0020_Number xmlns="d6eefc7d-9817-4fa6-84d5-3bc009be21b8"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C3B1B-D3A1-4D23-881C-01A455364216}">
  <ds:schemaRefs>
    <ds:schemaRef ds:uri="http://schemas.microsoft.com/sharepoint/v3/contenttype/forms"/>
  </ds:schemaRefs>
</ds:datastoreItem>
</file>

<file path=customXml/itemProps2.xml><?xml version="1.0" encoding="utf-8"?>
<ds:datastoreItem xmlns:ds="http://schemas.openxmlformats.org/officeDocument/2006/customXml" ds:itemID="{23C472E6-E3F7-4C35-B2DC-3F4E7649F8B4}">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DC3324D-3051-4133-9627-7DA9B31FC4BE}">
  <ds:schemaRefs>
    <ds:schemaRef ds:uri="Microsoft.SharePoint.Taxonomy.ContentTypeSync"/>
  </ds:schemaRefs>
</ds:datastoreItem>
</file>

<file path=customXml/itemProps4.xml><?xml version="1.0" encoding="utf-8"?>
<ds:datastoreItem xmlns:ds="http://schemas.openxmlformats.org/officeDocument/2006/customXml" ds:itemID="{EE412CBF-5232-4A20-9CEA-D3E12137B9DC}">
  <ds:schemaRefs>
    <ds:schemaRef ds:uri="http://schemas.microsoft.com/office/2006/metadata/customXsn"/>
  </ds:schemaRefs>
</ds:datastoreItem>
</file>

<file path=customXml/itemProps5.xml><?xml version="1.0" encoding="utf-8"?>
<ds:datastoreItem xmlns:ds="http://schemas.openxmlformats.org/officeDocument/2006/customXml" ds:itemID="{D57AFFBE-41CF-4137-88A6-0D509F795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69021B-16A6-4295-A30D-16003F005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3778</Words>
  <Characters>26264</Characters>
  <Application>Microsoft Office Word</Application>
  <DocSecurity>0</DocSecurity>
  <Lines>640</Lines>
  <Paragraphs>509</Paragraphs>
  <ScaleCrop>false</ScaleCrop>
  <HeadingPairs>
    <vt:vector size="2" baseType="variant">
      <vt:variant>
        <vt:lpstr>Title</vt:lpstr>
      </vt:variant>
      <vt:variant>
        <vt:i4>1</vt:i4>
      </vt:variant>
    </vt:vector>
  </HeadingPairs>
  <TitlesOfParts>
    <vt:vector size="1" baseType="lpstr">
      <vt:lpstr>RM96-1-041 Final Rule Supporting Statement</vt:lpstr>
    </vt:vector>
  </TitlesOfParts>
  <Company>Federal Energy Regulatory Commission</Company>
  <LinksUpToDate>false</LinksUpToDate>
  <CharactersWithSpaces>29533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RM96-1-041 Final Rule Supporting Statement</dc:title>
  <dc:creator>Oscar Santillana</dc:creator>
  <cp:lastModifiedBy>Kayla Williams</cp:lastModifiedBy>
  <cp:revision>5</cp:revision>
  <dcterms:created xsi:type="dcterms:W3CDTF">2021-08-04T20:47:00Z</dcterms:created>
  <dcterms:modified xsi:type="dcterms:W3CDTF">2021-08-12T18:45:00Z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Kayla.Williams@ferc.gov</vt:lpwstr>
  </property>
  <property fmtid="{D5CDD505-2E9C-101B-9397-08002B2CF9AE}" pid="6" name="MSIP_Label_6155a89b-0f08-4a93-8ea2-8a916d6643b5_SetDate">
    <vt:lpwstr>2021-01-05T09:52:39.1466082Z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ae0499c6-ecec-428b-aa41-a06398d5bd4a</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