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6732" w:rsidR="00EB3E6F" w:rsidP="00641EFB" w:rsidRDefault="00325F2E" w14:paraId="03533191" w14:textId="3D859EE5">
      <w:pPr>
        <w:spacing w:after="0" w:line="240" w:lineRule="auto"/>
        <w:jc w:val="center"/>
        <w:rPr>
          <w:b/>
          <w:szCs w:val="24"/>
        </w:rPr>
      </w:pPr>
      <w:r w:rsidRPr="00E758ED">
        <w:rPr>
          <w:szCs w:val="24"/>
        </w:rPr>
        <w:t xml:space="preserve"> </w:t>
      </w:r>
      <w:r w:rsidRPr="006A6732" w:rsidR="00FD66F1">
        <w:rPr>
          <w:b/>
          <w:szCs w:val="24"/>
        </w:rPr>
        <w:t>Supporting Statement</w:t>
      </w:r>
      <w:r w:rsidRPr="006A6732" w:rsidR="00E0171E">
        <w:rPr>
          <w:b/>
          <w:szCs w:val="24"/>
        </w:rPr>
        <w:t xml:space="preserve"> for</w:t>
      </w:r>
    </w:p>
    <w:p w:rsidR="000D7750" w:rsidP="00F2758C" w:rsidRDefault="00FD66F1" w14:paraId="39C9A1DC" w14:textId="7892529A">
      <w:pPr>
        <w:spacing w:after="0" w:line="240" w:lineRule="auto"/>
        <w:jc w:val="center"/>
        <w:rPr>
          <w:b/>
          <w:szCs w:val="24"/>
        </w:rPr>
      </w:pPr>
      <w:r w:rsidRPr="00E758ED">
        <w:rPr>
          <w:b/>
          <w:szCs w:val="24"/>
        </w:rPr>
        <w:t>FERC-</w:t>
      </w:r>
      <w:r w:rsidRPr="00E758ED" w:rsidR="002A28F1">
        <w:rPr>
          <w:b/>
          <w:szCs w:val="24"/>
        </w:rPr>
        <w:t>919</w:t>
      </w:r>
      <w:r w:rsidRPr="00E758ED" w:rsidR="00040A41">
        <w:rPr>
          <w:b/>
          <w:szCs w:val="24"/>
        </w:rPr>
        <w:t>A</w:t>
      </w:r>
      <w:r w:rsidRPr="00E758ED" w:rsidR="00F2758C">
        <w:rPr>
          <w:b/>
          <w:szCs w:val="24"/>
        </w:rPr>
        <w:t xml:space="preserve">, </w:t>
      </w:r>
      <w:r w:rsidR="000D7750">
        <w:rPr>
          <w:b/>
          <w:szCs w:val="24"/>
        </w:rPr>
        <w:t>Order</w:t>
      </w:r>
      <w:r w:rsidRPr="00E758ED" w:rsidR="00F2758C">
        <w:rPr>
          <w:b/>
          <w:szCs w:val="24"/>
        </w:rPr>
        <w:t xml:space="preserve"> </w:t>
      </w:r>
      <w:r w:rsidR="000D7750">
        <w:rPr>
          <w:b/>
          <w:szCs w:val="24"/>
        </w:rPr>
        <w:t>Adopting Revisions to Information Collection for</w:t>
      </w:r>
    </w:p>
    <w:p w:rsidRPr="00E758ED" w:rsidR="00A96B65" w:rsidP="00F2758C" w:rsidRDefault="00F2758C" w14:paraId="03533194" w14:textId="23353CD2">
      <w:pPr>
        <w:spacing w:after="0" w:line="240" w:lineRule="auto"/>
        <w:jc w:val="center"/>
        <w:rPr>
          <w:b/>
          <w:szCs w:val="24"/>
        </w:rPr>
      </w:pPr>
      <w:r w:rsidRPr="00E758ED">
        <w:rPr>
          <w:b/>
          <w:szCs w:val="24"/>
        </w:rPr>
        <w:t>Data Collection for Analytics and Surveillance and Market-Based Rate Purposes</w:t>
      </w:r>
      <w:r w:rsidRPr="00E758ED" w:rsidR="00726341">
        <w:rPr>
          <w:b/>
          <w:szCs w:val="24"/>
        </w:rPr>
        <w:t>, Docket No. RM16-17-000</w:t>
      </w:r>
      <w:r w:rsidRPr="00E758ED">
        <w:rPr>
          <w:b/>
          <w:szCs w:val="24"/>
        </w:rPr>
        <w:t xml:space="preserve"> </w:t>
      </w:r>
      <w:r w:rsidRPr="00E758ED" w:rsidR="002A28F1">
        <w:rPr>
          <w:b/>
          <w:szCs w:val="24"/>
        </w:rPr>
        <w:t xml:space="preserve"> </w:t>
      </w:r>
    </w:p>
    <w:p w:rsidRPr="00E758ED" w:rsidR="00FD66F1" w:rsidP="00FD66F1" w:rsidRDefault="00FD66F1" w14:paraId="03533195" w14:textId="77777777">
      <w:pPr>
        <w:spacing w:after="0"/>
        <w:jc w:val="center"/>
        <w:rPr>
          <w:szCs w:val="24"/>
        </w:rPr>
      </w:pPr>
    </w:p>
    <w:p w:rsidR="00D85C5B" w:rsidP="00A13551" w:rsidRDefault="00407B78" w14:paraId="0353319D" w14:textId="65D7BEAE">
      <w:pPr>
        <w:spacing w:after="0" w:line="240" w:lineRule="auto"/>
        <w:rPr>
          <w:szCs w:val="24"/>
        </w:rPr>
      </w:pPr>
      <w:r w:rsidRPr="00E758ED">
        <w:rPr>
          <w:szCs w:val="24"/>
        </w:rPr>
        <w:t>The Federal Energy Regulatory Commission (FERC</w:t>
      </w:r>
      <w:r w:rsidRPr="00E758ED" w:rsidR="0013054D">
        <w:rPr>
          <w:szCs w:val="24"/>
        </w:rPr>
        <w:t xml:space="preserve"> or Commission</w:t>
      </w:r>
      <w:r w:rsidRPr="00E758ED">
        <w:rPr>
          <w:szCs w:val="24"/>
        </w:rPr>
        <w:t>) requests that the Office of Management and Budget (OMB) review and approv</w:t>
      </w:r>
      <w:r w:rsidRPr="00E758ED" w:rsidR="0013054D">
        <w:rPr>
          <w:szCs w:val="24"/>
        </w:rPr>
        <w:t xml:space="preserve">e </w:t>
      </w:r>
      <w:r w:rsidRPr="00E758ED" w:rsidR="00726341">
        <w:rPr>
          <w:szCs w:val="24"/>
        </w:rPr>
        <w:t>the FERC-919</w:t>
      </w:r>
      <w:r w:rsidR="00B34397">
        <w:rPr>
          <w:szCs w:val="24"/>
        </w:rPr>
        <w:t>A</w:t>
      </w:r>
      <w:r w:rsidRPr="00E758ED" w:rsidR="00726341">
        <w:rPr>
          <w:szCs w:val="24"/>
        </w:rPr>
        <w:t xml:space="preserve"> </w:t>
      </w:r>
      <w:r w:rsidR="0074174B">
        <w:rPr>
          <w:szCs w:val="24"/>
        </w:rPr>
        <w:t>(</w:t>
      </w:r>
      <w:r w:rsidRPr="00E758ED" w:rsidR="00726341">
        <w:rPr>
          <w:szCs w:val="24"/>
        </w:rPr>
        <w:t>OMB Control Number 1902-</w:t>
      </w:r>
      <w:r w:rsidR="00397A3C">
        <w:rPr>
          <w:szCs w:val="24"/>
        </w:rPr>
        <w:t>0317</w:t>
      </w:r>
      <w:r w:rsidRPr="00E758ED" w:rsidR="00726341">
        <w:rPr>
          <w:szCs w:val="24"/>
        </w:rPr>
        <w:t xml:space="preserve">), as modified </w:t>
      </w:r>
      <w:r w:rsidR="000D7750">
        <w:rPr>
          <w:szCs w:val="24"/>
        </w:rPr>
        <w:t xml:space="preserve">by the order adopting revisions to </w:t>
      </w:r>
      <w:r w:rsidR="003829C0">
        <w:rPr>
          <w:szCs w:val="24"/>
        </w:rPr>
        <w:t xml:space="preserve">the </w:t>
      </w:r>
      <w:r w:rsidR="000D7750">
        <w:rPr>
          <w:szCs w:val="24"/>
        </w:rPr>
        <w:t xml:space="preserve">information collection </w:t>
      </w:r>
      <w:r w:rsidRPr="00E758ED" w:rsidR="00726341">
        <w:rPr>
          <w:szCs w:val="24"/>
        </w:rPr>
        <w:t>in Docket No. RM16-17-000</w:t>
      </w:r>
      <w:r w:rsidR="000D7750">
        <w:rPr>
          <w:szCs w:val="24"/>
        </w:rPr>
        <w:t xml:space="preserve"> (Order)</w:t>
      </w:r>
      <w:r w:rsidRPr="00E758ED" w:rsidR="00726341">
        <w:rPr>
          <w:szCs w:val="24"/>
        </w:rPr>
        <w:t>.</w:t>
      </w:r>
      <w:r w:rsidR="00795DEB">
        <w:rPr>
          <w:rStyle w:val="FootnoteReference"/>
          <w:szCs w:val="24"/>
        </w:rPr>
        <w:footnoteReference w:id="2"/>
      </w:r>
    </w:p>
    <w:p w:rsidR="00816112" w:rsidP="00A13551" w:rsidRDefault="00816112" w14:paraId="26CFD9B7" w14:textId="4CF094CC">
      <w:pPr>
        <w:spacing w:after="0" w:line="240" w:lineRule="auto"/>
        <w:rPr>
          <w:szCs w:val="24"/>
        </w:rPr>
      </w:pPr>
    </w:p>
    <w:p w:rsidRPr="006A510E" w:rsidR="00A72E7B" w:rsidP="006A510E" w:rsidRDefault="00A72E7B" w14:paraId="035331A0" w14:textId="5A1AAC20">
      <w:pPr>
        <w:pStyle w:val="FERCparanumber"/>
      </w:pPr>
      <w:r w:rsidRPr="006A510E">
        <w:t>CIRCUMSTANCES THAT MAKE THE COLLECTION OF INFORMATION NECESSARY</w:t>
      </w:r>
    </w:p>
    <w:p w:rsidRPr="00E758ED" w:rsidR="00726341" w:rsidP="00632B16" w:rsidRDefault="00726341" w14:paraId="2CD59C82" w14:textId="28C41F20">
      <w:pPr>
        <w:widowControl w:val="0"/>
        <w:autoSpaceDE w:val="0"/>
        <w:autoSpaceDN w:val="0"/>
        <w:adjustRightInd w:val="0"/>
        <w:spacing w:after="0" w:line="240" w:lineRule="auto"/>
        <w:rPr>
          <w:rFonts w:eastAsia="Times New Roman"/>
          <w:szCs w:val="24"/>
        </w:rPr>
      </w:pPr>
      <w:r w:rsidRPr="00E758ED">
        <w:rPr>
          <w:rFonts w:eastAsia="Times New Roman"/>
          <w:szCs w:val="24"/>
        </w:rPr>
        <w:t>Compliance with Federal Power Act (FPA) sections 205</w:t>
      </w:r>
      <w:r w:rsidRPr="00E758ED">
        <w:rPr>
          <w:rStyle w:val="FootnoteReference"/>
        </w:rPr>
        <w:footnoteReference w:id="3"/>
      </w:r>
      <w:r w:rsidRPr="00E758ED">
        <w:rPr>
          <w:rFonts w:eastAsia="Times New Roman"/>
          <w:szCs w:val="24"/>
        </w:rPr>
        <w:t xml:space="preserve"> and 206</w:t>
      </w:r>
      <w:r w:rsidRPr="00E758ED">
        <w:rPr>
          <w:rStyle w:val="FootnoteReference"/>
        </w:rPr>
        <w:footnoteReference w:id="4"/>
      </w:r>
      <w:r w:rsidRPr="00E758ED">
        <w:rPr>
          <w:rFonts w:eastAsia="Times New Roman"/>
          <w:szCs w:val="24"/>
        </w:rPr>
        <w:t xml:space="preserve"> make the FERC-919</w:t>
      </w:r>
      <w:r w:rsidR="00AD3BD2">
        <w:rPr>
          <w:rFonts w:eastAsia="Times New Roman"/>
          <w:szCs w:val="24"/>
        </w:rPr>
        <w:t>A</w:t>
      </w:r>
      <w:r w:rsidRPr="00E758ED">
        <w:rPr>
          <w:rFonts w:eastAsia="Times New Roman"/>
          <w:szCs w:val="24"/>
        </w:rPr>
        <w:t xml:space="preserve"> information collection necessary.  Specifically, section 205 of the FPA requires just and reasonable rates and charges.  Section 206 allows the Commission to revoke a s</w:t>
      </w:r>
      <w:r w:rsidR="00624632">
        <w:rPr>
          <w:rFonts w:eastAsia="Times New Roman"/>
          <w:szCs w:val="24"/>
        </w:rPr>
        <w:t xml:space="preserve">eller’s market-based rate </w:t>
      </w:r>
      <w:r w:rsidRPr="00E758ED">
        <w:rPr>
          <w:rFonts w:eastAsia="Times New Roman"/>
          <w:szCs w:val="24"/>
        </w:rPr>
        <w:t xml:space="preserve">authorization if it determines that the seller may have gained market power since its original authorization to charge market-based rates.  </w:t>
      </w:r>
    </w:p>
    <w:p w:rsidRPr="00E758ED" w:rsidR="00726341" w:rsidP="00632B16" w:rsidRDefault="00726341" w14:paraId="19E1FAED" w14:textId="77777777">
      <w:pPr>
        <w:widowControl w:val="0"/>
        <w:autoSpaceDE w:val="0"/>
        <w:autoSpaceDN w:val="0"/>
        <w:adjustRightInd w:val="0"/>
        <w:spacing w:after="0" w:line="240" w:lineRule="auto"/>
        <w:rPr>
          <w:rFonts w:eastAsia="Times New Roman"/>
          <w:szCs w:val="24"/>
        </w:rPr>
      </w:pPr>
    </w:p>
    <w:p w:rsidRPr="00E758ED" w:rsidR="00726341" w:rsidP="00632B16" w:rsidRDefault="00726341" w14:paraId="0D640575" w14:textId="10DC6E86">
      <w:pPr>
        <w:widowControl w:val="0"/>
        <w:autoSpaceDE w:val="0"/>
        <w:autoSpaceDN w:val="0"/>
        <w:adjustRightInd w:val="0"/>
        <w:spacing w:after="0" w:line="240" w:lineRule="auto"/>
        <w:rPr>
          <w:rFonts w:eastAsia="Times New Roman"/>
          <w:szCs w:val="24"/>
        </w:rPr>
      </w:pPr>
      <w:r w:rsidRPr="00E758ED">
        <w:rPr>
          <w:rFonts w:eastAsia="Times New Roman"/>
          <w:szCs w:val="24"/>
        </w:rPr>
        <w:t>The information collection requirements for FERC-919</w:t>
      </w:r>
      <w:r w:rsidR="00AD3BD2">
        <w:rPr>
          <w:rFonts w:eastAsia="Times New Roman"/>
          <w:szCs w:val="24"/>
        </w:rPr>
        <w:t>A</w:t>
      </w:r>
      <w:r w:rsidRPr="00E758ED">
        <w:rPr>
          <w:rFonts w:eastAsia="Times New Roman"/>
          <w:szCs w:val="24"/>
        </w:rPr>
        <w:t xml:space="preserve"> (prior to the modifications made by the final rule</w:t>
      </w:r>
      <w:r w:rsidR="00B41E80">
        <w:rPr>
          <w:rFonts w:eastAsia="Times New Roman"/>
          <w:szCs w:val="24"/>
        </w:rPr>
        <w:t>, Order No. 860,</w:t>
      </w:r>
      <w:r w:rsidR="00FB7D81">
        <w:rPr>
          <w:rStyle w:val="FootnoteReference"/>
          <w:rFonts w:eastAsia="Times New Roman"/>
          <w:szCs w:val="24"/>
        </w:rPr>
        <w:footnoteReference w:id="5"/>
      </w:r>
      <w:r w:rsidRPr="00E758ED">
        <w:rPr>
          <w:rFonts w:eastAsia="Times New Roman"/>
          <w:szCs w:val="24"/>
        </w:rPr>
        <w:t xml:space="preserve"> in Docket No. RM16-17-000</w:t>
      </w:r>
      <w:r w:rsidR="000D7750">
        <w:rPr>
          <w:rFonts w:eastAsia="Times New Roman"/>
          <w:szCs w:val="24"/>
        </w:rPr>
        <w:t xml:space="preserve"> as well as the information collection revisions adopted in the Order</w:t>
      </w:r>
      <w:r w:rsidRPr="00E758ED">
        <w:rPr>
          <w:rFonts w:eastAsia="Times New Roman"/>
          <w:szCs w:val="24"/>
        </w:rPr>
        <w:t>) are:</w:t>
      </w:r>
    </w:p>
    <w:p w:rsidRPr="00E758ED" w:rsidR="00726341" w:rsidP="00632B16" w:rsidRDefault="00726341" w14:paraId="51320530" w14:textId="77777777">
      <w:pPr>
        <w:widowControl w:val="0"/>
        <w:autoSpaceDE w:val="0"/>
        <w:autoSpaceDN w:val="0"/>
        <w:adjustRightInd w:val="0"/>
        <w:spacing w:after="0" w:line="240" w:lineRule="auto"/>
        <w:ind w:left="360" w:hanging="360"/>
        <w:rPr>
          <w:rFonts w:eastAsia="Times New Roman"/>
          <w:szCs w:val="24"/>
        </w:rPr>
      </w:pPr>
    </w:p>
    <w:p w:rsidRPr="00E758ED" w:rsidR="00726341" w:rsidP="00632B16" w:rsidRDefault="00726341" w14:paraId="06FDD84F" w14:textId="77777777">
      <w:pPr>
        <w:widowControl w:val="0"/>
        <w:numPr>
          <w:ilvl w:val="0"/>
          <w:numId w:val="17"/>
        </w:numPr>
        <w:autoSpaceDE w:val="0"/>
        <w:autoSpaceDN w:val="0"/>
        <w:adjustRightInd w:val="0"/>
        <w:spacing w:after="0" w:line="240" w:lineRule="auto"/>
        <w:rPr>
          <w:rFonts w:eastAsia="Times New Roman"/>
          <w:szCs w:val="24"/>
        </w:rPr>
      </w:pPr>
      <w:r w:rsidRPr="00E758ED">
        <w:rPr>
          <w:rFonts w:eastAsia="Times New Roman"/>
          <w:szCs w:val="24"/>
        </w:rPr>
        <w:t>Initial market power analyses to qualify for authority to charge market-based rates</w:t>
      </w:r>
      <w:r w:rsidRPr="00E758ED">
        <w:rPr>
          <w:rStyle w:val="FootnoteReference"/>
        </w:rPr>
        <w:footnoteReference w:id="6"/>
      </w:r>
    </w:p>
    <w:p w:rsidRPr="00E758ED" w:rsidR="00726341" w:rsidP="00632B16" w:rsidRDefault="00726341" w14:paraId="53600851" w14:textId="77777777">
      <w:pPr>
        <w:widowControl w:val="0"/>
        <w:numPr>
          <w:ilvl w:val="0"/>
          <w:numId w:val="17"/>
        </w:numPr>
        <w:autoSpaceDE w:val="0"/>
        <w:autoSpaceDN w:val="0"/>
        <w:adjustRightInd w:val="0"/>
        <w:spacing w:after="0" w:line="240" w:lineRule="auto"/>
        <w:rPr>
          <w:rFonts w:eastAsia="Times New Roman"/>
          <w:szCs w:val="24"/>
        </w:rPr>
      </w:pPr>
      <w:r w:rsidRPr="00E758ED">
        <w:rPr>
          <w:rFonts w:eastAsia="Times New Roman"/>
          <w:szCs w:val="24"/>
        </w:rPr>
        <w:t>Triennial market power analysis in Category 2 seller updates</w:t>
      </w:r>
      <w:r w:rsidRPr="00E758ED">
        <w:rPr>
          <w:rStyle w:val="FootnoteReference"/>
        </w:rPr>
        <w:footnoteReference w:id="7"/>
      </w:r>
    </w:p>
    <w:p w:rsidRPr="00E758ED" w:rsidR="00726341" w:rsidP="00632B16" w:rsidRDefault="00726341" w14:paraId="262BFF6B" w14:textId="77777777">
      <w:pPr>
        <w:widowControl w:val="0"/>
        <w:numPr>
          <w:ilvl w:val="0"/>
          <w:numId w:val="17"/>
        </w:numPr>
        <w:autoSpaceDE w:val="0"/>
        <w:autoSpaceDN w:val="0"/>
        <w:adjustRightInd w:val="0"/>
        <w:spacing w:after="0" w:line="240" w:lineRule="auto"/>
        <w:rPr>
          <w:rFonts w:eastAsia="Times New Roman"/>
          <w:szCs w:val="24"/>
        </w:rPr>
      </w:pPr>
      <w:r w:rsidRPr="00E758ED">
        <w:rPr>
          <w:rFonts w:eastAsia="Times New Roman"/>
          <w:szCs w:val="24"/>
        </w:rPr>
        <w:t>Notices of change in status</w:t>
      </w:r>
      <w:r w:rsidRPr="00E758ED">
        <w:rPr>
          <w:rStyle w:val="FootnoteReference"/>
        </w:rPr>
        <w:footnoteReference w:id="8"/>
      </w:r>
    </w:p>
    <w:p w:rsidR="00C17D0A" w:rsidP="00632B16" w:rsidRDefault="00C17D0A" w14:paraId="7A97F782" w14:textId="77777777">
      <w:pPr>
        <w:spacing w:after="0" w:line="240" w:lineRule="auto"/>
        <w:rPr>
          <w:rFonts w:eastAsia="Times New Roman"/>
          <w:szCs w:val="24"/>
        </w:rPr>
      </w:pPr>
    </w:p>
    <w:p w:rsidR="00CD37F8" w:rsidP="00632B16" w:rsidRDefault="000D7750" w14:paraId="7CF81B7F" w14:textId="6ED400D7">
      <w:pPr>
        <w:spacing w:after="0" w:line="240" w:lineRule="auto"/>
        <w:rPr>
          <w:rFonts w:eastAsia="Calibri"/>
          <w:szCs w:val="24"/>
        </w:rPr>
      </w:pPr>
      <w:r>
        <w:rPr>
          <w:rFonts w:eastAsia="Calibri"/>
          <w:szCs w:val="24"/>
        </w:rPr>
        <w:t xml:space="preserve">As background, </w:t>
      </w:r>
      <w:r w:rsidR="00DC0B98">
        <w:rPr>
          <w:rFonts w:eastAsia="Calibri"/>
          <w:szCs w:val="24"/>
        </w:rPr>
        <w:t xml:space="preserve">Order </w:t>
      </w:r>
      <w:r w:rsidR="00C464A9">
        <w:rPr>
          <w:rFonts w:eastAsia="Calibri"/>
          <w:szCs w:val="24"/>
        </w:rPr>
        <w:t>No.</w:t>
      </w:r>
      <w:r w:rsidR="00DC0B98">
        <w:rPr>
          <w:rFonts w:eastAsia="Calibri"/>
          <w:szCs w:val="24"/>
        </w:rPr>
        <w:t xml:space="preserve"> 860 </w:t>
      </w:r>
      <w:r w:rsidRPr="00E758ED" w:rsidR="00ED65C5">
        <w:rPr>
          <w:rFonts w:eastAsia="Calibri"/>
          <w:szCs w:val="24"/>
        </w:rPr>
        <w:t>amend</w:t>
      </w:r>
      <w:r>
        <w:rPr>
          <w:rFonts w:eastAsia="Calibri"/>
          <w:szCs w:val="24"/>
        </w:rPr>
        <w:t>ed</w:t>
      </w:r>
      <w:r w:rsidRPr="00E758ED" w:rsidR="00ED65C5">
        <w:rPr>
          <w:rFonts w:eastAsia="Calibri"/>
          <w:szCs w:val="24"/>
        </w:rPr>
        <w:t xml:space="preserve"> </w:t>
      </w:r>
      <w:r w:rsidRPr="00E758ED" w:rsidR="004331B5">
        <w:rPr>
          <w:rFonts w:eastAsia="Calibri"/>
          <w:szCs w:val="24"/>
        </w:rPr>
        <w:t>the Commission’s</w:t>
      </w:r>
      <w:r w:rsidRPr="00E758ED" w:rsidR="007C3591">
        <w:rPr>
          <w:rFonts w:eastAsia="Calibri"/>
          <w:szCs w:val="24"/>
        </w:rPr>
        <w:t xml:space="preserve"> regulations govern</w:t>
      </w:r>
      <w:r w:rsidR="00345C0F">
        <w:rPr>
          <w:rFonts w:eastAsia="Calibri"/>
          <w:szCs w:val="24"/>
        </w:rPr>
        <w:t xml:space="preserve">ing market-based rates </w:t>
      </w:r>
      <w:r w:rsidR="00D0532B">
        <w:rPr>
          <w:rFonts w:eastAsia="Calibri"/>
          <w:szCs w:val="24"/>
        </w:rPr>
        <w:t xml:space="preserve">for </w:t>
      </w:r>
      <w:r w:rsidRPr="00E758ED" w:rsidR="00D0532B">
        <w:rPr>
          <w:rFonts w:eastAsia="Calibri"/>
          <w:szCs w:val="24"/>
        </w:rPr>
        <w:t>public</w:t>
      </w:r>
      <w:r w:rsidRPr="00E758ED" w:rsidR="007C3591">
        <w:rPr>
          <w:rFonts w:eastAsia="Calibri"/>
          <w:szCs w:val="24"/>
        </w:rPr>
        <w:t xml:space="preserve"> utilities</w:t>
      </w:r>
      <w:r w:rsidRPr="00E758ED" w:rsidR="00CD37F8">
        <w:rPr>
          <w:rFonts w:eastAsia="Calibri"/>
          <w:szCs w:val="24"/>
        </w:rPr>
        <w:t>.</w:t>
      </w:r>
      <w:r w:rsidR="00AB742F">
        <w:rPr>
          <w:rFonts w:eastAsia="Calibri"/>
          <w:szCs w:val="24"/>
        </w:rPr>
        <w:t xml:space="preserve">  </w:t>
      </w:r>
      <w:r w:rsidR="00CC2237">
        <w:rPr>
          <w:rFonts w:eastAsia="Calibri"/>
          <w:szCs w:val="24"/>
        </w:rPr>
        <w:t>Rather than collecting certain information through transmittal letters and attached spreadsheets,</w:t>
      </w:r>
      <w:r w:rsidR="00D5001D">
        <w:rPr>
          <w:rFonts w:eastAsia="Calibri"/>
          <w:szCs w:val="24"/>
        </w:rPr>
        <w:t xml:space="preserve"> </w:t>
      </w:r>
      <w:r w:rsidR="00CC2237">
        <w:rPr>
          <w:rFonts w:eastAsia="Calibri"/>
          <w:szCs w:val="24"/>
        </w:rPr>
        <w:t>t</w:t>
      </w:r>
      <w:r w:rsidRPr="00AB742F" w:rsidR="00AB742F">
        <w:rPr>
          <w:rFonts w:eastAsia="Calibri"/>
          <w:szCs w:val="24"/>
        </w:rPr>
        <w:t xml:space="preserve">he Commission </w:t>
      </w:r>
      <w:r w:rsidR="00B41E80">
        <w:rPr>
          <w:rFonts w:eastAsia="Calibri"/>
          <w:szCs w:val="24"/>
        </w:rPr>
        <w:t>now</w:t>
      </w:r>
      <w:r w:rsidRPr="00AB742F" w:rsidR="00AB742F">
        <w:rPr>
          <w:rFonts w:eastAsia="Calibri"/>
          <w:szCs w:val="24"/>
        </w:rPr>
        <w:t xml:space="preserve"> collect</w:t>
      </w:r>
      <w:r w:rsidR="00B41E80">
        <w:rPr>
          <w:rFonts w:eastAsia="Calibri"/>
          <w:szCs w:val="24"/>
        </w:rPr>
        <w:t>s</w:t>
      </w:r>
      <w:r w:rsidRPr="00AB742F" w:rsidR="00AB742F">
        <w:rPr>
          <w:rFonts w:eastAsia="Calibri"/>
          <w:szCs w:val="24"/>
        </w:rPr>
        <w:t xml:space="preserve"> </w:t>
      </w:r>
      <w:r w:rsidR="00CC2237">
        <w:rPr>
          <w:rFonts w:eastAsia="Calibri"/>
          <w:szCs w:val="24"/>
        </w:rPr>
        <w:t>this</w:t>
      </w:r>
      <w:r w:rsidRPr="00AB742F" w:rsidR="00CC2237">
        <w:rPr>
          <w:rFonts w:eastAsia="Calibri"/>
          <w:szCs w:val="24"/>
        </w:rPr>
        <w:t xml:space="preserve"> </w:t>
      </w:r>
      <w:r w:rsidRPr="00AB742F" w:rsidR="00AB742F">
        <w:rPr>
          <w:rFonts w:eastAsia="Calibri"/>
          <w:szCs w:val="24"/>
        </w:rPr>
        <w:t xml:space="preserve">information in a consolidated and streamlined manner through a relational database.  </w:t>
      </w:r>
      <w:r w:rsidR="00D20F6E">
        <w:rPr>
          <w:rFonts w:eastAsia="Calibri"/>
          <w:szCs w:val="24"/>
        </w:rPr>
        <w:t>With the relational database, each Seller</w:t>
      </w:r>
      <w:r w:rsidRPr="00A70F33" w:rsidR="00F20C6C">
        <w:rPr>
          <w:rStyle w:val="FootnoteReference"/>
        </w:rPr>
        <w:footnoteReference w:id="9"/>
      </w:r>
      <w:r w:rsidR="00D20F6E">
        <w:rPr>
          <w:rFonts w:eastAsia="Calibri"/>
          <w:szCs w:val="24"/>
        </w:rPr>
        <w:t xml:space="preserve"> </w:t>
      </w:r>
      <w:r w:rsidR="00B41E80">
        <w:rPr>
          <w:rFonts w:eastAsia="Calibri"/>
          <w:szCs w:val="24"/>
        </w:rPr>
        <w:t xml:space="preserve">now </w:t>
      </w:r>
      <w:r w:rsidR="00D20F6E">
        <w:rPr>
          <w:rFonts w:eastAsia="Calibri"/>
          <w:szCs w:val="24"/>
        </w:rPr>
        <w:t>enter</w:t>
      </w:r>
      <w:r w:rsidR="00B41E80">
        <w:rPr>
          <w:rFonts w:eastAsia="Calibri"/>
          <w:szCs w:val="24"/>
        </w:rPr>
        <w:t>s</w:t>
      </w:r>
      <w:r w:rsidR="00D20F6E">
        <w:rPr>
          <w:rFonts w:eastAsia="Calibri"/>
          <w:szCs w:val="24"/>
        </w:rPr>
        <w:t xml:space="preserve"> its own assets (and those of any of its non-market-based rate affiliates) and the database automatically </w:t>
      </w:r>
      <w:r w:rsidR="00707EF6">
        <w:rPr>
          <w:rFonts w:eastAsia="Calibri"/>
          <w:szCs w:val="24"/>
        </w:rPr>
        <w:t xml:space="preserve">generates asset appendix reports, that include </w:t>
      </w:r>
      <w:r w:rsidR="00D20F6E">
        <w:rPr>
          <w:rFonts w:eastAsia="Calibri"/>
          <w:szCs w:val="24"/>
        </w:rPr>
        <w:t>the assets of the Seller’s market-based rate affiliates</w:t>
      </w:r>
      <w:r w:rsidR="00E67468">
        <w:rPr>
          <w:rFonts w:eastAsia="Calibri"/>
          <w:szCs w:val="24"/>
        </w:rPr>
        <w:t>, who have themselves entered their own assets</w:t>
      </w:r>
      <w:r w:rsidR="00D20F6E">
        <w:rPr>
          <w:rFonts w:eastAsia="Calibri"/>
          <w:szCs w:val="24"/>
        </w:rPr>
        <w:t xml:space="preserve">.  </w:t>
      </w:r>
      <w:r w:rsidR="00B41E80">
        <w:rPr>
          <w:rFonts w:eastAsia="Calibri"/>
          <w:szCs w:val="24"/>
        </w:rPr>
        <w:t xml:space="preserve">In addition, as relevant here, under Order No. 860, </w:t>
      </w:r>
      <w:r w:rsidR="00200971">
        <w:rPr>
          <w:rFonts w:eastAsia="Calibri"/>
          <w:szCs w:val="24"/>
        </w:rPr>
        <w:t>Seller</w:t>
      </w:r>
      <w:r w:rsidR="00B41E80">
        <w:rPr>
          <w:rFonts w:eastAsia="Calibri"/>
          <w:szCs w:val="24"/>
        </w:rPr>
        <w:t>s are now required</w:t>
      </w:r>
      <w:r w:rsidR="00200971">
        <w:rPr>
          <w:rFonts w:eastAsia="Calibri"/>
          <w:szCs w:val="24"/>
        </w:rPr>
        <w:t xml:space="preserve"> to provide information on </w:t>
      </w:r>
      <w:r w:rsidR="00B41E80">
        <w:rPr>
          <w:rFonts w:eastAsia="Calibri"/>
          <w:szCs w:val="24"/>
        </w:rPr>
        <w:t>their</w:t>
      </w:r>
      <w:r w:rsidR="00200971">
        <w:rPr>
          <w:rFonts w:eastAsia="Calibri"/>
          <w:szCs w:val="24"/>
        </w:rPr>
        <w:t xml:space="preserve"> ultimate upstream affiliates</w:t>
      </w:r>
      <w:r w:rsidR="00B41E80">
        <w:rPr>
          <w:rStyle w:val="FootnoteReference"/>
          <w:rFonts w:eastAsia="Calibri"/>
          <w:szCs w:val="24"/>
        </w:rPr>
        <w:footnoteReference w:id="10"/>
      </w:r>
      <w:r w:rsidR="00B41E80">
        <w:rPr>
          <w:rFonts w:eastAsia="Calibri"/>
          <w:szCs w:val="24"/>
        </w:rPr>
        <w:t xml:space="preserve"> in the relational database to facilitate </w:t>
      </w:r>
      <w:r w:rsidR="00707EF6">
        <w:rPr>
          <w:rFonts w:eastAsia="Calibri"/>
          <w:szCs w:val="24"/>
        </w:rPr>
        <w:t xml:space="preserve">this </w:t>
      </w:r>
      <w:r w:rsidR="00B41E80">
        <w:rPr>
          <w:rFonts w:eastAsia="Calibri"/>
          <w:szCs w:val="24"/>
        </w:rPr>
        <w:t>auto-generation of asset appendices</w:t>
      </w:r>
      <w:r w:rsidR="00200971">
        <w:rPr>
          <w:rFonts w:eastAsia="Calibri"/>
          <w:szCs w:val="24"/>
        </w:rPr>
        <w:t xml:space="preserve">.  </w:t>
      </w:r>
    </w:p>
    <w:p w:rsidR="00DC0B98" w:rsidP="00632B16" w:rsidRDefault="00DC0B98" w14:paraId="271CE9BA" w14:textId="1B3F5439">
      <w:pPr>
        <w:spacing w:after="0" w:line="240" w:lineRule="auto"/>
        <w:rPr>
          <w:rFonts w:eastAsia="Calibri"/>
          <w:szCs w:val="24"/>
        </w:rPr>
      </w:pPr>
    </w:p>
    <w:p w:rsidR="00DC0B98" w:rsidP="00632B16" w:rsidRDefault="00DC0B98" w14:paraId="678EC567" w14:textId="56312DBE">
      <w:pPr>
        <w:spacing w:after="0" w:line="240" w:lineRule="auto"/>
        <w:rPr>
          <w:rFonts w:eastAsia="Calibri"/>
          <w:szCs w:val="24"/>
        </w:rPr>
      </w:pPr>
      <w:r w:rsidRPr="00DC0B98">
        <w:rPr>
          <w:rFonts w:eastAsia="Calibri"/>
          <w:szCs w:val="24"/>
        </w:rPr>
        <w:t xml:space="preserve">On March 18, 2021, the Commission issued a notice </w:t>
      </w:r>
      <w:r w:rsidR="00C464A9">
        <w:rPr>
          <w:rFonts w:eastAsia="Calibri"/>
          <w:szCs w:val="24"/>
        </w:rPr>
        <w:t>seeking</w:t>
      </w:r>
      <w:r w:rsidRPr="00DC0B98">
        <w:rPr>
          <w:rFonts w:eastAsia="Calibri"/>
          <w:szCs w:val="24"/>
        </w:rPr>
        <w:t xml:space="preserve"> comments</w:t>
      </w:r>
      <w:r w:rsidR="001D130D">
        <w:rPr>
          <w:rStyle w:val="FootnoteReference"/>
          <w:rFonts w:eastAsia="Calibri"/>
          <w:szCs w:val="24"/>
        </w:rPr>
        <w:footnoteReference w:id="11"/>
      </w:r>
      <w:r w:rsidRPr="00DC0B98">
        <w:rPr>
          <w:rFonts w:eastAsia="Calibri"/>
          <w:szCs w:val="24"/>
        </w:rPr>
        <w:t xml:space="preserve"> on a proposal to collect additional data from certain Sellers through revisions to the data dictionary and XML schema that accompany the relational database established in Order No. 860 (MBR Data Dictionary).  Specifically, the Commission proposed revising the MBR Data Dictionary to require that Sellers whose ultimate upstream affiliate(s) own their voting securities pursuant to a </w:t>
      </w:r>
      <w:r w:rsidR="00FB7D81">
        <w:rPr>
          <w:rFonts w:eastAsia="Calibri"/>
          <w:szCs w:val="24"/>
        </w:rPr>
        <w:t xml:space="preserve">FPA </w:t>
      </w:r>
      <w:r w:rsidRPr="00DC0B98">
        <w:rPr>
          <w:rFonts w:eastAsia="Calibri"/>
          <w:szCs w:val="24"/>
        </w:rPr>
        <w:t>section 203(a)(2)</w:t>
      </w:r>
      <w:r w:rsidR="00FB7D81">
        <w:rPr>
          <w:rStyle w:val="FootnoteReference"/>
          <w:rFonts w:eastAsia="Calibri"/>
          <w:szCs w:val="24"/>
        </w:rPr>
        <w:footnoteReference w:id="12"/>
      </w:r>
      <w:r w:rsidRPr="00DC0B98">
        <w:rPr>
          <w:rFonts w:eastAsia="Calibri"/>
          <w:szCs w:val="24"/>
        </w:rPr>
        <w:t xml:space="preserve"> blanket authorization provide, in the relational database, three additional data fields:  the docket number of the </w:t>
      </w:r>
      <w:r w:rsidR="00FB7D81">
        <w:rPr>
          <w:rFonts w:eastAsia="Calibri"/>
          <w:szCs w:val="24"/>
        </w:rPr>
        <w:t xml:space="preserve">FPA </w:t>
      </w:r>
      <w:r w:rsidRPr="00DC0B98">
        <w:rPr>
          <w:rFonts w:eastAsia="Calibri"/>
          <w:szCs w:val="24"/>
        </w:rPr>
        <w:t>section 203(a)(2) blanket authorization, the Utility_ID_Type_CD of the utility whose securities were acquired under the corresponding section 203(a)(2) blanket authorization docket number, and the Utility_ID of that utility.</w:t>
      </w:r>
      <w:r w:rsidR="001D130D">
        <w:rPr>
          <w:rStyle w:val="FootnoteReference"/>
          <w:rFonts w:eastAsia="Calibri"/>
          <w:szCs w:val="24"/>
        </w:rPr>
        <w:footnoteReference w:id="13"/>
      </w:r>
      <w:r w:rsidR="001D130D">
        <w:rPr>
          <w:rFonts w:eastAsia="Calibri"/>
          <w:szCs w:val="24"/>
        </w:rPr>
        <w:t xml:space="preserve"> </w:t>
      </w:r>
      <w:r w:rsidRPr="00DC0B98">
        <w:rPr>
          <w:rFonts w:eastAsia="Calibri"/>
          <w:szCs w:val="24"/>
        </w:rPr>
        <w:t xml:space="preserve"> In </w:t>
      </w:r>
      <w:r>
        <w:rPr>
          <w:rFonts w:eastAsia="Calibri"/>
          <w:szCs w:val="24"/>
        </w:rPr>
        <w:t xml:space="preserve">the </w:t>
      </w:r>
      <w:r w:rsidR="001D130D">
        <w:rPr>
          <w:rFonts w:eastAsia="Calibri"/>
          <w:szCs w:val="24"/>
        </w:rPr>
        <w:t xml:space="preserve">Order </w:t>
      </w:r>
      <w:r w:rsidR="00FB7D81">
        <w:rPr>
          <w:rFonts w:eastAsia="Calibri"/>
          <w:szCs w:val="24"/>
        </w:rPr>
        <w:t xml:space="preserve">that </w:t>
      </w:r>
      <w:r w:rsidR="001D130D">
        <w:rPr>
          <w:rFonts w:eastAsia="Calibri"/>
          <w:szCs w:val="24"/>
        </w:rPr>
        <w:t>issued on August 1</w:t>
      </w:r>
      <w:r w:rsidR="00BC2643">
        <w:rPr>
          <w:rFonts w:eastAsia="Calibri"/>
          <w:szCs w:val="24"/>
        </w:rPr>
        <w:t>9</w:t>
      </w:r>
      <w:r w:rsidR="001D130D">
        <w:rPr>
          <w:rFonts w:eastAsia="Calibri"/>
          <w:szCs w:val="24"/>
        </w:rPr>
        <w:t xml:space="preserve">, </w:t>
      </w:r>
      <w:r w:rsidR="001D130D">
        <w:rPr>
          <w:rFonts w:eastAsia="Calibri"/>
          <w:szCs w:val="24"/>
        </w:rPr>
        <w:lastRenderedPageBreak/>
        <w:t>2021</w:t>
      </w:r>
      <w:r w:rsidRPr="00DC0B98">
        <w:rPr>
          <w:rFonts w:eastAsia="Calibri"/>
          <w:szCs w:val="24"/>
        </w:rPr>
        <w:t xml:space="preserve">, </w:t>
      </w:r>
      <w:r w:rsidR="000D09F1">
        <w:rPr>
          <w:rFonts w:eastAsia="Calibri"/>
          <w:szCs w:val="24"/>
        </w:rPr>
        <w:t>the Commission</w:t>
      </w:r>
      <w:r w:rsidRPr="00DC0B98">
        <w:rPr>
          <w:rFonts w:eastAsia="Calibri"/>
          <w:szCs w:val="24"/>
        </w:rPr>
        <w:t xml:space="preserve"> </w:t>
      </w:r>
      <w:r w:rsidR="00FB7D81">
        <w:rPr>
          <w:rFonts w:eastAsia="Calibri"/>
          <w:szCs w:val="24"/>
        </w:rPr>
        <w:t>adopted the revisions (i.e., the three additional data fields) proposed</w:t>
      </w:r>
      <w:r w:rsidRPr="00DC0B98">
        <w:rPr>
          <w:rFonts w:eastAsia="Calibri"/>
          <w:szCs w:val="24"/>
        </w:rPr>
        <w:t xml:space="preserve"> in the March Notice.</w:t>
      </w:r>
    </w:p>
    <w:p w:rsidRPr="00E758ED" w:rsidR="001D130D" w:rsidP="00632B16" w:rsidRDefault="001D130D" w14:paraId="791C7383" w14:textId="77777777">
      <w:pPr>
        <w:spacing w:after="0" w:line="240" w:lineRule="auto"/>
        <w:rPr>
          <w:rFonts w:eastAsia="Calibri"/>
          <w:szCs w:val="24"/>
        </w:rPr>
      </w:pPr>
    </w:p>
    <w:p w:rsidRPr="00E758ED" w:rsidR="00A72E7B" w:rsidP="00632B16" w:rsidRDefault="00EB3E6F" w14:paraId="035331B9" w14:textId="5F9A80F4">
      <w:pPr>
        <w:pStyle w:val="FERCparanumber"/>
      </w:pPr>
      <w:r w:rsidRPr="00E758ED">
        <w:t>HOW, BY WHOM, AND FOR WHAT PURPOSE THE INFORMATION IS TO BE USED AND THE CONSEQUENCES OF NOT COLLECTING THE INFORMATION</w:t>
      </w:r>
    </w:p>
    <w:p w:rsidR="008A13B1" w:rsidP="00632B16" w:rsidRDefault="00FC3484" w14:paraId="7D977555" w14:textId="21C2B456">
      <w:pPr>
        <w:spacing w:after="0" w:line="240" w:lineRule="auto"/>
        <w:rPr>
          <w:szCs w:val="24"/>
        </w:rPr>
      </w:pPr>
      <w:r>
        <w:rPr>
          <w:szCs w:val="24"/>
        </w:rPr>
        <w:t>The purpose of this data collection is to ensure that Sellers</w:t>
      </w:r>
      <w:r w:rsidR="00973056">
        <w:rPr>
          <w:szCs w:val="24"/>
        </w:rPr>
        <w:t>’</w:t>
      </w:r>
      <w:r>
        <w:rPr>
          <w:szCs w:val="24"/>
        </w:rPr>
        <w:t xml:space="preserve"> asset appendices correctly auto-generate based on either their ultimate upstream affiliates or their upstream affiliates whose voting securities are owned by an ultimate upstream affiliate pursuant to an FPA section 203(a)(2) blanket authorization.  </w:t>
      </w:r>
      <w:r w:rsidR="005B35D0">
        <w:rPr>
          <w:szCs w:val="24"/>
        </w:rPr>
        <w:t xml:space="preserve">The inclusion of these </w:t>
      </w:r>
      <w:r w:rsidR="00281F3B">
        <w:rPr>
          <w:szCs w:val="24"/>
        </w:rPr>
        <w:t>three additional data</w:t>
      </w:r>
      <w:r w:rsidR="005B35D0">
        <w:rPr>
          <w:szCs w:val="24"/>
        </w:rPr>
        <w:t xml:space="preserve"> fields </w:t>
      </w:r>
      <w:r w:rsidR="00747B52">
        <w:rPr>
          <w:szCs w:val="24"/>
        </w:rPr>
        <w:t xml:space="preserve">will allow the system to do so while also </w:t>
      </w:r>
      <w:r w:rsidRPr="005B35D0" w:rsidR="005B35D0">
        <w:rPr>
          <w:szCs w:val="24"/>
        </w:rPr>
        <w:t>strik</w:t>
      </w:r>
      <w:r w:rsidR="00747B52">
        <w:rPr>
          <w:szCs w:val="24"/>
        </w:rPr>
        <w:t>ing</w:t>
      </w:r>
      <w:r w:rsidRPr="005B35D0" w:rsidR="005B35D0">
        <w:rPr>
          <w:szCs w:val="24"/>
        </w:rPr>
        <w:t xml:space="preserve"> the appropriate balance between ensuring the accuracy of auto-generated asset appendices and minimizing the burden on Sellers</w:t>
      </w:r>
      <w:r w:rsidR="005B35D0">
        <w:rPr>
          <w:szCs w:val="24"/>
        </w:rPr>
        <w:t>.</w:t>
      </w:r>
    </w:p>
    <w:p w:rsidR="008A13B1" w:rsidP="00632B16" w:rsidRDefault="008A13B1" w14:paraId="3BBA0030" w14:textId="69A60B33">
      <w:pPr>
        <w:spacing w:after="0" w:line="240" w:lineRule="auto"/>
        <w:rPr>
          <w:szCs w:val="24"/>
        </w:rPr>
      </w:pPr>
    </w:p>
    <w:p w:rsidR="008A13B1" w:rsidP="00632B16" w:rsidRDefault="00095FDB" w14:paraId="22089499" w14:textId="128D7FDC">
      <w:pPr>
        <w:spacing w:after="0" w:line="240" w:lineRule="auto"/>
        <w:rPr>
          <w:szCs w:val="24"/>
        </w:rPr>
      </w:pPr>
      <w:r w:rsidRPr="00095FDB">
        <w:rPr>
          <w:bCs/>
          <w:szCs w:val="24"/>
        </w:rPr>
        <w:t xml:space="preserve">There are approximately 2,647 Sellers that submit information into the relational database.  Six institutional investors currently have FPA section 203(a)(2) blanket authorizations, which collectively own approximately 110 upstream affiliates that themselves own Sellers.  In the March Notice the Commission estimated </w:t>
      </w:r>
      <w:r w:rsidRPr="00095FDB">
        <w:rPr>
          <w:szCs w:val="24"/>
        </w:rPr>
        <w:t>an average of four sellers for every</w:t>
      </w:r>
      <w:r w:rsidRPr="00095FDB">
        <w:rPr>
          <w:bCs/>
          <w:szCs w:val="24"/>
        </w:rPr>
        <w:t xml:space="preserve"> ultimate upstream affiliate, equaling 440 affected respondents in total.</w:t>
      </w:r>
      <w:r w:rsidRPr="00095FDB">
        <w:rPr>
          <w:szCs w:val="24"/>
        </w:rPr>
        <w:t xml:space="preserve">  Of these 440 affected entities discussed in the Order, the Commission estimates that none of these will be small entities.  </w:t>
      </w:r>
      <w:r w:rsidRPr="008A13B1" w:rsidR="008A13B1">
        <w:rPr>
          <w:szCs w:val="24"/>
        </w:rPr>
        <w:t>These revisions would not impose any additional reporting requirements for Sellers whose ultimate upstream affiliates do not hold their voting securities pursuant to section 203(a)(2) blanket authorizations.</w:t>
      </w:r>
    </w:p>
    <w:p w:rsidR="008A13B1" w:rsidP="00632B16" w:rsidRDefault="008A13B1" w14:paraId="7B707811" w14:textId="77777777">
      <w:pPr>
        <w:spacing w:after="0" w:line="240" w:lineRule="auto"/>
        <w:rPr>
          <w:szCs w:val="24"/>
        </w:rPr>
      </w:pPr>
    </w:p>
    <w:p w:rsidRPr="00E758ED" w:rsidR="00092293" w:rsidP="00632B16" w:rsidRDefault="003418CC" w14:paraId="28575BF3" w14:textId="0ED9E523">
      <w:pPr>
        <w:spacing w:after="0" w:line="240" w:lineRule="auto"/>
        <w:rPr>
          <w:szCs w:val="24"/>
        </w:rPr>
      </w:pPr>
      <w:r>
        <w:rPr>
          <w:szCs w:val="24"/>
        </w:rPr>
        <w:t xml:space="preserve">This information collection </w:t>
      </w:r>
      <w:r w:rsidRPr="003418CC">
        <w:rPr>
          <w:szCs w:val="24"/>
        </w:rPr>
        <w:t xml:space="preserve">will assist </w:t>
      </w:r>
      <w:r w:rsidR="007B7DD6">
        <w:rPr>
          <w:szCs w:val="24"/>
        </w:rPr>
        <w:t>the Commission</w:t>
      </w:r>
      <w:r w:rsidRPr="003418CC">
        <w:rPr>
          <w:szCs w:val="24"/>
        </w:rPr>
        <w:t xml:space="preserve"> </w:t>
      </w:r>
      <w:r w:rsidR="00D35721">
        <w:rPr>
          <w:szCs w:val="24"/>
        </w:rPr>
        <w:t xml:space="preserve">in </w:t>
      </w:r>
      <w:r w:rsidRPr="003418CC">
        <w:rPr>
          <w:szCs w:val="24"/>
        </w:rPr>
        <w:t>ensur</w:t>
      </w:r>
      <w:r w:rsidR="00D35721">
        <w:rPr>
          <w:szCs w:val="24"/>
        </w:rPr>
        <w:t>ing that</w:t>
      </w:r>
      <w:r w:rsidRPr="003418CC">
        <w:rPr>
          <w:szCs w:val="24"/>
        </w:rPr>
        <w:t xml:space="preserve"> rates are just and reasonable</w:t>
      </w:r>
      <w:r w:rsidR="00375259">
        <w:rPr>
          <w:szCs w:val="24"/>
        </w:rPr>
        <w:t xml:space="preserve"> and that a Seller does not possess horizontal market power</w:t>
      </w:r>
      <w:r w:rsidR="00F20C6C">
        <w:rPr>
          <w:szCs w:val="24"/>
        </w:rPr>
        <w:t xml:space="preserve"> </w:t>
      </w:r>
      <w:r w:rsidR="00375259">
        <w:rPr>
          <w:szCs w:val="24"/>
        </w:rPr>
        <w:t>through</w:t>
      </w:r>
      <w:r w:rsidR="00F20C6C">
        <w:rPr>
          <w:szCs w:val="24"/>
        </w:rPr>
        <w:t xml:space="preserve"> better validation of the information included in the Seller’s horizontal market power indicative screens</w:t>
      </w:r>
      <w:r w:rsidR="00375259">
        <w:rPr>
          <w:szCs w:val="24"/>
        </w:rPr>
        <w:t>.</w:t>
      </w:r>
      <w:r w:rsidDel="00EF1623" w:rsidR="00EF1623">
        <w:rPr>
          <w:rStyle w:val="FootnoteReference"/>
          <w:szCs w:val="24"/>
        </w:rPr>
        <w:t xml:space="preserve"> </w:t>
      </w:r>
      <w:r w:rsidRPr="003418CC">
        <w:rPr>
          <w:szCs w:val="24"/>
        </w:rPr>
        <w:t xml:space="preserve"> Failing to meet this </w:t>
      </w:r>
      <w:r w:rsidR="00945CC1">
        <w:rPr>
          <w:szCs w:val="24"/>
        </w:rPr>
        <w:t xml:space="preserve">statutory </w:t>
      </w:r>
      <w:r w:rsidRPr="003418CC">
        <w:rPr>
          <w:szCs w:val="24"/>
        </w:rPr>
        <w:t>responsibility could result in public utilities charging rates that are not just and reasonable.</w:t>
      </w:r>
    </w:p>
    <w:p w:rsidRPr="00E758ED" w:rsidR="00EB3E6F" w:rsidP="00632B16" w:rsidRDefault="00EB3E6F" w14:paraId="035331BE" w14:textId="2F40C3AC">
      <w:pPr>
        <w:spacing w:after="0" w:line="240" w:lineRule="auto"/>
        <w:rPr>
          <w:szCs w:val="24"/>
        </w:rPr>
      </w:pPr>
    </w:p>
    <w:p w:rsidRPr="00E758ED" w:rsidR="00EB3E6F" w:rsidP="00632B16" w:rsidRDefault="00EB3E6F" w14:paraId="035331BF" w14:textId="77777777">
      <w:pPr>
        <w:pStyle w:val="FERCparanumber"/>
      </w:pPr>
      <w:r w:rsidRPr="00E758ED">
        <w:t>DESCRIBE ANY CONSIDERATION OF THE USE OF IMPROVED INFORMATION TECHNOLOGY TO REDUCE THE BURDEN AND TECHNICAL OR LEGAL OBSTACLES TO REDUCING BURDEN</w:t>
      </w:r>
    </w:p>
    <w:p w:rsidRPr="00E758ED" w:rsidR="001F65FC" w:rsidP="00632B16" w:rsidRDefault="00C66CD2" w14:paraId="035331C1" w14:textId="0F89D468">
      <w:pPr>
        <w:spacing w:after="0" w:line="240" w:lineRule="auto"/>
        <w:rPr>
          <w:szCs w:val="24"/>
        </w:rPr>
      </w:pPr>
      <w:r w:rsidRPr="00E758ED">
        <w:rPr>
          <w:szCs w:val="24"/>
        </w:rPr>
        <w:t xml:space="preserve">The </w:t>
      </w:r>
      <w:r w:rsidR="008A13B1">
        <w:rPr>
          <w:szCs w:val="24"/>
        </w:rPr>
        <w:t>Order</w:t>
      </w:r>
      <w:r w:rsidRPr="00E758ED">
        <w:rPr>
          <w:szCs w:val="24"/>
        </w:rPr>
        <w:t xml:space="preserve"> </w:t>
      </w:r>
      <w:r w:rsidR="000E1668">
        <w:rPr>
          <w:szCs w:val="24"/>
        </w:rPr>
        <w:t>introduces three additional data fields in the existing</w:t>
      </w:r>
      <w:r w:rsidRPr="00E758ED">
        <w:rPr>
          <w:szCs w:val="24"/>
        </w:rPr>
        <w:t xml:space="preserve"> </w:t>
      </w:r>
      <w:r w:rsidRPr="00E758ED" w:rsidR="003B390D">
        <w:rPr>
          <w:szCs w:val="24"/>
        </w:rPr>
        <w:t>relational database</w:t>
      </w:r>
      <w:r w:rsidRPr="00E758ED">
        <w:rPr>
          <w:szCs w:val="24"/>
        </w:rPr>
        <w:t xml:space="preserve"> construct</w:t>
      </w:r>
      <w:r w:rsidRPr="00E758ED" w:rsidR="003B390D">
        <w:rPr>
          <w:szCs w:val="24"/>
        </w:rPr>
        <w:t xml:space="preserve">, which </w:t>
      </w:r>
      <w:r w:rsidR="000E1668">
        <w:rPr>
          <w:szCs w:val="24"/>
        </w:rPr>
        <w:t>was created to</w:t>
      </w:r>
      <w:r w:rsidRPr="00E758ED" w:rsidR="003B390D">
        <w:rPr>
          <w:szCs w:val="24"/>
        </w:rPr>
        <w:t xml:space="preserve"> eliminate duplication and render information collected more accessible to the Commission and to the public.  </w:t>
      </w:r>
    </w:p>
    <w:p w:rsidRPr="00E758ED" w:rsidR="009D7EF5" w:rsidP="00632B16" w:rsidRDefault="009D7EF5" w14:paraId="035331C2" w14:textId="77777777">
      <w:pPr>
        <w:spacing w:after="0" w:line="240" w:lineRule="auto"/>
        <w:rPr>
          <w:szCs w:val="24"/>
        </w:rPr>
      </w:pPr>
    </w:p>
    <w:p w:rsidRPr="00E758ED" w:rsidR="00EB3E6F" w:rsidP="00632B16" w:rsidRDefault="00EB3E6F" w14:paraId="035331C3" w14:textId="77777777">
      <w:pPr>
        <w:pStyle w:val="FERCparanumber"/>
      </w:pPr>
      <w:r w:rsidRPr="00E758ED">
        <w:t>DESCRIBE EFFORTS TO IDENTIF</w:t>
      </w:r>
      <w:r w:rsidRPr="00E758ED" w:rsidR="00730A00">
        <w:t>Y</w:t>
      </w:r>
      <w:r w:rsidRPr="00E758ED">
        <w:t xml:space="preserve"> DUPLICATION AND SHOW SPECIFICALLY WHY ANY SIMILAR INFORMATION ALREADY </w:t>
      </w:r>
      <w:r w:rsidRPr="00E758ED">
        <w:lastRenderedPageBreak/>
        <w:t>AVAILABLE CANNOT BE USED OR MODIFIED FOR USE FOR THE PURPOSE(S) DESCRIBED IN INSTRUCTION NO. 2</w:t>
      </w:r>
    </w:p>
    <w:p w:rsidRPr="00E758ED" w:rsidR="00251161" w:rsidP="00632B16" w:rsidRDefault="00251161" w14:paraId="035331C5" w14:textId="20458B88">
      <w:pPr>
        <w:spacing w:after="0" w:line="240" w:lineRule="auto"/>
        <w:rPr>
          <w:szCs w:val="24"/>
        </w:rPr>
      </w:pPr>
      <w:r w:rsidRPr="00E758ED">
        <w:rPr>
          <w:szCs w:val="24"/>
        </w:rPr>
        <w:t>The Commission periodically reviews filing requirements concurrent with OMB review or as the Commission deems necessary to eliminate duplicative filing and to minimize the filing burden.</w:t>
      </w:r>
    </w:p>
    <w:p w:rsidRPr="00E758ED" w:rsidR="00251161" w:rsidP="00632B16" w:rsidRDefault="00251161" w14:paraId="035331C6" w14:textId="77777777">
      <w:pPr>
        <w:spacing w:after="0" w:line="240" w:lineRule="auto"/>
        <w:rPr>
          <w:szCs w:val="24"/>
        </w:rPr>
      </w:pPr>
    </w:p>
    <w:p w:rsidR="00EB3E6F" w:rsidP="00632B16" w:rsidRDefault="00046434" w14:paraId="035331C7" w14:textId="458D1192">
      <w:pPr>
        <w:spacing w:after="0" w:line="240" w:lineRule="auto"/>
        <w:rPr>
          <w:szCs w:val="24"/>
        </w:rPr>
      </w:pPr>
      <w:r w:rsidRPr="00E758ED">
        <w:rPr>
          <w:szCs w:val="24"/>
        </w:rPr>
        <w:t xml:space="preserve">This </w:t>
      </w:r>
      <w:r w:rsidR="008A13B1">
        <w:rPr>
          <w:szCs w:val="24"/>
        </w:rPr>
        <w:t>Order</w:t>
      </w:r>
      <w:r w:rsidRPr="00E758ED">
        <w:rPr>
          <w:szCs w:val="24"/>
        </w:rPr>
        <w:t xml:space="preserve"> </w:t>
      </w:r>
      <w:r w:rsidR="001F4FA0">
        <w:rPr>
          <w:szCs w:val="24"/>
        </w:rPr>
        <w:t xml:space="preserve">adds three new data fields in one of the </w:t>
      </w:r>
      <w:r w:rsidR="00281F3B">
        <w:rPr>
          <w:szCs w:val="24"/>
        </w:rPr>
        <w:t>12</w:t>
      </w:r>
      <w:r w:rsidR="001F4FA0">
        <w:rPr>
          <w:szCs w:val="24"/>
        </w:rPr>
        <w:t xml:space="preserve"> tables </w:t>
      </w:r>
      <w:r w:rsidRPr="00E758ED" w:rsidR="003B390D">
        <w:rPr>
          <w:szCs w:val="24"/>
        </w:rPr>
        <w:t xml:space="preserve">collecting </w:t>
      </w:r>
      <w:r w:rsidR="007B7DD6">
        <w:rPr>
          <w:szCs w:val="24"/>
        </w:rPr>
        <w:t>market-based rate</w:t>
      </w:r>
      <w:r w:rsidRPr="00E758ED" w:rsidR="003B390D">
        <w:rPr>
          <w:szCs w:val="24"/>
        </w:rPr>
        <w:t xml:space="preserve"> information</w:t>
      </w:r>
      <w:r w:rsidR="001F4FA0">
        <w:rPr>
          <w:szCs w:val="24"/>
        </w:rPr>
        <w:t>.</w:t>
      </w:r>
      <w:r w:rsidRPr="00E758ED" w:rsidR="00391981">
        <w:rPr>
          <w:szCs w:val="24"/>
        </w:rPr>
        <w:t xml:space="preserve"> </w:t>
      </w:r>
      <w:r w:rsidR="000E1668">
        <w:rPr>
          <w:szCs w:val="24"/>
        </w:rPr>
        <w:t xml:space="preserve"> </w:t>
      </w:r>
      <w:r w:rsidR="001F4FA0">
        <w:rPr>
          <w:szCs w:val="24"/>
        </w:rPr>
        <w:t xml:space="preserve">These new fields are </w:t>
      </w:r>
      <w:r w:rsidR="005B35D0">
        <w:rPr>
          <w:szCs w:val="24"/>
        </w:rPr>
        <w:t xml:space="preserve">necessary </w:t>
      </w:r>
      <w:r w:rsidRPr="00E758ED">
        <w:rPr>
          <w:szCs w:val="24"/>
        </w:rPr>
        <w:t>to</w:t>
      </w:r>
      <w:r w:rsidRPr="00E758ED" w:rsidR="00E462BF">
        <w:rPr>
          <w:szCs w:val="24"/>
        </w:rPr>
        <w:t xml:space="preserve"> </w:t>
      </w:r>
      <w:r w:rsidRPr="00E758ED" w:rsidR="008F54D4">
        <w:rPr>
          <w:szCs w:val="24"/>
        </w:rPr>
        <w:t xml:space="preserve">modernize </w:t>
      </w:r>
      <w:r w:rsidR="00CA21DF">
        <w:rPr>
          <w:szCs w:val="24"/>
        </w:rPr>
        <w:t>the Commission’s</w:t>
      </w:r>
      <w:r w:rsidRPr="00E758ED" w:rsidR="008F54D4">
        <w:rPr>
          <w:szCs w:val="24"/>
        </w:rPr>
        <w:t xml:space="preserve"> data collection, and</w:t>
      </w:r>
      <w:r w:rsidR="007B7DD6">
        <w:rPr>
          <w:szCs w:val="24"/>
        </w:rPr>
        <w:t xml:space="preserve"> render information collected </w:t>
      </w:r>
      <w:r w:rsidRPr="00E758ED" w:rsidR="00391981">
        <w:rPr>
          <w:szCs w:val="24"/>
        </w:rPr>
        <w:t xml:space="preserve">more </w:t>
      </w:r>
      <w:r w:rsidRPr="00E758ED" w:rsidR="008F54D4">
        <w:rPr>
          <w:szCs w:val="24"/>
        </w:rPr>
        <w:t xml:space="preserve">usable and accessible for the Commission </w:t>
      </w:r>
      <w:r w:rsidRPr="00E758ED">
        <w:rPr>
          <w:szCs w:val="24"/>
        </w:rPr>
        <w:t>and to the public.</w:t>
      </w:r>
      <w:r w:rsidRPr="00E758ED" w:rsidR="008F54D4">
        <w:rPr>
          <w:szCs w:val="24"/>
        </w:rPr>
        <w:t xml:space="preserve">   </w:t>
      </w:r>
    </w:p>
    <w:p w:rsidR="005B35D0" w:rsidP="00632B16" w:rsidRDefault="005B35D0" w14:paraId="7D9666FA" w14:textId="0DF97E82">
      <w:pPr>
        <w:spacing w:after="0" w:line="240" w:lineRule="auto"/>
        <w:rPr>
          <w:szCs w:val="24"/>
        </w:rPr>
      </w:pPr>
    </w:p>
    <w:p w:rsidRPr="00E758ED" w:rsidR="005B35D0" w:rsidP="00632B16" w:rsidRDefault="005B35D0" w14:paraId="3776F41B" w14:textId="17644ACA">
      <w:pPr>
        <w:spacing w:after="0" w:line="240" w:lineRule="auto"/>
        <w:rPr>
          <w:szCs w:val="24"/>
        </w:rPr>
      </w:pPr>
      <w:r>
        <w:rPr>
          <w:szCs w:val="24"/>
        </w:rPr>
        <w:t xml:space="preserve">The inclusion of these three </w:t>
      </w:r>
      <w:r w:rsidR="000E1668">
        <w:rPr>
          <w:szCs w:val="24"/>
        </w:rPr>
        <w:t>additional data</w:t>
      </w:r>
      <w:r>
        <w:rPr>
          <w:szCs w:val="24"/>
        </w:rPr>
        <w:t xml:space="preserve"> fields </w:t>
      </w:r>
      <w:r w:rsidRPr="005B35D0">
        <w:rPr>
          <w:szCs w:val="24"/>
        </w:rPr>
        <w:t>strike the appropriate balance between ensuring the accuracy of auto-generated asset appendices and minimizing the burden on Sellers</w:t>
      </w:r>
      <w:r>
        <w:rPr>
          <w:szCs w:val="24"/>
        </w:rPr>
        <w:t>.</w:t>
      </w:r>
    </w:p>
    <w:p w:rsidRPr="00E758ED" w:rsidR="0029126C" w:rsidP="00632B16" w:rsidRDefault="0029126C" w14:paraId="035331C8" w14:textId="77777777">
      <w:pPr>
        <w:spacing w:after="0" w:line="240" w:lineRule="auto"/>
        <w:rPr>
          <w:szCs w:val="24"/>
        </w:rPr>
      </w:pPr>
    </w:p>
    <w:p w:rsidRPr="00E758ED" w:rsidR="0029126C" w:rsidP="00632B16" w:rsidRDefault="003B390D" w14:paraId="035331C9" w14:textId="0EFD0191">
      <w:pPr>
        <w:spacing w:after="0" w:line="240" w:lineRule="auto"/>
        <w:rPr>
          <w:szCs w:val="24"/>
        </w:rPr>
      </w:pPr>
      <w:r w:rsidRPr="00E758ED">
        <w:rPr>
          <w:szCs w:val="24"/>
        </w:rPr>
        <w:t xml:space="preserve">With respect to asset appendix information currently filed by </w:t>
      </w:r>
      <w:r w:rsidR="007B7DD6">
        <w:rPr>
          <w:szCs w:val="24"/>
        </w:rPr>
        <w:t>Sellers</w:t>
      </w:r>
      <w:r w:rsidRPr="00E758ED">
        <w:rPr>
          <w:szCs w:val="24"/>
        </w:rPr>
        <w:t xml:space="preserve">, </w:t>
      </w:r>
      <w:r w:rsidR="008A13B1">
        <w:rPr>
          <w:szCs w:val="24"/>
        </w:rPr>
        <w:t>this Order</w:t>
      </w:r>
      <w:r w:rsidRPr="00E758ED" w:rsidR="00046434">
        <w:rPr>
          <w:szCs w:val="24"/>
        </w:rPr>
        <w:t xml:space="preserve"> requires </w:t>
      </w:r>
      <w:r w:rsidR="008A13B1">
        <w:rPr>
          <w:szCs w:val="24"/>
        </w:rPr>
        <w:t>s</w:t>
      </w:r>
      <w:r w:rsidRPr="008A13B1" w:rsidR="008A13B1">
        <w:rPr>
          <w:szCs w:val="24"/>
        </w:rPr>
        <w:t>ellers that have ultimate upstream affiliates to report institutional investors who own 10% percent or more of their voting shares pursuant to section 203(a)(2) blanket authorizations as their reportable ultimate upstream affiliate in the relational database</w:t>
      </w:r>
      <w:r w:rsidR="008A13B1">
        <w:rPr>
          <w:szCs w:val="24"/>
        </w:rPr>
        <w:t xml:space="preserve">. </w:t>
      </w:r>
      <w:r w:rsidR="00025240">
        <w:rPr>
          <w:szCs w:val="24"/>
        </w:rPr>
        <w:t xml:space="preserve">As there are no other data sources of this information, these are the minimum number of fields to prevent the generation of duplicative or incorrect asset appendices. </w:t>
      </w:r>
    </w:p>
    <w:p w:rsidRPr="00E758ED" w:rsidR="00EB3E6F" w:rsidP="00632B16" w:rsidRDefault="00EB3E6F" w14:paraId="035331CC" w14:textId="77777777">
      <w:pPr>
        <w:spacing w:after="0" w:line="240" w:lineRule="auto"/>
        <w:rPr>
          <w:szCs w:val="24"/>
        </w:rPr>
      </w:pPr>
    </w:p>
    <w:p w:rsidRPr="00E758ED" w:rsidR="00EB3E6F" w:rsidP="00632B16" w:rsidRDefault="00EB3E6F" w14:paraId="035331CD" w14:textId="4551F891">
      <w:pPr>
        <w:pStyle w:val="FERCparanumber"/>
      </w:pPr>
      <w:r w:rsidRPr="00E758ED">
        <w:t>METHODS USED TO MINIMIZE THE BURDEN IN COLLECTION OF INFORMATION INVOLVING SMALL ENTITIES</w:t>
      </w:r>
    </w:p>
    <w:p w:rsidR="00095FDB" w:rsidP="00632B16" w:rsidRDefault="00003CE1" w14:paraId="1AC4B6D0" w14:textId="77777777">
      <w:pPr>
        <w:spacing w:after="0" w:line="240" w:lineRule="auto"/>
        <w:rPr>
          <w:szCs w:val="24"/>
        </w:rPr>
      </w:pPr>
      <w:r w:rsidRPr="00E758ED">
        <w:rPr>
          <w:szCs w:val="24"/>
          <w:lang w:val="x-none"/>
        </w:rPr>
        <w:t>The economic impact of thi</w:t>
      </w:r>
      <w:r w:rsidR="00364963">
        <w:rPr>
          <w:szCs w:val="24"/>
        </w:rPr>
        <w:t xml:space="preserve">s </w:t>
      </w:r>
      <w:r w:rsidR="000E1668">
        <w:rPr>
          <w:szCs w:val="24"/>
        </w:rPr>
        <w:t>Order</w:t>
      </w:r>
      <w:r w:rsidRPr="00E758ED">
        <w:rPr>
          <w:szCs w:val="24"/>
          <w:lang w:val="x-none"/>
        </w:rPr>
        <w:t xml:space="preserve"> is directly related to the</w:t>
      </w:r>
      <w:r w:rsidRPr="00E758ED">
        <w:rPr>
          <w:szCs w:val="24"/>
        </w:rPr>
        <w:t xml:space="preserve"> size and</w:t>
      </w:r>
      <w:r w:rsidRPr="00E758ED">
        <w:rPr>
          <w:szCs w:val="24"/>
          <w:lang w:val="x-none"/>
        </w:rPr>
        <w:t xml:space="preserve"> complexity of the organization, that is, </w:t>
      </w:r>
      <w:r w:rsidRPr="00E758ED">
        <w:rPr>
          <w:szCs w:val="24"/>
        </w:rPr>
        <w:t>the more generation assets it owns or controls,</w:t>
      </w:r>
      <w:r w:rsidRPr="00E758ED">
        <w:rPr>
          <w:szCs w:val="24"/>
          <w:lang w:val="x-none"/>
        </w:rPr>
        <w:t xml:space="preserve"> the more information must be reported. Therefore, it is reasonable to </w:t>
      </w:r>
      <w:r w:rsidRPr="00E758ED">
        <w:rPr>
          <w:szCs w:val="24"/>
        </w:rPr>
        <w:t>assume</w:t>
      </w:r>
      <w:r w:rsidRPr="00E758ED">
        <w:rPr>
          <w:szCs w:val="24"/>
          <w:lang w:val="x-none"/>
        </w:rPr>
        <w:t xml:space="preserve"> that the cost of complying for small entities will be significantly less than the cost for large ones</w:t>
      </w:r>
      <w:r w:rsidRPr="00E758ED">
        <w:rPr>
          <w:szCs w:val="24"/>
        </w:rPr>
        <w:t xml:space="preserve">, and the amount of information that </w:t>
      </w:r>
      <w:r w:rsidR="00945CC1">
        <w:rPr>
          <w:szCs w:val="24"/>
        </w:rPr>
        <w:t>small entities</w:t>
      </w:r>
      <w:r w:rsidRPr="00E758ED" w:rsidR="00945CC1">
        <w:rPr>
          <w:szCs w:val="24"/>
        </w:rPr>
        <w:t xml:space="preserve"> </w:t>
      </w:r>
      <w:r w:rsidRPr="00E758ED">
        <w:rPr>
          <w:szCs w:val="24"/>
        </w:rPr>
        <w:t>will be required to collect, maintain, and transmit is likely to be small</w:t>
      </w:r>
      <w:r w:rsidRPr="00E758ED" w:rsidR="00BB6054">
        <w:rPr>
          <w:szCs w:val="24"/>
        </w:rPr>
        <w:t>.</w:t>
      </w:r>
      <w:r w:rsidR="008A13B1">
        <w:rPr>
          <w:szCs w:val="24"/>
        </w:rPr>
        <w:t xml:space="preserve"> </w:t>
      </w:r>
    </w:p>
    <w:p w:rsidR="00095FDB" w:rsidP="00632B16" w:rsidRDefault="00095FDB" w14:paraId="078447D1" w14:textId="77777777">
      <w:pPr>
        <w:spacing w:after="0" w:line="240" w:lineRule="auto"/>
        <w:rPr>
          <w:szCs w:val="24"/>
        </w:rPr>
      </w:pPr>
    </w:p>
    <w:p w:rsidRPr="00E758ED" w:rsidR="00003CE1" w:rsidP="00632B16" w:rsidRDefault="00095FDB" w14:paraId="035331CF" w14:textId="59EB5C08">
      <w:pPr>
        <w:spacing w:after="0" w:line="240" w:lineRule="auto"/>
        <w:rPr>
          <w:szCs w:val="24"/>
          <w:lang w:val="x-none"/>
        </w:rPr>
      </w:pPr>
      <w:r w:rsidRPr="00095FDB">
        <w:rPr>
          <w:bCs/>
          <w:szCs w:val="24"/>
        </w:rPr>
        <w:t xml:space="preserve">There are approximately 2,647 Sellers that submit information into the relational database.  Six institutional investors currently have FPA section 203(a)(2) blanket authorizations, which collectively own approximately 110 upstream affiliates that themselves own Sellers.  In the March Notice the Commission estimated </w:t>
      </w:r>
      <w:r w:rsidRPr="00095FDB">
        <w:rPr>
          <w:szCs w:val="24"/>
        </w:rPr>
        <w:t>an average of four sellers for every</w:t>
      </w:r>
      <w:r w:rsidRPr="00095FDB">
        <w:rPr>
          <w:bCs/>
          <w:szCs w:val="24"/>
        </w:rPr>
        <w:t xml:space="preserve"> ultimate upstream affiliate, equaling 440 affected respondents in total.</w:t>
      </w:r>
      <w:r w:rsidRPr="00095FDB">
        <w:rPr>
          <w:szCs w:val="24"/>
        </w:rPr>
        <w:t xml:space="preserve">  Of these 440 affected entities discussed in the Order, the Commission estimates that none of these will be small entities.  </w:t>
      </w:r>
      <w:r w:rsidR="00A74965">
        <w:rPr>
          <w:szCs w:val="24"/>
        </w:rPr>
        <w:t xml:space="preserve"> </w:t>
      </w:r>
      <w:r w:rsidR="008A13B1">
        <w:rPr>
          <w:szCs w:val="24"/>
        </w:rPr>
        <w:t xml:space="preserve">Of </w:t>
      </w:r>
      <w:r>
        <w:rPr>
          <w:szCs w:val="24"/>
        </w:rPr>
        <w:t>these</w:t>
      </w:r>
      <w:r w:rsidRPr="008A13B1">
        <w:rPr>
          <w:szCs w:val="24"/>
        </w:rPr>
        <w:t xml:space="preserve"> </w:t>
      </w:r>
      <w:r w:rsidRPr="008A13B1" w:rsidR="008A13B1">
        <w:rPr>
          <w:szCs w:val="24"/>
        </w:rPr>
        <w:t xml:space="preserve">440 affected entities discussed </w:t>
      </w:r>
      <w:r w:rsidR="008A13B1">
        <w:rPr>
          <w:szCs w:val="24"/>
        </w:rPr>
        <w:t xml:space="preserve">in the Order, </w:t>
      </w:r>
      <w:r w:rsidR="00A74965">
        <w:rPr>
          <w:szCs w:val="24"/>
        </w:rPr>
        <w:t>the Commission</w:t>
      </w:r>
      <w:r w:rsidR="008A13B1">
        <w:rPr>
          <w:szCs w:val="24"/>
        </w:rPr>
        <w:t xml:space="preserve"> </w:t>
      </w:r>
      <w:r w:rsidRPr="008A13B1" w:rsidR="008A13B1">
        <w:rPr>
          <w:szCs w:val="24"/>
        </w:rPr>
        <w:t>estimate</w:t>
      </w:r>
      <w:r w:rsidR="008A13B1">
        <w:rPr>
          <w:szCs w:val="24"/>
        </w:rPr>
        <w:t>s</w:t>
      </w:r>
      <w:r w:rsidRPr="008A13B1" w:rsidR="008A13B1">
        <w:rPr>
          <w:szCs w:val="24"/>
        </w:rPr>
        <w:t xml:space="preserve"> that none of these will be small entities.  Accordingly, </w:t>
      </w:r>
      <w:r w:rsidR="00A74965">
        <w:rPr>
          <w:szCs w:val="24"/>
        </w:rPr>
        <w:lastRenderedPageBreak/>
        <w:t>the Commission</w:t>
      </w:r>
      <w:r w:rsidRPr="008A13B1" w:rsidR="008A13B1">
        <w:rPr>
          <w:szCs w:val="24"/>
        </w:rPr>
        <w:t xml:space="preserve"> certif</w:t>
      </w:r>
      <w:r w:rsidR="008A13B1">
        <w:rPr>
          <w:szCs w:val="24"/>
        </w:rPr>
        <w:t>ies</w:t>
      </w:r>
      <w:r w:rsidRPr="008A13B1" w:rsidR="008A13B1">
        <w:rPr>
          <w:szCs w:val="24"/>
        </w:rPr>
        <w:t xml:space="preserve"> that </w:t>
      </w:r>
      <w:r w:rsidR="008A13B1">
        <w:rPr>
          <w:szCs w:val="24"/>
        </w:rPr>
        <w:t>the Order</w:t>
      </w:r>
      <w:r w:rsidRPr="008A13B1" w:rsidR="008A13B1">
        <w:rPr>
          <w:szCs w:val="24"/>
        </w:rPr>
        <w:t xml:space="preserve"> will not have a significant economic impact on a substantial number of small entities.</w:t>
      </w:r>
    </w:p>
    <w:p w:rsidRPr="00E758ED" w:rsidR="00003CE1" w:rsidP="00632B16" w:rsidRDefault="00003CE1" w14:paraId="035331D0" w14:textId="77777777">
      <w:pPr>
        <w:spacing w:after="0" w:line="240" w:lineRule="auto"/>
        <w:rPr>
          <w:szCs w:val="24"/>
        </w:rPr>
      </w:pPr>
    </w:p>
    <w:p w:rsidRPr="00E758ED" w:rsidR="00EB3E6F" w:rsidP="00632B16" w:rsidRDefault="00EB3E6F" w14:paraId="035331D3" w14:textId="77777777">
      <w:pPr>
        <w:pStyle w:val="FERCparanumber"/>
      </w:pPr>
      <w:r w:rsidRPr="00E758ED">
        <w:t>CONSEQUENCE TO FEDERAL PROGRAM IF COLLECTION WERE CONDUCTED LESS FREQUENTLY</w:t>
      </w:r>
    </w:p>
    <w:p w:rsidR="008037DE" w:rsidP="00632B16" w:rsidRDefault="00454FB3" w14:paraId="7BCA5D72" w14:textId="23A50396">
      <w:pPr>
        <w:spacing w:after="0" w:line="240" w:lineRule="auto"/>
        <w:rPr>
          <w:szCs w:val="24"/>
        </w:rPr>
      </w:pPr>
      <w:r w:rsidRPr="00E758ED">
        <w:rPr>
          <w:szCs w:val="24"/>
        </w:rPr>
        <w:t>Section 205 of the FPA mandates</w:t>
      </w:r>
      <w:r w:rsidRPr="00E758ED" w:rsidR="00044824">
        <w:rPr>
          <w:szCs w:val="24"/>
        </w:rPr>
        <w:t xml:space="preserve"> </w:t>
      </w:r>
      <w:r w:rsidRPr="00E758ED">
        <w:rPr>
          <w:szCs w:val="24"/>
        </w:rPr>
        <w:t>just and reasonable rates</w:t>
      </w:r>
      <w:r w:rsidR="002F5149">
        <w:rPr>
          <w:szCs w:val="24"/>
        </w:rPr>
        <w:t xml:space="preserve">. </w:t>
      </w:r>
      <w:r w:rsidR="009075A8">
        <w:rPr>
          <w:szCs w:val="24"/>
        </w:rPr>
        <w:t xml:space="preserve"> </w:t>
      </w:r>
      <w:r w:rsidRPr="008037DE" w:rsidR="008037DE">
        <w:rPr>
          <w:szCs w:val="24"/>
        </w:rPr>
        <w:t>The Commission requires information that comes from FERC-919</w:t>
      </w:r>
      <w:r w:rsidR="008037DE">
        <w:rPr>
          <w:szCs w:val="24"/>
        </w:rPr>
        <w:t>A</w:t>
      </w:r>
      <w:r w:rsidRPr="008037DE" w:rsidR="008037DE">
        <w:rPr>
          <w:szCs w:val="24"/>
        </w:rPr>
        <w:t xml:space="preserve"> to meet its statutory requirements.  </w:t>
      </w:r>
    </w:p>
    <w:p w:rsidRPr="00E758ED" w:rsidR="003A6137" w:rsidP="00632B16" w:rsidRDefault="003A6137" w14:paraId="207E4B71" w14:textId="4186BA7C">
      <w:pPr>
        <w:spacing w:after="0" w:line="240" w:lineRule="auto"/>
        <w:rPr>
          <w:szCs w:val="24"/>
        </w:rPr>
      </w:pPr>
    </w:p>
    <w:p w:rsidRPr="00E758ED" w:rsidR="00E705EA" w:rsidP="00632B16" w:rsidRDefault="00025240" w14:paraId="035331DC" w14:textId="1FCF7205">
      <w:pPr>
        <w:pStyle w:val="FERCparanumber"/>
        <w:numPr>
          <w:ilvl w:val="0"/>
          <w:numId w:val="0"/>
        </w:numPr>
      </w:pPr>
      <w:r>
        <w:rPr>
          <w:b w:val="0"/>
        </w:rPr>
        <w:t>Order No.</w:t>
      </w:r>
      <w:r w:rsidRPr="002B3B80" w:rsidR="00BF7B9F">
        <w:rPr>
          <w:b w:val="0"/>
        </w:rPr>
        <w:t xml:space="preserve"> </w:t>
      </w:r>
      <w:r w:rsidR="00265C14">
        <w:rPr>
          <w:b w:val="0"/>
        </w:rPr>
        <w:t xml:space="preserve">860 </w:t>
      </w:r>
      <w:r w:rsidRPr="002B3B80" w:rsidR="00BF7B9F">
        <w:rPr>
          <w:b w:val="0"/>
        </w:rPr>
        <w:t xml:space="preserve">requires </w:t>
      </w:r>
      <w:r w:rsidR="008037DE">
        <w:rPr>
          <w:b w:val="0"/>
        </w:rPr>
        <w:t>S</w:t>
      </w:r>
      <w:r w:rsidRPr="002B3B80" w:rsidR="00EB4D6D">
        <w:rPr>
          <w:b w:val="0"/>
        </w:rPr>
        <w:t>ellers</w:t>
      </w:r>
      <w:r w:rsidRPr="002B3B80" w:rsidR="00BF7B9F">
        <w:rPr>
          <w:b w:val="0"/>
        </w:rPr>
        <w:t xml:space="preserve"> to update the relational database on a monthly basis</w:t>
      </w:r>
      <w:r w:rsidR="00265C14">
        <w:rPr>
          <w:b w:val="0"/>
        </w:rPr>
        <w:t xml:space="preserve"> when there are changes in the facts or circumstances on which the Commission relied when granting Sellers’ market-based rate authority</w:t>
      </w:r>
      <w:r w:rsidRPr="002B3B80" w:rsidR="00BF7B9F">
        <w:rPr>
          <w:b w:val="0"/>
        </w:rPr>
        <w:t>.</w:t>
      </w:r>
      <w:r w:rsidRPr="002B3B80" w:rsidR="00CE4736">
        <w:rPr>
          <w:b w:val="0"/>
        </w:rPr>
        <w:t xml:space="preserve"> </w:t>
      </w:r>
      <w:r w:rsidRPr="002B3B80" w:rsidR="00EB4D6D">
        <w:rPr>
          <w:rFonts w:eastAsiaTheme="minorHAnsi"/>
          <w:b w:val="0"/>
        </w:rPr>
        <w:t xml:space="preserve"> </w:t>
      </w:r>
      <w:r>
        <w:rPr>
          <w:rFonts w:eastAsiaTheme="minorHAnsi"/>
          <w:b w:val="0"/>
        </w:rPr>
        <w:t xml:space="preserve">Less frequent </w:t>
      </w:r>
      <w:r w:rsidRPr="002B3B80" w:rsidR="00C40F36">
        <w:rPr>
          <w:rFonts w:eastAsiaTheme="minorHAnsi"/>
          <w:b w:val="0"/>
        </w:rPr>
        <w:t>database updates would not be sufficient to maintain the level of accuracy the Commission</w:t>
      </w:r>
      <w:r w:rsidRPr="000F5965" w:rsidR="00C40F36">
        <w:rPr>
          <w:rFonts w:eastAsiaTheme="minorHAnsi"/>
          <w:b w:val="0"/>
        </w:rPr>
        <w:t xml:space="preserve"> needs for</w:t>
      </w:r>
      <w:r w:rsidR="008037DE">
        <w:rPr>
          <w:rFonts w:eastAsiaTheme="minorHAnsi"/>
          <w:b w:val="0"/>
        </w:rPr>
        <w:t xml:space="preserve"> the</w:t>
      </w:r>
      <w:r w:rsidRPr="000F5965" w:rsidR="00C40F36">
        <w:rPr>
          <w:rFonts w:eastAsiaTheme="minorHAnsi"/>
          <w:b w:val="0"/>
        </w:rPr>
        <w:t xml:space="preserve"> market-based rates program</w:t>
      </w:r>
      <w:r w:rsidR="00D02502">
        <w:rPr>
          <w:rFonts w:eastAsiaTheme="minorHAnsi"/>
          <w:b w:val="0"/>
        </w:rPr>
        <w:t>, as Sellers rely on information submitted by their affiliates in order for the relational database to create complete asset appendices needed for new applications, change in status filings, and triennial market-power updates</w:t>
      </w:r>
      <w:r w:rsidRPr="000F5965" w:rsidR="00C40F36">
        <w:rPr>
          <w:rFonts w:eastAsiaTheme="minorHAnsi"/>
          <w:b w:val="0"/>
        </w:rPr>
        <w:t>.</w:t>
      </w:r>
      <w:r w:rsidR="00985703">
        <w:rPr>
          <w:rFonts w:eastAsiaTheme="minorHAnsi"/>
          <w:b w:val="0"/>
        </w:rPr>
        <w:t xml:space="preserve"> </w:t>
      </w:r>
      <w:r w:rsidRPr="000F5965" w:rsidR="00C40F36">
        <w:rPr>
          <w:rFonts w:eastAsiaTheme="minorHAnsi"/>
          <w:b w:val="0"/>
        </w:rPr>
        <w:t xml:space="preserve"> </w:t>
      </w:r>
      <w:r w:rsidRPr="000F5965" w:rsidR="00D03F10">
        <w:rPr>
          <w:b w:val="0"/>
        </w:rPr>
        <w:t xml:space="preserve">If the Commission were to adopt </w:t>
      </w:r>
      <w:r w:rsidR="00265C14">
        <w:rPr>
          <w:b w:val="0"/>
        </w:rPr>
        <w:t xml:space="preserve">less frequent </w:t>
      </w:r>
      <w:r w:rsidRPr="000F5965" w:rsidR="00D03F10">
        <w:rPr>
          <w:b w:val="0"/>
        </w:rPr>
        <w:t>database submission requirement</w:t>
      </w:r>
      <w:r w:rsidR="00265C14">
        <w:rPr>
          <w:b w:val="0"/>
        </w:rPr>
        <w:t>s</w:t>
      </w:r>
      <w:r w:rsidRPr="000F5965" w:rsidR="00D03F10">
        <w:rPr>
          <w:b w:val="0"/>
        </w:rPr>
        <w:t xml:space="preserve">, </w:t>
      </w:r>
      <w:r w:rsidR="00265C14">
        <w:rPr>
          <w:b w:val="0"/>
        </w:rPr>
        <w:t xml:space="preserve">these </w:t>
      </w:r>
      <w:r w:rsidR="008037DE">
        <w:rPr>
          <w:b w:val="0"/>
        </w:rPr>
        <w:t>time lag</w:t>
      </w:r>
      <w:r w:rsidR="00265C14">
        <w:rPr>
          <w:b w:val="0"/>
        </w:rPr>
        <w:t>s</w:t>
      </w:r>
      <w:r w:rsidR="008037DE">
        <w:rPr>
          <w:b w:val="0"/>
        </w:rPr>
        <w:t xml:space="preserve"> </w:t>
      </w:r>
      <w:r w:rsidR="00265C14">
        <w:rPr>
          <w:b w:val="0"/>
        </w:rPr>
        <w:t xml:space="preserve">from stale data </w:t>
      </w:r>
      <w:r w:rsidRPr="000F5965" w:rsidR="00D03F10">
        <w:rPr>
          <w:b w:val="0"/>
        </w:rPr>
        <w:t xml:space="preserve">could result in inaccurate asset appendices.  </w:t>
      </w:r>
      <w:r w:rsidR="00265C14">
        <w:rPr>
          <w:b w:val="0"/>
        </w:rPr>
        <w:t>The</w:t>
      </w:r>
      <w:r w:rsidR="00985703">
        <w:rPr>
          <w:b w:val="0"/>
        </w:rPr>
        <w:t xml:space="preserve"> collection of this</w:t>
      </w:r>
      <w:r w:rsidRPr="008037DE" w:rsidR="00EB4D6D">
        <w:rPr>
          <w:b w:val="0"/>
        </w:rPr>
        <w:t xml:space="preserve"> </w:t>
      </w:r>
      <w:r w:rsidRPr="008037DE" w:rsidR="00904581">
        <w:rPr>
          <w:b w:val="0"/>
        </w:rPr>
        <w:t xml:space="preserve">information </w:t>
      </w:r>
      <w:r w:rsidRPr="008037DE" w:rsidR="00EB4D6D">
        <w:rPr>
          <w:b w:val="0"/>
        </w:rPr>
        <w:t>on a less frequent basis</w:t>
      </w:r>
      <w:r w:rsidR="00985703">
        <w:rPr>
          <w:b w:val="0"/>
        </w:rPr>
        <w:t xml:space="preserve"> </w:t>
      </w:r>
      <w:r w:rsidRPr="008037DE" w:rsidR="00EE2020">
        <w:rPr>
          <w:b w:val="0"/>
        </w:rPr>
        <w:t xml:space="preserve">would affect </w:t>
      </w:r>
      <w:r w:rsidRPr="008037DE" w:rsidR="00904581">
        <w:rPr>
          <w:b w:val="0"/>
        </w:rPr>
        <w:t>the Commission</w:t>
      </w:r>
      <w:r w:rsidRPr="008037DE" w:rsidR="00EE2020">
        <w:rPr>
          <w:b w:val="0"/>
        </w:rPr>
        <w:t>’s ability to determine</w:t>
      </w:r>
      <w:r w:rsidRPr="008037DE" w:rsidR="00EB4D6D">
        <w:rPr>
          <w:b w:val="0"/>
        </w:rPr>
        <w:t xml:space="preserve"> </w:t>
      </w:r>
      <w:r w:rsidRPr="008037DE" w:rsidR="00EE2020">
        <w:rPr>
          <w:b w:val="0"/>
        </w:rPr>
        <w:t xml:space="preserve">whether a </w:t>
      </w:r>
      <w:r w:rsidR="008037DE">
        <w:rPr>
          <w:b w:val="0"/>
        </w:rPr>
        <w:t>Seller’s</w:t>
      </w:r>
      <w:r w:rsidRPr="008037DE" w:rsidR="00EE2020">
        <w:rPr>
          <w:b w:val="0"/>
        </w:rPr>
        <w:t xml:space="preserve"> rates continue to be just and reasonable</w:t>
      </w:r>
      <w:r w:rsidR="007E5D12">
        <w:rPr>
          <w:b w:val="0"/>
        </w:rPr>
        <w:t xml:space="preserve"> and the Commission’s ability to provide market oversight</w:t>
      </w:r>
      <w:r w:rsidRPr="008037DE" w:rsidR="00EB4D6D">
        <w:rPr>
          <w:b w:val="0"/>
        </w:rPr>
        <w:t>.</w:t>
      </w:r>
      <w:r w:rsidR="00D02502">
        <w:rPr>
          <w:b w:val="0"/>
        </w:rPr>
        <w:t xml:space="preserve">  </w:t>
      </w:r>
      <w:r w:rsidR="00451BA3">
        <w:rPr>
          <w:b w:val="0"/>
        </w:rPr>
        <w:t xml:space="preserve">  </w:t>
      </w:r>
      <w:r w:rsidR="00D35721">
        <w:rPr>
          <w:b w:val="0"/>
        </w:rPr>
        <w:t>Further, the monthly submission requirement</w:t>
      </w:r>
      <w:r w:rsidR="00DE5F50">
        <w:rPr>
          <w:b w:val="0"/>
        </w:rPr>
        <w:t xml:space="preserve"> only applies when a Seller has information to update.  </w:t>
      </w:r>
      <w:r w:rsidR="0050422E">
        <w:rPr>
          <w:b w:val="0"/>
        </w:rPr>
        <w:t>The Commission</w:t>
      </w:r>
      <w:r w:rsidR="00DE5F50">
        <w:rPr>
          <w:b w:val="0"/>
        </w:rPr>
        <w:t xml:space="preserve"> anticipate</w:t>
      </w:r>
      <w:r w:rsidR="0050422E">
        <w:rPr>
          <w:b w:val="0"/>
        </w:rPr>
        <w:t>s</w:t>
      </w:r>
      <w:r w:rsidR="00DE5F50">
        <w:rPr>
          <w:b w:val="0"/>
        </w:rPr>
        <w:t xml:space="preserve"> that Sellers will not have to make submissions every month, but rather once a year</w:t>
      </w:r>
      <w:r w:rsidR="00ED0609">
        <w:rPr>
          <w:b w:val="0"/>
        </w:rPr>
        <w:t xml:space="preserve"> or less</w:t>
      </w:r>
      <w:r w:rsidR="00DE5F50">
        <w:rPr>
          <w:b w:val="0"/>
        </w:rPr>
        <w:t>.</w:t>
      </w:r>
    </w:p>
    <w:p w:rsidRPr="00E758ED" w:rsidR="00EB3E6F" w:rsidP="00632B16" w:rsidRDefault="00EB3E6F" w14:paraId="035331DD" w14:textId="77777777">
      <w:pPr>
        <w:pStyle w:val="FERCparanumber"/>
      </w:pPr>
      <w:r w:rsidRPr="00E758ED">
        <w:t>EXPLAIN ANY SPECIAL CIRCUMSTANCES RELATING TO THE INFORMATION COLLECTION</w:t>
      </w:r>
    </w:p>
    <w:p w:rsidR="00D54DFD" w:rsidP="00632B16" w:rsidRDefault="00D54DFD" w14:paraId="035331E0" w14:textId="6DF19432">
      <w:pPr>
        <w:spacing w:after="0" w:line="240" w:lineRule="auto"/>
        <w:rPr>
          <w:szCs w:val="24"/>
        </w:rPr>
      </w:pPr>
      <w:r w:rsidRPr="00E758ED">
        <w:rPr>
          <w:szCs w:val="24"/>
        </w:rPr>
        <w:t>FERC-919</w:t>
      </w:r>
      <w:r w:rsidRPr="00E758ED" w:rsidR="00F40FFD">
        <w:rPr>
          <w:szCs w:val="24"/>
        </w:rPr>
        <w:t>A</w:t>
      </w:r>
      <w:r w:rsidRPr="00E758ED">
        <w:rPr>
          <w:szCs w:val="24"/>
        </w:rPr>
        <w:t xml:space="preserve"> ha</w:t>
      </w:r>
      <w:r w:rsidRPr="00E758ED" w:rsidR="00C40F36">
        <w:rPr>
          <w:szCs w:val="24"/>
        </w:rPr>
        <w:t>s</w:t>
      </w:r>
      <w:r w:rsidRPr="00E758ED">
        <w:rPr>
          <w:szCs w:val="24"/>
        </w:rPr>
        <w:t xml:space="preserve"> no special circumstance</w:t>
      </w:r>
      <w:r w:rsidRPr="00E758ED" w:rsidR="0010626D">
        <w:rPr>
          <w:szCs w:val="24"/>
        </w:rPr>
        <w:t>s</w:t>
      </w:r>
      <w:r w:rsidRPr="00E758ED">
        <w:rPr>
          <w:szCs w:val="24"/>
        </w:rPr>
        <w:t xml:space="preserve"> related to the information collection. </w:t>
      </w:r>
    </w:p>
    <w:p w:rsidRPr="00E758ED" w:rsidR="00CA0FA0" w:rsidP="00632B16" w:rsidRDefault="00CA0FA0" w14:paraId="1B837E08" w14:textId="77777777">
      <w:pPr>
        <w:spacing w:after="0" w:line="240" w:lineRule="auto"/>
        <w:rPr>
          <w:szCs w:val="24"/>
        </w:rPr>
      </w:pPr>
    </w:p>
    <w:p w:rsidR="00EB3E6F" w:rsidP="00632B16" w:rsidRDefault="00EB3E6F" w14:paraId="035331E1" w14:textId="54CA2B0B">
      <w:pPr>
        <w:pStyle w:val="FERCparanumber"/>
      </w:pPr>
      <w:r w:rsidRPr="000D1B33">
        <w:t>DESCRIBE EFFORT</w:t>
      </w:r>
      <w:r w:rsidRPr="000D1B33">
        <w:rPr>
          <w:bCs/>
          <w:szCs w:val="26"/>
        </w:rPr>
        <w:t>S</w:t>
      </w:r>
      <w:r w:rsidRPr="002926BF">
        <w:t xml:space="preserve"> TO CONSULT OUTSIDE THE AGENCY</w:t>
      </w:r>
      <w:r w:rsidRPr="00E758ED">
        <w:t>: SUMMARIZE PUBLIC COMMENTS AND THE AGENCY’S RESPONSE</w:t>
      </w:r>
    </w:p>
    <w:p w:rsidR="005F625E" w:rsidRDefault="007A20B6" w14:paraId="26DEB31D" w14:textId="22E4E1F5">
      <w:pPr>
        <w:spacing w:after="0" w:line="240" w:lineRule="auto"/>
        <w:rPr>
          <w:szCs w:val="24"/>
        </w:rPr>
      </w:pPr>
      <w:r>
        <w:rPr>
          <w:szCs w:val="24"/>
        </w:rPr>
        <w:t xml:space="preserve">Members of the public were given 60 days to comment on the March Notice.  </w:t>
      </w:r>
      <w:r w:rsidR="002926BF">
        <w:rPr>
          <w:szCs w:val="24"/>
        </w:rPr>
        <w:t xml:space="preserve">Most commenters support the proposal to collect the information proposed in the March Notice.  </w:t>
      </w:r>
    </w:p>
    <w:p w:rsidR="005F625E" w:rsidRDefault="005F625E" w14:paraId="44E2E20E" w14:textId="77777777">
      <w:pPr>
        <w:spacing w:after="0" w:line="240" w:lineRule="auto"/>
        <w:rPr>
          <w:szCs w:val="24"/>
        </w:rPr>
      </w:pPr>
    </w:p>
    <w:p w:rsidRPr="00C943AC" w:rsidR="00CC314D" w:rsidP="00381E5C" w:rsidRDefault="005F625E" w14:paraId="05630BBE" w14:textId="6FBE287C">
      <w:pPr>
        <w:spacing w:after="0" w:line="240" w:lineRule="auto"/>
        <w:ind w:left="720"/>
        <w:rPr>
          <w:szCs w:val="24"/>
        </w:rPr>
      </w:pPr>
      <w:r>
        <w:rPr>
          <w:b/>
          <w:bCs/>
          <w:szCs w:val="24"/>
        </w:rPr>
        <w:t xml:space="preserve">Summary of </w:t>
      </w:r>
      <w:r w:rsidR="00071D56">
        <w:rPr>
          <w:b/>
          <w:bCs/>
          <w:szCs w:val="24"/>
        </w:rPr>
        <w:t xml:space="preserve">PRA-Related </w:t>
      </w:r>
      <w:r>
        <w:rPr>
          <w:b/>
          <w:bCs/>
          <w:szCs w:val="24"/>
        </w:rPr>
        <w:t xml:space="preserve">Public Comment.  </w:t>
      </w:r>
      <w:r w:rsidR="00537618">
        <w:rPr>
          <w:szCs w:val="24"/>
        </w:rPr>
        <w:t xml:space="preserve">One commenter argues that there is little to no value in reporting ultimate upstream affiliates that are institutional investors with section 203(a)(2) blanket authorizations to the relational database.  This commenter also argues that the revisions proposed in the March Notice will result in another delay in implementation of the relational database.  This </w:t>
      </w:r>
      <w:r w:rsidR="00537618">
        <w:rPr>
          <w:szCs w:val="24"/>
        </w:rPr>
        <w:lastRenderedPageBreak/>
        <w:t>commenter consequently requests that the Commission not move forward with the proposal to collection information about institutional investor upstream affiliates in the relational database.  However, if the Commission moves forward with its proposal to collect such information, this commenter requests several modifications and clarifications to the proposed information collection.</w:t>
      </w:r>
    </w:p>
    <w:p w:rsidR="00CC314D" w:rsidP="00632B16" w:rsidRDefault="00CC314D" w14:paraId="14251BB6" w14:textId="77777777">
      <w:pPr>
        <w:spacing w:after="0" w:line="240" w:lineRule="auto"/>
        <w:rPr>
          <w:szCs w:val="24"/>
        </w:rPr>
      </w:pPr>
    </w:p>
    <w:p w:rsidR="00301162" w:rsidP="00381E5C" w:rsidRDefault="005F625E" w14:paraId="41BC2A18" w14:textId="681E65AB">
      <w:pPr>
        <w:spacing w:after="0" w:line="240" w:lineRule="auto"/>
        <w:ind w:left="720"/>
        <w:rPr>
          <w:szCs w:val="24"/>
        </w:rPr>
      </w:pPr>
      <w:r>
        <w:rPr>
          <w:b/>
          <w:bCs/>
          <w:szCs w:val="24"/>
        </w:rPr>
        <w:t xml:space="preserve">FERC Response:  </w:t>
      </w:r>
      <w:r w:rsidR="00537618">
        <w:rPr>
          <w:szCs w:val="24"/>
        </w:rPr>
        <w:t>In response to this commenter, the Commission noted that it has repeatedly emphasized the importan</w:t>
      </w:r>
      <w:r>
        <w:rPr>
          <w:szCs w:val="24"/>
        </w:rPr>
        <w:t xml:space="preserve">ce </w:t>
      </w:r>
      <w:r w:rsidR="00537618">
        <w:rPr>
          <w:szCs w:val="24"/>
        </w:rPr>
        <w:t>of both identifying and tracking institutional investor ultimate upstream affiliates</w:t>
      </w:r>
      <w:r w:rsidR="002D3EB6">
        <w:rPr>
          <w:szCs w:val="24"/>
        </w:rPr>
        <w:t xml:space="preserve"> in the relational database.  The Commission further noted that this order makes no new determinations regarding affiliation and instead implement</w:t>
      </w:r>
      <w:r w:rsidR="008E31A1">
        <w:rPr>
          <w:szCs w:val="24"/>
        </w:rPr>
        <w:t xml:space="preserve">s the technical components necessary to ensure the </w:t>
      </w:r>
      <w:r w:rsidR="000D1B33">
        <w:rPr>
          <w:szCs w:val="24"/>
        </w:rPr>
        <w:t xml:space="preserve">relational database functions as contemplated in </w:t>
      </w:r>
      <w:r w:rsidR="000D1B33">
        <w:rPr>
          <w:i/>
          <w:iCs/>
          <w:szCs w:val="24"/>
        </w:rPr>
        <w:t>NextEra Energy, Inc.</w:t>
      </w:r>
      <w:r w:rsidRPr="001D578A" w:rsidR="000D1B33">
        <w:rPr>
          <w:rStyle w:val="FootnoteReference"/>
          <w:szCs w:val="24"/>
        </w:rPr>
        <w:footnoteReference w:id="14"/>
      </w:r>
      <w:r w:rsidR="000D1B33">
        <w:rPr>
          <w:szCs w:val="24"/>
        </w:rPr>
        <w:t xml:space="preserve"> and Order Nos. 860 and 860-A.</w:t>
      </w:r>
      <w:r w:rsidR="00301162">
        <w:rPr>
          <w:szCs w:val="24"/>
        </w:rPr>
        <w:t xml:space="preserve">  The Commission concluded that requests for the Commission to not move forward with the proposals in these orders are thus collateral attacks on those orders. </w:t>
      </w:r>
    </w:p>
    <w:p w:rsidR="00301162" w:rsidP="00632B16" w:rsidRDefault="00301162" w14:paraId="40C64C9A" w14:textId="77777777">
      <w:pPr>
        <w:spacing w:after="0" w:line="240" w:lineRule="auto"/>
        <w:rPr>
          <w:szCs w:val="24"/>
        </w:rPr>
      </w:pPr>
    </w:p>
    <w:p w:rsidR="00E12167" w:rsidP="00381E5C" w:rsidRDefault="00301162" w14:paraId="59EC638D" w14:textId="311DDE53">
      <w:pPr>
        <w:spacing w:after="0" w:line="240" w:lineRule="auto"/>
        <w:ind w:left="720"/>
        <w:rPr>
          <w:szCs w:val="24"/>
        </w:rPr>
      </w:pPr>
      <w:r>
        <w:rPr>
          <w:szCs w:val="24"/>
        </w:rPr>
        <w:t>The Commission did agree with the commenter regarding the merits of certain modifications and clarifications to the proposed information collection and revised the MBR Data Dictionary, as further discussed in the Order.</w:t>
      </w:r>
    </w:p>
    <w:p w:rsidR="003829C0" w:rsidP="00632B16" w:rsidRDefault="003829C0" w14:paraId="4ECFFA07" w14:textId="77777777">
      <w:pPr>
        <w:spacing w:after="0" w:line="240" w:lineRule="auto"/>
        <w:rPr>
          <w:szCs w:val="24"/>
        </w:rPr>
      </w:pPr>
    </w:p>
    <w:p w:rsidR="00FC6C3B" w:rsidP="00632B16" w:rsidRDefault="003E3C50" w14:paraId="5ADD373C" w14:textId="41F8E216">
      <w:pPr>
        <w:spacing w:after="0" w:line="240" w:lineRule="auto"/>
        <w:rPr>
          <w:szCs w:val="24"/>
        </w:rPr>
      </w:pPr>
      <w:r w:rsidRPr="00081DBA">
        <w:rPr>
          <w:szCs w:val="24"/>
        </w:rPr>
        <w:t xml:space="preserve">The </w:t>
      </w:r>
      <w:r w:rsidRPr="00081DBA" w:rsidR="009E62EB">
        <w:rPr>
          <w:szCs w:val="24"/>
        </w:rPr>
        <w:t>Order</w:t>
      </w:r>
      <w:r w:rsidRPr="00081DBA" w:rsidR="00C943AC">
        <w:rPr>
          <w:szCs w:val="24"/>
        </w:rPr>
        <w:t xml:space="preserve">, which </w:t>
      </w:r>
      <w:r w:rsidRPr="00081DBA">
        <w:rPr>
          <w:szCs w:val="24"/>
        </w:rPr>
        <w:t xml:space="preserve">issued </w:t>
      </w:r>
      <w:r w:rsidRPr="00081DBA" w:rsidR="00C943AC">
        <w:rPr>
          <w:szCs w:val="24"/>
        </w:rPr>
        <w:t xml:space="preserve">on </w:t>
      </w:r>
      <w:r w:rsidRPr="00081DBA" w:rsidR="009E62EB">
        <w:rPr>
          <w:szCs w:val="24"/>
        </w:rPr>
        <w:t>August 1</w:t>
      </w:r>
      <w:r w:rsidRPr="00081DBA" w:rsidR="00C943AC">
        <w:rPr>
          <w:szCs w:val="24"/>
        </w:rPr>
        <w:t>9</w:t>
      </w:r>
      <w:r w:rsidRPr="00081DBA" w:rsidR="009E62EB">
        <w:rPr>
          <w:szCs w:val="24"/>
        </w:rPr>
        <w:t>, 2021</w:t>
      </w:r>
      <w:r w:rsidRPr="00081DBA" w:rsidR="00C943AC">
        <w:rPr>
          <w:szCs w:val="24"/>
        </w:rPr>
        <w:t>,</w:t>
      </w:r>
      <w:r w:rsidRPr="00081DBA">
        <w:rPr>
          <w:szCs w:val="24"/>
        </w:rPr>
        <w:t xml:space="preserve"> was published in the Federal Register on </w:t>
      </w:r>
      <w:r w:rsidRPr="001D578A" w:rsidR="00081DBA">
        <w:rPr>
          <w:szCs w:val="24"/>
        </w:rPr>
        <w:t>8/26/2021</w:t>
      </w:r>
      <w:r w:rsidRPr="00081DBA">
        <w:rPr>
          <w:szCs w:val="24"/>
        </w:rPr>
        <w:t>.</w:t>
      </w:r>
      <w:r w:rsidRPr="00081DBA">
        <w:rPr>
          <w:rStyle w:val="FootnoteReference"/>
          <w:szCs w:val="24"/>
        </w:rPr>
        <w:footnoteReference w:id="15"/>
      </w:r>
    </w:p>
    <w:p w:rsidRPr="00E758ED" w:rsidR="00EB3E6F" w:rsidP="00632B16" w:rsidRDefault="00EB3E6F" w14:paraId="035331E6" w14:textId="77777777">
      <w:pPr>
        <w:spacing w:after="0" w:line="240" w:lineRule="auto"/>
        <w:rPr>
          <w:szCs w:val="24"/>
        </w:rPr>
      </w:pPr>
    </w:p>
    <w:p w:rsidRPr="00E758ED" w:rsidR="00EB3E6F" w:rsidP="00632B16" w:rsidRDefault="00D80FBD" w14:paraId="035331E7" w14:textId="77777777">
      <w:pPr>
        <w:pStyle w:val="FERCparanumber"/>
      </w:pPr>
      <w:r w:rsidRPr="00E758ED">
        <w:t>EXPLAIN ANY PAYMENT OR GIFTS TO RESPONDENTS</w:t>
      </w:r>
    </w:p>
    <w:p w:rsidRPr="00E758ED" w:rsidR="00251161" w:rsidP="00632B16" w:rsidRDefault="00251161" w14:paraId="035331E9" w14:textId="0476B6A8">
      <w:pPr>
        <w:spacing w:line="240" w:lineRule="auto"/>
        <w:rPr>
          <w:szCs w:val="24"/>
        </w:rPr>
      </w:pPr>
      <w:r w:rsidRPr="00E758ED">
        <w:rPr>
          <w:szCs w:val="24"/>
        </w:rPr>
        <w:t>The Commission does not make payments or provide gifts to respondents related to</w:t>
      </w:r>
      <w:r w:rsidRPr="00E758ED" w:rsidR="006E0D79">
        <w:rPr>
          <w:szCs w:val="24"/>
        </w:rPr>
        <w:t xml:space="preserve"> FERC-919</w:t>
      </w:r>
      <w:r w:rsidRPr="00E758ED" w:rsidR="00F40FFD">
        <w:rPr>
          <w:szCs w:val="24"/>
        </w:rPr>
        <w:t>A</w:t>
      </w:r>
      <w:r w:rsidRPr="00E758ED" w:rsidR="00C40F36">
        <w:rPr>
          <w:szCs w:val="24"/>
        </w:rPr>
        <w:t>.</w:t>
      </w:r>
      <w:r w:rsidRPr="00E758ED" w:rsidR="006E0D79">
        <w:rPr>
          <w:szCs w:val="24"/>
        </w:rPr>
        <w:t xml:space="preserve"> </w:t>
      </w:r>
    </w:p>
    <w:p w:rsidRPr="00E758ED" w:rsidR="00D80FBD" w:rsidP="00632B16" w:rsidRDefault="00D80FBD" w14:paraId="035331EA" w14:textId="77777777">
      <w:pPr>
        <w:pStyle w:val="FERCparanumber"/>
      </w:pPr>
      <w:r w:rsidRPr="00E758ED">
        <w:t>DESCRIBE ANY ASSURANCE OF CONFIDENTIALITY PROVIDED TO RESPONDENTS</w:t>
      </w:r>
    </w:p>
    <w:p w:rsidR="00E758ED" w:rsidP="00632B16" w:rsidRDefault="00FC6C3B" w14:paraId="7A1EE2E8" w14:textId="786AF4CA">
      <w:pPr>
        <w:spacing w:after="0" w:line="240" w:lineRule="auto"/>
        <w:rPr>
          <w:szCs w:val="24"/>
        </w:rPr>
      </w:pPr>
      <w:r w:rsidRPr="00A70F33">
        <w:rPr>
          <w:szCs w:val="26"/>
        </w:rPr>
        <w:t xml:space="preserve">The Commission does not consider the information collected in filings to be confidential.  However, the Commission will consider specific requests for confidential treatment (e.g. Critical Energy/Electric Infrastructure Information [CEII] or non-public) to the extent permitted by law and </w:t>
      </w:r>
      <w:r>
        <w:rPr>
          <w:szCs w:val="26"/>
        </w:rPr>
        <w:t>Commission</w:t>
      </w:r>
      <w:r w:rsidRPr="00A70F33">
        <w:rPr>
          <w:szCs w:val="26"/>
        </w:rPr>
        <w:t xml:space="preserve"> regulations.</w:t>
      </w:r>
      <w:r w:rsidRPr="00A70F33">
        <w:rPr>
          <w:rStyle w:val="FootnoteReference"/>
        </w:rPr>
        <w:footnoteReference w:id="16"/>
      </w:r>
      <w:r w:rsidRPr="00A70F33">
        <w:rPr>
          <w:szCs w:val="26"/>
        </w:rPr>
        <w:t xml:space="preserve"> The Commission will review each </w:t>
      </w:r>
      <w:r w:rsidRPr="00A70F33">
        <w:rPr>
          <w:szCs w:val="26"/>
        </w:rPr>
        <w:lastRenderedPageBreak/>
        <w:t>request for confidential treatment on a case-by-case basis.</w:t>
      </w:r>
      <w:r>
        <w:rPr>
          <w:szCs w:val="26"/>
        </w:rPr>
        <w:t xml:space="preserve">  </w:t>
      </w:r>
      <w:r w:rsidR="00F43765">
        <w:rPr>
          <w:szCs w:val="24"/>
        </w:rPr>
        <w:t>However, t</w:t>
      </w:r>
      <w:r w:rsidRPr="00E758ED" w:rsidR="00A7548D">
        <w:rPr>
          <w:szCs w:val="24"/>
        </w:rPr>
        <w:t>he Commission expects that all submissions into the relational database will be public.</w:t>
      </w:r>
    </w:p>
    <w:p w:rsidR="00E758ED" w:rsidP="00632B16" w:rsidRDefault="00E758ED" w14:paraId="1BEF2A7D" w14:textId="413EDC23">
      <w:pPr>
        <w:spacing w:after="0" w:line="240" w:lineRule="auto"/>
        <w:rPr>
          <w:szCs w:val="24"/>
          <w:vertAlign w:val="superscript"/>
        </w:rPr>
      </w:pPr>
    </w:p>
    <w:p w:rsidRPr="00E758ED" w:rsidR="00263AAD" w:rsidP="00632B16" w:rsidRDefault="00263AAD" w14:paraId="035331ED" w14:textId="413DC69E">
      <w:pPr>
        <w:pStyle w:val="FERCparanumber"/>
      </w:pPr>
      <w:r w:rsidRPr="00E758ED">
        <w:t>PROVIDE ADDITIONAL JUSTIFICATION FOR ANY QUESTIONS OF A SENSITIVE NATURE, SUCH AS SEXUAL BEHAVIOR AND ATTITUDES, RELIGIOUS BELIEFS, AND OTHER MATTERS THAT ARE COMMONLY CONSIDERED PRIVATE.</w:t>
      </w:r>
    </w:p>
    <w:p w:rsidRPr="00E758ED" w:rsidR="006055FC" w:rsidP="00632B16" w:rsidRDefault="006055FC" w14:paraId="035331EF" w14:textId="3AF0CE2D">
      <w:pPr>
        <w:spacing w:after="0" w:line="240" w:lineRule="auto"/>
        <w:rPr>
          <w:szCs w:val="24"/>
        </w:rPr>
      </w:pPr>
      <w:r w:rsidRPr="00E758ED">
        <w:rPr>
          <w:szCs w:val="24"/>
        </w:rPr>
        <w:t>There are no questions of a sensitive nature that are considered private</w:t>
      </w:r>
      <w:r w:rsidRPr="00E758ED" w:rsidR="00E9555B">
        <w:rPr>
          <w:szCs w:val="24"/>
        </w:rPr>
        <w:t xml:space="preserve"> in FERC-919</w:t>
      </w:r>
      <w:r w:rsidRPr="00E758ED" w:rsidR="00F40FFD">
        <w:rPr>
          <w:szCs w:val="24"/>
        </w:rPr>
        <w:t>A</w:t>
      </w:r>
      <w:r w:rsidRPr="00E758ED" w:rsidR="00F02FEB">
        <w:rPr>
          <w:szCs w:val="24"/>
        </w:rPr>
        <w:t>.</w:t>
      </w:r>
    </w:p>
    <w:p w:rsidRPr="00E758ED" w:rsidR="005B09C3" w:rsidP="00632B16" w:rsidRDefault="005B09C3" w14:paraId="035331F0" w14:textId="77777777">
      <w:pPr>
        <w:spacing w:after="0" w:line="240" w:lineRule="auto"/>
        <w:rPr>
          <w:szCs w:val="24"/>
        </w:rPr>
      </w:pPr>
    </w:p>
    <w:p w:rsidRPr="00E758ED" w:rsidR="00D80FBD" w:rsidP="00632B16" w:rsidRDefault="00D80FBD" w14:paraId="035331F1" w14:textId="11BD39E5">
      <w:pPr>
        <w:pStyle w:val="FERCparanumber"/>
      </w:pPr>
      <w:r w:rsidRPr="00E758ED">
        <w:t>ESTIMATED BURDEN OF COLLECTION OF INFORMATION</w:t>
      </w:r>
    </w:p>
    <w:p w:rsidRPr="001D578A" w:rsidR="00CF1A2A" w:rsidP="001D578A" w:rsidRDefault="00CF1A2A" w14:paraId="5C7686AD" w14:textId="04064E85">
      <w:pPr>
        <w:pStyle w:val="FERCparanumber"/>
        <w:numPr>
          <w:ilvl w:val="0"/>
          <w:numId w:val="0"/>
        </w:numPr>
        <w:rPr>
          <w:b w:val="0"/>
          <w:bCs/>
        </w:rPr>
      </w:pPr>
      <w:r w:rsidRPr="001D578A">
        <w:rPr>
          <w:b w:val="0"/>
          <w:bCs/>
        </w:rPr>
        <w:t xml:space="preserve">There are approximately 2,647 Sellers that will submit information into the relational database.  Six institutional investors currently have </w:t>
      </w:r>
      <w:r w:rsidR="00942F81">
        <w:rPr>
          <w:b w:val="0"/>
          <w:bCs/>
        </w:rPr>
        <w:t xml:space="preserve">FPA </w:t>
      </w:r>
      <w:r w:rsidRPr="001D578A">
        <w:rPr>
          <w:b w:val="0"/>
          <w:bCs/>
        </w:rPr>
        <w:t xml:space="preserve">section 203(a)(2) blanket authorizations, which collectively own approximately 110 upstream affiliates that themselves own Sellers.  In the March Notice, the Commission estimated an average of four Sellers affected for every upstream affiliate, equaling 440 total </w:t>
      </w:r>
      <w:r w:rsidR="00942F81">
        <w:rPr>
          <w:b w:val="0"/>
          <w:bCs/>
        </w:rPr>
        <w:t>S</w:t>
      </w:r>
      <w:r w:rsidRPr="001D578A">
        <w:rPr>
          <w:b w:val="0"/>
          <w:bCs/>
        </w:rPr>
        <w:t xml:space="preserve">ellers.  This order reaffirms the estimate of the number of Sellers impacted by the revisions herein.  </w:t>
      </w:r>
    </w:p>
    <w:p w:rsidR="00830852" w:rsidP="00EC1220" w:rsidRDefault="00CF1A2A" w14:paraId="4A19882B" w14:textId="4A647691">
      <w:pPr>
        <w:pStyle w:val="FERCparanumber"/>
        <w:numPr>
          <w:ilvl w:val="0"/>
          <w:numId w:val="0"/>
        </w:numPr>
        <w:spacing w:after="0"/>
        <w:rPr>
          <w:b w:val="0"/>
          <w:bCs/>
        </w:rPr>
      </w:pPr>
      <w:r w:rsidRPr="001D578A">
        <w:rPr>
          <w:b w:val="0"/>
          <w:bCs/>
        </w:rPr>
        <w:t>Burden Estimate:  The estimated burden and cost</w:t>
      </w:r>
      <w:r w:rsidRPr="001D578A">
        <w:rPr>
          <w:rStyle w:val="FootnoteReference"/>
          <w:b/>
          <w:bCs/>
        </w:rPr>
        <w:footnoteReference w:id="17"/>
      </w:r>
      <w:r w:rsidRPr="001D578A">
        <w:rPr>
          <w:b w:val="0"/>
          <w:bCs/>
        </w:rPr>
        <w:t xml:space="preserve"> for the requirements in this order are as follows.  Information on estimated burden from Order No. 860 is displayed for background only.</w:t>
      </w:r>
    </w:p>
    <w:p w:rsidR="00EC1220" w:rsidP="00E70FCB" w:rsidRDefault="00EC1220" w14:paraId="1EA67BA6" w14:textId="2BB4CB13">
      <w:pPr>
        <w:pStyle w:val="FERCparanumber"/>
        <w:numPr>
          <w:ilvl w:val="0"/>
          <w:numId w:val="0"/>
        </w:numPr>
        <w:spacing w:after="0"/>
        <w:jc w:val="center"/>
        <w:rPr>
          <w:b w:val="0"/>
          <w:bCs/>
        </w:rPr>
      </w:pPr>
      <w:r>
        <w:rPr>
          <w:b w:val="0"/>
          <w:bCs/>
        </w:rPr>
        <w:t>Table 1</w:t>
      </w:r>
    </w:p>
    <w:tbl>
      <w:tblPr>
        <w:tblW w:w="5291" w:type="pct"/>
        <w:tblLayout w:type="fixed"/>
        <w:tblLook w:val="04A0" w:firstRow="1" w:lastRow="0" w:firstColumn="1" w:lastColumn="0" w:noHBand="0" w:noVBand="1"/>
      </w:tblPr>
      <w:tblGrid>
        <w:gridCol w:w="1886"/>
        <w:gridCol w:w="1158"/>
        <w:gridCol w:w="1203"/>
        <w:gridCol w:w="1061"/>
        <w:gridCol w:w="1074"/>
        <w:gridCol w:w="995"/>
        <w:gridCol w:w="1225"/>
        <w:gridCol w:w="1292"/>
      </w:tblGrid>
      <w:tr w:rsidRPr="00CD4F72" w:rsidR="00CF1A2A" w:rsidTr="001D578A" w14:paraId="0AF00151" w14:textId="77777777">
        <w:trPr>
          <w:trHeight w:val="269"/>
        </w:trPr>
        <w:tc>
          <w:tcPr>
            <w:tcW w:w="95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D578A" w:rsidR="00CF1A2A" w:rsidP="001D578A" w:rsidRDefault="00CF1A2A" w14:paraId="7C121F3B" w14:textId="22A48F8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A.</w:t>
            </w:r>
          </w:p>
        </w:tc>
        <w:tc>
          <w:tcPr>
            <w:tcW w:w="585" w:type="pct"/>
            <w:tcBorders>
              <w:top w:val="single" w:color="auto" w:sz="4" w:space="0"/>
              <w:left w:val="nil"/>
              <w:bottom w:val="single" w:color="auto" w:sz="4" w:space="0"/>
              <w:right w:val="single" w:color="auto" w:sz="4" w:space="0"/>
            </w:tcBorders>
            <w:shd w:val="clear" w:color="auto" w:fill="auto"/>
            <w:vAlign w:val="center"/>
            <w:hideMark/>
          </w:tcPr>
          <w:p w:rsidRPr="001D578A" w:rsidR="00CF1A2A" w:rsidP="001D578A" w:rsidRDefault="00CF1A2A" w14:paraId="5E45117E"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B.</w:t>
            </w:r>
          </w:p>
        </w:tc>
        <w:tc>
          <w:tcPr>
            <w:tcW w:w="608" w:type="pct"/>
            <w:tcBorders>
              <w:top w:val="single" w:color="auto" w:sz="4" w:space="0"/>
              <w:left w:val="nil"/>
              <w:bottom w:val="single" w:color="auto" w:sz="4" w:space="0"/>
              <w:right w:val="single" w:color="auto" w:sz="4" w:space="0"/>
            </w:tcBorders>
            <w:shd w:val="clear" w:color="auto" w:fill="auto"/>
            <w:vAlign w:val="center"/>
            <w:hideMark/>
          </w:tcPr>
          <w:p w:rsidRPr="001D578A" w:rsidR="00CF1A2A" w:rsidP="001D578A" w:rsidRDefault="00CF1A2A" w14:paraId="1ABD00BE"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C.</w:t>
            </w:r>
          </w:p>
        </w:tc>
        <w:tc>
          <w:tcPr>
            <w:tcW w:w="536" w:type="pct"/>
            <w:tcBorders>
              <w:top w:val="single" w:color="auto" w:sz="4" w:space="0"/>
              <w:left w:val="nil"/>
              <w:bottom w:val="single" w:color="auto" w:sz="4" w:space="0"/>
              <w:right w:val="single" w:color="auto" w:sz="4" w:space="0"/>
            </w:tcBorders>
            <w:shd w:val="clear" w:color="auto" w:fill="auto"/>
            <w:vAlign w:val="center"/>
            <w:hideMark/>
          </w:tcPr>
          <w:p w:rsidRPr="001D578A" w:rsidR="00CF1A2A" w:rsidP="001D578A" w:rsidRDefault="00CF1A2A" w14:paraId="5FD23710"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D.</w:t>
            </w:r>
          </w:p>
        </w:tc>
        <w:tc>
          <w:tcPr>
            <w:tcW w:w="543" w:type="pct"/>
            <w:tcBorders>
              <w:top w:val="single" w:color="auto" w:sz="4" w:space="0"/>
              <w:left w:val="nil"/>
              <w:bottom w:val="single" w:color="auto" w:sz="4" w:space="0"/>
              <w:right w:val="single" w:color="auto" w:sz="4" w:space="0"/>
            </w:tcBorders>
            <w:shd w:val="clear" w:color="auto" w:fill="auto"/>
            <w:vAlign w:val="center"/>
            <w:hideMark/>
          </w:tcPr>
          <w:p w:rsidRPr="001D578A" w:rsidR="00CF1A2A" w:rsidP="001D578A" w:rsidRDefault="00CF1A2A" w14:paraId="1E9749F0"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E.</w:t>
            </w:r>
          </w:p>
        </w:tc>
        <w:tc>
          <w:tcPr>
            <w:tcW w:w="503" w:type="pct"/>
            <w:tcBorders>
              <w:top w:val="single" w:color="auto" w:sz="4" w:space="0"/>
              <w:left w:val="nil"/>
              <w:bottom w:val="single" w:color="auto" w:sz="4" w:space="0"/>
              <w:right w:val="single" w:color="auto" w:sz="4" w:space="0"/>
            </w:tcBorders>
            <w:shd w:val="clear" w:color="auto" w:fill="auto"/>
            <w:vAlign w:val="center"/>
            <w:hideMark/>
          </w:tcPr>
          <w:p w:rsidRPr="001D578A" w:rsidR="00CF1A2A" w:rsidP="001D578A" w:rsidRDefault="00CF1A2A" w14:paraId="2CFC4FF5"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F.</w:t>
            </w:r>
          </w:p>
        </w:tc>
        <w:tc>
          <w:tcPr>
            <w:tcW w:w="619" w:type="pct"/>
            <w:tcBorders>
              <w:top w:val="single" w:color="auto" w:sz="4" w:space="0"/>
              <w:left w:val="nil"/>
              <w:bottom w:val="single" w:color="auto" w:sz="4" w:space="0"/>
              <w:right w:val="single" w:color="auto" w:sz="4" w:space="0"/>
            </w:tcBorders>
            <w:shd w:val="clear" w:color="auto" w:fill="auto"/>
            <w:vAlign w:val="center"/>
            <w:hideMark/>
          </w:tcPr>
          <w:p w:rsidRPr="001D578A" w:rsidR="00CF1A2A" w:rsidP="001D578A" w:rsidRDefault="00CF1A2A" w14:paraId="669446B0"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G.</w:t>
            </w:r>
          </w:p>
        </w:tc>
        <w:tc>
          <w:tcPr>
            <w:tcW w:w="654" w:type="pct"/>
            <w:tcBorders>
              <w:top w:val="single" w:color="auto" w:sz="4" w:space="0"/>
              <w:left w:val="nil"/>
              <w:bottom w:val="single" w:color="auto" w:sz="4" w:space="0"/>
              <w:right w:val="single" w:color="auto" w:sz="4" w:space="0"/>
            </w:tcBorders>
            <w:shd w:val="clear" w:color="auto" w:fill="auto"/>
            <w:vAlign w:val="center"/>
            <w:hideMark/>
          </w:tcPr>
          <w:p w:rsidRPr="001D578A" w:rsidR="00CF1A2A" w:rsidP="001D578A" w:rsidRDefault="00CF1A2A" w14:paraId="6168C239"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H.</w:t>
            </w:r>
          </w:p>
        </w:tc>
      </w:tr>
      <w:tr w:rsidRPr="00CD4F72" w:rsidR="00CF1A2A" w:rsidTr="001D578A" w14:paraId="4D75C91C" w14:textId="77777777">
        <w:trPr>
          <w:trHeight w:val="890"/>
        </w:trPr>
        <w:tc>
          <w:tcPr>
            <w:tcW w:w="953" w:type="pct"/>
            <w:tcBorders>
              <w:top w:val="nil"/>
              <w:left w:val="single" w:color="auto" w:sz="4" w:space="0"/>
              <w:bottom w:val="single" w:color="auto" w:sz="4" w:space="0"/>
              <w:right w:val="single" w:color="auto" w:sz="4" w:space="0"/>
            </w:tcBorders>
            <w:shd w:val="clear" w:color="auto" w:fill="auto"/>
            <w:vAlign w:val="center"/>
            <w:hideMark/>
          </w:tcPr>
          <w:p w:rsidRPr="001D578A" w:rsidR="00CF1A2A" w:rsidP="001D578A" w:rsidRDefault="00CF1A2A" w14:paraId="346F3686"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Respondent / Incremental Burden Category</w:t>
            </w:r>
          </w:p>
        </w:tc>
        <w:tc>
          <w:tcPr>
            <w:tcW w:w="585"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298B9211" w14:textId="6B274A80">
            <w:pPr>
              <w:spacing w:after="0"/>
              <w:jc w:val="center"/>
              <w:rPr>
                <w:rFonts w:ascii="Arial" w:hAnsi="Arial" w:eastAsia="Times New Roman" w:cs="Arial"/>
                <w:color w:val="000000"/>
                <w:sz w:val="20"/>
                <w:szCs w:val="20"/>
              </w:rPr>
            </w:pPr>
            <w:r w:rsidRPr="001D578A">
              <w:rPr>
                <w:rFonts w:ascii="Arial" w:hAnsi="Arial" w:eastAsia="Times New Roman" w:cs="Arial"/>
                <w:b/>
                <w:bCs/>
                <w:color w:val="000000"/>
                <w:sz w:val="20"/>
                <w:szCs w:val="20"/>
              </w:rPr>
              <w:t>Number of Respondents</w:t>
            </w:r>
          </w:p>
        </w:tc>
        <w:tc>
          <w:tcPr>
            <w:tcW w:w="608"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6A6F526A"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 xml:space="preserve">  </w:t>
            </w:r>
            <w:r w:rsidRPr="001D578A">
              <w:rPr>
                <w:rFonts w:ascii="Arial" w:hAnsi="Arial" w:eastAsia="Times New Roman" w:cs="Arial"/>
                <w:b/>
                <w:bCs/>
                <w:color w:val="000000"/>
                <w:sz w:val="20"/>
                <w:szCs w:val="20"/>
              </w:rPr>
              <w:t>Number of Responses per Respondent</w:t>
            </w:r>
          </w:p>
        </w:tc>
        <w:tc>
          <w:tcPr>
            <w:tcW w:w="536"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4BB9AE35" w14:textId="77777777">
            <w:pPr>
              <w:spacing w:after="0"/>
              <w:jc w:val="center"/>
              <w:rPr>
                <w:rFonts w:ascii="Arial" w:hAnsi="Arial" w:eastAsia="Times New Roman" w:cs="Arial"/>
                <w:color w:val="000000"/>
                <w:sz w:val="20"/>
                <w:szCs w:val="20"/>
              </w:rPr>
            </w:pPr>
            <w:r w:rsidRPr="001D578A">
              <w:rPr>
                <w:rFonts w:ascii="Arial" w:hAnsi="Arial" w:eastAsia="Times New Roman" w:cs="Arial"/>
                <w:b/>
                <w:bCs/>
                <w:color w:val="000000"/>
                <w:sz w:val="20"/>
                <w:szCs w:val="20"/>
              </w:rPr>
              <w:t>Number of Responses</w:t>
            </w:r>
            <w:r w:rsidRPr="001D578A">
              <w:rPr>
                <w:rFonts w:ascii="Arial" w:hAnsi="Arial" w:eastAsia="Times New Roman" w:cs="Arial"/>
                <w:color w:val="000000"/>
                <w:sz w:val="20"/>
                <w:szCs w:val="20"/>
              </w:rPr>
              <w:t xml:space="preserve"> </w:t>
            </w:r>
            <w:r w:rsidRPr="001D578A">
              <w:rPr>
                <w:rFonts w:ascii="Arial" w:hAnsi="Arial" w:eastAsia="Times New Roman" w:cs="Arial"/>
                <w:color w:val="000000"/>
                <w:sz w:val="20"/>
                <w:szCs w:val="20"/>
              </w:rPr>
              <w:br/>
            </w:r>
            <w:r w:rsidRPr="001D578A">
              <w:rPr>
                <w:rFonts w:ascii="Arial" w:hAnsi="Arial" w:eastAsia="Times New Roman" w:cs="Arial"/>
                <w:b/>
                <w:bCs/>
                <w:color w:val="000000"/>
                <w:sz w:val="20"/>
                <w:szCs w:val="20"/>
              </w:rPr>
              <w:t>(B * C)</w:t>
            </w:r>
          </w:p>
        </w:tc>
        <w:tc>
          <w:tcPr>
            <w:tcW w:w="543"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2D5D1134"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 xml:space="preserve"> </w:t>
            </w:r>
            <w:r w:rsidRPr="001D578A">
              <w:rPr>
                <w:rFonts w:ascii="Arial" w:hAnsi="Arial" w:eastAsia="Times New Roman" w:cs="Arial"/>
                <w:b/>
                <w:bCs/>
                <w:color w:val="000000"/>
                <w:sz w:val="20"/>
                <w:szCs w:val="20"/>
              </w:rPr>
              <w:t>Burden Hours per Response</w:t>
            </w:r>
          </w:p>
        </w:tc>
        <w:tc>
          <w:tcPr>
            <w:tcW w:w="503"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6669CB95"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Hourly Cost ($) per Response</w:t>
            </w:r>
          </w:p>
        </w:tc>
        <w:tc>
          <w:tcPr>
            <w:tcW w:w="619"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03B40F37"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 xml:space="preserve">Total Annual Burden Hours </w:t>
            </w:r>
          </w:p>
          <w:p w:rsidRPr="001D578A" w:rsidR="00CF1A2A" w:rsidP="001D578A" w:rsidRDefault="00CF1A2A" w14:paraId="2DB85CAA"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(D * E)</w:t>
            </w:r>
          </w:p>
        </w:tc>
        <w:tc>
          <w:tcPr>
            <w:tcW w:w="654"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14C7BBA1" w14:textId="77777777">
            <w:pPr>
              <w:spacing w:after="0"/>
              <w:jc w:val="center"/>
              <w:rPr>
                <w:rFonts w:ascii="Arial" w:hAnsi="Arial" w:eastAsia="Times New Roman" w:cs="Arial"/>
                <w:b/>
                <w:bCs/>
                <w:color w:val="000000"/>
                <w:sz w:val="20"/>
                <w:szCs w:val="20"/>
              </w:rPr>
            </w:pPr>
            <w:r w:rsidRPr="001D578A">
              <w:rPr>
                <w:rFonts w:ascii="Arial" w:hAnsi="Arial" w:eastAsia="Times New Roman" w:cs="Arial"/>
                <w:b/>
                <w:bCs/>
                <w:color w:val="000000"/>
                <w:sz w:val="20"/>
                <w:szCs w:val="20"/>
              </w:rPr>
              <w:t>Total Cost ($) (F * G)</w:t>
            </w:r>
          </w:p>
        </w:tc>
      </w:tr>
      <w:tr w:rsidRPr="00CD4F72" w:rsidR="00CF1A2A" w:rsidTr="001D578A" w14:paraId="3411E6D8" w14:textId="77777777">
        <w:trPr>
          <w:trHeight w:val="431"/>
        </w:trPr>
        <w:tc>
          <w:tcPr>
            <w:tcW w:w="5000" w:type="pct"/>
            <w:gridSpan w:val="8"/>
            <w:tcBorders>
              <w:top w:val="single" w:color="auto" w:sz="4" w:space="0"/>
              <w:left w:val="single" w:color="auto" w:sz="4" w:space="0"/>
              <w:bottom w:val="single" w:color="auto" w:sz="4" w:space="0"/>
              <w:right w:val="single" w:color="auto" w:sz="4" w:space="0"/>
            </w:tcBorders>
            <w:shd w:val="clear" w:color="000000" w:fill="EDEDED"/>
            <w:vAlign w:val="center"/>
            <w:hideMark/>
          </w:tcPr>
          <w:p w:rsidRPr="001D578A" w:rsidR="00CF1A2A" w:rsidP="001D578A" w:rsidRDefault="00CF1A2A" w14:paraId="3AB104CC" w14:textId="77777777">
            <w:pPr>
              <w:spacing w:after="0"/>
              <w:jc w:val="center"/>
              <w:rPr>
                <w:rFonts w:ascii="Arial" w:hAnsi="Arial" w:eastAsia="Times New Roman" w:cs="Arial"/>
                <w:i/>
                <w:iCs/>
                <w:color w:val="000000"/>
                <w:sz w:val="20"/>
                <w:szCs w:val="20"/>
              </w:rPr>
            </w:pPr>
            <w:r w:rsidRPr="001D578A">
              <w:rPr>
                <w:rFonts w:ascii="Arial" w:hAnsi="Arial" w:eastAsia="Times New Roman" w:cs="Arial"/>
                <w:i/>
                <w:iCs/>
                <w:color w:val="000000"/>
                <w:sz w:val="20"/>
                <w:szCs w:val="20"/>
              </w:rPr>
              <w:t>First Year, proposed incremental cost associated with the collection of reporting connections to an entity whose securities were acquired pursuant to a blanket authorization (Increase due to the March Notice)</w:t>
            </w:r>
          </w:p>
        </w:tc>
      </w:tr>
      <w:tr w:rsidRPr="00CD4F72" w:rsidR="00CF1A2A" w:rsidTr="001D578A" w14:paraId="556CA819" w14:textId="77777777">
        <w:trPr>
          <w:trHeight w:val="300"/>
        </w:trPr>
        <w:tc>
          <w:tcPr>
            <w:tcW w:w="953" w:type="pct"/>
            <w:tcBorders>
              <w:top w:val="nil"/>
              <w:left w:val="single" w:color="auto" w:sz="4" w:space="0"/>
              <w:bottom w:val="single" w:color="auto" w:sz="4" w:space="0"/>
              <w:right w:val="single" w:color="auto" w:sz="4" w:space="0"/>
            </w:tcBorders>
            <w:shd w:val="clear" w:color="auto" w:fill="auto"/>
            <w:noWrap/>
            <w:vAlign w:val="center"/>
            <w:hideMark/>
          </w:tcPr>
          <w:p w:rsidRPr="001D578A" w:rsidR="00CF1A2A" w:rsidP="001D578A" w:rsidRDefault="00CF1A2A" w14:paraId="2DD1B30D"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lastRenderedPageBreak/>
              <w:t>Impacted Sellers, as implemented in this Order</w:t>
            </w:r>
          </w:p>
        </w:tc>
        <w:tc>
          <w:tcPr>
            <w:tcW w:w="585"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60CED79B"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440</w:t>
            </w:r>
          </w:p>
        </w:tc>
        <w:tc>
          <w:tcPr>
            <w:tcW w:w="608"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7A3245FF"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1</w:t>
            </w:r>
          </w:p>
        </w:tc>
        <w:tc>
          <w:tcPr>
            <w:tcW w:w="536"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75B44F07"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440</w:t>
            </w:r>
          </w:p>
        </w:tc>
        <w:tc>
          <w:tcPr>
            <w:tcW w:w="543"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2148C870" w14:textId="42A94BB5">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2</w:t>
            </w:r>
            <w:r w:rsidR="00DE1540">
              <w:rPr>
                <w:rStyle w:val="FootnoteReference"/>
                <w:rFonts w:eastAsia="Times New Roman"/>
                <w:color w:val="000000"/>
                <w:szCs w:val="20"/>
              </w:rPr>
              <w:footnoteReference w:id="18"/>
            </w:r>
          </w:p>
        </w:tc>
        <w:tc>
          <w:tcPr>
            <w:tcW w:w="503"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003E4523"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88.54</w:t>
            </w:r>
          </w:p>
        </w:tc>
        <w:tc>
          <w:tcPr>
            <w:tcW w:w="619"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6FEEF806"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880</w:t>
            </w:r>
          </w:p>
        </w:tc>
        <w:tc>
          <w:tcPr>
            <w:tcW w:w="654"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6A6732" w14:paraId="3DADF3BE" w14:textId="495CB7CE">
            <w:pPr>
              <w:spacing w:after="0"/>
              <w:jc w:val="right"/>
              <w:rPr>
                <w:rFonts w:ascii="Arial" w:hAnsi="Arial" w:eastAsia="Times New Roman" w:cs="Arial"/>
                <w:color w:val="000000"/>
                <w:sz w:val="20"/>
                <w:szCs w:val="20"/>
              </w:rPr>
            </w:pPr>
            <w:r w:rsidRPr="001D578A">
              <w:rPr>
                <w:rFonts w:ascii="Arial" w:hAnsi="Arial" w:eastAsia="Times New Roman" w:cs="Arial"/>
                <w:color w:val="000000"/>
                <w:sz w:val="20"/>
                <w:szCs w:val="20"/>
              </w:rPr>
              <w:t>$</w:t>
            </w:r>
            <w:r w:rsidRPr="001D578A" w:rsidR="00CF1A2A">
              <w:rPr>
                <w:rFonts w:ascii="Arial" w:hAnsi="Arial" w:eastAsia="Times New Roman" w:cs="Arial"/>
                <w:color w:val="000000"/>
                <w:sz w:val="20"/>
                <w:szCs w:val="20"/>
              </w:rPr>
              <w:t>77,915.20</w:t>
            </w:r>
          </w:p>
        </w:tc>
      </w:tr>
      <w:tr w:rsidRPr="00CD4F72" w:rsidR="00CF1A2A" w:rsidTr="001F4FA0" w14:paraId="0AD71B9F" w14:textId="77777777">
        <w:trPr>
          <w:trHeight w:val="360"/>
        </w:trPr>
        <w:tc>
          <w:tcPr>
            <w:tcW w:w="5000" w:type="pct"/>
            <w:gridSpan w:val="8"/>
            <w:tcBorders>
              <w:top w:val="single" w:color="auto" w:sz="4" w:space="0"/>
              <w:left w:val="single" w:color="auto" w:sz="4" w:space="0"/>
              <w:right w:val="single" w:color="auto" w:sz="4" w:space="0"/>
            </w:tcBorders>
            <w:shd w:val="clear" w:color="000000" w:fill="EDEDED"/>
            <w:vAlign w:val="center"/>
            <w:hideMark/>
          </w:tcPr>
          <w:p w:rsidRPr="001D578A" w:rsidR="00CF1A2A" w:rsidP="001D578A" w:rsidRDefault="00CF1A2A" w14:paraId="4479AC63" w14:textId="5D620E61">
            <w:pPr>
              <w:spacing w:after="0"/>
              <w:jc w:val="center"/>
              <w:rPr>
                <w:rFonts w:ascii="Arial" w:hAnsi="Arial" w:eastAsia="Times New Roman" w:cs="Arial"/>
                <w:i/>
                <w:iCs/>
                <w:color w:val="000000"/>
                <w:sz w:val="20"/>
                <w:szCs w:val="20"/>
              </w:rPr>
            </w:pPr>
            <w:r w:rsidRPr="001D578A">
              <w:rPr>
                <w:rFonts w:ascii="Arial" w:hAnsi="Arial" w:eastAsia="Times New Roman" w:cs="Arial"/>
                <w:i/>
                <w:iCs/>
                <w:color w:val="000000"/>
                <w:sz w:val="20"/>
                <w:szCs w:val="20"/>
              </w:rPr>
              <w:t xml:space="preserve">Ongoing (beginning in Year </w:t>
            </w:r>
            <w:r w:rsidRPr="001D578A" w:rsidR="00203D42">
              <w:rPr>
                <w:rFonts w:ascii="Arial" w:hAnsi="Arial" w:eastAsia="Times New Roman" w:cs="Arial"/>
                <w:i/>
                <w:iCs/>
                <w:color w:val="000000"/>
                <w:sz w:val="20"/>
                <w:szCs w:val="20"/>
              </w:rPr>
              <w:t>2</w:t>
            </w:r>
            <w:r w:rsidRPr="001D578A">
              <w:rPr>
                <w:rFonts w:ascii="Arial" w:hAnsi="Arial" w:eastAsia="Times New Roman" w:cs="Arial"/>
                <w:i/>
                <w:iCs/>
                <w:color w:val="000000"/>
                <w:sz w:val="20"/>
                <w:szCs w:val="20"/>
              </w:rPr>
              <w:t>) collection of reporting connections to an entity whose securities were acquired pursuant to a blanket authorization</w:t>
            </w:r>
          </w:p>
        </w:tc>
      </w:tr>
      <w:tr w:rsidRPr="00CD4F72" w:rsidR="00CF1A2A" w:rsidTr="001D578A" w14:paraId="0F2B41BB" w14:textId="77777777">
        <w:trPr>
          <w:trHeight w:val="300"/>
        </w:trPr>
        <w:tc>
          <w:tcPr>
            <w:tcW w:w="953" w:type="pct"/>
            <w:tcBorders>
              <w:top w:val="nil"/>
              <w:left w:val="single" w:color="auto" w:sz="4" w:space="0"/>
              <w:bottom w:val="double" w:color="auto" w:sz="4" w:space="0"/>
              <w:right w:val="single" w:color="auto" w:sz="4" w:space="0"/>
            </w:tcBorders>
            <w:shd w:val="clear" w:color="auto" w:fill="auto"/>
            <w:noWrap/>
            <w:vAlign w:val="center"/>
            <w:hideMark/>
          </w:tcPr>
          <w:p w:rsidRPr="001D578A" w:rsidR="00CF1A2A" w:rsidP="001D578A" w:rsidRDefault="00CF1A2A" w14:paraId="794B6B70"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Impacted Sellers, as implemented in this Order</w:t>
            </w:r>
          </w:p>
        </w:tc>
        <w:tc>
          <w:tcPr>
            <w:tcW w:w="585" w:type="pct"/>
            <w:tcBorders>
              <w:top w:val="nil"/>
              <w:left w:val="nil"/>
              <w:bottom w:val="double" w:color="auto" w:sz="4" w:space="0"/>
              <w:right w:val="single" w:color="auto" w:sz="4" w:space="0"/>
            </w:tcBorders>
            <w:shd w:val="clear" w:color="auto" w:fill="auto"/>
            <w:noWrap/>
            <w:vAlign w:val="center"/>
            <w:hideMark/>
          </w:tcPr>
          <w:p w:rsidRPr="001D578A" w:rsidR="00CF1A2A" w:rsidP="001D578A" w:rsidRDefault="00CF1A2A" w14:paraId="5D65AF3B"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440</w:t>
            </w:r>
          </w:p>
        </w:tc>
        <w:tc>
          <w:tcPr>
            <w:tcW w:w="608" w:type="pct"/>
            <w:tcBorders>
              <w:top w:val="nil"/>
              <w:left w:val="nil"/>
              <w:bottom w:val="double" w:color="auto" w:sz="4" w:space="0"/>
              <w:right w:val="single" w:color="auto" w:sz="4" w:space="0"/>
            </w:tcBorders>
            <w:shd w:val="clear" w:color="auto" w:fill="auto"/>
            <w:noWrap/>
            <w:vAlign w:val="center"/>
            <w:hideMark/>
          </w:tcPr>
          <w:p w:rsidRPr="001D578A" w:rsidR="00CF1A2A" w:rsidP="001D578A" w:rsidRDefault="00CF1A2A" w14:paraId="21005AE7"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1</w:t>
            </w:r>
          </w:p>
        </w:tc>
        <w:tc>
          <w:tcPr>
            <w:tcW w:w="536" w:type="pct"/>
            <w:tcBorders>
              <w:top w:val="nil"/>
              <w:left w:val="nil"/>
              <w:bottom w:val="double" w:color="auto" w:sz="4" w:space="0"/>
              <w:right w:val="single" w:color="auto" w:sz="4" w:space="0"/>
            </w:tcBorders>
            <w:shd w:val="clear" w:color="auto" w:fill="auto"/>
            <w:noWrap/>
            <w:vAlign w:val="center"/>
            <w:hideMark/>
          </w:tcPr>
          <w:p w:rsidRPr="001D578A" w:rsidR="00CF1A2A" w:rsidP="001D578A" w:rsidRDefault="00CF1A2A" w14:paraId="25AC1C0C"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440</w:t>
            </w:r>
          </w:p>
        </w:tc>
        <w:tc>
          <w:tcPr>
            <w:tcW w:w="543" w:type="pct"/>
            <w:tcBorders>
              <w:top w:val="nil"/>
              <w:left w:val="nil"/>
              <w:bottom w:val="double" w:color="auto" w:sz="4" w:space="0"/>
              <w:right w:val="single" w:color="auto" w:sz="4" w:space="0"/>
            </w:tcBorders>
            <w:shd w:val="clear" w:color="auto" w:fill="auto"/>
            <w:noWrap/>
            <w:vAlign w:val="center"/>
            <w:hideMark/>
          </w:tcPr>
          <w:p w:rsidRPr="001D578A" w:rsidR="00CF1A2A" w:rsidP="001D578A" w:rsidRDefault="00CF1A2A" w14:paraId="56BCC0D0"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68</w:t>
            </w:r>
          </w:p>
        </w:tc>
        <w:tc>
          <w:tcPr>
            <w:tcW w:w="503" w:type="pct"/>
            <w:tcBorders>
              <w:top w:val="nil"/>
              <w:left w:val="nil"/>
              <w:bottom w:val="double" w:color="auto" w:sz="4" w:space="0"/>
              <w:right w:val="single" w:color="auto" w:sz="4" w:space="0"/>
            </w:tcBorders>
            <w:shd w:val="clear" w:color="auto" w:fill="auto"/>
            <w:noWrap/>
            <w:vAlign w:val="center"/>
            <w:hideMark/>
          </w:tcPr>
          <w:p w:rsidRPr="001D578A" w:rsidR="00CF1A2A" w:rsidP="001D578A" w:rsidRDefault="00CF1A2A" w14:paraId="223DDE34"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88.54</w:t>
            </w:r>
          </w:p>
        </w:tc>
        <w:tc>
          <w:tcPr>
            <w:tcW w:w="619" w:type="pct"/>
            <w:tcBorders>
              <w:top w:val="nil"/>
              <w:left w:val="nil"/>
              <w:bottom w:val="double" w:color="auto" w:sz="4" w:space="0"/>
              <w:right w:val="single" w:color="auto" w:sz="4" w:space="0"/>
            </w:tcBorders>
            <w:shd w:val="clear" w:color="auto" w:fill="auto"/>
            <w:vAlign w:val="center"/>
            <w:hideMark/>
          </w:tcPr>
          <w:p w:rsidRPr="001D578A" w:rsidR="00CF1A2A" w:rsidP="001D578A" w:rsidRDefault="00CF1A2A" w14:paraId="3A824749"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29,920</w:t>
            </w:r>
          </w:p>
        </w:tc>
        <w:tc>
          <w:tcPr>
            <w:tcW w:w="654" w:type="pct"/>
            <w:tcBorders>
              <w:top w:val="nil"/>
              <w:left w:val="nil"/>
              <w:bottom w:val="double" w:color="auto" w:sz="4" w:space="0"/>
              <w:right w:val="single" w:color="auto" w:sz="4" w:space="0"/>
            </w:tcBorders>
            <w:shd w:val="clear" w:color="auto" w:fill="auto"/>
            <w:noWrap/>
            <w:vAlign w:val="center"/>
            <w:hideMark/>
          </w:tcPr>
          <w:p w:rsidRPr="001D578A" w:rsidR="00CF1A2A" w:rsidP="001D578A" w:rsidRDefault="006A6732" w14:paraId="32F57F8E" w14:textId="5D086C79">
            <w:pPr>
              <w:spacing w:after="0"/>
              <w:jc w:val="right"/>
              <w:rPr>
                <w:rFonts w:ascii="Arial" w:hAnsi="Arial" w:eastAsia="Times New Roman" w:cs="Arial"/>
                <w:color w:val="000000"/>
                <w:sz w:val="20"/>
                <w:szCs w:val="20"/>
              </w:rPr>
            </w:pPr>
            <w:r w:rsidRPr="001D578A">
              <w:rPr>
                <w:rFonts w:ascii="Arial" w:hAnsi="Arial" w:eastAsia="Times New Roman" w:cs="Arial"/>
                <w:color w:val="000000"/>
                <w:sz w:val="20"/>
                <w:szCs w:val="20"/>
              </w:rPr>
              <w:t>$</w:t>
            </w:r>
            <w:r w:rsidRPr="001D578A" w:rsidR="00CF1A2A">
              <w:rPr>
                <w:rFonts w:ascii="Arial" w:hAnsi="Arial" w:eastAsia="Times New Roman" w:cs="Arial"/>
                <w:color w:val="000000"/>
                <w:sz w:val="20"/>
                <w:szCs w:val="20"/>
              </w:rPr>
              <w:t>2,649,116.80</w:t>
            </w:r>
          </w:p>
        </w:tc>
      </w:tr>
      <w:tr w:rsidRPr="00CD4F72" w:rsidR="00CF1A2A" w:rsidTr="001D578A" w14:paraId="4D52DC6E" w14:textId="77777777">
        <w:trPr>
          <w:trHeight w:val="951"/>
        </w:trPr>
        <w:tc>
          <w:tcPr>
            <w:tcW w:w="953" w:type="pct"/>
            <w:tcBorders>
              <w:top w:val="double" w:color="auto" w:sz="4" w:space="0"/>
              <w:left w:val="single" w:color="auto" w:sz="4" w:space="0"/>
              <w:bottom w:val="single" w:color="auto" w:sz="4" w:space="0"/>
              <w:right w:val="single" w:color="auto" w:sz="4" w:space="0"/>
            </w:tcBorders>
            <w:shd w:val="clear" w:color="auto" w:fill="EEECE1" w:themeFill="background2"/>
            <w:noWrap/>
            <w:vAlign w:val="center"/>
          </w:tcPr>
          <w:p w:rsidRPr="001D578A" w:rsidR="00CF1A2A" w:rsidP="001D578A" w:rsidRDefault="00CF1A2A" w14:paraId="09855FEE" w14:textId="77777777">
            <w:pPr>
              <w:spacing w:after="0"/>
              <w:jc w:val="center"/>
              <w:rPr>
                <w:rFonts w:ascii="Arial" w:hAnsi="Arial" w:eastAsia="Times New Roman" w:cs="Arial"/>
                <w:b/>
                <w:color w:val="000000"/>
                <w:sz w:val="20"/>
                <w:szCs w:val="20"/>
              </w:rPr>
            </w:pPr>
            <w:r w:rsidRPr="001D578A">
              <w:rPr>
                <w:rFonts w:ascii="Arial" w:hAnsi="Arial" w:eastAsia="Times New Roman" w:cs="Arial"/>
                <w:b/>
                <w:color w:val="000000"/>
                <w:sz w:val="20"/>
                <w:szCs w:val="20"/>
              </w:rPr>
              <w:t>Total Burden for Impacted Sellers in this Order</w:t>
            </w:r>
          </w:p>
        </w:tc>
        <w:tc>
          <w:tcPr>
            <w:tcW w:w="585" w:type="pct"/>
            <w:tcBorders>
              <w:top w:val="double" w:color="auto" w:sz="4" w:space="0"/>
              <w:left w:val="nil"/>
              <w:bottom w:val="single" w:color="auto" w:sz="4" w:space="0"/>
              <w:right w:val="single" w:color="auto" w:sz="4" w:space="0"/>
            </w:tcBorders>
            <w:shd w:val="clear" w:color="auto" w:fill="EEECE1" w:themeFill="background2"/>
            <w:noWrap/>
            <w:vAlign w:val="center"/>
          </w:tcPr>
          <w:p w:rsidRPr="001D578A" w:rsidR="00CF1A2A" w:rsidP="001D578A" w:rsidRDefault="00CF1A2A" w14:paraId="5CBDDB64" w14:textId="77777777">
            <w:pPr>
              <w:spacing w:after="0"/>
              <w:jc w:val="center"/>
              <w:rPr>
                <w:rFonts w:ascii="Arial" w:hAnsi="Arial" w:eastAsia="Times New Roman" w:cs="Arial"/>
                <w:b/>
                <w:color w:val="000000"/>
                <w:sz w:val="20"/>
                <w:szCs w:val="20"/>
              </w:rPr>
            </w:pPr>
            <w:r w:rsidRPr="001D578A">
              <w:rPr>
                <w:rFonts w:ascii="Arial" w:hAnsi="Arial" w:eastAsia="Times New Roman" w:cs="Arial"/>
                <w:b/>
                <w:color w:val="000000"/>
                <w:sz w:val="20"/>
                <w:szCs w:val="20"/>
              </w:rPr>
              <w:t>440</w:t>
            </w:r>
          </w:p>
        </w:tc>
        <w:tc>
          <w:tcPr>
            <w:tcW w:w="608" w:type="pct"/>
            <w:tcBorders>
              <w:top w:val="double" w:color="auto" w:sz="4" w:space="0"/>
              <w:left w:val="nil"/>
              <w:bottom w:val="single" w:color="auto" w:sz="4" w:space="0"/>
              <w:right w:val="single" w:color="auto" w:sz="4" w:space="0"/>
            </w:tcBorders>
            <w:shd w:val="clear" w:color="auto" w:fill="EEECE1" w:themeFill="background2"/>
            <w:noWrap/>
            <w:vAlign w:val="center"/>
          </w:tcPr>
          <w:p w:rsidRPr="001D578A" w:rsidR="00CF1A2A" w:rsidP="001D578A" w:rsidRDefault="00CF1A2A" w14:paraId="7A96726D" w14:textId="77777777">
            <w:pPr>
              <w:spacing w:after="0"/>
              <w:jc w:val="center"/>
              <w:rPr>
                <w:rFonts w:ascii="Arial" w:hAnsi="Arial" w:eastAsia="Times New Roman" w:cs="Arial"/>
                <w:b/>
                <w:color w:val="000000"/>
                <w:sz w:val="20"/>
                <w:szCs w:val="20"/>
              </w:rPr>
            </w:pPr>
            <w:r w:rsidRPr="001D578A">
              <w:rPr>
                <w:rFonts w:ascii="Arial" w:hAnsi="Arial" w:eastAsia="Times New Roman" w:cs="Arial"/>
                <w:b/>
                <w:color w:val="000000"/>
                <w:sz w:val="20"/>
                <w:szCs w:val="20"/>
              </w:rPr>
              <w:t>1</w:t>
            </w:r>
          </w:p>
        </w:tc>
        <w:tc>
          <w:tcPr>
            <w:tcW w:w="536" w:type="pct"/>
            <w:tcBorders>
              <w:top w:val="double" w:color="auto" w:sz="4" w:space="0"/>
              <w:left w:val="nil"/>
              <w:bottom w:val="single" w:color="auto" w:sz="4" w:space="0"/>
              <w:right w:val="single" w:color="auto" w:sz="4" w:space="0"/>
            </w:tcBorders>
            <w:shd w:val="clear" w:color="auto" w:fill="EEECE1" w:themeFill="background2"/>
            <w:noWrap/>
            <w:vAlign w:val="center"/>
          </w:tcPr>
          <w:p w:rsidRPr="001D578A" w:rsidR="00CF1A2A" w:rsidP="001D578A" w:rsidRDefault="00CF1A2A" w14:paraId="78B0BD66" w14:textId="77777777">
            <w:pPr>
              <w:spacing w:after="0"/>
              <w:jc w:val="center"/>
              <w:rPr>
                <w:rFonts w:ascii="Arial" w:hAnsi="Arial" w:eastAsia="Times New Roman" w:cs="Arial"/>
                <w:b/>
                <w:color w:val="000000"/>
                <w:sz w:val="20"/>
                <w:szCs w:val="20"/>
              </w:rPr>
            </w:pPr>
            <w:r w:rsidRPr="001D578A">
              <w:rPr>
                <w:rFonts w:ascii="Arial" w:hAnsi="Arial" w:eastAsia="Times New Roman" w:cs="Arial"/>
                <w:b/>
                <w:color w:val="000000"/>
                <w:sz w:val="20"/>
                <w:szCs w:val="20"/>
              </w:rPr>
              <w:t>440</w:t>
            </w:r>
          </w:p>
        </w:tc>
        <w:tc>
          <w:tcPr>
            <w:tcW w:w="543" w:type="pct"/>
            <w:tcBorders>
              <w:top w:val="double" w:color="auto" w:sz="4" w:space="0"/>
              <w:left w:val="nil"/>
              <w:bottom w:val="single" w:color="auto" w:sz="4" w:space="0"/>
              <w:right w:val="single" w:color="auto" w:sz="4" w:space="0"/>
            </w:tcBorders>
            <w:shd w:val="clear" w:color="auto" w:fill="EEECE1" w:themeFill="background2"/>
            <w:noWrap/>
            <w:vAlign w:val="center"/>
          </w:tcPr>
          <w:p w:rsidRPr="001D578A" w:rsidR="00CF1A2A" w:rsidP="001D578A" w:rsidRDefault="00CF1A2A" w14:paraId="2F5EF15C" w14:textId="77777777">
            <w:pPr>
              <w:spacing w:after="0"/>
              <w:jc w:val="center"/>
              <w:rPr>
                <w:rFonts w:ascii="Arial" w:hAnsi="Arial" w:eastAsia="Times New Roman" w:cs="Arial"/>
                <w:b/>
                <w:color w:val="000000"/>
                <w:sz w:val="20"/>
                <w:szCs w:val="20"/>
              </w:rPr>
            </w:pPr>
            <w:r w:rsidRPr="001D578A">
              <w:rPr>
                <w:rFonts w:ascii="Arial" w:hAnsi="Arial" w:eastAsia="Times New Roman" w:cs="Arial"/>
                <w:b/>
                <w:color w:val="000000"/>
                <w:sz w:val="20"/>
                <w:szCs w:val="20"/>
              </w:rPr>
              <w:t>70</w:t>
            </w:r>
          </w:p>
        </w:tc>
        <w:tc>
          <w:tcPr>
            <w:tcW w:w="503" w:type="pct"/>
            <w:tcBorders>
              <w:top w:val="double" w:color="auto" w:sz="4" w:space="0"/>
              <w:left w:val="nil"/>
              <w:bottom w:val="single" w:color="auto" w:sz="4" w:space="0"/>
              <w:right w:val="single" w:color="auto" w:sz="4" w:space="0"/>
            </w:tcBorders>
            <w:shd w:val="clear" w:color="auto" w:fill="EEECE1" w:themeFill="background2"/>
            <w:noWrap/>
            <w:vAlign w:val="center"/>
          </w:tcPr>
          <w:p w:rsidRPr="001D578A" w:rsidR="00CF1A2A" w:rsidP="001D578A" w:rsidRDefault="00CF1A2A" w14:paraId="685E2146" w14:textId="77777777">
            <w:pPr>
              <w:spacing w:after="0"/>
              <w:jc w:val="center"/>
              <w:rPr>
                <w:rFonts w:ascii="Arial" w:hAnsi="Arial" w:eastAsia="Times New Roman" w:cs="Arial"/>
                <w:b/>
                <w:color w:val="000000"/>
                <w:sz w:val="20"/>
                <w:szCs w:val="20"/>
              </w:rPr>
            </w:pPr>
            <w:r w:rsidRPr="001D578A">
              <w:rPr>
                <w:rFonts w:ascii="Arial" w:hAnsi="Arial" w:eastAsia="Times New Roman" w:cs="Arial"/>
                <w:b/>
                <w:color w:val="000000"/>
                <w:sz w:val="20"/>
                <w:szCs w:val="20"/>
              </w:rPr>
              <w:t>88.54</w:t>
            </w:r>
          </w:p>
        </w:tc>
        <w:tc>
          <w:tcPr>
            <w:tcW w:w="619" w:type="pct"/>
            <w:tcBorders>
              <w:top w:val="double" w:color="auto" w:sz="4" w:space="0"/>
              <w:left w:val="nil"/>
              <w:bottom w:val="single" w:color="auto" w:sz="4" w:space="0"/>
              <w:right w:val="single" w:color="auto" w:sz="4" w:space="0"/>
            </w:tcBorders>
            <w:shd w:val="clear" w:color="auto" w:fill="EEECE1" w:themeFill="background2"/>
            <w:vAlign w:val="center"/>
          </w:tcPr>
          <w:p w:rsidRPr="001D578A" w:rsidR="00CF1A2A" w:rsidP="001D578A" w:rsidRDefault="00CF1A2A" w14:paraId="7E2F65E0" w14:textId="77777777">
            <w:pPr>
              <w:spacing w:after="0"/>
              <w:jc w:val="center"/>
              <w:rPr>
                <w:rFonts w:ascii="Arial" w:hAnsi="Arial" w:eastAsia="Times New Roman" w:cs="Arial"/>
                <w:b/>
                <w:color w:val="000000"/>
                <w:sz w:val="20"/>
                <w:szCs w:val="20"/>
              </w:rPr>
            </w:pPr>
            <w:r w:rsidRPr="001D578A">
              <w:rPr>
                <w:rFonts w:ascii="Arial" w:hAnsi="Arial" w:eastAsia="Times New Roman" w:cs="Arial"/>
                <w:b/>
                <w:color w:val="000000"/>
                <w:sz w:val="20"/>
                <w:szCs w:val="20"/>
              </w:rPr>
              <w:t>30,800</w:t>
            </w:r>
          </w:p>
        </w:tc>
        <w:tc>
          <w:tcPr>
            <w:tcW w:w="654" w:type="pct"/>
            <w:tcBorders>
              <w:top w:val="double" w:color="auto" w:sz="4" w:space="0"/>
              <w:left w:val="nil"/>
              <w:bottom w:val="single" w:color="auto" w:sz="4" w:space="0"/>
              <w:right w:val="single" w:color="auto" w:sz="4" w:space="0"/>
            </w:tcBorders>
            <w:shd w:val="clear" w:color="auto" w:fill="EEECE1" w:themeFill="background2"/>
            <w:noWrap/>
            <w:vAlign w:val="center"/>
          </w:tcPr>
          <w:p w:rsidRPr="001D578A" w:rsidR="00CF1A2A" w:rsidP="001D578A" w:rsidRDefault="006A6732" w14:paraId="7B642E58" w14:textId="438DBDD5">
            <w:pPr>
              <w:spacing w:after="0"/>
              <w:jc w:val="right"/>
              <w:rPr>
                <w:rFonts w:ascii="Arial" w:hAnsi="Arial" w:eastAsia="Times New Roman" w:cs="Arial"/>
                <w:b/>
                <w:color w:val="000000"/>
                <w:sz w:val="20"/>
                <w:szCs w:val="20"/>
              </w:rPr>
            </w:pPr>
            <w:r w:rsidRPr="001D578A">
              <w:rPr>
                <w:rFonts w:ascii="Arial" w:hAnsi="Arial" w:eastAsia="Times New Roman" w:cs="Arial"/>
                <w:b/>
                <w:color w:val="000000"/>
                <w:sz w:val="20"/>
                <w:szCs w:val="20"/>
              </w:rPr>
              <w:t>$</w:t>
            </w:r>
            <w:r w:rsidRPr="001D578A" w:rsidR="00CF1A2A">
              <w:rPr>
                <w:rFonts w:ascii="Arial" w:hAnsi="Arial" w:eastAsia="Times New Roman" w:cs="Arial"/>
                <w:b/>
                <w:color w:val="000000"/>
                <w:sz w:val="20"/>
                <w:szCs w:val="20"/>
              </w:rPr>
              <w:t>2,727,032.00</w:t>
            </w:r>
          </w:p>
        </w:tc>
      </w:tr>
      <w:tr w:rsidRPr="00CD4F72" w:rsidR="00CF1A2A" w:rsidTr="001F4FA0" w14:paraId="56EEDB81" w14:textId="77777777">
        <w:trPr>
          <w:trHeight w:val="300"/>
        </w:trPr>
        <w:tc>
          <w:tcPr>
            <w:tcW w:w="5000" w:type="pct"/>
            <w:gridSpan w:val="8"/>
            <w:tcBorders>
              <w:top w:val="nil"/>
              <w:left w:val="single" w:color="auto" w:sz="4" w:space="0"/>
              <w:bottom w:val="single" w:color="auto" w:sz="4" w:space="0"/>
              <w:right w:val="single" w:color="auto" w:sz="4" w:space="0"/>
            </w:tcBorders>
            <w:shd w:val="clear" w:color="auto" w:fill="auto"/>
            <w:noWrap/>
            <w:vAlign w:val="center"/>
          </w:tcPr>
          <w:p w:rsidRPr="001D578A" w:rsidR="00CF1A2A" w:rsidP="001D578A" w:rsidRDefault="001D0482" w14:paraId="7EDF488A" w14:textId="3A9C0807">
            <w:pPr>
              <w:spacing w:after="0"/>
              <w:jc w:val="center"/>
              <w:rPr>
                <w:rFonts w:ascii="Arial" w:hAnsi="Arial" w:eastAsia="Times New Roman" w:cs="Arial"/>
                <w:i/>
                <w:iCs/>
                <w:color w:val="000000"/>
                <w:sz w:val="20"/>
                <w:szCs w:val="20"/>
                <w:highlight w:val="yellow"/>
              </w:rPr>
            </w:pPr>
            <w:r w:rsidRPr="0061662A">
              <w:rPr>
                <w:rFonts w:ascii="Arial" w:hAnsi="Arial" w:eastAsia="Times New Roman" w:cs="Arial"/>
                <w:i/>
                <w:iCs/>
                <w:color w:val="000000"/>
                <w:sz w:val="20"/>
                <w:szCs w:val="20"/>
              </w:rPr>
              <w:t xml:space="preserve">Impacted Sellers have an offsetting decrease in reporting </w:t>
            </w:r>
            <w:r w:rsidRPr="0061662A" w:rsidR="00830852">
              <w:rPr>
                <w:rFonts w:ascii="Arial" w:hAnsi="Arial" w:eastAsia="Times New Roman" w:cs="Arial"/>
                <w:i/>
                <w:iCs/>
                <w:color w:val="000000"/>
                <w:sz w:val="20"/>
                <w:szCs w:val="20"/>
              </w:rPr>
              <w:t>requirements</w:t>
            </w:r>
            <w:r w:rsidRPr="0061662A">
              <w:rPr>
                <w:rFonts w:ascii="Arial" w:hAnsi="Arial" w:eastAsia="Times New Roman" w:cs="Arial"/>
                <w:i/>
                <w:iCs/>
                <w:color w:val="000000"/>
                <w:sz w:val="20"/>
                <w:szCs w:val="20"/>
              </w:rPr>
              <w:t xml:space="preserve"> </w:t>
            </w:r>
            <w:r w:rsidRPr="0061662A" w:rsidR="005405EF">
              <w:rPr>
                <w:rFonts w:ascii="Arial" w:hAnsi="Arial" w:eastAsia="Times New Roman" w:cs="Arial"/>
                <w:i/>
                <w:iCs/>
                <w:color w:val="000000"/>
                <w:sz w:val="20"/>
                <w:szCs w:val="20"/>
              </w:rPr>
              <w:t xml:space="preserve">compared to those required to be </w:t>
            </w:r>
            <w:r w:rsidRPr="0061662A">
              <w:rPr>
                <w:rFonts w:ascii="Arial" w:hAnsi="Arial" w:eastAsia="Times New Roman" w:cs="Arial"/>
                <w:i/>
                <w:iCs/>
                <w:color w:val="000000"/>
                <w:sz w:val="20"/>
                <w:szCs w:val="20"/>
              </w:rPr>
              <w:t>reported in Order 860</w:t>
            </w:r>
            <w:r w:rsidRPr="001D578A" w:rsidR="00CF1A2A">
              <w:rPr>
                <w:rFonts w:ascii="Arial" w:hAnsi="Arial" w:eastAsia="Times New Roman" w:cs="Arial"/>
                <w:i/>
                <w:iCs/>
                <w:color w:val="000000"/>
                <w:sz w:val="20"/>
                <w:szCs w:val="20"/>
              </w:rPr>
              <w:t xml:space="preserve">.  </w:t>
            </w:r>
          </w:p>
        </w:tc>
      </w:tr>
      <w:tr w:rsidRPr="00CD4F72" w:rsidR="00CF1A2A" w:rsidTr="001D578A" w14:paraId="1E8572BF" w14:textId="77777777">
        <w:trPr>
          <w:trHeight w:val="480"/>
        </w:trPr>
        <w:tc>
          <w:tcPr>
            <w:tcW w:w="953" w:type="pct"/>
            <w:tcBorders>
              <w:top w:val="nil"/>
              <w:left w:val="single" w:color="auto" w:sz="4" w:space="0"/>
              <w:bottom w:val="single" w:color="auto" w:sz="4" w:space="0"/>
              <w:right w:val="single" w:color="auto" w:sz="4" w:space="0"/>
            </w:tcBorders>
            <w:shd w:val="clear" w:color="auto" w:fill="auto"/>
            <w:vAlign w:val="center"/>
            <w:hideMark/>
          </w:tcPr>
          <w:p w:rsidRPr="001D578A" w:rsidR="00CF1A2A" w:rsidP="001D578A" w:rsidRDefault="00830852" w14:paraId="2467C9FE" w14:textId="3FC27EAC">
            <w:pPr>
              <w:spacing w:after="0"/>
              <w:jc w:val="center"/>
              <w:rPr>
                <w:rFonts w:ascii="Arial" w:hAnsi="Arial" w:eastAsia="Times New Roman" w:cs="Arial"/>
                <w:color w:val="000000"/>
                <w:sz w:val="20"/>
                <w:szCs w:val="20"/>
              </w:rPr>
            </w:pPr>
            <w:r w:rsidRPr="0061662A">
              <w:rPr>
                <w:rFonts w:ascii="Arial" w:hAnsi="Arial" w:eastAsia="Times New Roman" w:cs="Arial"/>
                <w:i/>
                <w:iCs/>
                <w:color w:val="000000"/>
                <w:sz w:val="20"/>
                <w:szCs w:val="20"/>
              </w:rPr>
              <w:t xml:space="preserve">Reduction in Burden of Order 860 Reporting Requirements </w:t>
            </w:r>
            <w:r w:rsidRPr="0061662A">
              <w:rPr>
                <w:rFonts w:ascii="Arial" w:hAnsi="Arial" w:eastAsia="Times New Roman" w:cs="Arial"/>
                <w:color w:val="000000"/>
                <w:sz w:val="20"/>
                <w:szCs w:val="20"/>
              </w:rPr>
              <w:t xml:space="preserve">for </w:t>
            </w:r>
            <w:r w:rsidRPr="001D578A" w:rsidR="00CF1A2A">
              <w:rPr>
                <w:rFonts w:ascii="Arial" w:hAnsi="Arial" w:eastAsia="Times New Roman" w:cs="Arial"/>
                <w:color w:val="000000"/>
                <w:sz w:val="20"/>
                <w:szCs w:val="20"/>
              </w:rPr>
              <w:t>Impacted Sellers</w:t>
            </w:r>
            <w:r w:rsidRPr="001D578A" w:rsidR="00CF1A2A">
              <w:rPr>
                <w:rStyle w:val="FootnoteReference"/>
                <w:rFonts w:ascii="Arial" w:hAnsi="Arial" w:cs="Arial"/>
                <w:color w:val="000000"/>
                <w:sz w:val="20"/>
                <w:szCs w:val="20"/>
              </w:rPr>
              <w:footnoteReference w:id="19"/>
            </w:r>
          </w:p>
        </w:tc>
        <w:tc>
          <w:tcPr>
            <w:tcW w:w="585"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3CBCDEDB"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440</w:t>
            </w:r>
          </w:p>
        </w:tc>
        <w:tc>
          <w:tcPr>
            <w:tcW w:w="608"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34BE3946"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1</w:t>
            </w:r>
          </w:p>
        </w:tc>
        <w:tc>
          <w:tcPr>
            <w:tcW w:w="536"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00A7F160"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-440</w:t>
            </w:r>
          </w:p>
        </w:tc>
        <w:tc>
          <w:tcPr>
            <w:tcW w:w="543"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45E3932B"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70 [former estimate, being replaced]</w:t>
            </w:r>
          </w:p>
        </w:tc>
        <w:tc>
          <w:tcPr>
            <w:tcW w:w="503"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4691A14D"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88.54</w:t>
            </w:r>
          </w:p>
        </w:tc>
        <w:tc>
          <w:tcPr>
            <w:tcW w:w="619" w:type="pct"/>
            <w:tcBorders>
              <w:top w:val="nil"/>
              <w:left w:val="nil"/>
              <w:bottom w:val="single" w:color="auto" w:sz="4" w:space="0"/>
              <w:right w:val="single" w:color="auto" w:sz="4" w:space="0"/>
            </w:tcBorders>
            <w:shd w:val="clear" w:color="auto" w:fill="auto"/>
            <w:vAlign w:val="center"/>
            <w:hideMark/>
          </w:tcPr>
          <w:p w:rsidRPr="001D578A" w:rsidR="00CF1A2A" w:rsidP="001D578A" w:rsidRDefault="00CF1A2A" w14:paraId="5BE5F39E" w14:textId="77777777">
            <w:pPr>
              <w:spacing w:after="0"/>
              <w:jc w:val="center"/>
              <w:rPr>
                <w:rFonts w:ascii="Arial" w:hAnsi="Arial" w:eastAsia="Times New Roman" w:cs="Arial"/>
                <w:color w:val="000000"/>
                <w:sz w:val="20"/>
                <w:szCs w:val="20"/>
              </w:rPr>
            </w:pPr>
            <w:r w:rsidRPr="001D578A">
              <w:rPr>
                <w:rFonts w:ascii="Arial" w:hAnsi="Arial" w:eastAsia="Times New Roman" w:cs="Arial"/>
                <w:color w:val="000000"/>
                <w:sz w:val="20"/>
                <w:szCs w:val="20"/>
              </w:rPr>
              <w:t>-30,800 [former estimate, being replaced]</w:t>
            </w:r>
          </w:p>
        </w:tc>
        <w:tc>
          <w:tcPr>
            <w:tcW w:w="654" w:type="pct"/>
            <w:tcBorders>
              <w:top w:val="nil"/>
              <w:left w:val="nil"/>
              <w:bottom w:val="single" w:color="auto" w:sz="4" w:space="0"/>
              <w:right w:val="single" w:color="auto" w:sz="4" w:space="0"/>
            </w:tcBorders>
            <w:shd w:val="clear" w:color="auto" w:fill="auto"/>
            <w:noWrap/>
            <w:vAlign w:val="center"/>
            <w:hideMark/>
          </w:tcPr>
          <w:p w:rsidRPr="001D578A" w:rsidR="00CF1A2A" w:rsidP="001D578A" w:rsidRDefault="00CF1A2A" w14:paraId="1FBFDCC7" w14:textId="5360F321">
            <w:pPr>
              <w:spacing w:after="0"/>
              <w:rPr>
                <w:rFonts w:ascii="Arial" w:hAnsi="Arial" w:eastAsia="Times New Roman" w:cs="Arial"/>
                <w:color w:val="000000"/>
                <w:sz w:val="20"/>
                <w:szCs w:val="20"/>
              </w:rPr>
            </w:pPr>
            <w:r w:rsidRPr="001D578A">
              <w:rPr>
                <w:rFonts w:ascii="Arial" w:hAnsi="Arial" w:eastAsia="Times New Roman" w:cs="Arial"/>
                <w:color w:val="000000"/>
                <w:sz w:val="20"/>
                <w:szCs w:val="20"/>
              </w:rPr>
              <w:t>-</w:t>
            </w:r>
            <w:r w:rsidRPr="001D578A" w:rsidR="006A6732">
              <w:rPr>
                <w:rFonts w:ascii="Arial" w:hAnsi="Arial" w:eastAsia="Times New Roman" w:cs="Arial"/>
                <w:color w:val="000000"/>
                <w:sz w:val="20"/>
                <w:szCs w:val="20"/>
              </w:rPr>
              <w:t>$</w:t>
            </w:r>
            <w:r w:rsidRPr="001D578A">
              <w:rPr>
                <w:rFonts w:ascii="Arial" w:hAnsi="Arial" w:eastAsia="Times New Roman" w:cs="Arial"/>
                <w:color w:val="000000"/>
                <w:sz w:val="20"/>
                <w:szCs w:val="20"/>
              </w:rPr>
              <w:t>2,727,032.00 [former estimate, being replaced]</w:t>
            </w:r>
          </w:p>
        </w:tc>
      </w:tr>
      <w:tr w:rsidRPr="00CD4F72" w:rsidR="00CF1A2A" w:rsidTr="001F4FA0" w14:paraId="2627B221" w14:textId="77777777">
        <w:trPr>
          <w:trHeight w:val="300"/>
        </w:trPr>
        <w:tc>
          <w:tcPr>
            <w:tcW w:w="5000" w:type="pct"/>
            <w:gridSpan w:val="8"/>
            <w:tcBorders>
              <w:top w:val="single" w:color="auto" w:sz="4" w:space="0"/>
              <w:left w:val="single" w:color="auto" w:sz="4" w:space="0"/>
              <w:bottom w:val="single" w:color="auto" w:sz="4" w:space="0"/>
              <w:right w:val="single" w:color="auto" w:sz="4" w:space="0"/>
            </w:tcBorders>
            <w:vAlign w:val="center"/>
            <w:hideMark/>
          </w:tcPr>
          <w:p w:rsidRPr="001D578A" w:rsidR="00CF1A2A" w:rsidP="001D578A" w:rsidRDefault="00CF1A2A" w14:paraId="008FC290" w14:textId="0BC919D5">
            <w:pPr>
              <w:spacing w:after="0"/>
              <w:jc w:val="center"/>
              <w:rPr>
                <w:rFonts w:ascii="Arial" w:hAnsi="Arial" w:eastAsia="Times New Roman" w:cs="Arial"/>
                <w:color w:val="000000"/>
                <w:sz w:val="20"/>
                <w:szCs w:val="20"/>
              </w:rPr>
            </w:pPr>
            <w:r w:rsidRPr="001D578A">
              <w:rPr>
                <w:rFonts w:ascii="Arial" w:hAnsi="Arial" w:eastAsia="Times New Roman" w:cs="Arial"/>
                <w:b/>
                <w:bCs/>
                <w:color w:val="000000"/>
                <w:sz w:val="20"/>
                <w:szCs w:val="20"/>
              </w:rPr>
              <w:t xml:space="preserve">Therefore, there is no net change in burden </w:t>
            </w:r>
            <w:r w:rsidRPr="001D578A" w:rsidR="0044124E">
              <w:rPr>
                <w:rFonts w:ascii="Arial" w:hAnsi="Arial" w:eastAsia="Times New Roman" w:cs="Arial"/>
                <w:b/>
                <w:bCs/>
                <w:color w:val="000000"/>
                <w:sz w:val="20"/>
                <w:szCs w:val="20"/>
              </w:rPr>
              <w:t xml:space="preserve">for Impacted Sellers </w:t>
            </w:r>
            <w:r w:rsidRPr="001D578A">
              <w:rPr>
                <w:rFonts w:ascii="Arial" w:hAnsi="Arial" w:eastAsia="Times New Roman" w:cs="Arial"/>
                <w:b/>
                <w:bCs/>
                <w:color w:val="000000"/>
                <w:sz w:val="20"/>
                <w:szCs w:val="20"/>
              </w:rPr>
              <w:t>due to these revisions.</w:t>
            </w:r>
            <w:r w:rsidRPr="001D578A">
              <w:rPr>
                <w:rStyle w:val="FootnoteReference"/>
                <w:rFonts w:ascii="Arial" w:hAnsi="Arial" w:eastAsia="Times New Roman" w:cs="Arial"/>
                <w:bCs/>
                <w:color w:val="000000"/>
                <w:sz w:val="20"/>
                <w:szCs w:val="20"/>
              </w:rPr>
              <w:footnoteReference w:id="20"/>
            </w:r>
          </w:p>
        </w:tc>
      </w:tr>
    </w:tbl>
    <w:p w:rsidR="008E15C8" w:rsidP="00632B16" w:rsidRDefault="008E15C8" w14:paraId="238FE804" w14:textId="3F5602E4">
      <w:pPr>
        <w:spacing w:after="0" w:line="240" w:lineRule="auto"/>
        <w:rPr>
          <w:b/>
          <w:szCs w:val="24"/>
        </w:rPr>
      </w:pPr>
    </w:p>
    <w:p w:rsidRPr="00342C51" w:rsidR="00342C51" w:rsidP="00381E5C" w:rsidRDefault="00342C51" w14:paraId="5FA198C3" w14:textId="46E27A79">
      <w:pPr>
        <w:spacing w:after="0" w:line="240" w:lineRule="auto"/>
        <w:rPr>
          <w:noProof/>
          <w:szCs w:val="24"/>
        </w:rPr>
      </w:pPr>
      <w:r w:rsidRPr="001D578A">
        <w:rPr>
          <w:szCs w:val="24"/>
        </w:rPr>
        <w:t>There are approximately 2,647 Sellers that submit information into the relational database.  Six institutional investors currently have FPA section 203(a)(2) blanket authorizations, which collectively own approximately 110 upstream affiliates that themselves own Sellers.  In the March Notice</w:t>
      </w:r>
      <w:r w:rsidR="0061662A">
        <w:rPr>
          <w:szCs w:val="24"/>
        </w:rPr>
        <w:t>,</w:t>
      </w:r>
      <w:r w:rsidRPr="001D578A">
        <w:rPr>
          <w:szCs w:val="24"/>
        </w:rPr>
        <w:t xml:space="preserve"> the Commission estimated an average of four sellers for every ultimate upstream affiliate, equaling 440 affected respondents in total.  Of these 440 affected entities discussed in the Order, the Commission estimates that none of these will be small entities.  </w:t>
      </w:r>
    </w:p>
    <w:p w:rsidR="00E62596" w:rsidP="00381E5C" w:rsidRDefault="00E62596" w14:paraId="47A10249" w14:textId="20D997D5">
      <w:pPr>
        <w:spacing w:after="0" w:line="240" w:lineRule="auto"/>
        <w:rPr>
          <w:szCs w:val="24"/>
        </w:rPr>
      </w:pPr>
    </w:p>
    <w:p w:rsidR="00E62596" w:rsidP="00381E5C" w:rsidRDefault="00EC1220" w14:paraId="1AC2CA00" w14:textId="49973F6E">
      <w:pPr>
        <w:spacing w:after="0" w:line="240" w:lineRule="auto"/>
        <w:rPr>
          <w:szCs w:val="24"/>
        </w:rPr>
      </w:pPr>
      <w:r w:rsidRPr="00E70FCB">
        <w:rPr>
          <w:b/>
          <w:bCs/>
          <w:szCs w:val="24"/>
        </w:rPr>
        <w:t xml:space="preserve">New IC Due to August 2021 Order. </w:t>
      </w:r>
      <w:r>
        <w:rPr>
          <w:szCs w:val="24"/>
        </w:rPr>
        <w:t xml:space="preserve"> </w:t>
      </w:r>
      <w:r w:rsidR="00E62596">
        <w:rPr>
          <w:szCs w:val="24"/>
        </w:rPr>
        <w:t xml:space="preserve">For the purposes of </w:t>
      </w:r>
      <w:r w:rsidR="00A14893">
        <w:rPr>
          <w:szCs w:val="24"/>
        </w:rPr>
        <w:t xml:space="preserve">the </w:t>
      </w:r>
      <w:r w:rsidR="00E62596">
        <w:rPr>
          <w:szCs w:val="24"/>
        </w:rPr>
        <w:t xml:space="preserve">submittal to OMB </w:t>
      </w:r>
      <w:r w:rsidR="00A14893">
        <w:rPr>
          <w:szCs w:val="24"/>
        </w:rPr>
        <w:t>for PRA review</w:t>
      </w:r>
      <w:r w:rsidR="00E62596">
        <w:rPr>
          <w:szCs w:val="24"/>
        </w:rPr>
        <w:t xml:space="preserve">, we are averaging the burden </w:t>
      </w:r>
      <w:r w:rsidR="00A14893">
        <w:rPr>
          <w:szCs w:val="24"/>
        </w:rPr>
        <w:t xml:space="preserve">for the new IC </w:t>
      </w:r>
      <w:r w:rsidR="00E62596">
        <w:rPr>
          <w:szCs w:val="24"/>
        </w:rPr>
        <w:t xml:space="preserve">due to the August </w:t>
      </w:r>
      <w:r>
        <w:rPr>
          <w:szCs w:val="24"/>
        </w:rPr>
        <w:t xml:space="preserve">2021 </w:t>
      </w:r>
      <w:r w:rsidR="00E62596">
        <w:rPr>
          <w:szCs w:val="24"/>
        </w:rPr>
        <w:t xml:space="preserve">Order over </w:t>
      </w:r>
      <w:r w:rsidR="00E62596">
        <w:rPr>
          <w:szCs w:val="24"/>
        </w:rPr>
        <w:lastRenderedPageBreak/>
        <w:t xml:space="preserve">Years 1, 2, and 3 as </w:t>
      </w:r>
      <w:r w:rsidR="000B5E6A">
        <w:rPr>
          <w:szCs w:val="24"/>
        </w:rPr>
        <w:t>shown in Table 2</w:t>
      </w:r>
      <w:r w:rsidR="00E62596">
        <w:rPr>
          <w:szCs w:val="24"/>
        </w:rPr>
        <w:t>.</w:t>
      </w:r>
      <w:r>
        <w:rPr>
          <w:szCs w:val="24"/>
        </w:rPr>
        <w:t xml:space="preserve">  This new burden is offset by decreases elsewhere (in the existing ICs), giving no net change to the </w:t>
      </w:r>
      <w:r w:rsidR="000B5E6A">
        <w:rPr>
          <w:szCs w:val="24"/>
        </w:rPr>
        <w:t xml:space="preserve">total </w:t>
      </w:r>
      <w:r>
        <w:rPr>
          <w:szCs w:val="24"/>
        </w:rPr>
        <w:t>burden estimate</w:t>
      </w:r>
      <w:r w:rsidR="000B5E6A">
        <w:rPr>
          <w:szCs w:val="24"/>
        </w:rPr>
        <w:t xml:space="preserve"> for FERC-919A</w:t>
      </w:r>
      <w:r w:rsidR="003C488E">
        <w:rPr>
          <w:szCs w:val="24"/>
        </w:rPr>
        <w:t xml:space="preserve"> (other than the 1 hour of burden due to ROCIS rounding, as discussed in #15)</w:t>
      </w:r>
      <w:r>
        <w:rPr>
          <w:szCs w:val="24"/>
        </w:rPr>
        <w:t>.</w:t>
      </w:r>
    </w:p>
    <w:p w:rsidR="00EC1220" w:rsidP="00381E5C" w:rsidRDefault="00EC1220" w14:paraId="353D5E08" w14:textId="77777777">
      <w:pPr>
        <w:spacing w:after="0" w:line="240" w:lineRule="auto"/>
        <w:rPr>
          <w:szCs w:val="24"/>
        </w:rPr>
      </w:pPr>
    </w:p>
    <w:p w:rsidR="00B61E45" w:rsidRDefault="00B61E45" w14:paraId="584A63C6" w14:textId="77777777">
      <w:pPr>
        <w:rPr>
          <w:szCs w:val="24"/>
        </w:rPr>
      </w:pPr>
      <w:r>
        <w:rPr>
          <w:szCs w:val="24"/>
        </w:rPr>
        <w:br w:type="page"/>
      </w:r>
    </w:p>
    <w:p w:rsidR="00A14893" w:rsidP="00E70FCB" w:rsidRDefault="00EC1220" w14:paraId="2523B4AB" w14:textId="6845C95A">
      <w:pPr>
        <w:spacing w:after="0" w:line="240" w:lineRule="auto"/>
        <w:jc w:val="center"/>
        <w:rPr>
          <w:szCs w:val="24"/>
        </w:rPr>
      </w:pPr>
      <w:r>
        <w:rPr>
          <w:szCs w:val="24"/>
        </w:rPr>
        <w:t>Table 2</w:t>
      </w:r>
    </w:p>
    <w:tbl>
      <w:tblPr>
        <w:tblW w:w="9180" w:type="dxa"/>
        <w:tblInd w:w="612" w:type="dxa"/>
        <w:tblLook w:val="04A0" w:firstRow="1" w:lastRow="0" w:firstColumn="1" w:lastColumn="0" w:noHBand="0" w:noVBand="1"/>
      </w:tblPr>
      <w:tblGrid>
        <w:gridCol w:w="1942"/>
        <w:gridCol w:w="1610"/>
        <w:gridCol w:w="1579"/>
        <w:gridCol w:w="1390"/>
        <w:gridCol w:w="1268"/>
        <w:gridCol w:w="1391"/>
      </w:tblGrid>
      <w:tr w:rsidRPr="006B4862" w:rsidR="00A14893" w:rsidTr="00E70FCB" w14:paraId="5242AEA5" w14:textId="77777777">
        <w:trPr>
          <w:trHeight w:val="1152"/>
        </w:trPr>
        <w:tc>
          <w:tcPr>
            <w:tcW w:w="2070" w:type="dxa"/>
            <w:tcBorders>
              <w:top w:val="nil"/>
              <w:left w:val="nil"/>
              <w:bottom w:val="single" w:color="auto" w:sz="4" w:space="0"/>
              <w:right w:val="single" w:color="auto" w:sz="4" w:space="0"/>
            </w:tcBorders>
            <w:shd w:val="clear" w:color="auto" w:fill="auto"/>
            <w:vAlign w:val="bottom"/>
            <w:hideMark/>
          </w:tcPr>
          <w:p w:rsidRPr="00E70FCB" w:rsidR="00A14893" w:rsidP="00E70FCB" w:rsidRDefault="00A14893" w14:paraId="07AD7FFC" w14:textId="19DA0614">
            <w:pPr>
              <w:spacing w:after="0" w:line="240" w:lineRule="auto"/>
              <w:jc w:val="center"/>
              <w:rPr>
                <w:rFonts w:ascii="Arial" w:hAnsi="Arial" w:eastAsia="Times New Roman" w:cs="Arial"/>
                <w:b/>
                <w:bCs/>
                <w:color w:val="000000"/>
                <w:sz w:val="22"/>
              </w:rPr>
            </w:pPr>
            <w:r w:rsidRPr="00E70FCB">
              <w:rPr>
                <w:rFonts w:ascii="Arial" w:hAnsi="Arial" w:eastAsia="Times New Roman" w:cs="Arial"/>
                <w:b/>
                <w:bCs/>
                <w:color w:val="000000"/>
                <w:sz w:val="22"/>
              </w:rPr>
              <w:t xml:space="preserve">Information </w:t>
            </w:r>
            <w:r w:rsidR="006B4862">
              <w:rPr>
                <w:rFonts w:ascii="Arial" w:hAnsi="Arial" w:eastAsia="Times New Roman" w:cs="Arial"/>
                <w:b/>
                <w:bCs/>
                <w:color w:val="000000"/>
                <w:sz w:val="22"/>
              </w:rPr>
              <w:t>R</w:t>
            </w:r>
            <w:r w:rsidRPr="00E70FCB">
              <w:rPr>
                <w:rFonts w:ascii="Arial" w:hAnsi="Arial" w:eastAsia="Times New Roman" w:cs="Arial"/>
                <w:b/>
                <w:bCs/>
                <w:color w:val="000000"/>
                <w:sz w:val="22"/>
              </w:rPr>
              <w:t xml:space="preserve">elated to </w:t>
            </w:r>
            <w:r w:rsidR="006B4862">
              <w:rPr>
                <w:rFonts w:ascii="Arial" w:hAnsi="Arial" w:eastAsia="Times New Roman" w:cs="Arial"/>
                <w:b/>
                <w:bCs/>
                <w:color w:val="000000"/>
                <w:sz w:val="22"/>
              </w:rPr>
              <w:t>N</w:t>
            </w:r>
            <w:r w:rsidRPr="00E70FCB">
              <w:rPr>
                <w:rFonts w:ascii="Arial" w:hAnsi="Arial" w:eastAsia="Times New Roman" w:cs="Arial"/>
                <w:b/>
                <w:bCs/>
                <w:color w:val="000000"/>
                <w:sz w:val="22"/>
              </w:rPr>
              <w:t xml:space="preserve">ew IC for RM16-17, </w:t>
            </w:r>
            <w:r w:rsidRPr="00E70FCB" w:rsidR="003C488E">
              <w:rPr>
                <w:rFonts w:ascii="Arial" w:hAnsi="Arial" w:eastAsia="Times New Roman" w:cs="Arial"/>
                <w:b/>
                <w:bCs/>
                <w:color w:val="000000"/>
                <w:sz w:val="22"/>
              </w:rPr>
              <w:t xml:space="preserve">Due to </w:t>
            </w:r>
            <w:r w:rsidRPr="00E70FCB">
              <w:rPr>
                <w:rFonts w:ascii="Arial" w:hAnsi="Arial" w:eastAsia="Times New Roman" w:cs="Arial"/>
                <w:b/>
                <w:bCs/>
                <w:color w:val="000000"/>
                <w:sz w:val="22"/>
              </w:rPr>
              <w:t>August 2021 Order</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E70FCB" w:rsidRDefault="00A14893" w14:paraId="26139ED2" w14:textId="77777777">
            <w:pPr>
              <w:spacing w:after="0" w:line="240" w:lineRule="auto"/>
              <w:jc w:val="center"/>
              <w:rPr>
                <w:rFonts w:ascii="Arial" w:hAnsi="Arial" w:eastAsia="Times New Roman" w:cs="Arial"/>
                <w:b/>
                <w:bCs/>
                <w:color w:val="000000"/>
                <w:sz w:val="22"/>
              </w:rPr>
            </w:pPr>
            <w:r w:rsidRPr="00E70FCB">
              <w:rPr>
                <w:rFonts w:ascii="Arial" w:hAnsi="Arial" w:eastAsia="Times New Roman" w:cs="Arial"/>
                <w:b/>
                <w:bCs/>
                <w:color w:val="000000"/>
                <w:sz w:val="22"/>
              </w:rPr>
              <w:t>Respondents</w:t>
            </w:r>
          </w:p>
        </w:tc>
        <w:tc>
          <w:tcPr>
            <w:tcW w:w="1620" w:type="dxa"/>
            <w:tcBorders>
              <w:top w:val="nil"/>
              <w:left w:val="nil"/>
              <w:bottom w:val="single" w:color="auto" w:sz="4" w:space="0"/>
              <w:right w:val="single" w:color="auto" w:sz="4" w:space="0"/>
            </w:tcBorders>
            <w:shd w:val="clear" w:color="auto" w:fill="auto"/>
            <w:vAlign w:val="bottom"/>
            <w:hideMark/>
          </w:tcPr>
          <w:p w:rsidRPr="00E70FCB" w:rsidR="00A14893" w:rsidP="00E70FCB" w:rsidRDefault="00A14893" w14:paraId="59C0A193" w14:textId="77777777">
            <w:pPr>
              <w:spacing w:after="0" w:line="240" w:lineRule="auto"/>
              <w:jc w:val="center"/>
              <w:rPr>
                <w:rFonts w:ascii="Arial" w:hAnsi="Arial" w:eastAsia="Times New Roman" w:cs="Arial"/>
                <w:b/>
                <w:bCs/>
                <w:color w:val="000000"/>
                <w:sz w:val="22"/>
              </w:rPr>
            </w:pPr>
            <w:r w:rsidRPr="00E70FCB">
              <w:rPr>
                <w:rFonts w:ascii="Arial" w:hAnsi="Arial" w:eastAsia="Times New Roman" w:cs="Arial"/>
                <w:b/>
                <w:bCs/>
                <w:color w:val="000000"/>
                <w:sz w:val="22"/>
              </w:rPr>
              <w:t>Responses per respondent per year</w:t>
            </w:r>
          </w:p>
        </w:tc>
        <w:tc>
          <w:tcPr>
            <w:tcW w:w="1350" w:type="dxa"/>
            <w:tcBorders>
              <w:top w:val="nil"/>
              <w:left w:val="nil"/>
              <w:bottom w:val="single" w:color="auto" w:sz="4" w:space="0"/>
              <w:right w:val="single" w:color="auto" w:sz="4" w:space="0"/>
            </w:tcBorders>
            <w:shd w:val="clear" w:color="auto" w:fill="auto"/>
            <w:vAlign w:val="bottom"/>
            <w:hideMark/>
          </w:tcPr>
          <w:p w:rsidRPr="00E70FCB" w:rsidR="00A14893" w:rsidP="00E70FCB" w:rsidRDefault="00A14893" w14:paraId="4E036296" w14:textId="77777777">
            <w:pPr>
              <w:spacing w:after="0" w:line="240" w:lineRule="auto"/>
              <w:jc w:val="center"/>
              <w:rPr>
                <w:rFonts w:ascii="Arial" w:hAnsi="Arial" w:eastAsia="Times New Roman" w:cs="Arial"/>
                <w:b/>
                <w:bCs/>
                <w:color w:val="000000"/>
                <w:sz w:val="22"/>
              </w:rPr>
            </w:pPr>
            <w:r w:rsidRPr="00E70FCB">
              <w:rPr>
                <w:rFonts w:ascii="Arial" w:hAnsi="Arial" w:eastAsia="Times New Roman" w:cs="Arial"/>
                <w:b/>
                <w:bCs/>
                <w:color w:val="000000"/>
                <w:sz w:val="22"/>
              </w:rPr>
              <w:t>Total Responses</w:t>
            </w:r>
          </w:p>
        </w:tc>
        <w:tc>
          <w:tcPr>
            <w:tcW w:w="1260" w:type="dxa"/>
            <w:tcBorders>
              <w:top w:val="nil"/>
              <w:left w:val="nil"/>
              <w:bottom w:val="single" w:color="auto" w:sz="4" w:space="0"/>
              <w:right w:val="single" w:color="auto" w:sz="4" w:space="0"/>
            </w:tcBorders>
            <w:shd w:val="clear" w:color="auto" w:fill="auto"/>
            <w:vAlign w:val="bottom"/>
            <w:hideMark/>
          </w:tcPr>
          <w:p w:rsidRPr="00E70FCB" w:rsidR="00A14893" w:rsidP="00E70FCB" w:rsidRDefault="00A14893" w14:paraId="72E9FAB1" w14:textId="77777777">
            <w:pPr>
              <w:spacing w:after="0" w:line="240" w:lineRule="auto"/>
              <w:jc w:val="center"/>
              <w:rPr>
                <w:rFonts w:ascii="Arial" w:hAnsi="Arial" w:eastAsia="Times New Roman" w:cs="Arial"/>
                <w:b/>
                <w:bCs/>
                <w:color w:val="000000"/>
                <w:sz w:val="22"/>
              </w:rPr>
            </w:pPr>
            <w:r w:rsidRPr="00E70FCB">
              <w:rPr>
                <w:rFonts w:ascii="Arial" w:hAnsi="Arial" w:eastAsia="Times New Roman" w:cs="Arial"/>
                <w:b/>
                <w:bCs/>
                <w:color w:val="000000"/>
                <w:sz w:val="22"/>
              </w:rPr>
              <w:t>Burden Hrs. per Response</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E70FCB" w:rsidRDefault="00A14893" w14:paraId="15434F37" w14:textId="11F12E27">
            <w:pPr>
              <w:spacing w:after="0" w:line="240" w:lineRule="auto"/>
              <w:jc w:val="center"/>
              <w:rPr>
                <w:rFonts w:ascii="Arial" w:hAnsi="Arial" w:eastAsia="Times New Roman" w:cs="Arial"/>
                <w:b/>
                <w:bCs/>
                <w:color w:val="000000"/>
                <w:sz w:val="22"/>
              </w:rPr>
            </w:pPr>
            <w:r w:rsidRPr="00E70FCB">
              <w:rPr>
                <w:rFonts w:ascii="Arial" w:hAnsi="Arial" w:eastAsia="Times New Roman" w:cs="Arial"/>
                <w:b/>
                <w:bCs/>
                <w:color w:val="000000"/>
                <w:sz w:val="22"/>
              </w:rPr>
              <w:t>Total Annual Burden Hrs.</w:t>
            </w:r>
          </w:p>
        </w:tc>
      </w:tr>
      <w:tr w:rsidRPr="006B4862" w:rsidR="00A14893" w:rsidTr="00E70FCB" w14:paraId="01FBA38D" w14:textId="77777777">
        <w:trPr>
          <w:trHeight w:val="288"/>
        </w:trPr>
        <w:tc>
          <w:tcPr>
            <w:tcW w:w="207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6332DC96" w14:textId="77777777">
            <w:pPr>
              <w:spacing w:after="0" w:line="240" w:lineRule="auto"/>
              <w:rPr>
                <w:rFonts w:ascii="Arial" w:hAnsi="Arial" w:eastAsia="Times New Roman" w:cs="Arial"/>
                <w:b/>
                <w:bCs/>
                <w:color w:val="000000"/>
                <w:sz w:val="22"/>
              </w:rPr>
            </w:pPr>
            <w:r w:rsidRPr="00E70FCB">
              <w:rPr>
                <w:rFonts w:ascii="Arial" w:hAnsi="Arial" w:eastAsia="Times New Roman" w:cs="Arial"/>
                <w:b/>
                <w:bCs/>
                <w:color w:val="000000"/>
                <w:sz w:val="22"/>
              </w:rPr>
              <w:t xml:space="preserve">Year 1, one-time </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31454EDE"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440.00</w:t>
            </w:r>
          </w:p>
        </w:tc>
        <w:tc>
          <w:tcPr>
            <w:tcW w:w="162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4AEF7576"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1.00</w:t>
            </w:r>
          </w:p>
        </w:tc>
        <w:tc>
          <w:tcPr>
            <w:tcW w:w="135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5F7A0F66"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440.00</w:t>
            </w:r>
          </w:p>
        </w:tc>
        <w:tc>
          <w:tcPr>
            <w:tcW w:w="126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68ADAC98"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2.00</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69C33CAD"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880.00</w:t>
            </w:r>
          </w:p>
        </w:tc>
      </w:tr>
      <w:tr w:rsidRPr="006B4862" w:rsidR="00A14893" w:rsidTr="00E70FCB" w14:paraId="07CA1197" w14:textId="77777777">
        <w:trPr>
          <w:trHeight w:val="288"/>
        </w:trPr>
        <w:tc>
          <w:tcPr>
            <w:tcW w:w="207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2DBDFE83" w14:textId="77777777">
            <w:pPr>
              <w:spacing w:after="0" w:line="240" w:lineRule="auto"/>
              <w:rPr>
                <w:rFonts w:ascii="Arial" w:hAnsi="Arial" w:eastAsia="Times New Roman" w:cs="Arial"/>
                <w:b/>
                <w:bCs/>
                <w:color w:val="000000"/>
                <w:sz w:val="22"/>
              </w:rPr>
            </w:pPr>
            <w:r w:rsidRPr="00E70FCB">
              <w:rPr>
                <w:rFonts w:ascii="Arial" w:hAnsi="Arial" w:eastAsia="Times New Roman" w:cs="Arial"/>
                <w:b/>
                <w:bCs/>
                <w:color w:val="000000"/>
                <w:sz w:val="22"/>
              </w:rPr>
              <w:t>Year 2</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6CD9BA76"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440.00</w:t>
            </w:r>
          </w:p>
        </w:tc>
        <w:tc>
          <w:tcPr>
            <w:tcW w:w="162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77D32DA9"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1.00</w:t>
            </w:r>
          </w:p>
        </w:tc>
        <w:tc>
          <w:tcPr>
            <w:tcW w:w="135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7B8BA2B4"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440.00</w:t>
            </w:r>
          </w:p>
        </w:tc>
        <w:tc>
          <w:tcPr>
            <w:tcW w:w="126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36EDCC67"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68.00</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5BC74C61"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29,920.00</w:t>
            </w:r>
          </w:p>
        </w:tc>
      </w:tr>
      <w:tr w:rsidRPr="006B4862" w:rsidR="00A14893" w:rsidTr="00E70FCB" w14:paraId="7D5BFDEC" w14:textId="77777777">
        <w:trPr>
          <w:trHeight w:val="288"/>
        </w:trPr>
        <w:tc>
          <w:tcPr>
            <w:tcW w:w="207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6E1173FE" w14:textId="77777777">
            <w:pPr>
              <w:spacing w:after="0" w:line="240" w:lineRule="auto"/>
              <w:rPr>
                <w:rFonts w:ascii="Arial" w:hAnsi="Arial" w:eastAsia="Times New Roman" w:cs="Arial"/>
                <w:b/>
                <w:bCs/>
                <w:color w:val="000000"/>
                <w:sz w:val="22"/>
              </w:rPr>
            </w:pPr>
            <w:r w:rsidRPr="00E70FCB">
              <w:rPr>
                <w:rFonts w:ascii="Arial" w:hAnsi="Arial" w:eastAsia="Times New Roman" w:cs="Arial"/>
                <w:b/>
                <w:bCs/>
                <w:color w:val="000000"/>
                <w:sz w:val="22"/>
              </w:rPr>
              <w:t>Year 3</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2E9BC292"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440.00</w:t>
            </w:r>
          </w:p>
        </w:tc>
        <w:tc>
          <w:tcPr>
            <w:tcW w:w="162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28843913"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1.00</w:t>
            </w:r>
          </w:p>
        </w:tc>
        <w:tc>
          <w:tcPr>
            <w:tcW w:w="135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738E662A"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440.00</w:t>
            </w:r>
          </w:p>
        </w:tc>
        <w:tc>
          <w:tcPr>
            <w:tcW w:w="126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38F25869"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68.00</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4436976D"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29,920.00</w:t>
            </w:r>
          </w:p>
        </w:tc>
      </w:tr>
      <w:tr w:rsidRPr="006B4862" w:rsidR="00A14893" w:rsidTr="00E70FCB" w14:paraId="02E20D58" w14:textId="77777777">
        <w:trPr>
          <w:trHeight w:val="288"/>
        </w:trPr>
        <w:tc>
          <w:tcPr>
            <w:tcW w:w="207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4D2931F5" w14:textId="77777777">
            <w:pPr>
              <w:spacing w:after="0" w:line="240" w:lineRule="auto"/>
              <w:rPr>
                <w:rFonts w:ascii="Arial" w:hAnsi="Arial" w:eastAsia="Times New Roman" w:cs="Arial"/>
                <w:b/>
                <w:bCs/>
                <w:color w:val="000000"/>
                <w:sz w:val="22"/>
              </w:rPr>
            </w:pPr>
            <w:r w:rsidRPr="00E70FCB">
              <w:rPr>
                <w:rFonts w:ascii="Arial" w:hAnsi="Arial" w:eastAsia="Times New Roman" w:cs="Arial"/>
                <w:b/>
                <w:bCs/>
                <w:color w:val="000000"/>
                <w:sz w:val="22"/>
              </w:rPr>
              <w:t> </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406E5B25"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62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64AB7DCB"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35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2205CF68"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26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53F28985"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1A928AC3"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r>
      <w:tr w:rsidRPr="006B4862" w:rsidR="00A14893" w:rsidTr="00E70FCB" w14:paraId="0BC3413A" w14:textId="77777777">
        <w:trPr>
          <w:trHeight w:val="576"/>
        </w:trPr>
        <w:tc>
          <w:tcPr>
            <w:tcW w:w="207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3526ACC8" w14:textId="77777777">
            <w:pPr>
              <w:spacing w:after="0" w:line="240" w:lineRule="auto"/>
              <w:rPr>
                <w:rFonts w:ascii="Arial" w:hAnsi="Arial" w:eastAsia="Times New Roman" w:cs="Arial"/>
                <w:b/>
                <w:bCs/>
                <w:color w:val="000000"/>
                <w:sz w:val="22"/>
              </w:rPr>
            </w:pPr>
            <w:r w:rsidRPr="00E70FCB">
              <w:rPr>
                <w:rFonts w:ascii="Arial" w:hAnsi="Arial" w:eastAsia="Times New Roman" w:cs="Arial"/>
                <w:b/>
                <w:bCs/>
                <w:color w:val="000000"/>
                <w:sz w:val="22"/>
              </w:rPr>
              <w:t>Total for Years 1-3</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27BF36E6"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62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6DA9CF8C"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35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268C1E54"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1,320.00</w:t>
            </w:r>
          </w:p>
        </w:tc>
        <w:tc>
          <w:tcPr>
            <w:tcW w:w="126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687448B7"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50168A44"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60,720.00</w:t>
            </w:r>
          </w:p>
        </w:tc>
      </w:tr>
      <w:tr w:rsidRPr="006B4862" w:rsidR="00A14893" w:rsidTr="00E70FCB" w14:paraId="692D71DB" w14:textId="77777777">
        <w:trPr>
          <w:trHeight w:val="936"/>
        </w:trPr>
        <w:tc>
          <w:tcPr>
            <w:tcW w:w="207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5CA9FE79" w14:textId="77777777">
            <w:pPr>
              <w:spacing w:after="0" w:line="240" w:lineRule="auto"/>
              <w:rPr>
                <w:rFonts w:ascii="Arial" w:hAnsi="Arial" w:eastAsia="Times New Roman" w:cs="Arial"/>
                <w:b/>
                <w:bCs/>
                <w:color w:val="000000"/>
                <w:sz w:val="22"/>
              </w:rPr>
            </w:pPr>
            <w:r w:rsidRPr="00E70FCB">
              <w:rPr>
                <w:rFonts w:ascii="Arial" w:hAnsi="Arial" w:eastAsia="Times New Roman" w:cs="Arial"/>
                <w:b/>
                <w:bCs/>
                <w:color w:val="000000"/>
                <w:sz w:val="22"/>
              </w:rPr>
              <w:t>ANNUAL AVERAGE FOR YEARS 1-3</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00944ED6"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62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54A12A47"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35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45DFCB06"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440.00</w:t>
            </w:r>
          </w:p>
        </w:tc>
        <w:tc>
          <w:tcPr>
            <w:tcW w:w="126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357C7355" w14:textId="77777777">
            <w:pPr>
              <w:spacing w:after="0" w:line="240" w:lineRule="auto"/>
              <w:rPr>
                <w:rFonts w:ascii="Arial" w:hAnsi="Arial" w:eastAsia="Times New Roman" w:cs="Arial"/>
                <w:color w:val="000000"/>
                <w:sz w:val="22"/>
              </w:rPr>
            </w:pPr>
            <w:r w:rsidRPr="00E70FCB">
              <w:rPr>
                <w:rFonts w:ascii="Arial" w:hAnsi="Arial" w:eastAsia="Times New Roman" w:cs="Arial"/>
                <w:color w:val="000000"/>
                <w:sz w:val="22"/>
              </w:rPr>
              <w:t> </w:t>
            </w:r>
          </w:p>
        </w:tc>
        <w:tc>
          <w:tcPr>
            <w:tcW w:w="1440" w:type="dxa"/>
            <w:tcBorders>
              <w:top w:val="nil"/>
              <w:left w:val="nil"/>
              <w:bottom w:val="single" w:color="auto" w:sz="4" w:space="0"/>
              <w:right w:val="single" w:color="auto" w:sz="4" w:space="0"/>
            </w:tcBorders>
            <w:shd w:val="clear" w:color="auto" w:fill="auto"/>
            <w:vAlign w:val="bottom"/>
            <w:hideMark/>
          </w:tcPr>
          <w:p w:rsidRPr="00E70FCB" w:rsidR="00A14893" w:rsidP="00A14893" w:rsidRDefault="00A14893" w14:paraId="026148AB" w14:textId="77777777">
            <w:pPr>
              <w:spacing w:after="0" w:line="240" w:lineRule="auto"/>
              <w:jc w:val="right"/>
              <w:rPr>
                <w:rFonts w:ascii="Arial" w:hAnsi="Arial" w:eastAsia="Times New Roman" w:cs="Arial"/>
                <w:color w:val="000000"/>
                <w:sz w:val="22"/>
              </w:rPr>
            </w:pPr>
            <w:r w:rsidRPr="00E70FCB">
              <w:rPr>
                <w:rFonts w:ascii="Arial" w:hAnsi="Arial" w:eastAsia="Times New Roman" w:cs="Arial"/>
                <w:color w:val="000000"/>
                <w:sz w:val="22"/>
              </w:rPr>
              <w:t>20,240.00</w:t>
            </w:r>
          </w:p>
        </w:tc>
      </w:tr>
    </w:tbl>
    <w:p w:rsidR="00E62596" w:rsidP="00381E5C" w:rsidRDefault="00E62596" w14:paraId="15C0DB43" w14:textId="7B5BAB47">
      <w:pPr>
        <w:spacing w:after="0" w:line="240" w:lineRule="auto"/>
        <w:rPr>
          <w:szCs w:val="24"/>
        </w:rPr>
      </w:pPr>
    </w:p>
    <w:p w:rsidRPr="00E758ED" w:rsidR="00E62596" w:rsidP="00381E5C" w:rsidRDefault="00E62596" w14:paraId="06C6CE77" w14:textId="77777777">
      <w:pPr>
        <w:spacing w:after="0" w:line="240" w:lineRule="auto"/>
        <w:rPr>
          <w:szCs w:val="24"/>
        </w:rPr>
      </w:pPr>
    </w:p>
    <w:p w:rsidRPr="00E758ED" w:rsidR="00D80FBD" w:rsidP="00632B16" w:rsidRDefault="00E636D7" w14:paraId="03533207" w14:textId="77777777">
      <w:pPr>
        <w:pStyle w:val="FERCparanumber"/>
      </w:pPr>
      <w:r w:rsidRPr="00E758ED">
        <w:t>ESTIMATE OF THE TOTAL ANNUAL COST BURDEN TO RESPONDENTS</w:t>
      </w:r>
    </w:p>
    <w:p w:rsidRPr="00E758ED" w:rsidR="0090741D" w:rsidP="00632B16" w:rsidRDefault="008344B1" w14:paraId="03533209" w14:textId="1930C762">
      <w:pPr>
        <w:spacing w:after="0" w:line="240" w:lineRule="auto"/>
        <w:rPr>
          <w:szCs w:val="24"/>
        </w:rPr>
      </w:pPr>
      <w:r w:rsidRPr="00E758ED">
        <w:rPr>
          <w:szCs w:val="24"/>
        </w:rPr>
        <w:t>There are no capital or start-up costs associated with FERC-919</w:t>
      </w:r>
      <w:r w:rsidRPr="00E758ED" w:rsidR="00192737">
        <w:rPr>
          <w:szCs w:val="24"/>
        </w:rPr>
        <w:t>A</w:t>
      </w:r>
      <w:r w:rsidRPr="00E758ED" w:rsidR="00170C3B">
        <w:rPr>
          <w:szCs w:val="24"/>
        </w:rPr>
        <w:t>.</w:t>
      </w:r>
      <w:r w:rsidRPr="00E758ED">
        <w:rPr>
          <w:szCs w:val="24"/>
        </w:rPr>
        <w:t xml:space="preserve">  All of the costs</w:t>
      </w:r>
      <w:r w:rsidRPr="00E758ED" w:rsidR="00192737">
        <w:rPr>
          <w:szCs w:val="24"/>
        </w:rPr>
        <w:t xml:space="preserve"> in the final rule</w:t>
      </w:r>
      <w:r w:rsidRPr="00E758ED">
        <w:rPr>
          <w:szCs w:val="24"/>
        </w:rPr>
        <w:t xml:space="preserve"> are associated with the burden hours and accounted for in Question</w:t>
      </w:r>
      <w:r w:rsidRPr="00E758ED" w:rsidR="00467B68">
        <w:rPr>
          <w:szCs w:val="24"/>
        </w:rPr>
        <w:t>s</w:t>
      </w:r>
      <w:r w:rsidRPr="00E758ED">
        <w:rPr>
          <w:szCs w:val="24"/>
        </w:rPr>
        <w:t xml:space="preserve"> </w:t>
      </w:r>
      <w:r w:rsidR="00115E3C">
        <w:rPr>
          <w:szCs w:val="24"/>
        </w:rPr>
        <w:t>#</w:t>
      </w:r>
      <w:r w:rsidRPr="00E758ED">
        <w:rPr>
          <w:szCs w:val="24"/>
        </w:rPr>
        <w:t>12</w:t>
      </w:r>
      <w:r w:rsidRPr="00E758ED" w:rsidR="00467B68">
        <w:rPr>
          <w:szCs w:val="24"/>
        </w:rPr>
        <w:t xml:space="preserve"> and 15</w:t>
      </w:r>
      <w:r w:rsidRPr="00E758ED">
        <w:rPr>
          <w:szCs w:val="24"/>
        </w:rPr>
        <w:t>.</w:t>
      </w:r>
    </w:p>
    <w:p w:rsidRPr="00E758ED" w:rsidR="00E636D7" w:rsidP="00632B16" w:rsidRDefault="00E636D7" w14:paraId="0353320A" w14:textId="77777777">
      <w:pPr>
        <w:spacing w:after="0" w:line="240" w:lineRule="auto"/>
        <w:rPr>
          <w:szCs w:val="24"/>
        </w:rPr>
      </w:pPr>
    </w:p>
    <w:p w:rsidRPr="00E758ED" w:rsidR="00380519" w:rsidP="00632B16" w:rsidRDefault="00A276F5" w14:paraId="0353320B" w14:textId="77777777">
      <w:pPr>
        <w:pStyle w:val="FERCparanumber"/>
      </w:pPr>
      <w:r w:rsidRPr="00E758ED">
        <w:t>ESTIMATED ANNUALIZED COST TO FEDERAL GOVERNMENT</w:t>
      </w:r>
      <w:r w:rsidRPr="00E758ED" w:rsidR="00764BC0">
        <w:t xml:space="preserve"> </w:t>
      </w:r>
    </w:p>
    <w:p w:rsidR="006109AA" w:rsidP="00E70FCB" w:rsidRDefault="00532537" w14:paraId="44FE03BE" w14:textId="54DBF77F">
      <w:pPr>
        <w:spacing w:line="240" w:lineRule="auto"/>
        <w:rPr>
          <w:szCs w:val="24"/>
        </w:rPr>
      </w:pPr>
      <w:r>
        <w:rPr>
          <w:szCs w:val="24"/>
        </w:rPr>
        <w:t xml:space="preserve">The </w:t>
      </w:r>
      <w:r w:rsidRPr="00532537">
        <w:rPr>
          <w:szCs w:val="24"/>
        </w:rPr>
        <w:t xml:space="preserve">Commission bases its estimate of the “Analysis and Processing of filings” cost to the Federal Government on salaries and benefits for professional and clerical support.  This estimated cost </w:t>
      </w:r>
      <w:r w:rsidR="00ED5F95">
        <w:rPr>
          <w:szCs w:val="24"/>
        </w:rPr>
        <w:t xml:space="preserve">encompasses the two-month oversight of the development and testing of the inclusion of the three new data fields.  These FTE estimates over the two-month period were then annualized for the final estimate.  </w:t>
      </w:r>
      <w:r w:rsidRPr="00A04C58">
        <w:rPr>
          <w:szCs w:val="24"/>
        </w:rPr>
        <w:t xml:space="preserve">The estimates provided below </w:t>
      </w:r>
      <w:r w:rsidRPr="001D578A" w:rsidR="00071780">
        <w:rPr>
          <w:szCs w:val="24"/>
        </w:rPr>
        <w:t>include</w:t>
      </w:r>
      <w:r w:rsidRPr="00A04C58">
        <w:rPr>
          <w:szCs w:val="24"/>
        </w:rPr>
        <w:t xml:space="preserve"> areas affected by the FERC-919A</w:t>
      </w:r>
      <w:r w:rsidRPr="00A04C58" w:rsidR="00816112">
        <w:rPr>
          <w:szCs w:val="24"/>
        </w:rPr>
        <w:t xml:space="preserve"> information collection by the Final Rule in RM16-17-000</w:t>
      </w:r>
      <w:r w:rsidRPr="001D578A" w:rsidR="00071780">
        <w:rPr>
          <w:szCs w:val="24"/>
        </w:rPr>
        <w:t xml:space="preserve"> and do not include cost calculations of FERC-919.</w:t>
      </w:r>
    </w:p>
    <w:p w:rsidR="007B213A" w:rsidP="00E70FCB" w:rsidRDefault="00727155" w14:paraId="0353320D" w14:textId="5C2FE9CA">
      <w:pPr>
        <w:pStyle w:val="ListParagraph"/>
        <w:spacing w:after="0" w:line="240" w:lineRule="auto"/>
        <w:ind w:left="0"/>
        <w:rPr>
          <w:szCs w:val="24"/>
        </w:rPr>
      </w:pPr>
      <w:r w:rsidRPr="00E758ED">
        <w:rPr>
          <w:szCs w:val="24"/>
        </w:rPr>
        <w:t xml:space="preserve">The estimated </w:t>
      </w:r>
      <w:r w:rsidR="00532537">
        <w:rPr>
          <w:szCs w:val="24"/>
        </w:rPr>
        <w:t xml:space="preserve">annual </w:t>
      </w:r>
      <w:r w:rsidRPr="00E758ED">
        <w:rPr>
          <w:szCs w:val="24"/>
        </w:rPr>
        <w:t xml:space="preserve">federal cost </w:t>
      </w:r>
      <w:r w:rsidR="00532537">
        <w:rPr>
          <w:szCs w:val="24"/>
        </w:rPr>
        <w:t>for FERC-919A</w:t>
      </w:r>
      <w:r w:rsidRPr="00E758ED">
        <w:rPr>
          <w:szCs w:val="24"/>
        </w:rPr>
        <w:t xml:space="preserve"> follows</w:t>
      </w:r>
      <w:r w:rsidRPr="00E758ED" w:rsidR="00380519">
        <w:rPr>
          <w:szCs w:val="24"/>
        </w:rPr>
        <w:t>:</w:t>
      </w:r>
    </w:p>
    <w:p w:rsidR="00E70FCB" w:rsidRDefault="00E70FCB" w14:paraId="6815FC0E" w14:textId="5F29733D">
      <w:pPr>
        <w:rPr>
          <w:szCs w:val="24"/>
        </w:rPr>
      </w:pPr>
      <w:r>
        <w:rPr>
          <w:szCs w:val="24"/>
        </w:rPr>
        <w:br w:type="page"/>
      </w:r>
    </w:p>
    <w:tbl>
      <w:tblPr>
        <w:tblW w:w="9085" w:type="dxa"/>
        <w:tblLayout w:type="fixed"/>
        <w:tblLook w:val="04A0" w:firstRow="1" w:lastRow="0" w:firstColumn="1" w:lastColumn="0" w:noHBand="0" w:noVBand="1"/>
      </w:tblPr>
      <w:tblGrid>
        <w:gridCol w:w="5395"/>
        <w:gridCol w:w="1530"/>
        <w:gridCol w:w="2160"/>
      </w:tblGrid>
      <w:tr w:rsidRPr="002F5A68" w:rsidR="002F5A68" w:rsidTr="001D578A" w14:paraId="6CB70D5D" w14:textId="77777777">
        <w:trPr>
          <w:trHeight w:val="544"/>
        </w:trPr>
        <w:tc>
          <w:tcPr>
            <w:tcW w:w="5395"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2F5A68" w:rsidR="002F5A68" w:rsidP="00632B16" w:rsidRDefault="002F5A68" w14:paraId="63DCE04B" w14:textId="77777777">
            <w:pPr>
              <w:spacing w:line="240" w:lineRule="auto"/>
              <w:jc w:val="center"/>
              <w:rPr>
                <w:rFonts w:eastAsia="Times New Roman"/>
                <w:sz w:val="24"/>
                <w:szCs w:val="24"/>
              </w:rPr>
            </w:pPr>
            <w:r w:rsidRPr="002F5A68">
              <w:rPr>
                <w:rFonts w:eastAsia="Times New Roman"/>
                <w:sz w:val="24"/>
                <w:szCs w:val="24"/>
              </w:rPr>
              <w:t> </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2F5A68" w:rsidR="002F5A68" w:rsidP="00632B16" w:rsidRDefault="002F5A68" w14:paraId="2B9597D5" w14:textId="48F223DF">
            <w:pPr>
              <w:spacing w:after="0" w:line="240" w:lineRule="auto"/>
              <w:rPr>
                <w:rFonts w:eastAsia="Times New Roman"/>
                <w:b/>
                <w:bCs/>
                <w:sz w:val="24"/>
                <w:szCs w:val="24"/>
              </w:rPr>
            </w:pPr>
            <w:r w:rsidRPr="002F5A68">
              <w:rPr>
                <w:rFonts w:eastAsia="Times New Roman"/>
                <w:b/>
                <w:bCs/>
                <w:sz w:val="24"/>
                <w:szCs w:val="24"/>
              </w:rPr>
              <w:t>Number of Employees (FTE)</w:t>
            </w:r>
            <w:r w:rsidRPr="00CA0FA0" w:rsidR="00EA5A55">
              <w:rPr>
                <w:rStyle w:val="FootnoteReference"/>
                <w:sz w:val="24"/>
                <w:szCs w:val="24"/>
              </w:rPr>
              <w:t xml:space="preserve"> </w:t>
            </w:r>
            <w:r w:rsidRPr="00CA0FA0" w:rsidR="00EA5A55">
              <w:rPr>
                <w:rStyle w:val="FootnoteReference"/>
                <w:sz w:val="24"/>
                <w:szCs w:val="24"/>
              </w:rPr>
              <w:footnoteReference w:id="21"/>
            </w:r>
          </w:p>
        </w:tc>
        <w:tc>
          <w:tcPr>
            <w:tcW w:w="2160" w:type="dxa"/>
            <w:vMerge w:val="restart"/>
            <w:tcBorders>
              <w:top w:val="single" w:color="auto" w:sz="4" w:space="0"/>
              <w:left w:val="single" w:color="auto" w:sz="4" w:space="0"/>
              <w:bottom w:val="single" w:color="auto" w:sz="4" w:space="0"/>
              <w:right w:val="single" w:color="auto" w:sz="4" w:space="0"/>
            </w:tcBorders>
            <w:shd w:val="clear" w:color="000000" w:fill="CCCCCC"/>
            <w:vAlign w:val="center"/>
            <w:hideMark/>
          </w:tcPr>
          <w:p w:rsidRPr="002F5A68" w:rsidR="002F5A68" w:rsidP="00632B16" w:rsidRDefault="002F5A68" w14:paraId="24EE8027" w14:textId="77777777">
            <w:pPr>
              <w:spacing w:after="0" w:line="240" w:lineRule="auto"/>
              <w:rPr>
                <w:rFonts w:eastAsia="Times New Roman"/>
                <w:b/>
                <w:bCs/>
                <w:sz w:val="24"/>
                <w:szCs w:val="24"/>
              </w:rPr>
            </w:pPr>
            <w:r w:rsidRPr="002F5A68">
              <w:rPr>
                <w:rFonts w:eastAsia="Times New Roman"/>
                <w:b/>
                <w:bCs/>
                <w:sz w:val="24"/>
                <w:szCs w:val="24"/>
              </w:rPr>
              <w:t>Estimated Annual Federal Cost</w:t>
            </w:r>
          </w:p>
        </w:tc>
      </w:tr>
      <w:tr w:rsidRPr="002F5A68" w:rsidR="002F5A68" w:rsidTr="001D578A" w14:paraId="4D4DF6C8" w14:textId="77777777">
        <w:trPr>
          <w:trHeight w:val="544"/>
        </w:trPr>
        <w:tc>
          <w:tcPr>
            <w:tcW w:w="5395" w:type="dxa"/>
            <w:vMerge/>
            <w:tcBorders>
              <w:top w:val="single" w:color="auto" w:sz="4" w:space="0"/>
              <w:left w:val="single" w:color="auto" w:sz="4" w:space="0"/>
              <w:bottom w:val="single" w:color="auto" w:sz="4" w:space="0"/>
              <w:right w:val="single" w:color="auto" w:sz="4" w:space="0"/>
            </w:tcBorders>
            <w:vAlign w:val="center"/>
            <w:hideMark/>
          </w:tcPr>
          <w:p w:rsidRPr="002F5A68" w:rsidR="002F5A68" w:rsidP="00632B16" w:rsidRDefault="002F5A68" w14:paraId="4588A7A4" w14:textId="77777777">
            <w:pPr>
              <w:spacing w:after="0" w:line="240" w:lineRule="auto"/>
              <w:rPr>
                <w:rFonts w:eastAsia="Times New Roman"/>
                <w:sz w:val="24"/>
                <w:szCs w:val="24"/>
              </w:rPr>
            </w:pP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2F5A68" w:rsidR="002F5A68" w:rsidP="00632B16" w:rsidRDefault="002F5A68" w14:paraId="269405FD" w14:textId="77777777">
            <w:pPr>
              <w:spacing w:after="0" w:line="240" w:lineRule="auto"/>
              <w:rPr>
                <w:rFonts w:eastAsia="Times New Roman"/>
                <w:b/>
                <w:bCs/>
                <w:sz w:val="24"/>
                <w:szCs w:val="24"/>
              </w:rPr>
            </w:pPr>
          </w:p>
        </w:tc>
        <w:tc>
          <w:tcPr>
            <w:tcW w:w="2160" w:type="dxa"/>
            <w:vMerge/>
            <w:tcBorders>
              <w:top w:val="single" w:color="auto" w:sz="4" w:space="0"/>
              <w:left w:val="single" w:color="auto" w:sz="4" w:space="0"/>
              <w:bottom w:val="single" w:color="auto" w:sz="4" w:space="0"/>
              <w:right w:val="single" w:color="auto" w:sz="4" w:space="0"/>
            </w:tcBorders>
            <w:vAlign w:val="center"/>
            <w:hideMark/>
          </w:tcPr>
          <w:p w:rsidRPr="002F5A68" w:rsidR="002F5A68" w:rsidP="00632B16" w:rsidRDefault="002F5A68" w14:paraId="17B6725C" w14:textId="77777777">
            <w:pPr>
              <w:spacing w:after="0" w:line="240" w:lineRule="auto"/>
              <w:rPr>
                <w:rFonts w:eastAsia="Times New Roman"/>
                <w:b/>
                <w:bCs/>
                <w:sz w:val="24"/>
                <w:szCs w:val="24"/>
              </w:rPr>
            </w:pPr>
          </w:p>
        </w:tc>
      </w:tr>
      <w:tr w:rsidRPr="002F5A68" w:rsidR="00751CC9" w:rsidTr="0019339E" w14:paraId="6F0F0819" w14:textId="77777777">
        <w:trPr>
          <w:trHeight w:val="332"/>
        </w:trPr>
        <w:tc>
          <w:tcPr>
            <w:tcW w:w="5395" w:type="dxa"/>
            <w:tcBorders>
              <w:top w:val="nil"/>
              <w:left w:val="single" w:color="auto" w:sz="4" w:space="0"/>
              <w:bottom w:val="single" w:color="auto" w:sz="4" w:space="0"/>
              <w:right w:val="single" w:color="auto" w:sz="4" w:space="0"/>
            </w:tcBorders>
            <w:shd w:val="clear" w:color="auto" w:fill="auto"/>
            <w:vAlign w:val="center"/>
            <w:hideMark/>
          </w:tcPr>
          <w:p w:rsidRPr="002F5A68" w:rsidR="00751CC9" w:rsidP="00632B16" w:rsidRDefault="00751CC9" w14:paraId="21605648" w14:textId="129AC779">
            <w:pPr>
              <w:spacing w:after="0" w:line="240" w:lineRule="auto"/>
              <w:rPr>
                <w:rFonts w:eastAsia="Times New Roman"/>
                <w:sz w:val="24"/>
                <w:szCs w:val="24"/>
              </w:rPr>
            </w:pPr>
            <w:r w:rsidRPr="002F5A68">
              <w:rPr>
                <w:rFonts w:eastAsia="Times New Roman"/>
                <w:sz w:val="24"/>
                <w:szCs w:val="24"/>
              </w:rPr>
              <w:t>Analysis and Processing of filings</w:t>
            </w:r>
            <w:r w:rsidRPr="00CA0FA0">
              <w:rPr>
                <w:rStyle w:val="FootnoteReference"/>
                <w:sz w:val="24"/>
                <w:szCs w:val="24"/>
              </w:rPr>
              <w:footnoteReference w:id="22"/>
            </w:r>
            <w:r w:rsidRPr="002F5A68">
              <w:rPr>
                <w:rFonts w:eastAsia="Times New Roman"/>
                <w:sz w:val="24"/>
                <w:szCs w:val="24"/>
              </w:rPr>
              <w:t xml:space="preserve"> </w:t>
            </w:r>
            <w:r w:rsidR="00E70FCB">
              <w:rPr>
                <w:rFonts w:eastAsia="Times New Roman"/>
                <w:sz w:val="24"/>
                <w:szCs w:val="24"/>
              </w:rPr>
              <w:t>(initial increase as noted below)</w:t>
            </w:r>
          </w:p>
        </w:tc>
        <w:tc>
          <w:tcPr>
            <w:tcW w:w="1530" w:type="dxa"/>
            <w:tcBorders>
              <w:top w:val="nil"/>
              <w:left w:val="nil"/>
              <w:bottom w:val="single" w:color="auto" w:sz="4" w:space="0"/>
              <w:right w:val="single" w:color="auto" w:sz="4" w:space="0"/>
            </w:tcBorders>
            <w:shd w:val="clear" w:color="auto" w:fill="auto"/>
            <w:vAlign w:val="center"/>
            <w:hideMark/>
          </w:tcPr>
          <w:p w:rsidRPr="002F5A68" w:rsidR="00751CC9" w:rsidP="00632B16" w:rsidRDefault="00751CC9" w14:paraId="07DAD915" w14:textId="62241882">
            <w:pPr>
              <w:spacing w:after="0" w:line="240" w:lineRule="auto"/>
              <w:jc w:val="right"/>
              <w:rPr>
                <w:rFonts w:eastAsia="Times New Roman"/>
                <w:sz w:val="24"/>
                <w:szCs w:val="24"/>
              </w:rPr>
            </w:pPr>
            <w:r>
              <w:rPr>
                <w:rFonts w:eastAsia="Times New Roman"/>
                <w:sz w:val="24"/>
                <w:szCs w:val="24"/>
              </w:rPr>
              <w:t>0.83</w:t>
            </w:r>
          </w:p>
        </w:tc>
        <w:tc>
          <w:tcPr>
            <w:tcW w:w="2160" w:type="dxa"/>
            <w:tcBorders>
              <w:top w:val="nil"/>
              <w:left w:val="nil"/>
              <w:bottom w:val="single" w:color="auto" w:sz="4" w:space="0"/>
              <w:right w:val="single" w:color="auto" w:sz="4" w:space="0"/>
            </w:tcBorders>
            <w:shd w:val="clear" w:color="auto" w:fill="auto"/>
            <w:vAlign w:val="center"/>
            <w:hideMark/>
          </w:tcPr>
          <w:p w:rsidRPr="002F5A68" w:rsidR="00751CC9" w:rsidP="00632B16" w:rsidRDefault="00751CC9" w14:paraId="71C6B4B2" w14:textId="15B9B260">
            <w:pPr>
              <w:spacing w:after="0" w:line="240" w:lineRule="auto"/>
              <w:jc w:val="right"/>
              <w:rPr>
                <w:rFonts w:eastAsia="Times New Roman"/>
                <w:sz w:val="24"/>
                <w:szCs w:val="24"/>
              </w:rPr>
            </w:pPr>
            <w:r w:rsidRPr="002F5A68">
              <w:rPr>
                <w:rFonts w:eastAsia="Times New Roman"/>
                <w:sz w:val="24"/>
                <w:szCs w:val="24"/>
              </w:rPr>
              <w:t>$</w:t>
            </w:r>
            <w:r>
              <w:rPr>
                <w:rFonts w:eastAsia="Times New Roman"/>
                <w:sz w:val="24"/>
                <w:szCs w:val="24"/>
              </w:rPr>
              <w:t>149,983.49</w:t>
            </w:r>
          </w:p>
        </w:tc>
      </w:tr>
      <w:tr w:rsidRPr="002F5A68" w:rsidR="00751CC9" w:rsidTr="00F061BB" w14:paraId="2AACC392" w14:textId="77777777">
        <w:trPr>
          <w:trHeight w:val="242"/>
        </w:trPr>
        <w:tc>
          <w:tcPr>
            <w:tcW w:w="5395" w:type="dxa"/>
            <w:tcBorders>
              <w:top w:val="nil"/>
              <w:left w:val="single" w:color="auto" w:sz="4" w:space="0"/>
              <w:bottom w:val="single" w:color="auto" w:sz="4" w:space="0"/>
              <w:right w:val="single" w:color="auto" w:sz="4" w:space="0"/>
            </w:tcBorders>
            <w:shd w:val="clear" w:color="auto" w:fill="auto"/>
            <w:vAlign w:val="center"/>
            <w:hideMark/>
          </w:tcPr>
          <w:p w:rsidRPr="002F5A68" w:rsidR="00751CC9" w:rsidP="00632B16" w:rsidRDefault="00751CC9" w14:paraId="780D36B7" w14:textId="2BE4E7D0">
            <w:pPr>
              <w:spacing w:after="0" w:line="240" w:lineRule="auto"/>
              <w:rPr>
                <w:rFonts w:eastAsia="Times New Roman"/>
                <w:sz w:val="24"/>
                <w:szCs w:val="24"/>
              </w:rPr>
            </w:pPr>
            <w:r w:rsidRPr="002F5A68">
              <w:rPr>
                <w:rFonts w:eastAsia="Times New Roman"/>
                <w:sz w:val="24"/>
                <w:szCs w:val="24"/>
              </w:rPr>
              <w:t>PRA Administrative Cost</w:t>
            </w:r>
            <w:r>
              <w:rPr>
                <w:rStyle w:val="FootnoteReference"/>
                <w:rFonts w:eastAsia="Times New Roman"/>
                <w:szCs w:val="24"/>
              </w:rPr>
              <w:footnoteReference w:id="23"/>
            </w:r>
          </w:p>
        </w:tc>
        <w:tc>
          <w:tcPr>
            <w:tcW w:w="1530" w:type="dxa"/>
            <w:tcBorders>
              <w:top w:val="nil"/>
              <w:left w:val="nil"/>
              <w:bottom w:val="single" w:color="auto" w:sz="4" w:space="0"/>
              <w:right w:val="single" w:color="auto" w:sz="4" w:space="0"/>
            </w:tcBorders>
            <w:shd w:val="clear" w:color="auto" w:fill="D9D9D9" w:themeFill="background1" w:themeFillShade="D9"/>
            <w:vAlign w:val="center"/>
            <w:hideMark/>
          </w:tcPr>
          <w:p w:rsidRPr="002F5A68" w:rsidR="00751CC9" w:rsidP="00632B16" w:rsidRDefault="00751CC9" w14:paraId="2DF913E7" w14:textId="6735FB08">
            <w:pPr>
              <w:spacing w:after="0" w:line="240" w:lineRule="auto"/>
              <w:jc w:val="right"/>
              <w:rPr>
                <w:rFonts w:eastAsia="Times New Roman"/>
                <w:sz w:val="24"/>
                <w:szCs w:val="24"/>
              </w:rPr>
            </w:pPr>
            <w:r w:rsidRPr="002F5A68">
              <w:rPr>
                <w:rFonts w:eastAsia="Times New Roman"/>
                <w:sz w:val="24"/>
                <w:szCs w:val="24"/>
              </w:rPr>
              <w:t> </w:t>
            </w:r>
          </w:p>
        </w:tc>
        <w:tc>
          <w:tcPr>
            <w:tcW w:w="2160" w:type="dxa"/>
            <w:tcBorders>
              <w:top w:val="nil"/>
              <w:left w:val="nil"/>
              <w:bottom w:val="single" w:color="auto" w:sz="4" w:space="0"/>
              <w:right w:val="single" w:color="auto" w:sz="4" w:space="0"/>
            </w:tcBorders>
            <w:shd w:val="clear" w:color="auto" w:fill="auto"/>
            <w:vAlign w:val="center"/>
            <w:hideMark/>
          </w:tcPr>
          <w:p w:rsidRPr="002F5A68" w:rsidR="00751CC9" w:rsidP="00632B16" w:rsidRDefault="00751CC9" w14:paraId="477D3D7D" w14:textId="0FFCB963">
            <w:pPr>
              <w:spacing w:after="0" w:line="240" w:lineRule="auto"/>
              <w:jc w:val="right"/>
              <w:rPr>
                <w:rFonts w:eastAsia="Times New Roman"/>
                <w:sz w:val="24"/>
                <w:szCs w:val="24"/>
              </w:rPr>
            </w:pPr>
            <w:r>
              <w:rPr>
                <w:rFonts w:eastAsia="Times New Roman"/>
                <w:sz w:val="24"/>
                <w:szCs w:val="24"/>
              </w:rPr>
              <w:t>$</w:t>
            </w:r>
            <w:r w:rsidRPr="001D578A">
              <w:rPr>
                <w:rFonts w:eastAsia="Times New Roman"/>
                <w:sz w:val="24"/>
                <w:szCs w:val="24"/>
              </w:rPr>
              <w:t>8,279</w:t>
            </w:r>
            <w:r>
              <w:rPr>
                <w:rFonts w:eastAsia="Times New Roman"/>
                <w:sz w:val="24"/>
                <w:szCs w:val="24"/>
              </w:rPr>
              <w:t>.00</w:t>
            </w:r>
            <w:r w:rsidRPr="002F5A68">
              <w:rPr>
                <w:rFonts w:eastAsia="Times New Roman"/>
                <w:sz w:val="24"/>
                <w:szCs w:val="24"/>
              </w:rPr>
              <w:t xml:space="preserve"> </w:t>
            </w:r>
          </w:p>
        </w:tc>
      </w:tr>
      <w:tr w:rsidRPr="002F5A68" w:rsidR="002F5A68" w:rsidTr="001D578A" w14:paraId="2422EFAF" w14:textId="77777777">
        <w:trPr>
          <w:trHeight w:val="305"/>
        </w:trPr>
        <w:tc>
          <w:tcPr>
            <w:tcW w:w="5395" w:type="dxa"/>
            <w:tcBorders>
              <w:top w:val="single" w:color="auto" w:sz="4" w:space="0"/>
              <w:left w:val="single" w:color="auto" w:sz="4" w:space="0"/>
              <w:bottom w:val="single" w:color="auto" w:sz="4" w:space="0"/>
              <w:right w:val="single" w:color="000000" w:sz="4" w:space="0"/>
            </w:tcBorders>
            <w:shd w:val="clear" w:color="auto" w:fill="auto"/>
            <w:vAlign w:val="bottom"/>
            <w:hideMark/>
          </w:tcPr>
          <w:p w:rsidRPr="002F5A68" w:rsidR="002F5A68" w:rsidRDefault="002F5A68" w14:paraId="2B46E777" w14:textId="674A373E">
            <w:pPr>
              <w:spacing w:after="0" w:line="240" w:lineRule="auto"/>
              <w:rPr>
                <w:rFonts w:eastAsia="Times New Roman"/>
                <w:sz w:val="24"/>
                <w:szCs w:val="24"/>
              </w:rPr>
            </w:pPr>
            <w:r w:rsidRPr="002F5A68">
              <w:rPr>
                <w:rFonts w:eastAsia="Times New Roman"/>
                <w:sz w:val="24"/>
                <w:szCs w:val="24"/>
              </w:rPr>
              <w:t>Hardware/Software Developme</w:t>
            </w:r>
            <w:r w:rsidRPr="00751CC9">
              <w:rPr>
                <w:rFonts w:eastAsia="Times New Roman"/>
                <w:sz w:val="24"/>
                <w:szCs w:val="24"/>
              </w:rPr>
              <w:t xml:space="preserve">nt </w:t>
            </w:r>
            <w:r w:rsidR="00751CC9">
              <w:rPr>
                <w:rFonts w:eastAsia="Times New Roman"/>
                <w:sz w:val="24"/>
                <w:szCs w:val="24"/>
              </w:rPr>
              <w:t>(one-time)</w:t>
            </w:r>
          </w:p>
        </w:tc>
        <w:tc>
          <w:tcPr>
            <w:tcW w:w="1530" w:type="dxa"/>
            <w:tcBorders>
              <w:top w:val="nil"/>
              <w:left w:val="nil"/>
              <w:bottom w:val="single" w:color="auto" w:sz="4" w:space="0"/>
              <w:right w:val="single" w:color="auto" w:sz="4" w:space="0"/>
            </w:tcBorders>
            <w:shd w:val="clear" w:color="000000" w:fill="D9D9D9"/>
            <w:vAlign w:val="center"/>
            <w:hideMark/>
          </w:tcPr>
          <w:p w:rsidRPr="002F5A68" w:rsidR="002F5A68" w:rsidP="00632B16" w:rsidRDefault="002F5A68" w14:paraId="5A2A7E32" w14:textId="77777777">
            <w:pPr>
              <w:spacing w:after="0" w:line="240" w:lineRule="auto"/>
              <w:jc w:val="right"/>
              <w:rPr>
                <w:rFonts w:eastAsia="Times New Roman"/>
                <w:sz w:val="24"/>
                <w:szCs w:val="24"/>
              </w:rPr>
            </w:pPr>
            <w:r w:rsidRPr="002F5A68">
              <w:rPr>
                <w:rFonts w:eastAsia="Times New Roman"/>
                <w:sz w:val="24"/>
                <w:szCs w:val="24"/>
              </w:rPr>
              <w:t> </w:t>
            </w:r>
          </w:p>
        </w:tc>
        <w:tc>
          <w:tcPr>
            <w:tcW w:w="2160" w:type="dxa"/>
            <w:tcBorders>
              <w:top w:val="nil"/>
              <w:left w:val="nil"/>
              <w:bottom w:val="single" w:color="auto" w:sz="4" w:space="0"/>
              <w:right w:val="single" w:color="auto" w:sz="4" w:space="0"/>
            </w:tcBorders>
            <w:shd w:val="clear" w:color="auto" w:fill="auto"/>
            <w:vAlign w:val="center"/>
            <w:hideMark/>
          </w:tcPr>
          <w:p w:rsidRPr="001E5032" w:rsidR="002F5A68" w:rsidRDefault="002F5A68" w14:paraId="2B382652" w14:textId="488ACD6E">
            <w:pPr>
              <w:spacing w:after="0" w:line="240" w:lineRule="auto"/>
              <w:jc w:val="right"/>
              <w:rPr>
                <w:rFonts w:eastAsia="Times New Roman"/>
                <w:sz w:val="24"/>
                <w:szCs w:val="24"/>
              </w:rPr>
            </w:pPr>
            <w:r w:rsidRPr="001E5032">
              <w:rPr>
                <w:rFonts w:eastAsia="Times New Roman"/>
                <w:sz w:val="24"/>
                <w:szCs w:val="24"/>
              </w:rPr>
              <w:t>$</w:t>
            </w:r>
            <w:r w:rsidRPr="001D578A" w:rsidR="00076DF8">
              <w:rPr>
                <w:rFonts w:eastAsia="Times New Roman"/>
                <w:sz w:val="24"/>
                <w:szCs w:val="24"/>
              </w:rPr>
              <w:t>100,000</w:t>
            </w:r>
            <w:r w:rsidR="006A6732">
              <w:rPr>
                <w:rFonts w:eastAsia="Times New Roman"/>
                <w:sz w:val="24"/>
                <w:szCs w:val="24"/>
              </w:rPr>
              <w:t>.00</w:t>
            </w:r>
            <w:r w:rsidRPr="001E5032">
              <w:rPr>
                <w:rFonts w:eastAsia="Times New Roman"/>
                <w:sz w:val="24"/>
                <w:szCs w:val="24"/>
              </w:rPr>
              <w:t xml:space="preserve"> </w:t>
            </w:r>
            <w:r w:rsidR="00751CC9">
              <w:rPr>
                <w:rFonts w:eastAsia="Times New Roman"/>
                <w:sz w:val="24"/>
                <w:szCs w:val="24"/>
              </w:rPr>
              <w:t xml:space="preserve"> (one-time)</w:t>
            </w:r>
          </w:p>
        </w:tc>
      </w:tr>
      <w:tr w:rsidRPr="002F5A68" w:rsidR="000F36C6" w:rsidTr="001D578A" w14:paraId="72D47EEA" w14:textId="77777777">
        <w:trPr>
          <w:trHeight w:val="315"/>
        </w:trPr>
        <w:tc>
          <w:tcPr>
            <w:tcW w:w="5395" w:type="dxa"/>
            <w:tcBorders>
              <w:top w:val="single" w:color="auto" w:sz="4" w:space="0"/>
              <w:left w:val="single" w:color="auto" w:sz="4" w:space="0"/>
              <w:bottom w:val="single" w:color="auto" w:sz="4" w:space="0"/>
              <w:right w:val="single" w:color="000000" w:sz="4" w:space="0"/>
            </w:tcBorders>
            <w:shd w:val="clear" w:color="auto" w:fill="auto"/>
            <w:vAlign w:val="center"/>
            <w:hideMark/>
          </w:tcPr>
          <w:p w:rsidRPr="002F5A68" w:rsidR="000F36C6" w:rsidP="00632B16" w:rsidRDefault="000F36C6" w14:paraId="2B798161" w14:textId="0B27DE77">
            <w:pPr>
              <w:spacing w:after="0" w:line="240" w:lineRule="auto"/>
              <w:rPr>
                <w:rFonts w:eastAsia="Times New Roman"/>
                <w:b/>
                <w:bCs/>
                <w:sz w:val="24"/>
                <w:szCs w:val="24"/>
              </w:rPr>
            </w:pPr>
            <w:r w:rsidRPr="002F5A68">
              <w:rPr>
                <w:rFonts w:eastAsia="Times New Roman"/>
                <w:b/>
                <w:bCs/>
                <w:sz w:val="24"/>
                <w:szCs w:val="24"/>
              </w:rPr>
              <w:t>FERC Total</w:t>
            </w:r>
          </w:p>
        </w:tc>
        <w:tc>
          <w:tcPr>
            <w:tcW w:w="1530" w:type="dxa"/>
            <w:tcBorders>
              <w:top w:val="nil"/>
              <w:left w:val="nil"/>
              <w:bottom w:val="single" w:color="auto" w:sz="4" w:space="0"/>
              <w:right w:val="single" w:color="auto" w:sz="4" w:space="0"/>
            </w:tcBorders>
            <w:shd w:val="clear" w:color="000000" w:fill="D9D9D9"/>
            <w:vAlign w:val="center"/>
            <w:hideMark/>
          </w:tcPr>
          <w:p w:rsidRPr="002F5A68" w:rsidR="000F36C6" w:rsidP="00632B16" w:rsidRDefault="000F36C6" w14:paraId="6F653D27" w14:textId="77777777">
            <w:pPr>
              <w:spacing w:after="0" w:line="240" w:lineRule="auto"/>
              <w:jc w:val="right"/>
              <w:rPr>
                <w:rFonts w:eastAsia="Times New Roman"/>
                <w:sz w:val="24"/>
                <w:szCs w:val="24"/>
              </w:rPr>
            </w:pPr>
            <w:r w:rsidRPr="002F5A68">
              <w:rPr>
                <w:rFonts w:eastAsia="Times New Roman"/>
                <w:sz w:val="24"/>
                <w:szCs w:val="24"/>
              </w:rPr>
              <w:t> </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36C6" w:rsidR="000F36C6" w:rsidP="001E0C6D" w:rsidRDefault="003912DA" w14:paraId="19E7F5FC" w14:textId="2FFFC1EC">
            <w:pPr>
              <w:spacing w:after="0" w:line="240" w:lineRule="auto"/>
              <w:jc w:val="right"/>
              <w:rPr>
                <w:rFonts w:eastAsia="Times New Roman"/>
                <w:b/>
                <w:bCs/>
                <w:sz w:val="24"/>
                <w:szCs w:val="24"/>
              </w:rPr>
            </w:pPr>
            <w:r>
              <w:rPr>
                <w:color w:val="000000"/>
              </w:rPr>
              <w:t xml:space="preserve">$258,262.49 </w:t>
            </w:r>
            <w:r w:rsidRPr="000F36C6" w:rsidR="000F36C6">
              <w:rPr>
                <w:b/>
                <w:bCs/>
                <w:sz w:val="24"/>
                <w:szCs w:val="24"/>
              </w:rPr>
              <w:t xml:space="preserve"> </w:t>
            </w:r>
          </w:p>
        </w:tc>
      </w:tr>
    </w:tbl>
    <w:p w:rsidRPr="00E758ED" w:rsidR="002C0DC5" w:rsidP="00632B16" w:rsidRDefault="002C0DC5" w14:paraId="4FBF37EC" w14:textId="77777777">
      <w:pPr>
        <w:spacing w:after="0" w:line="240" w:lineRule="auto"/>
        <w:rPr>
          <w:szCs w:val="24"/>
        </w:rPr>
      </w:pPr>
    </w:p>
    <w:p w:rsidR="006F7D0E" w:rsidP="00632B16" w:rsidRDefault="001A1A1A" w14:paraId="10E2CE5F" w14:textId="375508B0">
      <w:pPr>
        <w:spacing w:after="0" w:line="240" w:lineRule="auto"/>
        <w:rPr>
          <w:szCs w:val="24"/>
        </w:rPr>
      </w:pPr>
      <w:r>
        <w:rPr>
          <w:szCs w:val="24"/>
        </w:rPr>
        <w:t xml:space="preserve">The Commission </w:t>
      </w:r>
      <w:r w:rsidRPr="00E758ED" w:rsidR="0041558F">
        <w:rPr>
          <w:szCs w:val="24"/>
        </w:rPr>
        <w:t>estimate</w:t>
      </w:r>
      <w:r>
        <w:rPr>
          <w:szCs w:val="24"/>
        </w:rPr>
        <w:t>s</w:t>
      </w:r>
      <w:r w:rsidRPr="00E758ED" w:rsidR="0041558F">
        <w:rPr>
          <w:szCs w:val="24"/>
        </w:rPr>
        <w:t xml:space="preserve"> an initial increase in cost </w:t>
      </w:r>
      <w:r w:rsidRPr="00A058DF" w:rsidR="008D20EF">
        <w:rPr>
          <w:szCs w:val="24"/>
        </w:rPr>
        <w:t xml:space="preserve">of </w:t>
      </w:r>
      <w:r w:rsidR="001E5032">
        <w:rPr>
          <w:szCs w:val="24"/>
        </w:rPr>
        <w:t>0.83</w:t>
      </w:r>
      <w:r w:rsidRPr="00A058DF" w:rsidR="008D20EF">
        <w:rPr>
          <w:szCs w:val="24"/>
        </w:rPr>
        <w:t xml:space="preserve"> FTE</w:t>
      </w:r>
      <w:r w:rsidRPr="00A058DF" w:rsidR="0041558F">
        <w:rPr>
          <w:szCs w:val="24"/>
        </w:rPr>
        <w:t>s</w:t>
      </w:r>
      <w:r w:rsidRPr="00E758ED" w:rsidR="0041558F">
        <w:rPr>
          <w:szCs w:val="24"/>
        </w:rPr>
        <w:t xml:space="preserve"> during the first year </w:t>
      </w:r>
      <w:r w:rsidRPr="00E758ED" w:rsidR="00C95B7C">
        <w:rPr>
          <w:szCs w:val="24"/>
        </w:rPr>
        <w:t>of</w:t>
      </w:r>
      <w:r w:rsidRPr="00E758ED" w:rsidR="0041558F">
        <w:rPr>
          <w:szCs w:val="24"/>
        </w:rPr>
        <w:t xml:space="preserve"> implement</w:t>
      </w:r>
      <w:r w:rsidRPr="00E758ED" w:rsidR="00C95B7C">
        <w:rPr>
          <w:szCs w:val="24"/>
        </w:rPr>
        <w:t>ing</w:t>
      </w:r>
      <w:r w:rsidRPr="00E758ED" w:rsidR="0041558F">
        <w:rPr>
          <w:szCs w:val="24"/>
        </w:rPr>
        <w:t xml:space="preserve"> the </w:t>
      </w:r>
      <w:r w:rsidR="001E5032">
        <w:rPr>
          <w:szCs w:val="24"/>
        </w:rPr>
        <w:t>modifications</w:t>
      </w:r>
      <w:r w:rsidR="006F7D0E">
        <w:rPr>
          <w:szCs w:val="24"/>
        </w:rPr>
        <w:t>:</w:t>
      </w:r>
    </w:p>
    <w:p w:rsidRPr="001D578A" w:rsidR="006F7D0E" w:rsidP="001D578A" w:rsidRDefault="001E5032" w14:paraId="6A4B4899" w14:textId="079DF367">
      <w:pPr>
        <w:numPr>
          <w:ilvl w:val="0"/>
          <w:numId w:val="23"/>
        </w:numPr>
        <w:spacing w:line="240" w:lineRule="auto"/>
        <w:rPr>
          <w:szCs w:val="24"/>
        </w:rPr>
      </w:pPr>
      <w:r>
        <w:rPr>
          <w:szCs w:val="24"/>
        </w:rPr>
        <w:t xml:space="preserve">5 </w:t>
      </w:r>
      <w:r w:rsidR="006F7D0E">
        <w:rPr>
          <w:szCs w:val="24"/>
        </w:rPr>
        <w:t>FTE</w:t>
      </w:r>
      <w:r>
        <w:rPr>
          <w:szCs w:val="24"/>
        </w:rPr>
        <w:t>s</w:t>
      </w:r>
      <w:r w:rsidR="006F7D0E">
        <w:rPr>
          <w:szCs w:val="24"/>
        </w:rPr>
        <w:t xml:space="preserve"> –</w:t>
      </w:r>
      <w:r w:rsidRPr="006F7D0E" w:rsidR="006F7D0E">
        <w:rPr>
          <w:szCs w:val="24"/>
        </w:rPr>
        <w:t xml:space="preserve"> </w:t>
      </w:r>
      <w:r w:rsidRPr="00E758ED" w:rsidR="006F7D0E">
        <w:rPr>
          <w:szCs w:val="24"/>
        </w:rPr>
        <w:t xml:space="preserve">to </w:t>
      </w:r>
      <w:r>
        <w:rPr>
          <w:szCs w:val="24"/>
        </w:rPr>
        <w:t xml:space="preserve">develop and test </w:t>
      </w:r>
      <w:r w:rsidRPr="00E758ED" w:rsidR="006F7D0E">
        <w:rPr>
          <w:szCs w:val="24"/>
        </w:rPr>
        <w:t xml:space="preserve">the </w:t>
      </w:r>
      <w:r>
        <w:rPr>
          <w:szCs w:val="24"/>
        </w:rPr>
        <w:t xml:space="preserve">modifications to the </w:t>
      </w:r>
      <w:r w:rsidRPr="00E758ED" w:rsidR="006F7D0E">
        <w:rPr>
          <w:szCs w:val="24"/>
        </w:rPr>
        <w:t xml:space="preserve">relational database and </w:t>
      </w:r>
      <w:r w:rsidRPr="001D578A" w:rsidR="006F7D0E">
        <w:rPr>
          <w:szCs w:val="24"/>
        </w:rPr>
        <w:t xml:space="preserve">incorporate it into </w:t>
      </w:r>
      <w:r w:rsidR="00D7341C">
        <w:rPr>
          <w:szCs w:val="24"/>
        </w:rPr>
        <w:t>the Commission’s</w:t>
      </w:r>
      <w:r w:rsidRPr="001D578A" w:rsidR="00D7341C">
        <w:rPr>
          <w:szCs w:val="24"/>
        </w:rPr>
        <w:t xml:space="preserve"> </w:t>
      </w:r>
      <w:r w:rsidRPr="001D578A" w:rsidR="006F7D0E">
        <w:rPr>
          <w:szCs w:val="24"/>
        </w:rPr>
        <w:t>analyses</w:t>
      </w:r>
      <w:r w:rsidRPr="001D578A">
        <w:rPr>
          <w:szCs w:val="24"/>
        </w:rPr>
        <w:t xml:space="preserve"> in the first two months</w:t>
      </w:r>
      <w:r w:rsidRPr="001D578A" w:rsidR="00BC75D0">
        <w:rPr>
          <w:szCs w:val="24"/>
        </w:rPr>
        <w:t>.</w:t>
      </w:r>
    </w:p>
    <w:p w:rsidR="006F7D0E" w:rsidP="00632B16" w:rsidRDefault="006F7D0E" w14:paraId="756377F3" w14:textId="5072942D">
      <w:pPr>
        <w:spacing w:after="0" w:line="240" w:lineRule="auto"/>
        <w:rPr>
          <w:szCs w:val="24"/>
        </w:rPr>
      </w:pPr>
      <w:r w:rsidRPr="001D578A">
        <w:rPr>
          <w:szCs w:val="24"/>
        </w:rPr>
        <w:t>After the two-</w:t>
      </w:r>
      <w:r w:rsidRPr="001D578A" w:rsidR="001E5032">
        <w:rPr>
          <w:szCs w:val="24"/>
        </w:rPr>
        <w:t xml:space="preserve">month </w:t>
      </w:r>
      <w:r w:rsidRPr="001D578A">
        <w:rPr>
          <w:szCs w:val="24"/>
        </w:rPr>
        <w:t xml:space="preserve">period, there is no net increase in FTEs resulting from RM16-17-000.  </w:t>
      </w:r>
      <w:r w:rsidRPr="00381E5C" w:rsidR="00A625FE">
        <w:rPr>
          <w:szCs w:val="24"/>
        </w:rPr>
        <w:t>This calculation is only related to the Order</w:t>
      </w:r>
      <w:r w:rsidRPr="00381E5C" w:rsidR="00703D16">
        <w:rPr>
          <w:szCs w:val="24"/>
        </w:rPr>
        <w:t xml:space="preserve"> and FERC-919A</w:t>
      </w:r>
      <w:r w:rsidRPr="00381E5C" w:rsidR="00A625FE">
        <w:rPr>
          <w:szCs w:val="24"/>
        </w:rPr>
        <w:t>, and not the original FERC-919.</w:t>
      </w:r>
    </w:p>
    <w:p w:rsidR="00E20A5D" w:rsidP="00632B16" w:rsidRDefault="00E20A5D" w14:paraId="7BFD63FE" w14:textId="77777777">
      <w:pPr>
        <w:spacing w:after="0" w:line="240" w:lineRule="auto"/>
        <w:rPr>
          <w:szCs w:val="24"/>
        </w:rPr>
      </w:pPr>
    </w:p>
    <w:p w:rsidRPr="00E20A5D" w:rsidR="00E20A5D" w:rsidP="00E20A5D" w:rsidRDefault="00E20A5D" w14:paraId="779086B2" w14:textId="56AB4FAC">
      <w:pPr>
        <w:spacing w:after="0" w:line="240" w:lineRule="auto"/>
        <w:rPr>
          <w:szCs w:val="24"/>
        </w:rPr>
      </w:pPr>
      <w:r w:rsidRPr="00E20A5D">
        <w:rPr>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Pr="00E758ED" w:rsidR="00A276F5" w:rsidP="00632B16" w:rsidRDefault="00A276F5" w14:paraId="03533243" w14:textId="696C85E5">
      <w:pPr>
        <w:spacing w:after="0" w:line="240" w:lineRule="auto"/>
        <w:rPr>
          <w:szCs w:val="24"/>
        </w:rPr>
      </w:pPr>
    </w:p>
    <w:p w:rsidRPr="004C18AA" w:rsidR="00A276F5" w:rsidP="00632B16" w:rsidRDefault="00A276F5" w14:paraId="03533244" w14:textId="07761E27">
      <w:pPr>
        <w:pStyle w:val="FERCparanumber"/>
      </w:pPr>
      <w:r w:rsidRPr="004C18AA">
        <w:t>REASONS FOR CHANGES IN BURDEN INCLUDING THE NEED FOR ANY INCREASE</w:t>
      </w:r>
      <w:r w:rsidRPr="004C18AA" w:rsidR="008344B1">
        <w:t xml:space="preserve"> </w:t>
      </w:r>
    </w:p>
    <w:p w:rsidRPr="001D578A" w:rsidR="0044124E" w:rsidP="00632B16" w:rsidRDefault="000E4A6B" w14:paraId="7AB798A4" w14:textId="5BAD83DD">
      <w:pPr>
        <w:spacing w:after="0" w:line="240" w:lineRule="auto"/>
        <w:rPr>
          <w:rFonts w:eastAsia="Calibri"/>
          <w:szCs w:val="24"/>
        </w:rPr>
      </w:pPr>
      <w:r w:rsidRPr="001D578A">
        <w:rPr>
          <w:rFonts w:eastAsia="Calibri"/>
          <w:szCs w:val="24"/>
        </w:rPr>
        <w:t xml:space="preserve">Order 860 provided burden estimates based on Category 1 and Category 2 sellers.  However, here, the estimate is inclusive of both categories of sellers.  Thereby, the </w:t>
      </w:r>
      <w:r w:rsidRPr="001D578A">
        <w:rPr>
          <w:rFonts w:eastAsia="Calibri"/>
          <w:szCs w:val="24"/>
        </w:rPr>
        <w:lastRenderedPageBreak/>
        <w:t>original categories of Sellers were not used.  Instead, the Commission estimated that</w:t>
      </w:r>
      <w:r w:rsidRPr="001D578A">
        <w:rPr>
          <w:rFonts w:eastAsia="Calibri"/>
          <w:bCs/>
          <w:szCs w:val="24"/>
        </w:rPr>
        <w:t xml:space="preserve"> six institutional investors currently have FPA section 203(a)(2) blanket authorizations, which collectively own approximately 110 upstream affiliates that themselves own Sellers.  In the March Notice the Commission estimated </w:t>
      </w:r>
      <w:r w:rsidRPr="001D578A">
        <w:rPr>
          <w:rFonts w:eastAsia="Calibri"/>
          <w:szCs w:val="24"/>
        </w:rPr>
        <w:t>an average of four sellers for every</w:t>
      </w:r>
      <w:r w:rsidRPr="001D578A">
        <w:rPr>
          <w:rFonts w:eastAsia="Calibri"/>
          <w:bCs/>
          <w:szCs w:val="24"/>
        </w:rPr>
        <w:t xml:space="preserve"> ultimate upstream affiliate, equaling 440 affected respondents in total.</w:t>
      </w:r>
      <w:r w:rsidRPr="001D578A">
        <w:rPr>
          <w:rFonts w:eastAsia="Calibri"/>
          <w:szCs w:val="24"/>
        </w:rPr>
        <w:t xml:space="preserve">  Of these 440 affected entities discussed in the Order, the Commission estimates that none of these will be small entities.  </w:t>
      </w:r>
    </w:p>
    <w:p w:rsidR="002C5E24" w:rsidP="00632B16" w:rsidRDefault="002C5E24" w14:paraId="2E9B2306" w14:textId="77777777">
      <w:pPr>
        <w:spacing w:after="0" w:line="240" w:lineRule="auto"/>
        <w:rPr>
          <w:rFonts w:eastAsia="Calibri"/>
          <w:szCs w:val="24"/>
        </w:rPr>
      </w:pPr>
    </w:p>
    <w:p w:rsidR="00E43BFB" w:rsidP="00632B16" w:rsidRDefault="00E43BFB" w14:paraId="5194E556" w14:textId="23A1A300">
      <w:pPr>
        <w:spacing w:after="0" w:line="240" w:lineRule="auto"/>
        <w:rPr>
          <w:rFonts w:eastAsia="Calibri"/>
          <w:szCs w:val="24"/>
        </w:rPr>
      </w:pPr>
      <w:r w:rsidRPr="00AB742F">
        <w:rPr>
          <w:rFonts w:eastAsia="Calibri"/>
          <w:szCs w:val="24"/>
        </w:rPr>
        <w:t>The Commission will</w:t>
      </w:r>
      <w:r>
        <w:rPr>
          <w:rFonts w:eastAsia="Calibri"/>
          <w:szCs w:val="24"/>
        </w:rPr>
        <w:t xml:space="preserve"> </w:t>
      </w:r>
      <w:r w:rsidRPr="00AB742F">
        <w:rPr>
          <w:rFonts w:eastAsia="Calibri"/>
          <w:szCs w:val="24"/>
        </w:rPr>
        <w:t xml:space="preserve">collect certain information currently filed in the market-based rate program in a consolidated and streamlined manner through a relational database.  The relational database construct modernizes the Commission’s data collection processes, eliminates duplications, and renders information collected through its market-based rate program usable and accessible for the Commission.  </w:t>
      </w:r>
    </w:p>
    <w:p w:rsidR="00A04C58" w:rsidP="00632B16" w:rsidRDefault="00A04C58" w14:paraId="13E24DC8" w14:textId="76EA5632">
      <w:pPr>
        <w:spacing w:after="0" w:line="240" w:lineRule="auto"/>
        <w:rPr>
          <w:rFonts w:eastAsia="Calibri"/>
          <w:szCs w:val="24"/>
        </w:rPr>
      </w:pPr>
    </w:p>
    <w:p w:rsidR="00A04C58" w:rsidP="00632B16" w:rsidRDefault="00A04C58" w14:paraId="16F9BE9E" w14:textId="243474B9">
      <w:pPr>
        <w:spacing w:after="0" w:line="240" w:lineRule="auto"/>
        <w:rPr>
          <w:rFonts w:eastAsia="Calibri"/>
          <w:szCs w:val="24"/>
        </w:rPr>
      </w:pPr>
      <w:r>
        <w:rPr>
          <w:rFonts w:eastAsia="Calibri"/>
          <w:szCs w:val="24"/>
        </w:rPr>
        <w:t>The Commission</w:t>
      </w:r>
      <w:r w:rsidRPr="00A04C58">
        <w:rPr>
          <w:rFonts w:eastAsia="Calibri"/>
          <w:szCs w:val="24"/>
        </w:rPr>
        <w:t xml:space="preserve"> estimate</w:t>
      </w:r>
      <w:r>
        <w:rPr>
          <w:rFonts w:eastAsia="Calibri"/>
          <w:szCs w:val="24"/>
        </w:rPr>
        <w:t>s</w:t>
      </w:r>
      <w:r w:rsidRPr="00A04C58">
        <w:rPr>
          <w:rFonts w:eastAsia="Calibri"/>
          <w:szCs w:val="24"/>
        </w:rPr>
        <w:t xml:space="preserve"> that the </w:t>
      </w:r>
      <w:r>
        <w:rPr>
          <w:rFonts w:eastAsia="Calibri"/>
          <w:szCs w:val="24"/>
        </w:rPr>
        <w:t xml:space="preserve">initial, </w:t>
      </w:r>
      <w:r w:rsidRPr="00A04C58">
        <w:rPr>
          <w:rFonts w:eastAsia="Calibri"/>
          <w:szCs w:val="24"/>
        </w:rPr>
        <w:t xml:space="preserve">additional burden due to these revisions of reporting this information will </w:t>
      </w:r>
      <w:r w:rsidR="00842917">
        <w:rPr>
          <w:rFonts w:eastAsia="Calibri"/>
          <w:szCs w:val="24"/>
        </w:rPr>
        <w:t>have no</w:t>
      </w:r>
      <w:r w:rsidRPr="00A04C58">
        <w:rPr>
          <w:rFonts w:eastAsia="Calibri"/>
          <w:szCs w:val="24"/>
        </w:rPr>
        <w:t xml:space="preserve"> net change in overall burden because sellers will no</w:t>
      </w:r>
      <w:r w:rsidRPr="00A04C58">
        <w:rPr>
          <w:szCs w:val="26"/>
        </w:rPr>
        <w:t xml:space="preserve"> </w:t>
      </w:r>
      <w:r w:rsidRPr="00A04C58">
        <w:rPr>
          <w:rFonts w:eastAsia="Calibri"/>
          <w:szCs w:val="24"/>
        </w:rPr>
        <w:t xml:space="preserve">longer be affiliated through common ultimate upstream affiliates with blanket authorizations, as contemplated in Order Nos. 860 and 860-A.  </w:t>
      </w:r>
      <w:r>
        <w:rPr>
          <w:rFonts w:eastAsia="Calibri"/>
          <w:szCs w:val="24"/>
        </w:rPr>
        <w:t xml:space="preserve">The Commission </w:t>
      </w:r>
      <w:r w:rsidRPr="00A04C58">
        <w:rPr>
          <w:rFonts w:eastAsia="Calibri"/>
          <w:szCs w:val="24"/>
        </w:rPr>
        <w:t>conservatively estimate</w:t>
      </w:r>
      <w:r>
        <w:rPr>
          <w:rFonts w:eastAsia="Calibri"/>
          <w:szCs w:val="24"/>
        </w:rPr>
        <w:t>s</w:t>
      </w:r>
      <w:r w:rsidRPr="00A04C58">
        <w:rPr>
          <w:rFonts w:eastAsia="Calibri"/>
          <w:szCs w:val="24"/>
        </w:rPr>
        <w:t xml:space="preserve"> that the net change on the impacted sellers reporting this information will be zero.  The net additional cost calculations were determined by subtracting the total burden for impacted sellers for these revisions from the estimated burden in Order No. 860 which result</w:t>
      </w:r>
      <w:r>
        <w:rPr>
          <w:rFonts w:eastAsia="Calibri"/>
          <w:szCs w:val="24"/>
        </w:rPr>
        <w:t>ed</w:t>
      </w:r>
      <w:r w:rsidRPr="00A04C58">
        <w:rPr>
          <w:rFonts w:eastAsia="Calibri"/>
          <w:szCs w:val="24"/>
        </w:rPr>
        <w:t xml:space="preserve"> in no change in burden.</w:t>
      </w:r>
    </w:p>
    <w:p w:rsidR="00842917" w:rsidP="00632B16" w:rsidRDefault="00842917" w14:paraId="5BCCF755" w14:textId="77777777">
      <w:pPr>
        <w:spacing w:after="0" w:line="240" w:lineRule="auto"/>
        <w:rPr>
          <w:rFonts w:eastAsia="Calibri"/>
          <w:szCs w:val="24"/>
        </w:rPr>
      </w:pPr>
    </w:p>
    <w:p w:rsidR="008917BB" w:rsidP="00632B16" w:rsidRDefault="00842917" w14:paraId="2E78144A" w14:textId="6F6FD239">
      <w:pPr>
        <w:spacing w:after="0" w:line="240" w:lineRule="auto"/>
        <w:rPr>
          <w:szCs w:val="24"/>
        </w:rPr>
      </w:pPr>
      <w:r w:rsidRPr="001D578A">
        <w:rPr>
          <w:i/>
          <w:szCs w:val="24"/>
        </w:rPr>
        <w:t>Program Decrease</w:t>
      </w:r>
      <w:r w:rsidR="008917BB">
        <w:rPr>
          <w:i/>
          <w:szCs w:val="24"/>
        </w:rPr>
        <w:t>.</w:t>
      </w:r>
      <w:r w:rsidRPr="007A3558" w:rsidR="003563EA">
        <w:rPr>
          <w:szCs w:val="24"/>
        </w:rPr>
        <w:t xml:space="preserve">- </w:t>
      </w:r>
      <w:r w:rsidR="007A3558">
        <w:rPr>
          <w:szCs w:val="24"/>
        </w:rPr>
        <w:t xml:space="preserve">In </w:t>
      </w:r>
      <w:r w:rsidRPr="007A3558" w:rsidR="003563EA">
        <w:rPr>
          <w:szCs w:val="24"/>
        </w:rPr>
        <w:t>Order 860</w:t>
      </w:r>
      <w:r w:rsidR="007A3558">
        <w:rPr>
          <w:szCs w:val="24"/>
        </w:rPr>
        <w:t xml:space="preserve"> and Order 860-A, the Commission contemplated that S</w:t>
      </w:r>
      <w:r w:rsidRPr="007A3558" w:rsidR="007A3558">
        <w:rPr>
          <w:szCs w:val="24"/>
        </w:rPr>
        <w:t xml:space="preserve">ellers </w:t>
      </w:r>
      <w:r w:rsidR="00586708">
        <w:rPr>
          <w:szCs w:val="24"/>
        </w:rPr>
        <w:t>would be</w:t>
      </w:r>
      <w:r w:rsidR="007A3558">
        <w:rPr>
          <w:szCs w:val="24"/>
        </w:rPr>
        <w:t xml:space="preserve"> required to</w:t>
      </w:r>
      <w:r w:rsidRPr="007A3558" w:rsidR="007A3558">
        <w:rPr>
          <w:szCs w:val="24"/>
        </w:rPr>
        <w:t xml:space="preserve"> be affiliated through common ultimate upstream affiliates with blanket authorizations</w:t>
      </w:r>
      <w:r w:rsidR="007A3558">
        <w:rPr>
          <w:szCs w:val="24"/>
        </w:rPr>
        <w:t xml:space="preserve">. We are removing this requirement </w:t>
      </w:r>
      <w:r w:rsidR="00586708">
        <w:rPr>
          <w:szCs w:val="24"/>
        </w:rPr>
        <w:t xml:space="preserve">resulting in a program decrease of </w:t>
      </w:r>
      <w:r w:rsidR="008917BB">
        <w:rPr>
          <w:szCs w:val="24"/>
        </w:rPr>
        <w:t xml:space="preserve">some </w:t>
      </w:r>
      <w:r w:rsidR="00586708">
        <w:rPr>
          <w:szCs w:val="24"/>
        </w:rPr>
        <w:t>burden hours</w:t>
      </w:r>
      <w:r w:rsidR="008917BB">
        <w:rPr>
          <w:szCs w:val="24"/>
        </w:rPr>
        <w:t xml:space="preserve"> f</w:t>
      </w:r>
      <w:r w:rsidR="00B61E45">
        <w:rPr>
          <w:szCs w:val="24"/>
        </w:rPr>
        <w:t xml:space="preserve">rom the previously approved </w:t>
      </w:r>
      <w:r w:rsidR="008917BB">
        <w:rPr>
          <w:szCs w:val="24"/>
        </w:rPr>
        <w:t>ICs prior to the August 2021 order (with the following updated labels):</w:t>
      </w:r>
    </w:p>
    <w:p w:rsidRPr="00D23233" w:rsidR="008917BB" w:rsidP="00E70FCB" w:rsidRDefault="008917BB" w14:paraId="0D5C9E87" w14:textId="0731DA0F">
      <w:pPr>
        <w:pStyle w:val="ListParagraph"/>
        <w:numPr>
          <w:ilvl w:val="0"/>
          <w:numId w:val="23"/>
        </w:numPr>
        <w:spacing w:after="0" w:line="240" w:lineRule="auto"/>
        <w:rPr>
          <w:szCs w:val="24"/>
        </w:rPr>
      </w:pPr>
      <w:r w:rsidRPr="00D23233">
        <w:rPr>
          <w:szCs w:val="24"/>
        </w:rPr>
        <w:t>RM16-17-000 Final Rule (Category 1, 1st Year), as modified by Aug. 2021</w:t>
      </w:r>
      <w:r w:rsidR="00B61E45">
        <w:rPr>
          <w:szCs w:val="24"/>
        </w:rPr>
        <w:t xml:space="preserve"> Order</w:t>
      </w:r>
      <w:r w:rsidRPr="00D23233">
        <w:rPr>
          <w:szCs w:val="24"/>
        </w:rPr>
        <w:t xml:space="preserve"> </w:t>
      </w:r>
    </w:p>
    <w:p w:rsidR="008917BB" w:rsidP="00E65284" w:rsidRDefault="008917BB" w14:paraId="67844596" w14:textId="77777777">
      <w:pPr>
        <w:pStyle w:val="ListParagraph"/>
        <w:numPr>
          <w:ilvl w:val="0"/>
          <w:numId w:val="23"/>
        </w:numPr>
        <w:spacing w:after="0" w:line="240" w:lineRule="auto"/>
        <w:rPr>
          <w:szCs w:val="24"/>
        </w:rPr>
      </w:pPr>
      <w:r w:rsidRPr="00751CC9">
        <w:rPr>
          <w:szCs w:val="24"/>
        </w:rPr>
        <w:t>RM16-17-000 Final Rule (Category 2, 1st Year), as modified by Order of August 2021</w:t>
      </w:r>
    </w:p>
    <w:p w:rsidR="008917BB" w:rsidP="004F063D" w:rsidRDefault="008917BB" w14:paraId="3EE5128F" w14:textId="09A46B9B">
      <w:pPr>
        <w:pStyle w:val="ListParagraph"/>
        <w:numPr>
          <w:ilvl w:val="0"/>
          <w:numId w:val="23"/>
        </w:numPr>
        <w:spacing w:after="0" w:line="240" w:lineRule="auto"/>
        <w:rPr>
          <w:szCs w:val="24"/>
        </w:rPr>
      </w:pPr>
      <w:r w:rsidRPr="008917BB">
        <w:rPr>
          <w:szCs w:val="24"/>
        </w:rPr>
        <w:t>RM16-17-000 Final Rule (Category 1, 2nd Year and Ongoing), as modified by Order of August 2021</w:t>
      </w:r>
    </w:p>
    <w:p w:rsidR="008917BB" w:rsidP="004F063D" w:rsidRDefault="008917BB" w14:paraId="0C89D148" w14:textId="50110167">
      <w:pPr>
        <w:pStyle w:val="ListParagraph"/>
        <w:numPr>
          <w:ilvl w:val="0"/>
          <w:numId w:val="23"/>
        </w:numPr>
        <w:spacing w:after="0" w:line="240" w:lineRule="auto"/>
        <w:rPr>
          <w:szCs w:val="24"/>
        </w:rPr>
      </w:pPr>
      <w:r w:rsidRPr="008917BB">
        <w:rPr>
          <w:szCs w:val="24"/>
        </w:rPr>
        <w:t>RM16-17-000 Final Rule (Category 2, 2nd Year and Ongoing) as modified by Order of August 2921</w:t>
      </w:r>
    </w:p>
    <w:p w:rsidRPr="008917BB" w:rsidR="008917BB" w:rsidP="00E70FCB" w:rsidRDefault="008917BB" w14:paraId="376FA941" w14:textId="77777777">
      <w:pPr>
        <w:pStyle w:val="ListParagraph"/>
        <w:spacing w:after="0" w:line="240" w:lineRule="auto"/>
        <w:ind w:left="360"/>
        <w:rPr>
          <w:szCs w:val="24"/>
        </w:rPr>
      </w:pPr>
    </w:p>
    <w:p w:rsidR="008917BB" w:rsidP="00632B16" w:rsidRDefault="008917BB" w14:paraId="78F97546" w14:textId="0F8444C2">
      <w:pPr>
        <w:spacing w:after="0" w:line="240" w:lineRule="auto"/>
        <w:rPr>
          <w:szCs w:val="24"/>
        </w:rPr>
      </w:pPr>
      <w:r>
        <w:rPr>
          <w:szCs w:val="24"/>
        </w:rPr>
        <w:lastRenderedPageBreak/>
        <w:t xml:space="preserve">The </w:t>
      </w:r>
      <w:r w:rsidR="00632E09">
        <w:rPr>
          <w:szCs w:val="24"/>
        </w:rPr>
        <w:t xml:space="preserve">average annual </w:t>
      </w:r>
      <w:r>
        <w:rPr>
          <w:szCs w:val="24"/>
        </w:rPr>
        <w:t>burden decrease (and burden increase described below)</w:t>
      </w:r>
      <w:r w:rsidR="00CE4A30">
        <w:rPr>
          <w:szCs w:val="24"/>
        </w:rPr>
        <w:t xml:space="preserve">, due to the August 2021 Order, </w:t>
      </w:r>
      <w:r>
        <w:rPr>
          <w:szCs w:val="24"/>
        </w:rPr>
        <w:t>of 20,240 hours is the annual average over Years 1-3.</w:t>
      </w:r>
      <w:r w:rsidRPr="00632E09" w:rsidR="00632E09">
        <w:t xml:space="preserve"> </w:t>
      </w:r>
      <w:r w:rsidRPr="00632E09" w:rsidR="00632E09">
        <w:rPr>
          <w:szCs w:val="24"/>
        </w:rPr>
        <w:t>(Year 1 is 880 hours; Year 2 is 29,920 hours; and Year 3 is 29,920 hours.  That gives an annual average o</w:t>
      </w:r>
      <w:r w:rsidR="00A609BD">
        <w:rPr>
          <w:szCs w:val="24"/>
        </w:rPr>
        <w:t>f</w:t>
      </w:r>
      <w:r w:rsidRPr="00632E09" w:rsidR="00632E09">
        <w:rPr>
          <w:szCs w:val="24"/>
        </w:rPr>
        <w:t xml:space="preserve"> 20,240 hours per year for Years 1-3.)</w:t>
      </w:r>
    </w:p>
    <w:p w:rsidR="008917BB" w:rsidP="00632B16" w:rsidRDefault="008917BB" w14:paraId="61C41B3C" w14:textId="77777777">
      <w:pPr>
        <w:spacing w:after="0" w:line="240" w:lineRule="auto"/>
        <w:rPr>
          <w:szCs w:val="24"/>
        </w:rPr>
      </w:pPr>
    </w:p>
    <w:p w:rsidR="00071D56" w:rsidP="00E70FCB" w:rsidRDefault="00071D56" w14:paraId="45BFAE8E" w14:textId="61BC1111">
      <w:pPr>
        <w:spacing w:after="0" w:line="240" w:lineRule="auto"/>
        <w:jc w:val="center"/>
        <w:rPr>
          <w:szCs w:val="24"/>
        </w:rPr>
      </w:pPr>
    </w:p>
    <w:p w:rsidR="00071D56" w:rsidP="00632B16" w:rsidRDefault="00071D56" w14:paraId="216461F8" w14:textId="77777777">
      <w:pPr>
        <w:spacing w:after="0" w:line="240" w:lineRule="auto"/>
        <w:rPr>
          <w:szCs w:val="24"/>
        </w:rPr>
      </w:pPr>
    </w:p>
    <w:p w:rsidR="008917BB" w:rsidP="00632B16" w:rsidRDefault="003563EA" w14:paraId="339442B0" w14:textId="10B2FC5B">
      <w:pPr>
        <w:spacing w:after="0" w:line="240" w:lineRule="auto"/>
        <w:rPr>
          <w:szCs w:val="24"/>
        </w:rPr>
      </w:pPr>
      <w:r w:rsidRPr="001D578A">
        <w:rPr>
          <w:i/>
          <w:szCs w:val="24"/>
        </w:rPr>
        <w:t>Program Increase</w:t>
      </w:r>
      <w:r w:rsidRPr="007A3558">
        <w:rPr>
          <w:szCs w:val="24"/>
        </w:rPr>
        <w:t>-</w:t>
      </w:r>
      <w:r w:rsidR="00E969A3">
        <w:rPr>
          <w:rStyle w:val="FootnoteReference"/>
          <w:szCs w:val="24"/>
        </w:rPr>
        <w:footnoteReference w:id="24"/>
      </w:r>
      <w:r w:rsidR="00EC1220">
        <w:rPr>
          <w:szCs w:val="24"/>
        </w:rPr>
        <w:t xml:space="preserve"> See Table 2 above.  </w:t>
      </w:r>
      <w:r w:rsidRPr="007A3558">
        <w:rPr>
          <w:szCs w:val="24"/>
        </w:rPr>
        <w:t xml:space="preserve"> </w:t>
      </w:r>
      <w:r w:rsidRPr="008917BB" w:rsidR="008917BB">
        <w:rPr>
          <w:szCs w:val="24"/>
        </w:rPr>
        <w:t xml:space="preserve">The </w:t>
      </w:r>
      <w:r w:rsidR="008917BB">
        <w:rPr>
          <w:szCs w:val="24"/>
        </w:rPr>
        <w:t xml:space="preserve">annual </w:t>
      </w:r>
      <w:r w:rsidRPr="008917BB" w:rsidR="008917BB">
        <w:rPr>
          <w:szCs w:val="24"/>
        </w:rPr>
        <w:t xml:space="preserve">burden </w:t>
      </w:r>
      <w:r w:rsidR="008917BB">
        <w:rPr>
          <w:szCs w:val="24"/>
        </w:rPr>
        <w:t>in</w:t>
      </w:r>
      <w:r w:rsidRPr="008917BB" w:rsidR="008917BB">
        <w:rPr>
          <w:szCs w:val="24"/>
        </w:rPr>
        <w:t xml:space="preserve">crease (and </w:t>
      </w:r>
      <w:r w:rsidR="008917BB">
        <w:rPr>
          <w:szCs w:val="24"/>
        </w:rPr>
        <w:t xml:space="preserve">annual </w:t>
      </w:r>
      <w:r w:rsidRPr="008917BB" w:rsidR="008917BB">
        <w:rPr>
          <w:szCs w:val="24"/>
        </w:rPr>
        <w:t xml:space="preserve">burden </w:t>
      </w:r>
      <w:r w:rsidR="008917BB">
        <w:rPr>
          <w:szCs w:val="24"/>
        </w:rPr>
        <w:t>de</w:t>
      </w:r>
      <w:r w:rsidRPr="008917BB" w:rsidR="008917BB">
        <w:rPr>
          <w:szCs w:val="24"/>
        </w:rPr>
        <w:t xml:space="preserve">crease described </w:t>
      </w:r>
      <w:r w:rsidR="008917BB">
        <w:rPr>
          <w:szCs w:val="24"/>
        </w:rPr>
        <w:t>above</w:t>
      </w:r>
      <w:r w:rsidRPr="008917BB" w:rsidR="008917BB">
        <w:rPr>
          <w:szCs w:val="24"/>
        </w:rPr>
        <w:t>)</w:t>
      </w:r>
      <w:r w:rsidR="00CE4A30">
        <w:rPr>
          <w:szCs w:val="24"/>
        </w:rPr>
        <w:t>, due to the August 2021 Order,</w:t>
      </w:r>
      <w:r w:rsidRPr="008917BB" w:rsidR="008917BB">
        <w:rPr>
          <w:szCs w:val="24"/>
        </w:rPr>
        <w:t xml:space="preserve"> of 20,240 hours is the annual average over Years 1-3.</w:t>
      </w:r>
      <w:r w:rsidR="00E969A3">
        <w:rPr>
          <w:szCs w:val="24"/>
        </w:rPr>
        <w:t xml:space="preserve">  </w:t>
      </w:r>
      <w:bookmarkStart w:name="_Hlk82090380" w:id="0"/>
      <w:r w:rsidR="00E969A3">
        <w:rPr>
          <w:szCs w:val="24"/>
        </w:rPr>
        <w:t>(Year 1 is 880 hours; Year 2 is 29,920 hours; and Year 3 is 29,920 hours.  That gives an annual average o</w:t>
      </w:r>
      <w:r w:rsidR="003C488E">
        <w:rPr>
          <w:szCs w:val="24"/>
        </w:rPr>
        <w:t>f</w:t>
      </w:r>
      <w:r w:rsidR="00E969A3">
        <w:rPr>
          <w:szCs w:val="24"/>
        </w:rPr>
        <w:t xml:space="preserve"> 20,240 hours per year for Years 1-3.)</w:t>
      </w:r>
    </w:p>
    <w:bookmarkEnd w:id="0"/>
    <w:p w:rsidR="00871FC8" w:rsidP="00632B16" w:rsidRDefault="007A3558" w14:paraId="1BDA365D" w14:textId="03C15C9A">
      <w:pPr>
        <w:spacing w:after="0" w:line="240" w:lineRule="auto"/>
        <w:rPr>
          <w:szCs w:val="24"/>
        </w:rPr>
      </w:pPr>
      <w:r>
        <w:rPr>
          <w:szCs w:val="24"/>
        </w:rPr>
        <w:lastRenderedPageBreak/>
        <w:t xml:space="preserve">In this </w:t>
      </w:r>
      <w:r w:rsidR="008917BB">
        <w:rPr>
          <w:szCs w:val="24"/>
        </w:rPr>
        <w:t xml:space="preserve">August 2021 </w:t>
      </w:r>
      <w:r>
        <w:rPr>
          <w:szCs w:val="24"/>
        </w:rPr>
        <w:t>Order, we are now requiring 440 of the 2,666 responses to provide</w:t>
      </w:r>
      <w:r w:rsidRPr="007A3558">
        <w:rPr>
          <w:szCs w:val="24"/>
        </w:rPr>
        <w:t xml:space="preserve"> additional data from certain Sellers</w:t>
      </w:r>
      <w:r>
        <w:rPr>
          <w:szCs w:val="24"/>
        </w:rPr>
        <w:t xml:space="preserve">: </w:t>
      </w:r>
    </w:p>
    <w:p w:rsidR="00871FC8" w:rsidP="00871FC8" w:rsidRDefault="00586708" w14:paraId="748A633F" w14:textId="77777777">
      <w:pPr>
        <w:pStyle w:val="ListParagraph"/>
        <w:numPr>
          <w:ilvl w:val="0"/>
          <w:numId w:val="23"/>
        </w:numPr>
        <w:spacing w:after="0" w:line="240" w:lineRule="auto"/>
        <w:rPr>
          <w:szCs w:val="24"/>
        </w:rPr>
      </w:pPr>
      <w:r w:rsidRPr="00A01574">
        <w:rPr>
          <w:szCs w:val="24"/>
        </w:rPr>
        <w:t xml:space="preserve">the docket number of the FPA section 203(a)(2) blanket authorization, </w:t>
      </w:r>
    </w:p>
    <w:p w:rsidR="00871FC8" w:rsidP="00871FC8" w:rsidRDefault="00586708" w14:paraId="4F013495" w14:textId="77777777">
      <w:pPr>
        <w:pStyle w:val="ListParagraph"/>
        <w:numPr>
          <w:ilvl w:val="0"/>
          <w:numId w:val="23"/>
        </w:numPr>
        <w:spacing w:after="0" w:line="240" w:lineRule="auto"/>
        <w:rPr>
          <w:szCs w:val="24"/>
        </w:rPr>
      </w:pPr>
      <w:r w:rsidRPr="00A01574">
        <w:rPr>
          <w:szCs w:val="24"/>
        </w:rPr>
        <w:t xml:space="preserve">the Utility_ID_Type_CD of the utility whose securities were acquired under the corresponding section 203(a)(2) blanket authorization docket number, and </w:t>
      </w:r>
    </w:p>
    <w:p w:rsidRPr="00300F75" w:rsidR="00871FC8" w:rsidP="00871FC8" w:rsidRDefault="00586708" w14:paraId="68EB9285" w14:textId="77777777">
      <w:pPr>
        <w:pStyle w:val="ListParagraph"/>
        <w:numPr>
          <w:ilvl w:val="0"/>
          <w:numId w:val="23"/>
        </w:numPr>
        <w:spacing w:after="0" w:line="240" w:lineRule="auto"/>
        <w:rPr>
          <w:szCs w:val="24"/>
        </w:rPr>
      </w:pPr>
      <w:r w:rsidRPr="00300F75">
        <w:rPr>
          <w:szCs w:val="24"/>
        </w:rPr>
        <w:t xml:space="preserve">the Utility_ID of that utility. </w:t>
      </w:r>
    </w:p>
    <w:p w:rsidR="00300F75" w:rsidP="00300F75" w:rsidRDefault="00586708" w14:paraId="7AE49D59" w14:textId="7608971D">
      <w:pPr>
        <w:spacing w:after="0" w:line="240" w:lineRule="auto"/>
      </w:pPr>
      <w:r w:rsidRPr="00300F75">
        <w:rPr>
          <w:szCs w:val="24"/>
        </w:rPr>
        <w:t>The number of responses as a result of this Order, 440 responses</w:t>
      </w:r>
      <w:r w:rsidRPr="00300F75" w:rsidR="00EC1220">
        <w:rPr>
          <w:szCs w:val="24"/>
        </w:rPr>
        <w:t xml:space="preserve"> annually</w:t>
      </w:r>
      <w:r w:rsidRPr="00300F75">
        <w:rPr>
          <w:szCs w:val="24"/>
        </w:rPr>
        <w:t>, is inclusive in the total responses previously approved by OIRA</w:t>
      </w:r>
      <w:r w:rsidRPr="00300F75" w:rsidR="00577496">
        <w:rPr>
          <w:szCs w:val="24"/>
        </w:rPr>
        <w:t>.</w:t>
      </w:r>
      <w:r w:rsidR="00300F75">
        <w:rPr>
          <w:szCs w:val="24"/>
        </w:rPr>
        <w:t xml:space="preserve"> </w:t>
      </w:r>
      <w:r w:rsidRPr="00300F75" w:rsidR="00300F75">
        <w:t xml:space="preserve"> </w:t>
      </w:r>
      <w:r w:rsidR="00300F75">
        <w:t>However the addition of 440 responses (and corresponding 440 respondents) is due to adding a new IC to reflect the requirements in the August 2021 Order.</w:t>
      </w:r>
    </w:p>
    <w:p w:rsidRPr="00A01574" w:rsidR="00EC1220" w:rsidP="001D578A" w:rsidRDefault="00EC1220" w14:paraId="0EC6BFD7" w14:textId="77777777">
      <w:pPr>
        <w:pStyle w:val="ListParagraph"/>
        <w:spacing w:after="0" w:line="240" w:lineRule="auto"/>
        <w:ind w:left="0"/>
        <w:rPr>
          <w:szCs w:val="24"/>
        </w:rPr>
      </w:pPr>
    </w:p>
    <w:p w:rsidR="007A3558" w:rsidP="00632B16" w:rsidRDefault="007A3558" w14:paraId="51592295" w14:textId="77777777">
      <w:pPr>
        <w:spacing w:after="0" w:line="240" w:lineRule="auto"/>
      </w:pPr>
    </w:p>
    <w:p w:rsidR="00300F75" w:rsidP="00632B16" w:rsidRDefault="00E86ABF" w14:paraId="762B5309" w14:textId="0D3F98E2">
      <w:pPr>
        <w:spacing w:after="0" w:line="240" w:lineRule="auto"/>
      </w:pPr>
      <w:r w:rsidRPr="00E70FCB">
        <w:rPr>
          <w:i/>
          <w:iCs/>
        </w:rPr>
        <w:t xml:space="preserve">Program Changes in General. </w:t>
      </w:r>
      <w:r>
        <w:t xml:space="preserve"> </w:t>
      </w:r>
      <w:r w:rsidRPr="00E719E0" w:rsidR="00A13E06">
        <w:t xml:space="preserve">The program changes </w:t>
      </w:r>
      <w:r w:rsidR="00D54D0E">
        <w:t xml:space="preserve">have a net </w:t>
      </w:r>
      <w:r w:rsidR="00A609BD">
        <w:t xml:space="preserve">real </w:t>
      </w:r>
      <w:r w:rsidR="00D54D0E">
        <w:t>effect of zero change to burden.</w:t>
      </w:r>
      <w:r w:rsidR="009F5615">
        <w:t xml:space="preserve">  However due to rounding in ROCIS, the system shows 1 additional hour of burden that is not a real increase of 1 </w:t>
      </w:r>
      <w:r>
        <w:t xml:space="preserve">burden </w:t>
      </w:r>
      <w:r w:rsidR="009F5615">
        <w:t>hour</w:t>
      </w:r>
      <w:r w:rsidR="00300F75">
        <w:t xml:space="preserve"> and is presented below </w:t>
      </w:r>
      <w:r w:rsidR="00A609BD">
        <w:t xml:space="preserve">only </w:t>
      </w:r>
      <w:r w:rsidR="00300F75">
        <w:t>to match ROCIS’s rounding and figure</w:t>
      </w:r>
      <w:r w:rsidR="009F5615">
        <w:t>.</w:t>
      </w:r>
      <w:r>
        <w:t xml:space="preserve">  </w:t>
      </w:r>
      <w:r w:rsidR="00A609BD">
        <w:t xml:space="preserve"> </w:t>
      </w:r>
    </w:p>
    <w:p w:rsidR="00E86ABF" w:rsidP="00632B16" w:rsidRDefault="00E86ABF" w14:paraId="3C6F2F5C" w14:textId="19A3E54C">
      <w:pPr>
        <w:spacing w:after="0" w:line="240" w:lineRule="auto"/>
        <w:rPr>
          <w:bCs/>
        </w:rPr>
      </w:pPr>
    </w:p>
    <w:p w:rsidRPr="00E758ED" w:rsidR="00A13E06" w:rsidP="00E70FCB" w:rsidRDefault="00EC1220" w14:paraId="4DC515A8" w14:textId="13888C3A">
      <w:pPr>
        <w:spacing w:after="0" w:line="240" w:lineRule="auto"/>
        <w:jc w:val="center"/>
        <w:rPr>
          <w:szCs w:val="24"/>
        </w:rPr>
      </w:pPr>
      <w:r>
        <w:rPr>
          <w:szCs w:val="24"/>
        </w:rPr>
        <w:t xml:space="preserve">Table </w:t>
      </w:r>
      <w:r w:rsidR="00A609BD">
        <w:rPr>
          <w:szCs w:val="24"/>
        </w:rPr>
        <w:t>3</w:t>
      </w:r>
    </w:p>
    <w:tbl>
      <w:tblPr>
        <w:tblW w:w="93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530"/>
        <w:gridCol w:w="1440"/>
        <w:gridCol w:w="1710"/>
        <w:gridCol w:w="1530"/>
      </w:tblGrid>
      <w:tr w:rsidRPr="007F67F1" w:rsidR="008344B1" w:rsidTr="00E40EC8" w14:paraId="03533251" w14:textId="77777777">
        <w:trPr>
          <w:trHeight w:val="791"/>
        </w:trPr>
        <w:tc>
          <w:tcPr>
            <w:tcW w:w="3127" w:type="dxa"/>
            <w:shd w:val="clear" w:color="auto" w:fill="D9D9D9"/>
            <w:vAlign w:val="center"/>
          </w:tcPr>
          <w:p w:rsidRPr="007F67F1" w:rsidR="008344B1" w:rsidP="00993113" w:rsidRDefault="00694BC4" w14:paraId="0353324B" w14:textId="1A73DED4">
            <w:pPr>
              <w:spacing w:after="0"/>
              <w:rPr>
                <w:b/>
                <w:sz w:val="24"/>
                <w:szCs w:val="24"/>
              </w:rPr>
            </w:pPr>
            <w:r w:rsidRPr="00E758ED">
              <w:rPr>
                <w:szCs w:val="24"/>
              </w:rPr>
              <w:br w:type="page"/>
            </w:r>
          </w:p>
          <w:p w:rsidRPr="007F67F1" w:rsidR="003C36C3" w:rsidP="00993113" w:rsidRDefault="003C36C3" w14:paraId="0353324C" w14:textId="77777777">
            <w:pPr>
              <w:spacing w:after="0"/>
              <w:rPr>
                <w:b/>
                <w:sz w:val="24"/>
                <w:szCs w:val="24"/>
              </w:rPr>
            </w:pPr>
          </w:p>
        </w:tc>
        <w:tc>
          <w:tcPr>
            <w:tcW w:w="1530" w:type="dxa"/>
            <w:shd w:val="clear" w:color="auto" w:fill="D9D9D9"/>
            <w:vAlign w:val="center"/>
          </w:tcPr>
          <w:p w:rsidRPr="007F67F1" w:rsidR="008344B1" w:rsidP="00993113" w:rsidRDefault="008344B1" w14:paraId="0353324D" w14:textId="77777777">
            <w:pPr>
              <w:spacing w:after="0"/>
              <w:rPr>
                <w:b/>
                <w:sz w:val="24"/>
                <w:szCs w:val="24"/>
              </w:rPr>
            </w:pPr>
            <w:r w:rsidRPr="007F67F1">
              <w:rPr>
                <w:b/>
                <w:sz w:val="24"/>
                <w:szCs w:val="24"/>
              </w:rPr>
              <w:t>Total Request</w:t>
            </w:r>
          </w:p>
        </w:tc>
        <w:tc>
          <w:tcPr>
            <w:tcW w:w="1440" w:type="dxa"/>
            <w:shd w:val="clear" w:color="auto" w:fill="D9D9D9"/>
            <w:vAlign w:val="center"/>
          </w:tcPr>
          <w:p w:rsidRPr="007F67F1" w:rsidR="008344B1" w:rsidP="00993113" w:rsidRDefault="008344B1" w14:paraId="0353324E" w14:textId="77777777">
            <w:pPr>
              <w:spacing w:after="0"/>
              <w:rPr>
                <w:b/>
                <w:sz w:val="24"/>
                <w:szCs w:val="24"/>
              </w:rPr>
            </w:pPr>
            <w:r w:rsidRPr="007F67F1">
              <w:rPr>
                <w:b/>
                <w:sz w:val="24"/>
                <w:szCs w:val="24"/>
              </w:rPr>
              <w:t>Previously Approved</w:t>
            </w:r>
          </w:p>
        </w:tc>
        <w:tc>
          <w:tcPr>
            <w:tcW w:w="1710" w:type="dxa"/>
            <w:shd w:val="clear" w:color="auto" w:fill="D9D9D9"/>
            <w:vAlign w:val="center"/>
          </w:tcPr>
          <w:p w:rsidRPr="007F67F1" w:rsidR="008344B1" w:rsidP="00993113" w:rsidRDefault="008344B1" w14:paraId="0353324F" w14:textId="77777777">
            <w:pPr>
              <w:spacing w:after="0"/>
              <w:rPr>
                <w:b/>
                <w:sz w:val="24"/>
                <w:szCs w:val="24"/>
              </w:rPr>
            </w:pPr>
            <w:r w:rsidRPr="007F67F1">
              <w:rPr>
                <w:b/>
                <w:sz w:val="24"/>
                <w:szCs w:val="24"/>
              </w:rPr>
              <w:t>Change due to Adjustment in Estimate</w:t>
            </w:r>
          </w:p>
        </w:tc>
        <w:tc>
          <w:tcPr>
            <w:tcW w:w="1530" w:type="dxa"/>
            <w:shd w:val="clear" w:color="auto" w:fill="D9D9D9"/>
            <w:vAlign w:val="center"/>
          </w:tcPr>
          <w:p w:rsidRPr="007F67F1" w:rsidR="008344B1" w:rsidP="00993113" w:rsidRDefault="008344B1" w14:paraId="03533250" w14:textId="77777777">
            <w:pPr>
              <w:spacing w:after="0"/>
              <w:rPr>
                <w:b/>
                <w:sz w:val="24"/>
                <w:szCs w:val="24"/>
              </w:rPr>
            </w:pPr>
            <w:r w:rsidRPr="00842917">
              <w:rPr>
                <w:b/>
                <w:sz w:val="24"/>
                <w:szCs w:val="24"/>
              </w:rPr>
              <w:t>Change Due to Agency Discretion</w:t>
            </w:r>
          </w:p>
        </w:tc>
      </w:tr>
      <w:tr w:rsidRPr="007F67F1" w:rsidR="008F4F08" w:rsidTr="00E40EC8" w14:paraId="0353325D" w14:textId="77777777">
        <w:trPr>
          <w:trHeight w:val="173"/>
        </w:trPr>
        <w:tc>
          <w:tcPr>
            <w:tcW w:w="3127" w:type="dxa"/>
            <w:vAlign w:val="center"/>
          </w:tcPr>
          <w:p w:rsidRPr="00300F75" w:rsidR="008F4F08" w:rsidP="008F4F08" w:rsidRDefault="008F4F08" w14:paraId="03533258" w14:textId="1941FD84">
            <w:pPr>
              <w:spacing w:after="0"/>
              <w:rPr>
                <w:sz w:val="24"/>
                <w:szCs w:val="24"/>
              </w:rPr>
            </w:pPr>
            <w:r w:rsidRPr="00300F75">
              <w:rPr>
                <w:sz w:val="24"/>
                <w:szCs w:val="24"/>
              </w:rPr>
              <w:t>Annual Number of Responses</w:t>
            </w:r>
          </w:p>
        </w:tc>
        <w:tc>
          <w:tcPr>
            <w:tcW w:w="1530" w:type="dxa"/>
            <w:vAlign w:val="center"/>
          </w:tcPr>
          <w:p w:rsidRPr="00300F75" w:rsidR="008F4F08" w:rsidP="00E70FCB" w:rsidRDefault="00E86ABF" w14:paraId="03533259" w14:textId="429A3311">
            <w:pPr>
              <w:spacing w:after="0"/>
              <w:jc w:val="right"/>
              <w:rPr>
                <w:sz w:val="24"/>
                <w:szCs w:val="24"/>
              </w:rPr>
            </w:pPr>
            <w:r w:rsidRPr="00E70FCB">
              <w:rPr>
                <w:sz w:val="24"/>
                <w:szCs w:val="24"/>
              </w:rPr>
              <w:t>3,106</w:t>
            </w:r>
          </w:p>
        </w:tc>
        <w:tc>
          <w:tcPr>
            <w:tcW w:w="1440" w:type="dxa"/>
            <w:vAlign w:val="center"/>
          </w:tcPr>
          <w:p w:rsidRPr="00300F75" w:rsidR="008F4F08" w:rsidP="00E70FCB" w:rsidRDefault="007C10A0" w14:paraId="0353325A" w14:textId="29B88BA9">
            <w:pPr>
              <w:spacing w:after="0"/>
              <w:jc w:val="right"/>
              <w:rPr>
                <w:sz w:val="24"/>
                <w:szCs w:val="24"/>
              </w:rPr>
            </w:pPr>
            <w:r w:rsidRPr="00300F75">
              <w:rPr>
                <w:sz w:val="24"/>
                <w:szCs w:val="24"/>
              </w:rPr>
              <w:t>2,666</w:t>
            </w:r>
          </w:p>
        </w:tc>
        <w:tc>
          <w:tcPr>
            <w:tcW w:w="1710" w:type="dxa"/>
            <w:vAlign w:val="center"/>
          </w:tcPr>
          <w:p w:rsidRPr="00300F75" w:rsidR="008F4F08" w:rsidP="00E70FCB" w:rsidRDefault="00842917" w14:paraId="0353325B" w14:textId="27D2ADA9">
            <w:pPr>
              <w:spacing w:after="0"/>
              <w:jc w:val="right"/>
              <w:rPr>
                <w:sz w:val="24"/>
                <w:szCs w:val="24"/>
              </w:rPr>
            </w:pPr>
            <w:r w:rsidRPr="00300F75">
              <w:rPr>
                <w:sz w:val="24"/>
                <w:szCs w:val="24"/>
              </w:rPr>
              <w:t>0</w:t>
            </w:r>
          </w:p>
        </w:tc>
        <w:tc>
          <w:tcPr>
            <w:tcW w:w="1530" w:type="dxa"/>
            <w:vAlign w:val="center"/>
          </w:tcPr>
          <w:p w:rsidRPr="007F67F1" w:rsidR="008F4F08" w:rsidP="00E70FCB" w:rsidRDefault="00E86ABF" w14:paraId="0353325C" w14:textId="30A5E393">
            <w:pPr>
              <w:spacing w:after="0"/>
              <w:jc w:val="right"/>
              <w:rPr>
                <w:sz w:val="24"/>
                <w:szCs w:val="24"/>
              </w:rPr>
            </w:pPr>
            <w:r>
              <w:rPr>
                <w:sz w:val="24"/>
                <w:szCs w:val="24"/>
              </w:rPr>
              <w:t>440</w:t>
            </w:r>
          </w:p>
        </w:tc>
      </w:tr>
      <w:tr w:rsidRPr="007F67F1" w:rsidR="008F4F08" w:rsidTr="00E40EC8" w14:paraId="03533263" w14:textId="77777777">
        <w:trPr>
          <w:trHeight w:val="173"/>
        </w:trPr>
        <w:tc>
          <w:tcPr>
            <w:tcW w:w="3127" w:type="dxa"/>
            <w:vAlign w:val="center"/>
          </w:tcPr>
          <w:p w:rsidRPr="00DA37CE" w:rsidR="008F4F08" w:rsidP="008F4F08" w:rsidRDefault="008F4F08" w14:paraId="0353325E" w14:textId="47087DB0">
            <w:pPr>
              <w:spacing w:after="0"/>
              <w:rPr>
                <w:sz w:val="24"/>
                <w:szCs w:val="24"/>
              </w:rPr>
            </w:pPr>
            <w:r w:rsidRPr="00DA37CE">
              <w:rPr>
                <w:sz w:val="24"/>
                <w:szCs w:val="24"/>
              </w:rPr>
              <w:t>Annual Time Burden (Hr.)</w:t>
            </w:r>
          </w:p>
        </w:tc>
        <w:tc>
          <w:tcPr>
            <w:tcW w:w="1530" w:type="dxa"/>
            <w:vAlign w:val="center"/>
          </w:tcPr>
          <w:p w:rsidRPr="00DA37CE" w:rsidR="008F4F08" w:rsidP="00E70FCB" w:rsidRDefault="00300F75" w14:paraId="0353325F" w14:textId="6718546B">
            <w:pPr>
              <w:spacing w:after="0"/>
              <w:jc w:val="right"/>
              <w:rPr>
                <w:sz w:val="24"/>
                <w:szCs w:val="24"/>
              </w:rPr>
            </w:pPr>
            <w:r>
              <w:rPr>
                <w:rFonts w:eastAsia="Times New Roman"/>
                <w:bCs/>
                <w:color w:val="000000"/>
                <w:sz w:val="24"/>
                <w:szCs w:val="24"/>
              </w:rPr>
              <w:t>61,000</w:t>
            </w:r>
          </w:p>
        </w:tc>
        <w:tc>
          <w:tcPr>
            <w:tcW w:w="1440" w:type="dxa"/>
            <w:vAlign w:val="center"/>
          </w:tcPr>
          <w:p w:rsidRPr="00DA37CE" w:rsidR="008F4F08" w:rsidP="00E70FCB" w:rsidRDefault="007C10A0" w14:paraId="03533260" w14:textId="2DECEC7E">
            <w:pPr>
              <w:spacing w:after="0"/>
              <w:jc w:val="right"/>
              <w:rPr>
                <w:sz w:val="24"/>
                <w:szCs w:val="24"/>
              </w:rPr>
            </w:pPr>
            <w:r w:rsidRPr="00DA37CE">
              <w:rPr>
                <w:sz w:val="24"/>
                <w:szCs w:val="24"/>
              </w:rPr>
              <w:t>60,999</w:t>
            </w:r>
          </w:p>
        </w:tc>
        <w:tc>
          <w:tcPr>
            <w:tcW w:w="1710" w:type="dxa"/>
            <w:vAlign w:val="center"/>
          </w:tcPr>
          <w:p w:rsidRPr="00DA37CE" w:rsidR="008F4F08" w:rsidP="00E70FCB" w:rsidRDefault="00577496" w14:paraId="03533261" w14:textId="593F5570">
            <w:pPr>
              <w:spacing w:after="0"/>
              <w:jc w:val="right"/>
              <w:rPr>
                <w:sz w:val="24"/>
                <w:szCs w:val="24"/>
              </w:rPr>
            </w:pPr>
            <w:r>
              <w:rPr>
                <w:rFonts w:eastAsia="Times New Roman"/>
                <w:bCs/>
                <w:color w:val="000000"/>
                <w:sz w:val="24"/>
                <w:szCs w:val="24"/>
              </w:rPr>
              <w:t>0</w:t>
            </w:r>
          </w:p>
        </w:tc>
        <w:tc>
          <w:tcPr>
            <w:tcW w:w="1530" w:type="dxa"/>
            <w:vAlign w:val="center"/>
          </w:tcPr>
          <w:p w:rsidRPr="00DA37CE" w:rsidR="008F4F08" w:rsidP="00E70FCB" w:rsidRDefault="00300F75" w14:paraId="03533262" w14:textId="2B6B7ACB">
            <w:pPr>
              <w:spacing w:after="0"/>
              <w:jc w:val="right"/>
              <w:rPr>
                <w:sz w:val="24"/>
                <w:szCs w:val="24"/>
              </w:rPr>
            </w:pPr>
            <w:r>
              <w:rPr>
                <w:sz w:val="24"/>
                <w:szCs w:val="24"/>
              </w:rPr>
              <w:t>1</w:t>
            </w:r>
          </w:p>
        </w:tc>
      </w:tr>
      <w:tr w:rsidRPr="007F67F1" w:rsidR="008F4F08" w:rsidTr="00E40EC8" w14:paraId="03533269" w14:textId="77777777">
        <w:trPr>
          <w:trHeight w:val="260"/>
        </w:trPr>
        <w:tc>
          <w:tcPr>
            <w:tcW w:w="3127" w:type="dxa"/>
            <w:tcBorders>
              <w:bottom w:val="single" w:color="auto" w:sz="4" w:space="0"/>
            </w:tcBorders>
            <w:vAlign w:val="center"/>
          </w:tcPr>
          <w:p w:rsidRPr="007F67F1" w:rsidR="008F4F08" w:rsidP="008F4F08" w:rsidRDefault="008F4F08" w14:paraId="03533264" w14:textId="1CE235FF">
            <w:pPr>
              <w:spacing w:after="0"/>
              <w:rPr>
                <w:sz w:val="24"/>
                <w:szCs w:val="24"/>
              </w:rPr>
            </w:pPr>
            <w:r w:rsidRPr="007F67F1">
              <w:rPr>
                <w:sz w:val="24"/>
                <w:szCs w:val="24"/>
              </w:rPr>
              <w:t>Annual Cost Burden ($)</w:t>
            </w:r>
          </w:p>
        </w:tc>
        <w:tc>
          <w:tcPr>
            <w:tcW w:w="1530" w:type="dxa"/>
            <w:tcBorders>
              <w:bottom w:val="single" w:color="auto" w:sz="4" w:space="0"/>
            </w:tcBorders>
            <w:vAlign w:val="center"/>
          </w:tcPr>
          <w:p w:rsidRPr="007F67F1" w:rsidR="008F4F08" w:rsidP="00E70FCB" w:rsidRDefault="008F4F08" w14:paraId="03533265" w14:textId="41C65ABC">
            <w:pPr>
              <w:spacing w:after="0"/>
              <w:jc w:val="right"/>
              <w:rPr>
                <w:sz w:val="24"/>
                <w:szCs w:val="24"/>
              </w:rPr>
            </w:pPr>
            <w:r w:rsidRPr="007F67F1">
              <w:rPr>
                <w:sz w:val="24"/>
                <w:szCs w:val="24"/>
              </w:rPr>
              <w:t>0</w:t>
            </w:r>
          </w:p>
        </w:tc>
        <w:tc>
          <w:tcPr>
            <w:tcW w:w="1440" w:type="dxa"/>
            <w:tcBorders>
              <w:bottom w:val="single" w:color="auto" w:sz="4" w:space="0"/>
            </w:tcBorders>
            <w:vAlign w:val="center"/>
          </w:tcPr>
          <w:p w:rsidRPr="007F67F1" w:rsidR="008F4F08" w:rsidP="00E70FCB" w:rsidRDefault="008F4F08" w14:paraId="03533266" w14:textId="7193C911">
            <w:pPr>
              <w:spacing w:after="0"/>
              <w:jc w:val="right"/>
              <w:rPr>
                <w:sz w:val="24"/>
                <w:szCs w:val="24"/>
              </w:rPr>
            </w:pPr>
            <w:r w:rsidRPr="007F67F1">
              <w:rPr>
                <w:sz w:val="24"/>
                <w:szCs w:val="24"/>
              </w:rPr>
              <w:t>0</w:t>
            </w:r>
          </w:p>
        </w:tc>
        <w:tc>
          <w:tcPr>
            <w:tcW w:w="1710" w:type="dxa"/>
            <w:tcBorders>
              <w:bottom w:val="single" w:color="auto" w:sz="4" w:space="0"/>
            </w:tcBorders>
            <w:vAlign w:val="center"/>
          </w:tcPr>
          <w:p w:rsidRPr="007F67F1" w:rsidR="008F4F08" w:rsidP="00E70FCB" w:rsidRDefault="008F4F08" w14:paraId="03533267" w14:textId="77777777">
            <w:pPr>
              <w:spacing w:after="0"/>
              <w:jc w:val="right"/>
              <w:rPr>
                <w:sz w:val="24"/>
                <w:szCs w:val="24"/>
              </w:rPr>
            </w:pPr>
            <w:r w:rsidRPr="007F67F1">
              <w:rPr>
                <w:sz w:val="24"/>
                <w:szCs w:val="24"/>
              </w:rPr>
              <w:t>0</w:t>
            </w:r>
          </w:p>
        </w:tc>
        <w:tc>
          <w:tcPr>
            <w:tcW w:w="1530" w:type="dxa"/>
            <w:tcBorders>
              <w:bottom w:val="single" w:color="auto" w:sz="4" w:space="0"/>
            </w:tcBorders>
            <w:vAlign w:val="center"/>
          </w:tcPr>
          <w:p w:rsidRPr="007F67F1" w:rsidR="008F4F08" w:rsidP="00E70FCB" w:rsidRDefault="008F4F08" w14:paraId="03533268" w14:textId="4D958B29">
            <w:pPr>
              <w:spacing w:after="0"/>
              <w:jc w:val="right"/>
              <w:rPr>
                <w:sz w:val="24"/>
                <w:szCs w:val="24"/>
              </w:rPr>
            </w:pPr>
            <w:r w:rsidRPr="007F67F1">
              <w:rPr>
                <w:sz w:val="24"/>
                <w:szCs w:val="24"/>
              </w:rPr>
              <w:t>0</w:t>
            </w:r>
          </w:p>
        </w:tc>
      </w:tr>
    </w:tbl>
    <w:p w:rsidRPr="00E758ED" w:rsidR="000C574F" w:rsidP="00993113" w:rsidRDefault="000C574F" w14:paraId="1686A8A2" w14:textId="77777777">
      <w:pPr>
        <w:pStyle w:val="ListParagraph"/>
        <w:spacing w:after="0" w:line="240" w:lineRule="auto"/>
        <w:ind w:left="360"/>
        <w:rPr>
          <w:b/>
          <w:szCs w:val="24"/>
        </w:rPr>
      </w:pPr>
    </w:p>
    <w:p w:rsidRPr="00E758ED" w:rsidR="00A276F5" w:rsidP="006A510E" w:rsidRDefault="00414F32" w14:paraId="03533282" w14:textId="77777777">
      <w:pPr>
        <w:pStyle w:val="FERCparanumber"/>
      </w:pPr>
      <w:r w:rsidRPr="00E758ED">
        <w:t>TIME SCHEDULE FOR PUBLICATION OF DATA</w:t>
      </w:r>
    </w:p>
    <w:p w:rsidRPr="00E758ED" w:rsidR="000D4661" w:rsidP="00632B16" w:rsidRDefault="000D4661" w14:paraId="03533284" w14:textId="27DE4BAB">
      <w:pPr>
        <w:spacing w:after="0" w:line="240" w:lineRule="auto"/>
        <w:rPr>
          <w:szCs w:val="24"/>
        </w:rPr>
      </w:pPr>
      <w:r w:rsidRPr="00E758ED">
        <w:rPr>
          <w:szCs w:val="24"/>
        </w:rPr>
        <w:t xml:space="preserve">There is no publication of data associated with </w:t>
      </w:r>
      <w:r w:rsidRPr="00E758ED" w:rsidR="008344B1">
        <w:rPr>
          <w:szCs w:val="24"/>
        </w:rPr>
        <w:t>FERC-919</w:t>
      </w:r>
      <w:r w:rsidRPr="00E758ED" w:rsidR="00F32D23">
        <w:rPr>
          <w:szCs w:val="24"/>
        </w:rPr>
        <w:t>A</w:t>
      </w:r>
      <w:r w:rsidRPr="00E758ED" w:rsidR="002120F5">
        <w:rPr>
          <w:szCs w:val="24"/>
        </w:rPr>
        <w:t xml:space="preserve"> </w:t>
      </w:r>
      <w:r w:rsidRPr="00E758ED">
        <w:rPr>
          <w:szCs w:val="24"/>
        </w:rPr>
        <w:t>information.</w:t>
      </w:r>
    </w:p>
    <w:p w:rsidRPr="00E758ED" w:rsidR="0072366E" w:rsidP="00632B16" w:rsidRDefault="0072366E" w14:paraId="03533285" w14:textId="77777777">
      <w:pPr>
        <w:spacing w:after="0" w:line="240" w:lineRule="auto"/>
        <w:rPr>
          <w:szCs w:val="24"/>
        </w:rPr>
      </w:pPr>
    </w:p>
    <w:p w:rsidRPr="00E758ED" w:rsidR="00414F32" w:rsidP="00632B16" w:rsidRDefault="00414F32" w14:paraId="03533286" w14:textId="77777777">
      <w:pPr>
        <w:pStyle w:val="FERCparanumber"/>
      </w:pPr>
      <w:r w:rsidRPr="00E758ED">
        <w:t>DISPLAY OF EXPIRATION DATE</w:t>
      </w:r>
    </w:p>
    <w:p w:rsidRPr="00E758ED" w:rsidR="007C10A0" w:rsidP="00632B16" w:rsidRDefault="0087430F" w14:paraId="25368FC8" w14:textId="2255D843">
      <w:pPr>
        <w:spacing w:after="0" w:line="240" w:lineRule="auto"/>
        <w:rPr>
          <w:szCs w:val="24"/>
        </w:rPr>
      </w:pPr>
      <w:r w:rsidRPr="00E758ED">
        <w:rPr>
          <w:szCs w:val="24"/>
        </w:rPr>
        <w:t xml:space="preserve">The expiration dates are available at </w:t>
      </w:r>
      <w:hyperlink w:history="1" r:id="rId13">
        <w:r w:rsidRPr="00723BD4" w:rsidR="00842917">
          <w:rPr>
            <w:rStyle w:val="Hyperlink"/>
          </w:rPr>
          <w:t>https://www.ferc.gov/information-collections</w:t>
        </w:r>
      </w:hyperlink>
      <w:r w:rsidR="00842917">
        <w:t xml:space="preserve"> </w:t>
      </w:r>
    </w:p>
    <w:p w:rsidRPr="00E758ED" w:rsidR="00414F32" w:rsidP="00632B16" w:rsidRDefault="00414F32" w14:paraId="03533289" w14:textId="77777777">
      <w:pPr>
        <w:spacing w:after="0" w:line="240" w:lineRule="auto"/>
        <w:rPr>
          <w:szCs w:val="24"/>
        </w:rPr>
      </w:pPr>
    </w:p>
    <w:p w:rsidRPr="00E758ED" w:rsidR="00414F32" w:rsidP="00632B16" w:rsidRDefault="00414F32" w14:paraId="0353328A" w14:textId="77777777">
      <w:pPr>
        <w:pStyle w:val="FERCparanumber"/>
      </w:pPr>
      <w:r w:rsidRPr="00E758ED">
        <w:t>EXCEPTIONS TO THE CERTIFICATION STATEMENT</w:t>
      </w:r>
    </w:p>
    <w:p w:rsidRPr="00E758ED" w:rsidR="0057700F" w:rsidP="00632B16" w:rsidRDefault="0087430F" w14:paraId="0353328C" w14:textId="77777777">
      <w:pPr>
        <w:spacing w:after="0" w:line="240" w:lineRule="auto"/>
        <w:rPr>
          <w:b/>
          <w:szCs w:val="24"/>
        </w:rPr>
      </w:pPr>
      <w:r w:rsidRPr="00E758ED">
        <w:rPr>
          <w:szCs w:val="24"/>
        </w:rPr>
        <w:t>There are no exceptions</w:t>
      </w:r>
      <w:r w:rsidRPr="00E758ED" w:rsidR="00077D2A">
        <w:rPr>
          <w:szCs w:val="24"/>
        </w:rPr>
        <w:t>.</w:t>
      </w:r>
    </w:p>
    <w:p w:rsidRPr="00E758ED" w:rsidR="00414F32" w:rsidP="00632B16" w:rsidRDefault="00414F32" w14:paraId="0353328D" w14:textId="77777777">
      <w:pPr>
        <w:spacing w:after="0" w:line="240" w:lineRule="auto"/>
        <w:rPr>
          <w:szCs w:val="24"/>
        </w:rPr>
      </w:pPr>
    </w:p>
    <w:sectPr w:rsidRPr="00E758ED" w:rsidR="00414F3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E2427" w14:textId="77777777" w:rsidR="00FE20AB" w:rsidRDefault="00FE20AB" w:rsidP="00FD66F1">
      <w:pPr>
        <w:spacing w:after="0" w:line="240" w:lineRule="auto"/>
      </w:pPr>
      <w:r>
        <w:separator/>
      </w:r>
    </w:p>
    <w:p w14:paraId="232DAD95" w14:textId="77777777" w:rsidR="00FE20AB" w:rsidRDefault="00FE20AB"/>
    <w:p w14:paraId="2A68F68F" w14:textId="77777777" w:rsidR="00FE20AB" w:rsidRDefault="00FE20AB" w:rsidP="00080C15"/>
  </w:endnote>
  <w:endnote w:type="continuationSeparator" w:id="0">
    <w:p w14:paraId="613B8789" w14:textId="77777777" w:rsidR="00FE20AB" w:rsidRDefault="00FE20AB" w:rsidP="00FD66F1">
      <w:pPr>
        <w:spacing w:after="0" w:line="240" w:lineRule="auto"/>
      </w:pPr>
      <w:r>
        <w:continuationSeparator/>
      </w:r>
    </w:p>
    <w:p w14:paraId="43CB820A" w14:textId="77777777" w:rsidR="00FE20AB" w:rsidRDefault="00FE20AB"/>
    <w:p w14:paraId="7148895B" w14:textId="77777777" w:rsidR="00FE20AB" w:rsidRDefault="00FE20AB" w:rsidP="00080C15"/>
  </w:endnote>
  <w:endnote w:type="continuationNotice" w:id="1">
    <w:p w14:paraId="19D5D4B7" w14:textId="77777777" w:rsidR="00FE20AB" w:rsidRDefault="00FE20AB">
      <w:pPr>
        <w:spacing w:after="0" w:line="240" w:lineRule="auto"/>
      </w:pPr>
    </w:p>
    <w:p w14:paraId="3B4E3976" w14:textId="77777777" w:rsidR="00FE20AB" w:rsidRDefault="00FE20AB"/>
    <w:p w14:paraId="42FF3A8F" w14:textId="77777777" w:rsidR="00FE20AB" w:rsidRDefault="00FE20AB" w:rsidP="0008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892DB" w14:textId="77777777" w:rsidR="005F625E" w:rsidRDefault="005F6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411206"/>
      <w:docPartObj>
        <w:docPartGallery w:val="Page Numbers (Bottom of Page)"/>
        <w:docPartUnique/>
      </w:docPartObj>
    </w:sdtPr>
    <w:sdtEndPr>
      <w:rPr>
        <w:noProof/>
      </w:rPr>
    </w:sdtEndPr>
    <w:sdtContent>
      <w:p w14:paraId="61C9DF52" w14:textId="77777777" w:rsidR="00FE20AB" w:rsidRDefault="00FE20AB">
        <w:pPr>
          <w:pStyle w:val="Footer"/>
          <w:jc w:val="right"/>
        </w:pPr>
      </w:p>
      <w:p w14:paraId="03533297" w14:textId="4F9CB143" w:rsidR="00FE20AB" w:rsidRDefault="00FE20AB">
        <w:pPr>
          <w:pStyle w:val="Footer"/>
          <w:jc w:val="right"/>
        </w:pPr>
        <w:r w:rsidRPr="00FA25F9">
          <w:fldChar w:fldCharType="begin"/>
        </w:r>
        <w:r w:rsidRPr="00FA25F9">
          <w:instrText xml:space="preserve"> PAGE   \* MERGEFORMAT </w:instrText>
        </w:r>
        <w:r w:rsidRPr="00FA25F9">
          <w:fldChar w:fldCharType="separate"/>
        </w:r>
        <w:r>
          <w:rPr>
            <w:noProof/>
          </w:rPr>
          <w:t>9</w:t>
        </w:r>
        <w:r w:rsidRPr="00FA25F9">
          <w:rPr>
            <w:noProof/>
          </w:rPr>
          <w:fldChar w:fldCharType="end"/>
        </w:r>
      </w:p>
    </w:sdtContent>
  </w:sdt>
  <w:p w14:paraId="03533298" w14:textId="77777777" w:rsidR="00FE20AB" w:rsidRDefault="00FE2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C2264" w14:textId="77777777" w:rsidR="005F625E" w:rsidRDefault="005F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0F21C" w14:textId="77777777" w:rsidR="00FE20AB" w:rsidRDefault="00FE20AB" w:rsidP="00FD66F1">
      <w:pPr>
        <w:spacing w:after="0" w:line="240" w:lineRule="auto"/>
      </w:pPr>
      <w:r>
        <w:separator/>
      </w:r>
    </w:p>
  </w:footnote>
  <w:footnote w:type="continuationSeparator" w:id="0">
    <w:p w14:paraId="266E32B0" w14:textId="77777777" w:rsidR="00FE20AB" w:rsidRDefault="00FE20AB" w:rsidP="00FD66F1">
      <w:pPr>
        <w:spacing w:after="0" w:line="240" w:lineRule="auto"/>
      </w:pPr>
      <w:r>
        <w:continuationSeparator/>
      </w:r>
    </w:p>
    <w:p w14:paraId="6C9B4BCC" w14:textId="77777777" w:rsidR="00FE20AB" w:rsidRDefault="00FE20AB"/>
    <w:p w14:paraId="1CB7C45A" w14:textId="77777777" w:rsidR="00FE20AB" w:rsidRDefault="00FE20AB" w:rsidP="00080C15"/>
  </w:footnote>
  <w:footnote w:type="continuationNotice" w:id="1">
    <w:p w14:paraId="4CD02558" w14:textId="77777777" w:rsidR="00FE20AB" w:rsidRDefault="00FE20AB">
      <w:pPr>
        <w:spacing w:after="0" w:line="240" w:lineRule="auto"/>
      </w:pPr>
    </w:p>
    <w:p w14:paraId="683572DD" w14:textId="77777777" w:rsidR="00FE20AB" w:rsidRDefault="00FE20AB"/>
    <w:p w14:paraId="65847694" w14:textId="77777777" w:rsidR="00FE20AB" w:rsidRDefault="00FE20AB" w:rsidP="00080C15"/>
  </w:footnote>
  <w:footnote w:id="2">
    <w:p w14:paraId="4401923C" w14:textId="3A137606" w:rsidR="003829C0" w:rsidRDefault="00FE20AB" w:rsidP="00B74279">
      <w:pPr>
        <w:pStyle w:val="FootnoteText"/>
        <w:spacing w:after="0"/>
        <w:ind w:firstLine="0"/>
        <w:rPr>
          <w:iCs/>
          <w:szCs w:val="26"/>
        </w:rPr>
      </w:pPr>
      <w:r w:rsidRPr="001D578A">
        <w:rPr>
          <w:b/>
          <w:bCs/>
          <w:szCs w:val="26"/>
          <w:vertAlign w:val="superscript"/>
        </w:rPr>
        <w:footnoteRef/>
      </w:r>
      <w:r w:rsidRPr="005F625E">
        <w:rPr>
          <w:szCs w:val="26"/>
          <w:vertAlign w:val="superscript"/>
        </w:rPr>
        <w:t xml:space="preserve"> </w:t>
      </w:r>
      <w:r w:rsidR="005F625E" w:rsidRPr="001D578A">
        <w:rPr>
          <w:iCs/>
          <w:szCs w:val="26"/>
        </w:rPr>
        <w:t>176 FERC 61,109</w:t>
      </w:r>
      <w:r w:rsidRPr="001D578A">
        <w:rPr>
          <w:iCs/>
          <w:szCs w:val="26"/>
        </w:rPr>
        <w:t>.</w:t>
      </w:r>
    </w:p>
    <w:p w14:paraId="14018552" w14:textId="7B77DA2C" w:rsidR="00FE20AB" w:rsidRPr="007C10A0" w:rsidRDefault="003829C0" w:rsidP="00B74279">
      <w:pPr>
        <w:pStyle w:val="FootnoteText"/>
        <w:spacing w:after="0"/>
        <w:ind w:firstLine="0"/>
        <w:rPr>
          <w:szCs w:val="26"/>
        </w:rPr>
      </w:pPr>
      <w:r>
        <w:rPr>
          <w:iCs/>
          <w:szCs w:val="26"/>
        </w:rPr>
        <w:t>The Order is posted in FERC’s eLibrary</w:t>
      </w:r>
      <w:r w:rsidR="00145B45">
        <w:rPr>
          <w:iCs/>
          <w:szCs w:val="26"/>
        </w:rPr>
        <w:t xml:space="preserve"> at </w:t>
      </w:r>
      <w:hyperlink r:id="rId1" w:history="1">
        <w:r w:rsidR="00145B45" w:rsidRPr="00166D7A">
          <w:rPr>
            <w:rStyle w:val="Hyperlink"/>
            <w:iCs/>
            <w:szCs w:val="26"/>
          </w:rPr>
          <w:t>https://elibrary.ferc.gov/eLibrary/filelist?accession_number=20210819-3088&amp;optimized=false</w:t>
        </w:r>
      </w:hyperlink>
      <w:r w:rsidR="00145B45">
        <w:rPr>
          <w:iCs/>
          <w:szCs w:val="26"/>
        </w:rPr>
        <w:t xml:space="preserve"> </w:t>
      </w:r>
      <w:r>
        <w:rPr>
          <w:iCs/>
          <w:szCs w:val="26"/>
        </w:rPr>
        <w:t xml:space="preserve">. </w:t>
      </w:r>
    </w:p>
  </w:footnote>
  <w:footnote w:id="3">
    <w:p w14:paraId="00F2663F" w14:textId="6E8DE13D" w:rsidR="00FE20AB" w:rsidRPr="007C10A0" w:rsidRDefault="00FE20AB" w:rsidP="00B74279">
      <w:pPr>
        <w:spacing w:after="0" w:line="240" w:lineRule="auto"/>
        <w:rPr>
          <w:szCs w:val="26"/>
          <w:lang w:val="es-US"/>
        </w:rPr>
      </w:pPr>
      <w:r w:rsidRPr="001D578A">
        <w:rPr>
          <w:b/>
          <w:szCs w:val="26"/>
          <w:vertAlign w:val="superscript"/>
        </w:rPr>
        <w:footnoteRef/>
      </w:r>
      <w:r w:rsidRPr="001D578A">
        <w:rPr>
          <w:b/>
          <w:szCs w:val="26"/>
          <w:vertAlign w:val="superscript"/>
          <w:lang w:val="es-US"/>
        </w:rPr>
        <w:t xml:space="preserve"> </w:t>
      </w:r>
      <w:r w:rsidRPr="007C10A0">
        <w:rPr>
          <w:szCs w:val="26"/>
          <w:lang w:val="es-US"/>
        </w:rPr>
        <w:t>16 U.S.C. 824d.</w:t>
      </w:r>
    </w:p>
  </w:footnote>
  <w:footnote w:id="4">
    <w:p w14:paraId="6E491F1A" w14:textId="24AA996F" w:rsidR="00FE20AB" w:rsidRPr="007C10A0" w:rsidRDefault="00FE20AB" w:rsidP="00B74279">
      <w:pPr>
        <w:spacing w:after="0" w:line="240" w:lineRule="auto"/>
        <w:rPr>
          <w:szCs w:val="26"/>
          <w:lang w:val="es-US"/>
        </w:rPr>
      </w:pPr>
      <w:r w:rsidRPr="001D578A">
        <w:rPr>
          <w:b/>
          <w:szCs w:val="26"/>
          <w:vertAlign w:val="superscript"/>
        </w:rPr>
        <w:footnoteRef/>
      </w:r>
      <w:r w:rsidRPr="007C10A0">
        <w:rPr>
          <w:szCs w:val="26"/>
          <w:vertAlign w:val="superscript"/>
          <w:lang w:val="es-US"/>
        </w:rPr>
        <w:t xml:space="preserve"> </w:t>
      </w:r>
      <w:r w:rsidRPr="007C10A0">
        <w:rPr>
          <w:szCs w:val="26"/>
          <w:lang w:val="es-US"/>
        </w:rPr>
        <w:t>16 U.S.C. 824e.</w:t>
      </w:r>
    </w:p>
  </w:footnote>
  <w:footnote w:id="5">
    <w:p w14:paraId="7388BD67" w14:textId="3898C68D" w:rsidR="00FE20AB" w:rsidRDefault="00FE20AB" w:rsidP="001D578A">
      <w:pPr>
        <w:pStyle w:val="FootnoteText"/>
        <w:spacing w:after="0"/>
        <w:ind w:firstLine="0"/>
      </w:pPr>
      <w:r>
        <w:rPr>
          <w:rStyle w:val="FootnoteReference"/>
        </w:rPr>
        <w:footnoteRef/>
      </w:r>
      <w:r>
        <w:t xml:space="preserve"> </w:t>
      </w:r>
      <w:r w:rsidRPr="00B41E80">
        <w:rPr>
          <w:i/>
          <w:szCs w:val="26"/>
        </w:rPr>
        <w:t>D</w:t>
      </w:r>
      <w:r w:rsidRPr="007C10A0">
        <w:rPr>
          <w:i/>
          <w:szCs w:val="26"/>
        </w:rPr>
        <w:t>ata Collection for Analytics and Surveillance and Market-Based Rate Purposes,</w:t>
      </w:r>
      <w:r w:rsidRPr="007C10A0">
        <w:rPr>
          <w:szCs w:val="26"/>
        </w:rPr>
        <w:t xml:space="preserve"> Order No. 860, 168 FERC ¶ 61,039 (2019)</w:t>
      </w:r>
      <w:r>
        <w:rPr>
          <w:szCs w:val="26"/>
        </w:rPr>
        <w:t xml:space="preserve">, </w:t>
      </w:r>
      <w:r w:rsidRPr="001D578A">
        <w:rPr>
          <w:i/>
          <w:iCs/>
          <w:szCs w:val="26"/>
        </w:rPr>
        <w:t>order on reh’g and clarification</w:t>
      </w:r>
      <w:r w:rsidRPr="007C10A0">
        <w:rPr>
          <w:szCs w:val="26"/>
        </w:rPr>
        <w:t>, Order No. 860-A, 170 FERC ¶ 61,129 (2020).</w:t>
      </w:r>
    </w:p>
  </w:footnote>
  <w:footnote w:id="6">
    <w:p w14:paraId="063B2CB3" w14:textId="682B1CC2" w:rsidR="00FE20AB" w:rsidRPr="007C10A0" w:rsidRDefault="00FE20AB" w:rsidP="00B74279">
      <w:pPr>
        <w:spacing w:after="0" w:line="240" w:lineRule="auto"/>
        <w:rPr>
          <w:szCs w:val="26"/>
          <w:lang w:val="es-US"/>
        </w:rPr>
      </w:pPr>
      <w:r w:rsidRPr="001D578A">
        <w:rPr>
          <w:b/>
          <w:szCs w:val="26"/>
          <w:vertAlign w:val="superscript"/>
        </w:rPr>
        <w:footnoteRef/>
      </w:r>
      <w:r w:rsidRPr="001D578A">
        <w:rPr>
          <w:b/>
          <w:szCs w:val="26"/>
          <w:vertAlign w:val="superscript"/>
          <w:lang w:val="es-US"/>
        </w:rPr>
        <w:t xml:space="preserve"> </w:t>
      </w:r>
      <w:r w:rsidRPr="007C10A0">
        <w:rPr>
          <w:szCs w:val="26"/>
          <w:lang w:val="es-US"/>
        </w:rPr>
        <w:t>18 CFR 35.37(a).</w:t>
      </w:r>
    </w:p>
  </w:footnote>
  <w:footnote w:id="7">
    <w:p w14:paraId="272E7E9C" w14:textId="7D48E821" w:rsidR="00FE20AB" w:rsidRPr="007C10A0" w:rsidRDefault="00FE20AB" w:rsidP="00B74279">
      <w:pPr>
        <w:spacing w:after="0" w:line="240" w:lineRule="auto"/>
        <w:rPr>
          <w:szCs w:val="26"/>
        </w:rPr>
      </w:pPr>
      <w:r w:rsidRPr="001D578A">
        <w:rPr>
          <w:b/>
          <w:szCs w:val="26"/>
          <w:vertAlign w:val="superscript"/>
        </w:rPr>
        <w:footnoteRef/>
      </w:r>
      <w:r w:rsidRPr="007C10A0">
        <w:rPr>
          <w:szCs w:val="26"/>
          <w:vertAlign w:val="superscript"/>
        </w:rPr>
        <w:t xml:space="preserve"> </w:t>
      </w:r>
      <w:r w:rsidRPr="007C10A0">
        <w:rPr>
          <w:szCs w:val="26"/>
        </w:rPr>
        <w:t>18 CFR 35.37(a).</w:t>
      </w:r>
    </w:p>
  </w:footnote>
  <w:footnote w:id="8">
    <w:p w14:paraId="3DBBE743" w14:textId="7E013748" w:rsidR="00FE20AB" w:rsidRPr="00C22E5E" w:rsidRDefault="00FE20AB" w:rsidP="00B74279">
      <w:pPr>
        <w:spacing w:after="0" w:line="240" w:lineRule="auto"/>
        <w:rPr>
          <w:sz w:val="20"/>
          <w:szCs w:val="20"/>
        </w:rPr>
      </w:pPr>
      <w:r w:rsidRPr="001D578A">
        <w:rPr>
          <w:b/>
          <w:szCs w:val="26"/>
          <w:vertAlign w:val="superscript"/>
        </w:rPr>
        <w:footnoteRef/>
      </w:r>
      <w:r w:rsidRPr="007C10A0">
        <w:rPr>
          <w:szCs w:val="26"/>
          <w:vertAlign w:val="superscript"/>
        </w:rPr>
        <w:t xml:space="preserve"> </w:t>
      </w:r>
      <w:r w:rsidRPr="007C10A0">
        <w:rPr>
          <w:szCs w:val="26"/>
        </w:rPr>
        <w:t>18 CFR 35.42.</w:t>
      </w:r>
    </w:p>
  </w:footnote>
  <w:footnote w:id="9">
    <w:p w14:paraId="4ED65324" w14:textId="77777777" w:rsidR="00FE20AB" w:rsidRPr="001D578A" w:rsidRDefault="00FE20AB" w:rsidP="00F20C6C">
      <w:pPr>
        <w:pStyle w:val="FootnoteText"/>
        <w:spacing w:after="0"/>
        <w:ind w:firstLine="0"/>
        <w:rPr>
          <w:szCs w:val="26"/>
        </w:rPr>
      </w:pPr>
      <w:r w:rsidRPr="001D578A">
        <w:rPr>
          <w:b/>
          <w:szCs w:val="26"/>
          <w:vertAlign w:val="superscript"/>
        </w:rPr>
        <w:footnoteRef/>
      </w:r>
      <w:r w:rsidRPr="001D578A">
        <w:rPr>
          <w:szCs w:val="26"/>
        </w:rPr>
        <w:t xml:space="preserve"> The term “Seller” is defined as any person that has authorization to or seeks authorization to engage in sales for resale of electric energy, capacity or ancillary services at market</w:t>
      </w:r>
      <w:r w:rsidRPr="001D578A">
        <w:rPr>
          <w:szCs w:val="26"/>
        </w:rPr>
        <w:noBreakHyphen/>
        <w:t>based rates under section 205 of the Federal Power Act (FPA).  18 CFR 35.36(a)(1).</w:t>
      </w:r>
    </w:p>
  </w:footnote>
  <w:footnote w:id="10">
    <w:p w14:paraId="66ACCE9A" w14:textId="03831474" w:rsidR="00FE20AB" w:rsidRPr="00174285" w:rsidRDefault="00FE20AB" w:rsidP="00B41E80">
      <w:pPr>
        <w:pStyle w:val="FootnoteText"/>
        <w:spacing w:after="0"/>
        <w:ind w:firstLine="0"/>
        <w:rPr>
          <w:szCs w:val="26"/>
        </w:rPr>
      </w:pPr>
      <w:r w:rsidRPr="007C10A0">
        <w:rPr>
          <w:rStyle w:val="FootnoteReference"/>
          <w:szCs w:val="26"/>
        </w:rPr>
        <w:footnoteRef/>
      </w:r>
      <w:r w:rsidRPr="007C10A0">
        <w:rPr>
          <w:szCs w:val="26"/>
        </w:rPr>
        <w:t xml:space="preserve"> “Ultimate upstream affiliate” is defined as the furthest upstream affiliate(s) in the ownership chain - i.e., each of the upstream of affiliate(s) of a Seller, who itself does not have 10% or more of its outstanding securities owned, held or controlled, with power to vote, by any person (including an</w:t>
      </w:r>
      <w:r w:rsidRPr="00174285">
        <w:rPr>
          <w:szCs w:val="26"/>
        </w:rPr>
        <w:t xml:space="preserve"> individual or company).  </w:t>
      </w:r>
      <w:r w:rsidRPr="007C10A0">
        <w:rPr>
          <w:szCs w:val="26"/>
        </w:rPr>
        <w:t>Order No. 860, 168 FERC ¶ 61,039</w:t>
      </w:r>
      <w:r>
        <w:rPr>
          <w:szCs w:val="26"/>
        </w:rPr>
        <w:t xml:space="preserve"> at P 5 n.10</w:t>
      </w:r>
      <w:r w:rsidRPr="00174285">
        <w:rPr>
          <w:szCs w:val="26"/>
        </w:rPr>
        <w:t>; see also 18 CFR 35.36(a)(10).  “Upstream affiliate” means any entity described in § 35.36(a)(9)(i). 18 CFR 35.36(a)(10).</w:t>
      </w:r>
    </w:p>
  </w:footnote>
  <w:footnote w:id="11">
    <w:p w14:paraId="19903A2E" w14:textId="79F9FBD7" w:rsidR="00FE20AB" w:rsidRPr="00174285" w:rsidRDefault="00FE20AB" w:rsidP="001D578A">
      <w:pPr>
        <w:pStyle w:val="FootnoteText"/>
        <w:spacing w:after="0"/>
        <w:ind w:firstLine="0"/>
        <w:rPr>
          <w:szCs w:val="26"/>
        </w:rPr>
      </w:pPr>
      <w:r w:rsidRPr="007C10A0">
        <w:rPr>
          <w:rStyle w:val="FootnoteReference"/>
          <w:szCs w:val="26"/>
        </w:rPr>
        <w:footnoteRef/>
      </w:r>
      <w:r w:rsidRPr="007C10A0">
        <w:rPr>
          <w:szCs w:val="26"/>
        </w:rPr>
        <w:t xml:space="preserve"> </w:t>
      </w:r>
      <w:r w:rsidRPr="001D578A">
        <w:rPr>
          <w:i/>
          <w:szCs w:val="26"/>
        </w:rPr>
        <w:t>Data Collection for Analytics &amp; Surveillance &amp; Mkt.-Based Rate Purposes</w:t>
      </w:r>
      <w:r w:rsidRPr="007C10A0">
        <w:rPr>
          <w:szCs w:val="26"/>
        </w:rPr>
        <w:t xml:space="preserve">, 86 FR 17823 (Apr. 6, 2021), 174 FERC ¶ 61,214 (2021) (March Notice).  </w:t>
      </w:r>
    </w:p>
  </w:footnote>
  <w:footnote w:id="12">
    <w:p w14:paraId="4CB590B2" w14:textId="4FE10CEF" w:rsidR="00FE20AB" w:rsidRDefault="00FE20AB" w:rsidP="001D578A">
      <w:pPr>
        <w:pStyle w:val="FootnoteText"/>
        <w:spacing w:after="0"/>
        <w:ind w:firstLine="0"/>
      </w:pPr>
      <w:r>
        <w:rPr>
          <w:rStyle w:val="FootnoteReference"/>
        </w:rPr>
        <w:footnoteRef/>
      </w:r>
      <w:r>
        <w:t xml:space="preserve"> 16 U.S.C. 824b.</w:t>
      </w:r>
    </w:p>
  </w:footnote>
  <w:footnote w:id="13">
    <w:p w14:paraId="3C0E2ADF" w14:textId="191668C9" w:rsidR="00FE20AB" w:rsidRDefault="00FE20AB" w:rsidP="001D578A">
      <w:pPr>
        <w:pStyle w:val="FootnoteText"/>
        <w:spacing w:after="0"/>
        <w:ind w:firstLine="0"/>
      </w:pPr>
      <w:r w:rsidRPr="007C10A0">
        <w:rPr>
          <w:rStyle w:val="FootnoteReference"/>
          <w:szCs w:val="26"/>
        </w:rPr>
        <w:footnoteRef/>
      </w:r>
      <w:r w:rsidRPr="007C10A0">
        <w:rPr>
          <w:szCs w:val="26"/>
        </w:rPr>
        <w:t xml:space="preserve"> The March Notice defined “utilities” as transmitting utilities, electric utility companies, or holding company systems containing such entities.  March Notice, 174 FERC ¶ 61,214 at P 1 n.4.</w:t>
      </w:r>
    </w:p>
  </w:footnote>
  <w:footnote w:id="14">
    <w:p w14:paraId="253ED5C5" w14:textId="20D9EA5F" w:rsidR="000D1B33" w:rsidRDefault="000D1B33" w:rsidP="001D578A">
      <w:pPr>
        <w:pStyle w:val="FootnoteText"/>
        <w:spacing w:after="0"/>
        <w:ind w:firstLine="0"/>
      </w:pPr>
      <w:r>
        <w:rPr>
          <w:rStyle w:val="FootnoteReference"/>
        </w:rPr>
        <w:footnoteRef/>
      </w:r>
      <w:r>
        <w:t xml:space="preserve"> </w:t>
      </w:r>
      <w:r w:rsidRPr="000D1B33">
        <w:t xml:space="preserve">174 FERC ¶ 61,213, </w:t>
      </w:r>
      <w:r w:rsidRPr="000D1B33">
        <w:rPr>
          <w:i/>
          <w:iCs/>
        </w:rPr>
        <w:t>granting clarification</w:t>
      </w:r>
      <w:r w:rsidRPr="000D1B33">
        <w:t>, 175 FERC ¶ 61,214 (2021)</w:t>
      </w:r>
      <w:r>
        <w:t>.</w:t>
      </w:r>
    </w:p>
  </w:footnote>
  <w:footnote w:id="15">
    <w:p w14:paraId="005DAE39" w14:textId="66B1B321" w:rsidR="00FE20AB" w:rsidRPr="001D578A" w:rsidRDefault="00FE20AB" w:rsidP="00B74279">
      <w:pPr>
        <w:pStyle w:val="FootnoteText"/>
        <w:spacing w:after="0"/>
        <w:ind w:firstLine="0"/>
        <w:rPr>
          <w:szCs w:val="26"/>
        </w:rPr>
      </w:pPr>
      <w:r w:rsidRPr="001D578A">
        <w:rPr>
          <w:rStyle w:val="FootnoteReference"/>
          <w:bCs/>
          <w:szCs w:val="26"/>
        </w:rPr>
        <w:footnoteRef/>
      </w:r>
      <w:r w:rsidRPr="001D578A">
        <w:rPr>
          <w:szCs w:val="26"/>
        </w:rPr>
        <w:t xml:space="preserve"> </w:t>
      </w:r>
      <w:r w:rsidR="00081DBA" w:rsidRPr="001D578A">
        <w:rPr>
          <w:szCs w:val="26"/>
        </w:rPr>
        <w:t>86 FR 47562</w:t>
      </w:r>
      <w:r w:rsidRPr="001D578A">
        <w:rPr>
          <w:szCs w:val="26"/>
        </w:rPr>
        <w:t>.</w:t>
      </w:r>
    </w:p>
  </w:footnote>
  <w:footnote w:id="16">
    <w:p w14:paraId="15FABA72" w14:textId="23DE8EDA" w:rsidR="00FE20AB" w:rsidRPr="00C22E5E" w:rsidRDefault="00FE20AB" w:rsidP="00B74279">
      <w:pPr>
        <w:pStyle w:val="FootnoteText"/>
        <w:spacing w:after="0"/>
        <w:ind w:firstLine="0"/>
        <w:rPr>
          <w:sz w:val="20"/>
        </w:rPr>
      </w:pPr>
      <w:r w:rsidRPr="001D578A">
        <w:rPr>
          <w:b/>
          <w:bCs/>
          <w:szCs w:val="26"/>
          <w:vertAlign w:val="superscript"/>
        </w:rPr>
        <w:footnoteRef/>
      </w:r>
      <w:r w:rsidRPr="001D578A">
        <w:rPr>
          <w:szCs w:val="26"/>
        </w:rPr>
        <w:t xml:space="preserve"> 18 CFR 388.112.  More information on the CEII definition, program and requirements is posted at </w:t>
      </w:r>
      <w:hyperlink r:id="rId2" w:history="1">
        <w:r w:rsidRPr="001D578A">
          <w:rPr>
            <w:rStyle w:val="Hyperlink"/>
            <w:szCs w:val="26"/>
          </w:rPr>
          <w:t>http://www.ferc.gov/legal/ceii-foia/ceii.asp</w:t>
        </w:r>
      </w:hyperlink>
      <w:r w:rsidRPr="001D578A">
        <w:rPr>
          <w:szCs w:val="26"/>
        </w:rPr>
        <w:t>.</w:t>
      </w:r>
    </w:p>
  </w:footnote>
  <w:footnote w:id="17">
    <w:p w14:paraId="5089B3FC" w14:textId="23FA1F03" w:rsidR="00FE20AB" w:rsidRDefault="00FE20AB" w:rsidP="001D578A">
      <w:pPr>
        <w:pStyle w:val="FootnoteText"/>
        <w:spacing w:after="0"/>
        <w:ind w:firstLine="0"/>
      </w:pPr>
      <w:r>
        <w:rPr>
          <w:rStyle w:val="FootnoteReference"/>
        </w:rPr>
        <w:footnoteRef/>
      </w:r>
      <w:r>
        <w:t xml:space="preserve"> The </w:t>
      </w:r>
      <w:r w:rsidRPr="00B7533B">
        <w:t>estimate</w:t>
      </w:r>
      <w:r>
        <w:t>d</w:t>
      </w:r>
      <w:r w:rsidRPr="00B7533B">
        <w:t xml:space="preserve"> hourly cost burden for respondents</w:t>
      </w:r>
      <w:r>
        <w:t xml:space="preserve"> ― $88.54 ― is the average of </w:t>
      </w:r>
      <w:r w:rsidRPr="00B7533B">
        <w:t xml:space="preserve">mean hourly wages </w:t>
      </w:r>
      <w:r>
        <w:t xml:space="preserve">from </w:t>
      </w:r>
      <w:r w:rsidR="00071D56">
        <w:t xml:space="preserve">the </w:t>
      </w:r>
      <w:r>
        <w:t xml:space="preserve">May 2020 </w:t>
      </w:r>
      <w:r w:rsidRPr="00B7533B">
        <w:t xml:space="preserve">Bureau of Labor Statistics </w:t>
      </w:r>
      <w:r>
        <w:t xml:space="preserve">(BLS) </w:t>
      </w:r>
      <w:r w:rsidRPr="00B7533B">
        <w:t>data at</w:t>
      </w:r>
      <w:r>
        <w:t xml:space="preserve"> </w:t>
      </w:r>
      <w:r w:rsidRPr="00B7533B">
        <w:t xml:space="preserve">  </w:t>
      </w:r>
      <w:hyperlink r:id="rId3" w:history="1">
        <w:r w:rsidRPr="00B7533B">
          <w:rPr>
            <w:rStyle w:val="Hyperlink"/>
          </w:rPr>
          <w:t>http://www.bls.gov/oes/current/oes_nat.htm</w:t>
        </w:r>
      </w:hyperlink>
      <w:r>
        <w:t xml:space="preserve">, and BLS benefits data </w:t>
      </w:r>
      <w:r w:rsidRPr="00B7533B">
        <w:t xml:space="preserve">at </w:t>
      </w:r>
      <w:hyperlink r:id="rId4" w:history="1">
        <w:r w:rsidRPr="00B7533B">
          <w:rPr>
            <w:rStyle w:val="Hyperlink"/>
          </w:rPr>
          <w:t>http://www.bls.gov/news.release/ecec.nr0.htm</w:t>
        </w:r>
      </w:hyperlink>
      <w:r>
        <w:t xml:space="preserve"> for the following occupations:  Legal Occupations (23-0000) $142.25, Computer and Information Systems Managers (11-3021) $103.61, Computer and Mathematical Occupations (15-0000) $65.73, and Information and Record Clerks (43-4199) $42.57.</w:t>
      </w:r>
    </w:p>
  </w:footnote>
  <w:footnote w:id="18">
    <w:p w14:paraId="73CA2B67" w14:textId="5D83841A" w:rsidR="00FE20AB" w:rsidRDefault="00FE20AB" w:rsidP="001D578A">
      <w:pPr>
        <w:pStyle w:val="FootnoteText"/>
        <w:spacing w:after="0"/>
        <w:ind w:firstLine="0"/>
      </w:pPr>
      <w:r>
        <w:rPr>
          <w:rStyle w:val="FootnoteReference"/>
        </w:rPr>
        <w:footnoteRef/>
      </w:r>
      <w:r>
        <w:t xml:space="preserve"> The two hours represents the additional time required to address the three new fields.</w:t>
      </w:r>
    </w:p>
  </w:footnote>
  <w:footnote w:id="19">
    <w:p w14:paraId="25576ED5" w14:textId="77777777" w:rsidR="00FE20AB" w:rsidRPr="007C10A0" w:rsidRDefault="00FE20AB" w:rsidP="001D578A">
      <w:pPr>
        <w:pStyle w:val="FootnoteText"/>
        <w:spacing w:after="0"/>
        <w:ind w:firstLine="0"/>
        <w:rPr>
          <w:szCs w:val="26"/>
        </w:rPr>
      </w:pPr>
      <w:r w:rsidRPr="007C10A0">
        <w:rPr>
          <w:rStyle w:val="FootnoteReference"/>
          <w:szCs w:val="26"/>
        </w:rPr>
        <w:footnoteRef/>
      </w:r>
      <w:r w:rsidRPr="007C10A0">
        <w:rPr>
          <w:szCs w:val="26"/>
        </w:rPr>
        <w:t xml:space="preserve"> Order No. 860, 168 FERC ¶ 61,039 at P 323.</w:t>
      </w:r>
    </w:p>
  </w:footnote>
  <w:footnote w:id="20">
    <w:p w14:paraId="26439648" w14:textId="77777777" w:rsidR="00FE20AB" w:rsidRPr="000D09F1" w:rsidRDefault="00FE20AB" w:rsidP="001D578A">
      <w:pPr>
        <w:pStyle w:val="FootnoteText"/>
        <w:spacing w:after="0"/>
        <w:ind w:firstLine="0"/>
        <w:rPr>
          <w:szCs w:val="26"/>
        </w:rPr>
      </w:pPr>
      <w:r w:rsidRPr="007C10A0">
        <w:rPr>
          <w:rStyle w:val="FootnoteReference"/>
          <w:szCs w:val="26"/>
        </w:rPr>
        <w:footnoteRef/>
      </w:r>
      <w:r w:rsidRPr="007C10A0">
        <w:rPr>
          <w:szCs w:val="26"/>
        </w:rPr>
        <w:t xml:space="preserve"> We estimate that the additional burden (440 hours) due to these revisions of reporting this information will</w:t>
      </w:r>
      <w:r w:rsidRPr="00174285">
        <w:rPr>
          <w:szCs w:val="26"/>
        </w:rPr>
        <w:t xml:space="preserve"> not have a net change in overall burden because sellers will no longer be affiliated through common ultimate upstream affiliates with blanket authorizations, as contemplated in Order Nos. 860 and 860-A.  We conservatively estimate that the net change on the impacted sellers reporti</w:t>
      </w:r>
      <w:r w:rsidRPr="00135331">
        <w:rPr>
          <w:szCs w:val="26"/>
        </w:rPr>
        <w:t>ng this information will be zero.  The net additional cost calculations were determined by subtracting the total burden for impacted sellers for these revisions from the estimated burden in Order No. 860 which results in no change in burden.</w:t>
      </w:r>
    </w:p>
  </w:footnote>
  <w:footnote w:id="21">
    <w:p w14:paraId="026DBC67" w14:textId="4A31D91F" w:rsidR="00FE20AB" w:rsidRPr="001D578A" w:rsidRDefault="00FE20AB" w:rsidP="00B74279">
      <w:pPr>
        <w:spacing w:after="0" w:line="240" w:lineRule="auto"/>
        <w:rPr>
          <w:szCs w:val="26"/>
        </w:rPr>
      </w:pPr>
      <w:r w:rsidRPr="001D578A">
        <w:rPr>
          <w:b/>
          <w:bCs/>
          <w:szCs w:val="26"/>
          <w:vertAlign w:val="superscript"/>
        </w:rPr>
        <w:footnoteRef/>
      </w:r>
      <w:r w:rsidRPr="001D578A">
        <w:rPr>
          <w:szCs w:val="26"/>
          <w:vertAlign w:val="superscript"/>
        </w:rPr>
        <w:t xml:space="preserve"> </w:t>
      </w:r>
      <w:r w:rsidRPr="001D578A">
        <w:rPr>
          <w:szCs w:val="26"/>
        </w:rPr>
        <w:t xml:space="preserve">For FERC 919A, </w:t>
      </w:r>
      <w:r w:rsidRPr="000C4821">
        <w:rPr>
          <w:szCs w:val="26"/>
        </w:rPr>
        <w:t xml:space="preserve">5 FTE </w:t>
      </w:r>
      <w:r>
        <w:rPr>
          <w:szCs w:val="26"/>
        </w:rPr>
        <w:t xml:space="preserve">are required </w:t>
      </w:r>
      <w:r w:rsidRPr="000C4821">
        <w:rPr>
          <w:szCs w:val="26"/>
        </w:rPr>
        <w:t xml:space="preserve">over a two-month period </w:t>
      </w:r>
      <w:r>
        <w:rPr>
          <w:szCs w:val="26"/>
        </w:rPr>
        <w:t>as</w:t>
      </w:r>
      <w:r w:rsidRPr="000C4821">
        <w:rPr>
          <w:szCs w:val="26"/>
        </w:rPr>
        <w:t xml:space="preserve"> the </w:t>
      </w:r>
      <w:r>
        <w:rPr>
          <w:szCs w:val="26"/>
        </w:rPr>
        <w:t>initial costs of oversight as a result</w:t>
      </w:r>
      <w:r w:rsidRPr="000C4821">
        <w:rPr>
          <w:szCs w:val="26"/>
        </w:rPr>
        <w:t xml:space="preserve"> of the </w:t>
      </w:r>
      <w:r>
        <w:rPr>
          <w:szCs w:val="26"/>
        </w:rPr>
        <w:t xml:space="preserve">changes in the </w:t>
      </w:r>
      <w:r w:rsidRPr="000C4821">
        <w:rPr>
          <w:szCs w:val="26"/>
        </w:rPr>
        <w:t>Order</w:t>
      </w:r>
      <w:r>
        <w:rPr>
          <w:szCs w:val="26"/>
        </w:rPr>
        <w:t>.  Therefore, we calculate 5 FTEs/12 months (annually)* 2 months= 0.83 FTEs (rounded).</w:t>
      </w:r>
    </w:p>
  </w:footnote>
  <w:footnote w:id="22">
    <w:p w14:paraId="27268E85" w14:textId="7FA24AD8" w:rsidR="00751CC9" w:rsidRPr="001D578A" w:rsidRDefault="00751CC9" w:rsidP="00B74279">
      <w:pPr>
        <w:spacing w:after="0" w:line="240" w:lineRule="auto"/>
        <w:rPr>
          <w:szCs w:val="26"/>
        </w:rPr>
      </w:pPr>
      <w:r w:rsidRPr="001D578A">
        <w:rPr>
          <w:b/>
          <w:bCs/>
          <w:szCs w:val="26"/>
          <w:vertAlign w:val="superscript"/>
        </w:rPr>
        <w:footnoteRef/>
      </w:r>
      <w:r w:rsidRPr="001D578A">
        <w:rPr>
          <w:szCs w:val="26"/>
        </w:rPr>
        <w:t xml:space="preserve"> Based upon FERC’s 2021 average </w:t>
      </w:r>
      <w:r>
        <w:rPr>
          <w:szCs w:val="26"/>
        </w:rPr>
        <w:t xml:space="preserve">wages </w:t>
      </w:r>
      <w:r w:rsidRPr="001D578A">
        <w:rPr>
          <w:szCs w:val="26"/>
        </w:rPr>
        <w:t>plus benefits of one FTE (full-time equivalent):</w:t>
      </w:r>
      <w:r>
        <w:rPr>
          <w:szCs w:val="26"/>
        </w:rPr>
        <w:t xml:space="preserve"> </w:t>
      </w:r>
      <w:r w:rsidRPr="001D578A">
        <w:rPr>
          <w:szCs w:val="26"/>
        </w:rPr>
        <w:t>$180,703 per year.</w:t>
      </w:r>
    </w:p>
  </w:footnote>
  <w:footnote w:id="23">
    <w:p w14:paraId="73C07A45" w14:textId="09D87252" w:rsidR="00751CC9" w:rsidRPr="00C22E5E" w:rsidRDefault="00751CC9" w:rsidP="00B74279">
      <w:pPr>
        <w:pStyle w:val="FootnoteText"/>
        <w:spacing w:after="0"/>
        <w:ind w:firstLine="0"/>
        <w:rPr>
          <w:sz w:val="20"/>
        </w:rPr>
      </w:pPr>
      <w:r w:rsidRPr="001D578A">
        <w:rPr>
          <w:rStyle w:val="FootnoteReference"/>
          <w:bCs/>
          <w:szCs w:val="26"/>
        </w:rPr>
        <w:footnoteRef/>
      </w:r>
      <w:r w:rsidRPr="001D578A">
        <w:rPr>
          <w:szCs w:val="26"/>
        </w:rPr>
        <w:t xml:space="preserve"> Based upon FERC’s 2021 estimated average annual PRA Administrative Cost: $8,279</w:t>
      </w:r>
      <w:r>
        <w:rPr>
          <w:szCs w:val="26"/>
        </w:rPr>
        <w:t>.</w:t>
      </w:r>
    </w:p>
  </w:footnote>
  <w:footnote w:id="24">
    <w:p w14:paraId="02F2DCB4" w14:textId="3FC2D539" w:rsidR="00E969A3" w:rsidRDefault="00E969A3" w:rsidP="00E70FCB">
      <w:pPr>
        <w:pStyle w:val="FootnoteText"/>
        <w:ind w:firstLine="0"/>
      </w:pPr>
      <w:r>
        <w:rPr>
          <w:rStyle w:val="FootnoteReference"/>
        </w:rPr>
        <w:footnoteRef/>
      </w:r>
      <w:r>
        <w:t xml:space="preserve"> </w:t>
      </w:r>
      <w:r w:rsidRPr="00E969A3">
        <w:t>Staff estimates that of those Impacted Sellers affected by the Order in August 2021, 25% are in Category 1, and 75% are in Category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6CAA7" w14:textId="77777777" w:rsidR="005F625E" w:rsidRDefault="005F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196B2" w14:textId="1FECFCE6" w:rsidR="00FE20AB" w:rsidRPr="001D578A" w:rsidRDefault="00FE20AB" w:rsidP="00F2758C">
    <w:pPr>
      <w:pStyle w:val="Header"/>
      <w:rPr>
        <w:szCs w:val="26"/>
      </w:rPr>
    </w:pPr>
    <w:r w:rsidRPr="00F66340">
      <w:rPr>
        <w:szCs w:val="26"/>
      </w:rPr>
      <w:t>FERC-919A (OMB Control No. 1902-0317)</w:t>
    </w:r>
  </w:p>
  <w:p w14:paraId="0A5EECC1" w14:textId="3EB14CCB" w:rsidR="00FE20AB" w:rsidRPr="00F66340" w:rsidRDefault="00FE20AB" w:rsidP="00F2758C">
    <w:pPr>
      <w:pStyle w:val="Header"/>
      <w:rPr>
        <w:szCs w:val="26"/>
      </w:rPr>
    </w:pPr>
    <w:r w:rsidRPr="00F66340">
      <w:rPr>
        <w:szCs w:val="26"/>
      </w:rPr>
      <w:t>Order (issued 8/1</w:t>
    </w:r>
    <w:r w:rsidR="002926BF" w:rsidRPr="001D578A">
      <w:rPr>
        <w:szCs w:val="26"/>
      </w:rPr>
      <w:t>9</w:t>
    </w:r>
    <w:r w:rsidRPr="00F66340">
      <w:rPr>
        <w:szCs w:val="26"/>
      </w:rPr>
      <w:t>/2021) in Docket No. RM16-17-000</w:t>
    </w:r>
  </w:p>
  <w:p w14:paraId="03533296" w14:textId="4BB5AD38" w:rsidR="00FE20AB" w:rsidRDefault="00FE20AB">
    <w:pPr>
      <w:pStyle w:val="Header"/>
      <w:rPr>
        <w:szCs w:val="26"/>
      </w:rPr>
    </w:pPr>
    <w:r w:rsidRPr="00F66340">
      <w:rPr>
        <w:szCs w:val="26"/>
      </w:rPr>
      <w:t>RIN:  1902-AF22</w:t>
    </w:r>
  </w:p>
  <w:p w14:paraId="13C31CBB" w14:textId="77777777" w:rsidR="002926BF" w:rsidRDefault="00292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6BFCC" w14:textId="77777777" w:rsidR="005F625E" w:rsidRDefault="005F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221E27"/>
    <w:multiLevelType w:val="hybridMultilevel"/>
    <w:tmpl w:val="5F5E02B6"/>
    <w:lvl w:ilvl="0" w:tplc="9C8A06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BA1EC1"/>
    <w:multiLevelType w:val="hybridMultilevel"/>
    <w:tmpl w:val="5C2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E05C5"/>
    <w:multiLevelType w:val="hybridMultilevel"/>
    <w:tmpl w:val="040E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94693"/>
    <w:multiLevelType w:val="hybridMultilevel"/>
    <w:tmpl w:val="78D89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955CE"/>
    <w:multiLevelType w:val="hybridMultilevel"/>
    <w:tmpl w:val="3F96D202"/>
    <w:lvl w:ilvl="0" w:tplc="26F4CD08">
      <w:start w:val="1"/>
      <w:numFmt w:val="decimal"/>
      <w:pStyle w:val="FERCparanumb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521C9"/>
    <w:multiLevelType w:val="hybridMultilevel"/>
    <w:tmpl w:val="C1B8561C"/>
    <w:lvl w:ilvl="0" w:tplc="6D84D9DE">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EF0882"/>
    <w:multiLevelType w:val="hybridMultilevel"/>
    <w:tmpl w:val="574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C3392"/>
    <w:multiLevelType w:val="hybridMultilevel"/>
    <w:tmpl w:val="32C6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13FFA"/>
    <w:multiLevelType w:val="hybridMultilevel"/>
    <w:tmpl w:val="5F4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4"/>
  </w:num>
  <w:num w:numId="2">
    <w:abstractNumId w:val="8"/>
  </w:num>
  <w:num w:numId="3">
    <w:abstractNumId w:val="18"/>
  </w:num>
  <w:num w:numId="4">
    <w:abstractNumId w:val="20"/>
  </w:num>
  <w:num w:numId="5">
    <w:abstractNumId w:val="7"/>
  </w:num>
  <w:num w:numId="6">
    <w:abstractNumId w:val="12"/>
  </w:num>
  <w:num w:numId="7">
    <w:abstractNumId w:val="11"/>
  </w:num>
  <w:num w:numId="8">
    <w:abstractNumId w:val="22"/>
  </w:num>
  <w:num w:numId="9">
    <w:abstractNumId w:val="2"/>
  </w:num>
  <w:num w:numId="10">
    <w:abstractNumId w:val="23"/>
  </w:num>
  <w:num w:numId="11">
    <w:abstractNumId w:val="0"/>
  </w:num>
  <w:num w:numId="12">
    <w:abstractNumId w:val="10"/>
  </w:num>
  <w:num w:numId="13">
    <w:abstractNumId w:val="19"/>
  </w:num>
  <w:num w:numId="14">
    <w:abstractNumId w:val="16"/>
  </w:num>
  <w:num w:numId="15">
    <w:abstractNumId w:val="25"/>
  </w:num>
  <w:num w:numId="16">
    <w:abstractNumId w:val="5"/>
  </w:num>
  <w:num w:numId="17">
    <w:abstractNumId w:val="9"/>
  </w:num>
  <w:num w:numId="18">
    <w:abstractNumId w:val="15"/>
  </w:num>
  <w:num w:numId="19">
    <w:abstractNumId w:val="21"/>
  </w:num>
  <w:num w:numId="20">
    <w:abstractNumId w:val="4"/>
  </w:num>
  <w:num w:numId="21">
    <w:abstractNumId w:val="3"/>
  </w:num>
  <w:num w:numId="22">
    <w:abstractNumId w:val="13"/>
  </w:num>
  <w:num w:numId="23">
    <w:abstractNumId w:val="17"/>
  </w:num>
  <w:num w:numId="24">
    <w:abstractNumId w:val="24"/>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revisionView w:formatting="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F1"/>
    <w:rsid w:val="00000CC4"/>
    <w:rsid w:val="00003CE1"/>
    <w:rsid w:val="00006B63"/>
    <w:rsid w:val="00010FAD"/>
    <w:rsid w:val="000125A6"/>
    <w:rsid w:val="0001300F"/>
    <w:rsid w:val="00016333"/>
    <w:rsid w:val="00017188"/>
    <w:rsid w:val="00020081"/>
    <w:rsid w:val="00020744"/>
    <w:rsid w:val="0002086D"/>
    <w:rsid w:val="0002242D"/>
    <w:rsid w:val="00023FEC"/>
    <w:rsid w:val="00025240"/>
    <w:rsid w:val="00026BBF"/>
    <w:rsid w:val="000271FC"/>
    <w:rsid w:val="00035845"/>
    <w:rsid w:val="000376E5"/>
    <w:rsid w:val="00040A41"/>
    <w:rsid w:val="00040F26"/>
    <w:rsid w:val="00043270"/>
    <w:rsid w:val="00044824"/>
    <w:rsid w:val="00046434"/>
    <w:rsid w:val="00047D6A"/>
    <w:rsid w:val="00047FEC"/>
    <w:rsid w:val="00050298"/>
    <w:rsid w:val="000515DD"/>
    <w:rsid w:val="00054BDD"/>
    <w:rsid w:val="000558CF"/>
    <w:rsid w:val="00055D18"/>
    <w:rsid w:val="00057E2E"/>
    <w:rsid w:val="00061171"/>
    <w:rsid w:val="00061FD9"/>
    <w:rsid w:val="00066111"/>
    <w:rsid w:val="00066272"/>
    <w:rsid w:val="00066332"/>
    <w:rsid w:val="00071780"/>
    <w:rsid w:val="00071D56"/>
    <w:rsid w:val="00072F5E"/>
    <w:rsid w:val="0007369B"/>
    <w:rsid w:val="0007634A"/>
    <w:rsid w:val="00076DF8"/>
    <w:rsid w:val="00076F49"/>
    <w:rsid w:val="00077D2A"/>
    <w:rsid w:val="00080C15"/>
    <w:rsid w:val="00081AE2"/>
    <w:rsid w:val="00081DBA"/>
    <w:rsid w:val="00084093"/>
    <w:rsid w:val="00092293"/>
    <w:rsid w:val="00092B4E"/>
    <w:rsid w:val="00093453"/>
    <w:rsid w:val="00094992"/>
    <w:rsid w:val="00095FDB"/>
    <w:rsid w:val="000964D1"/>
    <w:rsid w:val="000965F4"/>
    <w:rsid w:val="000A406D"/>
    <w:rsid w:val="000A77FF"/>
    <w:rsid w:val="000B0C37"/>
    <w:rsid w:val="000B1731"/>
    <w:rsid w:val="000B304B"/>
    <w:rsid w:val="000B4CE4"/>
    <w:rsid w:val="000B5BDF"/>
    <w:rsid w:val="000B5E6A"/>
    <w:rsid w:val="000B643B"/>
    <w:rsid w:val="000B7FFE"/>
    <w:rsid w:val="000C4821"/>
    <w:rsid w:val="000C48E4"/>
    <w:rsid w:val="000C574F"/>
    <w:rsid w:val="000D074D"/>
    <w:rsid w:val="000D09F1"/>
    <w:rsid w:val="000D1B33"/>
    <w:rsid w:val="000D393A"/>
    <w:rsid w:val="000D4661"/>
    <w:rsid w:val="000D7691"/>
    <w:rsid w:val="000D7750"/>
    <w:rsid w:val="000E05DE"/>
    <w:rsid w:val="000E1668"/>
    <w:rsid w:val="000E281C"/>
    <w:rsid w:val="000E4349"/>
    <w:rsid w:val="000E4A6B"/>
    <w:rsid w:val="000F3167"/>
    <w:rsid w:val="000F36C6"/>
    <w:rsid w:val="000F38AA"/>
    <w:rsid w:val="000F525C"/>
    <w:rsid w:val="000F5965"/>
    <w:rsid w:val="000F5C85"/>
    <w:rsid w:val="001007E2"/>
    <w:rsid w:val="00104D09"/>
    <w:rsid w:val="0010626D"/>
    <w:rsid w:val="00113774"/>
    <w:rsid w:val="00114AAD"/>
    <w:rsid w:val="00115E3C"/>
    <w:rsid w:val="001178E9"/>
    <w:rsid w:val="001236A8"/>
    <w:rsid w:val="00125FD1"/>
    <w:rsid w:val="0013054D"/>
    <w:rsid w:val="00130D2A"/>
    <w:rsid w:val="00135331"/>
    <w:rsid w:val="00137515"/>
    <w:rsid w:val="00137665"/>
    <w:rsid w:val="00141FF2"/>
    <w:rsid w:val="00143103"/>
    <w:rsid w:val="00144CD3"/>
    <w:rsid w:val="00145B45"/>
    <w:rsid w:val="00152AAF"/>
    <w:rsid w:val="00155D3E"/>
    <w:rsid w:val="00157BFC"/>
    <w:rsid w:val="0016470D"/>
    <w:rsid w:val="00165FC1"/>
    <w:rsid w:val="00170C3B"/>
    <w:rsid w:val="00174285"/>
    <w:rsid w:val="00175F4F"/>
    <w:rsid w:val="001764D3"/>
    <w:rsid w:val="00181727"/>
    <w:rsid w:val="00183BEF"/>
    <w:rsid w:val="00183E4B"/>
    <w:rsid w:val="0018519A"/>
    <w:rsid w:val="00185730"/>
    <w:rsid w:val="001904A5"/>
    <w:rsid w:val="001908C2"/>
    <w:rsid w:val="00191654"/>
    <w:rsid w:val="00191CFD"/>
    <w:rsid w:val="00191D32"/>
    <w:rsid w:val="001920F4"/>
    <w:rsid w:val="00192737"/>
    <w:rsid w:val="00197BFB"/>
    <w:rsid w:val="001A1A1A"/>
    <w:rsid w:val="001A388F"/>
    <w:rsid w:val="001A4B89"/>
    <w:rsid w:val="001A6FE7"/>
    <w:rsid w:val="001B29BC"/>
    <w:rsid w:val="001B5F2E"/>
    <w:rsid w:val="001C1BDA"/>
    <w:rsid w:val="001C284A"/>
    <w:rsid w:val="001C422A"/>
    <w:rsid w:val="001C5225"/>
    <w:rsid w:val="001D0482"/>
    <w:rsid w:val="001D0597"/>
    <w:rsid w:val="001D130D"/>
    <w:rsid w:val="001D4264"/>
    <w:rsid w:val="001D4B79"/>
    <w:rsid w:val="001D4F76"/>
    <w:rsid w:val="001D578A"/>
    <w:rsid w:val="001D6B85"/>
    <w:rsid w:val="001D6BB3"/>
    <w:rsid w:val="001D73B7"/>
    <w:rsid w:val="001E0C6D"/>
    <w:rsid w:val="001E1F18"/>
    <w:rsid w:val="001E5032"/>
    <w:rsid w:val="001E5613"/>
    <w:rsid w:val="001E7CB6"/>
    <w:rsid w:val="001F0F5A"/>
    <w:rsid w:val="001F1B35"/>
    <w:rsid w:val="001F1DF6"/>
    <w:rsid w:val="001F2568"/>
    <w:rsid w:val="001F3B98"/>
    <w:rsid w:val="001F4FA0"/>
    <w:rsid w:val="001F65FC"/>
    <w:rsid w:val="001F6A57"/>
    <w:rsid w:val="00200971"/>
    <w:rsid w:val="00203D42"/>
    <w:rsid w:val="00206C84"/>
    <w:rsid w:val="002102D3"/>
    <w:rsid w:val="002120B4"/>
    <w:rsid w:val="002120F5"/>
    <w:rsid w:val="0021240F"/>
    <w:rsid w:val="00214D4A"/>
    <w:rsid w:val="00220E12"/>
    <w:rsid w:val="002219CD"/>
    <w:rsid w:val="00223CBA"/>
    <w:rsid w:val="00224EB5"/>
    <w:rsid w:val="002258BF"/>
    <w:rsid w:val="00227840"/>
    <w:rsid w:val="00227AFD"/>
    <w:rsid w:val="00233C20"/>
    <w:rsid w:val="002343F5"/>
    <w:rsid w:val="002376FC"/>
    <w:rsid w:val="00247B6F"/>
    <w:rsid w:val="00251161"/>
    <w:rsid w:val="002542B6"/>
    <w:rsid w:val="00257A93"/>
    <w:rsid w:val="002613E4"/>
    <w:rsid w:val="0026234B"/>
    <w:rsid w:val="002625B3"/>
    <w:rsid w:val="00263AAD"/>
    <w:rsid w:val="00265C14"/>
    <w:rsid w:val="00265F25"/>
    <w:rsid w:val="0026674D"/>
    <w:rsid w:val="00266784"/>
    <w:rsid w:val="00271207"/>
    <w:rsid w:val="00271B63"/>
    <w:rsid w:val="00272FBF"/>
    <w:rsid w:val="002742F4"/>
    <w:rsid w:val="0027461E"/>
    <w:rsid w:val="00280D2F"/>
    <w:rsid w:val="00281255"/>
    <w:rsid w:val="00281F3B"/>
    <w:rsid w:val="00282166"/>
    <w:rsid w:val="00287421"/>
    <w:rsid w:val="0029126C"/>
    <w:rsid w:val="002926BF"/>
    <w:rsid w:val="002939A6"/>
    <w:rsid w:val="002A28F1"/>
    <w:rsid w:val="002A47C2"/>
    <w:rsid w:val="002A5E6C"/>
    <w:rsid w:val="002A7C12"/>
    <w:rsid w:val="002A7D8A"/>
    <w:rsid w:val="002B13E2"/>
    <w:rsid w:val="002B2555"/>
    <w:rsid w:val="002B3B80"/>
    <w:rsid w:val="002B4041"/>
    <w:rsid w:val="002B47EF"/>
    <w:rsid w:val="002C07FB"/>
    <w:rsid w:val="002C0DC5"/>
    <w:rsid w:val="002C3651"/>
    <w:rsid w:val="002C37FD"/>
    <w:rsid w:val="002C54C7"/>
    <w:rsid w:val="002C5E24"/>
    <w:rsid w:val="002C6C16"/>
    <w:rsid w:val="002C7EBE"/>
    <w:rsid w:val="002D1DB6"/>
    <w:rsid w:val="002D273A"/>
    <w:rsid w:val="002D3EB6"/>
    <w:rsid w:val="002D3EFA"/>
    <w:rsid w:val="002D6010"/>
    <w:rsid w:val="002D737B"/>
    <w:rsid w:val="002E185A"/>
    <w:rsid w:val="002E486A"/>
    <w:rsid w:val="002F5149"/>
    <w:rsid w:val="002F5A68"/>
    <w:rsid w:val="002F5CF0"/>
    <w:rsid w:val="002F662D"/>
    <w:rsid w:val="00300F75"/>
    <w:rsid w:val="00301162"/>
    <w:rsid w:val="00305A09"/>
    <w:rsid w:val="0030691A"/>
    <w:rsid w:val="00307FD1"/>
    <w:rsid w:val="003101A7"/>
    <w:rsid w:val="00312D79"/>
    <w:rsid w:val="00313CA4"/>
    <w:rsid w:val="00314A0B"/>
    <w:rsid w:val="00325F2E"/>
    <w:rsid w:val="00336E57"/>
    <w:rsid w:val="003373BC"/>
    <w:rsid w:val="00337C1F"/>
    <w:rsid w:val="00340A9C"/>
    <w:rsid w:val="0034146E"/>
    <w:rsid w:val="003418CC"/>
    <w:rsid w:val="00342C51"/>
    <w:rsid w:val="00345A95"/>
    <w:rsid w:val="00345C0F"/>
    <w:rsid w:val="0034742B"/>
    <w:rsid w:val="003563EA"/>
    <w:rsid w:val="00361F90"/>
    <w:rsid w:val="00364963"/>
    <w:rsid w:val="003652E6"/>
    <w:rsid w:val="00365A41"/>
    <w:rsid w:val="00370FB1"/>
    <w:rsid w:val="00375259"/>
    <w:rsid w:val="00380519"/>
    <w:rsid w:val="00381E5C"/>
    <w:rsid w:val="003829C0"/>
    <w:rsid w:val="00382D1C"/>
    <w:rsid w:val="00383952"/>
    <w:rsid w:val="00391185"/>
    <w:rsid w:val="003912DA"/>
    <w:rsid w:val="00391981"/>
    <w:rsid w:val="003929C9"/>
    <w:rsid w:val="00397A3C"/>
    <w:rsid w:val="003A121A"/>
    <w:rsid w:val="003A161A"/>
    <w:rsid w:val="003A6137"/>
    <w:rsid w:val="003A61A4"/>
    <w:rsid w:val="003A69A4"/>
    <w:rsid w:val="003B0CBE"/>
    <w:rsid w:val="003B390D"/>
    <w:rsid w:val="003B506D"/>
    <w:rsid w:val="003B7D63"/>
    <w:rsid w:val="003C074E"/>
    <w:rsid w:val="003C131E"/>
    <w:rsid w:val="003C2527"/>
    <w:rsid w:val="003C36C3"/>
    <w:rsid w:val="003C488E"/>
    <w:rsid w:val="003C4B76"/>
    <w:rsid w:val="003C5F59"/>
    <w:rsid w:val="003E1161"/>
    <w:rsid w:val="003E14C2"/>
    <w:rsid w:val="003E3C50"/>
    <w:rsid w:val="003E562F"/>
    <w:rsid w:val="003F32EE"/>
    <w:rsid w:val="003F4CAB"/>
    <w:rsid w:val="003F7D3D"/>
    <w:rsid w:val="00402589"/>
    <w:rsid w:val="004032AB"/>
    <w:rsid w:val="00403CA4"/>
    <w:rsid w:val="00403F18"/>
    <w:rsid w:val="00407232"/>
    <w:rsid w:val="00407B78"/>
    <w:rsid w:val="00413695"/>
    <w:rsid w:val="00413E87"/>
    <w:rsid w:val="00414F32"/>
    <w:rsid w:val="0041558F"/>
    <w:rsid w:val="004160FB"/>
    <w:rsid w:val="00416A61"/>
    <w:rsid w:val="0042095B"/>
    <w:rsid w:val="004237EC"/>
    <w:rsid w:val="00426234"/>
    <w:rsid w:val="004331B5"/>
    <w:rsid w:val="004341F5"/>
    <w:rsid w:val="00440DF0"/>
    <w:rsid w:val="00441079"/>
    <w:rsid w:val="0044124E"/>
    <w:rsid w:val="00442FF5"/>
    <w:rsid w:val="004478C0"/>
    <w:rsid w:val="00451BA3"/>
    <w:rsid w:val="00454FB3"/>
    <w:rsid w:val="00457CB4"/>
    <w:rsid w:val="0046088C"/>
    <w:rsid w:val="00463399"/>
    <w:rsid w:val="00463EBE"/>
    <w:rsid w:val="004654B7"/>
    <w:rsid w:val="004656BB"/>
    <w:rsid w:val="00467B68"/>
    <w:rsid w:val="004704C3"/>
    <w:rsid w:val="00472FD2"/>
    <w:rsid w:val="00475748"/>
    <w:rsid w:val="0048121C"/>
    <w:rsid w:val="0048274C"/>
    <w:rsid w:val="00483AE6"/>
    <w:rsid w:val="00484FEF"/>
    <w:rsid w:val="004936FF"/>
    <w:rsid w:val="004A1B27"/>
    <w:rsid w:val="004A328D"/>
    <w:rsid w:val="004A3872"/>
    <w:rsid w:val="004A5F66"/>
    <w:rsid w:val="004A6FAA"/>
    <w:rsid w:val="004B02ED"/>
    <w:rsid w:val="004B339A"/>
    <w:rsid w:val="004B43E6"/>
    <w:rsid w:val="004B6119"/>
    <w:rsid w:val="004B6D19"/>
    <w:rsid w:val="004B6F85"/>
    <w:rsid w:val="004C18AA"/>
    <w:rsid w:val="004C4C89"/>
    <w:rsid w:val="004D20D7"/>
    <w:rsid w:val="004D2A06"/>
    <w:rsid w:val="004D3EDB"/>
    <w:rsid w:val="004D5FE0"/>
    <w:rsid w:val="004E0A6A"/>
    <w:rsid w:val="004E2FB0"/>
    <w:rsid w:val="004E3D70"/>
    <w:rsid w:val="004E3DE4"/>
    <w:rsid w:val="004F275F"/>
    <w:rsid w:val="004F5375"/>
    <w:rsid w:val="004F6977"/>
    <w:rsid w:val="004F6BFC"/>
    <w:rsid w:val="004F76B6"/>
    <w:rsid w:val="00502DDD"/>
    <w:rsid w:val="0050422E"/>
    <w:rsid w:val="005074DB"/>
    <w:rsid w:val="00510DAD"/>
    <w:rsid w:val="00513243"/>
    <w:rsid w:val="00514C2F"/>
    <w:rsid w:val="0051540C"/>
    <w:rsid w:val="00517450"/>
    <w:rsid w:val="00522F69"/>
    <w:rsid w:val="00525341"/>
    <w:rsid w:val="00526F05"/>
    <w:rsid w:val="005314D5"/>
    <w:rsid w:val="00531EDC"/>
    <w:rsid w:val="00532537"/>
    <w:rsid w:val="0053287C"/>
    <w:rsid w:val="00532DAC"/>
    <w:rsid w:val="00533079"/>
    <w:rsid w:val="00537618"/>
    <w:rsid w:val="005405EF"/>
    <w:rsid w:val="00540D88"/>
    <w:rsid w:val="0054515D"/>
    <w:rsid w:val="00545E31"/>
    <w:rsid w:val="005542D9"/>
    <w:rsid w:val="005560A2"/>
    <w:rsid w:val="00557AE2"/>
    <w:rsid w:val="00570572"/>
    <w:rsid w:val="00571847"/>
    <w:rsid w:val="0057184B"/>
    <w:rsid w:val="00571C5E"/>
    <w:rsid w:val="00574DA1"/>
    <w:rsid w:val="00575726"/>
    <w:rsid w:val="005763C9"/>
    <w:rsid w:val="0057700F"/>
    <w:rsid w:val="00577496"/>
    <w:rsid w:val="00577D51"/>
    <w:rsid w:val="00581724"/>
    <w:rsid w:val="00581835"/>
    <w:rsid w:val="00586708"/>
    <w:rsid w:val="005876BD"/>
    <w:rsid w:val="00591AB0"/>
    <w:rsid w:val="0059412A"/>
    <w:rsid w:val="00596052"/>
    <w:rsid w:val="0059684A"/>
    <w:rsid w:val="00597418"/>
    <w:rsid w:val="0059793C"/>
    <w:rsid w:val="005A2792"/>
    <w:rsid w:val="005B09C3"/>
    <w:rsid w:val="005B2FDC"/>
    <w:rsid w:val="005B35D0"/>
    <w:rsid w:val="005B5BBE"/>
    <w:rsid w:val="005B5E9F"/>
    <w:rsid w:val="005B6D39"/>
    <w:rsid w:val="005B77CE"/>
    <w:rsid w:val="005B7DE4"/>
    <w:rsid w:val="005C08D5"/>
    <w:rsid w:val="005C36B0"/>
    <w:rsid w:val="005C443A"/>
    <w:rsid w:val="005C48BB"/>
    <w:rsid w:val="005D4213"/>
    <w:rsid w:val="005D6020"/>
    <w:rsid w:val="005D78E6"/>
    <w:rsid w:val="005D7FFC"/>
    <w:rsid w:val="005E3029"/>
    <w:rsid w:val="005E4483"/>
    <w:rsid w:val="005F1594"/>
    <w:rsid w:val="005F1C3C"/>
    <w:rsid w:val="005F4501"/>
    <w:rsid w:val="005F546A"/>
    <w:rsid w:val="005F587E"/>
    <w:rsid w:val="005F625E"/>
    <w:rsid w:val="005F6504"/>
    <w:rsid w:val="005F6B34"/>
    <w:rsid w:val="00600501"/>
    <w:rsid w:val="00602B1D"/>
    <w:rsid w:val="0060512B"/>
    <w:rsid w:val="006055FC"/>
    <w:rsid w:val="00606DF2"/>
    <w:rsid w:val="006109AA"/>
    <w:rsid w:val="00612915"/>
    <w:rsid w:val="00615F42"/>
    <w:rsid w:val="0061662A"/>
    <w:rsid w:val="006166FA"/>
    <w:rsid w:val="00620867"/>
    <w:rsid w:val="0062314A"/>
    <w:rsid w:val="006232D1"/>
    <w:rsid w:val="00623F2E"/>
    <w:rsid w:val="00624632"/>
    <w:rsid w:val="00624834"/>
    <w:rsid w:val="00626BB9"/>
    <w:rsid w:val="00626F2D"/>
    <w:rsid w:val="00632B16"/>
    <w:rsid w:val="00632E09"/>
    <w:rsid w:val="0063362C"/>
    <w:rsid w:val="00635CA0"/>
    <w:rsid w:val="00640E19"/>
    <w:rsid w:val="00641EFB"/>
    <w:rsid w:val="0065682B"/>
    <w:rsid w:val="0066351C"/>
    <w:rsid w:val="00664BC0"/>
    <w:rsid w:val="0066581C"/>
    <w:rsid w:val="00665C21"/>
    <w:rsid w:val="006703FC"/>
    <w:rsid w:val="006747A4"/>
    <w:rsid w:val="00676532"/>
    <w:rsid w:val="00682948"/>
    <w:rsid w:val="00683D55"/>
    <w:rsid w:val="00684809"/>
    <w:rsid w:val="0068580A"/>
    <w:rsid w:val="00685B21"/>
    <w:rsid w:val="00690136"/>
    <w:rsid w:val="00694BC4"/>
    <w:rsid w:val="006A1B0E"/>
    <w:rsid w:val="006A1DC9"/>
    <w:rsid w:val="006A239B"/>
    <w:rsid w:val="006A4C63"/>
    <w:rsid w:val="006A510E"/>
    <w:rsid w:val="006A6732"/>
    <w:rsid w:val="006A6C9E"/>
    <w:rsid w:val="006B07E8"/>
    <w:rsid w:val="006B4862"/>
    <w:rsid w:val="006B7C0F"/>
    <w:rsid w:val="006C5B0F"/>
    <w:rsid w:val="006D079B"/>
    <w:rsid w:val="006D5207"/>
    <w:rsid w:val="006E0484"/>
    <w:rsid w:val="006E0BDA"/>
    <w:rsid w:val="006E0D79"/>
    <w:rsid w:val="006E0EF9"/>
    <w:rsid w:val="006E7324"/>
    <w:rsid w:val="006E79CC"/>
    <w:rsid w:val="006E7F02"/>
    <w:rsid w:val="006F2F9D"/>
    <w:rsid w:val="006F5B92"/>
    <w:rsid w:val="006F6744"/>
    <w:rsid w:val="006F7D0E"/>
    <w:rsid w:val="00703D16"/>
    <w:rsid w:val="007044C2"/>
    <w:rsid w:val="00707EF6"/>
    <w:rsid w:val="00711F7A"/>
    <w:rsid w:val="00714F89"/>
    <w:rsid w:val="00717726"/>
    <w:rsid w:val="00717C31"/>
    <w:rsid w:val="00720AC5"/>
    <w:rsid w:val="007211E5"/>
    <w:rsid w:val="0072366E"/>
    <w:rsid w:val="00726341"/>
    <w:rsid w:val="007269DD"/>
    <w:rsid w:val="00726BF7"/>
    <w:rsid w:val="00727155"/>
    <w:rsid w:val="0072782A"/>
    <w:rsid w:val="00730A00"/>
    <w:rsid w:val="00732959"/>
    <w:rsid w:val="00736E3D"/>
    <w:rsid w:val="007401B3"/>
    <w:rsid w:val="0074069F"/>
    <w:rsid w:val="0074174B"/>
    <w:rsid w:val="00746357"/>
    <w:rsid w:val="00746ED5"/>
    <w:rsid w:val="00746EF2"/>
    <w:rsid w:val="00747B52"/>
    <w:rsid w:val="00747C32"/>
    <w:rsid w:val="00751112"/>
    <w:rsid w:val="007512DC"/>
    <w:rsid w:val="00751C09"/>
    <w:rsid w:val="00751CC9"/>
    <w:rsid w:val="00753C43"/>
    <w:rsid w:val="007547D0"/>
    <w:rsid w:val="00756BA7"/>
    <w:rsid w:val="0076017D"/>
    <w:rsid w:val="00760B7C"/>
    <w:rsid w:val="00761221"/>
    <w:rsid w:val="00762BAB"/>
    <w:rsid w:val="007637A8"/>
    <w:rsid w:val="007646B2"/>
    <w:rsid w:val="00764BC0"/>
    <w:rsid w:val="00764E29"/>
    <w:rsid w:val="00766EA3"/>
    <w:rsid w:val="007704C5"/>
    <w:rsid w:val="00772079"/>
    <w:rsid w:val="00772C3F"/>
    <w:rsid w:val="007735D7"/>
    <w:rsid w:val="00773AEB"/>
    <w:rsid w:val="0078025C"/>
    <w:rsid w:val="007822C4"/>
    <w:rsid w:val="00783A94"/>
    <w:rsid w:val="00785072"/>
    <w:rsid w:val="00787670"/>
    <w:rsid w:val="007879AE"/>
    <w:rsid w:val="0079397E"/>
    <w:rsid w:val="007942EE"/>
    <w:rsid w:val="00795616"/>
    <w:rsid w:val="00795DEB"/>
    <w:rsid w:val="00796247"/>
    <w:rsid w:val="007A1A24"/>
    <w:rsid w:val="007A20B6"/>
    <w:rsid w:val="007A23EE"/>
    <w:rsid w:val="007A2F92"/>
    <w:rsid w:val="007A3558"/>
    <w:rsid w:val="007A4F46"/>
    <w:rsid w:val="007B213A"/>
    <w:rsid w:val="007B4344"/>
    <w:rsid w:val="007B5B38"/>
    <w:rsid w:val="007B7DD6"/>
    <w:rsid w:val="007C0582"/>
    <w:rsid w:val="007C10A0"/>
    <w:rsid w:val="007C3591"/>
    <w:rsid w:val="007C399A"/>
    <w:rsid w:val="007C4B84"/>
    <w:rsid w:val="007C729E"/>
    <w:rsid w:val="007D07DD"/>
    <w:rsid w:val="007D1731"/>
    <w:rsid w:val="007D1D0D"/>
    <w:rsid w:val="007D2432"/>
    <w:rsid w:val="007D366A"/>
    <w:rsid w:val="007D55A5"/>
    <w:rsid w:val="007D69FF"/>
    <w:rsid w:val="007E0F5B"/>
    <w:rsid w:val="007E2274"/>
    <w:rsid w:val="007E5D12"/>
    <w:rsid w:val="007E7C0F"/>
    <w:rsid w:val="007F1BB4"/>
    <w:rsid w:val="007F2C37"/>
    <w:rsid w:val="007F596A"/>
    <w:rsid w:val="007F67F1"/>
    <w:rsid w:val="00800E46"/>
    <w:rsid w:val="0080194B"/>
    <w:rsid w:val="008037DE"/>
    <w:rsid w:val="0080458F"/>
    <w:rsid w:val="00816112"/>
    <w:rsid w:val="008163AF"/>
    <w:rsid w:val="0082668A"/>
    <w:rsid w:val="00830794"/>
    <w:rsid w:val="00830852"/>
    <w:rsid w:val="00832F79"/>
    <w:rsid w:val="008344B1"/>
    <w:rsid w:val="00835457"/>
    <w:rsid w:val="00835BF9"/>
    <w:rsid w:val="00841758"/>
    <w:rsid w:val="00842917"/>
    <w:rsid w:val="00842C9F"/>
    <w:rsid w:val="00844559"/>
    <w:rsid w:val="00845060"/>
    <w:rsid w:val="008463D3"/>
    <w:rsid w:val="008464CA"/>
    <w:rsid w:val="008510A1"/>
    <w:rsid w:val="0085339F"/>
    <w:rsid w:val="00854FB0"/>
    <w:rsid w:val="008619E1"/>
    <w:rsid w:val="00862189"/>
    <w:rsid w:val="00862451"/>
    <w:rsid w:val="00863223"/>
    <w:rsid w:val="008635B5"/>
    <w:rsid w:val="008642D3"/>
    <w:rsid w:val="00864BB0"/>
    <w:rsid w:val="00866F91"/>
    <w:rsid w:val="00871054"/>
    <w:rsid w:val="00871FC8"/>
    <w:rsid w:val="00873F87"/>
    <w:rsid w:val="0087430F"/>
    <w:rsid w:val="00876F75"/>
    <w:rsid w:val="00880AE6"/>
    <w:rsid w:val="0088434C"/>
    <w:rsid w:val="008860D9"/>
    <w:rsid w:val="008917BB"/>
    <w:rsid w:val="008948C8"/>
    <w:rsid w:val="00894DCE"/>
    <w:rsid w:val="00896275"/>
    <w:rsid w:val="008A13B1"/>
    <w:rsid w:val="008A1826"/>
    <w:rsid w:val="008A21A4"/>
    <w:rsid w:val="008A5B49"/>
    <w:rsid w:val="008A7D93"/>
    <w:rsid w:val="008B187A"/>
    <w:rsid w:val="008B25A5"/>
    <w:rsid w:val="008B6D5A"/>
    <w:rsid w:val="008B703B"/>
    <w:rsid w:val="008C2103"/>
    <w:rsid w:val="008C288D"/>
    <w:rsid w:val="008C3579"/>
    <w:rsid w:val="008C3710"/>
    <w:rsid w:val="008C6C2D"/>
    <w:rsid w:val="008D20EF"/>
    <w:rsid w:val="008E15C8"/>
    <w:rsid w:val="008E31A1"/>
    <w:rsid w:val="008E579C"/>
    <w:rsid w:val="008E6EC9"/>
    <w:rsid w:val="008E70CD"/>
    <w:rsid w:val="008F1572"/>
    <w:rsid w:val="008F4C0A"/>
    <w:rsid w:val="008F4F08"/>
    <w:rsid w:val="008F54D4"/>
    <w:rsid w:val="008F5AA2"/>
    <w:rsid w:val="008F63C6"/>
    <w:rsid w:val="00903093"/>
    <w:rsid w:val="00904581"/>
    <w:rsid w:val="00905A0C"/>
    <w:rsid w:val="00906B3E"/>
    <w:rsid w:val="0090741D"/>
    <w:rsid w:val="009075A8"/>
    <w:rsid w:val="009139BE"/>
    <w:rsid w:val="00913A8B"/>
    <w:rsid w:val="00920098"/>
    <w:rsid w:val="009238E1"/>
    <w:rsid w:val="00926CE9"/>
    <w:rsid w:val="00932CFE"/>
    <w:rsid w:val="009347E1"/>
    <w:rsid w:val="00937E89"/>
    <w:rsid w:val="00942F81"/>
    <w:rsid w:val="00944798"/>
    <w:rsid w:val="00945CC1"/>
    <w:rsid w:val="00950C29"/>
    <w:rsid w:val="00951DFE"/>
    <w:rsid w:val="00953340"/>
    <w:rsid w:val="009547E8"/>
    <w:rsid w:val="0095796F"/>
    <w:rsid w:val="009650C9"/>
    <w:rsid w:val="00967C5B"/>
    <w:rsid w:val="00970FE4"/>
    <w:rsid w:val="00973056"/>
    <w:rsid w:val="00976D64"/>
    <w:rsid w:val="00982F8F"/>
    <w:rsid w:val="009830DF"/>
    <w:rsid w:val="00985703"/>
    <w:rsid w:val="00986CD7"/>
    <w:rsid w:val="00987A1B"/>
    <w:rsid w:val="00990301"/>
    <w:rsid w:val="00993113"/>
    <w:rsid w:val="00997F3D"/>
    <w:rsid w:val="009A1AAE"/>
    <w:rsid w:val="009A4321"/>
    <w:rsid w:val="009A5730"/>
    <w:rsid w:val="009A680E"/>
    <w:rsid w:val="009A7005"/>
    <w:rsid w:val="009B2F8C"/>
    <w:rsid w:val="009B3189"/>
    <w:rsid w:val="009C07F8"/>
    <w:rsid w:val="009C125C"/>
    <w:rsid w:val="009C2190"/>
    <w:rsid w:val="009C5B89"/>
    <w:rsid w:val="009D2725"/>
    <w:rsid w:val="009D7EF5"/>
    <w:rsid w:val="009E1190"/>
    <w:rsid w:val="009E3510"/>
    <w:rsid w:val="009E4840"/>
    <w:rsid w:val="009E5CEF"/>
    <w:rsid w:val="009E62EB"/>
    <w:rsid w:val="009E65F7"/>
    <w:rsid w:val="009E79D7"/>
    <w:rsid w:val="009F0FFC"/>
    <w:rsid w:val="009F1C30"/>
    <w:rsid w:val="009F21B0"/>
    <w:rsid w:val="009F332A"/>
    <w:rsid w:val="009F5615"/>
    <w:rsid w:val="009F7B29"/>
    <w:rsid w:val="00A01574"/>
    <w:rsid w:val="00A0452A"/>
    <w:rsid w:val="00A04A2B"/>
    <w:rsid w:val="00A04C58"/>
    <w:rsid w:val="00A058DF"/>
    <w:rsid w:val="00A0607C"/>
    <w:rsid w:val="00A067F6"/>
    <w:rsid w:val="00A11001"/>
    <w:rsid w:val="00A11110"/>
    <w:rsid w:val="00A11A64"/>
    <w:rsid w:val="00A13551"/>
    <w:rsid w:val="00A13E06"/>
    <w:rsid w:val="00A14893"/>
    <w:rsid w:val="00A23734"/>
    <w:rsid w:val="00A276F5"/>
    <w:rsid w:val="00A4149E"/>
    <w:rsid w:val="00A42D65"/>
    <w:rsid w:val="00A47724"/>
    <w:rsid w:val="00A53290"/>
    <w:rsid w:val="00A54DF3"/>
    <w:rsid w:val="00A57CCF"/>
    <w:rsid w:val="00A60392"/>
    <w:rsid w:val="00A609BD"/>
    <w:rsid w:val="00A60B34"/>
    <w:rsid w:val="00A624E2"/>
    <w:rsid w:val="00A625FE"/>
    <w:rsid w:val="00A637EA"/>
    <w:rsid w:val="00A64B42"/>
    <w:rsid w:val="00A650B1"/>
    <w:rsid w:val="00A663C5"/>
    <w:rsid w:val="00A67479"/>
    <w:rsid w:val="00A677DD"/>
    <w:rsid w:val="00A71D1B"/>
    <w:rsid w:val="00A72282"/>
    <w:rsid w:val="00A72E7B"/>
    <w:rsid w:val="00A74965"/>
    <w:rsid w:val="00A7548D"/>
    <w:rsid w:val="00A76E40"/>
    <w:rsid w:val="00A7703E"/>
    <w:rsid w:val="00A77A9F"/>
    <w:rsid w:val="00A77F07"/>
    <w:rsid w:val="00A802DF"/>
    <w:rsid w:val="00A81DBD"/>
    <w:rsid w:val="00A82DDD"/>
    <w:rsid w:val="00A84A03"/>
    <w:rsid w:val="00A879CA"/>
    <w:rsid w:val="00A9607F"/>
    <w:rsid w:val="00A96B65"/>
    <w:rsid w:val="00A97886"/>
    <w:rsid w:val="00A978BD"/>
    <w:rsid w:val="00AA4829"/>
    <w:rsid w:val="00AA4F0A"/>
    <w:rsid w:val="00AA6384"/>
    <w:rsid w:val="00AA6860"/>
    <w:rsid w:val="00AA785E"/>
    <w:rsid w:val="00AB4172"/>
    <w:rsid w:val="00AB4D48"/>
    <w:rsid w:val="00AB58A0"/>
    <w:rsid w:val="00AB742F"/>
    <w:rsid w:val="00AB779E"/>
    <w:rsid w:val="00AC4EA7"/>
    <w:rsid w:val="00AC6361"/>
    <w:rsid w:val="00AC6DD6"/>
    <w:rsid w:val="00AC7626"/>
    <w:rsid w:val="00AD29C4"/>
    <w:rsid w:val="00AD3A95"/>
    <w:rsid w:val="00AD3BD2"/>
    <w:rsid w:val="00AD3DE5"/>
    <w:rsid w:val="00AD71F0"/>
    <w:rsid w:val="00AD7B46"/>
    <w:rsid w:val="00AD7C5F"/>
    <w:rsid w:val="00AE0122"/>
    <w:rsid w:val="00AE4E16"/>
    <w:rsid w:val="00AE6D6E"/>
    <w:rsid w:val="00AF0016"/>
    <w:rsid w:val="00AF24BB"/>
    <w:rsid w:val="00AF3005"/>
    <w:rsid w:val="00AF596F"/>
    <w:rsid w:val="00B01E0D"/>
    <w:rsid w:val="00B02CB3"/>
    <w:rsid w:val="00B10572"/>
    <w:rsid w:val="00B120BA"/>
    <w:rsid w:val="00B12659"/>
    <w:rsid w:val="00B14F4F"/>
    <w:rsid w:val="00B16297"/>
    <w:rsid w:val="00B27601"/>
    <w:rsid w:val="00B30CBD"/>
    <w:rsid w:val="00B3300B"/>
    <w:rsid w:val="00B34397"/>
    <w:rsid w:val="00B41E80"/>
    <w:rsid w:val="00B52F52"/>
    <w:rsid w:val="00B60B6B"/>
    <w:rsid w:val="00B61A33"/>
    <w:rsid w:val="00B61E45"/>
    <w:rsid w:val="00B6220F"/>
    <w:rsid w:val="00B636B5"/>
    <w:rsid w:val="00B66AA9"/>
    <w:rsid w:val="00B73C29"/>
    <w:rsid w:val="00B74279"/>
    <w:rsid w:val="00B7469E"/>
    <w:rsid w:val="00B77822"/>
    <w:rsid w:val="00B81322"/>
    <w:rsid w:val="00B81411"/>
    <w:rsid w:val="00B81D44"/>
    <w:rsid w:val="00B821E1"/>
    <w:rsid w:val="00B87A9F"/>
    <w:rsid w:val="00B9579D"/>
    <w:rsid w:val="00B96734"/>
    <w:rsid w:val="00BA1C7D"/>
    <w:rsid w:val="00BA1CD5"/>
    <w:rsid w:val="00BA503C"/>
    <w:rsid w:val="00BA5299"/>
    <w:rsid w:val="00BA5961"/>
    <w:rsid w:val="00BA7C56"/>
    <w:rsid w:val="00BB6054"/>
    <w:rsid w:val="00BB6B61"/>
    <w:rsid w:val="00BB77ED"/>
    <w:rsid w:val="00BC2643"/>
    <w:rsid w:val="00BC3795"/>
    <w:rsid w:val="00BC75D0"/>
    <w:rsid w:val="00BC7C64"/>
    <w:rsid w:val="00BD066D"/>
    <w:rsid w:val="00BD217A"/>
    <w:rsid w:val="00BE228E"/>
    <w:rsid w:val="00BE251F"/>
    <w:rsid w:val="00BE3871"/>
    <w:rsid w:val="00BF1282"/>
    <w:rsid w:val="00BF7B9F"/>
    <w:rsid w:val="00C01698"/>
    <w:rsid w:val="00C02748"/>
    <w:rsid w:val="00C0434C"/>
    <w:rsid w:val="00C07792"/>
    <w:rsid w:val="00C114E0"/>
    <w:rsid w:val="00C13720"/>
    <w:rsid w:val="00C17780"/>
    <w:rsid w:val="00C17D0A"/>
    <w:rsid w:val="00C22E5E"/>
    <w:rsid w:val="00C26D18"/>
    <w:rsid w:val="00C273C8"/>
    <w:rsid w:val="00C303DC"/>
    <w:rsid w:val="00C34C7E"/>
    <w:rsid w:val="00C357BA"/>
    <w:rsid w:val="00C361D7"/>
    <w:rsid w:val="00C36D8B"/>
    <w:rsid w:val="00C37C97"/>
    <w:rsid w:val="00C40730"/>
    <w:rsid w:val="00C40F36"/>
    <w:rsid w:val="00C44FD5"/>
    <w:rsid w:val="00C45A0D"/>
    <w:rsid w:val="00C4635B"/>
    <w:rsid w:val="00C464A9"/>
    <w:rsid w:val="00C50D12"/>
    <w:rsid w:val="00C510DD"/>
    <w:rsid w:val="00C52E83"/>
    <w:rsid w:val="00C56A85"/>
    <w:rsid w:val="00C57271"/>
    <w:rsid w:val="00C62F74"/>
    <w:rsid w:val="00C63136"/>
    <w:rsid w:val="00C63D68"/>
    <w:rsid w:val="00C6405B"/>
    <w:rsid w:val="00C6552B"/>
    <w:rsid w:val="00C667A7"/>
    <w:rsid w:val="00C66CD2"/>
    <w:rsid w:val="00C7148B"/>
    <w:rsid w:val="00C72929"/>
    <w:rsid w:val="00C72C12"/>
    <w:rsid w:val="00C743F1"/>
    <w:rsid w:val="00C80DCE"/>
    <w:rsid w:val="00C83F58"/>
    <w:rsid w:val="00C86731"/>
    <w:rsid w:val="00C91E9A"/>
    <w:rsid w:val="00C943AC"/>
    <w:rsid w:val="00C95B7C"/>
    <w:rsid w:val="00C96572"/>
    <w:rsid w:val="00C96970"/>
    <w:rsid w:val="00CA0FA0"/>
    <w:rsid w:val="00CA21DF"/>
    <w:rsid w:val="00CA495F"/>
    <w:rsid w:val="00CA4B51"/>
    <w:rsid w:val="00CA59C3"/>
    <w:rsid w:val="00CB0707"/>
    <w:rsid w:val="00CB1335"/>
    <w:rsid w:val="00CC2237"/>
    <w:rsid w:val="00CC314D"/>
    <w:rsid w:val="00CC5C8D"/>
    <w:rsid w:val="00CD22DA"/>
    <w:rsid w:val="00CD37F8"/>
    <w:rsid w:val="00CD3A0D"/>
    <w:rsid w:val="00CD3C8E"/>
    <w:rsid w:val="00CD4F72"/>
    <w:rsid w:val="00CE285F"/>
    <w:rsid w:val="00CE36D5"/>
    <w:rsid w:val="00CE4736"/>
    <w:rsid w:val="00CE4A30"/>
    <w:rsid w:val="00CE70A4"/>
    <w:rsid w:val="00CF0F2D"/>
    <w:rsid w:val="00CF1A2A"/>
    <w:rsid w:val="00CF4A2E"/>
    <w:rsid w:val="00CF5788"/>
    <w:rsid w:val="00CF5CF8"/>
    <w:rsid w:val="00CF7B7F"/>
    <w:rsid w:val="00D00089"/>
    <w:rsid w:val="00D00935"/>
    <w:rsid w:val="00D02502"/>
    <w:rsid w:val="00D03F10"/>
    <w:rsid w:val="00D0532B"/>
    <w:rsid w:val="00D05CA4"/>
    <w:rsid w:val="00D106AE"/>
    <w:rsid w:val="00D12836"/>
    <w:rsid w:val="00D14739"/>
    <w:rsid w:val="00D15852"/>
    <w:rsid w:val="00D204A2"/>
    <w:rsid w:val="00D20F6E"/>
    <w:rsid w:val="00D23233"/>
    <w:rsid w:val="00D23806"/>
    <w:rsid w:val="00D264CD"/>
    <w:rsid w:val="00D301FD"/>
    <w:rsid w:val="00D3076B"/>
    <w:rsid w:val="00D34D6B"/>
    <w:rsid w:val="00D35721"/>
    <w:rsid w:val="00D36AEB"/>
    <w:rsid w:val="00D5001D"/>
    <w:rsid w:val="00D50AA2"/>
    <w:rsid w:val="00D50BF0"/>
    <w:rsid w:val="00D53801"/>
    <w:rsid w:val="00D53D13"/>
    <w:rsid w:val="00D54D0E"/>
    <w:rsid w:val="00D54DFD"/>
    <w:rsid w:val="00D625C0"/>
    <w:rsid w:val="00D660D3"/>
    <w:rsid w:val="00D70B21"/>
    <w:rsid w:val="00D7341C"/>
    <w:rsid w:val="00D73968"/>
    <w:rsid w:val="00D752A1"/>
    <w:rsid w:val="00D77AEA"/>
    <w:rsid w:val="00D80FBD"/>
    <w:rsid w:val="00D838B1"/>
    <w:rsid w:val="00D85C5B"/>
    <w:rsid w:val="00D9229D"/>
    <w:rsid w:val="00D95E09"/>
    <w:rsid w:val="00D97DB0"/>
    <w:rsid w:val="00DA134E"/>
    <w:rsid w:val="00DA17C5"/>
    <w:rsid w:val="00DA28C0"/>
    <w:rsid w:val="00DA35DD"/>
    <w:rsid w:val="00DA37CE"/>
    <w:rsid w:val="00DA646E"/>
    <w:rsid w:val="00DA72AF"/>
    <w:rsid w:val="00DB6E17"/>
    <w:rsid w:val="00DC0531"/>
    <w:rsid w:val="00DC09A2"/>
    <w:rsid w:val="00DC0B98"/>
    <w:rsid w:val="00DC4E36"/>
    <w:rsid w:val="00DC72EB"/>
    <w:rsid w:val="00DD0510"/>
    <w:rsid w:val="00DD233E"/>
    <w:rsid w:val="00DD5264"/>
    <w:rsid w:val="00DE04D1"/>
    <w:rsid w:val="00DE0E34"/>
    <w:rsid w:val="00DE1540"/>
    <w:rsid w:val="00DE2779"/>
    <w:rsid w:val="00DE3A43"/>
    <w:rsid w:val="00DE5F50"/>
    <w:rsid w:val="00DF39FE"/>
    <w:rsid w:val="00DF555F"/>
    <w:rsid w:val="00E008D5"/>
    <w:rsid w:val="00E01409"/>
    <w:rsid w:val="00E0171E"/>
    <w:rsid w:val="00E04114"/>
    <w:rsid w:val="00E07A1C"/>
    <w:rsid w:val="00E07E7D"/>
    <w:rsid w:val="00E11CA6"/>
    <w:rsid w:val="00E12167"/>
    <w:rsid w:val="00E13E96"/>
    <w:rsid w:val="00E14565"/>
    <w:rsid w:val="00E20587"/>
    <w:rsid w:val="00E20612"/>
    <w:rsid w:val="00E20A5D"/>
    <w:rsid w:val="00E23CD9"/>
    <w:rsid w:val="00E25BCE"/>
    <w:rsid w:val="00E32C15"/>
    <w:rsid w:val="00E357A1"/>
    <w:rsid w:val="00E35F0F"/>
    <w:rsid w:val="00E3613F"/>
    <w:rsid w:val="00E40EC8"/>
    <w:rsid w:val="00E43BFB"/>
    <w:rsid w:val="00E462BF"/>
    <w:rsid w:val="00E466CE"/>
    <w:rsid w:val="00E51A29"/>
    <w:rsid w:val="00E524B7"/>
    <w:rsid w:val="00E52E4D"/>
    <w:rsid w:val="00E553D7"/>
    <w:rsid w:val="00E56680"/>
    <w:rsid w:val="00E623F7"/>
    <w:rsid w:val="00E62596"/>
    <w:rsid w:val="00E636D7"/>
    <w:rsid w:val="00E673AD"/>
    <w:rsid w:val="00E67468"/>
    <w:rsid w:val="00E705EA"/>
    <w:rsid w:val="00E70FCB"/>
    <w:rsid w:val="00E719E0"/>
    <w:rsid w:val="00E73F64"/>
    <w:rsid w:val="00E74428"/>
    <w:rsid w:val="00E758ED"/>
    <w:rsid w:val="00E76B67"/>
    <w:rsid w:val="00E80113"/>
    <w:rsid w:val="00E802E2"/>
    <w:rsid w:val="00E81FB0"/>
    <w:rsid w:val="00E82E18"/>
    <w:rsid w:val="00E86ABF"/>
    <w:rsid w:val="00E87A4F"/>
    <w:rsid w:val="00E934FF"/>
    <w:rsid w:val="00E9555B"/>
    <w:rsid w:val="00E969A3"/>
    <w:rsid w:val="00E96D7A"/>
    <w:rsid w:val="00E97E29"/>
    <w:rsid w:val="00EA0A18"/>
    <w:rsid w:val="00EA2220"/>
    <w:rsid w:val="00EA2D7F"/>
    <w:rsid w:val="00EA5A55"/>
    <w:rsid w:val="00EB3E6F"/>
    <w:rsid w:val="00EB4D6D"/>
    <w:rsid w:val="00EB7790"/>
    <w:rsid w:val="00EC04B1"/>
    <w:rsid w:val="00EC1220"/>
    <w:rsid w:val="00EC4BCE"/>
    <w:rsid w:val="00ED0609"/>
    <w:rsid w:val="00ED28F2"/>
    <w:rsid w:val="00ED3C95"/>
    <w:rsid w:val="00ED5560"/>
    <w:rsid w:val="00ED5F95"/>
    <w:rsid w:val="00ED65C5"/>
    <w:rsid w:val="00EE1B8F"/>
    <w:rsid w:val="00EE2020"/>
    <w:rsid w:val="00EF1623"/>
    <w:rsid w:val="00EF1693"/>
    <w:rsid w:val="00EF4749"/>
    <w:rsid w:val="00EF5FDE"/>
    <w:rsid w:val="00EF6962"/>
    <w:rsid w:val="00F02FEB"/>
    <w:rsid w:val="00F05343"/>
    <w:rsid w:val="00F1142E"/>
    <w:rsid w:val="00F11EED"/>
    <w:rsid w:val="00F12DC2"/>
    <w:rsid w:val="00F13794"/>
    <w:rsid w:val="00F13898"/>
    <w:rsid w:val="00F152DF"/>
    <w:rsid w:val="00F20C6C"/>
    <w:rsid w:val="00F21880"/>
    <w:rsid w:val="00F25629"/>
    <w:rsid w:val="00F2758C"/>
    <w:rsid w:val="00F27D6F"/>
    <w:rsid w:val="00F32D23"/>
    <w:rsid w:val="00F37C56"/>
    <w:rsid w:val="00F37EA3"/>
    <w:rsid w:val="00F40FFD"/>
    <w:rsid w:val="00F415C8"/>
    <w:rsid w:val="00F43765"/>
    <w:rsid w:val="00F43B5E"/>
    <w:rsid w:val="00F45814"/>
    <w:rsid w:val="00F61893"/>
    <w:rsid w:val="00F630B7"/>
    <w:rsid w:val="00F631D3"/>
    <w:rsid w:val="00F66340"/>
    <w:rsid w:val="00F66F64"/>
    <w:rsid w:val="00F70245"/>
    <w:rsid w:val="00F71C28"/>
    <w:rsid w:val="00F749A4"/>
    <w:rsid w:val="00F8311D"/>
    <w:rsid w:val="00F84A10"/>
    <w:rsid w:val="00F856D0"/>
    <w:rsid w:val="00F86375"/>
    <w:rsid w:val="00F869E5"/>
    <w:rsid w:val="00F86C54"/>
    <w:rsid w:val="00F941E3"/>
    <w:rsid w:val="00F9482C"/>
    <w:rsid w:val="00F95CEE"/>
    <w:rsid w:val="00FA25F9"/>
    <w:rsid w:val="00FA5222"/>
    <w:rsid w:val="00FA762D"/>
    <w:rsid w:val="00FB0476"/>
    <w:rsid w:val="00FB2433"/>
    <w:rsid w:val="00FB2DA3"/>
    <w:rsid w:val="00FB5080"/>
    <w:rsid w:val="00FB7D81"/>
    <w:rsid w:val="00FB7E56"/>
    <w:rsid w:val="00FC26A1"/>
    <w:rsid w:val="00FC3484"/>
    <w:rsid w:val="00FC66A2"/>
    <w:rsid w:val="00FC6C3B"/>
    <w:rsid w:val="00FD25C8"/>
    <w:rsid w:val="00FD57ED"/>
    <w:rsid w:val="00FD66F1"/>
    <w:rsid w:val="00FE1D33"/>
    <w:rsid w:val="00FE20AB"/>
    <w:rsid w:val="00FE6B4D"/>
    <w:rsid w:val="00FE6DD0"/>
    <w:rsid w:val="00FF6470"/>
    <w:rsid w:val="00FF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533191"/>
  <w15:docId w15:val="{69527883-8C60-49E1-9469-8B466A01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c"/>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iPriority w:val="99"/>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paragraph" w:styleId="Revision">
    <w:name w:val="Revision"/>
    <w:hidden/>
    <w:uiPriority w:val="99"/>
    <w:semiHidden/>
    <w:rsid w:val="00D36AEB"/>
    <w:pPr>
      <w:spacing w:after="0" w:line="240" w:lineRule="auto"/>
    </w:pPr>
    <w:rPr>
      <w:rFonts w:ascii="Times New Roman" w:hAnsi="Times New Roman" w:cs="Times New Roman"/>
      <w:sz w:val="26"/>
    </w:rPr>
  </w:style>
  <w:style w:type="character" w:styleId="UnresolvedMention">
    <w:name w:val="Unresolved Mention"/>
    <w:basedOn w:val="DefaultParagraphFont"/>
    <w:uiPriority w:val="99"/>
    <w:semiHidden/>
    <w:unhideWhenUsed/>
    <w:rsid w:val="007C1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851296">
      <w:bodyDiv w:val="1"/>
      <w:marLeft w:val="0"/>
      <w:marRight w:val="0"/>
      <w:marTop w:val="0"/>
      <w:marBottom w:val="0"/>
      <w:divBdr>
        <w:top w:val="none" w:sz="0" w:space="0" w:color="auto"/>
        <w:left w:val="none" w:sz="0" w:space="0" w:color="auto"/>
        <w:bottom w:val="none" w:sz="0" w:space="0" w:color="auto"/>
        <w:right w:val="none" w:sz="0" w:space="0" w:color="auto"/>
      </w:divBdr>
    </w:div>
    <w:div w:id="479855767">
      <w:bodyDiv w:val="1"/>
      <w:marLeft w:val="0"/>
      <w:marRight w:val="0"/>
      <w:marTop w:val="0"/>
      <w:marBottom w:val="0"/>
      <w:divBdr>
        <w:top w:val="none" w:sz="0" w:space="0" w:color="auto"/>
        <w:left w:val="none" w:sz="0" w:space="0" w:color="auto"/>
        <w:bottom w:val="none" w:sz="0" w:space="0" w:color="auto"/>
        <w:right w:val="none" w:sz="0" w:space="0" w:color="auto"/>
      </w:divBdr>
    </w:div>
    <w:div w:id="810949797">
      <w:bodyDiv w:val="1"/>
      <w:marLeft w:val="0"/>
      <w:marRight w:val="0"/>
      <w:marTop w:val="0"/>
      <w:marBottom w:val="0"/>
      <w:divBdr>
        <w:top w:val="none" w:sz="0" w:space="0" w:color="auto"/>
        <w:left w:val="none" w:sz="0" w:space="0" w:color="auto"/>
        <w:bottom w:val="none" w:sz="0" w:space="0" w:color="auto"/>
        <w:right w:val="none" w:sz="0" w:space="0" w:color="auto"/>
      </w:divBdr>
    </w:div>
    <w:div w:id="1203203282">
      <w:bodyDiv w:val="1"/>
      <w:marLeft w:val="0"/>
      <w:marRight w:val="0"/>
      <w:marTop w:val="0"/>
      <w:marBottom w:val="0"/>
      <w:divBdr>
        <w:top w:val="none" w:sz="0" w:space="0" w:color="auto"/>
        <w:left w:val="none" w:sz="0" w:space="0" w:color="auto"/>
        <w:bottom w:val="none" w:sz="0" w:space="0" w:color="auto"/>
        <w:right w:val="none" w:sz="0" w:space="0" w:color="auto"/>
      </w:divBdr>
    </w:div>
    <w:div w:id="1262370407">
      <w:bodyDiv w:val="1"/>
      <w:marLeft w:val="0"/>
      <w:marRight w:val="0"/>
      <w:marTop w:val="0"/>
      <w:marBottom w:val="0"/>
      <w:divBdr>
        <w:top w:val="none" w:sz="0" w:space="0" w:color="auto"/>
        <w:left w:val="none" w:sz="0" w:space="0" w:color="auto"/>
        <w:bottom w:val="none" w:sz="0" w:space="0" w:color="auto"/>
        <w:right w:val="none" w:sz="0" w:space="0" w:color="auto"/>
      </w:divBdr>
    </w:div>
    <w:div w:id="1555965515">
      <w:bodyDiv w:val="1"/>
      <w:marLeft w:val="0"/>
      <w:marRight w:val="0"/>
      <w:marTop w:val="0"/>
      <w:marBottom w:val="0"/>
      <w:divBdr>
        <w:top w:val="none" w:sz="0" w:space="0" w:color="auto"/>
        <w:left w:val="none" w:sz="0" w:space="0" w:color="auto"/>
        <w:bottom w:val="none" w:sz="0" w:space="0" w:color="auto"/>
        <w:right w:val="none" w:sz="0" w:space="0" w:color="auto"/>
      </w:divBdr>
    </w:div>
    <w:div w:id="1691684141">
      <w:bodyDiv w:val="1"/>
      <w:marLeft w:val="0"/>
      <w:marRight w:val="0"/>
      <w:marTop w:val="0"/>
      <w:marBottom w:val="0"/>
      <w:divBdr>
        <w:top w:val="none" w:sz="0" w:space="0" w:color="auto"/>
        <w:left w:val="none" w:sz="0" w:space="0" w:color="auto"/>
        <w:bottom w:val="none" w:sz="0" w:space="0" w:color="auto"/>
        <w:right w:val="none" w:sz="0" w:space="0" w:color="auto"/>
      </w:divBdr>
    </w:div>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096070">
      <w:bodyDiv w:val="1"/>
      <w:marLeft w:val="0"/>
      <w:marRight w:val="0"/>
      <w:marTop w:val="0"/>
      <w:marBottom w:val="0"/>
      <w:divBdr>
        <w:top w:val="none" w:sz="0" w:space="0" w:color="auto"/>
        <w:left w:val="none" w:sz="0" w:space="0" w:color="auto"/>
        <w:bottom w:val="none" w:sz="0" w:space="0" w:color="auto"/>
        <w:right w:val="none" w:sz="0" w:space="0" w:color="auto"/>
      </w:divBdr>
    </w:div>
    <w:div w:id="1768500731">
      <w:bodyDiv w:val="1"/>
      <w:marLeft w:val="0"/>
      <w:marRight w:val="0"/>
      <w:marTop w:val="0"/>
      <w:marBottom w:val="0"/>
      <w:divBdr>
        <w:top w:val="none" w:sz="0" w:space="0" w:color="auto"/>
        <w:left w:val="none" w:sz="0" w:space="0" w:color="auto"/>
        <w:bottom w:val="none" w:sz="0" w:space="0" w:color="auto"/>
        <w:right w:val="none" w:sz="0" w:space="0" w:color="auto"/>
      </w:divBdr>
    </w:div>
    <w:div w:id="2042051585">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information-collec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ferc.gov/legal/ceii-foia/ceii.asp" TargetMode="External"/><Relationship Id="rId1" Type="http://schemas.openxmlformats.org/officeDocument/2006/relationships/hyperlink" Target="https://elibrary.ferc.gov/eLibrary/filelist?accession_number=20210819-3088&amp;optimized=false"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919A</_x0031__x002e__x0020_Collection_x0020_Number>
    <Date xmlns="d6eefc7d-9817-4fa6-84d5-3bc009be21b8">2021-09-14T04:00:00+00:00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RM16-17</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6C72090-8024-4918-A1F3-B2B34E93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D5ADC-2EE2-47B7-8EEB-AA250F6F5EA4}">
  <ds:schemaRefs>
    <ds:schemaRef ds:uri="http://schemas.microsoft.com/office/2006/metadata/customXsn"/>
  </ds:schemaRefs>
</ds:datastoreItem>
</file>

<file path=customXml/itemProps3.xml><?xml version="1.0" encoding="utf-8"?>
<ds:datastoreItem xmlns:ds="http://schemas.openxmlformats.org/officeDocument/2006/customXml" ds:itemID="{E420B679-E6B1-409C-B1B1-A730CF36D1A8}">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6eefc7d-9817-4fa6-84d5-3bc009be21b8"/>
    <ds:schemaRef ds:uri="http://www.w3.org/XML/1998/namespace"/>
    <ds:schemaRef ds:uri="http://purl.org/dc/dcmitype/"/>
  </ds:schemaRefs>
</ds:datastoreItem>
</file>

<file path=customXml/itemProps4.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5.xml><?xml version="1.0" encoding="utf-8"?>
<ds:datastoreItem xmlns:ds="http://schemas.openxmlformats.org/officeDocument/2006/customXml" ds:itemID="{FF5993C4-D9E2-44F4-8022-1F883F33FFBC}">
  <ds:schemaRefs>
    <ds:schemaRef ds:uri="http://schemas.openxmlformats.org/officeDocument/2006/bibliography"/>
  </ds:schemaRefs>
</ds:datastoreItem>
</file>

<file path=customXml/itemProps6.xml><?xml version="1.0" encoding="utf-8"?>
<ds:datastoreItem xmlns:ds="http://schemas.openxmlformats.org/officeDocument/2006/customXml" ds:itemID="{BC804089-58C2-4FA1-9DA6-3E56F58A7A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3405</Words>
  <Characters>19787</Characters>
  <Application>Microsoft Office Word</Application>
  <DocSecurity>0</DocSecurity>
  <Lines>319</Lines>
  <Paragraphs>105</Paragraphs>
  <ScaleCrop>false</ScaleCrop>
  <HeadingPairs>
    <vt:vector size="2" baseType="variant">
      <vt:variant>
        <vt:lpstr>Title</vt:lpstr>
      </vt:variant>
      <vt:variant>
        <vt:i4>1</vt:i4>
      </vt:variant>
    </vt:vector>
  </HeadingPairs>
  <TitlesOfParts>
    <vt:vector size="1" baseType="lpstr">
      <vt:lpstr>RM16-17 Final Rule Supporting Statement</vt:lpstr>
    </vt:vector>
  </TitlesOfParts>
  <Company>FERC</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RM16-17 Final Rule Supporting Statement</dc:title>
  <dc:subject/>
  <dc:creator>ferc</dc:creator>
  <cp:keywords/>
  <dc:description/>
  <cp:lastModifiedBy>Ellen Brown</cp:lastModifiedBy>
  <cp:revision>20</cp:revision>
  <cp:lastPrinted>2019-07-18T12:39:00Z</cp:lastPrinted>
  <dcterms:created xsi:type="dcterms:W3CDTF">2021-09-09T14:14:00Z</dcterms:created>
  <dcterms:modified xsi:type="dcterms:W3CDTF">2021-09-14T12:55:00Z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2021-08-16T15:04:35.3765633Z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265f50f7-4db6-48d0-b636-5d082814db4a</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