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19E5" w:rsidR="002B34A0" w:rsidP="00B641A6" w:rsidRDefault="000530F2" w14:paraId="7D030151" w14:textId="14E35BD5">
      <w:pPr>
        <w:spacing w:after="0"/>
        <w:jc w:val="center"/>
        <w:rPr>
          <w:b/>
          <w:lang w:bidi="en-US"/>
        </w:rPr>
      </w:pPr>
      <w:r w:rsidRPr="007919E5">
        <w:rPr>
          <w:b/>
          <w:lang w:bidi="en-US"/>
        </w:rPr>
        <w:t xml:space="preserve">Supporting Statement for an Information Collection Request </w:t>
      </w:r>
      <w:r w:rsidRPr="007919E5" w:rsidR="002B34A0">
        <w:rPr>
          <w:b/>
          <w:lang w:bidi="en-US"/>
        </w:rPr>
        <w:t>(ICR)</w:t>
      </w:r>
      <w:r w:rsidR="00DA15FA">
        <w:rPr>
          <w:b/>
          <w:lang w:bidi="en-US"/>
        </w:rPr>
        <w:t xml:space="preserve"> Addendum</w:t>
      </w:r>
    </w:p>
    <w:p w:rsidRPr="007919E5" w:rsidR="002B34A0" w:rsidP="00B641A6" w:rsidRDefault="000530F2" w14:paraId="77567B9B" w14:textId="77777777">
      <w:pPr>
        <w:spacing w:after="0"/>
        <w:jc w:val="center"/>
        <w:rPr>
          <w:b/>
          <w:lang w:bidi="en-US"/>
        </w:rPr>
      </w:pPr>
      <w:r w:rsidRPr="007919E5">
        <w:rPr>
          <w:b/>
          <w:lang w:bidi="en-US"/>
        </w:rPr>
        <w:t xml:space="preserve">Under the Paperwork Reduction Act </w:t>
      </w:r>
      <w:r w:rsidRPr="007919E5" w:rsidR="002B34A0">
        <w:rPr>
          <w:b/>
          <w:lang w:bidi="en-US"/>
        </w:rPr>
        <w:t>(PRA)</w:t>
      </w:r>
    </w:p>
    <w:sdt>
      <w:sdtPr>
        <w:rPr>
          <w:rFonts w:cs="Arial" w:eastAsiaTheme="minorHAnsi"/>
          <w:b w:val="0"/>
          <w:bCs w:val="0"/>
          <w:sz w:val="20"/>
          <w:szCs w:val="20"/>
          <w:lang w:bidi="ar-SA"/>
        </w:rPr>
        <w:id w:val="8549042"/>
        <w:docPartObj>
          <w:docPartGallery w:val="Table of Contents"/>
          <w:docPartUnique/>
        </w:docPartObj>
      </w:sdtPr>
      <w:sdtEndPr/>
      <w:sdtContent>
        <w:p w:rsidRPr="00176A48" w:rsidR="000530F2" w:rsidP="000530F2" w:rsidRDefault="000530F2" w14:paraId="2667B1B0" w14:textId="77777777">
          <w:pPr>
            <w:pStyle w:val="TOCHeading"/>
            <w:spacing w:after="120"/>
            <w:rPr>
              <w:rFonts w:cs="Arial"/>
              <w:sz w:val="18"/>
              <w:szCs w:val="18"/>
            </w:rPr>
          </w:pPr>
          <w:r w:rsidRPr="00176A48">
            <w:rPr>
              <w:rFonts w:cs="Arial"/>
              <w:sz w:val="18"/>
              <w:szCs w:val="18"/>
              <w:u w:val="single"/>
            </w:rPr>
            <w:t>Table of Contents</w:t>
          </w:r>
        </w:p>
        <w:p w:rsidRPr="00176A48" w:rsidR="00176A48" w:rsidRDefault="00942996" w14:paraId="3288E7AD" w14:textId="15EC7CDB">
          <w:pPr>
            <w:pStyle w:val="TOC1"/>
            <w:rPr>
              <w:rFonts w:asciiTheme="minorHAnsi" w:hAnsiTheme="minorHAnsi" w:eastAsiaTheme="minorEastAsia"/>
              <w:sz w:val="18"/>
              <w:szCs w:val="18"/>
            </w:rPr>
          </w:pPr>
          <w:r w:rsidRPr="00176A48">
            <w:rPr>
              <w:rFonts w:cs="Arial"/>
              <w:sz w:val="18"/>
              <w:szCs w:val="18"/>
            </w:rPr>
            <w:fldChar w:fldCharType="begin"/>
          </w:r>
          <w:r w:rsidRPr="00176A48">
            <w:rPr>
              <w:rFonts w:cs="Arial"/>
              <w:sz w:val="18"/>
              <w:szCs w:val="18"/>
            </w:rPr>
            <w:instrText xml:space="preserve"> TOC \o "1-6" \h \z \u \t "Heading 7,1" </w:instrText>
          </w:r>
          <w:r w:rsidRPr="00176A48">
            <w:rPr>
              <w:rFonts w:cs="Arial"/>
              <w:sz w:val="18"/>
              <w:szCs w:val="18"/>
            </w:rPr>
            <w:fldChar w:fldCharType="separate"/>
          </w:r>
          <w:hyperlink w:history="1" w:anchor="_Toc42177009">
            <w:r w:rsidRPr="00176A48" w:rsidR="00176A48">
              <w:rPr>
                <w:rStyle w:val="Hyperlink"/>
                <w:sz w:val="18"/>
                <w:szCs w:val="18"/>
                <w:lang w:bidi="en-US"/>
              </w:rPr>
              <w:t>1.</w:t>
            </w:r>
            <w:r w:rsidRPr="00176A48" w:rsidR="00176A48">
              <w:rPr>
                <w:rFonts w:asciiTheme="minorHAnsi" w:hAnsiTheme="minorHAnsi" w:eastAsiaTheme="minorEastAsia"/>
                <w:sz w:val="18"/>
                <w:szCs w:val="18"/>
              </w:rPr>
              <w:tab/>
            </w:r>
            <w:r w:rsidRPr="00176A48" w:rsidR="00176A48">
              <w:rPr>
                <w:rStyle w:val="Hyperlink"/>
                <w:sz w:val="18"/>
                <w:szCs w:val="18"/>
                <w:lang w:bidi="en-US"/>
              </w:rPr>
              <w:t>EXECUTIVE SUMMARY</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_Toc42177009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3</w:t>
            </w:r>
            <w:r w:rsidRPr="00176A48" w:rsidR="00176A48">
              <w:rPr>
                <w:webHidden/>
                <w:sz w:val="18"/>
                <w:szCs w:val="18"/>
              </w:rPr>
              <w:fldChar w:fldCharType="end"/>
            </w:r>
          </w:hyperlink>
        </w:p>
        <w:p w:rsidRPr="00176A48" w:rsidR="00176A48" w:rsidRDefault="00255C4B" w14:paraId="492CB296" w14:textId="5854E0E1">
          <w:pPr>
            <w:pStyle w:val="TOC2"/>
            <w:tabs>
              <w:tab w:val="left" w:pos="1440"/>
              <w:tab w:val="right" w:leader="dot" w:pos="10070"/>
            </w:tabs>
            <w:rPr>
              <w:rFonts w:asciiTheme="minorHAnsi" w:hAnsiTheme="minorHAnsi" w:eastAsiaTheme="minorEastAsia"/>
              <w:noProof/>
              <w:sz w:val="18"/>
              <w:szCs w:val="18"/>
            </w:rPr>
          </w:pPr>
          <w:hyperlink w:history="1" w:anchor="_Toc42177010">
            <w:r w:rsidRPr="00176A48" w:rsidR="00176A48">
              <w:rPr>
                <w:rStyle w:val="Hyperlink"/>
                <w:noProof/>
                <w:sz w:val="18"/>
                <w:szCs w:val="18"/>
                <w:lang w:bidi="en-US"/>
              </w:rPr>
              <w:t>1(a).</w:t>
            </w:r>
            <w:r w:rsidRPr="00176A48" w:rsidR="00176A48">
              <w:rPr>
                <w:rFonts w:asciiTheme="minorHAnsi" w:hAnsiTheme="minorHAnsi" w:eastAsiaTheme="minorEastAsia"/>
                <w:noProof/>
                <w:sz w:val="18"/>
                <w:szCs w:val="18"/>
              </w:rPr>
              <w:tab/>
            </w:r>
            <w:r w:rsidRPr="00176A48" w:rsidR="00176A48">
              <w:rPr>
                <w:rStyle w:val="Hyperlink"/>
                <w:noProof/>
                <w:sz w:val="18"/>
                <w:szCs w:val="18"/>
                <w:lang w:bidi="en-US"/>
              </w:rPr>
              <w:t>Identification of the Information Collection – Title and Numbers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_Toc42177010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3</w:t>
            </w:r>
            <w:r w:rsidRPr="00176A48" w:rsidR="00176A48">
              <w:rPr>
                <w:noProof/>
                <w:webHidden/>
                <w:sz w:val="18"/>
                <w:szCs w:val="18"/>
              </w:rPr>
              <w:fldChar w:fldCharType="end"/>
            </w:r>
          </w:hyperlink>
        </w:p>
        <w:p w:rsidRPr="00176A48" w:rsidR="00176A48" w:rsidRDefault="00255C4B" w14:paraId="52CBFD0E" w14:textId="4CB4AC51">
          <w:pPr>
            <w:pStyle w:val="TOC2"/>
            <w:tabs>
              <w:tab w:val="left" w:pos="1440"/>
              <w:tab w:val="right" w:leader="dot" w:pos="10070"/>
            </w:tabs>
            <w:rPr>
              <w:rFonts w:asciiTheme="minorHAnsi" w:hAnsiTheme="minorHAnsi" w:eastAsiaTheme="minorEastAsia"/>
              <w:noProof/>
              <w:sz w:val="18"/>
              <w:szCs w:val="18"/>
            </w:rPr>
          </w:pPr>
          <w:hyperlink w:history="1" w:anchor="_Toc42177011">
            <w:r w:rsidRPr="00176A48" w:rsidR="00176A48">
              <w:rPr>
                <w:rStyle w:val="Hyperlink"/>
                <w:noProof/>
                <w:sz w:val="18"/>
                <w:szCs w:val="18"/>
              </w:rPr>
              <w:t>1(b).</w:t>
            </w:r>
            <w:r w:rsidRPr="00176A48" w:rsidR="00176A48">
              <w:rPr>
                <w:rFonts w:asciiTheme="minorHAnsi" w:hAnsiTheme="minorHAnsi" w:eastAsiaTheme="minorEastAsia"/>
                <w:noProof/>
                <w:sz w:val="18"/>
                <w:szCs w:val="18"/>
              </w:rPr>
              <w:tab/>
            </w:r>
            <w:r w:rsidRPr="00176A48" w:rsidR="00176A48">
              <w:rPr>
                <w:rStyle w:val="Hyperlink"/>
                <w:noProof/>
                <w:sz w:val="18"/>
                <w:szCs w:val="18"/>
              </w:rPr>
              <w:t>Docket Information</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_Toc42177011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3</w:t>
            </w:r>
            <w:r w:rsidRPr="00176A48" w:rsidR="00176A48">
              <w:rPr>
                <w:noProof/>
                <w:webHidden/>
                <w:sz w:val="18"/>
                <w:szCs w:val="18"/>
              </w:rPr>
              <w:fldChar w:fldCharType="end"/>
            </w:r>
          </w:hyperlink>
        </w:p>
        <w:p w:rsidRPr="00176A48" w:rsidR="00176A48" w:rsidRDefault="00255C4B" w14:paraId="76B7F6BF" w14:textId="560D18E4">
          <w:pPr>
            <w:pStyle w:val="TOC2"/>
            <w:tabs>
              <w:tab w:val="left" w:pos="1440"/>
              <w:tab w:val="right" w:leader="dot" w:pos="10070"/>
            </w:tabs>
            <w:rPr>
              <w:rFonts w:asciiTheme="minorHAnsi" w:hAnsiTheme="minorHAnsi" w:eastAsiaTheme="minorEastAsia"/>
              <w:noProof/>
              <w:sz w:val="18"/>
              <w:szCs w:val="18"/>
            </w:rPr>
          </w:pPr>
          <w:hyperlink w:history="1" w:anchor="_Toc42177012">
            <w:r w:rsidRPr="00176A48" w:rsidR="00176A48">
              <w:rPr>
                <w:rStyle w:val="Hyperlink"/>
                <w:noProof/>
                <w:sz w:val="18"/>
                <w:szCs w:val="18"/>
              </w:rPr>
              <w:t>1(c).</w:t>
            </w:r>
            <w:r w:rsidRPr="00176A48" w:rsidR="00176A48">
              <w:rPr>
                <w:rFonts w:asciiTheme="minorHAnsi" w:hAnsiTheme="minorHAnsi" w:eastAsiaTheme="minorEastAsia"/>
                <w:noProof/>
                <w:sz w:val="18"/>
                <w:szCs w:val="18"/>
              </w:rPr>
              <w:tab/>
            </w:r>
            <w:r w:rsidRPr="00176A48" w:rsidR="00176A48">
              <w:rPr>
                <w:rStyle w:val="Hyperlink"/>
                <w:noProof/>
                <w:sz w:val="18"/>
                <w:szCs w:val="18"/>
              </w:rPr>
              <w:t>ICR Status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_Toc42177012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3</w:t>
            </w:r>
            <w:r w:rsidRPr="00176A48" w:rsidR="00176A48">
              <w:rPr>
                <w:noProof/>
                <w:webHidden/>
                <w:sz w:val="18"/>
                <w:szCs w:val="18"/>
              </w:rPr>
              <w:fldChar w:fldCharType="end"/>
            </w:r>
          </w:hyperlink>
        </w:p>
        <w:p w:rsidRPr="00176A48" w:rsidR="00176A48" w:rsidRDefault="00255C4B" w14:paraId="0A81F679" w14:textId="0B42BA9B">
          <w:pPr>
            <w:pStyle w:val="TOC2"/>
            <w:tabs>
              <w:tab w:val="left" w:pos="1440"/>
              <w:tab w:val="right" w:leader="dot" w:pos="10070"/>
            </w:tabs>
            <w:rPr>
              <w:rFonts w:asciiTheme="minorHAnsi" w:hAnsiTheme="minorHAnsi" w:eastAsiaTheme="minorEastAsia"/>
              <w:noProof/>
              <w:sz w:val="18"/>
              <w:szCs w:val="18"/>
            </w:rPr>
          </w:pPr>
          <w:hyperlink w:history="1" w:anchor="_Toc42177013">
            <w:r w:rsidRPr="00176A48" w:rsidR="00176A48">
              <w:rPr>
                <w:rStyle w:val="Hyperlink"/>
                <w:noProof/>
                <w:sz w:val="18"/>
                <w:szCs w:val="18"/>
              </w:rPr>
              <w:t>1(d).</w:t>
            </w:r>
            <w:r w:rsidRPr="00176A48" w:rsidR="00176A48">
              <w:rPr>
                <w:rFonts w:asciiTheme="minorHAnsi" w:hAnsiTheme="minorHAnsi" w:eastAsiaTheme="minorEastAsia"/>
                <w:noProof/>
                <w:sz w:val="18"/>
                <w:szCs w:val="18"/>
              </w:rPr>
              <w:tab/>
            </w:r>
            <w:r w:rsidRPr="00176A48" w:rsidR="00176A48">
              <w:rPr>
                <w:rStyle w:val="Hyperlink"/>
                <w:noProof/>
                <w:sz w:val="18"/>
                <w:szCs w:val="18"/>
              </w:rPr>
              <w:t>Abstract</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_Toc42177013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3</w:t>
            </w:r>
            <w:r w:rsidRPr="00176A48" w:rsidR="00176A48">
              <w:rPr>
                <w:noProof/>
                <w:webHidden/>
                <w:sz w:val="18"/>
                <w:szCs w:val="18"/>
              </w:rPr>
              <w:fldChar w:fldCharType="end"/>
            </w:r>
          </w:hyperlink>
        </w:p>
        <w:p w:rsidRPr="00176A48" w:rsidR="00176A48" w:rsidRDefault="00255C4B" w14:paraId="36D947D0" w14:textId="0460473A">
          <w:pPr>
            <w:pStyle w:val="TOC1"/>
            <w:rPr>
              <w:rFonts w:asciiTheme="minorHAnsi" w:hAnsiTheme="minorHAnsi" w:eastAsiaTheme="minorEastAsia"/>
              <w:sz w:val="18"/>
              <w:szCs w:val="18"/>
            </w:rPr>
          </w:pPr>
          <w:hyperlink w:history="1" w:anchor="_Toc42177014">
            <w:r w:rsidRPr="00176A48" w:rsidR="00176A48">
              <w:rPr>
                <w:rStyle w:val="Hyperlink"/>
                <w:sz w:val="18"/>
                <w:szCs w:val="18"/>
              </w:rPr>
              <w:t>2.</w:t>
            </w:r>
            <w:r w:rsidRPr="00176A48" w:rsidR="00176A48">
              <w:rPr>
                <w:rFonts w:asciiTheme="minorHAnsi" w:hAnsiTheme="minorHAnsi" w:eastAsiaTheme="minorEastAsia"/>
                <w:sz w:val="18"/>
                <w:szCs w:val="18"/>
              </w:rPr>
              <w:tab/>
            </w:r>
            <w:r w:rsidRPr="00176A48" w:rsidR="00176A48">
              <w:rPr>
                <w:rStyle w:val="Hyperlink"/>
                <w:sz w:val="18"/>
                <w:szCs w:val="18"/>
              </w:rPr>
              <w:t>NECESSITY OF THE INFORMATION COLLECTION</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_Toc42177014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5</w:t>
            </w:r>
            <w:r w:rsidRPr="00176A48" w:rsidR="00176A48">
              <w:rPr>
                <w:webHidden/>
                <w:sz w:val="18"/>
                <w:szCs w:val="18"/>
              </w:rPr>
              <w:fldChar w:fldCharType="end"/>
            </w:r>
          </w:hyperlink>
        </w:p>
        <w:p w:rsidRPr="00176A48" w:rsidR="00176A48" w:rsidRDefault="00255C4B" w14:paraId="48A4D7D2" w14:textId="51741E8E">
          <w:pPr>
            <w:pStyle w:val="TOC2"/>
            <w:tabs>
              <w:tab w:val="left" w:pos="1440"/>
              <w:tab w:val="right" w:leader="dot" w:pos="10070"/>
            </w:tabs>
            <w:rPr>
              <w:rFonts w:asciiTheme="minorHAnsi" w:hAnsiTheme="minorHAnsi" w:eastAsiaTheme="minorEastAsia"/>
              <w:noProof/>
              <w:sz w:val="18"/>
              <w:szCs w:val="18"/>
            </w:rPr>
          </w:pPr>
          <w:hyperlink w:history="1" w:anchor="_Toc42177015">
            <w:r w:rsidRPr="00176A48" w:rsidR="00176A48">
              <w:rPr>
                <w:rStyle w:val="Hyperlink"/>
                <w:noProof/>
                <w:sz w:val="18"/>
                <w:szCs w:val="18"/>
              </w:rPr>
              <w:t>2(a).</w:t>
            </w:r>
            <w:r w:rsidRPr="00176A48" w:rsidR="00176A48">
              <w:rPr>
                <w:rFonts w:asciiTheme="minorHAnsi" w:hAnsiTheme="minorHAnsi" w:eastAsiaTheme="minorEastAsia"/>
                <w:noProof/>
                <w:sz w:val="18"/>
                <w:szCs w:val="18"/>
              </w:rPr>
              <w:tab/>
            </w:r>
            <w:r w:rsidRPr="00176A48" w:rsidR="00176A48">
              <w:rPr>
                <w:rStyle w:val="Hyperlink"/>
                <w:noProof/>
                <w:sz w:val="18"/>
                <w:szCs w:val="18"/>
              </w:rPr>
              <w:t>Related Legal and/or Administrative Requirements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_Toc42177015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5</w:t>
            </w:r>
            <w:r w:rsidRPr="00176A48" w:rsidR="00176A48">
              <w:rPr>
                <w:noProof/>
                <w:webHidden/>
                <w:sz w:val="18"/>
                <w:szCs w:val="18"/>
              </w:rPr>
              <w:fldChar w:fldCharType="end"/>
            </w:r>
          </w:hyperlink>
        </w:p>
        <w:p w:rsidRPr="00176A48" w:rsidR="00176A48" w:rsidRDefault="00255C4B" w14:paraId="76F86449" w14:textId="18F1CC36">
          <w:pPr>
            <w:pStyle w:val="TOC2"/>
            <w:tabs>
              <w:tab w:val="left" w:pos="1440"/>
              <w:tab w:val="right" w:leader="dot" w:pos="10070"/>
            </w:tabs>
            <w:rPr>
              <w:rFonts w:asciiTheme="minorHAnsi" w:hAnsiTheme="minorHAnsi" w:eastAsiaTheme="minorEastAsia"/>
              <w:noProof/>
              <w:sz w:val="18"/>
              <w:szCs w:val="18"/>
            </w:rPr>
          </w:pPr>
          <w:hyperlink w:history="1" w:anchor="_Toc42177016">
            <w:r w:rsidRPr="00176A48" w:rsidR="00176A48">
              <w:rPr>
                <w:rStyle w:val="Hyperlink"/>
                <w:noProof/>
                <w:sz w:val="18"/>
                <w:szCs w:val="18"/>
              </w:rPr>
              <w:t>2(b).</w:t>
            </w:r>
            <w:r w:rsidRPr="00176A48" w:rsidR="00176A48">
              <w:rPr>
                <w:rFonts w:asciiTheme="minorHAnsi" w:hAnsiTheme="minorHAnsi" w:eastAsiaTheme="minorEastAsia"/>
                <w:noProof/>
                <w:sz w:val="18"/>
                <w:szCs w:val="18"/>
              </w:rPr>
              <w:tab/>
            </w:r>
            <w:r w:rsidRPr="00176A48" w:rsidR="00176A48">
              <w:rPr>
                <w:rStyle w:val="Hyperlink"/>
                <w:noProof/>
                <w:sz w:val="18"/>
                <w:szCs w:val="18"/>
              </w:rPr>
              <w:t>Necessity of the Information Collection</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_Toc42177016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6</w:t>
            </w:r>
            <w:r w:rsidRPr="00176A48" w:rsidR="00176A48">
              <w:rPr>
                <w:noProof/>
                <w:webHidden/>
                <w:sz w:val="18"/>
                <w:szCs w:val="18"/>
              </w:rPr>
              <w:fldChar w:fldCharType="end"/>
            </w:r>
          </w:hyperlink>
        </w:p>
        <w:p w:rsidRPr="00176A48" w:rsidR="00176A48" w:rsidRDefault="00255C4B" w14:paraId="322C2BEC" w14:textId="0340D3A2">
          <w:pPr>
            <w:pStyle w:val="TOC2"/>
            <w:tabs>
              <w:tab w:val="left" w:pos="1440"/>
              <w:tab w:val="right" w:leader="dot" w:pos="10070"/>
            </w:tabs>
            <w:rPr>
              <w:rFonts w:asciiTheme="minorHAnsi" w:hAnsiTheme="minorHAnsi" w:eastAsiaTheme="minorEastAsia"/>
              <w:noProof/>
              <w:sz w:val="18"/>
              <w:szCs w:val="18"/>
            </w:rPr>
          </w:pPr>
          <w:hyperlink w:history="1" w:anchor="_Toc42177017">
            <w:r w:rsidRPr="00176A48" w:rsidR="00176A48">
              <w:rPr>
                <w:rStyle w:val="Hyperlink"/>
                <w:noProof/>
                <w:sz w:val="18"/>
                <w:szCs w:val="18"/>
              </w:rPr>
              <w:t>2(c).</w:t>
            </w:r>
            <w:r w:rsidRPr="00176A48" w:rsidR="00176A48">
              <w:rPr>
                <w:rFonts w:asciiTheme="minorHAnsi" w:hAnsiTheme="minorHAnsi" w:eastAsiaTheme="minorEastAsia"/>
                <w:noProof/>
                <w:sz w:val="18"/>
                <w:szCs w:val="18"/>
              </w:rPr>
              <w:tab/>
            </w:r>
            <w:r w:rsidRPr="00176A48" w:rsidR="00176A48">
              <w:rPr>
                <w:rStyle w:val="Hyperlink"/>
                <w:noProof/>
                <w:sz w:val="18"/>
                <w:szCs w:val="18"/>
              </w:rPr>
              <w:t>Uses, Users, and Purpose of the Information Collection</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_Toc42177017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6</w:t>
            </w:r>
            <w:r w:rsidRPr="00176A48" w:rsidR="00176A48">
              <w:rPr>
                <w:noProof/>
                <w:webHidden/>
                <w:sz w:val="18"/>
                <w:szCs w:val="18"/>
              </w:rPr>
              <w:fldChar w:fldCharType="end"/>
            </w:r>
          </w:hyperlink>
        </w:p>
        <w:p w:rsidRPr="00176A48" w:rsidR="00176A48" w:rsidRDefault="00255C4B" w14:paraId="639DC9AF" w14:textId="17ED5651">
          <w:pPr>
            <w:pStyle w:val="TOC1"/>
            <w:rPr>
              <w:rFonts w:asciiTheme="minorHAnsi" w:hAnsiTheme="minorHAnsi" w:eastAsiaTheme="minorEastAsia"/>
              <w:sz w:val="18"/>
              <w:szCs w:val="18"/>
            </w:rPr>
          </w:pPr>
          <w:hyperlink w:history="1" w:anchor="_Toc42177018">
            <w:r w:rsidRPr="00176A48" w:rsidR="00176A48">
              <w:rPr>
                <w:rStyle w:val="Hyperlink"/>
                <w:sz w:val="18"/>
                <w:szCs w:val="18"/>
              </w:rPr>
              <w:t>3.</w:t>
            </w:r>
            <w:r w:rsidRPr="00176A48" w:rsidR="00176A48">
              <w:rPr>
                <w:rFonts w:asciiTheme="minorHAnsi" w:hAnsiTheme="minorHAnsi" w:eastAsiaTheme="minorEastAsia"/>
                <w:sz w:val="18"/>
                <w:szCs w:val="18"/>
              </w:rPr>
              <w:tab/>
            </w:r>
            <w:r w:rsidRPr="00176A48" w:rsidR="00176A48">
              <w:rPr>
                <w:rStyle w:val="Hyperlink"/>
                <w:sz w:val="18"/>
                <w:szCs w:val="18"/>
              </w:rPr>
              <w:t>NON-DUPLICATION, CONSULTATIONS, AND OTHER COLLECTION CRITERIA</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_Toc42177018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7</w:t>
            </w:r>
            <w:r w:rsidRPr="00176A48" w:rsidR="00176A48">
              <w:rPr>
                <w:webHidden/>
                <w:sz w:val="18"/>
                <w:szCs w:val="18"/>
              </w:rPr>
              <w:fldChar w:fldCharType="end"/>
            </w:r>
          </w:hyperlink>
        </w:p>
        <w:p w:rsidRPr="00176A48" w:rsidR="00176A48" w:rsidRDefault="00255C4B" w14:paraId="374F2D52" w14:textId="5E2AEE93">
          <w:pPr>
            <w:pStyle w:val="TOC2"/>
            <w:tabs>
              <w:tab w:val="left" w:pos="1440"/>
              <w:tab w:val="right" w:leader="dot" w:pos="10070"/>
            </w:tabs>
            <w:rPr>
              <w:rFonts w:asciiTheme="minorHAnsi" w:hAnsiTheme="minorHAnsi" w:eastAsiaTheme="minorEastAsia"/>
              <w:noProof/>
              <w:sz w:val="18"/>
              <w:szCs w:val="18"/>
            </w:rPr>
          </w:pPr>
          <w:hyperlink w:history="1" w:anchor="_Toc42177019">
            <w:r w:rsidRPr="00176A48" w:rsidR="00176A48">
              <w:rPr>
                <w:rStyle w:val="Hyperlink"/>
                <w:noProof/>
                <w:sz w:val="18"/>
                <w:szCs w:val="18"/>
              </w:rPr>
              <w:t>3(a).</w:t>
            </w:r>
            <w:r w:rsidRPr="00176A48" w:rsidR="00176A48">
              <w:rPr>
                <w:rFonts w:asciiTheme="minorHAnsi" w:hAnsiTheme="minorHAnsi" w:eastAsiaTheme="minorEastAsia"/>
                <w:noProof/>
                <w:sz w:val="18"/>
                <w:szCs w:val="18"/>
              </w:rPr>
              <w:tab/>
            </w:r>
            <w:r w:rsidRPr="00176A48" w:rsidR="00176A48">
              <w:rPr>
                <w:rStyle w:val="Hyperlink"/>
                <w:noProof/>
                <w:sz w:val="18"/>
                <w:szCs w:val="18"/>
              </w:rPr>
              <w:t>Non-Duplication</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_Toc42177019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7</w:t>
            </w:r>
            <w:r w:rsidRPr="00176A48" w:rsidR="00176A48">
              <w:rPr>
                <w:noProof/>
                <w:webHidden/>
                <w:sz w:val="18"/>
                <w:szCs w:val="18"/>
              </w:rPr>
              <w:fldChar w:fldCharType="end"/>
            </w:r>
          </w:hyperlink>
        </w:p>
        <w:p w:rsidRPr="00176A48" w:rsidR="00176A48" w:rsidRDefault="00255C4B" w14:paraId="738A6818" w14:textId="70C95AA5">
          <w:pPr>
            <w:pStyle w:val="TOC2"/>
            <w:tabs>
              <w:tab w:val="left" w:pos="1440"/>
              <w:tab w:val="right" w:leader="dot" w:pos="10070"/>
            </w:tabs>
            <w:rPr>
              <w:rFonts w:asciiTheme="minorHAnsi" w:hAnsiTheme="minorHAnsi" w:eastAsiaTheme="minorEastAsia"/>
              <w:noProof/>
              <w:sz w:val="18"/>
              <w:szCs w:val="18"/>
            </w:rPr>
          </w:pPr>
          <w:hyperlink w:history="1" w:anchor="_Toc42177020">
            <w:r w:rsidRPr="00176A48" w:rsidR="00176A48">
              <w:rPr>
                <w:rStyle w:val="Hyperlink"/>
                <w:noProof/>
                <w:sz w:val="18"/>
                <w:szCs w:val="18"/>
              </w:rPr>
              <w:t>3(b).</w:t>
            </w:r>
            <w:r w:rsidRPr="00176A48" w:rsidR="00176A48">
              <w:rPr>
                <w:rFonts w:asciiTheme="minorHAnsi" w:hAnsiTheme="minorHAnsi" w:eastAsiaTheme="minorEastAsia"/>
                <w:noProof/>
                <w:sz w:val="18"/>
                <w:szCs w:val="18"/>
              </w:rPr>
              <w:tab/>
            </w:r>
            <w:r w:rsidRPr="00176A48" w:rsidR="00176A48">
              <w:rPr>
                <w:rStyle w:val="Hyperlink"/>
                <w:noProof/>
                <w:sz w:val="18"/>
                <w:szCs w:val="18"/>
              </w:rPr>
              <w:t>Consultations and Public Comments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_Toc42177020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7</w:t>
            </w:r>
            <w:r w:rsidRPr="00176A48" w:rsidR="00176A48">
              <w:rPr>
                <w:noProof/>
                <w:webHidden/>
                <w:sz w:val="18"/>
                <w:szCs w:val="18"/>
              </w:rPr>
              <w:fldChar w:fldCharType="end"/>
            </w:r>
          </w:hyperlink>
        </w:p>
        <w:p w:rsidRPr="00176A48" w:rsidR="00176A48" w:rsidRDefault="00255C4B" w14:paraId="1FC86199" w14:textId="4CC11220">
          <w:pPr>
            <w:pStyle w:val="TOC2"/>
            <w:tabs>
              <w:tab w:val="left" w:pos="1440"/>
              <w:tab w:val="right" w:leader="dot" w:pos="10070"/>
            </w:tabs>
            <w:rPr>
              <w:rFonts w:asciiTheme="minorHAnsi" w:hAnsiTheme="minorHAnsi" w:eastAsiaTheme="minorEastAsia"/>
              <w:noProof/>
              <w:sz w:val="18"/>
              <w:szCs w:val="18"/>
            </w:rPr>
          </w:pPr>
          <w:hyperlink w:history="1" w:anchor="_Toc42177021">
            <w:r w:rsidRPr="00176A48" w:rsidR="00176A48">
              <w:rPr>
                <w:rStyle w:val="Hyperlink"/>
                <w:noProof/>
                <w:sz w:val="18"/>
                <w:szCs w:val="18"/>
              </w:rPr>
              <w:t>3(c).</w:t>
            </w:r>
            <w:r w:rsidRPr="00176A48" w:rsidR="00176A48">
              <w:rPr>
                <w:rFonts w:asciiTheme="minorHAnsi" w:hAnsiTheme="minorHAnsi" w:eastAsiaTheme="minorEastAsia"/>
                <w:noProof/>
                <w:sz w:val="18"/>
                <w:szCs w:val="18"/>
              </w:rPr>
              <w:tab/>
            </w:r>
            <w:r w:rsidRPr="00176A48" w:rsidR="00176A48">
              <w:rPr>
                <w:rStyle w:val="Hyperlink"/>
                <w:noProof/>
                <w:sz w:val="18"/>
                <w:szCs w:val="18"/>
              </w:rPr>
              <w:t>Effects of Less Frequent Collection</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_Toc42177021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7</w:t>
            </w:r>
            <w:r w:rsidRPr="00176A48" w:rsidR="00176A48">
              <w:rPr>
                <w:noProof/>
                <w:webHidden/>
                <w:sz w:val="18"/>
                <w:szCs w:val="18"/>
              </w:rPr>
              <w:fldChar w:fldCharType="end"/>
            </w:r>
          </w:hyperlink>
        </w:p>
        <w:p w:rsidRPr="00176A48" w:rsidR="00176A48" w:rsidRDefault="00255C4B" w14:paraId="6554EE3E" w14:textId="5C53EC9A">
          <w:pPr>
            <w:pStyle w:val="TOC2"/>
            <w:tabs>
              <w:tab w:val="left" w:pos="1440"/>
              <w:tab w:val="right" w:leader="dot" w:pos="10070"/>
            </w:tabs>
            <w:rPr>
              <w:rFonts w:asciiTheme="minorHAnsi" w:hAnsiTheme="minorHAnsi" w:eastAsiaTheme="minorEastAsia"/>
              <w:noProof/>
              <w:sz w:val="18"/>
              <w:szCs w:val="18"/>
            </w:rPr>
          </w:pPr>
          <w:hyperlink w:history="1" w:anchor="_Toc42177022">
            <w:r w:rsidRPr="00176A48" w:rsidR="00176A48">
              <w:rPr>
                <w:rStyle w:val="Hyperlink"/>
                <w:noProof/>
                <w:sz w:val="18"/>
                <w:szCs w:val="18"/>
              </w:rPr>
              <w:t>3(d).</w:t>
            </w:r>
            <w:r w:rsidRPr="00176A48" w:rsidR="00176A48">
              <w:rPr>
                <w:rFonts w:asciiTheme="minorHAnsi" w:hAnsiTheme="minorHAnsi" w:eastAsiaTheme="minorEastAsia"/>
                <w:noProof/>
                <w:sz w:val="18"/>
                <w:szCs w:val="18"/>
              </w:rPr>
              <w:tab/>
            </w:r>
            <w:r w:rsidRPr="00176A48" w:rsidR="00176A48">
              <w:rPr>
                <w:rStyle w:val="Hyperlink"/>
                <w:noProof/>
                <w:sz w:val="18"/>
                <w:szCs w:val="18"/>
              </w:rPr>
              <w:t>Small Entity Flexibility</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_Toc42177022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8</w:t>
            </w:r>
            <w:r w:rsidRPr="00176A48" w:rsidR="00176A48">
              <w:rPr>
                <w:noProof/>
                <w:webHidden/>
                <w:sz w:val="18"/>
                <w:szCs w:val="18"/>
              </w:rPr>
              <w:fldChar w:fldCharType="end"/>
            </w:r>
          </w:hyperlink>
        </w:p>
        <w:p w:rsidRPr="00176A48" w:rsidR="00176A48" w:rsidRDefault="00255C4B" w14:paraId="06449B31" w14:textId="26344CAB">
          <w:pPr>
            <w:pStyle w:val="TOC2"/>
            <w:tabs>
              <w:tab w:val="left" w:pos="1440"/>
              <w:tab w:val="right" w:leader="dot" w:pos="10070"/>
            </w:tabs>
            <w:rPr>
              <w:rFonts w:asciiTheme="minorHAnsi" w:hAnsiTheme="minorHAnsi" w:eastAsiaTheme="minorEastAsia"/>
              <w:noProof/>
              <w:sz w:val="18"/>
              <w:szCs w:val="18"/>
            </w:rPr>
          </w:pPr>
          <w:hyperlink w:history="1" w:anchor="_Toc42177023">
            <w:r w:rsidRPr="00176A48" w:rsidR="00176A48">
              <w:rPr>
                <w:rStyle w:val="Hyperlink"/>
                <w:noProof/>
                <w:sz w:val="18"/>
                <w:szCs w:val="18"/>
              </w:rPr>
              <w:t>3(e).</w:t>
            </w:r>
            <w:r w:rsidRPr="00176A48" w:rsidR="00176A48">
              <w:rPr>
                <w:rFonts w:asciiTheme="minorHAnsi" w:hAnsiTheme="minorHAnsi" w:eastAsiaTheme="minorEastAsia"/>
                <w:noProof/>
                <w:sz w:val="18"/>
                <w:szCs w:val="18"/>
              </w:rPr>
              <w:tab/>
            </w:r>
            <w:r w:rsidRPr="00176A48" w:rsidR="00176A48">
              <w:rPr>
                <w:rStyle w:val="Hyperlink"/>
                <w:noProof/>
                <w:sz w:val="18"/>
                <w:szCs w:val="18"/>
              </w:rPr>
              <w:t>General PRA Related Guidelines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_Toc42177023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8</w:t>
            </w:r>
            <w:r w:rsidRPr="00176A48" w:rsidR="00176A48">
              <w:rPr>
                <w:noProof/>
                <w:webHidden/>
                <w:sz w:val="18"/>
                <w:szCs w:val="18"/>
              </w:rPr>
              <w:fldChar w:fldCharType="end"/>
            </w:r>
          </w:hyperlink>
        </w:p>
        <w:p w:rsidRPr="00176A48" w:rsidR="00176A48" w:rsidRDefault="00255C4B" w14:paraId="1102520A" w14:textId="09BC62F1">
          <w:pPr>
            <w:pStyle w:val="TOC2"/>
            <w:tabs>
              <w:tab w:val="left" w:pos="1440"/>
              <w:tab w:val="right" w:leader="dot" w:pos="10070"/>
            </w:tabs>
            <w:rPr>
              <w:rFonts w:asciiTheme="minorHAnsi" w:hAnsiTheme="minorHAnsi" w:eastAsiaTheme="minorEastAsia"/>
              <w:noProof/>
              <w:sz w:val="18"/>
              <w:szCs w:val="18"/>
            </w:rPr>
          </w:pPr>
          <w:hyperlink w:history="1" w:anchor="_Toc42177024">
            <w:r w:rsidRPr="00176A48" w:rsidR="00176A48">
              <w:rPr>
                <w:rStyle w:val="Hyperlink"/>
                <w:noProof/>
                <w:sz w:val="18"/>
                <w:szCs w:val="18"/>
              </w:rPr>
              <w:t>3(f).</w:t>
            </w:r>
            <w:r w:rsidRPr="00176A48" w:rsidR="00176A48">
              <w:rPr>
                <w:rFonts w:asciiTheme="minorHAnsi" w:hAnsiTheme="minorHAnsi" w:eastAsiaTheme="minorEastAsia"/>
                <w:noProof/>
                <w:sz w:val="18"/>
                <w:szCs w:val="18"/>
              </w:rPr>
              <w:tab/>
            </w:r>
            <w:r w:rsidRPr="00176A48" w:rsidR="00176A48">
              <w:rPr>
                <w:rStyle w:val="Hyperlink"/>
                <w:noProof/>
                <w:sz w:val="18"/>
                <w:szCs w:val="18"/>
              </w:rPr>
              <w:t>Confidentiality</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_Toc42177024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8</w:t>
            </w:r>
            <w:r w:rsidRPr="00176A48" w:rsidR="00176A48">
              <w:rPr>
                <w:noProof/>
                <w:webHidden/>
                <w:sz w:val="18"/>
                <w:szCs w:val="18"/>
              </w:rPr>
              <w:fldChar w:fldCharType="end"/>
            </w:r>
          </w:hyperlink>
        </w:p>
        <w:p w:rsidRPr="00176A48" w:rsidR="00176A48" w:rsidRDefault="00255C4B" w14:paraId="2111F5B1" w14:textId="10E599D5">
          <w:pPr>
            <w:pStyle w:val="TOC2"/>
            <w:tabs>
              <w:tab w:val="left" w:pos="1440"/>
              <w:tab w:val="right" w:leader="dot" w:pos="10070"/>
            </w:tabs>
            <w:rPr>
              <w:rFonts w:asciiTheme="minorHAnsi" w:hAnsiTheme="minorHAnsi" w:eastAsiaTheme="minorEastAsia"/>
              <w:noProof/>
              <w:sz w:val="18"/>
              <w:szCs w:val="18"/>
            </w:rPr>
          </w:pPr>
          <w:hyperlink w:history="1" w:anchor="_Toc42177025">
            <w:r w:rsidRPr="00176A48" w:rsidR="00176A48">
              <w:rPr>
                <w:rStyle w:val="Hyperlink"/>
                <w:noProof/>
                <w:sz w:val="18"/>
                <w:szCs w:val="18"/>
              </w:rPr>
              <w:t>3(g).</w:t>
            </w:r>
            <w:r w:rsidRPr="00176A48" w:rsidR="00176A48">
              <w:rPr>
                <w:rFonts w:asciiTheme="minorHAnsi" w:hAnsiTheme="minorHAnsi" w:eastAsiaTheme="minorEastAsia"/>
                <w:noProof/>
                <w:sz w:val="18"/>
                <w:szCs w:val="18"/>
              </w:rPr>
              <w:tab/>
            </w:r>
            <w:r w:rsidRPr="00176A48" w:rsidR="00176A48">
              <w:rPr>
                <w:rStyle w:val="Hyperlink"/>
                <w:noProof/>
                <w:sz w:val="18"/>
                <w:szCs w:val="18"/>
              </w:rPr>
              <w:t>Sensitive Questions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_Toc42177025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8</w:t>
            </w:r>
            <w:r w:rsidRPr="00176A48" w:rsidR="00176A48">
              <w:rPr>
                <w:noProof/>
                <w:webHidden/>
                <w:sz w:val="18"/>
                <w:szCs w:val="18"/>
              </w:rPr>
              <w:fldChar w:fldCharType="end"/>
            </w:r>
          </w:hyperlink>
        </w:p>
        <w:p w:rsidRPr="00176A48" w:rsidR="00176A48" w:rsidRDefault="00255C4B" w14:paraId="490B59A6" w14:textId="2F16CADA">
          <w:pPr>
            <w:pStyle w:val="TOC1"/>
            <w:rPr>
              <w:rFonts w:asciiTheme="minorHAnsi" w:hAnsiTheme="minorHAnsi" w:eastAsiaTheme="minorEastAsia"/>
              <w:sz w:val="18"/>
              <w:szCs w:val="18"/>
            </w:rPr>
          </w:pPr>
          <w:hyperlink w:history="1" w:anchor="_Toc42177026">
            <w:r w:rsidRPr="00176A48" w:rsidR="00176A48">
              <w:rPr>
                <w:rStyle w:val="Hyperlink"/>
                <w:sz w:val="18"/>
                <w:szCs w:val="18"/>
              </w:rPr>
              <w:t>4.</w:t>
            </w:r>
            <w:r w:rsidRPr="00176A48" w:rsidR="00176A48">
              <w:rPr>
                <w:rFonts w:asciiTheme="minorHAnsi" w:hAnsiTheme="minorHAnsi" w:eastAsiaTheme="minorEastAsia"/>
                <w:sz w:val="18"/>
                <w:szCs w:val="18"/>
              </w:rPr>
              <w:tab/>
            </w:r>
            <w:r w:rsidRPr="00176A48" w:rsidR="00176A48">
              <w:rPr>
                <w:rStyle w:val="Hyperlink"/>
                <w:sz w:val="18"/>
                <w:szCs w:val="18"/>
              </w:rPr>
              <w:t>AGENCY ACTIVITIES, COLLECTION METHODOLOGY, AND INFORMATION MANAGEMENT</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_Toc42177026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9</w:t>
            </w:r>
            <w:r w:rsidRPr="00176A48" w:rsidR="00176A48">
              <w:rPr>
                <w:webHidden/>
                <w:sz w:val="18"/>
                <w:szCs w:val="18"/>
              </w:rPr>
              <w:fldChar w:fldCharType="end"/>
            </w:r>
          </w:hyperlink>
        </w:p>
        <w:p w:rsidRPr="00176A48" w:rsidR="00176A48" w:rsidRDefault="00255C4B" w14:paraId="537B00AF" w14:textId="47C66767">
          <w:pPr>
            <w:pStyle w:val="TOC2"/>
            <w:tabs>
              <w:tab w:val="left" w:pos="1440"/>
              <w:tab w:val="right" w:leader="dot" w:pos="10070"/>
            </w:tabs>
            <w:rPr>
              <w:rFonts w:asciiTheme="minorHAnsi" w:hAnsiTheme="minorHAnsi" w:eastAsiaTheme="minorEastAsia"/>
              <w:noProof/>
              <w:sz w:val="18"/>
              <w:szCs w:val="18"/>
            </w:rPr>
          </w:pPr>
          <w:hyperlink w:history="1" w:anchor="_Toc42177027">
            <w:r w:rsidRPr="00176A48" w:rsidR="00176A48">
              <w:rPr>
                <w:rStyle w:val="Hyperlink"/>
                <w:noProof/>
                <w:sz w:val="18"/>
                <w:szCs w:val="18"/>
              </w:rPr>
              <w:t>4(a).</w:t>
            </w:r>
            <w:r w:rsidRPr="00176A48" w:rsidR="00176A48">
              <w:rPr>
                <w:rFonts w:asciiTheme="minorHAnsi" w:hAnsiTheme="minorHAnsi" w:eastAsiaTheme="minorEastAsia"/>
                <w:noProof/>
                <w:sz w:val="18"/>
                <w:szCs w:val="18"/>
              </w:rPr>
              <w:tab/>
            </w:r>
            <w:r w:rsidRPr="00176A48" w:rsidR="00176A48">
              <w:rPr>
                <w:rStyle w:val="Hyperlink"/>
                <w:noProof/>
                <w:sz w:val="18"/>
                <w:szCs w:val="18"/>
              </w:rPr>
              <w:t xml:space="preserve"> Agency Activities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_Toc42177027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9</w:t>
            </w:r>
            <w:r w:rsidRPr="00176A48" w:rsidR="00176A48">
              <w:rPr>
                <w:noProof/>
                <w:webHidden/>
                <w:sz w:val="18"/>
                <w:szCs w:val="18"/>
              </w:rPr>
              <w:fldChar w:fldCharType="end"/>
            </w:r>
          </w:hyperlink>
        </w:p>
        <w:p w:rsidRPr="00176A48" w:rsidR="00176A48" w:rsidRDefault="00255C4B" w14:paraId="30D60913" w14:textId="561B1B83">
          <w:pPr>
            <w:pStyle w:val="TOC2"/>
            <w:tabs>
              <w:tab w:val="left" w:pos="1440"/>
              <w:tab w:val="right" w:leader="dot" w:pos="10070"/>
            </w:tabs>
            <w:rPr>
              <w:rFonts w:asciiTheme="minorHAnsi" w:hAnsiTheme="minorHAnsi" w:eastAsiaTheme="minorEastAsia"/>
              <w:noProof/>
              <w:sz w:val="18"/>
              <w:szCs w:val="18"/>
            </w:rPr>
          </w:pPr>
          <w:hyperlink w:history="1" w:anchor="_Toc42177028">
            <w:r w:rsidRPr="00176A48" w:rsidR="00176A48">
              <w:rPr>
                <w:rStyle w:val="Hyperlink"/>
                <w:noProof/>
                <w:sz w:val="18"/>
                <w:szCs w:val="18"/>
              </w:rPr>
              <w:t>4(a).</w:t>
            </w:r>
            <w:r w:rsidRPr="00176A48" w:rsidR="00176A48">
              <w:rPr>
                <w:rFonts w:asciiTheme="minorHAnsi" w:hAnsiTheme="minorHAnsi" w:eastAsiaTheme="minorEastAsia"/>
                <w:noProof/>
                <w:sz w:val="18"/>
                <w:szCs w:val="18"/>
              </w:rPr>
              <w:tab/>
            </w:r>
            <w:r w:rsidRPr="00176A48" w:rsidR="00176A48">
              <w:rPr>
                <w:rStyle w:val="Hyperlink"/>
                <w:noProof/>
                <w:sz w:val="18"/>
                <w:szCs w:val="18"/>
              </w:rPr>
              <w:t>Estimated Agency Costs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_Toc42177028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9</w:t>
            </w:r>
            <w:r w:rsidRPr="00176A48" w:rsidR="00176A48">
              <w:rPr>
                <w:noProof/>
                <w:webHidden/>
                <w:sz w:val="18"/>
                <w:szCs w:val="18"/>
              </w:rPr>
              <w:fldChar w:fldCharType="end"/>
            </w:r>
          </w:hyperlink>
        </w:p>
        <w:p w:rsidRPr="00176A48" w:rsidR="00176A48" w:rsidRDefault="00255C4B" w14:paraId="1E26ED07" w14:textId="69B4EF8A">
          <w:pPr>
            <w:pStyle w:val="TOC2"/>
            <w:tabs>
              <w:tab w:val="left" w:pos="1440"/>
              <w:tab w:val="right" w:leader="dot" w:pos="10070"/>
            </w:tabs>
            <w:rPr>
              <w:rFonts w:asciiTheme="minorHAnsi" w:hAnsiTheme="minorHAnsi" w:eastAsiaTheme="minorEastAsia"/>
              <w:noProof/>
              <w:sz w:val="18"/>
              <w:szCs w:val="18"/>
            </w:rPr>
          </w:pPr>
          <w:hyperlink w:history="1" w:anchor="_Toc42177029">
            <w:r w:rsidRPr="00176A48" w:rsidR="00176A48">
              <w:rPr>
                <w:rStyle w:val="Hyperlink"/>
                <w:noProof/>
                <w:sz w:val="18"/>
                <w:szCs w:val="18"/>
              </w:rPr>
              <w:t>4(a)(i).</w:t>
            </w:r>
            <w:r w:rsidRPr="00176A48" w:rsidR="00176A48">
              <w:rPr>
                <w:rFonts w:asciiTheme="minorHAnsi" w:hAnsiTheme="minorHAnsi" w:eastAsiaTheme="minorEastAsia"/>
                <w:noProof/>
                <w:sz w:val="18"/>
                <w:szCs w:val="18"/>
              </w:rPr>
              <w:tab/>
            </w:r>
            <w:r w:rsidRPr="00176A48" w:rsidR="00176A48">
              <w:rPr>
                <w:rStyle w:val="Hyperlink"/>
                <w:noProof/>
                <w:sz w:val="18"/>
                <w:szCs w:val="18"/>
              </w:rPr>
              <w:t>Collection Schedule</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_Toc42177029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9</w:t>
            </w:r>
            <w:r w:rsidRPr="00176A48" w:rsidR="00176A48">
              <w:rPr>
                <w:noProof/>
                <w:webHidden/>
                <w:sz w:val="18"/>
                <w:szCs w:val="18"/>
              </w:rPr>
              <w:fldChar w:fldCharType="end"/>
            </w:r>
          </w:hyperlink>
        </w:p>
        <w:p w:rsidRPr="00176A48" w:rsidR="00176A48" w:rsidRDefault="00255C4B" w14:paraId="565FF830" w14:textId="119CC875">
          <w:pPr>
            <w:pStyle w:val="TOC1"/>
            <w:rPr>
              <w:rFonts w:asciiTheme="minorHAnsi" w:hAnsiTheme="minorHAnsi" w:eastAsiaTheme="minorEastAsia"/>
              <w:sz w:val="18"/>
              <w:szCs w:val="18"/>
            </w:rPr>
          </w:pPr>
          <w:hyperlink w:history="1" w:anchor="_Toc42177030">
            <w:r w:rsidRPr="00176A48" w:rsidR="00176A48">
              <w:rPr>
                <w:rStyle w:val="Hyperlink"/>
                <w:sz w:val="18"/>
                <w:szCs w:val="18"/>
              </w:rPr>
              <w:t>5.</w:t>
            </w:r>
            <w:r w:rsidRPr="00176A48" w:rsidR="00176A48">
              <w:rPr>
                <w:rFonts w:asciiTheme="minorHAnsi" w:hAnsiTheme="minorHAnsi" w:eastAsiaTheme="minorEastAsia"/>
                <w:sz w:val="18"/>
                <w:szCs w:val="18"/>
              </w:rPr>
              <w:tab/>
            </w:r>
            <w:r w:rsidRPr="00176A48" w:rsidR="00176A48">
              <w:rPr>
                <w:rStyle w:val="Hyperlink"/>
                <w:sz w:val="18"/>
                <w:szCs w:val="18"/>
              </w:rPr>
              <w:t>THE RESPONDENTS AND INFORMATION COLLECTION (IC) ACTIVITIES</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_Toc42177030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10</w:t>
            </w:r>
            <w:r w:rsidRPr="00176A48" w:rsidR="00176A48">
              <w:rPr>
                <w:webHidden/>
                <w:sz w:val="18"/>
                <w:szCs w:val="18"/>
              </w:rPr>
              <w:fldChar w:fldCharType="end"/>
            </w:r>
          </w:hyperlink>
        </w:p>
        <w:p w:rsidRPr="00176A48" w:rsidR="00176A48" w:rsidRDefault="00255C4B" w14:paraId="3AC130B0" w14:textId="64FB56EE">
          <w:pPr>
            <w:pStyle w:val="TOC2"/>
            <w:tabs>
              <w:tab w:val="left" w:pos="1440"/>
              <w:tab w:val="right" w:leader="dot" w:pos="10070"/>
            </w:tabs>
            <w:rPr>
              <w:rFonts w:asciiTheme="minorHAnsi" w:hAnsiTheme="minorHAnsi" w:eastAsiaTheme="minorEastAsia"/>
              <w:noProof/>
              <w:sz w:val="18"/>
              <w:szCs w:val="18"/>
            </w:rPr>
          </w:pPr>
          <w:hyperlink w:history="1" w:anchor="_Toc42177031">
            <w:r w:rsidRPr="00176A48" w:rsidR="00176A48">
              <w:rPr>
                <w:rStyle w:val="Hyperlink"/>
                <w:noProof/>
                <w:sz w:val="18"/>
                <w:szCs w:val="18"/>
              </w:rPr>
              <w:t>5(a).</w:t>
            </w:r>
            <w:r w:rsidRPr="00176A48" w:rsidR="00176A48">
              <w:rPr>
                <w:rFonts w:asciiTheme="minorHAnsi" w:hAnsiTheme="minorHAnsi" w:eastAsiaTheme="minorEastAsia"/>
                <w:noProof/>
                <w:sz w:val="18"/>
                <w:szCs w:val="18"/>
              </w:rPr>
              <w:tab/>
            </w:r>
            <w:r w:rsidRPr="00176A48" w:rsidR="00176A48">
              <w:rPr>
                <w:rStyle w:val="Hyperlink"/>
                <w:noProof/>
                <w:sz w:val="18"/>
                <w:szCs w:val="18"/>
              </w:rPr>
              <w:t>Methodology for Estimating Respondent Burden and Costs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_Toc42177031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11</w:t>
            </w:r>
            <w:r w:rsidRPr="00176A48" w:rsidR="00176A48">
              <w:rPr>
                <w:noProof/>
                <w:webHidden/>
                <w:sz w:val="18"/>
                <w:szCs w:val="18"/>
              </w:rPr>
              <w:fldChar w:fldCharType="end"/>
            </w:r>
          </w:hyperlink>
        </w:p>
        <w:p w:rsidRPr="00176A48" w:rsidR="00176A48" w:rsidRDefault="00255C4B" w14:paraId="2075B551" w14:textId="799970E9">
          <w:pPr>
            <w:pStyle w:val="TOC2"/>
            <w:tabs>
              <w:tab w:val="left" w:pos="1440"/>
              <w:tab w:val="right" w:leader="dot" w:pos="10070"/>
            </w:tabs>
            <w:rPr>
              <w:rFonts w:asciiTheme="minorHAnsi" w:hAnsiTheme="minorHAnsi" w:eastAsiaTheme="minorEastAsia"/>
              <w:noProof/>
              <w:sz w:val="18"/>
              <w:szCs w:val="18"/>
            </w:rPr>
          </w:pPr>
          <w:hyperlink w:history="1" w:anchor="_Toc42177032">
            <w:r w:rsidRPr="00176A48" w:rsidR="00176A48">
              <w:rPr>
                <w:rStyle w:val="Hyperlink"/>
                <w:noProof/>
                <w:sz w:val="18"/>
                <w:szCs w:val="18"/>
              </w:rPr>
              <w:t>5(a)(i)</w:t>
            </w:r>
            <w:r w:rsidRPr="00176A48" w:rsidR="00176A48">
              <w:rPr>
                <w:rFonts w:asciiTheme="minorHAnsi" w:hAnsiTheme="minorHAnsi" w:eastAsiaTheme="minorEastAsia"/>
                <w:noProof/>
                <w:sz w:val="18"/>
                <w:szCs w:val="18"/>
              </w:rPr>
              <w:tab/>
            </w:r>
            <w:r w:rsidRPr="00176A48" w:rsidR="00176A48">
              <w:rPr>
                <w:rStyle w:val="Hyperlink"/>
                <w:noProof/>
                <w:sz w:val="18"/>
                <w:szCs w:val="18"/>
              </w:rPr>
              <w:t>Respondent Activities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_Toc42177032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11</w:t>
            </w:r>
            <w:r w:rsidRPr="00176A48" w:rsidR="00176A48">
              <w:rPr>
                <w:noProof/>
                <w:webHidden/>
                <w:sz w:val="18"/>
                <w:szCs w:val="18"/>
              </w:rPr>
              <w:fldChar w:fldCharType="end"/>
            </w:r>
          </w:hyperlink>
        </w:p>
        <w:p w:rsidRPr="00176A48" w:rsidR="00176A48" w:rsidRDefault="00255C4B" w14:paraId="5EB9B50C" w14:textId="1DCEA3A7">
          <w:pPr>
            <w:pStyle w:val="TOC2"/>
            <w:tabs>
              <w:tab w:val="left" w:pos="1440"/>
              <w:tab w:val="right" w:leader="dot" w:pos="10070"/>
            </w:tabs>
            <w:rPr>
              <w:rFonts w:asciiTheme="minorHAnsi" w:hAnsiTheme="minorHAnsi" w:eastAsiaTheme="minorEastAsia"/>
              <w:noProof/>
              <w:sz w:val="18"/>
              <w:szCs w:val="18"/>
            </w:rPr>
          </w:pPr>
          <w:hyperlink w:history="1" w:anchor="_Toc42177033">
            <w:r w:rsidRPr="00176A48" w:rsidR="00176A48">
              <w:rPr>
                <w:rStyle w:val="Hyperlink"/>
                <w:noProof/>
                <w:sz w:val="18"/>
                <w:szCs w:val="18"/>
                <w:lang w:bidi="en-US"/>
              </w:rPr>
              <w:t>5(b).</w:t>
            </w:r>
            <w:r w:rsidRPr="00176A48" w:rsidR="00176A48">
              <w:rPr>
                <w:rFonts w:asciiTheme="minorHAnsi" w:hAnsiTheme="minorHAnsi" w:eastAsiaTheme="minorEastAsia"/>
                <w:noProof/>
                <w:sz w:val="18"/>
                <w:szCs w:val="18"/>
              </w:rPr>
              <w:tab/>
            </w:r>
            <w:r w:rsidRPr="00176A48" w:rsidR="00176A48">
              <w:rPr>
                <w:rStyle w:val="Hyperlink"/>
                <w:noProof/>
                <w:sz w:val="18"/>
                <w:szCs w:val="18"/>
                <w:lang w:bidi="en-US"/>
              </w:rPr>
              <w:t>Estimating Respondent Burden and Costs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_Toc42177033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12</w:t>
            </w:r>
            <w:r w:rsidRPr="00176A48" w:rsidR="00176A48">
              <w:rPr>
                <w:noProof/>
                <w:webHidden/>
                <w:sz w:val="18"/>
                <w:szCs w:val="18"/>
              </w:rPr>
              <w:fldChar w:fldCharType="end"/>
            </w:r>
          </w:hyperlink>
        </w:p>
        <w:p w:rsidRPr="00176A48" w:rsidR="00176A48" w:rsidRDefault="00255C4B" w14:paraId="15637849" w14:textId="0E8F42C0">
          <w:pPr>
            <w:pStyle w:val="TOC2"/>
            <w:tabs>
              <w:tab w:val="left" w:pos="1440"/>
              <w:tab w:val="right" w:leader="dot" w:pos="10070"/>
            </w:tabs>
            <w:rPr>
              <w:rFonts w:asciiTheme="minorHAnsi" w:hAnsiTheme="minorHAnsi" w:eastAsiaTheme="minorEastAsia"/>
              <w:noProof/>
              <w:sz w:val="18"/>
              <w:szCs w:val="18"/>
            </w:rPr>
          </w:pPr>
          <w:hyperlink w:history="1" w:anchor="_Toc42177034">
            <w:r w:rsidRPr="00176A48" w:rsidR="00176A48">
              <w:rPr>
                <w:rStyle w:val="Hyperlink"/>
                <w:noProof/>
                <w:sz w:val="18"/>
                <w:szCs w:val="18"/>
              </w:rPr>
              <w:t>5(b)(i)</w:t>
            </w:r>
            <w:r w:rsidRPr="00176A48" w:rsidR="00176A48">
              <w:rPr>
                <w:rFonts w:asciiTheme="minorHAnsi" w:hAnsiTheme="minorHAnsi" w:eastAsiaTheme="minorEastAsia"/>
                <w:noProof/>
                <w:sz w:val="18"/>
                <w:szCs w:val="18"/>
              </w:rPr>
              <w:tab/>
            </w:r>
            <w:r w:rsidRPr="00176A48" w:rsidR="00176A48">
              <w:rPr>
                <w:rStyle w:val="Hyperlink"/>
                <w:noProof/>
                <w:sz w:val="18"/>
                <w:szCs w:val="18"/>
              </w:rPr>
              <w:t>IC#1 TSCA Section 8(a) SMD Update</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_Toc42177034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12</w:t>
            </w:r>
            <w:r w:rsidRPr="00176A48" w:rsidR="00176A48">
              <w:rPr>
                <w:noProof/>
                <w:webHidden/>
                <w:sz w:val="18"/>
                <w:szCs w:val="18"/>
              </w:rPr>
              <w:fldChar w:fldCharType="end"/>
            </w:r>
          </w:hyperlink>
        </w:p>
        <w:p w:rsidRPr="00176A48" w:rsidR="00176A48" w:rsidRDefault="00255C4B" w14:paraId="240A43B7" w14:textId="7DD97EF4">
          <w:pPr>
            <w:pStyle w:val="TOC2"/>
            <w:tabs>
              <w:tab w:val="left" w:pos="1440"/>
              <w:tab w:val="right" w:leader="dot" w:pos="10070"/>
            </w:tabs>
            <w:rPr>
              <w:rFonts w:asciiTheme="minorHAnsi" w:hAnsiTheme="minorHAnsi" w:eastAsiaTheme="minorEastAsia"/>
              <w:noProof/>
              <w:sz w:val="18"/>
              <w:szCs w:val="18"/>
            </w:rPr>
          </w:pPr>
          <w:hyperlink w:history="1" w:anchor="_Toc42177035">
            <w:r w:rsidRPr="00176A48" w:rsidR="00176A48">
              <w:rPr>
                <w:rStyle w:val="Hyperlink"/>
                <w:noProof/>
                <w:sz w:val="18"/>
                <w:szCs w:val="18"/>
              </w:rPr>
              <w:t xml:space="preserve">5.(c). </w:t>
            </w:r>
            <w:r w:rsidRPr="00176A48" w:rsidR="00176A48">
              <w:rPr>
                <w:rFonts w:asciiTheme="minorHAnsi" w:hAnsiTheme="minorHAnsi" w:eastAsiaTheme="minorEastAsia"/>
                <w:noProof/>
                <w:sz w:val="18"/>
                <w:szCs w:val="18"/>
              </w:rPr>
              <w:tab/>
            </w:r>
            <w:r w:rsidRPr="00176A48" w:rsidR="00176A48">
              <w:rPr>
                <w:rStyle w:val="Hyperlink"/>
                <w:noProof/>
                <w:sz w:val="18"/>
                <w:szCs w:val="18"/>
              </w:rPr>
              <w:t>Respondent Universe, Total, and Bottom Line Burden Hours and Costs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_Toc42177035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14</w:t>
            </w:r>
            <w:r w:rsidRPr="00176A48" w:rsidR="00176A48">
              <w:rPr>
                <w:noProof/>
                <w:webHidden/>
                <w:sz w:val="18"/>
                <w:szCs w:val="18"/>
              </w:rPr>
              <w:fldChar w:fldCharType="end"/>
            </w:r>
          </w:hyperlink>
        </w:p>
        <w:p w:rsidRPr="00176A48" w:rsidR="00176A48" w:rsidRDefault="00255C4B" w14:paraId="38D489FD" w14:textId="33567CB5">
          <w:pPr>
            <w:pStyle w:val="TOC2"/>
            <w:tabs>
              <w:tab w:val="left" w:pos="1440"/>
              <w:tab w:val="right" w:leader="dot" w:pos="10070"/>
            </w:tabs>
            <w:rPr>
              <w:rFonts w:asciiTheme="minorHAnsi" w:hAnsiTheme="minorHAnsi" w:eastAsiaTheme="minorEastAsia"/>
              <w:noProof/>
              <w:sz w:val="18"/>
              <w:szCs w:val="18"/>
            </w:rPr>
          </w:pPr>
          <w:hyperlink w:history="1" w:anchor="_Toc42177036">
            <w:r w:rsidRPr="00176A48" w:rsidR="00176A48">
              <w:rPr>
                <w:rStyle w:val="Hyperlink"/>
                <w:noProof/>
                <w:sz w:val="18"/>
                <w:szCs w:val="18"/>
              </w:rPr>
              <w:t xml:space="preserve">5(c)(i) </w:t>
            </w:r>
            <w:r w:rsidRPr="00176A48" w:rsidR="00176A48">
              <w:rPr>
                <w:rFonts w:asciiTheme="minorHAnsi" w:hAnsiTheme="minorHAnsi" w:eastAsiaTheme="minorEastAsia"/>
                <w:noProof/>
                <w:sz w:val="18"/>
                <w:szCs w:val="18"/>
              </w:rPr>
              <w:tab/>
            </w:r>
            <w:r w:rsidRPr="00176A48" w:rsidR="00176A48">
              <w:rPr>
                <w:rStyle w:val="Hyperlink"/>
                <w:noProof/>
                <w:sz w:val="18"/>
                <w:szCs w:val="18"/>
              </w:rPr>
              <w:t>IC#1 TSCA Section 8(a) SMD Update</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_Toc42177036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14</w:t>
            </w:r>
            <w:r w:rsidRPr="00176A48" w:rsidR="00176A48">
              <w:rPr>
                <w:noProof/>
                <w:webHidden/>
                <w:sz w:val="18"/>
                <w:szCs w:val="18"/>
              </w:rPr>
              <w:fldChar w:fldCharType="end"/>
            </w:r>
          </w:hyperlink>
        </w:p>
        <w:p w:rsidRPr="00176A48" w:rsidR="00176A48" w:rsidRDefault="00255C4B" w14:paraId="4CBE85D4" w14:textId="119838A7">
          <w:pPr>
            <w:pStyle w:val="TOC1"/>
            <w:rPr>
              <w:rFonts w:asciiTheme="minorHAnsi" w:hAnsiTheme="minorHAnsi" w:eastAsiaTheme="minorEastAsia"/>
              <w:sz w:val="18"/>
              <w:szCs w:val="18"/>
            </w:rPr>
          </w:pPr>
          <w:hyperlink w:history="1" w:anchor="_Toc42177037">
            <w:r w:rsidRPr="00176A48" w:rsidR="00176A48">
              <w:rPr>
                <w:rStyle w:val="Hyperlink"/>
                <w:sz w:val="18"/>
                <w:szCs w:val="18"/>
              </w:rPr>
              <w:t>6.</w:t>
            </w:r>
            <w:r w:rsidRPr="00176A48" w:rsidR="00176A48">
              <w:rPr>
                <w:rFonts w:asciiTheme="minorHAnsi" w:hAnsiTheme="minorHAnsi" w:eastAsiaTheme="minorEastAsia"/>
                <w:sz w:val="18"/>
                <w:szCs w:val="18"/>
              </w:rPr>
              <w:tab/>
            </w:r>
            <w:r w:rsidRPr="00176A48" w:rsidR="00176A48">
              <w:rPr>
                <w:rStyle w:val="Hyperlink"/>
                <w:sz w:val="18"/>
                <w:szCs w:val="18"/>
              </w:rPr>
              <w:t>ESTIMATING BURDEN AND COST OF THIS COLLECTION</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_Toc42177037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15</w:t>
            </w:r>
            <w:r w:rsidRPr="00176A48" w:rsidR="00176A48">
              <w:rPr>
                <w:webHidden/>
                <w:sz w:val="18"/>
                <w:szCs w:val="18"/>
              </w:rPr>
              <w:fldChar w:fldCharType="end"/>
            </w:r>
          </w:hyperlink>
        </w:p>
        <w:p w:rsidRPr="00176A48" w:rsidR="00176A48" w:rsidRDefault="00255C4B" w14:paraId="4420E477" w14:textId="19C652AD">
          <w:pPr>
            <w:pStyle w:val="TOC2"/>
            <w:tabs>
              <w:tab w:val="left" w:pos="1440"/>
              <w:tab w:val="right" w:leader="dot" w:pos="10070"/>
            </w:tabs>
            <w:rPr>
              <w:rFonts w:asciiTheme="minorHAnsi" w:hAnsiTheme="minorHAnsi" w:eastAsiaTheme="minorEastAsia"/>
              <w:noProof/>
              <w:sz w:val="18"/>
              <w:szCs w:val="18"/>
            </w:rPr>
          </w:pPr>
          <w:hyperlink w:history="1" w:anchor="_Toc42177038">
            <w:r w:rsidRPr="00176A48" w:rsidR="00176A48">
              <w:rPr>
                <w:rStyle w:val="Hyperlink"/>
                <w:noProof/>
                <w:sz w:val="18"/>
                <w:szCs w:val="18"/>
              </w:rPr>
              <w:t>6(a)</w:t>
            </w:r>
            <w:r w:rsidRPr="00176A48" w:rsidR="00176A48">
              <w:rPr>
                <w:rFonts w:asciiTheme="minorHAnsi" w:hAnsiTheme="minorHAnsi" w:eastAsiaTheme="minorEastAsia"/>
                <w:noProof/>
                <w:sz w:val="18"/>
                <w:szCs w:val="18"/>
              </w:rPr>
              <w:tab/>
            </w:r>
            <w:r w:rsidRPr="00176A48" w:rsidR="00176A48">
              <w:rPr>
                <w:rStyle w:val="Hyperlink"/>
                <w:noProof/>
                <w:sz w:val="18"/>
                <w:szCs w:val="18"/>
              </w:rPr>
              <w:t>Total Estimated Respondent Burden and Costs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_Toc42177038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15</w:t>
            </w:r>
            <w:r w:rsidRPr="00176A48" w:rsidR="00176A48">
              <w:rPr>
                <w:noProof/>
                <w:webHidden/>
                <w:sz w:val="18"/>
                <w:szCs w:val="18"/>
              </w:rPr>
              <w:fldChar w:fldCharType="end"/>
            </w:r>
          </w:hyperlink>
        </w:p>
        <w:p w:rsidRPr="00176A48" w:rsidR="00176A48" w:rsidRDefault="00255C4B" w14:paraId="3CE989E3" w14:textId="3BB8C342">
          <w:pPr>
            <w:pStyle w:val="TOC2"/>
            <w:tabs>
              <w:tab w:val="left" w:pos="1440"/>
              <w:tab w:val="right" w:leader="dot" w:pos="10070"/>
            </w:tabs>
            <w:rPr>
              <w:rFonts w:asciiTheme="minorHAnsi" w:hAnsiTheme="minorHAnsi" w:eastAsiaTheme="minorEastAsia"/>
              <w:noProof/>
              <w:sz w:val="18"/>
              <w:szCs w:val="18"/>
            </w:rPr>
          </w:pPr>
          <w:hyperlink w:history="1" w:anchor="_Toc42177039">
            <w:r w:rsidRPr="00176A48" w:rsidR="00176A48">
              <w:rPr>
                <w:rStyle w:val="Hyperlink"/>
                <w:noProof/>
                <w:sz w:val="18"/>
                <w:szCs w:val="18"/>
              </w:rPr>
              <w:t xml:space="preserve">6(b) </w:t>
            </w:r>
            <w:r w:rsidRPr="00176A48" w:rsidR="00176A48">
              <w:rPr>
                <w:rFonts w:asciiTheme="minorHAnsi" w:hAnsiTheme="minorHAnsi" w:eastAsiaTheme="minorEastAsia"/>
                <w:noProof/>
                <w:sz w:val="18"/>
                <w:szCs w:val="18"/>
              </w:rPr>
              <w:tab/>
            </w:r>
            <w:r w:rsidRPr="00176A48" w:rsidR="00176A48">
              <w:rPr>
                <w:rStyle w:val="Hyperlink"/>
                <w:noProof/>
                <w:sz w:val="18"/>
                <w:szCs w:val="18"/>
              </w:rPr>
              <w:t>Changes in the Estimates</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_Toc42177039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16</w:t>
            </w:r>
            <w:r w:rsidRPr="00176A48" w:rsidR="00176A48">
              <w:rPr>
                <w:noProof/>
                <w:webHidden/>
                <w:sz w:val="18"/>
                <w:szCs w:val="18"/>
              </w:rPr>
              <w:fldChar w:fldCharType="end"/>
            </w:r>
          </w:hyperlink>
        </w:p>
        <w:p w:rsidRPr="00176A48" w:rsidR="00176A48" w:rsidRDefault="00255C4B" w14:paraId="665BAF71" w14:textId="01E2464A">
          <w:pPr>
            <w:pStyle w:val="TOC2"/>
            <w:tabs>
              <w:tab w:val="left" w:pos="1440"/>
              <w:tab w:val="right" w:leader="dot" w:pos="10070"/>
            </w:tabs>
            <w:rPr>
              <w:rFonts w:asciiTheme="minorHAnsi" w:hAnsiTheme="minorHAnsi" w:eastAsiaTheme="minorEastAsia"/>
              <w:noProof/>
              <w:sz w:val="18"/>
              <w:szCs w:val="18"/>
            </w:rPr>
          </w:pPr>
          <w:hyperlink w:history="1" w:anchor="_Toc42177040">
            <w:r w:rsidRPr="00176A48" w:rsidR="00176A48">
              <w:rPr>
                <w:rStyle w:val="Hyperlink"/>
                <w:noProof/>
                <w:sz w:val="18"/>
                <w:szCs w:val="18"/>
              </w:rPr>
              <w:t xml:space="preserve">6(c) </w:t>
            </w:r>
            <w:r w:rsidRPr="00176A48" w:rsidR="00176A48">
              <w:rPr>
                <w:rFonts w:asciiTheme="minorHAnsi" w:hAnsiTheme="minorHAnsi" w:eastAsiaTheme="minorEastAsia"/>
                <w:noProof/>
                <w:sz w:val="18"/>
                <w:szCs w:val="18"/>
              </w:rPr>
              <w:tab/>
            </w:r>
            <w:r w:rsidRPr="00176A48" w:rsidR="00176A48">
              <w:rPr>
                <w:rStyle w:val="Hyperlink"/>
                <w:noProof/>
                <w:sz w:val="18"/>
                <w:szCs w:val="18"/>
              </w:rPr>
              <w:t>PRA Burden Statement</w:t>
            </w:r>
            <w:r w:rsidRPr="00176A48" w:rsidR="00176A48">
              <w:rPr>
                <w:noProof/>
                <w:webHidden/>
                <w:sz w:val="18"/>
                <w:szCs w:val="18"/>
              </w:rPr>
              <w:tab/>
            </w:r>
            <w:r w:rsidRPr="00176A48" w:rsidR="00176A48">
              <w:rPr>
                <w:noProof/>
                <w:webHidden/>
                <w:sz w:val="18"/>
                <w:szCs w:val="18"/>
              </w:rPr>
              <w:fldChar w:fldCharType="begin"/>
            </w:r>
            <w:r w:rsidRPr="00176A48" w:rsidR="00176A48">
              <w:rPr>
                <w:noProof/>
                <w:webHidden/>
                <w:sz w:val="18"/>
                <w:szCs w:val="18"/>
              </w:rPr>
              <w:instrText xml:space="preserve"> PAGEREF _Toc42177040 \h </w:instrText>
            </w:r>
            <w:r w:rsidRPr="00176A48" w:rsidR="00176A48">
              <w:rPr>
                <w:noProof/>
                <w:webHidden/>
                <w:sz w:val="18"/>
                <w:szCs w:val="18"/>
              </w:rPr>
            </w:r>
            <w:r w:rsidRPr="00176A48" w:rsidR="00176A48">
              <w:rPr>
                <w:noProof/>
                <w:webHidden/>
                <w:sz w:val="18"/>
                <w:szCs w:val="18"/>
              </w:rPr>
              <w:fldChar w:fldCharType="separate"/>
            </w:r>
            <w:r w:rsidRPr="00176A48" w:rsidR="00176A48">
              <w:rPr>
                <w:noProof/>
                <w:webHidden/>
                <w:sz w:val="18"/>
                <w:szCs w:val="18"/>
              </w:rPr>
              <w:t>16</w:t>
            </w:r>
            <w:r w:rsidRPr="00176A48" w:rsidR="00176A48">
              <w:rPr>
                <w:noProof/>
                <w:webHidden/>
                <w:sz w:val="18"/>
                <w:szCs w:val="18"/>
              </w:rPr>
              <w:fldChar w:fldCharType="end"/>
            </w:r>
          </w:hyperlink>
        </w:p>
        <w:p w:rsidRPr="00176A48" w:rsidR="00176A48" w:rsidRDefault="00255C4B" w14:paraId="6666640E" w14:textId="6947BBEE">
          <w:pPr>
            <w:pStyle w:val="TOC1"/>
            <w:rPr>
              <w:rFonts w:asciiTheme="minorHAnsi" w:hAnsiTheme="minorHAnsi" w:eastAsiaTheme="minorEastAsia"/>
              <w:sz w:val="18"/>
              <w:szCs w:val="18"/>
            </w:rPr>
          </w:pPr>
          <w:hyperlink w:history="1" w:anchor="_Toc42177041">
            <w:r w:rsidRPr="00176A48" w:rsidR="00176A48">
              <w:rPr>
                <w:rStyle w:val="Hyperlink"/>
                <w:sz w:val="18"/>
                <w:szCs w:val="18"/>
                <w:lang w:bidi="en-US"/>
              </w:rPr>
              <w:t>7.</w:t>
            </w:r>
            <w:r w:rsidRPr="00176A48" w:rsidR="00176A48">
              <w:rPr>
                <w:rFonts w:asciiTheme="minorHAnsi" w:hAnsiTheme="minorHAnsi" w:eastAsiaTheme="minorEastAsia"/>
                <w:sz w:val="18"/>
                <w:szCs w:val="18"/>
              </w:rPr>
              <w:tab/>
            </w:r>
            <w:r w:rsidRPr="00176A48" w:rsidR="00176A48">
              <w:rPr>
                <w:rStyle w:val="Hyperlink"/>
                <w:sz w:val="18"/>
                <w:szCs w:val="18"/>
                <w:lang w:bidi="en-US"/>
              </w:rPr>
              <w:t>REFERENCES</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_Toc42177041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17</w:t>
            </w:r>
            <w:r w:rsidRPr="00176A48" w:rsidR="00176A48">
              <w:rPr>
                <w:webHidden/>
                <w:sz w:val="18"/>
                <w:szCs w:val="18"/>
              </w:rPr>
              <w:fldChar w:fldCharType="end"/>
            </w:r>
          </w:hyperlink>
        </w:p>
        <w:p w:rsidRPr="00176A48" w:rsidR="00176A48" w:rsidRDefault="00255C4B" w14:paraId="01195D68" w14:textId="068D9DD3">
          <w:pPr>
            <w:pStyle w:val="TOC1"/>
            <w:rPr>
              <w:rFonts w:asciiTheme="minorHAnsi" w:hAnsiTheme="minorHAnsi" w:eastAsiaTheme="minorEastAsia"/>
              <w:sz w:val="18"/>
              <w:szCs w:val="18"/>
            </w:rPr>
          </w:pPr>
          <w:hyperlink w:history="1" w:anchor="_Toc42177042">
            <w:r w:rsidRPr="00176A48" w:rsidR="00176A48">
              <w:rPr>
                <w:rStyle w:val="Hyperlink"/>
                <w:sz w:val="18"/>
                <w:szCs w:val="18"/>
                <w:lang w:bidi="en-US"/>
              </w:rPr>
              <w:t>8.</w:t>
            </w:r>
            <w:r w:rsidRPr="00176A48" w:rsidR="00176A48">
              <w:rPr>
                <w:rFonts w:asciiTheme="minorHAnsi" w:hAnsiTheme="minorHAnsi" w:eastAsiaTheme="minorEastAsia"/>
                <w:sz w:val="18"/>
                <w:szCs w:val="18"/>
              </w:rPr>
              <w:tab/>
            </w:r>
            <w:r w:rsidRPr="00176A48" w:rsidR="00176A48">
              <w:rPr>
                <w:rStyle w:val="Hyperlink"/>
                <w:sz w:val="18"/>
                <w:szCs w:val="18"/>
                <w:lang w:bidi="en-US"/>
              </w:rPr>
              <w:t>APPENDICES</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_Toc42177042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18</w:t>
            </w:r>
            <w:r w:rsidRPr="00176A48" w:rsidR="00176A48">
              <w:rPr>
                <w:webHidden/>
                <w:sz w:val="18"/>
                <w:szCs w:val="18"/>
              </w:rPr>
              <w:fldChar w:fldCharType="end"/>
            </w:r>
          </w:hyperlink>
        </w:p>
        <w:p w:rsidRPr="00176A48" w:rsidR="00176A48" w:rsidRDefault="00255C4B" w14:paraId="45211CF9" w14:textId="208E4EE1">
          <w:pPr>
            <w:pStyle w:val="TOC1"/>
            <w:rPr>
              <w:rFonts w:asciiTheme="minorHAnsi" w:hAnsiTheme="minorHAnsi" w:eastAsiaTheme="minorEastAsia"/>
              <w:sz w:val="18"/>
              <w:szCs w:val="18"/>
            </w:rPr>
          </w:pPr>
          <w:hyperlink w:history="1" w:anchor="_Toc42177043">
            <w:r w:rsidRPr="00176A48" w:rsidR="00176A48">
              <w:rPr>
                <w:rStyle w:val="Hyperlink"/>
                <w:sz w:val="18"/>
                <w:szCs w:val="18"/>
              </w:rPr>
              <w:t>Appendix A. Detailed Derivation of Agency Burden and Cost</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_Toc42177043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19</w:t>
            </w:r>
            <w:r w:rsidRPr="00176A48" w:rsidR="00176A48">
              <w:rPr>
                <w:webHidden/>
                <w:sz w:val="18"/>
                <w:szCs w:val="18"/>
              </w:rPr>
              <w:fldChar w:fldCharType="end"/>
            </w:r>
          </w:hyperlink>
        </w:p>
        <w:p w:rsidRPr="00176A48" w:rsidR="00176A48" w:rsidRDefault="00255C4B" w14:paraId="22614D28" w14:textId="477319A8">
          <w:pPr>
            <w:pStyle w:val="TOC1"/>
            <w:rPr>
              <w:rFonts w:asciiTheme="minorHAnsi" w:hAnsiTheme="minorHAnsi" w:eastAsiaTheme="minorEastAsia"/>
              <w:sz w:val="18"/>
              <w:szCs w:val="18"/>
            </w:rPr>
          </w:pPr>
          <w:hyperlink w:history="1" w:anchor="_Toc42177044">
            <w:r w:rsidRPr="00176A48" w:rsidR="00176A48">
              <w:rPr>
                <w:rStyle w:val="Hyperlink"/>
                <w:sz w:val="18"/>
                <w:szCs w:val="18"/>
              </w:rPr>
              <w:t>Appendix B. Estimating Respondent Cost</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_Toc42177044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22</w:t>
            </w:r>
            <w:r w:rsidRPr="00176A48" w:rsidR="00176A48">
              <w:rPr>
                <w:webHidden/>
                <w:sz w:val="18"/>
                <w:szCs w:val="18"/>
              </w:rPr>
              <w:fldChar w:fldCharType="end"/>
            </w:r>
          </w:hyperlink>
        </w:p>
        <w:p w:rsidRPr="00176A48" w:rsidR="00176A48" w:rsidRDefault="00255C4B" w14:paraId="09D9CE87" w14:textId="540735B2">
          <w:pPr>
            <w:pStyle w:val="TOC1"/>
            <w:rPr>
              <w:rFonts w:asciiTheme="minorHAnsi" w:hAnsiTheme="minorHAnsi" w:eastAsiaTheme="minorEastAsia"/>
              <w:sz w:val="18"/>
              <w:szCs w:val="18"/>
            </w:rPr>
          </w:pPr>
          <w:hyperlink w:history="1" w:anchor="_Toc42177045">
            <w:r w:rsidRPr="00176A48" w:rsidR="00176A48">
              <w:rPr>
                <w:rStyle w:val="Hyperlink"/>
                <w:sz w:val="18"/>
                <w:szCs w:val="18"/>
              </w:rPr>
              <w:t>Appendix C. Detailed Response to Comments</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_Toc42177045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23</w:t>
            </w:r>
            <w:r w:rsidRPr="00176A48" w:rsidR="00176A48">
              <w:rPr>
                <w:webHidden/>
                <w:sz w:val="18"/>
                <w:szCs w:val="18"/>
              </w:rPr>
              <w:fldChar w:fldCharType="end"/>
            </w:r>
          </w:hyperlink>
        </w:p>
        <w:p w:rsidRPr="00176A48" w:rsidR="00176A48" w:rsidRDefault="00255C4B" w14:paraId="03D4C01A" w14:textId="4889326E">
          <w:pPr>
            <w:pStyle w:val="TOC1"/>
            <w:rPr>
              <w:rFonts w:asciiTheme="minorHAnsi" w:hAnsiTheme="minorHAnsi" w:eastAsiaTheme="minorEastAsia"/>
              <w:sz w:val="18"/>
              <w:szCs w:val="18"/>
            </w:rPr>
          </w:pPr>
          <w:hyperlink w:history="1" w:anchor="_Toc42177046">
            <w:r w:rsidRPr="00176A48" w:rsidR="00176A48">
              <w:rPr>
                <w:rStyle w:val="Hyperlink"/>
                <w:sz w:val="18"/>
                <w:szCs w:val="18"/>
              </w:rPr>
              <w:t>Appendix D. Excerpts from the 2020 CDR Instructions for Reporting</w:t>
            </w:r>
            <w:r w:rsidRPr="00176A48" w:rsidR="00176A48">
              <w:rPr>
                <w:webHidden/>
                <w:sz w:val="18"/>
                <w:szCs w:val="18"/>
              </w:rPr>
              <w:tab/>
            </w:r>
            <w:r w:rsidRPr="00176A48" w:rsidR="00176A48">
              <w:rPr>
                <w:webHidden/>
                <w:sz w:val="18"/>
                <w:szCs w:val="18"/>
              </w:rPr>
              <w:fldChar w:fldCharType="begin"/>
            </w:r>
            <w:r w:rsidRPr="00176A48" w:rsidR="00176A48">
              <w:rPr>
                <w:webHidden/>
                <w:sz w:val="18"/>
                <w:szCs w:val="18"/>
              </w:rPr>
              <w:instrText xml:space="preserve"> PAGEREF _Toc42177046 \h </w:instrText>
            </w:r>
            <w:r w:rsidRPr="00176A48" w:rsidR="00176A48">
              <w:rPr>
                <w:webHidden/>
                <w:sz w:val="18"/>
                <w:szCs w:val="18"/>
              </w:rPr>
            </w:r>
            <w:r w:rsidRPr="00176A48" w:rsidR="00176A48">
              <w:rPr>
                <w:webHidden/>
                <w:sz w:val="18"/>
                <w:szCs w:val="18"/>
              </w:rPr>
              <w:fldChar w:fldCharType="separate"/>
            </w:r>
            <w:r w:rsidRPr="00176A48" w:rsidR="00176A48">
              <w:rPr>
                <w:webHidden/>
                <w:sz w:val="18"/>
                <w:szCs w:val="18"/>
              </w:rPr>
              <w:t>29</w:t>
            </w:r>
            <w:r w:rsidRPr="00176A48" w:rsidR="00176A48">
              <w:rPr>
                <w:webHidden/>
                <w:sz w:val="18"/>
                <w:szCs w:val="18"/>
              </w:rPr>
              <w:fldChar w:fldCharType="end"/>
            </w:r>
          </w:hyperlink>
        </w:p>
        <w:p w:rsidRPr="00176A48" w:rsidR="00176A48" w:rsidP="00176A48" w:rsidRDefault="00942996" w14:paraId="1905466F" w14:textId="753FFAE4">
          <w:pPr>
            <w:rPr>
              <w:rFonts w:cs="Arial"/>
              <w:sz w:val="20"/>
              <w:szCs w:val="20"/>
            </w:rPr>
          </w:pPr>
          <w:r w:rsidRPr="00176A48">
            <w:rPr>
              <w:rFonts w:cs="Arial"/>
              <w:b/>
              <w:sz w:val="18"/>
              <w:szCs w:val="18"/>
            </w:rPr>
            <w:fldChar w:fldCharType="end"/>
          </w:r>
        </w:p>
      </w:sdtContent>
    </w:sdt>
    <w:p w:rsidRPr="00025CEE" w:rsidR="002B34A0" w:rsidP="002C395B" w:rsidRDefault="005B4F77" w14:paraId="0D7B3D66" w14:textId="77777777">
      <w:pPr>
        <w:pStyle w:val="Heading1"/>
        <w:numPr>
          <w:ilvl w:val="0"/>
          <w:numId w:val="3"/>
        </w:numPr>
        <w:rPr>
          <w:lang w:bidi="en-US"/>
        </w:rPr>
      </w:pPr>
      <w:bookmarkStart w:name="_Toc42177009" w:id="0"/>
      <w:r w:rsidRPr="00025CEE">
        <w:rPr>
          <w:lang w:bidi="en-US"/>
        </w:rPr>
        <w:lastRenderedPageBreak/>
        <w:t>EXECUTIVE SUMMARY</w:t>
      </w:r>
      <w:bookmarkStart w:name="_GoBack" w:id="1"/>
      <w:bookmarkEnd w:id="0"/>
      <w:bookmarkEnd w:id="1"/>
    </w:p>
    <w:p w:rsidRPr="00025CEE" w:rsidR="002B34A0" w:rsidP="002C395B" w:rsidRDefault="005B4F77" w14:paraId="4BEF2561" w14:textId="77777777">
      <w:pPr>
        <w:pStyle w:val="Heading2"/>
        <w:numPr>
          <w:ilvl w:val="1"/>
          <w:numId w:val="3"/>
        </w:numPr>
        <w:tabs>
          <w:tab w:val="left" w:pos="1080"/>
        </w:tabs>
        <w:rPr>
          <w:lang w:bidi="en-US"/>
        </w:rPr>
      </w:pPr>
      <w:bookmarkStart w:name="_Toc42177010" w:id="2"/>
      <w:r w:rsidRPr="00025CEE">
        <w:rPr>
          <w:lang w:bidi="en-US"/>
        </w:rPr>
        <w:t xml:space="preserve">Identification of the </w:t>
      </w:r>
      <w:r w:rsidRPr="00025CEE" w:rsidR="002B34A0">
        <w:rPr>
          <w:lang w:bidi="en-US"/>
        </w:rPr>
        <w:t>Information Collection – Title and Numbers</w:t>
      </w:r>
      <w:bookmarkEnd w:id="2"/>
      <w:r w:rsidRPr="00025CEE" w:rsidR="002B34A0">
        <w:rPr>
          <w:lang w:bidi="en-US"/>
        </w:rPr>
        <w:t xml:space="preserve"> </w:t>
      </w:r>
    </w:p>
    <w:p w:rsidR="00DC1437" w:rsidP="00DC1437" w:rsidRDefault="00025CEE" w14:paraId="2254E408" w14:textId="196B3906">
      <w:pPr>
        <w:ind w:left="720"/>
        <w:rPr>
          <w:rFonts w:eastAsia="Times New Roman" w:cs="Times New Roman"/>
        </w:rPr>
      </w:pPr>
      <w:r w:rsidRPr="00025CEE">
        <w:rPr>
          <w:b/>
          <w:lang w:bidi="en-US"/>
        </w:rPr>
        <w:t xml:space="preserve">Title: </w:t>
      </w:r>
      <w:r w:rsidRPr="003679F9" w:rsidR="003679F9">
        <w:rPr>
          <w:rFonts w:eastAsia="Times New Roman" w:cs="Times New Roman"/>
        </w:rPr>
        <w:t>Partial Update of the TSCA Section 8(</w:t>
      </w:r>
      <w:r w:rsidR="00795716">
        <w:rPr>
          <w:rFonts w:eastAsia="Times New Roman" w:cs="Times New Roman"/>
        </w:rPr>
        <w:t>a</w:t>
      </w:r>
      <w:r w:rsidRPr="003679F9" w:rsidR="003679F9">
        <w:rPr>
          <w:rFonts w:eastAsia="Times New Roman" w:cs="Times New Roman"/>
        </w:rPr>
        <w:t>) Inventory Data Base, Production and Site Reports (Chemical Data Reporting)</w:t>
      </w:r>
    </w:p>
    <w:p w:rsidR="002A0BEE" w:rsidP="00DC1437" w:rsidRDefault="007E3DA7" w14:paraId="4F3998E0" w14:textId="7422A887">
      <w:pPr>
        <w:ind w:left="990" w:hanging="270"/>
        <w:rPr>
          <w:rFonts w:eastAsia="Times New Roman" w:cs="Times New Roman"/>
          <w:bCs/>
        </w:rPr>
      </w:pPr>
      <w:r w:rsidRPr="003679F9">
        <w:rPr>
          <w:b/>
          <w:lang w:bidi="en-US"/>
        </w:rPr>
        <w:t xml:space="preserve">ICR </w:t>
      </w:r>
      <w:r w:rsidRPr="003679F9" w:rsidR="00C54579">
        <w:rPr>
          <w:b/>
          <w:lang w:bidi="en-US"/>
        </w:rPr>
        <w:t>Number</w:t>
      </w:r>
      <w:r w:rsidRPr="003679F9">
        <w:rPr>
          <w:b/>
          <w:lang w:bidi="en-US"/>
        </w:rPr>
        <w:t>s</w:t>
      </w:r>
      <w:r w:rsidRPr="003679F9" w:rsidR="00C54579">
        <w:rPr>
          <w:b/>
          <w:lang w:bidi="en-US"/>
        </w:rPr>
        <w:t>:</w:t>
      </w:r>
      <w:r w:rsidRPr="003679F9" w:rsidR="00C54579">
        <w:rPr>
          <w:lang w:bidi="en-US"/>
        </w:rPr>
        <w:t xml:space="preserve"> </w:t>
      </w:r>
      <w:r w:rsidRPr="003679F9" w:rsidR="003679F9">
        <w:rPr>
          <w:rFonts w:eastAsia="Times New Roman" w:cs="Times New Roman"/>
          <w:bCs/>
        </w:rPr>
        <w:t>EPA ICR No.: 1884.</w:t>
      </w:r>
      <w:r w:rsidRPr="003679F9" w:rsidR="001B009E">
        <w:rPr>
          <w:rFonts w:eastAsia="Times New Roman" w:cs="Times New Roman"/>
          <w:bCs/>
        </w:rPr>
        <w:t>1</w:t>
      </w:r>
      <w:r w:rsidR="00B80EA2">
        <w:rPr>
          <w:rFonts w:eastAsia="Times New Roman" w:cs="Times New Roman"/>
          <w:bCs/>
        </w:rPr>
        <w:t>3</w:t>
      </w:r>
      <w:r w:rsidRPr="003679F9" w:rsidR="003679F9">
        <w:rPr>
          <w:rFonts w:eastAsia="Times New Roman" w:cs="Times New Roman"/>
        </w:rPr>
        <w:tab/>
      </w:r>
      <w:r w:rsidRPr="003679F9" w:rsidR="003679F9">
        <w:rPr>
          <w:rFonts w:eastAsia="Times New Roman" w:cs="Times New Roman"/>
          <w:bCs/>
        </w:rPr>
        <w:t>OMB Control No.: 2070-0162</w:t>
      </w:r>
    </w:p>
    <w:p w:rsidR="00735A14" w:rsidP="00BD4AF1" w:rsidRDefault="004124F7" w14:paraId="6FAA96D9" w14:textId="729B1E3F">
      <w:pPr>
        <w:pStyle w:val="NoSpacing"/>
        <w:spacing w:after="200"/>
        <w:ind w:left="720"/>
      </w:pPr>
      <w:r w:rsidRPr="00025CEE">
        <w:rPr>
          <w:b/>
          <w:lang w:bidi="en-US"/>
        </w:rPr>
        <w:t xml:space="preserve">EPA </w:t>
      </w:r>
      <w:r w:rsidRPr="00025CEE" w:rsidR="007E3DA7">
        <w:rPr>
          <w:b/>
          <w:lang w:bidi="en-US"/>
        </w:rPr>
        <w:t>Form N</w:t>
      </w:r>
      <w:r w:rsidRPr="00025CEE" w:rsidR="00A84026">
        <w:rPr>
          <w:b/>
          <w:lang w:bidi="en-US"/>
        </w:rPr>
        <w:t>umber</w:t>
      </w:r>
      <w:r w:rsidRPr="00025CEE" w:rsidR="007E3DA7">
        <w:rPr>
          <w:b/>
          <w:lang w:bidi="en-US"/>
        </w:rPr>
        <w:t>s:</w:t>
      </w:r>
      <w:r w:rsidRPr="00025CEE" w:rsidR="007E3DA7">
        <w:rPr>
          <w:lang w:bidi="en-US"/>
        </w:rPr>
        <w:t xml:space="preserve"> </w:t>
      </w:r>
      <w:r w:rsidRPr="00025CEE" w:rsidR="008E6C60">
        <w:t xml:space="preserve"> </w:t>
      </w:r>
      <w:r w:rsidR="003C459C">
        <w:t>EPA Form U</w:t>
      </w:r>
      <w:r w:rsidRPr="00025CEE" w:rsidR="00025CEE">
        <w:t xml:space="preserve"> EPA</w:t>
      </w:r>
      <w:r w:rsidR="003C459C">
        <w:t xml:space="preserve"> 7740-8</w:t>
      </w:r>
    </w:p>
    <w:p w:rsidRPr="00025CEE" w:rsidR="005B4F77" w:rsidP="00DC1437" w:rsidRDefault="005B4F77" w14:paraId="7E69FBFD" w14:textId="11E9CDA2">
      <w:pPr>
        <w:pStyle w:val="NoSpacing"/>
        <w:rPr>
          <w:rFonts w:cs="Arial"/>
          <w:bCs/>
        </w:rPr>
      </w:pPr>
      <w:r w:rsidRPr="00025CEE">
        <w:rPr>
          <w:lang w:bidi="en-US"/>
        </w:rPr>
        <w:tab/>
      </w:r>
      <w:r w:rsidRPr="00025CEE">
        <w:rPr>
          <w:b/>
          <w:lang w:bidi="en-US"/>
        </w:rPr>
        <w:t>Docket ID Number:</w:t>
      </w:r>
      <w:r w:rsidRPr="00025CEE">
        <w:rPr>
          <w:lang w:bidi="en-US"/>
        </w:rPr>
        <w:t xml:space="preserve"> </w:t>
      </w:r>
      <w:r w:rsidRPr="00FD6177" w:rsidR="003C459C">
        <w:t>EPA-HQ-OPPT-201</w:t>
      </w:r>
      <w:r w:rsidRPr="00FD6177" w:rsidR="001B0660">
        <w:t>3</w:t>
      </w:r>
      <w:r w:rsidRPr="00FD6177" w:rsidR="003C459C">
        <w:t>-</w:t>
      </w:r>
      <w:r w:rsidRPr="00FD6177" w:rsidR="001B0660">
        <w:t>0721</w:t>
      </w:r>
    </w:p>
    <w:p w:rsidRPr="00025CEE" w:rsidR="005B4F77" w:rsidP="005B4F77" w:rsidRDefault="005B4F77" w14:paraId="42F50E2C" w14:textId="77777777">
      <w:pPr>
        <w:pStyle w:val="NoSpacing"/>
        <w:rPr>
          <w:lang w:bidi="en-US"/>
        </w:rPr>
      </w:pPr>
    </w:p>
    <w:p w:rsidRPr="00025CEE" w:rsidR="0098584B" w:rsidP="0098584B" w:rsidRDefault="005B4F77" w14:paraId="4E2D922A" w14:textId="77777777">
      <w:pPr>
        <w:pStyle w:val="Heading2"/>
        <w:numPr>
          <w:ilvl w:val="1"/>
          <w:numId w:val="3"/>
        </w:numPr>
        <w:tabs>
          <w:tab w:val="left" w:pos="1080"/>
        </w:tabs>
      </w:pPr>
      <w:bookmarkStart w:name="_Toc42177011" w:id="3"/>
      <w:r w:rsidRPr="00025CEE">
        <w:t>Docket Information</w:t>
      </w:r>
      <w:bookmarkEnd w:id="3"/>
    </w:p>
    <w:p w:rsidRPr="0072395E" w:rsidR="0072395E" w:rsidP="00F62DC3" w:rsidRDefault="00003EFE" w14:paraId="20877BA5" w14:textId="089F2A22">
      <w:r w:rsidRPr="00025CEE">
        <w:t>The information collection request (ICR) that explains the information collection activities and related burden and cost estimates, as well as other supporting documents</w:t>
      </w:r>
      <w:r w:rsidRPr="00025CEE" w:rsidR="00C76F17">
        <w:t xml:space="preserve"> related to the ICR</w:t>
      </w:r>
      <w:r w:rsidRPr="00025CEE">
        <w:t xml:space="preserve">, are available in the docket </w:t>
      </w:r>
      <w:r w:rsidRPr="00025CEE" w:rsidR="00C76F17">
        <w:t xml:space="preserve">established </w:t>
      </w:r>
      <w:r w:rsidRPr="00025CEE">
        <w:t xml:space="preserve">for this ICR. The docket can be viewed online at </w:t>
      </w:r>
      <w:r w:rsidRPr="0072395E">
        <w:rPr>
          <w:i/>
          <w:iCs/>
          <w:color w:val="0070C0"/>
        </w:rPr>
        <w:t>http://www.regulations.gov</w:t>
      </w:r>
      <w:r w:rsidRPr="00025CEE">
        <w:t xml:space="preserve"> or in person at the EPA Docket Center, West William Jefferson Clinton Bldg., Rm. 3334, 1301 Constitution Ave., NW., Washington, DC. The telephone number for the Docket Center is (202) 566-1744. For additional information about EPA’s public docket, visit </w:t>
      </w:r>
      <w:hyperlink w:history="1" r:id="rId12">
        <w:r w:rsidRPr="0072395E" w:rsidR="005B4F77">
          <w:rPr>
            <w:rStyle w:val="Hyperlink"/>
            <w:i/>
            <w:iCs/>
            <w:color w:val="0070C0"/>
            <w:u w:val="none"/>
          </w:rPr>
          <w:t>http://www.epa.gov/dockets</w:t>
        </w:r>
      </w:hyperlink>
      <w:r w:rsidRPr="00025CEE">
        <w:t>.</w:t>
      </w:r>
    </w:p>
    <w:p w:rsidRPr="00614C2F" w:rsidR="005B4F77" w:rsidP="005B4F77" w:rsidRDefault="005B4F77" w14:paraId="0D39F6B5" w14:textId="77777777">
      <w:pPr>
        <w:pStyle w:val="Heading2"/>
        <w:numPr>
          <w:ilvl w:val="1"/>
          <w:numId w:val="3"/>
        </w:numPr>
        <w:tabs>
          <w:tab w:val="left" w:pos="1080"/>
        </w:tabs>
      </w:pPr>
      <w:bookmarkStart w:name="_Toc42177012" w:id="4"/>
      <w:r w:rsidRPr="00614C2F">
        <w:t>ICR Status</w:t>
      </w:r>
      <w:bookmarkEnd w:id="4"/>
      <w:r w:rsidRPr="00614C2F">
        <w:t xml:space="preserve"> </w:t>
      </w:r>
    </w:p>
    <w:p w:rsidRPr="00614C2F" w:rsidR="00003EFE" w:rsidP="00F62DC3" w:rsidRDefault="00003EFE" w14:paraId="03BA2FE3" w14:textId="77777777">
      <w:r w:rsidRPr="00614C2F">
        <w:t xml:space="preserve">Under </w:t>
      </w:r>
      <w:r w:rsidRPr="00614C2F" w:rsidR="003C30C1">
        <w:t>the Paperwork Reduction Act (</w:t>
      </w:r>
      <w:r w:rsidRPr="00614C2F">
        <w:t>PRA</w:t>
      </w:r>
      <w:r w:rsidRPr="00614C2F" w:rsidR="003C30C1">
        <w:t>)</w:t>
      </w:r>
      <w:r w:rsidRPr="00614C2F">
        <w:t>, 44 U.S.C. 3501 et seq., an agency may not conduct or sponsor, and a person is not required to respond to, a collection of information, unless it displays a currently valid control number</w:t>
      </w:r>
      <w:r w:rsidRPr="00614C2F" w:rsidR="003C30C1">
        <w:t xml:space="preserve"> issued by the Office of Management and Budget (OMB)</w:t>
      </w:r>
      <w:r w:rsidRPr="00614C2F">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rsidRPr="00614C2F" w:rsidR="00C87678" w:rsidP="00F62DC3" w:rsidRDefault="00C87678" w14:paraId="6AB61839" w14:textId="501C23D9">
      <w:pPr>
        <w:pStyle w:val="NoSpacing"/>
        <w:spacing w:after="200"/>
      </w:pPr>
      <w:r w:rsidRPr="00614C2F">
        <w:t xml:space="preserve">This </w:t>
      </w:r>
      <w:r w:rsidRPr="00614C2F" w:rsidR="00614C2F">
        <w:t>is a</w:t>
      </w:r>
      <w:r w:rsidR="00860228">
        <w:t xml:space="preserve">n addendum to </w:t>
      </w:r>
      <w:r w:rsidRPr="00614C2F" w:rsidR="00614C2F">
        <w:t xml:space="preserve">an existing ICR </w:t>
      </w:r>
      <w:r w:rsidR="001B0660">
        <w:t>(</w:t>
      </w:r>
      <w:r w:rsidRPr="00614C2F" w:rsidR="00614C2F">
        <w:t xml:space="preserve">EPA ICR No. </w:t>
      </w:r>
      <w:r w:rsidRPr="00966B70" w:rsidR="00860228">
        <w:t>1884.</w:t>
      </w:r>
      <w:r w:rsidR="00860228">
        <w:t>1</w:t>
      </w:r>
      <w:r w:rsidR="0072395E">
        <w:t>2</w:t>
      </w:r>
      <w:r w:rsidRPr="00614C2F" w:rsidR="00614C2F">
        <w:t xml:space="preserve">; OMB Control No. </w:t>
      </w:r>
      <w:r w:rsidRPr="006C0719" w:rsidR="00860228">
        <w:rPr>
          <w:rFonts w:eastAsia="Times New Roman" w:cs="Times New Roman"/>
        </w:rPr>
        <w:t>2070-0162</w:t>
      </w:r>
      <w:r w:rsidRPr="00614C2F" w:rsidR="00614C2F">
        <w:t>; entitled “</w:t>
      </w:r>
      <w:r w:rsidRPr="006B5FC6" w:rsidR="00860228">
        <w:rPr>
          <w:i/>
        </w:rPr>
        <w:t xml:space="preserve">[Information Collection Request for] </w:t>
      </w:r>
      <w:bookmarkStart w:name="_Hlk527459088" w:id="5"/>
      <w:r w:rsidRPr="00FC1700" w:rsidR="00860228">
        <w:rPr>
          <w:rFonts w:eastAsia="Times New Roman" w:cs="Times New Roman"/>
        </w:rPr>
        <w:t>Chemical Data Reporting under the Toxic Substances Control Act (TSCA section 8(a))</w:t>
      </w:r>
      <w:bookmarkEnd w:id="5"/>
      <w:r w:rsidR="00860228">
        <w:rPr>
          <w:rFonts w:eastAsia="Times New Roman" w:cs="Times New Roman"/>
          <w:i/>
        </w:rPr>
        <w:t>”</w:t>
      </w:r>
      <w:r w:rsidRPr="00614C2F" w:rsidR="00614C2F">
        <w:t xml:space="preserve">; approved through </w:t>
      </w:r>
      <w:r w:rsidR="0072395E">
        <w:t xml:space="preserve">June </w:t>
      </w:r>
      <w:r w:rsidR="0026385E">
        <w:t>30</w:t>
      </w:r>
      <w:r w:rsidRPr="00BE4EF3" w:rsidR="00614C2F">
        <w:t xml:space="preserve">, </w:t>
      </w:r>
      <w:r w:rsidRPr="00BE4EF3" w:rsidR="00BE4EF3">
        <w:t>202</w:t>
      </w:r>
      <w:r w:rsidR="0072395E">
        <w:t>3</w:t>
      </w:r>
      <w:r w:rsidR="001B0660">
        <w:t>)</w:t>
      </w:r>
      <w:r w:rsidR="005D3A19">
        <w:t>.</w:t>
      </w:r>
      <w:r w:rsidR="001B0660">
        <w:t xml:space="preserve"> This addendum is located in docket </w:t>
      </w:r>
      <w:r w:rsidRPr="00FD6177" w:rsidR="001B0660">
        <w:t>number EPA-HQ-OPPT-2018-0321</w:t>
      </w:r>
      <w:r w:rsidR="001B0660">
        <w:t>.</w:t>
      </w:r>
      <w:r w:rsidRPr="00614C2F">
        <w:t xml:space="preserve"> </w:t>
      </w:r>
    </w:p>
    <w:p w:rsidRPr="00C87480" w:rsidR="005B4F77" w:rsidP="005B4F77" w:rsidRDefault="005B4F77" w14:paraId="3970DCA2" w14:textId="77777777">
      <w:pPr>
        <w:pStyle w:val="Heading2"/>
        <w:numPr>
          <w:ilvl w:val="1"/>
          <w:numId w:val="3"/>
        </w:numPr>
        <w:tabs>
          <w:tab w:val="left" w:pos="1080"/>
        </w:tabs>
      </w:pPr>
      <w:bookmarkStart w:name="_Toc42177013" w:id="6"/>
      <w:r w:rsidRPr="00C87480">
        <w:t>Abstract</w:t>
      </w:r>
      <w:bookmarkEnd w:id="6"/>
    </w:p>
    <w:p w:rsidR="00752A62" w:rsidP="00F62DC3" w:rsidRDefault="00752A62" w14:paraId="5DF0FBB1" w14:textId="7CFA64D5">
      <w:pPr>
        <w:pStyle w:val="BodyText"/>
        <w:spacing w:after="200"/>
      </w:pPr>
      <w:r w:rsidRPr="009533EA">
        <w:t>Th</w:t>
      </w:r>
      <w:r>
        <w:t xml:space="preserve">is ICR addendum </w:t>
      </w:r>
      <w:r w:rsidRPr="009533EA">
        <w:t xml:space="preserve">addresses the paperwork requirements </w:t>
      </w:r>
      <w:r>
        <w:t>in a final rule (RIN 2070-AK</w:t>
      </w:r>
      <w:r w:rsidR="00497DF7">
        <w:t>57</w:t>
      </w:r>
      <w:r>
        <w:t xml:space="preserve">) that amends the information collection activities of the </w:t>
      </w:r>
      <w:r w:rsidRPr="009533EA">
        <w:t xml:space="preserve">CDR </w:t>
      </w:r>
      <w:r>
        <w:t xml:space="preserve">program </w:t>
      </w:r>
      <w:r w:rsidRPr="009533EA">
        <w:t>(40 CFR Part 71</w:t>
      </w:r>
      <w:r>
        <w:t>1</w:t>
      </w:r>
      <w:r w:rsidRPr="009533EA">
        <w:t xml:space="preserve">). </w:t>
      </w:r>
      <w:r>
        <w:t>An</w:t>
      </w:r>
      <w:r w:rsidRPr="00C3255F">
        <w:t xml:space="preserve"> economic analys</w:t>
      </w:r>
      <w:r>
        <w:t>is</w:t>
      </w:r>
      <w:r w:rsidRPr="00C3255F">
        <w:t xml:space="preserve"> (EA) provide</w:t>
      </w:r>
      <w:r>
        <w:t>s</w:t>
      </w:r>
      <w:r w:rsidRPr="00C3255F">
        <w:t xml:space="preserve"> estimations of the </w:t>
      </w:r>
      <w:r>
        <w:t xml:space="preserve">burden and </w:t>
      </w:r>
      <w:r w:rsidRPr="002D46A7">
        <w:t xml:space="preserve">costs associated with the </w:t>
      </w:r>
      <w:r>
        <w:t>final</w:t>
      </w:r>
      <w:r w:rsidRPr="002D46A7">
        <w:t xml:space="preserve"> </w:t>
      </w:r>
      <w:r>
        <w:t xml:space="preserve">changes to </w:t>
      </w:r>
      <w:r w:rsidR="00F96D76">
        <w:t>the TSCA Section 8(a) Small Manufacturer Definition (SMD)</w:t>
      </w:r>
      <w:r w:rsidR="000B457C">
        <w:t>/size standards</w:t>
      </w:r>
      <w:r w:rsidRPr="002D46A7">
        <w:t>.</w:t>
      </w:r>
      <w:r>
        <w:t xml:space="preserve"> </w:t>
      </w:r>
    </w:p>
    <w:p w:rsidR="001430EB" w:rsidP="00F62DC3" w:rsidRDefault="001430EB" w14:paraId="1EC6DF47" w14:textId="6B0BAE84">
      <w:pPr>
        <w:pStyle w:val="BodyText"/>
        <w:spacing w:after="200"/>
      </w:pPr>
      <w:r w:rsidRPr="009533EA">
        <w:t>The CDR data collection provides chemical manufacture, processing, and use information that helps EPA identify what chemicals</w:t>
      </w:r>
      <w:r w:rsidR="008179EF">
        <w:t xml:space="preserve">, </w:t>
      </w:r>
      <w:r w:rsidR="006C3584">
        <w:t>from those</w:t>
      </w:r>
      <w:r w:rsidR="00AD169E">
        <w:t xml:space="preserve"> </w:t>
      </w:r>
      <w:r w:rsidR="008179EF">
        <w:t>listed on the TSCA Inventory</w:t>
      </w:r>
      <w:r w:rsidRPr="00221DA7" w:rsidR="008179EF">
        <w:rPr>
          <w:rStyle w:val="FootnoteReference"/>
          <w:vertAlign w:val="superscript"/>
        </w:rPr>
        <w:footnoteReference w:id="2"/>
      </w:r>
      <w:r w:rsidR="008179EF">
        <w:t>,</w:t>
      </w:r>
      <w:r w:rsidRPr="009533EA">
        <w:t xml:space="preserve"> the public may </w:t>
      </w:r>
      <w:r w:rsidRPr="009533EA">
        <w:lastRenderedPageBreak/>
        <w:t>be exposed to as consumers or in commercial and industrial settings</w:t>
      </w:r>
      <w:r>
        <w:t>. The data also help EPA</w:t>
      </w:r>
      <w:r w:rsidRPr="009533EA">
        <w:t xml:space="preserve"> assess routes of potential exposure to those chemicals</w:t>
      </w:r>
      <w:r>
        <w:t>.</w:t>
      </w:r>
    </w:p>
    <w:p w:rsidR="00752A62" w:rsidP="00F62DC3" w:rsidRDefault="00752A62" w14:paraId="00F4A120" w14:textId="4A35857B">
      <w:pPr>
        <w:pStyle w:val="BodyText"/>
        <w:spacing w:after="200"/>
      </w:pPr>
      <w:r>
        <w:t>EPA</w:t>
      </w:r>
      <w:r w:rsidRPr="009533EA">
        <w:t xml:space="preserve"> </w:t>
      </w:r>
      <w:r w:rsidR="00327C07">
        <w:t xml:space="preserve">has </w:t>
      </w:r>
      <w:r w:rsidRPr="009533EA">
        <w:t xml:space="preserve">used the CDR rule to collect basic manufacturing information for selected chemical substances on the TSCA Inventory eight times beginning in 1986. More recent collections, beginning in 2006, included additional information relating to the manufacture, processing, and use of those chemical substances. The CDR data collection is on a four-year reporting cycle and contains </w:t>
      </w:r>
      <w:r>
        <w:t xml:space="preserve">detailed manufacturing and processing </w:t>
      </w:r>
      <w:r w:rsidRPr="009533EA">
        <w:t>information drawn from the principal reporting year</w:t>
      </w:r>
      <w:r>
        <w:t>; the rule</w:t>
      </w:r>
      <w:r w:rsidRPr="009533EA">
        <w:t xml:space="preserve"> also contains </w:t>
      </w:r>
      <w:r>
        <w:t>basic</w:t>
      </w:r>
      <w:r w:rsidRPr="009533EA">
        <w:t xml:space="preserve"> information</w:t>
      </w:r>
      <w:r>
        <w:t xml:space="preserve"> on production volume</w:t>
      </w:r>
      <w:r w:rsidRPr="009533EA">
        <w:t>, by year, f</w:t>
      </w:r>
      <w:r>
        <w:t>or</w:t>
      </w:r>
      <w:r w:rsidRPr="009533EA">
        <w:t xml:space="preserve"> the three years prior to the principal reporting year. </w:t>
      </w:r>
      <w:r>
        <w:t xml:space="preserve">For example, for the 2020 reporting cycle, the principal reporting year </w:t>
      </w:r>
      <w:r w:rsidR="00A31915">
        <w:t>is</w:t>
      </w:r>
      <w:r>
        <w:t xml:space="preserve"> 2019; the three years prior </w:t>
      </w:r>
      <w:r w:rsidR="00A31915">
        <w:t>are</w:t>
      </w:r>
      <w:r>
        <w:t xml:space="preserve"> 2016, 2017 and 2018.</w:t>
      </w:r>
      <w:r w:rsidRPr="009533EA">
        <w:t xml:space="preserve">      </w:t>
      </w:r>
    </w:p>
    <w:p w:rsidR="00125ED2" w:rsidP="00F62DC3" w:rsidRDefault="00F06837" w14:paraId="012D5410" w14:textId="1034C482">
      <w:pPr>
        <w:pStyle w:val="BodyText"/>
        <w:spacing w:after="200"/>
      </w:pPr>
      <w:r>
        <w:t xml:space="preserve">As finalized, the 2020 and future CDR submissions include an updated definition of </w:t>
      </w:r>
      <w:r w:rsidRPr="002536A4" w:rsidR="00692379">
        <w:t>small manufacturers</w:t>
      </w:r>
      <w:r w:rsidR="00692379">
        <w:t>, including a new definition for small governments</w:t>
      </w:r>
      <w:r>
        <w:t>. Note that these definitions apply to all rulemakings promulgated under section 8(a) of the Toxic Substances Control Act (TSCA), including CDR.</w:t>
      </w:r>
      <w:r w:rsidR="00147646">
        <w:t xml:space="preserve"> </w:t>
      </w:r>
    </w:p>
    <w:p w:rsidR="00692379" w:rsidP="00F62DC3" w:rsidRDefault="00E97505" w14:paraId="2C713C73" w14:textId="23D1A1DB">
      <w:pPr>
        <w:pStyle w:val="BodyText"/>
        <w:spacing w:after="200"/>
      </w:pPr>
      <w:r w:rsidRPr="00E97505">
        <w:t xml:space="preserve">In addition to </w:t>
      </w:r>
      <w:r>
        <w:t>CDR</w:t>
      </w:r>
      <w:r w:rsidRPr="00E97505">
        <w:t>, there</w:t>
      </w:r>
      <w:r w:rsidR="00CC1E69">
        <w:t xml:space="preserve"> are</w:t>
      </w:r>
      <w:r w:rsidRPr="00E97505">
        <w:t xml:space="preserve"> </w:t>
      </w:r>
      <w:r>
        <w:t>f</w:t>
      </w:r>
      <w:r w:rsidRPr="00E97505">
        <w:t xml:space="preserve">ive </w:t>
      </w:r>
      <w:r>
        <w:t>chemical-spe</w:t>
      </w:r>
      <w:r w:rsidR="005616A1">
        <w:t xml:space="preserve">cific </w:t>
      </w:r>
      <w:r w:rsidRPr="00E97505">
        <w:t>rules</w:t>
      </w:r>
      <w:r w:rsidR="005616A1">
        <w:t xml:space="preserve"> that</w:t>
      </w:r>
      <w:r w:rsidRPr="00E97505">
        <w:t xml:space="preserve"> refer to the current TSCA section 8(a) small manufacturer definition listed in 40 CFR 704.3 and therefore would be impacted by the proposed approach for updating the standards.</w:t>
      </w:r>
      <w:r w:rsidRPr="00125ED2" w:rsidR="00125ED2">
        <w:t xml:space="preserve"> These impacted five rules are: §§ 704.25 (11-Aminoundecanoic acid); 704.33 (P-tert-butylbenzoic acid (P-TBBA), p-tert-butyltoluene (P-TBT) and p-tert-butylbenzaldehyde (P-TBB)); 704.45 (Chlorinated terphenyl); 704.95 (Phosphonic acid, [1,2-ethanediyl-bis[nitrilobis-(methylene)]]tetrakis- (EDTMPA) and its salts); and 704.175 (4,4′-methylenebis(2-chloroaniline) (MBOCA))</w:t>
      </w:r>
      <w:r w:rsidR="00147646">
        <w:t>.</w:t>
      </w:r>
      <w:r w:rsidR="009141DD">
        <w:t xml:space="preserve"> T</w:t>
      </w:r>
      <w:r w:rsidRPr="009141DD" w:rsidR="009141DD">
        <w:t xml:space="preserve">here is no measurable impact to </w:t>
      </w:r>
      <w:r w:rsidR="009141DD">
        <w:t xml:space="preserve">these </w:t>
      </w:r>
      <w:r w:rsidRPr="009141DD" w:rsidR="009141DD">
        <w:t>other TSCA section 8(a) rules because EPA has not received any chemical reports for the rule for an extended period of time</w:t>
      </w:r>
      <w:r w:rsidR="009141DD">
        <w:t>.</w:t>
      </w:r>
    </w:p>
    <w:p w:rsidRPr="00C87480" w:rsidR="00F40219" w:rsidP="00F62DC3" w:rsidRDefault="00F40219" w14:paraId="46AB1623" w14:textId="71098587">
      <w:pPr>
        <w:pStyle w:val="BodyText"/>
        <w:spacing w:after="200"/>
      </w:pPr>
      <w:r w:rsidRPr="00C87480">
        <w:rPr>
          <w:i/>
        </w:rPr>
        <w:t xml:space="preserve">Legal </w:t>
      </w:r>
      <w:r w:rsidRPr="00C87480" w:rsidR="002406C5">
        <w:rPr>
          <w:i/>
        </w:rPr>
        <w:t>a</w:t>
      </w:r>
      <w:r w:rsidRPr="00C87480">
        <w:rPr>
          <w:i/>
        </w:rPr>
        <w:t>uthority:</w:t>
      </w:r>
      <w:r w:rsidRPr="00C87480">
        <w:t xml:space="preserve"> </w:t>
      </w:r>
      <w:r w:rsidRPr="009533EA" w:rsidR="00686836">
        <w:t xml:space="preserve">Under TSCA section 8(a) (15 USC 2607), the Environmental Protection Agency (EPA) is authorized to collect certain information on chemical substances manufactured (including imported) or processed in the United States. </w:t>
      </w:r>
      <w:r w:rsidRPr="00437C1A" w:rsidR="00686836">
        <w:t>In addition, under TSCA section 8(b), the Agency is required to compile and keep current, via periodic inquiry, the Inventory of Chemical Substances in Commerce (TSCA Inventory)</w:t>
      </w:r>
      <w:r w:rsidRPr="009533EA" w:rsidR="00686836">
        <w:t xml:space="preserve">. </w:t>
      </w:r>
      <w:r w:rsidRPr="00C87480" w:rsidR="00E65DB2">
        <w:rPr>
          <w:rStyle w:val="Hyperlink"/>
          <w:color w:val="auto"/>
          <w:u w:val="none"/>
        </w:rPr>
        <w:t>More details are provided in Unit 2(a) of this Supporting Statement.</w:t>
      </w:r>
    </w:p>
    <w:p w:rsidRPr="00DE183A" w:rsidR="005A7AEA" w:rsidP="00F62DC3" w:rsidRDefault="005A7AEA" w14:paraId="53A3B09B" w14:textId="0C4517DC">
      <w:pPr>
        <w:rPr>
          <w:rFonts w:eastAsia="Times New Roman" w:cs="Arial"/>
          <w:szCs w:val="24"/>
        </w:rPr>
      </w:pPr>
      <w:r w:rsidRPr="00E41A4C">
        <w:rPr>
          <w:rFonts w:eastAsia="Times New Roman" w:cs="Arial"/>
          <w:i/>
          <w:iCs/>
          <w:szCs w:val="24"/>
        </w:rPr>
        <w:t>Respondents/</w:t>
      </w:r>
      <w:r w:rsidRPr="00E41A4C" w:rsidR="002406C5">
        <w:rPr>
          <w:rFonts w:eastAsia="Times New Roman" w:cs="Arial"/>
          <w:i/>
          <w:iCs/>
          <w:szCs w:val="24"/>
        </w:rPr>
        <w:t>a</w:t>
      </w:r>
      <w:r w:rsidRPr="00E41A4C">
        <w:rPr>
          <w:rFonts w:eastAsia="Times New Roman" w:cs="Arial"/>
          <w:i/>
          <w:iCs/>
          <w:szCs w:val="24"/>
        </w:rPr>
        <w:t xml:space="preserve">ffected </w:t>
      </w:r>
      <w:r w:rsidRPr="00E41A4C" w:rsidR="002406C5">
        <w:rPr>
          <w:rFonts w:eastAsia="Times New Roman" w:cs="Arial"/>
          <w:i/>
          <w:iCs/>
          <w:szCs w:val="24"/>
        </w:rPr>
        <w:t>e</w:t>
      </w:r>
      <w:r w:rsidRPr="00E41A4C">
        <w:rPr>
          <w:rFonts w:eastAsia="Times New Roman" w:cs="Arial"/>
          <w:i/>
          <w:iCs/>
          <w:szCs w:val="24"/>
        </w:rPr>
        <w:t>ntities</w:t>
      </w:r>
      <w:r w:rsidRPr="001430EB">
        <w:rPr>
          <w:rFonts w:eastAsiaTheme="minorEastAsia"/>
          <w:lang w:bidi="en-US"/>
        </w:rPr>
        <w:t xml:space="preserve">: </w:t>
      </w:r>
      <w:r w:rsidRPr="001430EB" w:rsidR="001430EB">
        <w:rPr>
          <w:rFonts w:eastAsiaTheme="minorEastAsia"/>
          <w:lang w:bidi="en-US"/>
        </w:rPr>
        <w:t xml:space="preserve">Entities potentially affected by this ICR include companies manufacturing (including importing) chemical substances listed on the TSCA Inventory and regulated under the TSCA section 8(a) CDR </w:t>
      </w:r>
      <w:r w:rsidRPr="00DE183A" w:rsidR="001430EB">
        <w:rPr>
          <w:rFonts w:cs="Arial" w:eastAsiaTheme="minorEastAsia"/>
          <w:szCs w:val="24"/>
          <w:lang w:bidi="en-US"/>
        </w:rPr>
        <w:t>Regulation</w:t>
      </w:r>
      <w:r w:rsidRPr="00DE183A" w:rsidR="00DE183A">
        <w:rPr>
          <w:rFonts w:cs="Arial"/>
          <w:szCs w:val="24"/>
        </w:rPr>
        <w:t>.</w:t>
      </w:r>
    </w:p>
    <w:p w:rsidRPr="001430EB" w:rsidR="00853B7A" w:rsidP="00F62DC3" w:rsidRDefault="00853B7A" w14:paraId="71DDD236" w14:textId="5589E9E8">
      <w:pPr>
        <w:rPr>
          <w:rFonts w:eastAsiaTheme="minorEastAsia"/>
          <w:lang w:bidi="en-US"/>
        </w:rPr>
      </w:pPr>
      <w:r w:rsidRPr="00E41A4C">
        <w:rPr>
          <w:rFonts w:eastAsia="Times New Roman" w:cs="Arial"/>
          <w:i/>
          <w:szCs w:val="24"/>
        </w:rPr>
        <w:t>Respondent’s obligation to respond</w:t>
      </w:r>
      <w:r w:rsidRPr="00E41A4C">
        <w:rPr>
          <w:rFonts w:eastAsia="Times New Roman" w:cs="Arial"/>
          <w:szCs w:val="24"/>
        </w:rPr>
        <w:t xml:space="preserve">: </w:t>
      </w:r>
      <w:r w:rsidRPr="001430EB" w:rsidR="001430EB">
        <w:rPr>
          <w:rFonts w:eastAsiaTheme="minorEastAsia"/>
          <w:lang w:bidi="en-US"/>
        </w:rPr>
        <w:t>Respondents are obligated to report to EPA</w:t>
      </w:r>
      <w:r w:rsidRPr="001430EB">
        <w:rPr>
          <w:rFonts w:eastAsiaTheme="minorEastAsia"/>
          <w:lang w:bidi="en-US"/>
        </w:rPr>
        <w:t>.</w:t>
      </w:r>
    </w:p>
    <w:p w:rsidRPr="001964BE" w:rsidR="00853B7A" w:rsidP="00F62DC3" w:rsidRDefault="00853B7A" w14:paraId="6D53BCF2" w14:textId="37E591F4">
      <w:r w:rsidRPr="001964BE">
        <w:rPr>
          <w:rFonts w:eastAsia="Times New Roman" w:cs="Arial"/>
          <w:bCs/>
          <w:i/>
          <w:szCs w:val="24"/>
        </w:rPr>
        <w:t>Confidentiality of responses:</w:t>
      </w:r>
      <w:r w:rsidRPr="001964BE">
        <w:rPr>
          <w:rFonts w:eastAsia="Times New Roman" w:cs="Arial"/>
          <w:bCs/>
          <w:szCs w:val="24"/>
        </w:rPr>
        <w:t xml:space="preserve"> </w:t>
      </w:r>
      <w:r w:rsidRPr="001430EB" w:rsidR="001430EB">
        <w:rPr>
          <w:bCs/>
        </w:rPr>
        <w:t>Confidentiality claims limit access to the CDR data, especially by the public. EPA recognizes that some information submitted to the Agency is legitimately confidential.  Because of this, EPA’s review of confidential data is an inherently governmental function that EPA must perform to protect human health and the environment</w:t>
      </w:r>
      <w:r w:rsidRPr="001964BE">
        <w:t>.</w:t>
      </w:r>
    </w:p>
    <w:p w:rsidRPr="001964BE" w:rsidR="00853B7A" w:rsidP="00F62DC3" w:rsidRDefault="00853B7A" w14:paraId="37660E69" w14:textId="00D64350">
      <w:pPr>
        <w:rPr>
          <w:rFonts w:eastAsia="Times New Roman" w:cs="Arial"/>
          <w:szCs w:val="24"/>
        </w:rPr>
      </w:pPr>
      <w:r w:rsidRPr="001964BE">
        <w:rPr>
          <w:rFonts w:eastAsia="Times New Roman" w:cs="Arial"/>
          <w:i/>
          <w:iCs/>
          <w:szCs w:val="24"/>
        </w:rPr>
        <w:t>Estimated total number of potential respondents</w:t>
      </w:r>
      <w:r w:rsidRPr="001964BE">
        <w:rPr>
          <w:rFonts w:eastAsia="Times New Roman" w:cs="Arial"/>
          <w:szCs w:val="24"/>
        </w:rPr>
        <w:t xml:space="preserve">: </w:t>
      </w:r>
      <w:r w:rsidR="004F60BD">
        <w:rPr>
          <w:rFonts w:eastAsia="Times New Roman" w:cs="Arial"/>
          <w:szCs w:val="24"/>
        </w:rPr>
        <w:t>5,660.</w:t>
      </w:r>
    </w:p>
    <w:p w:rsidRPr="00DE183A" w:rsidR="00853B7A" w:rsidP="00F62DC3" w:rsidRDefault="00853B7A" w14:paraId="792FF67D" w14:textId="037B79BD">
      <w:pPr>
        <w:rPr>
          <w:rFonts w:eastAsia="Times New Roman" w:cs="Arial"/>
          <w:szCs w:val="24"/>
        </w:rPr>
      </w:pPr>
      <w:r w:rsidRPr="001964BE">
        <w:rPr>
          <w:rFonts w:eastAsia="Times New Roman" w:cs="Arial"/>
          <w:i/>
          <w:iCs/>
          <w:szCs w:val="24"/>
        </w:rPr>
        <w:t>Frequency of response</w:t>
      </w:r>
      <w:r w:rsidRPr="001964BE">
        <w:rPr>
          <w:rFonts w:eastAsia="Times New Roman" w:cs="Arial"/>
          <w:szCs w:val="24"/>
        </w:rPr>
        <w:t xml:space="preserve">: </w:t>
      </w:r>
      <w:r w:rsidRPr="00DE183A" w:rsidR="004F60BD">
        <w:rPr>
          <w:bCs/>
        </w:rPr>
        <w:t>The collection occur</w:t>
      </w:r>
      <w:r w:rsidR="00DE183A">
        <w:rPr>
          <w:bCs/>
        </w:rPr>
        <w:t>s</w:t>
      </w:r>
      <w:r w:rsidRPr="00DE183A" w:rsidR="004F60BD">
        <w:rPr>
          <w:bCs/>
        </w:rPr>
        <w:t xml:space="preserve"> every four years. The next CDR collection will occur in 2020</w:t>
      </w:r>
      <w:r w:rsidRPr="00DE183A">
        <w:rPr>
          <w:rFonts w:eastAsia="Times New Roman" w:cs="Arial"/>
          <w:szCs w:val="24"/>
        </w:rPr>
        <w:t>.</w:t>
      </w:r>
    </w:p>
    <w:p w:rsidRPr="00275937" w:rsidR="00853B7A" w:rsidP="00F62DC3" w:rsidRDefault="00853B7A" w14:paraId="419171CA" w14:textId="6BECA0E4">
      <w:pPr>
        <w:pStyle w:val="NoSpacing"/>
        <w:spacing w:after="200"/>
        <w:rPr>
          <w:rFonts w:eastAsia="Times New Roman" w:cs="Arial"/>
          <w:szCs w:val="24"/>
        </w:rPr>
      </w:pPr>
      <w:r w:rsidRPr="001964BE">
        <w:rPr>
          <w:rFonts w:eastAsia="Times New Roman" w:cs="Arial"/>
          <w:i/>
          <w:iCs/>
          <w:szCs w:val="24"/>
        </w:rPr>
        <w:t>Estimated total annual burden</w:t>
      </w:r>
      <w:r w:rsidRPr="001964BE">
        <w:rPr>
          <w:rFonts w:eastAsia="Times New Roman" w:cs="Arial"/>
          <w:szCs w:val="24"/>
        </w:rPr>
        <w:t xml:space="preserve">: </w:t>
      </w:r>
      <w:r w:rsidR="00F36AEF">
        <w:rPr>
          <w:rFonts w:eastAsia="Times New Roman" w:cs="Arial"/>
          <w:szCs w:val="24"/>
        </w:rPr>
        <w:t>-23,014</w:t>
      </w:r>
      <w:r w:rsidRPr="001E3095" w:rsidR="004F60BD">
        <w:rPr>
          <w:rFonts w:eastAsia="Times New Roman" w:cs="Arial"/>
          <w:szCs w:val="24"/>
        </w:rPr>
        <w:t xml:space="preserve"> hours</w:t>
      </w:r>
      <w:r w:rsidRPr="00275937">
        <w:rPr>
          <w:rFonts w:eastAsia="Times New Roman" w:cs="Arial"/>
          <w:szCs w:val="24"/>
        </w:rPr>
        <w:t>. Burden is defined at 5 CFR 1320.3(b).</w:t>
      </w:r>
    </w:p>
    <w:p w:rsidRPr="001964BE" w:rsidR="00853B7A" w:rsidP="00F62DC3" w:rsidRDefault="00853B7A" w14:paraId="0ABBFB19" w14:textId="352FCFA5">
      <w:pPr>
        <w:rPr>
          <w:rFonts w:eastAsia="Times New Roman" w:cs="Arial"/>
          <w:szCs w:val="24"/>
        </w:rPr>
      </w:pPr>
      <w:r w:rsidRPr="00275937">
        <w:rPr>
          <w:rFonts w:eastAsia="Times New Roman" w:cs="Arial"/>
          <w:i/>
          <w:iCs/>
          <w:szCs w:val="24"/>
        </w:rPr>
        <w:lastRenderedPageBreak/>
        <w:t xml:space="preserve">Estimated total </w:t>
      </w:r>
      <w:r w:rsidRPr="001964BE">
        <w:rPr>
          <w:rFonts w:eastAsia="Times New Roman" w:cs="Arial"/>
          <w:i/>
          <w:iCs/>
          <w:szCs w:val="24"/>
        </w:rPr>
        <w:t>annual costs</w:t>
      </w:r>
      <w:r w:rsidRPr="001964BE">
        <w:rPr>
          <w:rFonts w:eastAsia="Times New Roman" w:cs="Arial"/>
          <w:szCs w:val="24"/>
        </w:rPr>
        <w:t xml:space="preserve">: </w:t>
      </w:r>
      <w:r w:rsidR="00F36AEF">
        <w:rPr>
          <w:rFonts w:eastAsia="Times New Roman" w:cs="Arial"/>
          <w:szCs w:val="24"/>
        </w:rPr>
        <w:t>-</w:t>
      </w:r>
      <w:r w:rsidRPr="001E3095" w:rsidR="001E3095">
        <w:rPr>
          <w:bCs/>
        </w:rPr>
        <w:t>$</w:t>
      </w:r>
      <w:r w:rsidR="00F36AEF">
        <w:rPr>
          <w:bCs/>
        </w:rPr>
        <w:t>1</w:t>
      </w:r>
      <w:r w:rsidRPr="001E3095" w:rsidR="001E3095">
        <w:rPr>
          <w:bCs/>
        </w:rPr>
        <w:t>,</w:t>
      </w:r>
      <w:r w:rsidR="00F36AEF">
        <w:rPr>
          <w:bCs/>
        </w:rPr>
        <w:t>760</w:t>
      </w:r>
      <w:r w:rsidRPr="001E3095" w:rsidR="001E3095">
        <w:rPr>
          <w:bCs/>
        </w:rPr>
        <w:t>,</w:t>
      </w:r>
      <w:r w:rsidR="00F36AEF">
        <w:rPr>
          <w:bCs/>
        </w:rPr>
        <w:t>5</w:t>
      </w:r>
      <w:r w:rsidRPr="001E3095" w:rsidR="001E3095">
        <w:rPr>
          <w:bCs/>
        </w:rPr>
        <w:t>7</w:t>
      </w:r>
      <w:r w:rsidR="00F36AEF">
        <w:rPr>
          <w:bCs/>
        </w:rPr>
        <w:t>8</w:t>
      </w:r>
      <w:r w:rsidRPr="001E3095">
        <w:rPr>
          <w:bCs/>
        </w:rPr>
        <w:t>,</w:t>
      </w:r>
      <w:r w:rsidRPr="001964BE">
        <w:rPr>
          <w:rFonts w:eastAsia="Times New Roman" w:cs="Arial"/>
          <w:bCs/>
          <w:szCs w:val="24"/>
        </w:rPr>
        <w:t xml:space="preserve"> includes no annualized </w:t>
      </w:r>
      <w:r w:rsidRPr="001964BE">
        <w:rPr>
          <w:rFonts w:eastAsia="Times New Roman" w:cs="Arial"/>
          <w:szCs w:val="24"/>
        </w:rPr>
        <w:t>capital investment or operational</w:t>
      </w:r>
      <w:r w:rsidR="001E3095">
        <w:rPr>
          <w:rFonts w:eastAsia="Times New Roman" w:cs="Arial"/>
          <w:szCs w:val="24"/>
        </w:rPr>
        <w:t xml:space="preserve"> and </w:t>
      </w:r>
      <w:r w:rsidRPr="001964BE" w:rsidR="001E3095">
        <w:rPr>
          <w:rFonts w:eastAsia="Times New Roman" w:cs="Arial"/>
          <w:szCs w:val="24"/>
        </w:rPr>
        <w:t xml:space="preserve">maintenance </w:t>
      </w:r>
      <w:r w:rsidRPr="001964BE">
        <w:rPr>
          <w:rFonts w:eastAsia="Times New Roman" w:cs="Arial"/>
          <w:szCs w:val="24"/>
        </w:rPr>
        <w:t>costs.</w:t>
      </w:r>
    </w:p>
    <w:p w:rsidR="00853B7A" w:rsidP="00F62DC3" w:rsidRDefault="00853B7A" w14:paraId="5D560C74" w14:textId="5C0A2A3C">
      <w:r w:rsidRPr="001964BE">
        <w:rPr>
          <w:rFonts w:eastAsia="Times New Roman" w:cs="Arial"/>
          <w:i/>
          <w:szCs w:val="24"/>
        </w:rPr>
        <w:t>Changes in the estimates</w:t>
      </w:r>
      <w:r w:rsidRPr="001964BE">
        <w:rPr>
          <w:rFonts w:eastAsia="Times New Roman" w:cs="Arial"/>
          <w:szCs w:val="24"/>
        </w:rPr>
        <w:t xml:space="preserve">: </w:t>
      </w:r>
      <w:r w:rsidR="008506F8">
        <w:rPr>
          <w:rFonts w:eastAsia="Times New Roman" w:cs="Arial"/>
          <w:szCs w:val="24"/>
        </w:rPr>
        <w:t xml:space="preserve">There is an overall annual </w:t>
      </w:r>
      <w:r w:rsidR="007E2C76">
        <w:rPr>
          <w:rFonts w:eastAsia="Times New Roman" w:cs="Arial"/>
          <w:szCs w:val="24"/>
        </w:rPr>
        <w:t>decrease</w:t>
      </w:r>
      <w:r w:rsidR="008506F8">
        <w:rPr>
          <w:rFonts w:eastAsia="Times New Roman" w:cs="Arial"/>
          <w:szCs w:val="24"/>
        </w:rPr>
        <w:t xml:space="preserve"> of </w:t>
      </w:r>
      <w:r w:rsidR="008506F8">
        <w:t>2</w:t>
      </w:r>
      <w:r w:rsidR="007E2C76">
        <w:t>3</w:t>
      </w:r>
      <w:r w:rsidR="008506F8">
        <w:t>,</w:t>
      </w:r>
      <w:r w:rsidR="007E2C76">
        <w:t>014</w:t>
      </w:r>
      <w:r w:rsidRPr="000E5DBC" w:rsidR="008506F8">
        <w:t xml:space="preserve"> hours </w:t>
      </w:r>
      <w:r w:rsidR="008506F8">
        <w:t xml:space="preserve">in the total respondent burden that is currently approved by OMB for this ICR. This </w:t>
      </w:r>
      <w:r w:rsidR="007E2C76">
        <w:t>decrease</w:t>
      </w:r>
      <w:r w:rsidR="008506F8">
        <w:t xml:space="preserve"> reflects </w:t>
      </w:r>
      <w:r w:rsidR="007E2C76">
        <w:t xml:space="preserve">updates to the definition of small manufacturers </w:t>
      </w:r>
      <w:r w:rsidR="00037F9D">
        <w:t xml:space="preserve">and a new definition for </w:t>
      </w:r>
      <w:r w:rsidR="007E2C76">
        <w:t xml:space="preserve">small governments. </w:t>
      </w:r>
      <w:r w:rsidRPr="001964BE">
        <w:rPr>
          <w:bCs/>
        </w:rPr>
        <w:t>Further details about these changes are included in this ICR supporting statement.</w:t>
      </w:r>
      <w:r w:rsidRPr="001964BE">
        <w:t xml:space="preserve"> </w:t>
      </w:r>
    </w:p>
    <w:p w:rsidRPr="00B14BF0" w:rsidR="002B34A0" w:rsidP="005B4F77" w:rsidRDefault="00512823" w14:paraId="6760CA89" w14:textId="77777777">
      <w:pPr>
        <w:pStyle w:val="Heading1"/>
        <w:numPr>
          <w:ilvl w:val="0"/>
          <w:numId w:val="3"/>
        </w:numPr>
      </w:pPr>
      <w:bookmarkStart w:name="_Toc42177014" w:id="7"/>
      <w:r w:rsidRPr="00B14BF0">
        <w:t>NECESSITY OF THE INFORMATION COLLECTION</w:t>
      </w:r>
      <w:bookmarkEnd w:id="7"/>
    </w:p>
    <w:p w:rsidRPr="00B14BF0" w:rsidR="00F40219" w:rsidP="005B4F77" w:rsidRDefault="00F40219" w14:paraId="0746C69C" w14:textId="77777777">
      <w:pPr>
        <w:pStyle w:val="Heading2"/>
        <w:numPr>
          <w:ilvl w:val="1"/>
          <w:numId w:val="3"/>
        </w:numPr>
        <w:tabs>
          <w:tab w:val="left" w:pos="1080"/>
        </w:tabs>
      </w:pPr>
      <w:bookmarkStart w:name="_Toc42177015" w:id="8"/>
      <w:r w:rsidRPr="00B14BF0">
        <w:t>Related Legal and/or Administrative Requirements</w:t>
      </w:r>
      <w:bookmarkEnd w:id="8"/>
    </w:p>
    <w:p w:rsidRPr="00CF357D" w:rsidR="004236CD" w:rsidP="00CF357D" w:rsidRDefault="004236CD" w14:paraId="3FBE3A1A" w14:textId="63C40C15">
      <w:pPr>
        <w:pStyle w:val="BodyTextNoIndent"/>
        <w:ind w:firstLine="0"/>
        <w:rPr>
          <w:rFonts w:ascii="Arial" w:hAnsi="Arial" w:eastAsiaTheme="minorEastAsia" w:cstheme="minorBidi"/>
          <w:szCs w:val="22"/>
          <w:lang w:bidi="en-US"/>
        </w:rPr>
      </w:pPr>
      <w:r w:rsidRPr="00CF357D">
        <w:rPr>
          <w:rFonts w:ascii="Arial" w:hAnsi="Arial" w:eastAsiaTheme="minorEastAsia" w:cstheme="minorBidi"/>
          <w:szCs w:val="22"/>
          <w:lang w:bidi="en-US"/>
        </w:rPr>
        <w:t xml:space="preserve">In 1984, EPA finalized a rulemaking, required under TSCA section 8(a)(3)(B), establishing standards that define small manufacturers for section 8(a) reporting purposes (49 FR 45425). Manufacturers meeting these standards </w:t>
      </w:r>
      <w:r w:rsidR="00E3587D">
        <w:rPr>
          <w:rFonts w:ascii="Arial" w:hAnsi="Arial" w:eastAsiaTheme="minorEastAsia" w:cstheme="minorBidi"/>
          <w:szCs w:val="22"/>
          <w:lang w:bidi="en-US"/>
        </w:rPr>
        <w:t>wer</w:t>
      </w:r>
      <w:r w:rsidRPr="00CF357D">
        <w:rPr>
          <w:rFonts w:ascii="Arial" w:hAnsi="Arial" w:eastAsiaTheme="minorEastAsia" w:cstheme="minorBidi"/>
          <w:szCs w:val="22"/>
          <w:lang w:bidi="en-US"/>
        </w:rPr>
        <w:t xml:space="preserve">e generally exempt from section 8(a) recordkeeping and reporting requirements. A small manufacturer </w:t>
      </w:r>
      <w:r w:rsidR="00E3587D">
        <w:rPr>
          <w:rFonts w:ascii="Arial" w:hAnsi="Arial" w:eastAsiaTheme="minorEastAsia" w:cstheme="minorBidi"/>
          <w:szCs w:val="22"/>
          <w:lang w:bidi="en-US"/>
        </w:rPr>
        <w:t>wa</w:t>
      </w:r>
      <w:r w:rsidRPr="00CF357D">
        <w:rPr>
          <w:rFonts w:ascii="Arial" w:hAnsi="Arial" w:eastAsiaTheme="minorEastAsia" w:cstheme="minorBidi"/>
          <w:szCs w:val="22"/>
          <w:lang w:bidi="en-US"/>
        </w:rPr>
        <w:t>s defined in 40 CFR 704.3</w:t>
      </w:r>
      <w:r w:rsidR="0058263D">
        <w:rPr>
          <w:rFonts w:ascii="Arial" w:hAnsi="Arial" w:eastAsiaTheme="minorEastAsia" w:cstheme="minorBidi"/>
          <w:szCs w:val="22"/>
          <w:lang w:bidi="en-US"/>
        </w:rPr>
        <w:t xml:space="preserve">. This definition </w:t>
      </w:r>
      <w:r w:rsidRPr="00CF357D">
        <w:rPr>
          <w:rFonts w:ascii="Arial" w:hAnsi="Arial" w:eastAsiaTheme="minorEastAsia" w:cstheme="minorBidi"/>
          <w:szCs w:val="22"/>
          <w:lang w:bidi="en-US"/>
        </w:rPr>
        <w:t>can be summarized as:</w:t>
      </w:r>
    </w:p>
    <w:p w:rsidRPr="00CF357D" w:rsidR="004236CD" w:rsidP="00F62DC3" w:rsidRDefault="004236CD" w14:paraId="7FC7C67E" w14:textId="77777777">
      <w:pPr>
        <w:pStyle w:val="ListBullet"/>
        <w:spacing w:after="120"/>
        <w:contextualSpacing w:val="0"/>
        <w:rPr>
          <w:rFonts w:eastAsiaTheme="minorEastAsia"/>
          <w:lang w:bidi="en-US"/>
        </w:rPr>
      </w:pPr>
      <w:r w:rsidRPr="00CF357D">
        <w:rPr>
          <w:rFonts w:eastAsiaTheme="minorEastAsia"/>
          <w:lang w:bidi="en-US"/>
        </w:rPr>
        <w:t xml:space="preserve">First standard (dual-prong $40 million and 100,000 pounds (lb)): </w:t>
      </w:r>
      <w:bookmarkStart w:name="_Hlk527378739" w:id="9"/>
      <w:r w:rsidRPr="00CF357D">
        <w:rPr>
          <w:rFonts w:eastAsiaTheme="minorEastAsia"/>
          <w:lang w:bidi="en-US"/>
        </w:rPr>
        <w:t>A manufacturer or importer of a substance is small if its total annual sales, when combined with those of its parent company (if any), are less than $40 million. However, if the annual production or importation volume of a particular substance at any individual site owned or controlled by the manufacturer or importer is greater than 45,400 kilograms (100,000 lb), the manufacturer or importer will not qualify as small for the purposes of reporting on the production of that substance at that site, unless the manufacturer or importer qualifies as small under the second standard below.</w:t>
      </w:r>
      <w:bookmarkEnd w:id="9"/>
    </w:p>
    <w:p w:rsidRPr="00CF357D" w:rsidR="004236CD" w:rsidP="00F62DC3" w:rsidRDefault="004236CD" w14:paraId="2E16C1D1" w14:textId="77777777">
      <w:pPr>
        <w:pStyle w:val="ListBullet"/>
        <w:spacing w:after="120"/>
        <w:contextualSpacing w:val="0"/>
        <w:rPr>
          <w:rFonts w:eastAsiaTheme="minorEastAsia"/>
          <w:lang w:bidi="en-US"/>
        </w:rPr>
      </w:pPr>
      <w:r w:rsidRPr="00CF357D">
        <w:rPr>
          <w:rFonts w:eastAsiaTheme="minorEastAsia"/>
          <w:lang w:bidi="en-US"/>
        </w:rPr>
        <w:t xml:space="preserve">Second standard (very small, single-prong $4 million): </w:t>
      </w:r>
      <w:bookmarkStart w:name="_Hlk527378762" w:id="10"/>
      <w:r w:rsidRPr="00CF357D">
        <w:rPr>
          <w:rFonts w:eastAsiaTheme="minorEastAsia"/>
          <w:lang w:bidi="en-US"/>
        </w:rPr>
        <w:t xml:space="preserve">A manufacturer or importer of a substance is small if its total annual sales, when combined with those of its parent company (if any), are less than $4 million, regardless of the quantity of the substances produced or imported by that manufacturer or importer. </w:t>
      </w:r>
    </w:p>
    <w:p w:rsidRPr="00CF357D" w:rsidR="004236CD" w:rsidP="00F62DC3" w:rsidRDefault="004236CD" w14:paraId="3A163416" w14:textId="242BD08B">
      <w:pPr>
        <w:pStyle w:val="ListBullet"/>
        <w:contextualSpacing w:val="0"/>
        <w:rPr>
          <w:rFonts w:eastAsiaTheme="minorEastAsia"/>
          <w:lang w:bidi="en-US"/>
        </w:rPr>
      </w:pPr>
      <w:bookmarkStart w:name="_Hlk531098705" w:id="11"/>
      <w:r w:rsidRPr="00CF357D">
        <w:rPr>
          <w:rFonts w:eastAsiaTheme="minorEastAsia"/>
          <w:lang w:bidi="en-US"/>
        </w:rPr>
        <w:t xml:space="preserve">Inflation index: EPA shall make use of the Producer Price Index </w:t>
      </w:r>
      <w:r w:rsidR="00712820">
        <w:rPr>
          <w:rFonts w:eastAsiaTheme="minorEastAsia"/>
          <w:lang w:bidi="en-US"/>
        </w:rPr>
        <w:t xml:space="preserve">(PPI) </w:t>
      </w:r>
      <w:r w:rsidRPr="00CF357D">
        <w:rPr>
          <w:rFonts w:eastAsiaTheme="minorEastAsia"/>
          <w:lang w:bidi="en-US"/>
        </w:rPr>
        <w:t>for Chemicals and Allied Products, as compiled by the U.S. Bureau of Labor Statistics, for purposes of determining the need to adjust the total annual sales values and for determining new sales values when adjustments are made. EPA may adjust the total annual sales values whenever the Agency deems it necessary to do so, provided that the PPI for Chemicals and Allied Products has changed more than 20 percent since either the most recent previous change in sales values or the date of promulgation of this rule, whichever is later. EPA shall provide Federal Register notification when changing the total annual sales values.</w:t>
      </w:r>
      <w:bookmarkEnd w:id="11"/>
    </w:p>
    <w:bookmarkEnd w:id="10"/>
    <w:p w:rsidRPr="00CF357D" w:rsidR="004236CD" w:rsidP="00CF357D" w:rsidRDefault="004236CD" w14:paraId="00D8FC93" w14:textId="41411C2D">
      <w:pPr>
        <w:pStyle w:val="BodyTextNoIndent"/>
        <w:ind w:firstLine="0"/>
        <w:rPr>
          <w:rFonts w:ascii="Arial" w:hAnsi="Arial" w:eastAsiaTheme="minorEastAsia" w:cstheme="minorBidi"/>
          <w:szCs w:val="22"/>
          <w:lang w:bidi="en-US"/>
        </w:rPr>
      </w:pPr>
      <w:r w:rsidRPr="00CF357D">
        <w:rPr>
          <w:rFonts w:ascii="Arial" w:hAnsi="Arial" w:eastAsiaTheme="minorEastAsia" w:cstheme="minorBidi"/>
          <w:szCs w:val="22"/>
          <w:lang w:bidi="en-US"/>
        </w:rPr>
        <w:t>At the time of the 1984 rulemaking, the CDR rule was not yet established, and the landscape of TSCA section 8(a) rules was different than it is today. No monitoring information collection was in place, and EPA’s small manufacturer definition was based on a</w:t>
      </w:r>
      <w:r w:rsidR="00357E8D">
        <w:rPr>
          <w:rFonts w:ascii="Arial" w:hAnsi="Arial" w:eastAsiaTheme="minorEastAsia" w:cstheme="minorBidi"/>
          <w:szCs w:val="22"/>
          <w:lang w:bidi="en-US"/>
        </w:rPr>
        <w:t>n</w:t>
      </w:r>
      <w:r w:rsidRPr="00CF357D">
        <w:rPr>
          <w:rFonts w:ascii="Arial" w:hAnsi="Arial" w:eastAsiaTheme="minorEastAsia" w:cstheme="minorBidi"/>
          <w:szCs w:val="22"/>
          <w:lang w:bidi="en-US"/>
        </w:rPr>
        <w:t xml:space="preserve"> ad hoc compilation of industry data. In analysis of the structure of the definition, the more restrictive two-prong standard was found to be more effective in targeting the exemption to small manufacturers than a single-prong standard (even if the two prongs were used in parallel). That two-pronged standard included parent company revenue and site-level production. Additionally, total employment was found not to be a good substitute for annual sales revenue as an indicator of </w:t>
      </w:r>
      <w:r w:rsidRPr="00CF357D">
        <w:rPr>
          <w:rFonts w:ascii="Arial" w:hAnsi="Arial" w:eastAsiaTheme="minorEastAsia" w:cstheme="minorBidi"/>
          <w:szCs w:val="22"/>
          <w:lang w:bidi="en-US"/>
        </w:rPr>
        <w:lastRenderedPageBreak/>
        <w:t>firms’ abilities to absorb reporting costs (ICF, 1982).</w:t>
      </w:r>
      <w:r w:rsidRPr="004277FB">
        <w:rPr>
          <w:rFonts w:ascii="Arial" w:hAnsi="Arial" w:eastAsiaTheme="minorEastAsia" w:cstheme="minorBidi"/>
          <w:vertAlign w:val="superscript"/>
          <w:lang w:bidi="en-US"/>
        </w:rPr>
        <w:footnoteReference w:id="3"/>
      </w:r>
      <w:r w:rsidRPr="00CF357D">
        <w:rPr>
          <w:rFonts w:ascii="Arial" w:hAnsi="Arial" w:eastAsiaTheme="minorEastAsia" w:cstheme="minorBidi"/>
          <w:szCs w:val="22"/>
          <w:lang w:bidi="en-US"/>
        </w:rPr>
        <w:t xml:space="preserve"> In setting the levels for standards, EPA weighed whether to maximize the number of chemicals reported, chemical reports received, production volume reported upon, or the number of sites reporting. EPA ultimately chose an approach designed to maximize the number of sites reporting in order to obtain information that is representative of firms of different sizes. The structure of the TSCA definition implemented in 1984 </w:t>
      </w:r>
      <w:r w:rsidR="004E401C">
        <w:rPr>
          <w:rFonts w:ascii="Arial" w:hAnsi="Arial" w:eastAsiaTheme="minorEastAsia" w:cstheme="minorBidi"/>
          <w:szCs w:val="22"/>
          <w:lang w:bidi="en-US"/>
        </w:rPr>
        <w:t>used</w:t>
      </w:r>
      <w:r w:rsidRPr="00CF357D">
        <w:rPr>
          <w:rFonts w:ascii="Arial" w:hAnsi="Arial" w:eastAsiaTheme="minorEastAsia" w:cstheme="minorBidi"/>
          <w:szCs w:val="22"/>
          <w:lang w:bidi="en-US"/>
        </w:rPr>
        <w:t xml:space="preserve"> annual sales revenue and production volume levels set for desired coverage; information losses were expected to be at 10 percent of chemicals, 36 percent of companies, 12 percent of sites, and 15 percent of chemical reports (See 49 FR 45425-45431).  </w:t>
      </w:r>
    </w:p>
    <w:p w:rsidRPr="009533EA" w:rsidR="00C26EDA" w:rsidP="004236CD" w:rsidRDefault="004236CD" w14:paraId="2D3DAF78" w14:textId="0987CE64">
      <w:pPr>
        <w:pStyle w:val="BodyText"/>
      </w:pPr>
      <w:r w:rsidRPr="00CF357D">
        <w:t xml:space="preserve">On June 22, 2016, the Frank R. Lautenberg Chemical Safety for the 21st Century Act (Lautenberg Act) was signed into law, amending TSCA. In addition to numerous other requirements outside the scope of this analysis, the new law included a requirement for EPA to consult with SBA, review the adequacy of the existing section 8(a) definition, including size standards. Pursuant to TSCA section 8(a)(3)(C), on November 30, 2017, EPA determined that revision of the size standards </w:t>
      </w:r>
      <w:r w:rsidR="004277FB">
        <w:t>i</w:t>
      </w:r>
      <w:r w:rsidRPr="00CF357D">
        <w:t>s warranted (82 FR 56824). In the determination, EPA first reviewed the change in the PPI for Chemicals and Allied Products between 1988 (the year the general size standards at 40 CFR 704.3 were last revised) and 2015 (the most recent year of PPI data available</w:t>
      </w:r>
      <w:r w:rsidR="004277FB">
        <w:t xml:space="preserve"> at that time</w:t>
      </w:r>
      <w:r w:rsidRPr="00CF357D">
        <w:t>) and found a 129% change. This level far exceeds the “20 percent inflation index specified as a level above which EPA may adjust annual sales levels in the current standard if deemed necessary” (82 FR 56824). EPA also took into consideration the comparison of this result to small manufacturer revenue size standards under the existing SBA small business definition. After additional consultation with SBA, and review of public comments, EPA made the final determination that revision of the standards is warranted</w:t>
      </w:r>
      <w:r w:rsidR="00600C89">
        <w:t xml:space="preserve"> and </w:t>
      </w:r>
      <w:r w:rsidR="00712820">
        <w:t>is</w:t>
      </w:r>
      <w:r w:rsidR="00600C89">
        <w:t xml:space="preserve"> </w:t>
      </w:r>
      <w:r w:rsidRPr="00CF357D">
        <w:t>updat</w:t>
      </w:r>
      <w:r w:rsidR="00712820">
        <w:t>ing</w:t>
      </w:r>
      <w:r w:rsidRPr="00CF357D">
        <w:t xml:space="preserve"> the section 8(a) small manufacturer definition.</w:t>
      </w:r>
      <w:r w:rsidR="00C26EDA">
        <w:t xml:space="preserve"> </w:t>
      </w:r>
      <w:r w:rsidRPr="00F10CD2" w:rsidR="00CA5AA1">
        <w:rPr>
          <w:iCs/>
          <w:szCs w:val="24"/>
        </w:rPr>
        <w:t xml:space="preserve">For the TSCA section 8(a) small manufacturer definition update, EPA is </w:t>
      </w:r>
      <w:r w:rsidR="00CA5AA1">
        <w:rPr>
          <w:iCs/>
          <w:szCs w:val="24"/>
        </w:rPr>
        <w:t>finalizing an</w:t>
      </w:r>
      <w:r w:rsidRPr="00F10CD2" w:rsidR="00CA5AA1">
        <w:rPr>
          <w:iCs/>
          <w:szCs w:val="24"/>
        </w:rPr>
        <w:t xml:space="preserve"> update</w:t>
      </w:r>
      <w:r w:rsidR="00CA5AA1">
        <w:rPr>
          <w:iCs/>
          <w:szCs w:val="24"/>
        </w:rPr>
        <w:t xml:space="preserve"> to</w:t>
      </w:r>
      <w:r w:rsidRPr="00F10CD2" w:rsidR="00CA5AA1">
        <w:rPr>
          <w:iCs/>
          <w:szCs w:val="24"/>
        </w:rPr>
        <w:t xml:space="preserve"> the current definition based on inflation</w:t>
      </w:r>
      <w:r w:rsidRPr="00F10CD2" w:rsidR="005F5767">
        <w:rPr>
          <w:iCs/>
          <w:szCs w:val="24"/>
        </w:rPr>
        <w:t xml:space="preserve"> by adjusting the sales standard level for the first part from $40 million to $1</w:t>
      </w:r>
      <w:r w:rsidR="005F5767">
        <w:rPr>
          <w:iCs/>
          <w:szCs w:val="24"/>
        </w:rPr>
        <w:t>2</w:t>
      </w:r>
      <w:r w:rsidRPr="00F10CD2" w:rsidR="005F5767">
        <w:rPr>
          <w:iCs/>
          <w:szCs w:val="24"/>
        </w:rPr>
        <w:t>0 million and for the second part from $4 million to $1</w:t>
      </w:r>
      <w:r w:rsidR="005F5767">
        <w:rPr>
          <w:iCs/>
          <w:szCs w:val="24"/>
        </w:rPr>
        <w:t>2</w:t>
      </w:r>
      <w:r w:rsidRPr="00F10CD2" w:rsidR="005F5767">
        <w:rPr>
          <w:iCs/>
          <w:szCs w:val="24"/>
        </w:rPr>
        <w:t xml:space="preserve"> million. </w:t>
      </w:r>
      <w:r w:rsidRPr="00F10CD2" w:rsidR="00CA5AA1">
        <w:rPr>
          <w:iCs/>
          <w:szCs w:val="24"/>
        </w:rPr>
        <w:t xml:space="preserve"> </w:t>
      </w:r>
      <w:r w:rsidRPr="009533EA" w:rsidR="00C26EDA">
        <w:t xml:space="preserve">  </w:t>
      </w:r>
    </w:p>
    <w:p w:rsidRPr="00F42B5F" w:rsidR="005B4F77" w:rsidP="005B4F77" w:rsidRDefault="005B4F77" w14:paraId="4A7DC334" w14:textId="77777777">
      <w:pPr>
        <w:pStyle w:val="Heading2"/>
        <w:numPr>
          <w:ilvl w:val="1"/>
          <w:numId w:val="3"/>
        </w:numPr>
        <w:tabs>
          <w:tab w:val="left" w:pos="1080"/>
        </w:tabs>
      </w:pPr>
      <w:bookmarkStart w:name="_Toc42177016" w:id="12"/>
      <w:r w:rsidRPr="00F42B5F">
        <w:t>Necessity of the Information Collection</w:t>
      </w:r>
      <w:bookmarkEnd w:id="12"/>
    </w:p>
    <w:p w:rsidRPr="00200EAC" w:rsidR="008648B5" w:rsidP="008648B5" w:rsidRDefault="00623DFF" w14:paraId="4337A05A" w14:textId="05DE09BA">
      <w:r w:rsidRPr="009533EA">
        <w:t xml:space="preserve">The CDR data collection </w:t>
      </w:r>
      <w:r>
        <w:t xml:space="preserve">is necessary to </w:t>
      </w:r>
      <w:r w:rsidRPr="009533EA">
        <w:t>provide chemical manufacture, processing, and use information that helps EPA identify what chemicals the public may be exposed to as consumers or in commercial and industrial settings</w:t>
      </w:r>
      <w:r>
        <w:t>. The data are also necessary to help EPA</w:t>
      </w:r>
      <w:r w:rsidRPr="009533EA">
        <w:t xml:space="preserve"> assess routes of potential exposure to those chemicals.</w:t>
      </w:r>
    </w:p>
    <w:p w:rsidRPr="00200EAC" w:rsidR="008648B5" w:rsidP="008648B5" w:rsidRDefault="008648B5" w14:paraId="480F715D" w14:textId="77777777">
      <w:pPr>
        <w:pStyle w:val="Heading2"/>
        <w:numPr>
          <w:ilvl w:val="1"/>
          <w:numId w:val="3"/>
        </w:numPr>
        <w:tabs>
          <w:tab w:val="left" w:pos="1080"/>
        </w:tabs>
      </w:pPr>
      <w:bookmarkStart w:name="_Toc42177017" w:id="13"/>
      <w:r w:rsidRPr="00200EAC">
        <w:t>Uses, Users, and Purpose of the Information Collection</w:t>
      </w:r>
      <w:bookmarkEnd w:id="13"/>
    </w:p>
    <w:p w:rsidR="0077117D" w:rsidP="00693608" w:rsidRDefault="004B7F5C" w14:paraId="267550AB" w14:textId="5401E5BF">
      <w:pPr>
        <w:pStyle w:val="BodyText"/>
        <w:rPr>
          <w:rFonts w:cs="Times New Roman"/>
          <w:szCs w:val="24"/>
        </w:rPr>
      </w:pPr>
      <w:r w:rsidRPr="003F119A">
        <w:rPr>
          <w:rFonts w:cs="Times New Roman"/>
          <w:szCs w:val="24"/>
        </w:rPr>
        <w:t xml:space="preserve">EPA’s OPPT, other EPA Offices and/or other Federal agencies will generally be the primary </w:t>
      </w:r>
      <w:r w:rsidRPr="003F119A">
        <w:rPr>
          <w:rFonts w:cs="Times New Roman"/>
          <w:szCs w:val="24"/>
        </w:rPr>
        <w:lastRenderedPageBreak/>
        <w:t>groups for which information will be collected. However, to the extent that reported information is not considered to be</w:t>
      </w:r>
      <w:r>
        <w:rPr>
          <w:rFonts w:cs="Times New Roman"/>
          <w:szCs w:val="24"/>
        </w:rPr>
        <w:t xml:space="preserve"> CBI</w:t>
      </w:r>
      <w:r w:rsidRPr="003F119A">
        <w:rPr>
          <w:rFonts w:cs="Times New Roman"/>
          <w:szCs w:val="24"/>
        </w:rPr>
        <w:t>, environmental groups, environmental justice advocates, state and local government entities and other members of the public may access this information for their own use</w:t>
      </w:r>
      <w:r w:rsidR="00212595">
        <w:rPr>
          <w:rFonts w:cs="Times New Roman"/>
          <w:szCs w:val="24"/>
        </w:rPr>
        <w:t>.</w:t>
      </w:r>
    </w:p>
    <w:p w:rsidR="0077117D" w:rsidP="0077117D" w:rsidRDefault="0077117D" w14:paraId="761D9EF0" w14:textId="3A8A149F">
      <w:pPr>
        <w:pStyle w:val="BodyText"/>
      </w:pPr>
      <w:r w:rsidRPr="009533EA">
        <w:t>The reporting methods, including the reporting tool and electronic registration, help to ensure that the information reported to EPA is accurate and in compliance with the CDR requirements.</w:t>
      </w:r>
      <w:r>
        <w:t xml:space="preserve"> In addition, the data elements reported have practical utility for users of the data within EPA and for the public.</w:t>
      </w:r>
      <w:r w:rsidR="0092058C">
        <w:t xml:space="preserve"> For more information on CDR reporting methods, see Section 2(b) of the 2018 CDR ICR Renewal (EPA, 2018</w:t>
      </w:r>
      <w:r w:rsidR="00B44A00">
        <w:t>b</w:t>
      </w:r>
      <w:r w:rsidR="0092058C">
        <w:t>).</w:t>
      </w:r>
    </w:p>
    <w:p w:rsidRPr="00200EAC" w:rsidR="00E33A13" w:rsidP="00BD4AF1" w:rsidRDefault="00512823" w14:paraId="01B654DB" w14:textId="77777777">
      <w:pPr>
        <w:pStyle w:val="Heading1"/>
        <w:numPr>
          <w:ilvl w:val="0"/>
          <w:numId w:val="3"/>
        </w:numPr>
      </w:pPr>
      <w:bookmarkStart w:name="_Toc42177018" w:id="14"/>
      <w:r w:rsidRPr="00200EAC">
        <w:t>NON-DUPLICATION, CONSULTATIONS, AND OTHER COLLECTION CRITERIA</w:t>
      </w:r>
      <w:bookmarkEnd w:id="14"/>
    </w:p>
    <w:p w:rsidRPr="00200EAC" w:rsidR="00512823" w:rsidP="00E33A13" w:rsidRDefault="00512823" w14:paraId="4AE1FFE5" w14:textId="77777777">
      <w:pPr>
        <w:pStyle w:val="Heading2"/>
        <w:numPr>
          <w:ilvl w:val="1"/>
          <w:numId w:val="3"/>
        </w:numPr>
        <w:tabs>
          <w:tab w:val="left" w:pos="1080"/>
        </w:tabs>
      </w:pPr>
      <w:bookmarkStart w:name="_Toc42177019" w:id="15"/>
      <w:r w:rsidRPr="00200EAC">
        <w:t>Non-Duplication</w:t>
      </w:r>
      <w:bookmarkEnd w:id="15"/>
    </w:p>
    <w:p w:rsidR="00E33A13" w:rsidP="00E33A13" w:rsidRDefault="003F2C31" w14:paraId="5F21EA48" w14:textId="5D2F3C49">
      <w:r w:rsidRPr="009533EA">
        <w:t>The data included in this information collection</w:t>
      </w:r>
      <w:r>
        <w:t xml:space="preserve"> addendum</w:t>
      </w:r>
      <w:r w:rsidRPr="009533EA">
        <w:t xml:space="preserve"> (i.e., produ</w:t>
      </w:r>
      <w:r>
        <w:t>c</w:t>
      </w:r>
      <w:r w:rsidRPr="009533EA">
        <w:t>tion</w:t>
      </w:r>
      <w:r>
        <w:t xml:space="preserve"> </w:t>
      </w:r>
      <w:r w:rsidRPr="009533EA">
        <w:t xml:space="preserve">volume, chemical manufacture, exposure, and processing and use data) are not collected comprehensively or systematically at the national level by any other </w:t>
      </w:r>
      <w:r>
        <w:t>entities</w:t>
      </w:r>
      <w:r w:rsidRPr="009533EA">
        <w:t>.</w:t>
      </w:r>
    </w:p>
    <w:p w:rsidRPr="00B14BF0" w:rsidR="00512823" w:rsidP="00E33A13" w:rsidRDefault="00512823" w14:paraId="3325B056" w14:textId="77777777">
      <w:pPr>
        <w:pStyle w:val="Heading2"/>
        <w:numPr>
          <w:ilvl w:val="1"/>
          <w:numId w:val="3"/>
        </w:numPr>
        <w:tabs>
          <w:tab w:val="left" w:pos="1080"/>
        </w:tabs>
      </w:pPr>
      <w:bookmarkStart w:name="_Toc42177020" w:id="16"/>
      <w:r w:rsidRPr="00B14BF0">
        <w:t>Consultations and Public Comments</w:t>
      </w:r>
      <w:bookmarkEnd w:id="16"/>
    </w:p>
    <w:p w:rsidR="004E4AA3" w:rsidP="008828B9" w:rsidRDefault="004E4AA3" w14:paraId="6836F04D" w14:textId="34DC8AB5">
      <w:pPr>
        <w:pStyle w:val="ListParagraph"/>
        <w:numPr>
          <w:ilvl w:val="12"/>
          <w:numId w:val="3"/>
        </w:numPr>
        <w:ind w:left="0"/>
        <w:rPr>
          <w:rFonts w:eastAsiaTheme="minorHAnsi"/>
          <w:lang w:bidi="ar-SA"/>
        </w:rPr>
      </w:pPr>
      <w:r w:rsidRPr="004E4AA3">
        <w:rPr>
          <w:rFonts w:eastAsiaTheme="minorHAnsi"/>
          <w:lang w:bidi="ar-SA"/>
        </w:rPr>
        <w:t>During the public comment period for the proposed rule from April 24, 2019</w:t>
      </w:r>
      <w:r w:rsidR="00327C07">
        <w:rPr>
          <w:rFonts w:eastAsiaTheme="minorHAnsi"/>
          <w:lang w:bidi="ar-SA"/>
        </w:rPr>
        <w:t>,</w:t>
      </w:r>
      <w:r w:rsidRPr="004E4AA3">
        <w:rPr>
          <w:rFonts w:eastAsiaTheme="minorHAnsi"/>
          <w:lang w:bidi="ar-SA"/>
        </w:rPr>
        <w:t xml:space="preserve"> to June 24, 2019, EPA received </w:t>
      </w:r>
      <w:r>
        <w:rPr>
          <w:rFonts w:eastAsiaTheme="minorHAnsi"/>
          <w:lang w:bidi="ar-SA"/>
        </w:rPr>
        <w:t>10</w:t>
      </w:r>
      <w:r w:rsidRPr="004E4AA3">
        <w:rPr>
          <w:rFonts w:eastAsiaTheme="minorHAnsi"/>
          <w:lang w:bidi="ar-SA"/>
        </w:rPr>
        <w:t xml:space="preserve"> comments on the </w:t>
      </w:r>
      <w:r>
        <w:rPr>
          <w:rFonts w:eastAsiaTheme="minorHAnsi"/>
          <w:lang w:bidi="ar-SA"/>
        </w:rPr>
        <w:t xml:space="preserve">small manufacture definition as it relates to the </w:t>
      </w:r>
      <w:r w:rsidRPr="004E4AA3">
        <w:rPr>
          <w:rFonts w:eastAsiaTheme="minorHAnsi"/>
          <w:lang w:bidi="ar-SA"/>
        </w:rPr>
        <w:t xml:space="preserve">reporting and recordkeeping burden associated with reporting to CDR. </w:t>
      </w:r>
    </w:p>
    <w:p w:rsidRPr="004E4AA3" w:rsidR="004E4AA3" w:rsidP="00BD4AF1" w:rsidRDefault="004E4AA3" w14:paraId="75CA80E1" w14:textId="2FC906BC">
      <w:r>
        <w:t>Some</w:t>
      </w:r>
      <w:r w:rsidRPr="00D665DC">
        <w:t xml:space="preserve"> commenters supported the proposed update to the current two-standard definition at 40 CFR 704.3</w:t>
      </w:r>
      <w:r>
        <w:t xml:space="preserve"> while other</w:t>
      </w:r>
      <w:r w:rsidRPr="00D665DC">
        <w:t xml:space="preserve"> commenters requested that EPA implement a variable employment-based size standard for CDR and TSCA section 8(a) that uses different industry specific standards defined by NAICS codes, similar to </w:t>
      </w:r>
      <w:r>
        <w:t xml:space="preserve">the </w:t>
      </w:r>
      <w:r w:rsidRPr="00D665DC">
        <w:t>TSCA fees rule which is based on the SBA definition for small business, as opposed to the current two-standard revenue-based definition.</w:t>
      </w:r>
      <w:r>
        <w:t xml:space="preserve"> Many commenters did not believe that the proposed update provided enough additional regulatory relief. </w:t>
      </w:r>
      <w:r w:rsidRPr="00D665DC">
        <w:t>EPA considered several approaches including approaches by SBA and others to establishing a small manufacturer definition.</w:t>
      </w:r>
      <w:r>
        <w:t xml:space="preserve"> After considering multiple options, EPA determined that the proposed option properly updated the current definition and provided additional burden reduction while minimizing the loss of information to the Agency. </w:t>
      </w:r>
      <w:r w:rsidRPr="00D665DC">
        <w:t xml:space="preserve">Disproportionate losses of reporting on TSCA Work Plan chemicals constitute </w:t>
      </w:r>
      <w:r>
        <w:t xml:space="preserve">a </w:t>
      </w:r>
      <w:r w:rsidRPr="00D665DC">
        <w:t xml:space="preserve">potential loss of information necessary for key </w:t>
      </w:r>
      <w:r>
        <w:t>A</w:t>
      </w:r>
      <w:r w:rsidRPr="00D665DC">
        <w:t>gency decisions.</w:t>
      </w:r>
    </w:p>
    <w:p w:rsidRPr="008828B9" w:rsidR="008828B9" w:rsidP="00BD4AF1" w:rsidRDefault="00395811" w14:paraId="33F1B704" w14:textId="1EADB8E7">
      <w:r w:rsidRPr="00C72352">
        <w:t xml:space="preserve">For a more detailed discussion of the response to comments associated with paperwork burden please see </w:t>
      </w:r>
      <w:r>
        <w:t xml:space="preserve">Attachment </w:t>
      </w:r>
      <w:r w:rsidR="00CB29D5">
        <w:t>C</w:t>
      </w:r>
      <w:r w:rsidR="008828B9">
        <w:t>.</w:t>
      </w:r>
    </w:p>
    <w:p w:rsidR="00512823" w:rsidP="00E33A13" w:rsidRDefault="00512823" w14:paraId="7E5FB5E9" w14:textId="061D325D">
      <w:pPr>
        <w:pStyle w:val="Heading2"/>
        <w:numPr>
          <w:ilvl w:val="1"/>
          <w:numId w:val="3"/>
        </w:numPr>
        <w:tabs>
          <w:tab w:val="left" w:pos="1080"/>
        </w:tabs>
        <w:rPr>
          <w:szCs w:val="24"/>
        </w:rPr>
      </w:pPr>
      <w:bookmarkStart w:name="_Toc42177021" w:id="17"/>
      <w:r w:rsidRPr="00200EAC">
        <w:rPr>
          <w:szCs w:val="24"/>
        </w:rPr>
        <w:t>Effects of Less Frequent Collection</w:t>
      </w:r>
      <w:bookmarkEnd w:id="17"/>
    </w:p>
    <w:p w:rsidRPr="003B47C8" w:rsidR="003B47C8" w:rsidP="005A132E" w:rsidRDefault="003B47C8" w14:paraId="2921C745" w14:textId="3A059264">
      <w:r>
        <w:t xml:space="preserve">If data </w:t>
      </w:r>
      <w:r w:rsidR="00327C07">
        <w:t xml:space="preserve">were </w:t>
      </w:r>
      <w:r>
        <w:t xml:space="preserve">collected less frequently there would be a significant loss of data to the agency and general public as there are no alternative data sets as comprehensive as CDR for the chemical manufacturing industry. Requiring this data collection every </w:t>
      </w:r>
      <w:r w:rsidRPr="00584412">
        <w:t xml:space="preserve">four years will help to increase the </w:t>
      </w:r>
      <w:r>
        <w:t>a</w:t>
      </w:r>
      <w:r w:rsidRPr="00584412">
        <w:t xml:space="preserve">gency’s ability to understand the chemical industry and monitor the production levels of chemical substances manufactured (including imported) in the United States. As chemical industry product lines and manufacturing in the United States change substantially </w:t>
      </w:r>
      <w:r w:rsidRPr="00584412">
        <w:lastRenderedPageBreak/>
        <w:t xml:space="preserve">from one submission period to the next, more current information enhances the </w:t>
      </w:r>
      <w:r>
        <w:t>a</w:t>
      </w:r>
      <w:r w:rsidRPr="00584412">
        <w:t xml:space="preserve">gency’s ability to make more accurate chemical substance risk assessment and management decisions in a timely and </w:t>
      </w:r>
      <w:proofErr w:type="gramStart"/>
      <w:r w:rsidRPr="00584412">
        <w:t>cost effective</w:t>
      </w:r>
      <w:proofErr w:type="gramEnd"/>
      <w:r w:rsidRPr="00584412">
        <w:t xml:space="preserve"> manner.</w:t>
      </w:r>
    </w:p>
    <w:p w:rsidRPr="00200EAC" w:rsidR="00DB7F57" w:rsidP="00DB7F57" w:rsidRDefault="00DB7F57" w14:paraId="257E0757" w14:textId="77777777">
      <w:pPr>
        <w:pStyle w:val="Heading2"/>
        <w:numPr>
          <w:ilvl w:val="1"/>
          <w:numId w:val="3"/>
        </w:numPr>
        <w:tabs>
          <w:tab w:val="left" w:pos="1080"/>
        </w:tabs>
      </w:pPr>
      <w:bookmarkStart w:name="_Toc42177022" w:id="18"/>
      <w:r w:rsidRPr="00200EAC">
        <w:t>Small Entity Flexibility</w:t>
      </w:r>
      <w:bookmarkEnd w:id="18"/>
    </w:p>
    <w:p w:rsidRPr="00ED6F18" w:rsidR="001F54B5" w:rsidP="00517CCF" w:rsidRDefault="001F54B5" w14:paraId="18E3603C" w14:textId="4DC6F2A8">
      <w:pPr>
        <w:pStyle w:val="BodyText"/>
      </w:pPr>
      <w:r w:rsidRPr="00E779D7">
        <w:t xml:space="preserve">EPA </w:t>
      </w:r>
      <w:r w:rsidR="00752548">
        <w:t xml:space="preserve">is </w:t>
      </w:r>
      <w:r w:rsidRPr="00E779D7">
        <w:t>updat</w:t>
      </w:r>
      <w:r w:rsidR="00752548">
        <w:t>ing</w:t>
      </w:r>
      <w:r w:rsidRPr="00E779D7">
        <w:t xml:space="preserve"> the TSCA section 8(a) small manufacturer definition, as required, based on the determination made on November 30, 2017 (8</w:t>
      </w:r>
      <w:r w:rsidRPr="00ED6F18">
        <w:t xml:space="preserve">2 FR 56824). The </w:t>
      </w:r>
      <w:r>
        <w:t>final</w:t>
      </w:r>
      <w:r w:rsidRPr="00ED6F18">
        <w:t xml:space="preserve"> definition applies to small manufacturers for TSCA section 8(a) rules, including CDR, unless a different standard is identified in the regulatory text of a particular rule. Small manufacturers (including importers), in accordance with TSCA section 8(a) and 40 CFR sections 711.9, are generally exempt and therefore are generally not subject to any of the reporting or recordkeeping requirements.</w:t>
      </w:r>
    </w:p>
    <w:p w:rsidRPr="00CE48BA" w:rsidR="001F54B5" w:rsidP="00517CCF" w:rsidRDefault="001F54B5" w14:paraId="65EFABA5" w14:textId="2A776C02">
      <w:pPr>
        <w:pStyle w:val="BodyText"/>
      </w:pPr>
      <w:r w:rsidRPr="00ED6F18">
        <w:t xml:space="preserve">The </w:t>
      </w:r>
      <w:r>
        <w:t>final</w:t>
      </w:r>
      <w:r w:rsidRPr="00ED6F18">
        <w:t xml:space="preserve"> definition for small manufacturers updates the current two-standard definition at 40 CFR 704.3 by adjusting the sales figure for the first standard from $40 million to $1</w:t>
      </w:r>
      <w:r>
        <w:t>2</w:t>
      </w:r>
      <w:r w:rsidRPr="00ED6F18">
        <w:t>0 million (while retaining the same production volume level at 100,000 lb) and adjusting the sales figure for the second standard from $4 million to $1</w:t>
      </w:r>
      <w:r>
        <w:t>2</w:t>
      </w:r>
      <w:r w:rsidRPr="00ED6F18">
        <w:t xml:space="preserve"> million (applies to any production volume).</w:t>
      </w:r>
      <w:r w:rsidRPr="00CE48BA">
        <w:t xml:space="preserve"> </w:t>
      </w:r>
    </w:p>
    <w:p w:rsidR="001F54B5" w:rsidP="00517CCF" w:rsidRDefault="001F54B5" w14:paraId="41CE9AF7" w14:textId="61B79D72">
      <w:pPr>
        <w:pStyle w:val="BodyText"/>
      </w:pPr>
      <w:r w:rsidRPr="00E779D7">
        <w:t xml:space="preserve">In addition to the </w:t>
      </w:r>
      <w:r>
        <w:t>updated</w:t>
      </w:r>
      <w:r w:rsidRPr="00E779D7">
        <w:t xml:space="preserve"> standards for small manufacturers, EPA </w:t>
      </w:r>
      <w:r w:rsidR="00752548">
        <w:t xml:space="preserve">is </w:t>
      </w:r>
      <w:r>
        <w:t>establish</w:t>
      </w:r>
      <w:r w:rsidR="00752548">
        <w:t>ing</w:t>
      </w:r>
      <w:r w:rsidRPr="00E779D7">
        <w:t xml:space="preserve"> a size standard for small governments. Currently, there is no small government definition in TSCA </w:t>
      </w:r>
      <w:r w:rsidRPr="00ED6F18">
        <w:t xml:space="preserve">section 8(a). </w:t>
      </w:r>
      <w:r>
        <w:t>T</w:t>
      </w:r>
      <w:r w:rsidRPr="00ED6F18">
        <w:t xml:space="preserve">his definition </w:t>
      </w:r>
      <w:r>
        <w:t>will</w:t>
      </w:r>
      <w:r w:rsidRPr="00ED6F18">
        <w:t xml:space="preserve"> reduce the reporting burden for governments considered </w:t>
      </w:r>
      <w:r w:rsidR="00752548">
        <w:t xml:space="preserve">small </w:t>
      </w:r>
      <w:r w:rsidRPr="00ED6F18">
        <w:t xml:space="preserve">manufacturers under TSCA. EPA </w:t>
      </w:r>
      <w:r w:rsidR="00F61FC3">
        <w:t>will use</w:t>
      </w:r>
      <w:r w:rsidRPr="00ED6F18">
        <w:t xml:space="preserve"> the same definition for small governments as the Regulatory Flexibility Act (5 U.S.C. section 601(5)), which is: A small governmental jurisdiction is the government of a city, county, town, township, village, school district, or special district with a population of less than 50,000. States and tribal governments are not considered small governments</w:t>
      </w:r>
      <w:r>
        <w:t>.</w:t>
      </w:r>
    </w:p>
    <w:p w:rsidRPr="008E4044" w:rsidR="007B77B3" w:rsidP="00517CCF" w:rsidRDefault="008E4044" w14:paraId="5C1FF88D" w14:textId="10BBA200">
      <w:pPr>
        <w:pStyle w:val="BodyText"/>
      </w:pPr>
      <w:r w:rsidRPr="008E4044">
        <w:t>Appendix D contains relevant e</w:t>
      </w:r>
      <w:r w:rsidRPr="00B43A02">
        <w:t>xcerp</w:t>
      </w:r>
      <w:r w:rsidRPr="00B43A02" w:rsidR="00B43A02">
        <w:t>t</w:t>
      </w:r>
      <w:r w:rsidRPr="00B43A02">
        <w:t>s from</w:t>
      </w:r>
      <w:r w:rsidRPr="00B43A02" w:rsidR="00B43A02">
        <w:t xml:space="preserve"> t</w:t>
      </w:r>
      <w:r w:rsidRPr="00B43A02">
        <w:t>he</w:t>
      </w:r>
      <w:r w:rsidRPr="00B43A02" w:rsidR="00B43A02">
        <w:t xml:space="preserve"> 2020 CDR Instructions for</w:t>
      </w:r>
      <w:r w:rsidR="00B43A02">
        <w:t xml:space="preserve"> Reporting.</w:t>
      </w:r>
      <w:r w:rsidRPr="00B43A02">
        <w:t xml:space="preserve"> </w:t>
      </w:r>
    </w:p>
    <w:p w:rsidRPr="00200EAC" w:rsidR="00512823" w:rsidP="00DB7F57" w:rsidRDefault="00512823" w14:paraId="057BE20E" w14:textId="77777777">
      <w:pPr>
        <w:pStyle w:val="Heading2"/>
        <w:numPr>
          <w:ilvl w:val="1"/>
          <w:numId w:val="3"/>
        </w:numPr>
        <w:tabs>
          <w:tab w:val="left" w:pos="1080"/>
        </w:tabs>
      </w:pPr>
      <w:bookmarkStart w:name="_Toc42177023" w:id="19"/>
      <w:r w:rsidRPr="00200EAC">
        <w:t xml:space="preserve">General </w:t>
      </w:r>
      <w:r w:rsidRPr="00200EAC" w:rsidR="00E33A13">
        <w:t xml:space="preserve">PRA Related </w:t>
      </w:r>
      <w:r w:rsidRPr="00200EAC">
        <w:t>Guidelines</w:t>
      </w:r>
      <w:bookmarkEnd w:id="19"/>
    </w:p>
    <w:p w:rsidRPr="009533EA" w:rsidR="008C67DD" w:rsidP="008C67DD" w:rsidRDefault="008C67DD" w14:paraId="1211ECE5" w14:textId="77777777">
      <w:pPr>
        <w:pStyle w:val="BodyText"/>
      </w:pPr>
      <w:r w:rsidRPr="009533EA">
        <w:t>This collection does not exceed any of the Paperwork Reduction Act (PRA) guidelines at 5 CFR 1320.6, with the exceptions listed below.</w:t>
      </w:r>
    </w:p>
    <w:p w:rsidRPr="00F3427A" w:rsidR="00512823" w:rsidP="008C67DD" w:rsidRDefault="008C67DD" w14:paraId="7C9BD46D" w14:textId="54B9D6B2">
      <w:pPr>
        <w:pStyle w:val="ListParagraph"/>
        <w:numPr>
          <w:ilvl w:val="12"/>
          <w:numId w:val="3"/>
        </w:numPr>
        <w:ind w:left="0"/>
      </w:pPr>
      <w:r w:rsidRPr="009533EA">
        <w:t xml:space="preserve">The record retention period of this collection is five years, as specified in 40 CFR 711.25, exceeding the PRA maximum of three years. </w:t>
      </w:r>
      <w:r>
        <w:t>EPA is not finalizing changes to the record retention period</w:t>
      </w:r>
      <w:r w:rsidRPr="00F3427A" w:rsidR="00200EAC">
        <w:t>.</w:t>
      </w:r>
    </w:p>
    <w:p w:rsidRPr="00F3427A" w:rsidR="00512823" w:rsidP="00DB7F57" w:rsidRDefault="00512823" w14:paraId="6B53EE6D" w14:textId="77777777">
      <w:pPr>
        <w:pStyle w:val="Heading2"/>
        <w:numPr>
          <w:ilvl w:val="1"/>
          <w:numId w:val="3"/>
        </w:numPr>
        <w:tabs>
          <w:tab w:val="left" w:pos="1080"/>
        </w:tabs>
      </w:pPr>
      <w:bookmarkStart w:name="_Toc42177024" w:id="20"/>
      <w:r w:rsidRPr="00F3427A">
        <w:t>Confidentiality</w:t>
      </w:r>
      <w:bookmarkEnd w:id="20"/>
    </w:p>
    <w:p w:rsidRPr="00F3427A" w:rsidR="00E33A13" w:rsidP="00517CCF" w:rsidRDefault="00517CCF" w14:paraId="4B462B42" w14:textId="3400A62C">
      <w:pPr>
        <w:pStyle w:val="BodyText"/>
      </w:pPr>
      <w:r w:rsidRPr="009533EA">
        <w:t>C</w:t>
      </w:r>
      <w:r>
        <w:t xml:space="preserve">onfidential business information (CBI) </w:t>
      </w:r>
      <w:r w:rsidRPr="009533EA">
        <w:t xml:space="preserve">claims limit </w:t>
      </w:r>
      <w:r>
        <w:t xml:space="preserve">public </w:t>
      </w:r>
      <w:r w:rsidRPr="009533EA">
        <w:t>access to the CDR data. EPA recognizes that some information submitted to the Agency is legitimately con</w:t>
      </w:r>
      <w:r>
        <w:t>fidential business information, and</w:t>
      </w:r>
      <w:r w:rsidRPr="009533EA">
        <w:t xml:space="preserve"> EPA</w:t>
      </w:r>
      <w:r>
        <w:t xml:space="preserve"> reviews</w:t>
      </w:r>
      <w:r w:rsidRPr="009533EA">
        <w:t xml:space="preserve"> CBI data </w:t>
      </w:r>
      <w:r>
        <w:t>in its mission</w:t>
      </w:r>
      <w:r w:rsidRPr="009533EA">
        <w:t xml:space="preserve"> to protect human health and the environment</w:t>
      </w:r>
      <w:r>
        <w:t>, in accordance with TSCA section 14(f) and (g)</w:t>
      </w:r>
      <w:r w:rsidRPr="009533EA">
        <w:t>.</w:t>
      </w:r>
      <w:r>
        <w:t xml:space="preserve"> The 8(a) SMD Update Rule does not make any changes to how or what submitters claim as CBI. A separate rulemaking, titled “</w:t>
      </w:r>
      <w:r w:rsidRPr="00517CCF">
        <w:t>Economic Analysis for the Final Rule on TSCA Chemical Data Reporting (CDR) Revisions</w:t>
      </w:r>
      <w:r>
        <w:t xml:space="preserve">” </w:t>
      </w:r>
      <w:r w:rsidR="00F54C80">
        <w:t xml:space="preserve">(EPA, </w:t>
      </w:r>
      <w:r w:rsidR="0096792C">
        <w:t xml:space="preserve">2019a) </w:t>
      </w:r>
      <w:r>
        <w:t>handles the changes to confidentiality claims effected by the Lautenberg Act.</w:t>
      </w:r>
    </w:p>
    <w:p w:rsidRPr="00F3427A" w:rsidR="00512823" w:rsidP="00DB7F57" w:rsidRDefault="00512823" w14:paraId="5DF66AD3" w14:textId="77777777">
      <w:pPr>
        <w:pStyle w:val="Heading2"/>
        <w:numPr>
          <w:ilvl w:val="1"/>
          <w:numId w:val="3"/>
        </w:numPr>
        <w:tabs>
          <w:tab w:val="left" w:pos="1080"/>
        </w:tabs>
      </w:pPr>
      <w:bookmarkStart w:name="_Toc42177025" w:id="21"/>
      <w:r w:rsidRPr="00F3427A">
        <w:t>Sensitive Questions</w:t>
      </w:r>
      <w:bookmarkEnd w:id="21"/>
    </w:p>
    <w:p w:rsidRPr="00F3427A" w:rsidR="008648B5" w:rsidP="00E33A13" w:rsidRDefault="009913C5" w14:paraId="516D176A" w14:textId="2E136328">
      <w:pPr>
        <w:numPr>
          <w:ilvl w:val="12"/>
          <w:numId w:val="0"/>
        </w:numPr>
      </w:pPr>
      <w:r w:rsidRPr="00DA1088">
        <w:t>No information of a sensitive or private nature is requested in conjunction with this information collection activity, and this information collection activity complies with the provisions of the Privacy Act of 1974 and OMB Circular A</w:t>
      </w:r>
      <w:r>
        <w:t>-</w:t>
      </w:r>
      <w:r w:rsidRPr="00DA1088">
        <w:t>108</w:t>
      </w:r>
      <w:r w:rsidRPr="00F3427A" w:rsidR="00512823">
        <w:t>.</w:t>
      </w:r>
    </w:p>
    <w:p w:rsidRPr="00F3427A" w:rsidR="00DB7F57" w:rsidP="00DB7F57" w:rsidRDefault="00DB7F57" w14:paraId="5981E999" w14:textId="77777777">
      <w:pPr>
        <w:pStyle w:val="Heading1"/>
        <w:numPr>
          <w:ilvl w:val="0"/>
          <w:numId w:val="3"/>
        </w:numPr>
        <w:rPr>
          <w:sz w:val="24"/>
          <w:szCs w:val="24"/>
        </w:rPr>
      </w:pPr>
      <w:bookmarkStart w:name="_Toc42177026" w:id="22"/>
      <w:r w:rsidRPr="00F3427A">
        <w:lastRenderedPageBreak/>
        <w:t>AGENCY ACTIVITIES, COLLECTION METHODOLOGY, AND INFORMATION MANAGEMENT</w:t>
      </w:r>
      <w:bookmarkEnd w:id="22"/>
    </w:p>
    <w:p w:rsidRPr="00F3427A" w:rsidR="00DB7F57" w:rsidP="00713CD7" w:rsidRDefault="00713CD7" w14:paraId="67EB7E54" w14:textId="7A3F7D41">
      <w:pPr>
        <w:pStyle w:val="Heading2"/>
      </w:pPr>
      <w:r>
        <w:tab/>
      </w:r>
      <w:bookmarkStart w:name="_Toc42177027" w:id="23"/>
      <w:r>
        <w:t>4(a).</w:t>
      </w:r>
      <w:r>
        <w:tab/>
        <w:t xml:space="preserve"> </w:t>
      </w:r>
      <w:r w:rsidRPr="00F3427A" w:rsidR="00DB7F57">
        <w:t>Agency Activities</w:t>
      </w:r>
      <w:bookmarkEnd w:id="23"/>
    </w:p>
    <w:p w:rsidRPr="009533EA" w:rsidR="005911FB" w:rsidP="005911FB" w:rsidRDefault="005911FB" w14:paraId="3DF3DB33" w14:textId="77777777">
      <w:pPr>
        <w:pStyle w:val="BodyText"/>
      </w:pPr>
      <w:r w:rsidRPr="009533EA">
        <w:t>The Agency develops and maintains the electronic tool used to collect and verify data</w:t>
      </w:r>
      <w:r>
        <w:t xml:space="preserve"> and routinely conducts o</w:t>
      </w:r>
      <w:r w:rsidRPr="009533EA">
        <w:t xml:space="preserve">ther </w:t>
      </w:r>
      <w:r>
        <w:t xml:space="preserve">activities </w:t>
      </w:r>
      <w:r w:rsidRPr="009533EA">
        <w:t>related to the processing, analysis and storage of the information collected under this rule</w:t>
      </w:r>
      <w:r>
        <w:t>. In this ICR Addendum, only the Agency activities related to the changes created by the final rule are considered</w:t>
      </w:r>
      <w:r w:rsidRPr="009533EA">
        <w:t xml:space="preserve"> includ</w:t>
      </w:r>
      <w:r>
        <w:t>i</w:t>
      </w:r>
      <w:r w:rsidRPr="009533EA">
        <w:t>ng:</w:t>
      </w:r>
    </w:p>
    <w:p w:rsidRPr="00561314" w:rsidR="005911FB" w:rsidP="005911FB" w:rsidRDefault="005911FB" w14:paraId="4F2CF5C3" w14:textId="77777777">
      <w:pPr>
        <w:pStyle w:val="CommentText"/>
        <w:numPr>
          <w:ilvl w:val="0"/>
          <w:numId w:val="25"/>
        </w:numPr>
        <w:rPr>
          <w:sz w:val="24"/>
          <w:szCs w:val="24"/>
        </w:rPr>
      </w:pPr>
      <w:r w:rsidRPr="009E0FDC">
        <w:rPr>
          <w:sz w:val="24"/>
          <w:szCs w:val="24"/>
        </w:rPr>
        <w:t>Submission receipt and tracking</w:t>
      </w:r>
    </w:p>
    <w:p w:rsidRPr="00561314" w:rsidR="005911FB" w:rsidP="005911FB" w:rsidRDefault="005911FB" w14:paraId="0ADD2990" w14:textId="77777777">
      <w:pPr>
        <w:pStyle w:val="CommentText"/>
        <w:numPr>
          <w:ilvl w:val="0"/>
          <w:numId w:val="25"/>
        </w:numPr>
        <w:rPr>
          <w:sz w:val="24"/>
          <w:szCs w:val="24"/>
        </w:rPr>
      </w:pPr>
      <w:r w:rsidRPr="009E0FDC">
        <w:rPr>
          <w:sz w:val="24"/>
          <w:szCs w:val="24"/>
        </w:rPr>
        <w:t>Data Review</w:t>
      </w:r>
    </w:p>
    <w:p w:rsidRPr="009533EA" w:rsidR="005911FB" w:rsidP="005911FB" w:rsidRDefault="005911FB" w14:paraId="6190261E" w14:textId="5C50AA4B">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sidRPr="00561314">
        <w:t>Quality Control</w:t>
      </w:r>
      <w:r w:rsidRPr="005911FB">
        <w:rPr>
          <w:rStyle w:val="FootnoteReference"/>
          <w:vertAlign w:val="superscript"/>
        </w:rPr>
        <w:footnoteReference w:id="4"/>
      </w:r>
    </w:p>
    <w:p w:rsidR="00660CEA" w:rsidP="00DB7F57" w:rsidRDefault="00660CEA" w14:paraId="2EF54445" w14:textId="727801B8">
      <w:pPr>
        <w:pStyle w:val="Heading2"/>
        <w:numPr>
          <w:ilvl w:val="1"/>
          <w:numId w:val="3"/>
        </w:numPr>
        <w:tabs>
          <w:tab w:val="left" w:pos="1080"/>
        </w:tabs>
      </w:pPr>
      <w:bookmarkStart w:name="_Toc42177028" w:id="24"/>
      <w:r w:rsidRPr="00F3427A">
        <w:t>Estimated Agency Costs</w:t>
      </w:r>
      <w:bookmarkEnd w:id="24"/>
    </w:p>
    <w:p w:rsidR="00693369" w:rsidP="00693369" w:rsidRDefault="00693369" w14:paraId="00E6F48C" w14:textId="238E4229">
      <w:r w:rsidRPr="00A44CCA">
        <w:t xml:space="preserve">The Agency engages in several activities related to CDR </w:t>
      </w:r>
      <w:r>
        <w:t>reporting,</w:t>
      </w:r>
      <w:r w:rsidRPr="00A44CCA">
        <w:t xml:space="preserve"> including: </w:t>
      </w:r>
      <w:r>
        <w:t>d</w:t>
      </w:r>
      <w:r w:rsidRPr="00A44CCA">
        <w:t xml:space="preserve">ocument receipt and tracking; quality control of data, including protection of CBI; </w:t>
      </w:r>
      <w:r>
        <w:t>b</w:t>
      </w:r>
      <w:r w:rsidRPr="00A44CCA">
        <w:t xml:space="preserve">ackup systems operation; </w:t>
      </w:r>
      <w:r>
        <w:t>d</w:t>
      </w:r>
      <w:r w:rsidRPr="00A44CCA">
        <w:t xml:space="preserve">ata processing; </w:t>
      </w:r>
      <w:r>
        <w:t>s</w:t>
      </w:r>
      <w:r w:rsidRPr="00A44CCA">
        <w:t xml:space="preserve">ystems development; </w:t>
      </w:r>
      <w:r>
        <w:t>c</w:t>
      </w:r>
      <w:r w:rsidRPr="00A44CCA">
        <w:t xml:space="preserve">ontract oversight and management; </w:t>
      </w:r>
      <w:r>
        <w:t>p</w:t>
      </w:r>
      <w:r w:rsidRPr="00A44CCA">
        <w:t xml:space="preserve">ublication of materials and creating </w:t>
      </w:r>
      <w:r>
        <w:t>PDF</w:t>
      </w:r>
      <w:r w:rsidRPr="00A44CCA">
        <w:t xml:space="preserve">s of forms; and </w:t>
      </w:r>
      <w:r>
        <w:t>o</w:t>
      </w:r>
      <w:r w:rsidRPr="00A44CCA">
        <w:t>peration of the TSCA Hotline to handle CDR-related calls.</w:t>
      </w:r>
      <w:r w:rsidRPr="00FE308E" w:rsidR="00FE308E">
        <w:t xml:space="preserve"> </w:t>
      </w:r>
      <w:r w:rsidR="00FE308E">
        <w:t xml:space="preserve">For the </w:t>
      </w:r>
      <w:r w:rsidR="008C550D">
        <w:t>8(a) SMD Update</w:t>
      </w:r>
      <w:r w:rsidR="00FE308E">
        <w:t>, EPA</w:t>
      </w:r>
      <w:r w:rsidRPr="00A44CCA" w:rsidR="00FE308E">
        <w:t xml:space="preserve"> estimate</w:t>
      </w:r>
      <w:r w:rsidR="00FE308E">
        <w:t>s</w:t>
      </w:r>
      <w:r w:rsidRPr="00A44CCA" w:rsidR="00FE308E">
        <w:t xml:space="preserve"> </w:t>
      </w:r>
      <w:r w:rsidR="00FE308E">
        <w:t xml:space="preserve">over the four-year reporting cycle </w:t>
      </w:r>
      <w:r w:rsidRPr="00A44CCA" w:rsidR="00FE308E">
        <w:t xml:space="preserve">incremental </w:t>
      </w:r>
      <w:r w:rsidR="00FE308E">
        <w:t xml:space="preserve">Agency </w:t>
      </w:r>
      <w:r w:rsidRPr="00A44CCA" w:rsidR="00FE308E">
        <w:t>burden</w:t>
      </w:r>
      <w:r w:rsidR="00FE308E">
        <w:t xml:space="preserve"> reduction </w:t>
      </w:r>
      <w:r w:rsidRPr="00A44CCA" w:rsidR="00FE308E">
        <w:t>and cost</w:t>
      </w:r>
      <w:r w:rsidR="00FE308E">
        <w:t xml:space="preserve"> savings </w:t>
      </w:r>
      <w:r w:rsidRPr="00A44CCA" w:rsidR="00FE308E">
        <w:t>a</w:t>
      </w:r>
      <w:r w:rsidR="00FE308E">
        <w:t xml:space="preserve">t </w:t>
      </w:r>
      <w:r w:rsidRPr="00A44CCA" w:rsidR="00FE308E">
        <w:t>1</w:t>
      </w:r>
      <w:r w:rsidR="002939B0">
        <w:t>4</w:t>
      </w:r>
      <w:r w:rsidRPr="00A44CCA" w:rsidR="00FE308E">
        <w:t xml:space="preserve"> hours and $</w:t>
      </w:r>
      <w:r w:rsidR="00FE308E">
        <w:t>1,</w:t>
      </w:r>
      <w:r w:rsidR="002939B0">
        <w:t>8</w:t>
      </w:r>
      <w:r w:rsidR="00FE308E">
        <w:t>1</w:t>
      </w:r>
      <w:r w:rsidR="002939B0">
        <w:t>6</w:t>
      </w:r>
      <w:r w:rsidR="00FE308E">
        <w:t xml:space="preserve"> due to a reduction in the number of sites and chemical reports </w:t>
      </w:r>
      <w:r w:rsidR="00480FFC">
        <w:t>resulting from</w:t>
      </w:r>
      <w:r w:rsidR="00FE308E">
        <w:t xml:space="preserve"> the </w:t>
      </w:r>
      <w:r w:rsidR="002939B0">
        <w:t>change in the small manufacturer definition</w:t>
      </w:r>
      <w:r w:rsidRPr="00A44CCA" w:rsidR="00FE308E">
        <w:t xml:space="preserve">. </w:t>
      </w:r>
      <w:r w:rsidR="00C82F00">
        <w:t>See Appendix A for a detailed de</w:t>
      </w:r>
      <w:r w:rsidR="00BD15C9">
        <w:t>rivation</w:t>
      </w:r>
      <w:r w:rsidR="00C82F00">
        <w:t xml:space="preserve"> of </w:t>
      </w:r>
      <w:r w:rsidR="00BD15C9">
        <w:t>Agency costs.</w:t>
      </w:r>
    </w:p>
    <w:p w:rsidRPr="00F3427A" w:rsidR="00DB7F57" w:rsidP="00660CEA" w:rsidRDefault="00DB7F57" w14:paraId="200D2F67" w14:textId="77777777">
      <w:pPr>
        <w:pStyle w:val="Heading2"/>
        <w:numPr>
          <w:ilvl w:val="2"/>
          <w:numId w:val="3"/>
        </w:numPr>
        <w:tabs>
          <w:tab w:val="left" w:pos="1080"/>
          <w:tab w:val="left" w:pos="1620"/>
        </w:tabs>
      </w:pPr>
      <w:bookmarkStart w:name="_Toc42177029" w:id="25"/>
      <w:r w:rsidRPr="00F3427A">
        <w:t>Collection Schedule</w:t>
      </w:r>
      <w:bookmarkEnd w:id="25"/>
    </w:p>
    <w:p w:rsidR="00385470" w:rsidP="00385470" w:rsidRDefault="00385470" w14:paraId="4803A375" w14:textId="77777777">
      <w:pPr>
        <w:pStyle w:val="BodyText"/>
      </w:pPr>
      <w:r>
        <w:t xml:space="preserve">EPA is not making any changes to the collection schedule. </w:t>
      </w:r>
      <w:r w:rsidRPr="009533EA">
        <w:t>The submission period/schedule follows the requirements of 40 CFR 711.20.</w:t>
      </w:r>
      <w:r>
        <w:t xml:space="preserve"> </w:t>
      </w:r>
      <w:r w:rsidRPr="009533EA">
        <w:t xml:space="preserve">The submission period for the </w:t>
      </w:r>
      <w:r>
        <w:t xml:space="preserve">next </w:t>
      </w:r>
      <w:r w:rsidRPr="009533EA">
        <w:t>collection</w:t>
      </w:r>
      <w:r>
        <w:t xml:space="preserve"> in 2020</w:t>
      </w:r>
      <w:r w:rsidRPr="009533EA">
        <w:t xml:space="preserve"> will be from June 1, 2020 to September 30, 2020.</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55"/>
        <w:gridCol w:w="2921"/>
      </w:tblGrid>
      <w:tr w:rsidRPr="009533EA" w:rsidR="00385470" w:rsidTr="00FE4621" w14:paraId="430B95FD" w14:textId="77777777">
        <w:trPr>
          <w:tblHeader/>
        </w:trPr>
        <w:tc>
          <w:tcPr>
            <w:tcW w:w="6655" w:type="dxa"/>
            <w:shd w:val="clear" w:color="auto" w:fill="BFBFBF" w:themeFill="background1" w:themeFillShade="BF"/>
          </w:tcPr>
          <w:p w:rsidRPr="00FE4621" w:rsidR="00385470" w:rsidP="00FE4621" w:rsidRDefault="00385470" w14:paraId="4EA2A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b/>
                <w:sz w:val="20"/>
                <w:szCs w:val="20"/>
              </w:rPr>
            </w:pPr>
            <w:r w:rsidRPr="00FE4621">
              <w:rPr>
                <w:rFonts w:ascii="Arial Narrow" w:hAnsi="Arial Narrow" w:eastAsia="Times New Roman" w:cs="Times New Roman"/>
                <w:b/>
                <w:sz w:val="20"/>
                <w:szCs w:val="20"/>
              </w:rPr>
              <w:t>Activity</w:t>
            </w:r>
          </w:p>
        </w:tc>
        <w:tc>
          <w:tcPr>
            <w:tcW w:w="2921" w:type="dxa"/>
            <w:shd w:val="clear" w:color="auto" w:fill="BFBFBF" w:themeFill="background1" w:themeFillShade="BF"/>
          </w:tcPr>
          <w:p w:rsidRPr="00FE4621" w:rsidR="00385470" w:rsidP="00FE4621" w:rsidRDefault="00385470" w14:paraId="506B64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b/>
                <w:sz w:val="20"/>
                <w:szCs w:val="20"/>
              </w:rPr>
            </w:pPr>
            <w:r w:rsidRPr="00FE4621">
              <w:rPr>
                <w:rFonts w:ascii="Arial Narrow" w:hAnsi="Arial Narrow" w:eastAsia="Times New Roman" w:cs="Times New Roman"/>
                <w:b/>
                <w:sz w:val="20"/>
                <w:szCs w:val="20"/>
              </w:rPr>
              <w:t>Timeline</w:t>
            </w:r>
          </w:p>
        </w:tc>
      </w:tr>
      <w:tr w:rsidRPr="009533EA" w:rsidR="00385470" w:rsidTr="00FE4621" w14:paraId="630A59A7" w14:textId="77777777">
        <w:tc>
          <w:tcPr>
            <w:tcW w:w="6655" w:type="dxa"/>
          </w:tcPr>
          <w:p w:rsidRPr="00FE4621" w:rsidR="00385470" w:rsidP="00FE4621" w:rsidRDefault="00385470" w14:paraId="2E85E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Public outreach efforts: articles in industry press, meetings with regulated community, and information on the CDR website</w:t>
            </w:r>
          </w:p>
        </w:tc>
        <w:tc>
          <w:tcPr>
            <w:tcW w:w="2921" w:type="dxa"/>
          </w:tcPr>
          <w:p w:rsidRPr="00FE4621" w:rsidR="00385470" w:rsidP="00FE4621" w:rsidRDefault="00385470" w14:paraId="61D92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2018-2020</w:t>
            </w:r>
          </w:p>
        </w:tc>
      </w:tr>
      <w:tr w:rsidRPr="009533EA" w:rsidR="00385470" w:rsidTr="00FE4621" w14:paraId="14FE6F13" w14:textId="77777777">
        <w:tc>
          <w:tcPr>
            <w:tcW w:w="6655" w:type="dxa"/>
          </w:tcPr>
          <w:p w:rsidRPr="00FE4621" w:rsidR="00385470" w:rsidP="00FE4621" w:rsidRDefault="00385470" w14:paraId="1F1E57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Email to 2020 CDR e-mailing list and other stakeholders with instructions for obtaining the reporting form and initiating reporting</w:t>
            </w:r>
          </w:p>
        </w:tc>
        <w:tc>
          <w:tcPr>
            <w:tcW w:w="2921" w:type="dxa"/>
          </w:tcPr>
          <w:p w:rsidRPr="00FE4621" w:rsidR="00385470" w:rsidP="00FE4621" w:rsidRDefault="00385470" w14:paraId="69FC7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Early 2020</w:t>
            </w:r>
          </w:p>
        </w:tc>
      </w:tr>
      <w:tr w:rsidRPr="009533EA" w:rsidR="00385470" w:rsidTr="00FE4621" w14:paraId="2689C9B0" w14:textId="77777777">
        <w:tc>
          <w:tcPr>
            <w:tcW w:w="6655" w:type="dxa"/>
          </w:tcPr>
          <w:p w:rsidRPr="00FE4621" w:rsidR="00385470" w:rsidP="00FE4621" w:rsidRDefault="00385470" w14:paraId="7FF7E1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Open period for submitting 2020 CDR Forms</w:t>
            </w:r>
          </w:p>
        </w:tc>
        <w:tc>
          <w:tcPr>
            <w:tcW w:w="2921" w:type="dxa"/>
          </w:tcPr>
          <w:p w:rsidRPr="00FE4621" w:rsidR="00385470" w:rsidP="00FE4621" w:rsidRDefault="00385470" w14:paraId="639D59C5" w14:textId="353AC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Narrow" w:hAnsi="Arial Narrow" w:eastAsia="Times New Roman" w:cs="Times New Roman"/>
                <w:sz w:val="20"/>
                <w:szCs w:val="20"/>
              </w:rPr>
            </w:pPr>
            <w:r w:rsidRPr="00FE4621">
              <w:rPr>
                <w:rFonts w:ascii="Arial Narrow" w:hAnsi="Arial Narrow" w:eastAsia="Times New Roman" w:cs="Times New Roman"/>
                <w:sz w:val="20"/>
                <w:szCs w:val="20"/>
              </w:rPr>
              <w:t>June 1, 2020 to September 30, 2020</w:t>
            </w:r>
          </w:p>
        </w:tc>
      </w:tr>
    </w:tbl>
    <w:p w:rsidRPr="00BD4AF1" w:rsidR="005A75BB" w:rsidP="00BD4AF1" w:rsidRDefault="00660CEA" w14:paraId="05200D88" w14:textId="42734AD2">
      <w:pPr>
        <w:spacing w:before="200"/>
        <w:rPr>
          <w:b/>
          <w:bCs/>
        </w:rPr>
      </w:pPr>
      <w:r w:rsidRPr="00BD4AF1">
        <w:rPr>
          <w:b/>
          <w:bCs/>
        </w:rPr>
        <w:t>Use of Technology to Facilitate Collection Activities</w:t>
      </w:r>
      <w:r w:rsidRPr="00BD4AF1" w:rsidR="00BD4AF1">
        <w:rPr>
          <w:b/>
          <w:bCs/>
        </w:rPr>
        <w:t xml:space="preserve">: </w:t>
      </w:r>
      <w:r w:rsidR="005A75BB">
        <w:t>Submitters are required to submit information associated with this data collection electronically via the Internet using e-CDRweb and CDX.</w:t>
      </w:r>
    </w:p>
    <w:p w:rsidRPr="009533EA" w:rsidR="005A75BB" w:rsidP="005A75BB" w:rsidRDefault="005A75BB" w14:paraId="39B3CF88" w14:textId="26982859">
      <w:pPr>
        <w:pStyle w:val="BodyText"/>
      </w:pPr>
      <w:r>
        <w:t xml:space="preserve">EPA notifies potential submitters of the need to report in three ways: (1) makes available </w:t>
      </w:r>
      <w:r>
        <w:lastRenderedPageBreak/>
        <w:t xml:space="preserve">guidance describing CDR reporting requirements at chemical industry conferences and meetings, and through web and listserv announcements, (2) sends email notices to previous CDR submitters, and (3) publishes articles in the trade press. The requirement to report is based on the CDR regulations; potential submitters that do not receive a notification as listed above or who do not read published articles are still required to report. Reporting materials, including a non-submission version of the Form U and a variety of instructions documents (Instruction Manual, Q&amp;As, Case Studies, Fact Sheets), are available on EPA’s CDR website. Submitters </w:t>
      </w:r>
      <w:r w:rsidR="000A59EC">
        <w:t xml:space="preserve">can </w:t>
      </w:r>
      <w:r>
        <w:t>also obtain these materials from the TSCA Hotline. Submitters obtain the e-CDRweb reporting tool (which enables the completion of the Form U for submission) as part of the CDX electronic web-based registration process. The e-CDRweb reporting tool enables the user to complete Form U for submission to EPA.</w:t>
      </w:r>
    </w:p>
    <w:p w:rsidRPr="009533EA" w:rsidR="005A75BB" w:rsidP="005A75BB" w:rsidRDefault="005A75BB" w14:paraId="422D65EE" w14:textId="094ACD17">
      <w:pPr>
        <w:pStyle w:val="BodyText"/>
      </w:pPr>
      <w:r>
        <w:t>EPA receive</w:t>
      </w:r>
      <w:r w:rsidR="00753000">
        <w:t>s</w:t>
      </w:r>
      <w:r>
        <w:t xml:space="preserve"> all CDR submissions electronically. The CDX registration process, required for all submitters, provide</w:t>
      </w:r>
      <w:r w:rsidR="00753000">
        <w:t>s</w:t>
      </w:r>
      <w:r>
        <w:t xml:space="preserve"> a user ID, which the submitter use</w:t>
      </w:r>
      <w:r w:rsidR="00753000">
        <w:t>s</w:t>
      </w:r>
      <w:r>
        <w:t xml:space="preserve"> to access e-CDRweb. </w:t>
      </w:r>
    </w:p>
    <w:p w:rsidRPr="009533EA" w:rsidR="005A75BB" w:rsidP="005A75BB" w:rsidRDefault="005A75BB" w14:paraId="62AC26E9" w14:textId="77777777">
      <w:pPr>
        <w:pStyle w:val="BodyText"/>
      </w:pPr>
      <w:r>
        <w:t xml:space="preserve">Information quality control and validation begins with the e-CDRweb reporting tool, which is programmed to help the submitter provide the information required, in the correct format, as required by the CDR rule. </w:t>
      </w:r>
    </w:p>
    <w:p w:rsidRPr="001B1831" w:rsidR="001E7129" w:rsidP="005A75BB" w:rsidRDefault="005A75BB" w14:paraId="0722FE12" w14:textId="1F17F9FF">
      <w:pPr>
        <w:tabs>
          <w:tab w:val="left" w:pos="720"/>
          <w:tab w:val="left" w:pos="1080"/>
        </w:tabs>
      </w:pPr>
      <w:r>
        <w:t xml:space="preserve">To aid persons subject to this information collection, the Agency’s TSCA and CDX Hotlines are available to answer questions regarding the CDR requirements or submission process. When Hotline staff is unable to answer questions, the submitter is referred to OPPT’s Information Management Division (IMD) or Chemical Control Division (CCD), as appropriate. Submitters can also email their questions to the e-CDRweb mail site at </w:t>
      </w:r>
      <w:hyperlink r:id="rId13">
        <w:r w:rsidRPr="005A75BB">
          <w:rPr>
            <w:color w:val="0000FF"/>
            <w:u w:val="single"/>
          </w:rPr>
          <w:t>eCDRweb@epa.gov</w:t>
        </w:r>
      </w:hyperlink>
      <w:r>
        <w:t>. Other Divisions within OPPT or the Office of Environmental Information (OEI) may respond as necessary</w:t>
      </w:r>
      <w:r w:rsidRPr="001B1831" w:rsidR="00853B7A">
        <w:t>.</w:t>
      </w:r>
      <w:r w:rsidRPr="001B1831" w:rsidR="0076331C">
        <w:t xml:space="preserve"> </w:t>
      </w:r>
    </w:p>
    <w:p w:rsidRPr="00E41A4C" w:rsidR="006D7B41" w:rsidP="00983F5B" w:rsidRDefault="00E33A13" w14:paraId="608BF664" w14:textId="01F9367C">
      <w:pPr>
        <w:pStyle w:val="Heading1"/>
        <w:numPr>
          <w:ilvl w:val="0"/>
          <w:numId w:val="3"/>
        </w:numPr>
        <w:ind w:left="0" w:firstLine="0"/>
      </w:pPr>
      <w:bookmarkStart w:name="_Toc42177030" w:id="26"/>
      <w:r w:rsidRPr="00E41A4C">
        <w:t>T</w:t>
      </w:r>
      <w:r w:rsidR="00753000">
        <w:t>HE</w:t>
      </w:r>
      <w:r w:rsidRPr="00E41A4C">
        <w:t xml:space="preserve"> RESPONDENTS AND </w:t>
      </w:r>
      <w:r w:rsidRPr="00E41A4C" w:rsidR="006D7B41">
        <w:t>INFORMATION COLLECTION (IC) ACTIVITIES</w:t>
      </w:r>
      <w:bookmarkEnd w:id="26"/>
    </w:p>
    <w:p w:rsidR="00FC7E4D" w:rsidP="00E844EB" w:rsidRDefault="00E33A13" w14:paraId="35275514" w14:textId="3EDBBC7B">
      <w:pPr>
        <w:spacing w:after="120"/>
      </w:pPr>
      <w:r w:rsidRPr="00E41A4C">
        <w:t xml:space="preserve">For each </w:t>
      </w:r>
      <w:r w:rsidRPr="00E41A4C" w:rsidR="00512823">
        <w:t>respondent category</w:t>
      </w:r>
      <w:r w:rsidRPr="00E41A4C">
        <w:t xml:space="preserve">, this section of the ICR describes the respondents, the </w:t>
      </w:r>
      <w:r w:rsidRPr="004A19D1">
        <w:t>information collection activities and related estimates o</w:t>
      </w:r>
      <w:r w:rsidR="00F471D2">
        <w:t>f</w:t>
      </w:r>
      <w:r w:rsidRPr="004A19D1">
        <w:t xml:space="preserve"> burden and costs associated with those activities.</w:t>
      </w:r>
      <w:r w:rsidRPr="004A19D1" w:rsidR="004A492D">
        <w:t xml:space="preserve"> </w:t>
      </w:r>
    </w:p>
    <w:p w:rsidRPr="00574902" w:rsidR="004909CD" w:rsidP="004909CD" w:rsidRDefault="004909CD" w14:paraId="17E91F76" w14:textId="47CE120D">
      <w:pPr>
        <w:pStyle w:val="BodyText"/>
      </w:pPr>
      <w:r w:rsidRPr="00574902">
        <w:t>For the 2020 reporting cycle (as previously in the 2016 reporting cycle), manufacturers (including importers), must submit a Form U for each site at which 25,000 pounds or more (or 2,500 pounds or more, if applicable</w:t>
      </w:r>
      <w:r w:rsidRPr="005F405B">
        <w:rPr>
          <w:rStyle w:val="FootnoteReference"/>
          <w:vertAlign w:val="superscript"/>
        </w:rPr>
        <w:footnoteReference w:id="5"/>
      </w:r>
      <w:r w:rsidRPr="00574902">
        <w:t xml:space="preserve">) was manufactured (including imported) for a chemical substance in </w:t>
      </w:r>
      <w:r w:rsidRPr="00574902">
        <w:rPr>
          <w:i/>
          <w:iCs/>
        </w:rPr>
        <w:t xml:space="preserve">any </w:t>
      </w:r>
      <w:r w:rsidRPr="00574902">
        <w:t>calendar year in the principal reporting year and the previous three years. Estimates are presented according to the full reporting cycle first (</w:t>
      </w:r>
      <w:r w:rsidR="00982F11">
        <w:fldChar w:fldCharType="begin"/>
      </w:r>
      <w:r w:rsidR="00982F11">
        <w:instrText xml:space="preserve"> REF _Ref28866423 \h </w:instrText>
      </w:r>
      <w:r w:rsidR="00982F11">
        <w:fldChar w:fldCharType="separate"/>
      </w:r>
      <w:r w:rsidRPr="00D91C83" w:rsidR="00590B23">
        <w:t xml:space="preserve">Table </w:t>
      </w:r>
      <w:r w:rsidR="00590B23">
        <w:rPr>
          <w:noProof/>
        </w:rPr>
        <w:t>5</w:t>
      </w:r>
      <w:r w:rsidR="00590B23">
        <w:noBreakHyphen/>
      </w:r>
      <w:r w:rsidR="00590B23">
        <w:rPr>
          <w:noProof/>
        </w:rPr>
        <w:t>1</w:t>
      </w:r>
      <w:r w:rsidR="00982F11">
        <w:fldChar w:fldCharType="end"/>
      </w:r>
      <w:r w:rsidR="00982F11">
        <w:t xml:space="preserve"> </w:t>
      </w:r>
      <w:r w:rsidRPr="00574902">
        <w:t>through</w:t>
      </w:r>
      <w:r w:rsidR="0062172B">
        <w:t xml:space="preserve"> </w:t>
      </w:r>
      <w:r w:rsidRPr="0062172B" w:rsidR="0062172B">
        <w:fldChar w:fldCharType="begin"/>
      </w:r>
      <w:r w:rsidRPr="0062172B" w:rsidR="0062172B">
        <w:instrText xml:space="preserve"> REF _Ref28853370 \h  \* MERGEFORMAT </w:instrText>
      </w:r>
      <w:r w:rsidRPr="0062172B" w:rsidR="0062172B">
        <w:fldChar w:fldCharType="separate"/>
      </w:r>
      <w:r w:rsidRPr="00590B23" w:rsidR="00590B23">
        <w:t xml:space="preserve">Table </w:t>
      </w:r>
      <w:r w:rsidRPr="00590B23" w:rsidR="00590B23">
        <w:rPr>
          <w:noProof/>
        </w:rPr>
        <w:t>5</w:t>
      </w:r>
      <w:r w:rsidRPr="00590B23" w:rsidR="00590B23">
        <w:rPr>
          <w:noProof/>
        </w:rPr>
        <w:noBreakHyphen/>
        <w:t>5</w:t>
      </w:r>
      <w:r w:rsidRPr="0062172B" w:rsidR="0062172B">
        <w:fldChar w:fldCharType="end"/>
      </w:r>
      <w:r w:rsidRPr="00574902">
        <w:t>) and then converted to a basis used for the ICR period (</w:t>
      </w:r>
      <w:r w:rsidRPr="0062172B" w:rsidR="0062172B">
        <w:fldChar w:fldCharType="begin"/>
      </w:r>
      <w:r w:rsidRPr="0062172B" w:rsidR="0062172B">
        <w:instrText xml:space="preserve"> REF _Ref28866357 \h  \* MERGEFORMAT </w:instrText>
      </w:r>
      <w:r w:rsidRPr="0062172B" w:rsidR="0062172B">
        <w:fldChar w:fldCharType="separate"/>
      </w:r>
      <w:r w:rsidRPr="00590B23" w:rsidR="00590B23">
        <w:t xml:space="preserve">Table </w:t>
      </w:r>
      <w:r w:rsidRPr="00590B23" w:rsidR="00590B23">
        <w:rPr>
          <w:noProof/>
        </w:rPr>
        <w:t>5</w:t>
      </w:r>
      <w:r w:rsidRPr="00590B23" w:rsidR="00590B23">
        <w:rPr>
          <w:noProof/>
        </w:rPr>
        <w:noBreakHyphen/>
        <w:t>6</w:t>
      </w:r>
      <w:r w:rsidRPr="0062172B" w:rsidR="0062172B">
        <w:fldChar w:fldCharType="end"/>
      </w:r>
      <w:r w:rsidRPr="00574902">
        <w:t>).</w:t>
      </w:r>
      <w:r w:rsidRPr="005F405B">
        <w:rPr>
          <w:rStyle w:val="FootnoteReference"/>
          <w:vertAlign w:val="superscript"/>
        </w:rPr>
        <w:footnoteReference w:id="6"/>
      </w:r>
      <w:r w:rsidRPr="00574902">
        <w:t xml:space="preserve"> Burden estimates are </w:t>
      </w:r>
      <w:r w:rsidRPr="00574902">
        <w:lastRenderedPageBreak/>
        <w:t xml:space="preserve">derived consistent with estimates described in the ICR renewal </w:t>
      </w:r>
      <w:bookmarkStart w:name="_Hlk527374851" w:id="27"/>
      <w:r w:rsidRPr="00574902">
        <w:t>(EPA, 2018b) and the Economic Analys</w:t>
      </w:r>
      <w:r>
        <w:t>i</w:t>
      </w:r>
      <w:r w:rsidRPr="00574902">
        <w:t>s for the</w:t>
      </w:r>
      <w:r>
        <w:t xml:space="preserve"> </w:t>
      </w:r>
      <w:r w:rsidR="00B04EB7">
        <w:t>8(a) SMD Update</w:t>
      </w:r>
      <w:r w:rsidRPr="00574902">
        <w:t xml:space="preserve"> </w:t>
      </w:r>
      <w:r>
        <w:t>R</w:t>
      </w:r>
      <w:r w:rsidRPr="00574902">
        <w:t xml:space="preserve">ule (EPA, </w:t>
      </w:r>
      <w:r>
        <w:t>2019</w:t>
      </w:r>
      <w:r w:rsidR="0096792C">
        <w:t>b</w:t>
      </w:r>
      <w:r w:rsidRPr="00574902">
        <w:t>)</w:t>
      </w:r>
      <w:bookmarkEnd w:id="27"/>
      <w:r w:rsidRPr="00574902">
        <w:t>.</w:t>
      </w:r>
      <w:r w:rsidRPr="005F405B">
        <w:rPr>
          <w:rStyle w:val="FootnoteReference"/>
          <w:vertAlign w:val="superscript"/>
        </w:rPr>
        <w:footnoteReference w:id="7"/>
      </w:r>
    </w:p>
    <w:p w:rsidRPr="00574902" w:rsidR="004909CD" w:rsidP="004909CD" w:rsidRDefault="007B299E" w14:paraId="6568B9B9" w14:textId="3BA3C059">
      <w:pPr>
        <w:pStyle w:val="BodyText"/>
      </w:pPr>
      <w:r w:rsidRPr="00A65ABF">
        <w:t>The</w:t>
      </w:r>
      <w:r w:rsidRPr="00AB608C">
        <w:t xml:space="preserve"> 8(a) SMD Update Rule involves</w:t>
      </w:r>
      <w:r w:rsidRPr="00A65ABF">
        <w:t xml:space="preserve"> changes that involve removal of reporting requirements for a portion of chemicals at a site, and changes that involve removal of reporting requirements for an entire site. </w:t>
      </w:r>
      <w:r>
        <w:t>See Section 5.3 of EPA (2019</w:t>
      </w:r>
      <w:r w:rsidR="00FA4C5C">
        <w:t>b</w:t>
      </w:r>
      <w:r>
        <w:t>) for more details.</w:t>
      </w:r>
    </w:p>
    <w:p w:rsidR="00660CEA" w:rsidP="00660CEA" w:rsidRDefault="00660CEA" w14:paraId="0E32248E" w14:textId="119C0288">
      <w:pPr>
        <w:pStyle w:val="Heading2"/>
        <w:numPr>
          <w:ilvl w:val="1"/>
          <w:numId w:val="3"/>
        </w:numPr>
        <w:tabs>
          <w:tab w:val="left" w:pos="1080"/>
        </w:tabs>
      </w:pPr>
      <w:bookmarkStart w:name="_Toc42177031" w:id="28"/>
      <w:r w:rsidRPr="004A19D1">
        <w:t>Methodology for Estimating Respondent Burden and Costs</w:t>
      </w:r>
      <w:bookmarkEnd w:id="28"/>
    </w:p>
    <w:p w:rsidRPr="009533EA" w:rsidR="001D65BA" w:rsidP="00E844EB" w:rsidRDefault="00983F5B" w14:paraId="4CF4D195" w14:textId="671915A5">
      <w:pPr>
        <w:pStyle w:val="BodyText"/>
      </w:pPr>
      <w:r w:rsidRPr="009533EA">
        <w:t>The regulated community consists of companies manufacturing (including importing) chemical substances listed on the TSCA Inventory and regulated under TSCA section 8</w:t>
      </w:r>
      <w:r>
        <w:t>(a)</w:t>
      </w:r>
      <w:r w:rsidRPr="009533EA">
        <w:t>. In general, the industry segments that compose the regulated community for the rule are those that produce or import chemical substances.</w:t>
      </w:r>
      <w:r>
        <w:t xml:space="preserve"> </w:t>
      </w:r>
      <w:r w:rsidRPr="008D4E8A">
        <w:t xml:space="preserve">Most respondents expected </w:t>
      </w:r>
      <w:r>
        <w:t>to be subject to</w:t>
      </w:r>
      <w:r w:rsidRPr="008D4E8A">
        <w:t xml:space="preserve"> this ICR have previously reported </w:t>
      </w:r>
      <w:r>
        <w:t xml:space="preserve">CDR </w:t>
      </w:r>
      <w:r w:rsidRPr="008D4E8A">
        <w:t>information</w:t>
      </w:r>
      <w:r>
        <w:t xml:space="preserve">. </w:t>
      </w:r>
      <w:r w:rsidRPr="009533EA">
        <w:t>The Agency’s previous experience with CDR collections has shown that the majority of the respondents affected by this collection activity are from the following NAICS code categories:</w:t>
      </w:r>
    </w:p>
    <w:p w:rsidRPr="00983F5B" w:rsidR="00983F5B" w:rsidP="00983F5B" w:rsidRDefault="00983F5B" w14:paraId="55B002FF" w14:textId="3F3E1C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eastAsia="Times New Roman" w:cs="Times New Roman"/>
        </w:rPr>
      </w:pPr>
      <w:r w:rsidRPr="00983F5B">
        <w:rPr>
          <w:rFonts w:eastAsia="Times New Roman" w:cs="Times New Roman"/>
        </w:rPr>
        <w:t>325 - Chemical Manufacturing</w:t>
      </w:r>
    </w:p>
    <w:p w:rsidRPr="00983F5B" w:rsidR="00983F5B" w:rsidP="00E844EB" w:rsidRDefault="00983F5B" w14:paraId="48C2CFF7" w14:textId="486056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Pr>
          <w:rFonts w:eastAsia="Times New Roman" w:cs="Times New Roman"/>
        </w:rPr>
      </w:pPr>
      <w:r w:rsidRPr="00983F5B">
        <w:rPr>
          <w:rFonts w:eastAsia="Times New Roman" w:cs="Times New Roman"/>
        </w:rPr>
        <w:t>324 - Petroleum and Coal Product Manufacturing</w:t>
      </w:r>
    </w:p>
    <w:p w:rsidR="00983F5B" w:rsidP="00E844EB" w:rsidRDefault="00983F5B" w14:paraId="74B1107E" w14:textId="77777777">
      <w:pPr>
        <w:spacing w:after="120"/>
      </w:pPr>
      <w:r w:rsidRPr="00983F5B">
        <w:rPr>
          <w:rFonts w:eastAsia="Times New Roman" w:cs="Times New Roman"/>
        </w:rPr>
        <w:t xml:space="preserve">In addition to the anticipated respondents from the NAICS listed above, the regulated community consists of manufacturers of byproducts that are required to report under certain TSCA section 8(a) rules, including CDR. Byproduct manufacturers may be listed under a different primary activity for a site, such as NAICS codes 22, 322, 327310, 331, and 3344 (namely utilities, paper manufacturing, cement manufacturing, primary metal manufacturing, and semiconductor and other electronic component manufacturing, respectively). </w:t>
      </w:r>
      <w:r w:rsidRPr="009533EA">
        <w:t>The subsectors identified above represent the designation of sites that likely would be subject to CDR reporting. However, this list does not include all potentially affected entities. Other types of entit</w:t>
      </w:r>
      <w:r>
        <w:t>ies</w:t>
      </w:r>
      <w:r w:rsidRPr="009533EA">
        <w:t xml:space="preserve"> not listed in this unit could also be subject to reporti</w:t>
      </w:r>
      <w:r>
        <w:t xml:space="preserve">ng.  </w:t>
      </w:r>
    </w:p>
    <w:p w:rsidR="00983F5B" w:rsidP="00943C28" w:rsidRDefault="00943C28" w14:paraId="2919D986" w14:textId="12B1598E">
      <w:pPr>
        <w:pStyle w:val="BodyText"/>
      </w:pPr>
      <w:r>
        <w:t>As noted above, i</w:t>
      </w:r>
      <w:r w:rsidRPr="002471B2">
        <w:t xml:space="preserve">n </w:t>
      </w:r>
      <w:r>
        <w:t>November</w:t>
      </w:r>
      <w:r w:rsidRPr="002471B2">
        <w:t xml:space="preserve"> 2017 EPA published a determination that the small manufacturer definition needs to be updated</w:t>
      </w:r>
      <w:r w:rsidRPr="00B81B86">
        <w:rPr>
          <w:lang w:eastAsia="ja-JP"/>
        </w:rPr>
        <w:t xml:space="preserve"> </w:t>
      </w:r>
      <w:r w:rsidRPr="0092530C">
        <w:rPr>
          <w:lang w:eastAsia="ja-JP"/>
        </w:rPr>
        <w:t>(82 FR 56824</w:t>
      </w:r>
      <w:r>
        <w:rPr>
          <w:lang w:eastAsia="ja-JP"/>
        </w:rPr>
        <w:t xml:space="preserve"> November 30, 2017</w:t>
      </w:r>
      <w:r w:rsidRPr="0092530C">
        <w:rPr>
          <w:lang w:eastAsia="ja-JP"/>
        </w:rPr>
        <w:t xml:space="preserve">). </w:t>
      </w:r>
      <w:r w:rsidRPr="002471B2">
        <w:t xml:space="preserve"> </w:t>
      </w:r>
      <w:r w:rsidRPr="00593946" w:rsidR="00B268F9">
        <w:t xml:space="preserve">EPA is </w:t>
      </w:r>
      <w:r>
        <w:t>finalizing an</w:t>
      </w:r>
      <w:r w:rsidRPr="00593946" w:rsidR="00B268F9">
        <w:t xml:space="preserve"> update </w:t>
      </w:r>
      <w:r>
        <w:t xml:space="preserve">to </w:t>
      </w:r>
      <w:r w:rsidRPr="00593946" w:rsidR="00B268F9">
        <w:t>this standard</w:t>
      </w:r>
      <w:r w:rsidRPr="00943C28" w:rsidR="00B268F9">
        <w:rPr>
          <w:rStyle w:val="FootnoteReference"/>
          <w:vertAlign w:val="superscript"/>
        </w:rPr>
        <w:footnoteReference w:id="8"/>
      </w:r>
      <w:r>
        <w:t xml:space="preserve"> and is establishing </w:t>
      </w:r>
      <w:r w:rsidRPr="00593946" w:rsidR="00B268F9">
        <w:t>a</w:t>
      </w:r>
      <w:r w:rsidRPr="00ED6F18" w:rsidR="00B268F9">
        <w:t xml:space="preserve"> section 8(a) definition for small government entities. </w:t>
      </w:r>
      <w:bookmarkStart w:name="_Hlk28956920" w:id="29"/>
    </w:p>
    <w:p w:rsidR="00EB5256" w:rsidP="00176A48" w:rsidRDefault="00DF7905" w14:paraId="79E9452C" w14:textId="19F190E5">
      <w:pPr>
        <w:pStyle w:val="Heading2"/>
        <w:tabs>
          <w:tab w:val="left" w:pos="1620"/>
        </w:tabs>
        <w:ind w:left="720"/>
      </w:pPr>
      <w:bookmarkStart w:name="_Toc23286852" w:id="30"/>
      <w:bookmarkStart w:name="_Toc42177032" w:id="31"/>
      <w:r>
        <w:t>5(a)(</w:t>
      </w:r>
      <w:proofErr w:type="spellStart"/>
      <w:r>
        <w:t>i</w:t>
      </w:r>
      <w:proofErr w:type="spellEnd"/>
      <w:r>
        <w:t>)</w:t>
      </w:r>
      <w:r w:rsidRPr="00176A48" w:rsidR="00176A48">
        <w:tab/>
      </w:r>
      <w:r w:rsidRPr="00EB5256" w:rsidR="00EB5256">
        <w:t>Respondent Activities</w:t>
      </w:r>
      <w:bookmarkEnd w:id="30"/>
      <w:bookmarkEnd w:id="31"/>
    </w:p>
    <w:p w:rsidRPr="00574902" w:rsidR="00EB5256" w:rsidP="00EB5256" w:rsidRDefault="00EB5256" w14:paraId="7AA1A143" w14:textId="356BB7E1">
      <w:pPr>
        <w:pStyle w:val="BodyText"/>
      </w:pPr>
      <w:r w:rsidRPr="00574902">
        <w:t>For the analysis in this section, the respondent is defined as a manufacturing site</w:t>
      </w:r>
      <w:r w:rsidR="00E55447">
        <w:t>, which could include</w:t>
      </w:r>
      <w:r w:rsidRPr="00574902">
        <w:t xml:space="preserve"> a government site.</w:t>
      </w:r>
      <w:bookmarkEnd w:id="29"/>
      <w:r w:rsidRPr="00574902">
        <w:t xml:space="preserve"> There is one response per respondent, as one Form U per site accommodates multiple chemical reports in the same submission. Incremental activities associated with preparing and submitting a Form U in response to the rule include rule </w:t>
      </w:r>
      <w:r w:rsidRPr="00574902">
        <w:lastRenderedPageBreak/>
        <w:t xml:space="preserve">familiarization, compliance determination, and form completion. The rule does not change any recordkeeping requirements, and therefore no associated burden and cost estimates for this activity are included in this analysis. Last, for </w:t>
      </w:r>
      <w:r>
        <w:t>reporters</w:t>
      </w:r>
      <w:r w:rsidRPr="00574902">
        <w:t xml:space="preserve"> not already registered in CDX, individuals must complete CDX registration, including e-signature. The rule does not change any requirements for CDX activities, and therefore no associated burden/cost estimates for this activity are included in this analysis. General descriptions of changes to activities are as follows:</w:t>
      </w:r>
    </w:p>
    <w:p w:rsidRPr="00574902" w:rsidR="00EB5256" w:rsidP="00EB5256" w:rsidRDefault="00EB5256" w14:paraId="25B49242" w14:textId="35A06B60">
      <w:pPr>
        <w:pStyle w:val="ListBullet"/>
        <w:numPr>
          <w:ilvl w:val="0"/>
          <w:numId w:val="28"/>
        </w:numPr>
        <w:spacing w:after="120"/>
        <w:ind w:left="720"/>
        <w:contextualSpacing w:val="0"/>
      </w:pPr>
      <w:r w:rsidRPr="00574902">
        <w:rPr>
          <w:b/>
        </w:rPr>
        <w:t xml:space="preserve">Rule Familiarization increase due to increased regulatory complexity: </w:t>
      </w:r>
      <w:r w:rsidRPr="00ED6F18" w:rsidR="00CD3D52">
        <w:t xml:space="preserve">The </w:t>
      </w:r>
      <w:r w:rsidR="00CD3D52">
        <w:t>final</w:t>
      </w:r>
      <w:r w:rsidRPr="00ED6F18" w:rsidR="00CD3D52">
        <w:t xml:space="preserve"> rule revises the general TSCA section 8(a) small manufacturer definition. </w:t>
      </w:r>
      <w:r w:rsidRPr="00AB608C" w:rsidR="00CD3D52">
        <w:t>R</w:t>
      </w:r>
      <w:r w:rsidRPr="009D76E6" w:rsidR="00CD3D52">
        <w:t xml:space="preserve">eporters must familiarize themselves with the new requirements. This activity entails reading the rule, understanding the reporting and administrative requirements, and determining what tasks </w:t>
      </w:r>
      <w:r w:rsidRPr="00ED6F18" w:rsidR="00CD3D52">
        <w:t>are required in order to meet reporting requirements. In future cycles, only new reporters will incur incremental increases to rule familiarization</w:t>
      </w:r>
      <w:r w:rsidRPr="00574902">
        <w:t xml:space="preserve">. </w:t>
      </w:r>
    </w:p>
    <w:p w:rsidRPr="00574902" w:rsidR="00EB5256" w:rsidP="00EB5256" w:rsidRDefault="00EB5256" w14:paraId="1B5BBED4" w14:textId="516DDF14">
      <w:pPr>
        <w:pStyle w:val="ListBullet"/>
        <w:tabs>
          <w:tab w:val="clear" w:pos="360"/>
          <w:tab w:val="num" w:pos="288"/>
        </w:tabs>
        <w:spacing w:after="120"/>
        <w:ind w:left="720"/>
        <w:contextualSpacing w:val="0"/>
      </w:pPr>
      <w:r w:rsidRPr="00574902">
        <w:rPr>
          <w:b/>
        </w:rPr>
        <w:t>Compliance Determination increase due to increased regulatory complexity:</w:t>
      </w:r>
      <w:r w:rsidRPr="00574902">
        <w:t xml:space="preserve"> </w:t>
      </w:r>
      <w:r w:rsidRPr="00ED6F18" w:rsidR="00CD3D52">
        <w:t xml:space="preserve">Under </w:t>
      </w:r>
      <w:r w:rsidR="00CD3D52">
        <w:t>the final</w:t>
      </w:r>
      <w:r w:rsidRPr="00ED6F18" w:rsidR="00CD3D52">
        <w:t xml:space="preserve"> TSCA section 8(a) small manufacturer definition, incremental compliance determination is considered negligible for industry reporters because the </w:t>
      </w:r>
      <w:r w:rsidR="00CD3D52">
        <w:t>final</w:t>
      </w:r>
      <w:r w:rsidRPr="00ED6F18" w:rsidR="00CD3D52">
        <w:t xml:space="preserve"> definition retains the same structure as the current definitions with adjustments only to the levels of the two revenue standards. Incremental compliance determination is, however, estimated for government reporters under the TSCA section 8(a) small government definition because there is no existing definition for these entities. Note that, by convention, new reporters and experienced reporters are assumed to incur the same levels of compliance determination</w:t>
      </w:r>
      <w:r w:rsidR="00700612">
        <w:t>.</w:t>
      </w:r>
    </w:p>
    <w:p w:rsidRPr="00EB5256" w:rsidR="00EB5256" w:rsidP="00766A13" w:rsidRDefault="00EB5256" w14:paraId="24A21F90" w14:textId="1A1542D5">
      <w:pPr>
        <w:pStyle w:val="ListBullet"/>
        <w:tabs>
          <w:tab w:val="clear" w:pos="360"/>
          <w:tab w:val="num" w:pos="288"/>
        </w:tabs>
        <w:spacing w:after="240"/>
        <w:ind w:left="720"/>
        <w:contextualSpacing w:val="0"/>
      </w:pPr>
      <w:r w:rsidRPr="00574902">
        <w:rPr>
          <w:b/>
        </w:rPr>
        <w:t xml:space="preserve">Form Completion: </w:t>
      </w:r>
      <w:r w:rsidR="00766A13">
        <w:t>T</w:t>
      </w:r>
      <w:r w:rsidRPr="00DA4C46" w:rsidR="00766A13">
        <w:t xml:space="preserve">he </w:t>
      </w:r>
      <w:r w:rsidR="00766A13">
        <w:t>final</w:t>
      </w:r>
      <w:r w:rsidRPr="00DA4C46" w:rsidR="00766A13">
        <w:t xml:space="preserve"> rule do</w:t>
      </w:r>
      <w:r w:rsidR="00766A13">
        <w:t>es</w:t>
      </w:r>
      <w:r w:rsidRPr="00DA4C46" w:rsidR="00766A13">
        <w:t xml:space="preserve"> not alter the activities required of reporters. Rather, </w:t>
      </w:r>
      <w:r w:rsidR="00766A13">
        <w:t>i</w:t>
      </w:r>
      <w:r w:rsidRPr="00DA4C46" w:rsidR="00766A13">
        <w:t>t affect</w:t>
      </w:r>
      <w:r w:rsidR="00766A13">
        <w:t>s</w:t>
      </w:r>
      <w:r w:rsidRPr="00DA4C46" w:rsidR="00766A13">
        <w:t xml:space="preserve"> whether, and for which chemicals, these sites are required to report. </w:t>
      </w:r>
      <w:r w:rsidR="00957718">
        <w:t>As such, the</w:t>
      </w:r>
      <w:r w:rsidRPr="00DA4C46" w:rsidR="00766A13">
        <w:t xml:space="preserve"> </w:t>
      </w:r>
      <w:r w:rsidR="00766A13">
        <w:t xml:space="preserve">final </w:t>
      </w:r>
      <w:r w:rsidRPr="00DA4C46" w:rsidR="00766A13">
        <w:t>small manufacturer definition and the new small government definition result in decreases i</w:t>
      </w:r>
      <w:r w:rsidRPr="00ED6F18" w:rsidR="00766A13">
        <w:t>n sites and chemical reports</w:t>
      </w:r>
      <w:r w:rsidRPr="00574902">
        <w:t>.</w:t>
      </w:r>
    </w:p>
    <w:p w:rsidR="00853B7A" w:rsidP="00853B7A" w:rsidRDefault="00FC7E4D" w14:paraId="552A8C30" w14:textId="590054D2">
      <w:pPr>
        <w:pStyle w:val="Heading2"/>
        <w:numPr>
          <w:ilvl w:val="1"/>
          <w:numId w:val="3"/>
        </w:numPr>
        <w:tabs>
          <w:tab w:val="left" w:pos="1080"/>
        </w:tabs>
        <w:rPr>
          <w:lang w:bidi="en-US"/>
        </w:rPr>
      </w:pPr>
      <w:bookmarkStart w:name="_Toc42177033" w:id="32"/>
      <w:r>
        <w:rPr>
          <w:lang w:bidi="en-US"/>
        </w:rPr>
        <w:t>Estimating Respondent Burden and Costs</w:t>
      </w:r>
      <w:bookmarkEnd w:id="32"/>
    </w:p>
    <w:p w:rsidR="004909CD" w:rsidP="004909CD" w:rsidRDefault="004909CD" w14:paraId="7CC2F093" w14:textId="3A705E20">
      <w:r>
        <w:t xml:space="preserve">This section presents the relevant unit burdens </w:t>
      </w:r>
      <w:r w:rsidR="00DE1A49">
        <w:t xml:space="preserve">and costs </w:t>
      </w:r>
      <w:r>
        <w:t xml:space="preserve">of the information collection activities to respondents in terms of the time required by </w:t>
      </w:r>
      <w:r w:rsidR="009F3077">
        <w:t>reporters</w:t>
      </w:r>
      <w:r>
        <w:t xml:space="preserve"> to perform the activities as outlined in the introductory section of this document.</w:t>
      </w:r>
    </w:p>
    <w:p w:rsidRPr="004909CD" w:rsidR="004909CD" w:rsidP="00176A48" w:rsidRDefault="004909CD" w14:paraId="0B054C1E" w14:textId="24FCFFCF">
      <w:pPr>
        <w:pStyle w:val="Heading2"/>
        <w:tabs>
          <w:tab w:val="left" w:pos="1620"/>
        </w:tabs>
        <w:ind w:left="720"/>
      </w:pPr>
      <w:bookmarkStart w:name="_Toc42177034" w:id="33"/>
      <w:r w:rsidRPr="004909CD">
        <w:t>5(b)(</w:t>
      </w:r>
      <w:proofErr w:type="spellStart"/>
      <w:r w:rsidRPr="004909CD">
        <w:t>i</w:t>
      </w:r>
      <w:proofErr w:type="spellEnd"/>
      <w:r w:rsidRPr="004909CD">
        <w:t>)</w:t>
      </w:r>
      <w:r w:rsidRPr="00176A48" w:rsidR="00176A48">
        <w:tab/>
      </w:r>
      <w:r>
        <w:t xml:space="preserve">IC#1 </w:t>
      </w:r>
      <w:r w:rsidR="00B51EFC">
        <w:t>TSCA Section 8(a) SMD Update</w:t>
      </w:r>
      <w:bookmarkEnd w:id="33"/>
    </w:p>
    <w:p w:rsidR="004909CD" w:rsidP="004909CD" w:rsidRDefault="007375F8" w14:paraId="295658EE" w14:textId="4E36DB5E">
      <w:pPr>
        <w:pStyle w:val="BodyText"/>
      </w:pPr>
      <w:r>
        <w:t>I</w:t>
      </w:r>
      <w:r w:rsidRPr="00574902" w:rsidR="004909CD">
        <w:t>ncremental experienced reporter unit burden for respondent activities associated with the rule</w:t>
      </w:r>
      <w:r>
        <w:t xml:space="preserve"> is presented in</w:t>
      </w:r>
      <w:r w:rsidR="003E5FC3">
        <w:t xml:space="preserve"> </w:t>
      </w:r>
      <w:r w:rsidR="003E5FC3">
        <w:fldChar w:fldCharType="begin"/>
      </w:r>
      <w:r w:rsidR="003E5FC3">
        <w:instrText xml:space="preserve"> REF _Ref28866423 \h </w:instrText>
      </w:r>
      <w:r w:rsidR="003E5FC3">
        <w:fldChar w:fldCharType="separate"/>
      </w:r>
      <w:r w:rsidRPr="00D91C83" w:rsidR="00590B23">
        <w:t xml:space="preserve">Table </w:t>
      </w:r>
      <w:r w:rsidR="00590B23">
        <w:rPr>
          <w:noProof/>
        </w:rPr>
        <w:t>5</w:t>
      </w:r>
      <w:r w:rsidR="00590B23">
        <w:noBreakHyphen/>
      </w:r>
      <w:r w:rsidR="00590B23">
        <w:rPr>
          <w:noProof/>
        </w:rPr>
        <w:t>1</w:t>
      </w:r>
      <w:r w:rsidR="003E5FC3">
        <w:fldChar w:fldCharType="end"/>
      </w:r>
      <w:r w:rsidRPr="00574902" w:rsidR="004909CD">
        <w:t xml:space="preserve">. Unit burdens in this table reflect changes in activities that are applied universally to all reporters. The activity-level unit burden estimates for changes in </w:t>
      </w:r>
      <w:r w:rsidR="003E5FC3">
        <w:fldChar w:fldCharType="begin"/>
      </w:r>
      <w:r w:rsidR="003E5FC3">
        <w:instrText xml:space="preserve"> REF _Ref28866423 \h </w:instrText>
      </w:r>
      <w:r w:rsidR="003E5FC3">
        <w:fldChar w:fldCharType="separate"/>
      </w:r>
      <w:r w:rsidRPr="00D91C83" w:rsidR="00590B23">
        <w:t xml:space="preserve">Table </w:t>
      </w:r>
      <w:r w:rsidR="00590B23">
        <w:rPr>
          <w:noProof/>
        </w:rPr>
        <w:t>5</w:t>
      </w:r>
      <w:r w:rsidR="00590B23">
        <w:noBreakHyphen/>
      </w:r>
      <w:r w:rsidR="00590B23">
        <w:rPr>
          <w:noProof/>
        </w:rPr>
        <w:t>1</w:t>
      </w:r>
      <w:r w:rsidR="003E5FC3">
        <w:fldChar w:fldCharType="end"/>
      </w:r>
      <w:r w:rsidR="003E5FC3">
        <w:t xml:space="preserve"> </w:t>
      </w:r>
      <w:r w:rsidRPr="00574902" w:rsidR="004909CD">
        <w:t xml:space="preserve">are based on estimates </w:t>
      </w:r>
      <w:r w:rsidR="004909CD">
        <w:t>for</w:t>
      </w:r>
      <w:r w:rsidRPr="00574902" w:rsidR="004909CD">
        <w:t xml:space="preserve"> similar activities and best professional judgment (for more detail, see EPA (</w:t>
      </w:r>
      <w:r w:rsidR="004909CD">
        <w:t>2019</w:t>
      </w:r>
      <w:r w:rsidR="00FA4C5C">
        <w:t>b</w:t>
      </w:r>
      <w:r w:rsidRPr="00574902" w:rsidR="004909CD">
        <w:t xml:space="preserve">)). </w:t>
      </w:r>
    </w:p>
    <w:p w:rsidR="00FE4621" w:rsidRDefault="00FE4621" w14:paraId="298A91B9" w14:textId="1824B13C">
      <w:pPr>
        <w:widowControl/>
        <w:spacing w:line="276" w:lineRule="auto"/>
        <w:rPr>
          <w:rFonts w:eastAsiaTheme="minorEastAsia"/>
          <w:lang w:bidi="en-US"/>
        </w:rPr>
      </w:pPr>
      <w:r>
        <w:br w:type="page"/>
      </w:r>
    </w:p>
    <w:p w:rsidRPr="00D91C83" w:rsidR="00AA7D6E" w:rsidP="00FE4621" w:rsidRDefault="00D91C83" w14:paraId="602C0CBF" w14:textId="08622C75">
      <w:pPr>
        <w:pStyle w:val="Caption"/>
        <w:spacing w:before="40" w:after="40"/>
        <w:rPr>
          <w:rFonts w:eastAsia="Times New Roman" w:cs="Arial"/>
          <w:bCs w:val="0"/>
          <w:color w:val="000000"/>
          <w:szCs w:val="24"/>
        </w:rPr>
      </w:pPr>
      <w:bookmarkStart w:name="_Ref28866423" w:id="34"/>
      <w:bookmarkStart w:name="_Toc42176581" w:id="35"/>
      <w:r w:rsidRPr="00D91C83">
        <w:lastRenderedPageBreak/>
        <w:t xml:space="preserve">Table </w:t>
      </w:r>
      <w:fldSimple w:instr=" STYLEREF 1 \s ">
        <w:r w:rsidR="00590B23">
          <w:rPr>
            <w:noProof/>
          </w:rPr>
          <w:t>5</w:t>
        </w:r>
      </w:fldSimple>
      <w:r w:rsidR="00A367CB">
        <w:noBreakHyphen/>
      </w:r>
      <w:fldSimple w:instr=" SEQ Table \* ARABIC \s 1 ">
        <w:r w:rsidR="00590B23">
          <w:rPr>
            <w:noProof/>
          </w:rPr>
          <w:t>1</w:t>
        </w:r>
      </w:fldSimple>
      <w:bookmarkEnd w:id="34"/>
      <w:r w:rsidRPr="00D91C83">
        <w:t>:</w:t>
      </w:r>
      <w:r w:rsidRPr="00D91C83" w:rsidR="00AA7D6E">
        <w:rPr>
          <w:rFonts w:eastAsia="Times New Roman" w:cs="Arial"/>
          <w:bCs w:val="0"/>
          <w:color w:val="000000"/>
          <w:szCs w:val="24"/>
        </w:rPr>
        <w:t xml:space="preserve"> Incremental Activity-Level Unit Burden per Four-Year Reporting Cycle, Experienced Reporters</w:t>
      </w:r>
      <w:bookmarkEnd w:id="35"/>
    </w:p>
    <w:tbl>
      <w:tblPr>
        <w:tblW w:w="5000" w:type="pct"/>
        <w:tblLook w:val="04A0" w:firstRow="1" w:lastRow="0" w:firstColumn="1" w:lastColumn="0" w:noHBand="0" w:noVBand="1"/>
      </w:tblPr>
      <w:tblGrid>
        <w:gridCol w:w="3231"/>
        <w:gridCol w:w="864"/>
        <w:gridCol w:w="989"/>
        <w:gridCol w:w="898"/>
        <w:gridCol w:w="818"/>
        <w:gridCol w:w="816"/>
        <w:gridCol w:w="1268"/>
        <w:gridCol w:w="1186"/>
      </w:tblGrid>
      <w:tr w:rsidRPr="00AA7D6E" w:rsidR="00AA7D6E" w:rsidTr="00AA7D6E" w14:paraId="57682CFD" w14:textId="77777777">
        <w:trPr>
          <w:trHeight w:val="1080"/>
        </w:trPr>
        <w:tc>
          <w:tcPr>
            <w:tcW w:w="1611" w:type="pct"/>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Pr="00AA7D6E" w:rsidR="00AA7D6E" w:rsidP="00FE4621" w:rsidRDefault="00AA7D6E" w14:paraId="7F6FCFDF"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Activity</w:t>
            </w:r>
          </w:p>
        </w:tc>
        <w:tc>
          <w:tcPr>
            <w:tcW w:w="436"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7F86ACF9"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Unit of Analysis</w:t>
            </w:r>
          </w:p>
        </w:tc>
        <w:tc>
          <w:tcPr>
            <w:tcW w:w="485"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6CA6BC2C"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Managerial Burden (hours)</w:t>
            </w:r>
          </w:p>
        </w:tc>
        <w:tc>
          <w:tcPr>
            <w:tcW w:w="440"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538DDD98"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Technical Burden (hours)</w:t>
            </w:r>
          </w:p>
        </w:tc>
        <w:tc>
          <w:tcPr>
            <w:tcW w:w="413"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047AE292"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Clerical Burden (hours)</w:t>
            </w:r>
          </w:p>
        </w:tc>
        <w:tc>
          <w:tcPr>
            <w:tcW w:w="412"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7952A00D"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Activity-Level Unit Burden (hours)</w:t>
            </w:r>
          </w:p>
        </w:tc>
        <w:tc>
          <w:tcPr>
            <w:tcW w:w="621"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71D30895"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Proportion of Affected Sites/Chemical Reports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AA7D6E" w:rsidR="00AA7D6E" w:rsidP="00FE4621" w:rsidRDefault="00AA7D6E" w14:paraId="47FD31B1" w14:textId="77777777">
            <w:pPr>
              <w:spacing w:before="40" w:after="40"/>
              <w:jc w:val="center"/>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Adjusted Unit Burden per Site/Chemical Report</w:t>
            </w:r>
          </w:p>
        </w:tc>
      </w:tr>
      <w:tr w:rsidRPr="00AA7D6E" w:rsidR="00AA7D6E" w:rsidTr="00AA7D6E" w14:paraId="6542BE5B" w14:textId="77777777">
        <w:trPr>
          <w:trHeight w:val="300"/>
        </w:trPr>
        <w:tc>
          <w:tcPr>
            <w:tcW w:w="5000" w:type="pct"/>
            <w:gridSpan w:val="8"/>
            <w:tcBorders>
              <w:top w:val="nil"/>
              <w:left w:val="single" w:color="auto" w:sz="4" w:space="0"/>
              <w:bottom w:val="nil"/>
              <w:right w:val="single" w:color="000000" w:sz="4" w:space="0"/>
            </w:tcBorders>
            <w:shd w:val="clear" w:color="auto" w:fill="auto"/>
            <w:vAlign w:val="center"/>
            <w:hideMark/>
          </w:tcPr>
          <w:p w:rsidRPr="00AA7D6E" w:rsidR="00AA7D6E" w:rsidP="00FE4621" w:rsidRDefault="00AA7D6E" w14:paraId="5292D002" w14:textId="77777777">
            <w:pPr>
              <w:spacing w:before="40" w:after="40"/>
              <w:rPr>
                <w:rFonts w:ascii="Arial Narrow" w:hAnsi="Arial Narrow" w:eastAsia="Times New Roman" w:cs="Calibri"/>
                <w:b/>
                <w:bCs/>
                <w:color w:val="000000"/>
                <w:sz w:val="18"/>
                <w:szCs w:val="18"/>
              </w:rPr>
            </w:pPr>
            <w:r w:rsidRPr="00AA7D6E">
              <w:rPr>
                <w:rFonts w:ascii="Arial Narrow" w:hAnsi="Arial Narrow" w:eastAsia="Times New Roman" w:cs="Calibri"/>
                <w:b/>
                <w:bCs/>
                <w:color w:val="000000"/>
                <w:sz w:val="18"/>
                <w:szCs w:val="18"/>
              </w:rPr>
              <w:t>Small Manufacturer and Small Government Definitions</w:t>
            </w:r>
          </w:p>
        </w:tc>
      </w:tr>
      <w:tr w:rsidRPr="00AA7D6E" w:rsidR="00AA7D6E" w:rsidTr="00AA7D6E" w14:paraId="49A40CCF" w14:textId="77777777">
        <w:trPr>
          <w:trHeight w:val="540"/>
        </w:trPr>
        <w:tc>
          <w:tcPr>
            <w:tcW w:w="1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A7D6E" w:rsidR="00AA7D6E" w:rsidP="00FE4621" w:rsidRDefault="00AA7D6E" w14:paraId="4C8D9CE6"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Rule Familiarization increase due to increase regulatory complexity (Industry and Gov't)</w:t>
            </w:r>
          </w:p>
        </w:tc>
        <w:tc>
          <w:tcPr>
            <w:tcW w:w="436" w:type="pct"/>
            <w:tcBorders>
              <w:top w:val="single" w:color="auto" w:sz="4" w:space="0"/>
              <w:left w:val="nil"/>
              <w:bottom w:val="single" w:color="auto" w:sz="4" w:space="0"/>
              <w:right w:val="single" w:color="auto" w:sz="4" w:space="0"/>
            </w:tcBorders>
            <w:shd w:val="clear" w:color="auto" w:fill="auto"/>
            <w:vAlign w:val="center"/>
            <w:hideMark/>
          </w:tcPr>
          <w:p w:rsidRPr="00AA7D6E" w:rsidR="00AA7D6E" w:rsidP="00FE4621" w:rsidRDefault="00AA7D6E" w14:paraId="6FC8F659"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Site</w:t>
            </w:r>
          </w:p>
        </w:tc>
        <w:tc>
          <w:tcPr>
            <w:tcW w:w="485" w:type="pct"/>
            <w:tcBorders>
              <w:top w:val="single" w:color="auto" w:sz="4" w:space="0"/>
              <w:left w:val="nil"/>
              <w:bottom w:val="single" w:color="auto" w:sz="4" w:space="0"/>
              <w:right w:val="single" w:color="auto" w:sz="4" w:space="0"/>
            </w:tcBorders>
            <w:shd w:val="clear" w:color="auto" w:fill="auto"/>
            <w:noWrap/>
            <w:vAlign w:val="center"/>
            <w:hideMark/>
          </w:tcPr>
          <w:p w:rsidRPr="00AA7D6E" w:rsidR="00AA7D6E" w:rsidP="00FE4621" w:rsidRDefault="00AA7D6E" w14:paraId="0B9FA986"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40" w:type="pct"/>
            <w:tcBorders>
              <w:top w:val="single" w:color="auto" w:sz="4" w:space="0"/>
              <w:left w:val="nil"/>
              <w:bottom w:val="single" w:color="auto" w:sz="4" w:space="0"/>
              <w:right w:val="single" w:color="auto" w:sz="4" w:space="0"/>
            </w:tcBorders>
            <w:shd w:val="clear" w:color="auto" w:fill="auto"/>
            <w:noWrap/>
            <w:vAlign w:val="center"/>
            <w:hideMark/>
          </w:tcPr>
          <w:p w:rsidRPr="00AA7D6E" w:rsidR="00AA7D6E" w:rsidP="00FE4621" w:rsidRDefault="00AA7D6E" w14:paraId="07373075"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13" w:type="pct"/>
            <w:tcBorders>
              <w:top w:val="single" w:color="auto" w:sz="4" w:space="0"/>
              <w:left w:val="nil"/>
              <w:bottom w:val="single" w:color="auto" w:sz="4" w:space="0"/>
              <w:right w:val="single" w:color="auto" w:sz="4" w:space="0"/>
            </w:tcBorders>
            <w:shd w:val="clear" w:color="auto" w:fill="auto"/>
            <w:noWrap/>
            <w:vAlign w:val="center"/>
            <w:hideMark/>
          </w:tcPr>
          <w:p w:rsidRPr="00AA7D6E" w:rsidR="00AA7D6E" w:rsidP="00FE4621" w:rsidRDefault="00AA7D6E" w14:paraId="6B4AA383"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12" w:type="pct"/>
            <w:tcBorders>
              <w:top w:val="single" w:color="auto" w:sz="4" w:space="0"/>
              <w:left w:val="nil"/>
              <w:bottom w:val="single" w:color="auto" w:sz="4" w:space="0"/>
              <w:right w:val="single" w:color="auto" w:sz="4" w:space="0"/>
            </w:tcBorders>
            <w:shd w:val="clear" w:color="auto" w:fill="auto"/>
            <w:vAlign w:val="center"/>
            <w:hideMark/>
          </w:tcPr>
          <w:p w:rsidRPr="00AA7D6E" w:rsidR="00AA7D6E" w:rsidP="00FE4621" w:rsidRDefault="00AA7D6E" w14:paraId="296FBC79"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621" w:type="pct"/>
            <w:tcBorders>
              <w:top w:val="single" w:color="auto" w:sz="4" w:space="0"/>
              <w:left w:val="nil"/>
              <w:bottom w:val="single" w:color="auto" w:sz="4" w:space="0"/>
              <w:right w:val="single" w:color="auto" w:sz="4" w:space="0"/>
            </w:tcBorders>
            <w:shd w:val="clear" w:color="auto" w:fill="auto"/>
            <w:vAlign w:val="center"/>
            <w:hideMark/>
          </w:tcPr>
          <w:p w:rsidRPr="00AA7D6E" w:rsidR="00AA7D6E" w:rsidP="00FE4621" w:rsidRDefault="00AA7D6E" w14:paraId="3E9E2661"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581" w:type="pct"/>
            <w:tcBorders>
              <w:top w:val="single" w:color="auto" w:sz="4" w:space="0"/>
              <w:left w:val="nil"/>
              <w:bottom w:val="single" w:color="auto" w:sz="4" w:space="0"/>
              <w:right w:val="single" w:color="auto" w:sz="4" w:space="0"/>
            </w:tcBorders>
            <w:shd w:val="clear" w:color="auto" w:fill="auto"/>
            <w:vAlign w:val="center"/>
            <w:hideMark/>
          </w:tcPr>
          <w:p w:rsidRPr="00AA7D6E" w:rsidR="00AA7D6E" w:rsidP="00FE4621" w:rsidRDefault="00AA7D6E" w14:paraId="54332876"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r>
      <w:tr w:rsidRPr="00AA7D6E" w:rsidR="00AA7D6E" w:rsidTr="00AA7D6E" w14:paraId="51076C55" w14:textId="77777777">
        <w:trPr>
          <w:trHeight w:val="540"/>
        </w:trPr>
        <w:tc>
          <w:tcPr>
            <w:tcW w:w="1611" w:type="pct"/>
            <w:tcBorders>
              <w:top w:val="nil"/>
              <w:left w:val="single" w:color="auto" w:sz="4" w:space="0"/>
              <w:bottom w:val="single" w:color="auto" w:sz="4" w:space="0"/>
              <w:right w:val="single" w:color="auto" w:sz="4" w:space="0"/>
            </w:tcBorders>
            <w:shd w:val="clear" w:color="auto" w:fill="auto"/>
            <w:vAlign w:val="center"/>
            <w:hideMark/>
          </w:tcPr>
          <w:p w:rsidRPr="00AA7D6E" w:rsidR="00AA7D6E" w:rsidP="00FE4621" w:rsidRDefault="00AA7D6E" w14:paraId="358C4827"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Compliance Determination increase due to increase regulatory complexity (Industry)</w:t>
            </w:r>
          </w:p>
        </w:tc>
        <w:tc>
          <w:tcPr>
            <w:tcW w:w="436"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61B8C9AC"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Site</w:t>
            </w:r>
          </w:p>
        </w:tc>
        <w:tc>
          <w:tcPr>
            <w:tcW w:w="485"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091DAC98"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40"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52730647"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13"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21C4C170"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12"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143DB1E4"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621"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1DDE4741"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1.000</w:t>
            </w:r>
          </w:p>
        </w:tc>
        <w:tc>
          <w:tcPr>
            <w:tcW w:w="581"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736050C4"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r>
      <w:tr w:rsidRPr="00AA7D6E" w:rsidR="00AA7D6E" w:rsidTr="00AA7D6E" w14:paraId="5190335B" w14:textId="77777777">
        <w:trPr>
          <w:trHeight w:val="540"/>
        </w:trPr>
        <w:tc>
          <w:tcPr>
            <w:tcW w:w="1611" w:type="pct"/>
            <w:tcBorders>
              <w:top w:val="nil"/>
              <w:left w:val="single" w:color="auto" w:sz="4" w:space="0"/>
              <w:bottom w:val="single" w:color="auto" w:sz="4" w:space="0"/>
              <w:right w:val="single" w:color="auto" w:sz="4" w:space="0"/>
            </w:tcBorders>
            <w:shd w:val="clear" w:color="auto" w:fill="auto"/>
            <w:vAlign w:val="center"/>
            <w:hideMark/>
          </w:tcPr>
          <w:p w:rsidRPr="00AA7D6E" w:rsidR="00AA7D6E" w:rsidP="00FE4621" w:rsidRDefault="00AA7D6E" w14:paraId="24D3DFE8"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Compliance Determination increase due to increase regulatory complexity (Gov't)</w:t>
            </w:r>
          </w:p>
        </w:tc>
        <w:tc>
          <w:tcPr>
            <w:tcW w:w="436"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6F4197C0"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Site</w:t>
            </w:r>
          </w:p>
        </w:tc>
        <w:tc>
          <w:tcPr>
            <w:tcW w:w="485"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4267A419"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0.052</w:t>
            </w:r>
          </w:p>
        </w:tc>
        <w:tc>
          <w:tcPr>
            <w:tcW w:w="440"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1D0F3CF5"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0.118</w:t>
            </w:r>
          </w:p>
        </w:tc>
        <w:tc>
          <w:tcPr>
            <w:tcW w:w="413" w:type="pct"/>
            <w:tcBorders>
              <w:top w:val="nil"/>
              <w:left w:val="nil"/>
              <w:bottom w:val="single" w:color="auto" w:sz="4" w:space="0"/>
              <w:right w:val="single" w:color="auto" w:sz="4" w:space="0"/>
            </w:tcBorders>
            <w:shd w:val="clear" w:color="auto" w:fill="auto"/>
            <w:noWrap/>
            <w:vAlign w:val="center"/>
            <w:hideMark/>
          </w:tcPr>
          <w:p w:rsidRPr="00AA7D6E" w:rsidR="00AA7D6E" w:rsidP="00FE4621" w:rsidRDefault="00AA7D6E" w14:paraId="6CA24FBA"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0.000</w:t>
            </w:r>
          </w:p>
        </w:tc>
        <w:tc>
          <w:tcPr>
            <w:tcW w:w="412"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29D992C6"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0.170</w:t>
            </w:r>
          </w:p>
        </w:tc>
        <w:tc>
          <w:tcPr>
            <w:tcW w:w="621"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1AE087AE"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1.000</w:t>
            </w:r>
          </w:p>
        </w:tc>
        <w:tc>
          <w:tcPr>
            <w:tcW w:w="581" w:type="pct"/>
            <w:tcBorders>
              <w:top w:val="nil"/>
              <w:left w:val="nil"/>
              <w:bottom w:val="single" w:color="auto" w:sz="4" w:space="0"/>
              <w:right w:val="single" w:color="auto" w:sz="4" w:space="0"/>
            </w:tcBorders>
            <w:shd w:val="clear" w:color="auto" w:fill="auto"/>
            <w:vAlign w:val="center"/>
            <w:hideMark/>
          </w:tcPr>
          <w:p w:rsidRPr="00AA7D6E" w:rsidR="00AA7D6E" w:rsidP="00FE4621" w:rsidRDefault="00AA7D6E" w14:paraId="32C1D835" w14:textId="77777777">
            <w:pPr>
              <w:spacing w:before="40" w:after="40"/>
              <w:jc w:val="center"/>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0.170</w:t>
            </w:r>
          </w:p>
        </w:tc>
      </w:tr>
      <w:tr w:rsidRPr="00AA7D6E" w:rsidR="00AA7D6E" w:rsidTr="00EC0BDA" w14:paraId="72C715AD" w14:textId="77777777">
        <w:trPr>
          <w:trHeight w:val="288"/>
        </w:trPr>
        <w:tc>
          <w:tcPr>
            <w:tcW w:w="5000" w:type="pct"/>
            <w:gridSpan w:val="8"/>
            <w:tcBorders>
              <w:top w:val="single" w:color="auto" w:sz="4" w:space="0"/>
              <w:left w:val="single" w:color="auto" w:sz="4" w:space="0"/>
              <w:right w:val="single" w:color="000000" w:sz="4" w:space="0"/>
            </w:tcBorders>
            <w:shd w:val="clear" w:color="auto" w:fill="auto"/>
            <w:vAlign w:val="center"/>
            <w:hideMark/>
          </w:tcPr>
          <w:p w:rsidRPr="00AA7D6E" w:rsidR="00AA7D6E" w:rsidP="00FE4621" w:rsidRDefault="00AA7D6E" w14:paraId="240F1C8D" w14:textId="77777777">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General Note:</w:t>
            </w:r>
          </w:p>
        </w:tc>
      </w:tr>
      <w:tr w:rsidRPr="00AA7D6E" w:rsidR="00AA7D6E" w:rsidTr="00EC0BDA" w14:paraId="012911F5" w14:textId="77777777">
        <w:trPr>
          <w:trHeight w:val="288"/>
        </w:trPr>
        <w:tc>
          <w:tcPr>
            <w:tcW w:w="5000" w:type="pct"/>
            <w:gridSpan w:val="8"/>
            <w:tcBorders>
              <w:top w:val="nil"/>
              <w:left w:val="single" w:color="auto" w:sz="4" w:space="0"/>
              <w:bottom w:val="single" w:color="auto" w:sz="4" w:space="0"/>
              <w:right w:val="single" w:color="000000" w:sz="4" w:space="0"/>
            </w:tcBorders>
            <w:shd w:val="clear" w:color="auto" w:fill="auto"/>
            <w:noWrap/>
            <w:vAlign w:val="center"/>
            <w:hideMark/>
          </w:tcPr>
          <w:p w:rsidRPr="00AA7D6E" w:rsidR="00AA7D6E" w:rsidP="00FE4621" w:rsidRDefault="00AA7D6E" w14:paraId="5A97807D" w14:textId="7B43026E">
            <w:pPr>
              <w:spacing w:before="40" w:after="40"/>
              <w:rPr>
                <w:rFonts w:ascii="Arial Narrow" w:hAnsi="Arial Narrow" w:eastAsia="Times New Roman" w:cs="Calibri"/>
                <w:color w:val="000000"/>
                <w:sz w:val="18"/>
                <w:szCs w:val="18"/>
              </w:rPr>
            </w:pPr>
            <w:r w:rsidRPr="00AA7D6E">
              <w:rPr>
                <w:rFonts w:ascii="Arial Narrow" w:hAnsi="Arial Narrow" w:eastAsia="Times New Roman" w:cs="Calibri"/>
                <w:color w:val="000000"/>
                <w:sz w:val="18"/>
                <w:szCs w:val="18"/>
              </w:rPr>
              <w:t xml:space="preserve">• For details on development and assumptions associated with items in this table, see </w:t>
            </w:r>
            <w:r w:rsidR="00962225">
              <w:rPr>
                <w:rFonts w:ascii="Arial Narrow" w:hAnsi="Arial Narrow" w:eastAsia="Times New Roman" w:cs="Calibri"/>
                <w:color w:val="000000"/>
                <w:sz w:val="18"/>
                <w:szCs w:val="18"/>
              </w:rPr>
              <w:t>8(a) SMD Update</w:t>
            </w:r>
            <w:r w:rsidRPr="00AA7D6E">
              <w:rPr>
                <w:rFonts w:ascii="Arial Narrow" w:hAnsi="Arial Narrow" w:eastAsia="Times New Roman" w:cs="Calibri"/>
                <w:color w:val="000000"/>
                <w:sz w:val="18"/>
                <w:szCs w:val="18"/>
              </w:rPr>
              <w:t xml:space="preserve"> </w:t>
            </w:r>
            <w:r>
              <w:rPr>
                <w:rFonts w:ascii="Arial Narrow" w:hAnsi="Arial Narrow" w:eastAsia="Times New Roman" w:cs="Calibri"/>
                <w:color w:val="000000"/>
                <w:sz w:val="18"/>
                <w:szCs w:val="18"/>
              </w:rPr>
              <w:t>EA</w:t>
            </w:r>
            <w:r w:rsidRPr="00AA7D6E">
              <w:rPr>
                <w:rFonts w:ascii="Arial Narrow" w:hAnsi="Arial Narrow" w:eastAsia="Times New Roman" w:cs="Calibri"/>
                <w:color w:val="000000"/>
                <w:sz w:val="18"/>
                <w:szCs w:val="18"/>
              </w:rPr>
              <w:t xml:space="preserve"> (EPA, 201</w:t>
            </w:r>
            <w:r>
              <w:rPr>
                <w:rFonts w:ascii="Arial Narrow" w:hAnsi="Arial Narrow" w:eastAsia="Times New Roman" w:cs="Calibri"/>
                <w:color w:val="000000"/>
                <w:sz w:val="18"/>
                <w:szCs w:val="18"/>
              </w:rPr>
              <w:t>9</w:t>
            </w:r>
            <w:r w:rsidR="0096792C">
              <w:rPr>
                <w:rFonts w:ascii="Arial Narrow" w:hAnsi="Arial Narrow" w:eastAsia="Times New Roman" w:cs="Calibri"/>
                <w:color w:val="000000"/>
                <w:sz w:val="18"/>
                <w:szCs w:val="18"/>
              </w:rPr>
              <w:t>b</w:t>
            </w:r>
            <w:r w:rsidRPr="00AA7D6E">
              <w:rPr>
                <w:rFonts w:ascii="Arial Narrow" w:hAnsi="Arial Narrow" w:eastAsia="Times New Roman" w:cs="Calibri"/>
                <w:color w:val="000000"/>
                <w:sz w:val="18"/>
                <w:szCs w:val="18"/>
              </w:rPr>
              <w:t>).</w:t>
            </w:r>
          </w:p>
        </w:tc>
      </w:tr>
    </w:tbl>
    <w:p w:rsidR="00BD4AF1" w:rsidP="00FE4621" w:rsidRDefault="004909CD" w14:paraId="396AE2D6" w14:textId="17EA2BDC">
      <w:pPr>
        <w:pStyle w:val="BodyText"/>
        <w:spacing w:before="200" w:after="200"/>
      </w:pPr>
      <w:r w:rsidRPr="00574902">
        <w:t xml:space="preserve">Incremental new reporter unit burden for activities associated </w:t>
      </w:r>
      <w:r w:rsidR="0005175E">
        <w:t>with the 8(a) SMD Update</w:t>
      </w:r>
      <w:r w:rsidRPr="00574902">
        <w:t xml:space="preserve"> is </w:t>
      </w:r>
      <w:r w:rsidR="008A4614">
        <w:t>presented in</w:t>
      </w:r>
      <w:r w:rsidR="00432458">
        <w:t xml:space="preserve"> </w:t>
      </w:r>
      <w:r w:rsidRPr="00432458" w:rsidR="00432458">
        <w:fldChar w:fldCharType="begin"/>
      </w:r>
      <w:r w:rsidRPr="00432458" w:rsidR="00432458">
        <w:instrText xml:space="preserve"> REF _Ref28867855 \h  \* MERGEFORMAT </w:instrText>
      </w:r>
      <w:r w:rsidRPr="00432458" w:rsidR="00432458">
        <w:fldChar w:fldCharType="separate"/>
      </w:r>
      <w:r w:rsidRPr="00590B23" w:rsidR="00590B23">
        <w:t xml:space="preserve">Table </w:t>
      </w:r>
      <w:r w:rsidRPr="00590B23" w:rsidR="00590B23">
        <w:rPr>
          <w:noProof/>
        </w:rPr>
        <w:t>5</w:t>
      </w:r>
      <w:r w:rsidRPr="00590B23" w:rsidR="00590B23">
        <w:rPr>
          <w:noProof/>
        </w:rPr>
        <w:noBreakHyphen/>
        <w:t>2</w:t>
      </w:r>
      <w:r w:rsidRPr="00432458" w:rsidR="00432458">
        <w:fldChar w:fldCharType="end"/>
      </w:r>
      <w:r w:rsidR="00A3196D">
        <w:t>.</w:t>
      </w:r>
      <w:r w:rsidRPr="00574902">
        <w:t xml:space="preserve"> </w:t>
      </w:r>
      <w:r w:rsidRPr="00574902" w:rsidR="00A3196D">
        <w:t xml:space="preserve">These unit burdens are applied to new reporters under </w:t>
      </w:r>
      <w:r w:rsidRPr="009A1924" w:rsidR="00A3196D">
        <w:t xml:space="preserve">future cycle </w:t>
      </w:r>
      <w:r w:rsidRPr="00574902" w:rsidR="00A3196D">
        <w:t xml:space="preserve">conditions </w:t>
      </w:r>
      <w:r w:rsidR="00A3196D">
        <w:t>for</w:t>
      </w:r>
      <w:r w:rsidRPr="00574902" w:rsidR="00A3196D">
        <w:t xml:space="preserve"> the </w:t>
      </w:r>
      <w:r w:rsidR="00A3196D">
        <w:t xml:space="preserve">final </w:t>
      </w:r>
      <w:r w:rsidRPr="00574902" w:rsidR="00A3196D">
        <w:t>rule.</w:t>
      </w:r>
    </w:p>
    <w:tbl>
      <w:tblPr>
        <w:tblW w:w="9994" w:type="dxa"/>
        <w:jc w:val="center"/>
        <w:tblLook w:val="04A0" w:firstRow="1" w:lastRow="0" w:firstColumn="1" w:lastColumn="0" w:noHBand="0" w:noVBand="1"/>
      </w:tblPr>
      <w:tblGrid>
        <w:gridCol w:w="915"/>
        <w:gridCol w:w="3585"/>
        <w:gridCol w:w="2070"/>
        <w:gridCol w:w="1710"/>
        <w:gridCol w:w="1714"/>
      </w:tblGrid>
      <w:tr w:rsidRPr="00482568" w:rsidR="00482568" w:rsidTr="00BD4AF1" w14:paraId="3CCA8E35" w14:textId="77777777">
        <w:trPr>
          <w:trHeight w:val="645"/>
          <w:jc w:val="center"/>
        </w:trPr>
        <w:tc>
          <w:tcPr>
            <w:tcW w:w="9994" w:type="dxa"/>
            <w:gridSpan w:val="5"/>
            <w:tcBorders>
              <w:top w:val="nil"/>
              <w:left w:val="nil"/>
              <w:bottom w:val="single" w:color="auto" w:sz="4" w:space="0"/>
              <w:right w:val="nil"/>
            </w:tcBorders>
            <w:shd w:val="clear" w:color="auto" w:fill="auto"/>
            <w:vAlign w:val="bottom"/>
            <w:hideMark/>
          </w:tcPr>
          <w:p w:rsidRPr="00482568" w:rsidR="00482568" w:rsidP="00FE4621" w:rsidRDefault="00D91C83" w14:paraId="659268C7" w14:textId="52EC3320">
            <w:pPr>
              <w:spacing w:before="60" w:after="60"/>
              <w:rPr>
                <w:rFonts w:eastAsia="Times New Roman" w:cs="Arial"/>
                <w:b/>
                <w:bCs/>
                <w:color w:val="000000"/>
                <w:szCs w:val="24"/>
              </w:rPr>
            </w:pPr>
            <w:bookmarkStart w:name="_Ref28867855" w:id="36"/>
            <w:bookmarkStart w:name="_Toc42176582" w:id="37"/>
            <w:r w:rsidRPr="00296ED8">
              <w:rPr>
                <w:b/>
              </w:rPr>
              <w:t xml:space="preserve">Table </w:t>
            </w:r>
            <w:r w:rsidR="00A367CB">
              <w:rPr>
                <w:b/>
              </w:rPr>
              <w:fldChar w:fldCharType="begin"/>
            </w:r>
            <w:r w:rsidR="00A367CB">
              <w:rPr>
                <w:b/>
              </w:rPr>
              <w:instrText xml:space="preserve"> STYLEREF 1 \s </w:instrText>
            </w:r>
            <w:r w:rsidR="00A367CB">
              <w:rPr>
                <w:b/>
              </w:rPr>
              <w:fldChar w:fldCharType="separate"/>
            </w:r>
            <w:r w:rsidR="00590B23">
              <w:rPr>
                <w:b/>
                <w:noProof/>
              </w:rPr>
              <w:t>5</w:t>
            </w:r>
            <w:r w:rsidR="00A367CB">
              <w:rPr>
                <w:b/>
              </w:rPr>
              <w:fldChar w:fldCharType="end"/>
            </w:r>
            <w:r w:rsidR="00A367CB">
              <w:rPr>
                <w:b/>
              </w:rPr>
              <w:noBreakHyphen/>
            </w:r>
            <w:r w:rsidR="00A367CB">
              <w:rPr>
                <w:b/>
              </w:rPr>
              <w:fldChar w:fldCharType="begin"/>
            </w:r>
            <w:r w:rsidR="00A367CB">
              <w:rPr>
                <w:b/>
              </w:rPr>
              <w:instrText xml:space="preserve"> SEQ Table \* ARABIC \s 1 </w:instrText>
            </w:r>
            <w:r w:rsidR="00A367CB">
              <w:rPr>
                <w:b/>
              </w:rPr>
              <w:fldChar w:fldCharType="separate"/>
            </w:r>
            <w:r w:rsidR="00590B23">
              <w:rPr>
                <w:b/>
                <w:noProof/>
              </w:rPr>
              <w:t>2</w:t>
            </w:r>
            <w:r w:rsidR="00A367CB">
              <w:rPr>
                <w:b/>
              </w:rPr>
              <w:fldChar w:fldCharType="end"/>
            </w:r>
            <w:bookmarkEnd w:id="36"/>
            <w:r w:rsidRPr="00482568" w:rsidR="00482568">
              <w:rPr>
                <w:rFonts w:eastAsia="Times New Roman" w:cs="Arial"/>
                <w:b/>
                <w:bCs/>
                <w:color w:val="000000"/>
                <w:szCs w:val="24"/>
              </w:rPr>
              <w:t>: 8(a) Incremental Burden, Experienced and New Reporters, Four-Year Cycle Industry and Government</w:t>
            </w:r>
            <w:bookmarkEnd w:id="37"/>
          </w:p>
        </w:tc>
      </w:tr>
      <w:tr w:rsidRPr="00482568" w:rsidR="00482568" w:rsidTr="00FE4621" w14:paraId="4E3163FF" w14:textId="77777777">
        <w:trPr>
          <w:trHeight w:val="332"/>
          <w:jc w:val="center"/>
        </w:trPr>
        <w:tc>
          <w:tcPr>
            <w:tcW w:w="4500" w:type="dxa"/>
            <w:gridSpan w:val="2"/>
            <w:vMerge w:val="restart"/>
            <w:tcBorders>
              <w:top w:val="nil"/>
              <w:left w:val="single" w:color="auto" w:sz="4" w:space="0"/>
              <w:bottom w:val="single" w:color="000000" w:sz="4" w:space="0"/>
              <w:right w:val="single" w:color="auto" w:sz="4" w:space="0"/>
            </w:tcBorders>
            <w:shd w:val="clear" w:color="000000" w:fill="BFBFBF"/>
            <w:noWrap/>
            <w:vAlign w:val="bottom"/>
            <w:hideMark/>
          </w:tcPr>
          <w:p w:rsidRPr="00482568" w:rsidR="00482568" w:rsidP="00FE4621" w:rsidRDefault="00482568" w14:paraId="41BE6105" w14:textId="77777777">
            <w:pPr>
              <w:spacing w:before="40" w:after="4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Activity</w:t>
            </w:r>
          </w:p>
        </w:tc>
        <w:tc>
          <w:tcPr>
            <w:tcW w:w="2070" w:type="dxa"/>
            <w:tcBorders>
              <w:top w:val="nil"/>
              <w:left w:val="nil"/>
              <w:bottom w:val="single" w:color="auto" w:sz="4" w:space="0"/>
              <w:right w:val="single" w:color="auto" w:sz="4" w:space="0"/>
            </w:tcBorders>
            <w:shd w:val="clear" w:color="000000" w:fill="BFBFBF"/>
            <w:vAlign w:val="bottom"/>
            <w:hideMark/>
          </w:tcPr>
          <w:p w:rsidRPr="00482568" w:rsidR="00482568" w:rsidP="00FE4621" w:rsidRDefault="00482568" w14:paraId="3F9CC785" w14:textId="77777777">
            <w:pPr>
              <w:spacing w:before="60" w:after="6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Experienced Reporters</w:t>
            </w:r>
          </w:p>
        </w:tc>
        <w:tc>
          <w:tcPr>
            <w:tcW w:w="1710" w:type="dxa"/>
            <w:tcBorders>
              <w:top w:val="nil"/>
              <w:left w:val="nil"/>
              <w:bottom w:val="single" w:color="auto" w:sz="4" w:space="0"/>
              <w:right w:val="single" w:color="auto" w:sz="4" w:space="0"/>
            </w:tcBorders>
            <w:shd w:val="clear" w:color="000000" w:fill="BFBFBF"/>
            <w:vAlign w:val="bottom"/>
            <w:hideMark/>
          </w:tcPr>
          <w:p w:rsidRPr="00482568" w:rsidR="00482568" w:rsidP="00FE4621" w:rsidRDefault="00482568" w14:paraId="7C9F16D3" w14:textId="69ABE198">
            <w:pPr>
              <w:spacing w:before="60" w:after="6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New Reporters</w:t>
            </w:r>
          </w:p>
        </w:tc>
        <w:tc>
          <w:tcPr>
            <w:tcW w:w="1714" w:type="dxa"/>
            <w:tcBorders>
              <w:top w:val="nil"/>
              <w:left w:val="nil"/>
              <w:bottom w:val="single" w:color="auto" w:sz="4" w:space="0"/>
              <w:right w:val="single" w:color="auto" w:sz="4" w:space="0"/>
            </w:tcBorders>
            <w:shd w:val="clear" w:color="000000" w:fill="BFBFBF"/>
            <w:vAlign w:val="bottom"/>
            <w:hideMark/>
          </w:tcPr>
          <w:p w:rsidRPr="00482568" w:rsidR="00482568" w:rsidP="00FE4621" w:rsidRDefault="00482568" w14:paraId="7E3B90DD" w14:textId="726361CD">
            <w:pPr>
              <w:spacing w:before="60" w:after="6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Overall</w:t>
            </w:r>
            <w:r w:rsidRPr="001B2710" w:rsidR="001B2710">
              <w:rPr>
                <w:rFonts w:ascii="Arial Narrow" w:hAnsi="Arial Narrow" w:eastAsia="Times New Roman" w:cs="Calibri"/>
                <w:b/>
                <w:bCs/>
                <w:color w:val="000000"/>
                <w:sz w:val="20"/>
                <w:szCs w:val="20"/>
                <w:vertAlign w:val="superscript"/>
              </w:rPr>
              <w:t>1</w:t>
            </w:r>
          </w:p>
        </w:tc>
      </w:tr>
      <w:tr w:rsidRPr="00482568" w:rsidR="00482568" w:rsidTr="00FE4621" w14:paraId="52ED4B32" w14:textId="77777777">
        <w:trPr>
          <w:trHeight w:val="530"/>
          <w:jc w:val="center"/>
        </w:trPr>
        <w:tc>
          <w:tcPr>
            <w:tcW w:w="4500" w:type="dxa"/>
            <w:gridSpan w:val="2"/>
            <w:vMerge/>
            <w:tcBorders>
              <w:top w:val="nil"/>
              <w:left w:val="single" w:color="auto" w:sz="4" w:space="0"/>
              <w:bottom w:val="single" w:color="000000" w:sz="4" w:space="0"/>
              <w:right w:val="single" w:color="auto" w:sz="4" w:space="0"/>
            </w:tcBorders>
            <w:vAlign w:val="center"/>
            <w:hideMark/>
          </w:tcPr>
          <w:p w:rsidRPr="00482568" w:rsidR="00482568" w:rsidP="00FE4621" w:rsidRDefault="00482568" w14:paraId="57D61543" w14:textId="77777777">
            <w:pPr>
              <w:spacing w:before="40" w:after="40"/>
              <w:rPr>
                <w:rFonts w:ascii="Arial Narrow" w:hAnsi="Arial Narrow" w:eastAsia="Times New Roman" w:cs="Calibri"/>
                <w:b/>
                <w:bCs/>
                <w:color w:val="000000"/>
                <w:sz w:val="20"/>
                <w:szCs w:val="20"/>
              </w:rPr>
            </w:pPr>
          </w:p>
        </w:tc>
        <w:tc>
          <w:tcPr>
            <w:tcW w:w="2070" w:type="dxa"/>
            <w:tcBorders>
              <w:top w:val="nil"/>
              <w:left w:val="nil"/>
              <w:bottom w:val="single" w:color="auto" w:sz="4" w:space="0"/>
              <w:right w:val="single" w:color="auto" w:sz="4" w:space="0"/>
            </w:tcBorders>
            <w:shd w:val="clear" w:color="000000" w:fill="BFBFBF"/>
            <w:vAlign w:val="center"/>
            <w:hideMark/>
          </w:tcPr>
          <w:p w:rsidRPr="00482568" w:rsidR="00482568" w:rsidP="00FE4621" w:rsidRDefault="00482568" w14:paraId="4AFA8D32" w14:textId="77777777">
            <w:pPr>
              <w:spacing w:before="40" w:after="4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Unit Burden per Average Site (Hours)</w:t>
            </w:r>
          </w:p>
        </w:tc>
        <w:tc>
          <w:tcPr>
            <w:tcW w:w="1710" w:type="dxa"/>
            <w:tcBorders>
              <w:top w:val="nil"/>
              <w:left w:val="nil"/>
              <w:bottom w:val="single" w:color="auto" w:sz="4" w:space="0"/>
              <w:right w:val="single" w:color="auto" w:sz="4" w:space="0"/>
            </w:tcBorders>
            <w:shd w:val="clear" w:color="000000" w:fill="BFBFBF"/>
            <w:vAlign w:val="center"/>
            <w:hideMark/>
          </w:tcPr>
          <w:p w:rsidRPr="00482568" w:rsidR="00482568" w:rsidP="00FE4621" w:rsidRDefault="00482568" w14:paraId="0907998C" w14:textId="77777777">
            <w:pPr>
              <w:spacing w:before="40" w:after="4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Unit Burden per Average Site (Hours)</w:t>
            </w:r>
          </w:p>
        </w:tc>
        <w:tc>
          <w:tcPr>
            <w:tcW w:w="1714" w:type="dxa"/>
            <w:tcBorders>
              <w:top w:val="nil"/>
              <w:left w:val="nil"/>
              <w:bottom w:val="single" w:color="auto" w:sz="4" w:space="0"/>
              <w:right w:val="single" w:color="auto" w:sz="4" w:space="0"/>
            </w:tcBorders>
            <w:shd w:val="clear" w:color="000000" w:fill="BFBFBF"/>
            <w:vAlign w:val="center"/>
            <w:hideMark/>
          </w:tcPr>
          <w:p w:rsidRPr="00482568" w:rsidR="00482568" w:rsidP="00FE4621" w:rsidRDefault="00482568" w14:paraId="039A564C" w14:textId="77777777">
            <w:pPr>
              <w:spacing w:before="40" w:after="40"/>
              <w:jc w:val="center"/>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Unit Burden per Average Site (Hours)</w:t>
            </w:r>
          </w:p>
        </w:tc>
      </w:tr>
      <w:tr w:rsidRPr="00482568" w:rsidR="00482568" w:rsidTr="00BD4AF1" w14:paraId="3718FF95" w14:textId="77777777">
        <w:trPr>
          <w:trHeight w:val="300"/>
          <w:jc w:val="center"/>
        </w:trPr>
        <w:tc>
          <w:tcPr>
            <w:tcW w:w="9994" w:type="dxa"/>
            <w:gridSpan w:val="5"/>
            <w:tcBorders>
              <w:top w:val="single" w:color="auto" w:sz="4" w:space="0"/>
              <w:left w:val="single" w:color="auto" w:sz="4" w:space="0"/>
              <w:bottom w:val="single" w:color="auto" w:sz="4" w:space="0"/>
              <w:right w:val="single" w:color="000000" w:sz="4" w:space="0"/>
            </w:tcBorders>
            <w:shd w:val="clear" w:color="auto" w:fill="auto"/>
            <w:vAlign w:val="bottom"/>
            <w:hideMark/>
          </w:tcPr>
          <w:p w:rsidRPr="00482568" w:rsidR="00482568" w:rsidP="00FE4621" w:rsidRDefault="00482568" w14:paraId="746A8FBB" w14:textId="77777777">
            <w:pPr>
              <w:spacing w:before="40" w:after="40"/>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Industry</w:t>
            </w:r>
          </w:p>
        </w:tc>
      </w:tr>
      <w:tr w:rsidRPr="00482568" w:rsidR="00482568" w:rsidTr="00BD4AF1" w14:paraId="48359FE1" w14:textId="77777777">
        <w:trPr>
          <w:trHeight w:val="315"/>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5511BA57" w14:textId="77777777">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Rule Familiarization</w:t>
            </w:r>
            <w:r w:rsidRPr="00482568">
              <w:rPr>
                <w:rFonts w:ascii="Arial Narrow" w:hAnsi="Arial Narrow" w:eastAsia="Times New Roman" w:cs="Calibri"/>
                <w:color w:val="000000"/>
                <w:sz w:val="20"/>
                <w:szCs w:val="20"/>
                <w:vertAlign w:val="superscript"/>
              </w:rPr>
              <w:t>2</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242672D3"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720FCC9C"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1.730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63297335"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0.256</w:t>
            </w:r>
          </w:p>
        </w:tc>
      </w:tr>
      <w:tr w:rsidRPr="00482568" w:rsidR="00482568" w:rsidTr="00BD4AF1" w14:paraId="7C0DEC02"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4C435C98" w14:textId="01FA6242">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Compliance Determination</w:t>
            </w:r>
            <w:r w:rsidRPr="001B2710" w:rsidR="001B2710">
              <w:rPr>
                <w:rFonts w:ascii="Arial Narrow" w:hAnsi="Arial Narrow" w:eastAsia="Times New Roman" w:cs="Calibri"/>
                <w:color w:val="000000"/>
                <w:sz w:val="20"/>
                <w:szCs w:val="20"/>
                <w:vertAlign w:val="superscript"/>
              </w:rPr>
              <w:t>3</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4F441599"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01FD7B62"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7473082F"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644065BD"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3D240016" w14:textId="77777777">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Recordkeeping</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29243378"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6CD75683"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1C1ECA37"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5A30E991" w14:textId="77777777">
        <w:trPr>
          <w:trHeight w:val="315"/>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158BE1A0" w14:textId="77777777">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Average Multi-Chemical Form Completion</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325B620F"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76CDB65B"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4CD9CA40"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600CAD3A" w14:textId="77777777">
        <w:trPr>
          <w:trHeight w:val="300"/>
          <w:jc w:val="center"/>
        </w:trPr>
        <w:tc>
          <w:tcPr>
            <w:tcW w:w="4500" w:type="dxa"/>
            <w:gridSpan w:val="2"/>
            <w:tcBorders>
              <w:top w:val="single" w:color="auto" w:sz="8" w:space="0"/>
              <w:left w:val="single" w:color="auto" w:sz="4" w:space="0"/>
              <w:bottom w:val="single" w:color="auto" w:sz="4" w:space="0"/>
              <w:right w:val="single" w:color="auto" w:sz="4" w:space="0"/>
            </w:tcBorders>
            <w:shd w:val="clear" w:color="auto" w:fill="auto"/>
            <w:vAlign w:val="center"/>
            <w:hideMark/>
          </w:tcPr>
          <w:p w:rsidRPr="00482568" w:rsidR="00482568" w:rsidP="00FE4621" w:rsidRDefault="00482568" w14:paraId="217D443B" w14:textId="77777777">
            <w:pPr>
              <w:spacing w:before="40" w:after="40"/>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8(a) SMD Total</w:t>
            </w:r>
          </w:p>
        </w:tc>
        <w:tc>
          <w:tcPr>
            <w:tcW w:w="2070" w:type="dxa"/>
            <w:tcBorders>
              <w:top w:val="single" w:color="auto" w:sz="8" w:space="0"/>
              <w:left w:val="nil"/>
              <w:bottom w:val="single" w:color="auto" w:sz="4" w:space="0"/>
              <w:right w:val="single" w:color="auto" w:sz="4" w:space="0"/>
            </w:tcBorders>
            <w:shd w:val="clear" w:color="auto" w:fill="auto"/>
            <w:noWrap/>
            <w:vAlign w:val="bottom"/>
            <w:hideMark/>
          </w:tcPr>
          <w:p w:rsidRPr="00482568" w:rsidR="00482568" w:rsidP="00FE4621" w:rsidRDefault="00482568" w14:paraId="5DAF5C21"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0.000</w:t>
            </w:r>
          </w:p>
        </w:tc>
        <w:tc>
          <w:tcPr>
            <w:tcW w:w="1710" w:type="dxa"/>
            <w:tcBorders>
              <w:top w:val="single" w:color="auto" w:sz="8" w:space="0"/>
              <w:left w:val="nil"/>
              <w:bottom w:val="single" w:color="auto" w:sz="4" w:space="0"/>
              <w:right w:val="single" w:color="auto" w:sz="4" w:space="0"/>
            </w:tcBorders>
            <w:shd w:val="clear" w:color="auto" w:fill="auto"/>
            <w:noWrap/>
            <w:vAlign w:val="bottom"/>
            <w:hideMark/>
          </w:tcPr>
          <w:p w:rsidRPr="00482568" w:rsidR="00482568" w:rsidP="00FE4621" w:rsidRDefault="00482568" w14:paraId="2B6E4FE2"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1.730</w:t>
            </w:r>
          </w:p>
        </w:tc>
        <w:tc>
          <w:tcPr>
            <w:tcW w:w="1714" w:type="dxa"/>
            <w:tcBorders>
              <w:top w:val="single" w:color="auto" w:sz="8" w:space="0"/>
              <w:left w:val="nil"/>
              <w:bottom w:val="single" w:color="auto" w:sz="4" w:space="0"/>
              <w:right w:val="single" w:color="auto" w:sz="4" w:space="0"/>
            </w:tcBorders>
            <w:shd w:val="clear" w:color="auto" w:fill="auto"/>
            <w:noWrap/>
            <w:vAlign w:val="bottom"/>
            <w:hideMark/>
          </w:tcPr>
          <w:p w:rsidRPr="00482568" w:rsidR="00482568" w:rsidP="00FE4621" w:rsidRDefault="00482568" w14:paraId="41FB482D"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0.256</w:t>
            </w:r>
          </w:p>
        </w:tc>
      </w:tr>
      <w:tr w:rsidRPr="00482568" w:rsidR="00482568" w:rsidTr="00BD4AF1" w14:paraId="01F43C3A" w14:textId="77777777">
        <w:trPr>
          <w:trHeight w:val="300"/>
          <w:jc w:val="center"/>
        </w:trPr>
        <w:tc>
          <w:tcPr>
            <w:tcW w:w="9994" w:type="dxa"/>
            <w:gridSpan w:val="5"/>
            <w:tcBorders>
              <w:top w:val="single" w:color="auto" w:sz="4" w:space="0"/>
              <w:left w:val="single" w:color="auto" w:sz="4" w:space="0"/>
              <w:bottom w:val="single" w:color="auto" w:sz="4" w:space="0"/>
              <w:right w:val="single" w:color="000000" w:sz="4" w:space="0"/>
            </w:tcBorders>
            <w:shd w:val="clear" w:color="auto" w:fill="auto"/>
            <w:vAlign w:val="bottom"/>
            <w:hideMark/>
          </w:tcPr>
          <w:p w:rsidRPr="00482568" w:rsidR="00482568" w:rsidP="00FE4621" w:rsidRDefault="00482568" w14:paraId="615E83D4" w14:textId="77777777">
            <w:pPr>
              <w:spacing w:before="40" w:after="40"/>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Government</w:t>
            </w:r>
          </w:p>
        </w:tc>
      </w:tr>
      <w:tr w:rsidRPr="00482568" w:rsidR="00482568" w:rsidTr="00BD4AF1" w14:paraId="023DD83C"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11B7393E" w14:textId="310683F1">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Rule Familiarization</w:t>
            </w:r>
            <w:r w:rsidRPr="001B2710" w:rsidR="001B2710">
              <w:rPr>
                <w:rFonts w:ascii="Arial Narrow" w:hAnsi="Arial Narrow" w:eastAsia="Times New Roman" w:cs="Calibri"/>
                <w:color w:val="000000"/>
                <w:sz w:val="20"/>
                <w:szCs w:val="20"/>
                <w:vertAlign w:val="superscript"/>
              </w:rPr>
              <w:t>4</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3D1BAD88"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69DD191D"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62195E27"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463E2C02"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199D3603" w14:textId="7E1697BE">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Compliance Determination</w:t>
            </w:r>
            <w:r w:rsidRPr="00583837" w:rsidR="00583837">
              <w:rPr>
                <w:rFonts w:ascii="Arial Narrow" w:hAnsi="Arial Narrow" w:eastAsia="Times New Roman" w:cs="Calibri"/>
                <w:color w:val="000000"/>
                <w:sz w:val="20"/>
                <w:szCs w:val="20"/>
                <w:vertAlign w:val="superscript"/>
              </w:rPr>
              <w:t>3,</w:t>
            </w:r>
            <w:r w:rsidRPr="00583837" w:rsidR="001B2710">
              <w:rPr>
                <w:rFonts w:ascii="Arial Narrow" w:hAnsi="Arial Narrow" w:eastAsia="Times New Roman" w:cs="Calibri"/>
                <w:color w:val="000000"/>
                <w:sz w:val="20"/>
                <w:szCs w:val="20"/>
                <w:vertAlign w:val="superscript"/>
              </w:rPr>
              <w:t>5</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3F2DDE1E"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0.170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5DAF0B40"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0.170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1F4F74BD"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0.170</w:t>
            </w:r>
          </w:p>
        </w:tc>
      </w:tr>
      <w:tr w:rsidRPr="00482568" w:rsidR="00482568" w:rsidTr="00BD4AF1" w14:paraId="24A13412"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5A2B2F27" w14:textId="77777777">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Recordkeeping</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45BCD09F"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779C3B5A"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3F9DD27F"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0BED7D59" w14:textId="77777777">
        <w:trPr>
          <w:trHeight w:val="300"/>
          <w:jc w:val="center"/>
        </w:trPr>
        <w:tc>
          <w:tcPr>
            <w:tcW w:w="4500" w:type="dxa"/>
            <w:gridSpan w:val="2"/>
            <w:tcBorders>
              <w:top w:val="nil"/>
              <w:left w:val="single" w:color="auto" w:sz="4" w:space="0"/>
              <w:bottom w:val="single" w:color="auto" w:sz="4" w:space="0"/>
              <w:right w:val="single" w:color="auto" w:sz="4" w:space="0"/>
            </w:tcBorders>
            <w:shd w:val="clear" w:color="auto" w:fill="auto"/>
            <w:vAlign w:val="bottom"/>
            <w:hideMark/>
          </w:tcPr>
          <w:p w:rsidRPr="00482568" w:rsidR="00482568" w:rsidP="00FE4621" w:rsidRDefault="00482568" w14:paraId="57575986" w14:textId="77777777">
            <w:pPr>
              <w:spacing w:before="40" w:after="40"/>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Average Multi-Chemical Form Completion</w:t>
            </w:r>
          </w:p>
        </w:tc>
        <w:tc>
          <w:tcPr>
            <w:tcW w:w="207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4D12525B"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0"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52EE3D62"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c>
          <w:tcPr>
            <w:tcW w:w="1714" w:type="dxa"/>
            <w:tcBorders>
              <w:top w:val="nil"/>
              <w:left w:val="nil"/>
              <w:bottom w:val="single" w:color="auto" w:sz="4" w:space="0"/>
              <w:right w:val="single" w:color="auto" w:sz="4" w:space="0"/>
            </w:tcBorders>
            <w:shd w:val="clear" w:color="auto" w:fill="auto"/>
            <w:noWrap/>
            <w:vAlign w:val="bottom"/>
            <w:hideMark/>
          </w:tcPr>
          <w:p w:rsidRPr="00482568" w:rsidR="00482568" w:rsidP="00FE4621" w:rsidRDefault="00482568" w14:paraId="18B5A7A7" w14:textId="77777777">
            <w:pPr>
              <w:spacing w:before="40" w:after="40"/>
              <w:jc w:val="right"/>
              <w:rPr>
                <w:rFonts w:ascii="Arial Narrow" w:hAnsi="Arial Narrow" w:eastAsia="Times New Roman" w:cs="Calibri"/>
                <w:color w:val="000000"/>
                <w:sz w:val="20"/>
                <w:szCs w:val="20"/>
              </w:rPr>
            </w:pPr>
            <w:r w:rsidRPr="00482568">
              <w:rPr>
                <w:rFonts w:ascii="Arial Narrow" w:hAnsi="Arial Narrow" w:eastAsia="Times New Roman" w:cs="Calibri"/>
                <w:color w:val="000000"/>
                <w:sz w:val="20"/>
                <w:szCs w:val="20"/>
              </w:rPr>
              <w:t>0.000</w:t>
            </w:r>
          </w:p>
        </w:tc>
      </w:tr>
      <w:tr w:rsidRPr="00482568" w:rsidR="00482568" w:rsidTr="00BD4AF1" w14:paraId="3B962F0A" w14:textId="77777777">
        <w:trPr>
          <w:trHeight w:val="315"/>
          <w:jc w:val="center"/>
        </w:trPr>
        <w:tc>
          <w:tcPr>
            <w:tcW w:w="4500" w:type="dxa"/>
            <w:gridSpan w:val="2"/>
            <w:tcBorders>
              <w:top w:val="nil"/>
              <w:left w:val="single" w:color="auto" w:sz="4" w:space="0"/>
              <w:bottom w:val="single" w:color="auto" w:sz="8" w:space="0"/>
              <w:right w:val="single" w:color="auto" w:sz="4" w:space="0"/>
            </w:tcBorders>
            <w:shd w:val="clear" w:color="auto" w:fill="auto"/>
            <w:vAlign w:val="center"/>
            <w:hideMark/>
          </w:tcPr>
          <w:p w:rsidRPr="00482568" w:rsidR="00482568" w:rsidP="00FE4621" w:rsidRDefault="00482568" w14:paraId="30EE8458" w14:textId="77777777">
            <w:pPr>
              <w:spacing w:before="40" w:after="40"/>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8(a) SGD Total</w:t>
            </w:r>
          </w:p>
        </w:tc>
        <w:tc>
          <w:tcPr>
            <w:tcW w:w="2070" w:type="dxa"/>
            <w:tcBorders>
              <w:top w:val="nil"/>
              <w:left w:val="nil"/>
              <w:bottom w:val="single" w:color="auto" w:sz="8" w:space="0"/>
              <w:right w:val="single" w:color="auto" w:sz="4" w:space="0"/>
            </w:tcBorders>
            <w:shd w:val="clear" w:color="auto" w:fill="auto"/>
            <w:noWrap/>
            <w:vAlign w:val="bottom"/>
            <w:hideMark/>
          </w:tcPr>
          <w:p w:rsidRPr="00482568" w:rsidR="00482568" w:rsidP="00FE4621" w:rsidRDefault="00482568" w14:paraId="4957E29C"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0.170</w:t>
            </w:r>
          </w:p>
        </w:tc>
        <w:tc>
          <w:tcPr>
            <w:tcW w:w="1710" w:type="dxa"/>
            <w:tcBorders>
              <w:top w:val="nil"/>
              <w:left w:val="nil"/>
              <w:bottom w:val="single" w:color="auto" w:sz="8" w:space="0"/>
              <w:right w:val="single" w:color="auto" w:sz="4" w:space="0"/>
            </w:tcBorders>
            <w:shd w:val="clear" w:color="auto" w:fill="auto"/>
            <w:noWrap/>
            <w:vAlign w:val="bottom"/>
            <w:hideMark/>
          </w:tcPr>
          <w:p w:rsidRPr="00482568" w:rsidR="00482568" w:rsidP="00FE4621" w:rsidRDefault="00482568" w14:paraId="4B9D4ED1"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0.170</w:t>
            </w:r>
          </w:p>
        </w:tc>
        <w:tc>
          <w:tcPr>
            <w:tcW w:w="1714" w:type="dxa"/>
            <w:tcBorders>
              <w:top w:val="nil"/>
              <w:left w:val="nil"/>
              <w:bottom w:val="single" w:color="auto" w:sz="8" w:space="0"/>
              <w:right w:val="single" w:color="auto" w:sz="4" w:space="0"/>
            </w:tcBorders>
            <w:shd w:val="clear" w:color="auto" w:fill="auto"/>
            <w:noWrap/>
            <w:vAlign w:val="bottom"/>
            <w:hideMark/>
          </w:tcPr>
          <w:p w:rsidRPr="00482568" w:rsidR="00482568" w:rsidP="00FE4621" w:rsidRDefault="00482568" w14:paraId="6CE58117" w14:textId="77777777">
            <w:pPr>
              <w:spacing w:before="40" w:after="40"/>
              <w:jc w:val="right"/>
              <w:rPr>
                <w:rFonts w:ascii="Arial Narrow" w:hAnsi="Arial Narrow" w:eastAsia="Times New Roman" w:cs="Calibri"/>
                <w:b/>
                <w:bCs/>
                <w:color w:val="000000"/>
                <w:sz w:val="20"/>
                <w:szCs w:val="20"/>
              </w:rPr>
            </w:pPr>
            <w:r w:rsidRPr="00482568">
              <w:rPr>
                <w:rFonts w:ascii="Arial Narrow" w:hAnsi="Arial Narrow" w:eastAsia="Times New Roman" w:cs="Calibri"/>
                <w:b/>
                <w:bCs/>
                <w:color w:val="000000"/>
                <w:sz w:val="20"/>
                <w:szCs w:val="20"/>
              </w:rPr>
              <w:t>0.170</w:t>
            </w:r>
          </w:p>
        </w:tc>
      </w:tr>
      <w:tr w:rsidRPr="00482568" w:rsidR="00482568" w:rsidTr="00BD4AF1" w14:paraId="4AE9F279" w14:textId="77777777">
        <w:trPr>
          <w:trHeight w:val="300"/>
          <w:jc w:val="center"/>
        </w:trPr>
        <w:tc>
          <w:tcPr>
            <w:tcW w:w="9994" w:type="dxa"/>
            <w:gridSpan w:val="5"/>
            <w:tcBorders>
              <w:top w:val="nil"/>
              <w:left w:val="single" w:color="auto" w:sz="4" w:space="0"/>
              <w:bottom w:val="nil"/>
              <w:right w:val="single" w:color="000000" w:sz="4" w:space="0"/>
            </w:tcBorders>
            <w:shd w:val="clear" w:color="auto" w:fill="auto"/>
            <w:hideMark/>
          </w:tcPr>
          <w:p w:rsidRPr="00482568" w:rsidR="00482568" w:rsidP="00FE4621" w:rsidRDefault="00482568" w14:paraId="0B976AD4" w14:textId="77777777">
            <w:pPr>
              <w:spacing w:before="40" w:after="40"/>
              <w:rPr>
                <w:rFonts w:ascii="Arial Narrow" w:hAnsi="Arial Narrow" w:eastAsia="Times New Roman" w:cs="Calibri"/>
                <w:color w:val="000000"/>
                <w:sz w:val="18"/>
                <w:szCs w:val="18"/>
              </w:rPr>
            </w:pPr>
            <w:r w:rsidRPr="00482568">
              <w:rPr>
                <w:rFonts w:ascii="Arial Narrow" w:hAnsi="Arial Narrow" w:eastAsia="Times New Roman" w:cs="Calibri"/>
                <w:color w:val="000000"/>
                <w:sz w:val="18"/>
                <w:szCs w:val="18"/>
              </w:rPr>
              <w:t>General Notes:</w:t>
            </w:r>
          </w:p>
        </w:tc>
      </w:tr>
      <w:tr w:rsidRPr="00ED6F18" w:rsidR="00482568" w:rsidTr="00BD4AF1" w14:paraId="0B85AE41" w14:textId="77777777">
        <w:tblPrEx>
          <w:tblCellMar>
            <w:left w:w="115" w:type="dxa"/>
            <w:right w:w="115" w:type="dxa"/>
          </w:tblCellMar>
        </w:tblPrEx>
        <w:trPr>
          <w:jc w:val="center"/>
        </w:trPr>
        <w:tc>
          <w:tcPr>
            <w:tcW w:w="9994" w:type="dxa"/>
            <w:gridSpan w:val="5"/>
            <w:tcBorders>
              <w:top w:val="nil"/>
              <w:left w:val="single" w:color="auto" w:sz="4" w:space="0"/>
              <w:bottom w:val="nil"/>
              <w:right w:val="single" w:color="000000" w:themeColor="text1" w:sz="4" w:space="0"/>
            </w:tcBorders>
            <w:shd w:val="clear" w:color="auto" w:fill="auto"/>
            <w:vAlign w:val="center"/>
            <w:hideMark/>
          </w:tcPr>
          <w:p w:rsidRPr="00ED6F18" w:rsidR="00482568" w:rsidP="00FE4621" w:rsidRDefault="00482568" w14:paraId="5E05471B" w14:textId="6660427A">
            <w:pPr>
              <w:pStyle w:val="ListParagraph"/>
              <w:numPr>
                <w:ilvl w:val="0"/>
                <w:numId w:val="46"/>
              </w:numPr>
              <w:spacing w:before="40" w:after="40"/>
              <w:ind w:left="144" w:hanging="144"/>
              <w:contextualSpacing w:val="0"/>
              <w:rPr>
                <w:rFonts w:ascii="Arial Narrow" w:hAnsi="Arial Narrow" w:eastAsia="Times New Roman" w:cs="Calibri"/>
                <w:color w:val="000000"/>
                <w:sz w:val="18"/>
                <w:szCs w:val="18"/>
              </w:rPr>
            </w:pPr>
            <w:r w:rsidRPr="00ED6F18">
              <w:rPr>
                <w:rFonts w:ascii="Arial Narrow" w:hAnsi="Arial Narrow" w:cs="Calibri"/>
                <w:color w:val="000000"/>
                <w:sz w:val="18"/>
                <w:szCs w:val="18"/>
              </w:rPr>
              <w:t xml:space="preserve">For details on development and assumptions associated with items in this table, see </w:t>
            </w:r>
            <w:r w:rsidR="00962225">
              <w:rPr>
                <w:rFonts w:ascii="Arial Narrow" w:hAnsi="Arial Narrow" w:cs="Calibri"/>
                <w:color w:val="000000"/>
                <w:sz w:val="18"/>
                <w:szCs w:val="18"/>
              </w:rPr>
              <w:t>8(a) SMD Update</w:t>
            </w:r>
            <w:r w:rsidRPr="00ED6F18">
              <w:rPr>
                <w:rFonts w:ascii="Arial Narrow" w:hAnsi="Arial Narrow" w:cs="Calibri"/>
                <w:color w:val="000000"/>
                <w:sz w:val="18"/>
                <w:szCs w:val="18"/>
              </w:rPr>
              <w:t xml:space="preserve"> </w:t>
            </w:r>
            <w:r w:rsidR="00326ED2">
              <w:rPr>
                <w:rFonts w:ascii="Arial Narrow" w:hAnsi="Arial Narrow" w:cs="Calibri"/>
                <w:color w:val="000000"/>
                <w:sz w:val="18"/>
                <w:szCs w:val="18"/>
              </w:rPr>
              <w:t>EA</w:t>
            </w:r>
            <w:r w:rsidRPr="00ED6F18">
              <w:rPr>
                <w:rFonts w:ascii="Arial Narrow" w:hAnsi="Arial Narrow" w:cs="Calibri"/>
                <w:color w:val="000000"/>
                <w:sz w:val="18"/>
                <w:szCs w:val="18"/>
              </w:rPr>
              <w:t xml:space="preserve"> (</w:t>
            </w:r>
            <w:r w:rsidRPr="00326ED2">
              <w:rPr>
                <w:rFonts w:ascii="Arial Narrow" w:hAnsi="Arial Narrow" w:eastAsia="Times New Roman" w:cs="Calibri"/>
                <w:color w:val="000000"/>
                <w:sz w:val="18"/>
                <w:szCs w:val="18"/>
              </w:rPr>
              <w:t>EPA, 2019</w:t>
            </w:r>
            <w:r w:rsidR="0096792C">
              <w:rPr>
                <w:rFonts w:ascii="Arial Narrow" w:hAnsi="Arial Narrow" w:eastAsia="Times New Roman" w:cs="Calibri"/>
                <w:color w:val="000000"/>
                <w:sz w:val="18"/>
                <w:szCs w:val="18"/>
              </w:rPr>
              <w:t>b</w:t>
            </w:r>
            <w:r w:rsidRPr="00ED6F18">
              <w:rPr>
                <w:rFonts w:ascii="Arial Narrow" w:hAnsi="Arial Narrow" w:eastAsia="Times New Roman" w:cs="Calibri"/>
                <w:color w:val="000000"/>
                <w:sz w:val="18"/>
                <w:szCs w:val="18"/>
              </w:rPr>
              <w:t>).</w:t>
            </w:r>
          </w:p>
        </w:tc>
      </w:tr>
      <w:tr w:rsidRPr="00ED6F18" w:rsidR="00482568" w:rsidTr="00BD4AF1" w14:paraId="76316469" w14:textId="77777777">
        <w:tblPrEx>
          <w:tblCellMar>
            <w:left w:w="115" w:type="dxa"/>
            <w:right w:w="115" w:type="dxa"/>
          </w:tblCellMar>
        </w:tblPrEx>
        <w:trPr>
          <w:jc w:val="center"/>
        </w:trPr>
        <w:tc>
          <w:tcPr>
            <w:tcW w:w="9994" w:type="dxa"/>
            <w:gridSpan w:val="5"/>
            <w:tcBorders>
              <w:top w:val="nil"/>
              <w:left w:val="single" w:color="auto" w:sz="4" w:space="0"/>
              <w:bottom w:val="nil"/>
              <w:right w:val="single" w:color="000000" w:themeColor="text1" w:sz="4" w:space="0"/>
            </w:tcBorders>
            <w:shd w:val="clear" w:color="auto" w:fill="auto"/>
            <w:vAlign w:val="center"/>
            <w:hideMark/>
          </w:tcPr>
          <w:p w:rsidRPr="00ED6F18" w:rsidR="00482568" w:rsidP="00FE4621" w:rsidRDefault="00482568" w14:paraId="7913585A" w14:textId="77777777">
            <w:pPr>
              <w:pStyle w:val="ListParagraph"/>
              <w:numPr>
                <w:ilvl w:val="0"/>
                <w:numId w:val="46"/>
              </w:numPr>
              <w:spacing w:before="40" w:after="40"/>
              <w:ind w:left="144" w:hanging="144"/>
              <w:contextualSpacing w:val="0"/>
              <w:rPr>
                <w:rFonts w:ascii="Arial Narrow" w:hAnsi="Arial Narrow" w:eastAsia="Times New Roman" w:cs="Calibri"/>
                <w:color w:val="000000"/>
                <w:sz w:val="18"/>
                <w:szCs w:val="18"/>
              </w:rPr>
            </w:pPr>
            <w:r w:rsidRPr="00ED6F18">
              <w:rPr>
                <w:rFonts w:ascii="Arial Narrow" w:hAnsi="Arial Narrow" w:eastAsia="Times New Roman" w:cs="Calibri"/>
                <w:color w:val="000000"/>
                <w:sz w:val="18"/>
                <w:szCs w:val="18"/>
              </w:rPr>
              <w:t>There may be entities that incur burden from rule familiarization (if new to CDR) and compliance determination but that are not required to send a CDR submission. For purposes of this analysis, such effects are neglected per the convention used in EPA (</w:t>
            </w:r>
            <w:r w:rsidRPr="00FB6C44">
              <w:rPr>
                <w:rFonts w:ascii="Arial Narrow" w:hAnsi="Arial Narrow" w:eastAsia="Times New Roman" w:cs="Calibri"/>
                <w:color w:val="000000"/>
                <w:sz w:val="18"/>
                <w:szCs w:val="18"/>
              </w:rPr>
              <w:t>2018b</w:t>
            </w:r>
            <w:r w:rsidRPr="00ED6F18">
              <w:rPr>
                <w:rFonts w:ascii="Arial Narrow" w:hAnsi="Arial Narrow" w:eastAsia="Times New Roman" w:cs="Calibri"/>
                <w:color w:val="000000"/>
                <w:sz w:val="18"/>
                <w:szCs w:val="18"/>
              </w:rPr>
              <w:t>).</w:t>
            </w:r>
          </w:p>
        </w:tc>
      </w:tr>
      <w:tr w:rsidRPr="00ED6F18" w:rsidR="00482568" w:rsidTr="00BD4AF1" w14:paraId="17110376" w14:textId="77777777">
        <w:tblPrEx>
          <w:tblCellMar>
            <w:left w:w="115" w:type="dxa"/>
            <w:right w:w="115" w:type="dxa"/>
          </w:tblCellMar>
        </w:tblPrEx>
        <w:trPr>
          <w:jc w:val="center"/>
        </w:trPr>
        <w:tc>
          <w:tcPr>
            <w:tcW w:w="9994" w:type="dxa"/>
            <w:gridSpan w:val="5"/>
            <w:tcBorders>
              <w:top w:val="nil"/>
              <w:left w:val="single" w:color="auto" w:sz="4" w:space="0"/>
              <w:bottom w:val="nil"/>
              <w:right w:val="single" w:color="000000" w:themeColor="text1" w:sz="4" w:space="0"/>
            </w:tcBorders>
            <w:shd w:val="clear" w:color="auto" w:fill="auto"/>
            <w:vAlign w:val="center"/>
            <w:hideMark/>
          </w:tcPr>
          <w:p w:rsidRPr="00ED6F18" w:rsidR="00482568" w:rsidP="00FE4621" w:rsidRDefault="00482568" w14:paraId="5FE609C0" w14:textId="77777777">
            <w:pPr>
              <w:spacing w:before="40" w:after="40"/>
              <w:rPr>
                <w:rFonts w:ascii="Arial Narrow" w:hAnsi="Arial Narrow" w:eastAsia="Times New Roman" w:cs="Calibri"/>
                <w:color w:val="000000"/>
                <w:sz w:val="18"/>
                <w:szCs w:val="18"/>
              </w:rPr>
            </w:pPr>
            <w:r w:rsidRPr="00ED6F18">
              <w:rPr>
                <w:rFonts w:ascii="Arial Narrow" w:hAnsi="Arial Narrow" w:eastAsia="Times New Roman" w:cs="Calibri"/>
                <w:color w:val="000000"/>
                <w:sz w:val="18"/>
                <w:szCs w:val="18"/>
              </w:rPr>
              <w:t>Footnote:</w:t>
            </w:r>
          </w:p>
        </w:tc>
      </w:tr>
      <w:tr w:rsidRPr="00ED6F18" w:rsidR="00482568" w:rsidTr="00BD4AF1" w14:paraId="475DBE17" w14:textId="77777777">
        <w:tblPrEx>
          <w:tblCellMar>
            <w:left w:w="115" w:type="dxa"/>
            <w:right w:w="115" w:type="dxa"/>
          </w:tblCellMar>
        </w:tblPrEx>
        <w:trPr>
          <w:jc w:val="center"/>
        </w:trPr>
        <w:tc>
          <w:tcPr>
            <w:tcW w:w="915" w:type="dxa"/>
            <w:tcBorders>
              <w:top w:val="nil"/>
              <w:left w:val="single" w:color="auto" w:sz="4" w:space="0"/>
              <w:bottom w:val="nil"/>
              <w:right w:val="nil"/>
            </w:tcBorders>
            <w:shd w:val="clear" w:color="auto" w:fill="auto"/>
          </w:tcPr>
          <w:p w:rsidRPr="00FB6C44" w:rsidR="00482568" w:rsidP="00FE4621" w:rsidRDefault="00482568" w14:paraId="02BE9140" w14:textId="77777777">
            <w:pPr>
              <w:spacing w:before="40" w:after="40"/>
              <w:rPr>
                <w:rFonts w:ascii="Arial Narrow" w:hAnsi="Arial Narrow" w:eastAsia="Times New Roman" w:cs="Calibri"/>
                <w:color w:val="000000" w:themeColor="text1"/>
                <w:sz w:val="18"/>
                <w:szCs w:val="18"/>
                <w:vertAlign w:val="superscript"/>
              </w:rPr>
            </w:pPr>
            <w:r w:rsidRPr="00FB6C44">
              <w:rPr>
                <w:rFonts w:ascii="Arial Narrow" w:hAnsi="Arial Narrow" w:eastAsia="Times New Roman" w:cs="Calibri"/>
                <w:color w:val="000000" w:themeColor="text1"/>
                <w:sz w:val="18"/>
                <w:szCs w:val="18"/>
                <w:vertAlign w:val="superscript"/>
              </w:rPr>
              <w:t>1</w:t>
            </w:r>
          </w:p>
        </w:tc>
        <w:tc>
          <w:tcPr>
            <w:tcW w:w="9079" w:type="dxa"/>
            <w:gridSpan w:val="4"/>
            <w:tcBorders>
              <w:top w:val="nil"/>
              <w:left w:val="nil"/>
              <w:bottom w:val="nil"/>
              <w:right w:val="single" w:color="000000" w:themeColor="text1" w:sz="4" w:space="0"/>
            </w:tcBorders>
            <w:shd w:val="clear" w:color="auto" w:fill="auto"/>
          </w:tcPr>
          <w:p w:rsidRPr="00FB6C44" w:rsidR="00482568" w:rsidP="00FE4621" w:rsidRDefault="00482568" w14:paraId="63D6ED62" w14:textId="64EE8157">
            <w:pPr>
              <w:spacing w:before="40" w:after="40"/>
              <w:ind w:left="-103"/>
              <w:rPr>
                <w:rFonts w:ascii="Arial Narrow" w:hAnsi="Arial Narrow" w:eastAsia="Times New Roman" w:cs="Calibri"/>
                <w:color w:val="000000"/>
                <w:sz w:val="18"/>
                <w:szCs w:val="18"/>
              </w:rPr>
            </w:pPr>
            <w:r w:rsidRPr="00FB6C44">
              <w:rPr>
                <w:rFonts w:ascii="Arial Narrow" w:hAnsi="Arial Narrow" w:eastAsia="Times New Roman" w:cs="Calibri"/>
                <w:color w:val="000000"/>
                <w:sz w:val="18"/>
                <w:szCs w:val="18"/>
              </w:rPr>
              <w:t>As in the analysis in Table 5-</w:t>
            </w:r>
            <w:r w:rsidRPr="00FB6C44" w:rsidR="00FB6C44">
              <w:rPr>
                <w:rFonts w:ascii="Arial Narrow" w:hAnsi="Arial Narrow" w:eastAsia="Times New Roman" w:cs="Calibri"/>
                <w:color w:val="000000"/>
                <w:sz w:val="18"/>
                <w:szCs w:val="18"/>
              </w:rPr>
              <w:t>9</w:t>
            </w:r>
            <w:r w:rsidRPr="00FB6C44">
              <w:rPr>
                <w:rFonts w:ascii="Arial Narrow" w:hAnsi="Arial Narrow" w:eastAsia="Times New Roman" w:cs="Calibri"/>
                <w:color w:val="000000"/>
                <w:sz w:val="18"/>
                <w:szCs w:val="18"/>
              </w:rPr>
              <w:t xml:space="preserve"> of EPA (2019</w:t>
            </w:r>
            <w:r w:rsidR="00FA4C5C">
              <w:rPr>
                <w:rFonts w:ascii="Arial Narrow" w:hAnsi="Arial Narrow" w:eastAsia="Times New Roman" w:cs="Calibri"/>
                <w:color w:val="000000"/>
                <w:sz w:val="18"/>
                <w:szCs w:val="18"/>
              </w:rPr>
              <w:t>b</w:t>
            </w:r>
            <w:r w:rsidRPr="00FB6C44">
              <w:rPr>
                <w:rFonts w:ascii="Arial Narrow" w:hAnsi="Arial Narrow" w:eastAsia="Times New Roman" w:cs="Calibri"/>
                <w:color w:val="000000"/>
                <w:sz w:val="18"/>
                <w:szCs w:val="18"/>
              </w:rPr>
              <w:t>), overall unit burden is based on 14.82% new reporting sites. The exception is government entities, which are assumed to have 100% experienced sites.</w:t>
            </w:r>
          </w:p>
        </w:tc>
      </w:tr>
      <w:tr w:rsidRPr="00ED6F18" w:rsidR="00482568" w:rsidTr="00BD4AF1" w14:paraId="107D4724" w14:textId="77777777">
        <w:tblPrEx>
          <w:tblCellMar>
            <w:left w:w="115" w:type="dxa"/>
            <w:right w:w="115" w:type="dxa"/>
          </w:tblCellMar>
        </w:tblPrEx>
        <w:trPr>
          <w:jc w:val="center"/>
        </w:trPr>
        <w:tc>
          <w:tcPr>
            <w:tcW w:w="915" w:type="dxa"/>
            <w:tcBorders>
              <w:top w:val="nil"/>
              <w:left w:val="single" w:color="auto" w:sz="4" w:space="0"/>
              <w:bottom w:val="nil"/>
              <w:right w:val="nil"/>
            </w:tcBorders>
            <w:shd w:val="clear" w:color="auto" w:fill="auto"/>
            <w:hideMark/>
          </w:tcPr>
          <w:p w:rsidRPr="00ED6F18" w:rsidR="00482568" w:rsidP="00FE4621" w:rsidRDefault="00482568" w14:paraId="72526200" w14:textId="77777777">
            <w:pPr>
              <w:spacing w:before="40" w:after="40"/>
              <w:rPr>
                <w:rFonts w:ascii="Arial Narrow" w:hAnsi="Arial Narrow" w:eastAsia="Times New Roman" w:cs="Calibri"/>
                <w:color w:val="000000" w:themeColor="text1"/>
                <w:sz w:val="18"/>
                <w:szCs w:val="18"/>
              </w:rPr>
            </w:pPr>
            <w:r w:rsidRPr="00ED6F18">
              <w:rPr>
                <w:rFonts w:ascii="Arial Narrow" w:hAnsi="Arial Narrow" w:eastAsia="Times New Roman" w:cs="Calibri"/>
                <w:color w:val="000000" w:themeColor="text1"/>
                <w:sz w:val="18"/>
                <w:szCs w:val="18"/>
                <w:vertAlign w:val="superscript"/>
              </w:rPr>
              <w:lastRenderedPageBreak/>
              <w:t>2</w:t>
            </w:r>
          </w:p>
        </w:tc>
        <w:tc>
          <w:tcPr>
            <w:tcW w:w="9079" w:type="dxa"/>
            <w:gridSpan w:val="4"/>
            <w:tcBorders>
              <w:top w:val="nil"/>
              <w:left w:val="nil"/>
              <w:bottom w:val="nil"/>
              <w:right w:val="single" w:color="000000" w:themeColor="text1" w:sz="4" w:space="0"/>
            </w:tcBorders>
            <w:shd w:val="clear" w:color="auto" w:fill="auto"/>
            <w:hideMark/>
          </w:tcPr>
          <w:p w:rsidRPr="00FB6C44" w:rsidR="00482568" w:rsidP="00FE4621" w:rsidRDefault="00482568" w14:paraId="5D869E8C" w14:textId="2CE4C850">
            <w:pPr>
              <w:spacing w:before="40" w:after="40"/>
              <w:ind w:left="-103"/>
              <w:rPr>
                <w:rFonts w:ascii="Arial Narrow" w:hAnsi="Arial Narrow" w:eastAsia="Times New Roman" w:cs="Calibri"/>
                <w:color w:val="000000"/>
                <w:sz w:val="18"/>
                <w:szCs w:val="18"/>
              </w:rPr>
            </w:pPr>
            <w:r w:rsidRPr="00FB6C44">
              <w:rPr>
                <w:rFonts w:ascii="Arial Narrow" w:hAnsi="Arial Narrow" w:eastAsia="Times New Roman" w:cs="Calibri"/>
                <w:color w:val="000000"/>
                <w:sz w:val="18"/>
                <w:szCs w:val="18"/>
              </w:rPr>
              <w:t>The estimate for industry new reporter incremental Rule Familiarization burden consists of 0.505 hours of Managerial labor and 1.225 hours of Technical labor (see EPA (2019</w:t>
            </w:r>
            <w:r w:rsidR="00FA4C5C">
              <w:rPr>
                <w:rFonts w:ascii="Arial Narrow" w:hAnsi="Arial Narrow" w:eastAsia="Times New Roman" w:cs="Calibri"/>
                <w:color w:val="000000"/>
                <w:sz w:val="18"/>
                <w:szCs w:val="18"/>
              </w:rPr>
              <w:t>b</w:t>
            </w:r>
            <w:r w:rsidRPr="00FB6C44">
              <w:rPr>
                <w:rFonts w:ascii="Arial Narrow" w:hAnsi="Arial Narrow" w:eastAsia="Times New Roman" w:cs="Calibri"/>
                <w:color w:val="000000"/>
                <w:sz w:val="18"/>
                <w:szCs w:val="18"/>
              </w:rPr>
              <w:t xml:space="preserve">) for justification). </w:t>
            </w:r>
          </w:p>
        </w:tc>
      </w:tr>
      <w:tr w:rsidRPr="00ED6F18" w:rsidR="00482568" w:rsidTr="00BD4AF1" w14:paraId="67803AC1" w14:textId="77777777">
        <w:tblPrEx>
          <w:tblCellMar>
            <w:left w:w="115" w:type="dxa"/>
            <w:right w:w="115" w:type="dxa"/>
          </w:tblCellMar>
        </w:tblPrEx>
        <w:trPr>
          <w:jc w:val="center"/>
        </w:trPr>
        <w:tc>
          <w:tcPr>
            <w:tcW w:w="915" w:type="dxa"/>
            <w:tcBorders>
              <w:top w:val="nil"/>
              <w:left w:val="single" w:color="auto" w:sz="4" w:space="0"/>
              <w:bottom w:val="nil"/>
              <w:right w:val="nil"/>
            </w:tcBorders>
            <w:shd w:val="clear" w:color="auto" w:fill="auto"/>
          </w:tcPr>
          <w:p w:rsidRPr="00ED6F18" w:rsidR="00482568" w:rsidP="00FE4621" w:rsidRDefault="00482568" w14:paraId="311EE13B" w14:textId="77777777">
            <w:pPr>
              <w:spacing w:before="40" w:after="40"/>
              <w:rPr>
                <w:rFonts w:ascii="Arial Narrow" w:hAnsi="Arial Narrow" w:eastAsia="Times New Roman" w:cs="Calibri"/>
                <w:color w:val="000000" w:themeColor="text1"/>
                <w:sz w:val="18"/>
                <w:szCs w:val="18"/>
                <w:vertAlign w:val="superscript"/>
              </w:rPr>
            </w:pPr>
            <w:r w:rsidRPr="00ED6F18">
              <w:rPr>
                <w:rFonts w:ascii="Arial Narrow" w:hAnsi="Arial Narrow" w:eastAsia="Times New Roman" w:cs="Calibri"/>
                <w:color w:val="000000" w:themeColor="text1"/>
                <w:sz w:val="18"/>
                <w:szCs w:val="18"/>
                <w:vertAlign w:val="superscript"/>
              </w:rPr>
              <w:t>3</w:t>
            </w:r>
          </w:p>
        </w:tc>
        <w:tc>
          <w:tcPr>
            <w:tcW w:w="9079" w:type="dxa"/>
            <w:gridSpan w:val="4"/>
            <w:tcBorders>
              <w:top w:val="nil"/>
              <w:left w:val="nil"/>
              <w:bottom w:val="nil"/>
              <w:right w:val="single" w:color="000000" w:themeColor="text1" w:sz="4" w:space="0"/>
            </w:tcBorders>
            <w:shd w:val="clear" w:color="auto" w:fill="auto"/>
          </w:tcPr>
          <w:p w:rsidRPr="00FB6C44" w:rsidR="00482568" w:rsidP="00FE4621" w:rsidRDefault="00482568" w14:paraId="08B37445" w14:textId="77777777">
            <w:pPr>
              <w:spacing w:before="40" w:after="40"/>
              <w:ind w:left="-103"/>
              <w:rPr>
                <w:rFonts w:ascii="Arial Narrow" w:hAnsi="Arial Narrow" w:eastAsia="Times New Roman" w:cs="Calibri"/>
                <w:color w:val="000000"/>
                <w:sz w:val="18"/>
                <w:szCs w:val="18"/>
              </w:rPr>
            </w:pPr>
            <w:r w:rsidRPr="00FB6C44">
              <w:rPr>
                <w:rFonts w:ascii="Arial Narrow" w:hAnsi="Arial Narrow" w:eastAsia="Times New Roman" w:cs="Calibri"/>
                <w:color w:val="000000"/>
                <w:sz w:val="18"/>
                <w:szCs w:val="18"/>
              </w:rPr>
              <w:t>Compliance Determination for industry new reporters is estimated at the same levels as for experienced reporters.</w:t>
            </w:r>
          </w:p>
        </w:tc>
      </w:tr>
      <w:tr w:rsidRPr="00ED6F18" w:rsidR="00482568" w:rsidTr="00BD4AF1" w14:paraId="7A32CD5D" w14:textId="77777777">
        <w:tblPrEx>
          <w:tblCellMar>
            <w:left w:w="115" w:type="dxa"/>
            <w:right w:w="115" w:type="dxa"/>
          </w:tblCellMar>
        </w:tblPrEx>
        <w:trPr>
          <w:jc w:val="center"/>
        </w:trPr>
        <w:tc>
          <w:tcPr>
            <w:tcW w:w="915" w:type="dxa"/>
            <w:tcBorders>
              <w:top w:val="nil"/>
              <w:left w:val="single" w:color="auto" w:sz="4" w:space="0"/>
              <w:bottom w:val="nil"/>
              <w:right w:val="nil"/>
            </w:tcBorders>
            <w:shd w:val="clear" w:color="auto" w:fill="auto"/>
          </w:tcPr>
          <w:p w:rsidRPr="00ED6F18" w:rsidR="00482568" w:rsidP="00FE4621" w:rsidRDefault="00482568" w14:paraId="3D5AE717" w14:textId="77777777">
            <w:pPr>
              <w:spacing w:before="40" w:after="40"/>
              <w:rPr>
                <w:rFonts w:ascii="Arial Narrow" w:hAnsi="Arial Narrow" w:eastAsia="Times New Roman" w:cs="Calibri"/>
                <w:color w:val="000000" w:themeColor="text1"/>
                <w:sz w:val="18"/>
                <w:szCs w:val="18"/>
                <w:vertAlign w:val="superscript"/>
              </w:rPr>
            </w:pPr>
            <w:r w:rsidRPr="00ED6F18">
              <w:rPr>
                <w:rFonts w:ascii="Arial Narrow" w:hAnsi="Arial Narrow" w:eastAsia="Times New Roman" w:cs="Calibri"/>
                <w:color w:val="000000" w:themeColor="text1"/>
                <w:sz w:val="18"/>
                <w:szCs w:val="18"/>
                <w:vertAlign w:val="superscript"/>
              </w:rPr>
              <w:t>4</w:t>
            </w:r>
          </w:p>
        </w:tc>
        <w:tc>
          <w:tcPr>
            <w:tcW w:w="9079" w:type="dxa"/>
            <w:gridSpan w:val="4"/>
            <w:tcBorders>
              <w:top w:val="nil"/>
              <w:left w:val="nil"/>
              <w:right w:val="single" w:color="000000" w:themeColor="text1" w:sz="4" w:space="0"/>
            </w:tcBorders>
            <w:shd w:val="clear" w:color="auto" w:fill="auto"/>
          </w:tcPr>
          <w:p w:rsidRPr="00ED6F18" w:rsidR="00482568" w:rsidP="00FE4621" w:rsidRDefault="00482568" w14:paraId="63602330" w14:textId="63C8FFB4">
            <w:pPr>
              <w:spacing w:before="40" w:after="40"/>
              <w:ind w:left="-103"/>
              <w:rPr>
                <w:rFonts w:ascii="Arial Narrow" w:hAnsi="Arial Narrow" w:eastAsia="Times New Roman" w:cs="Calibri"/>
                <w:color w:val="000000"/>
                <w:sz w:val="18"/>
                <w:szCs w:val="18"/>
              </w:rPr>
            </w:pPr>
            <w:r w:rsidRPr="00ED6F18">
              <w:rPr>
                <w:rFonts w:ascii="Arial Narrow" w:hAnsi="Arial Narrow" w:eastAsia="Times New Roman" w:cs="Calibri"/>
                <w:color w:val="000000"/>
                <w:sz w:val="18"/>
                <w:szCs w:val="18"/>
              </w:rPr>
              <w:t xml:space="preserve">The estimate for </w:t>
            </w:r>
            <w:r w:rsidR="001B2710">
              <w:rPr>
                <w:rFonts w:ascii="Arial Narrow" w:hAnsi="Arial Narrow" w:eastAsia="Times New Roman" w:cs="Calibri"/>
                <w:color w:val="000000"/>
                <w:sz w:val="18"/>
                <w:szCs w:val="18"/>
              </w:rPr>
              <w:t xml:space="preserve">government </w:t>
            </w:r>
            <w:r w:rsidRPr="00ED6F18">
              <w:rPr>
                <w:rFonts w:ascii="Arial Narrow" w:hAnsi="Arial Narrow" w:eastAsia="Times New Roman" w:cs="Calibri"/>
                <w:color w:val="000000"/>
                <w:sz w:val="18"/>
                <w:szCs w:val="18"/>
              </w:rPr>
              <w:t xml:space="preserve">new reporter incremental Rule Familiarization burden is zero because all governments are assumed to be experienced. </w:t>
            </w:r>
          </w:p>
        </w:tc>
      </w:tr>
      <w:tr w:rsidRPr="00ED6F18" w:rsidR="00482568" w:rsidTr="00BD4AF1" w14:paraId="3D9B9CBD" w14:textId="77777777">
        <w:tblPrEx>
          <w:tblCellMar>
            <w:left w:w="115" w:type="dxa"/>
            <w:right w:w="115" w:type="dxa"/>
          </w:tblCellMar>
        </w:tblPrEx>
        <w:trPr>
          <w:jc w:val="center"/>
        </w:trPr>
        <w:tc>
          <w:tcPr>
            <w:tcW w:w="915" w:type="dxa"/>
            <w:tcBorders>
              <w:top w:val="nil"/>
              <w:left w:val="single" w:color="auto" w:sz="4" w:space="0"/>
              <w:bottom w:val="single" w:color="auto" w:sz="4" w:space="0"/>
              <w:right w:val="nil"/>
            </w:tcBorders>
            <w:shd w:val="clear" w:color="auto" w:fill="auto"/>
          </w:tcPr>
          <w:p w:rsidRPr="00ED6F18" w:rsidR="00482568" w:rsidP="00FE4621" w:rsidRDefault="00482568" w14:paraId="09FD5C54" w14:textId="77777777">
            <w:pPr>
              <w:spacing w:before="40" w:after="40"/>
              <w:rPr>
                <w:rFonts w:ascii="Arial Narrow" w:hAnsi="Arial Narrow" w:eastAsia="Times New Roman" w:cs="Calibri"/>
                <w:color w:val="000000" w:themeColor="text1"/>
                <w:sz w:val="18"/>
                <w:szCs w:val="18"/>
                <w:vertAlign w:val="superscript"/>
              </w:rPr>
            </w:pPr>
            <w:r w:rsidRPr="00ED6F18">
              <w:rPr>
                <w:rFonts w:ascii="Arial Narrow" w:hAnsi="Arial Narrow" w:eastAsia="Times New Roman" w:cs="Calibri"/>
                <w:color w:val="000000" w:themeColor="text1"/>
                <w:sz w:val="18"/>
                <w:szCs w:val="18"/>
                <w:vertAlign w:val="superscript"/>
              </w:rPr>
              <w:t>5</w:t>
            </w:r>
          </w:p>
        </w:tc>
        <w:tc>
          <w:tcPr>
            <w:tcW w:w="9079" w:type="dxa"/>
            <w:gridSpan w:val="4"/>
            <w:tcBorders>
              <w:top w:val="nil"/>
              <w:left w:val="nil"/>
              <w:bottom w:val="single" w:color="auto" w:sz="4" w:space="0"/>
              <w:right w:val="single" w:color="000000" w:themeColor="text1" w:sz="4" w:space="0"/>
            </w:tcBorders>
            <w:shd w:val="clear" w:color="auto" w:fill="auto"/>
          </w:tcPr>
          <w:p w:rsidRPr="00ED6F18" w:rsidR="00482568" w:rsidP="00FE4621" w:rsidRDefault="00482568" w14:paraId="57CBB996" w14:textId="5FE57981">
            <w:pPr>
              <w:spacing w:before="40" w:after="40"/>
              <w:ind w:left="-103"/>
              <w:rPr>
                <w:rFonts w:ascii="Arial Narrow" w:hAnsi="Arial Narrow" w:eastAsia="Times New Roman" w:cs="Calibri"/>
                <w:color w:val="000000"/>
                <w:sz w:val="18"/>
                <w:szCs w:val="18"/>
              </w:rPr>
            </w:pPr>
            <w:r w:rsidRPr="00ED6F18">
              <w:rPr>
                <w:rFonts w:ascii="Arial Narrow" w:hAnsi="Arial Narrow" w:eastAsia="Times New Roman" w:cs="Calibri"/>
                <w:color w:val="000000"/>
                <w:sz w:val="18"/>
                <w:szCs w:val="18"/>
              </w:rPr>
              <w:t>Compliance Determination for government reporters consists of 0.052 hours of Managerial labor and 0.118 hours of Technical labor (see EPA (2019</w:t>
            </w:r>
            <w:r w:rsidR="00FA4C5C">
              <w:rPr>
                <w:rFonts w:ascii="Arial Narrow" w:hAnsi="Arial Narrow" w:eastAsia="Times New Roman" w:cs="Calibri"/>
                <w:color w:val="000000"/>
                <w:sz w:val="18"/>
                <w:szCs w:val="18"/>
              </w:rPr>
              <w:t>b</w:t>
            </w:r>
            <w:r w:rsidRPr="00ED6F18">
              <w:rPr>
                <w:rFonts w:ascii="Arial Narrow" w:hAnsi="Arial Narrow" w:eastAsia="Times New Roman" w:cs="Calibri"/>
                <w:color w:val="000000"/>
                <w:sz w:val="18"/>
                <w:szCs w:val="18"/>
              </w:rPr>
              <w:t>) for justification).</w:t>
            </w:r>
          </w:p>
        </w:tc>
      </w:tr>
    </w:tbl>
    <w:p w:rsidR="004909CD" w:rsidP="00FE4621" w:rsidRDefault="000F1C77" w14:paraId="7793FB07" w14:textId="3A65AF5D">
      <w:pPr>
        <w:pStyle w:val="BodyText"/>
        <w:spacing w:before="200" w:after="200"/>
      </w:pPr>
      <w:r>
        <w:t xml:space="preserve">Unit costs are derived by combining relevant wage information with unit burden estimates.  See Appendix B for information on the industry wage rates used in this analysis. </w:t>
      </w:r>
      <w:r w:rsidRPr="00985AF4" w:rsidR="00234D5E">
        <w:t xml:space="preserve">Unit reporter burden and reporter cost per site for the SMD Update </w:t>
      </w:r>
      <w:r w:rsidR="00937A15">
        <w:t xml:space="preserve">are presented </w:t>
      </w:r>
      <w:r w:rsidRPr="00985AF4" w:rsidR="00234D5E">
        <w:t>in</w:t>
      </w:r>
      <w:r w:rsidR="00A327E9">
        <w:t xml:space="preserve"> </w:t>
      </w:r>
      <w:r w:rsidRPr="00A327E9" w:rsidR="00A327E9">
        <w:fldChar w:fldCharType="begin"/>
      </w:r>
      <w:r w:rsidRPr="00A327E9" w:rsidR="00A327E9">
        <w:instrText xml:space="preserve"> REF _Ref28853485 \h  \* MERGEFORMAT </w:instrText>
      </w:r>
      <w:r w:rsidRPr="00A327E9" w:rsidR="00A327E9">
        <w:fldChar w:fldCharType="separate"/>
      </w:r>
      <w:r w:rsidRPr="00590B23" w:rsidR="00590B23">
        <w:t xml:space="preserve">Table </w:t>
      </w:r>
      <w:r w:rsidRPr="00590B23" w:rsidR="00590B23">
        <w:rPr>
          <w:noProof/>
        </w:rPr>
        <w:t>5</w:t>
      </w:r>
      <w:r w:rsidRPr="00590B23" w:rsidR="00590B23">
        <w:rPr>
          <w:noProof/>
        </w:rPr>
        <w:noBreakHyphen/>
        <w:t>3</w:t>
      </w:r>
      <w:r w:rsidRPr="00A327E9" w:rsidR="00A327E9">
        <w:fldChar w:fldCharType="end"/>
      </w:r>
      <w:r w:rsidR="00234D5E">
        <w:t>.</w:t>
      </w:r>
      <w:r w:rsidRPr="00574902" w:rsidR="004909CD">
        <w:t xml:space="preserve"> </w:t>
      </w:r>
      <w:bookmarkStart w:name="_Ref524344142" w:id="38"/>
      <w:r w:rsidRPr="000F1C77" w:rsidR="00234D5E">
        <w:t xml:space="preserve">EPA estimates incremental reporter burden and cost at approximately </w:t>
      </w:r>
      <w:r w:rsidRPr="000F1C77" w:rsidR="008D05ED">
        <w:t>15 minutes</w:t>
      </w:r>
      <w:r w:rsidRPr="000F1C77" w:rsidR="00234D5E">
        <w:t xml:space="preserve"> and $</w:t>
      </w:r>
      <w:r w:rsidRPr="000F1C77">
        <w:t>20</w:t>
      </w:r>
      <w:r w:rsidRPr="000F1C77" w:rsidR="00234D5E">
        <w:t xml:space="preserve"> per industry site and approximately </w:t>
      </w:r>
      <w:r w:rsidRPr="000F1C77">
        <w:t>ten minutes</w:t>
      </w:r>
      <w:r w:rsidRPr="000F1C77" w:rsidR="00234D5E">
        <w:t xml:space="preserve"> and $1</w:t>
      </w:r>
      <w:r w:rsidRPr="000F1C77">
        <w:t>3</w:t>
      </w:r>
      <w:r w:rsidRPr="000F1C77" w:rsidR="00234D5E">
        <w:t xml:space="preserve"> per government site per four-year reporting cycle</w:t>
      </w:r>
      <w:r w:rsidRPr="000F1C77">
        <w:t>.</w:t>
      </w:r>
    </w:p>
    <w:tbl>
      <w:tblPr>
        <w:tblW w:w="9500" w:type="dxa"/>
        <w:tblLook w:val="04A0" w:firstRow="1" w:lastRow="0" w:firstColumn="1" w:lastColumn="0" w:noHBand="0" w:noVBand="1"/>
      </w:tblPr>
      <w:tblGrid>
        <w:gridCol w:w="6200"/>
        <w:gridCol w:w="1660"/>
        <w:gridCol w:w="1640"/>
      </w:tblGrid>
      <w:tr w:rsidRPr="005A7FDB" w:rsidR="005A7FDB" w:rsidTr="005A7FDB" w14:paraId="76D58E55" w14:textId="77777777">
        <w:trPr>
          <w:trHeight w:val="645"/>
        </w:trPr>
        <w:tc>
          <w:tcPr>
            <w:tcW w:w="9500" w:type="dxa"/>
            <w:gridSpan w:val="3"/>
            <w:tcBorders>
              <w:top w:val="nil"/>
              <w:left w:val="nil"/>
              <w:bottom w:val="single" w:color="auto" w:sz="4" w:space="0"/>
              <w:right w:val="nil"/>
            </w:tcBorders>
            <w:shd w:val="clear" w:color="auto" w:fill="auto"/>
            <w:vAlign w:val="bottom"/>
            <w:hideMark/>
          </w:tcPr>
          <w:p w:rsidRPr="005A7FDB" w:rsidR="005A7FDB" w:rsidP="00FE4621" w:rsidRDefault="00296ED8" w14:paraId="18A115FF" w14:textId="1EA32070">
            <w:pPr>
              <w:spacing w:before="40" w:after="40"/>
              <w:rPr>
                <w:rFonts w:eastAsia="Times New Roman" w:cs="Arial"/>
                <w:b/>
                <w:bCs/>
                <w:color w:val="000000"/>
                <w:szCs w:val="24"/>
              </w:rPr>
            </w:pPr>
            <w:bookmarkStart w:name="_Ref28853485" w:id="39"/>
            <w:bookmarkStart w:name="_Toc42176583" w:id="40"/>
            <w:r w:rsidRPr="00296ED8">
              <w:rPr>
                <w:b/>
              </w:rPr>
              <w:t xml:space="preserve">Table </w:t>
            </w:r>
            <w:r w:rsidR="00A367CB">
              <w:rPr>
                <w:b/>
              </w:rPr>
              <w:fldChar w:fldCharType="begin"/>
            </w:r>
            <w:r w:rsidR="00A367CB">
              <w:rPr>
                <w:b/>
              </w:rPr>
              <w:instrText xml:space="preserve"> STYLEREF 1 \s </w:instrText>
            </w:r>
            <w:r w:rsidR="00A367CB">
              <w:rPr>
                <w:b/>
              </w:rPr>
              <w:fldChar w:fldCharType="separate"/>
            </w:r>
            <w:r w:rsidR="00590B23">
              <w:rPr>
                <w:b/>
                <w:noProof/>
              </w:rPr>
              <w:t>5</w:t>
            </w:r>
            <w:r w:rsidR="00A367CB">
              <w:rPr>
                <w:b/>
              </w:rPr>
              <w:fldChar w:fldCharType="end"/>
            </w:r>
            <w:r w:rsidR="00A367CB">
              <w:rPr>
                <w:b/>
              </w:rPr>
              <w:noBreakHyphen/>
            </w:r>
            <w:r w:rsidR="00A367CB">
              <w:rPr>
                <w:b/>
              </w:rPr>
              <w:fldChar w:fldCharType="begin"/>
            </w:r>
            <w:r w:rsidR="00A367CB">
              <w:rPr>
                <w:b/>
              </w:rPr>
              <w:instrText xml:space="preserve"> SEQ Table \* ARABIC \s 1 </w:instrText>
            </w:r>
            <w:r w:rsidR="00A367CB">
              <w:rPr>
                <w:b/>
              </w:rPr>
              <w:fldChar w:fldCharType="separate"/>
            </w:r>
            <w:r w:rsidR="00590B23">
              <w:rPr>
                <w:b/>
                <w:noProof/>
              </w:rPr>
              <w:t>3</w:t>
            </w:r>
            <w:r w:rsidR="00A367CB">
              <w:rPr>
                <w:b/>
              </w:rPr>
              <w:fldChar w:fldCharType="end"/>
            </w:r>
            <w:bookmarkEnd w:id="39"/>
            <w:r w:rsidRPr="00296ED8" w:rsidR="005A7FDB">
              <w:rPr>
                <w:rFonts w:eastAsia="Times New Roman" w:cs="Arial"/>
                <w:b/>
                <w:bCs/>
                <w:color w:val="000000"/>
                <w:szCs w:val="24"/>
              </w:rPr>
              <w:t>:</w:t>
            </w:r>
            <w:r w:rsidRPr="005A7FDB" w:rsidR="005A7FDB">
              <w:rPr>
                <w:rFonts w:eastAsia="Times New Roman" w:cs="Arial"/>
                <w:b/>
                <w:bCs/>
                <w:color w:val="000000"/>
                <w:szCs w:val="24"/>
              </w:rPr>
              <w:t xml:space="preserve"> Incremental Unit Burden and Cost per Site, Four-Year Cycle, Experienced and New Reporters, Industry and Government</w:t>
            </w:r>
            <w:bookmarkEnd w:id="40"/>
          </w:p>
        </w:tc>
      </w:tr>
      <w:tr w:rsidRPr="005A7FDB" w:rsidR="005A7FDB" w:rsidTr="00FE4621" w14:paraId="45110300" w14:textId="77777777">
        <w:trPr>
          <w:trHeight w:val="773"/>
        </w:trPr>
        <w:tc>
          <w:tcPr>
            <w:tcW w:w="6200" w:type="dxa"/>
            <w:tcBorders>
              <w:top w:val="nil"/>
              <w:left w:val="single" w:color="auto" w:sz="4" w:space="0"/>
              <w:bottom w:val="single" w:color="auto" w:sz="4" w:space="0"/>
              <w:right w:val="single" w:color="auto" w:sz="4" w:space="0"/>
            </w:tcBorders>
            <w:shd w:val="clear" w:color="000000" w:fill="BFBFBF"/>
            <w:noWrap/>
            <w:vAlign w:val="bottom"/>
            <w:hideMark/>
          </w:tcPr>
          <w:p w:rsidRPr="005A7FDB" w:rsidR="005A7FDB" w:rsidP="00FE4621" w:rsidRDefault="005A7FDB" w14:paraId="79C243A5"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 </w:t>
            </w:r>
          </w:p>
        </w:tc>
        <w:tc>
          <w:tcPr>
            <w:tcW w:w="1660" w:type="dxa"/>
            <w:tcBorders>
              <w:top w:val="nil"/>
              <w:left w:val="nil"/>
              <w:bottom w:val="single" w:color="auto" w:sz="4" w:space="0"/>
              <w:right w:val="single" w:color="auto" w:sz="4" w:space="0"/>
            </w:tcBorders>
            <w:shd w:val="clear" w:color="000000" w:fill="BFBFBF"/>
            <w:vAlign w:val="bottom"/>
            <w:hideMark/>
          </w:tcPr>
          <w:p w:rsidRPr="005A7FDB" w:rsidR="005A7FDB" w:rsidP="00FE4621" w:rsidRDefault="005A7FDB" w14:paraId="2CA9F905" w14:textId="77777777">
            <w:pPr>
              <w:spacing w:before="40" w:after="40"/>
              <w:jc w:val="center"/>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Overall average burden per site (hours)</w:t>
            </w:r>
          </w:p>
        </w:tc>
        <w:tc>
          <w:tcPr>
            <w:tcW w:w="1640" w:type="dxa"/>
            <w:tcBorders>
              <w:top w:val="nil"/>
              <w:left w:val="nil"/>
              <w:bottom w:val="single" w:color="auto" w:sz="4" w:space="0"/>
              <w:right w:val="single" w:color="auto" w:sz="4" w:space="0"/>
            </w:tcBorders>
            <w:shd w:val="clear" w:color="000000" w:fill="BFBFBF"/>
            <w:vAlign w:val="bottom"/>
            <w:hideMark/>
          </w:tcPr>
          <w:p w:rsidRPr="005A7FDB" w:rsidR="005A7FDB" w:rsidP="00FE4621" w:rsidRDefault="005A7FDB" w14:paraId="0FC2F3D6" w14:textId="77777777">
            <w:pPr>
              <w:spacing w:before="40" w:after="40"/>
              <w:jc w:val="center"/>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Overall average cost per site (2018$)</w:t>
            </w:r>
          </w:p>
        </w:tc>
      </w:tr>
      <w:tr w:rsidRPr="005A7FDB" w:rsidR="005A7FDB" w:rsidTr="005A7FDB" w14:paraId="602F9C4A" w14:textId="77777777">
        <w:trPr>
          <w:trHeight w:val="300"/>
        </w:trPr>
        <w:tc>
          <w:tcPr>
            <w:tcW w:w="9500" w:type="dxa"/>
            <w:gridSpan w:val="3"/>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A7FDB" w:rsidR="005A7FDB" w:rsidP="00FE4621" w:rsidRDefault="005A7FDB" w14:paraId="38AD01EC"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Universal Changes</w:t>
            </w:r>
          </w:p>
        </w:tc>
      </w:tr>
      <w:tr w:rsidRPr="005A7FDB" w:rsidR="005A7FDB" w:rsidTr="005A7FDB" w14:paraId="12E25608" w14:textId="77777777">
        <w:trPr>
          <w:trHeight w:val="300"/>
        </w:trPr>
        <w:tc>
          <w:tcPr>
            <w:tcW w:w="9500"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5A7FDB" w:rsidR="005A7FDB" w:rsidP="00FE4621" w:rsidRDefault="005A7FDB" w14:paraId="1D8BAFC2"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Industry</w:t>
            </w:r>
          </w:p>
        </w:tc>
      </w:tr>
      <w:tr w:rsidRPr="005A7FDB" w:rsidR="005A7FDB" w:rsidTr="005A7FDB" w14:paraId="12E84A83" w14:textId="77777777">
        <w:trPr>
          <w:trHeight w:val="300"/>
        </w:trPr>
        <w:tc>
          <w:tcPr>
            <w:tcW w:w="6200" w:type="dxa"/>
            <w:tcBorders>
              <w:top w:val="nil"/>
              <w:left w:val="single" w:color="auto" w:sz="4" w:space="0"/>
              <w:bottom w:val="single" w:color="auto" w:sz="4" w:space="0"/>
              <w:right w:val="single" w:color="auto" w:sz="4" w:space="0"/>
            </w:tcBorders>
            <w:shd w:val="clear" w:color="auto" w:fill="auto"/>
            <w:hideMark/>
          </w:tcPr>
          <w:p w:rsidRPr="005A7FDB" w:rsidR="005A7FDB" w:rsidP="00FE4621" w:rsidRDefault="005A7FDB" w14:paraId="100B3F5C" w14:textId="77777777">
            <w:pPr>
              <w:spacing w:before="40" w:after="40"/>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8(a) SMD incremental rule familiarization and compliance determination</w:t>
            </w:r>
          </w:p>
        </w:tc>
        <w:tc>
          <w:tcPr>
            <w:tcW w:w="1660" w:type="dxa"/>
            <w:tcBorders>
              <w:top w:val="nil"/>
              <w:left w:val="nil"/>
              <w:bottom w:val="single" w:color="auto" w:sz="4" w:space="0"/>
              <w:right w:val="single" w:color="auto" w:sz="4" w:space="0"/>
            </w:tcBorders>
            <w:shd w:val="clear" w:color="000000" w:fill="FFFFFF"/>
            <w:noWrap/>
            <w:vAlign w:val="bottom"/>
            <w:hideMark/>
          </w:tcPr>
          <w:p w:rsidRPr="005A7FDB" w:rsidR="005A7FDB" w:rsidP="00FE4621" w:rsidRDefault="005A7FDB" w14:paraId="1A8A66B8" w14:textId="77777777">
            <w:pPr>
              <w:spacing w:before="40" w:after="40"/>
              <w:jc w:val="right"/>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0.256</w:t>
            </w:r>
          </w:p>
        </w:tc>
        <w:tc>
          <w:tcPr>
            <w:tcW w:w="1640" w:type="dxa"/>
            <w:tcBorders>
              <w:top w:val="nil"/>
              <w:left w:val="nil"/>
              <w:bottom w:val="single" w:color="auto" w:sz="4" w:space="0"/>
              <w:right w:val="single" w:color="auto" w:sz="4" w:space="0"/>
            </w:tcBorders>
            <w:shd w:val="clear" w:color="auto" w:fill="auto"/>
            <w:noWrap/>
            <w:vAlign w:val="bottom"/>
            <w:hideMark/>
          </w:tcPr>
          <w:p w:rsidRPr="005A7FDB" w:rsidR="005A7FDB" w:rsidP="00FE4621" w:rsidRDefault="005A7FDB" w14:paraId="4A936075" w14:textId="77777777">
            <w:pPr>
              <w:spacing w:before="40" w:after="40"/>
              <w:jc w:val="right"/>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$19.67</w:t>
            </w:r>
          </w:p>
        </w:tc>
      </w:tr>
      <w:tr w:rsidRPr="005A7FDB" w:rsidR="005A7FDB" w:rsidTr="005A7FDB" w14:paraId="0C255382" w14:textId="77777777">
        <w:trPr>
          <w:trHeight w:val="300"/>
        </w:trPr>
        <w:tc>
          <w:tcPr>
            <w:tcW w:w="6200" w:type="dxa"/>
            <w:tcBorders>
              <w:top w:val="single" w:color="auto" w:sz="8" w:space="0"/>
              <w:left w:val="single" w:color="auto" w:sz="4" w:space="0"/>
              <w:bottom w:val="single" w:color="auto" w:sz="4" w:space="0"/>
              <w:right w:val="single" w:color="auto" w:sz="4" w:space="0"/>
            </w:tcBorders>
            <w:shd w:val="clear" w:color="auto" w:fill="auto"/>
            <w:vAlign w:val="bottom"/>
            <w:hideMark/>
          </w:tcPr>
          <w:p w:rsidRPr="005A7FDB" w:rsidR="005A7FDB" w:rsidP="00FE4621" w:rsidRDefault="005A7FDB" w14:paraId="747F4D8B"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Industry Total</w:t>
            </w:r>
          </w:p>
        </w:tc>
        <w:tc>
          <w:tcPr>
            <w:tcW w:w="1660" w:type="dxa"/>
            <w:tcBorders>
              <w:top w:val="single" w:color="auto" w:sz="8" w:space="0"/>
              <w:left w:val="nil"/>
              <w:bottom w:val="single" w:color="auto" w:sz="4" w:space="0"/>
              <w:right w:val="single" w:color="auto" w:sz="4" w:space="0"/>
            </w:tcBorders>
            <w:shd w:val="clear" w:color="auto" w:fill="auto"/>
            <w:noWrap/>
            <w:vAlign w:val="bottom"/>
            <w:hideMark/>
          </w:tcPr>
          <w:p w:rsidRPr="005A7FDB" w:rsidR="005A7FDB" w:rsidP="00FE4621" w:rsidRDefault="005A7FDB" w14:paraId="52CEB20D" w14:textId="77777777">
            <w:pPr>
              <w:spacing w:before="40" w:after="40"/>
              <w:jc w:val="right"/>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0.256</w:t>
            </w:r>
          </w:p>
        </w:tc>
        <w:tc>
          <w:tcPr>
            <w:tcW w:w="1640" w:type="dxa"/>
            <w:tcBorders>
              <w:top w:val="single" w:color="auto" w:sz="8" w:space="0"/>
              <w:left w:val="nil"/>
              <w:bottom w:val="single" w:color="auto" w:sz="4" w:space="0"/>
              <w:right w:val="single" w:color="auto" w:sz="4" w:space="0"/>
            </w:tcBorders>
            <w:shd w:val="clear" w:color="auto" w:fill="auto"/>
            <w:noWrap/>
            <w:vAlign w:val="bottom"/>
            <w:hideMark/>
          </w:tcPr>
          <w:p w:rsidRPr="005A7FDB" w:rsidR="005A7FDB" w:rsidP="00FE4621" w:rsidRDefault="005A7FDB" w14:paraId="5E916D92" w14:textId="77777777">
            <w:pPr>
              <w:spacing w:before="40" w:after="40"/>
              <w:jc w:val="right"/>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$19.67</w:t>
            </w:r>
          </w:p>
        </w:tc>
      </w:tr>
      <w:tr w:rsidRPr="005A7FDB" w:rsidR="005A7FDB" w:rsidTr="005A7FDB" w14:paraId="408F7415" w14:textId="77777777">
        <w:trPr>
          <w:trHeight w:val="300"/>
        </w:trPr>
        <w:tc>
          <w:tcPr>
            <w:tcW w:w="9500"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5A7FDB" w:rsidR="005A7FDB" w:rsidP="00FE4621" w:rsidRDefault="005A7FDB" w14:paraId="0F01510F"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Government</w:t>
            </w:r>
          </w:p>
        </w:tc>
      </w:tr>
      <w:tr w:rsidRPr="005A7FDB" w:rsidR="005A7FDB" w:rsidTr="005A7FDB" w14:paraId="281C4886" w14:textId="77777777">
        <w:trPr>
          <w:trHeight w:val="300"/>
        </w:trPr>
        <w:tc>
          <w:tcPr>
            <w:tcW w:w="6200" w:type="dxa"/>
            <w:tcBorders>
              <w:top w:val="nil"/>
              <w:left w:val="single" w:color="auto" w:sz="4" w:space="0"/>
              <w:bottom w:val="nil"/>
              <w:right w:val="single" w:color="auto" w:sz="4" w:space="0"/>
            </w:tcBorders>
            <w:shd w:val="clear" w:color="auto" w:fill="auto"/>
            <w:hideMark/>
          </w:tcPr>
          <w:p w:rsidRPr="005A7FDB" w:rsidR="005A7FDB" w:rsidP="00FE4621" w:rsidRDefault="005A7FDB" w14:paraId="5A6515FB" w14:textId="77777777">
            <w:pPr>
              <w:spacing w:before="40" w:after="40"/>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8(a) SGD incremental rule familiarization and compliance determination</w:t>
            </w:r>
          </w:p>
        </w:tc>
        <w:tc>
          <w:tcPr>
            <w:tcW w:w="1660" w:type="dxa"/>
            <w:tcBorders>
              <w:top w:val="nil"/>
              <w:left w:val="nil"/>
              <w:bottom w:val="nil"/>
              <w:right w:val="single" w:color="auto" w:sz="4" w:space="0"/>
            </w:tcBorders>
            <w:shd w:val="clear" w:color="000000" w:fill="FFFFFF"/>
            <w:noWrap/>
            <w:vAlign w:val="bottom"/>
            <w:hideMark/>
          </w:tcPr>
          <w:p w:rsidRPr="005A7FDB" w:rsidR="005A7FDB" w:rsidP="00FE4621" w:rsidRDefault="005A7FDB" w14:paraId="73091B8B" w14:textId="77777777">
            <w:pPr>
              <w:spacing w:before="40" w:after="40"/>
              <w:jc w:val="right"/>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0.170</w:t>
            </w:r>
          </w:p>
        </w:tc>
        <w:tc>
          <w:tcPr>
            <w:tcW w:w="1640" w:type="dxa"/>
            <w:tcBorders>
              <w:top w:val="nil"/>
              <w:left w:val="nil"/>
              <w:bottom w:val="nil"/>
              <w:right w:val="single" w:color="auto" w:sz="4" w:space="0"/>
            </w:tcBorders>
            <w:shd w:val="clear" w:color="auto" w:fill="auto"/>
            <w:noWrap/>
            <w:vAlign w:val="bottom"/>
            <w:hideMark/>
          </w:tcPr>
          <w:p w:rsidRPr="005A7FDB" w:rsidR="005A7FDB" w:rsidP="00FE4621" w:rsidRDefault="005A7FDB" w14:paraId="3F7289C6" w14:textId="77777777">
            <w:pPr>
              <w:spacing w:before="40" w:after="40"/>
              <w:jc w:val="right"/>
              <w:rPr>
                <w:rFonts w:ascii="Arial Narrow" w:hAnsi="Arial Narrow" w:eastAsia="Times New Roman" w:cs="Times New Roman"/>
                <w:color w:val="000000"/>
                <w:sz w:val="20"/>
                <w:szCs w:val="20"/>
              </w:rPr>
            </w:pPr>
            <w:r w:rsidRPr="005A7FDB">
              <w:rPr>
                <w:rFonts w:ascii="Arial Narrow" w:hAnsi="Arial Narrow" w:eastAsia="Times New Roman" w:cs="Times New Roman"/>
                <w:color w:val="000000"/>
                <w:sz w:val="20"/>
                <w:szCs w:val="20"/>
              </w:rPr>
              <w:t>$13.05</w:t>
            </w:r>
          </w:p>
        </w:tc>
      </w:tr>
      <w:tr w:rsidRPr="005A7FDB" w:rsidR="005A7FDB" w:rsidTr="005A7FDB" w14:paraId="2DC95F9C" w14:textId="77777777">
        <w:trPr>
          <w:trHeight w:val="300"/>
        </w:trPr>
        <w:tc>
          <w:tcPr>
            <w:tcW w:w="6200"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5A7FDB" w:rsidR="005A7FDB" w:rsidP="00FE4621" w:rsidRDefault="005A7FDB" w14:paraId="6016FD1E" w14:textId="77777777">
            <w:pPr>
              <w:spacing w:before="40" w:after="40"/>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Government Total</w:t>
            </w:r>
          </w:p>
        </w:tc>
        <w:tc>
          <w:tcPr>
            <w:tcW w:w="1660" w:type="dxa"/>
            <w:tcBorders>
              <w:top w:val="single" w:color="auto" w:sz="4" w:space="0"/>
              <w:left w:val="nil"/>
              <w:bottom w:val="single" w:color="auto" w:sz="8" w:space="0"/>
              <w:right w:val="single" w:color="auto" w:sz="4" w:space="0"/>
            </w:tcBorders>
            <w:shd w:val="clear" w:color="auto" w:fill="auto"/>
            <w:noWrap/>
            <w:vAlign w:val="bottom"/>
            <w:hideMark/>
          </w:tcPr>
          <w:p w:rsidRPr="005A7FDB" w:rsidR="005A7FDB" w:rsidP="00FE4621" w:rsidRDefault="005A7FDB" w14:paraId="6CF949D4" w14:textId="77777777">
            <w:pPr>
              <w:spacing w:before="40" w:after="40"/>
              <w:jc w:val="right"/>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0.170</w:t>
            </w:r>
          </w:p>
        </w:tc>
        <w:tc>
          <w:tcPr>
            <w:tcW w:w="1640" w:type="dxa"/>
            <w:tcBorders>
              <w:top w:val="single" w:color="auto" w:sz="4" w:space="0"/>
              <w:left w:val="nil"/>
              <w:bottom w:val="single" w:color="auto" w:sz="8" w:space="0"/>
              <w:right w:val="single" w:color="auto" w:sz="4" w:space="0"/>
            </w:tcBorders>
            <w:shd w:val="clear" w:color="auto" w:fill="auto"/>
            <w:noWrap/>
            <w:vAlign w:val="bottom"/>
            <w:hideMark/>
          </w:tcPr>
          <w:p w:rsidRPr="005A7FDB" w:rsidR="005A7FDB" w:rsidP="00FE4621" w:rsidRDefault="005A7FDB" w14:paraId="3292335E" w14:textId="77777777">
            <w:pPr>
              <w:spacing w:before="40" w:after="40"/>
              <w:jc w:val="right"/>
              <w:rPr>
                <w:rFonts w:ascii="Arial Narrow" w:hAnsi="Arial Narrow" w:eastAsia="Times New Roman" w:cs="Times New Roman"/>
                <w:b/>
                <w:bCs/>
                <w:color w:val="000000"/>
                <w:sz w:val="20"/>
                <w:szCs w:val="20"/>
              </w:rPr>
            </w:pPr>
            <w:r w:rsidRPr="005A7FDB">
              <w:rPr>
                <w:rFonts w:ascii="Arial Narrow" w:hAnsi="Arial Narrow" w:eastAsia="Times New Roman" w:cs="Times New Roman"/>
                <w:b/>
                <w:bCs/>
                <w:color w:val="000000"/>
                <w:sz w:val="20"/>
                <w:szCs w:val="20"/>
              </w:rPr>
              <w:t>$13.05</w:t>
            </w:r>
          </w:p>
        </w:tc>
      </w:tr>
      <w:bookmarkEnd w:id="38"/>
    </w:tbl>
    <w:p w:rsidR="005A7FDB" w:rsidP="0045734C" w:rsidRDefault="005A7FDB" w14:paraId="12C7C320" w14:textId="77777777">
      <w:pPr>
        <w:pStyle w:val="BodyText"/>
      </w:pPr>
    </w:p>
    <w:p w:rsidR="0045734C" w:rsidP="00FE4621" w:rsidRDefault="0045734C" w14:paraId="767FD80E" w14:textId="6E3F40A6">
      <w:pPr>
        <w:pStyle w:val="Heading2"/>
        <w:tabs>
          <w:tab w:val="left" w:pos="1080"/>
        </w:tabs>
        <w:ind w:left="360"/>
      </w:pPr>
      <w:bookmarkStart w:name="_Toc42177035" w:id="41"/>
      <w:r>
        <w:t>5.(c).</w:t>
      </w:r>
      <w:r w:rsidRPr="00176A48" w:rsidR="00176A48">
        <w:t xml:space="preserve"> </w:t>
      </w:r>
      <w:r w:rsidRPr="00176A48" w:rsidR="00176A48">
        <w:tab/>
      </w:r>
      <w:r>
        <w:t>Respondent Universe, Total, and Bottom Line Burden Hours and Costs</w:t>
      </w:r>
      <w:bookmarkEnd w:id="41"/>
    </w:p>
    <w:p w:rsidRPr="004909CD" w:rsidR="00BA4529" w:rsidP="00176A48" w:rsidRDefault="00BA4529" w14:paraId="7EDF2E05" w14:textId="71D15F94">
      <w:pPr>
        <w:pStyle w:val="Heading2"/>
        <w:tabs>
          <w:tab w:val="left" w:pos="1620"/>
        </w:tabs>
        <w:ind w:left="720"/>
      </w:pPr>
      <w:bookmarkStart w:name="_Toc42177036" w:id="42"/>
      <w:r w:rsidRPr="004909CD">
        <w:t>5(</w:t>
      </w:r>
      <w:r>
        <w:t>c</w:t>
      </w:r>
      <w:r w:rsidRPr="004909CD">
        <w:t>)(</w:t>
      </w:r>
      <w:proofErr w:type="spellStart"/>
      <w:r w:rsidRPr="004909CD">
        <w:t>i</w:t>
      </w:r>
      <w:proofErr w:type="spellEnd"/>
      <w:r w:rsidRPr="004909CD">
        <w:t>)</w:t>
      </w:r>
      <w:r w:rsidRPr="00176A48" w:rsidR="00176A48">
        <w:t xml:space="preserve"> </w:t>
      </w:r>
      <w:r w:rsidRPr="00176A48" w:rsidR="00176A48">
        <w:tab/>
      </w:r>
      <w:r>
        <w:t xml:space="preserve">IC#1 </w:t>
      </w:r>
      <w:r w:rsidR="00454450">
        <w:t>TSCA Section 8(a) SMD Update</w:t>
      </w:r>
      <w:bookmarkEnd w:id="42"/>
    </w:p>
    <w:bookmarkStart w:name="_Hlk523225754" w:id="43"/>
    <w:p w:rsidR="00D91C83" w:rsidP="00454450" w:rsidRDefault="00C045C1" w14:paraId="410BD3BD" w14:textId="69E132C6">
      <w:r w:rsidRPr="00C045C1">
        <w:fldChar w:fldCharType="begin"/>
      </w:r>
      <w:r w:rsidRPr="00C045C1">
        <w:instrText xml:space="preserve"> REF _Ref28852726 \h  \* MERGEFORMAT </w:instrText>
      </w:r>
      <w:r w:rsidRPr="00C045C1">
        <w:fldChar w:fldCharType="separate"/>
      </w:r>
      <w:r w:rsidRPr="00590B23" w:rsidR="00590B23">
        <w:t xml:space="preserve">Table </w:t>
      </w:r>
      <w:r w:rsidRPr="00590B23" w:rsidR="00590B23">
        <w:rPr>
          <w:noProof/>
        </w:rPr>
        <w:t>5</w:t>
      </w:r>
      <w:r w:rsidRPr="00590B23" w:rsidR="00590B23">
        <w:rPr>
          <w:noProof/>
        </w:rPr>
        <w:noBreakHyphen/>
        <w:t>4</w:t>
      </w:r>
      <w:r w:rsidRPr="00C045C1">
        <w:fldChar w:fldCharType="end"/>
      </w:r>
      <w:r>
        <w:t xml:space="preserve"> </w:t>
      </w:r>
      <w:r w:rsidR="00967CD5">
        <w:t xml:space="preserve">presents the change in numbers of </w:t>
      </w:r>
      <w:r w:rsidRPr="008A7FB7" w:rsidR="00967CD5">
        <w:t>sites</w:t>
      </w:r>
      <w:r w:rsidR="00967CD5">
        <w:t xml:space="preserve"> and chemical </w:t>
      </w:r>
      <w:r w:rsidRPr="008A7FB7" w:rsidR="00967CD5">
        <w:t xml:space="preserve">reports </w:t>
      </w:r>
      <w:r w:rsidR="00967CD5">
        <w:t xml:space="preserve">due to the rule </w:t>
      </w:r>
      <w:r w:rsidRPr="00A8169C" w:rsidR="00967CD5">
        <w:t xml:space="preserve">(EPA, </w:t>
      </w:r>
      <w:r w:rsidR="00967CD5">
        <w:t>2019</w:t>
      </w:r>
      <w:r w:rsidR="0096792C">
        <w:t>b</w:t>
      </w:r>
      <w:r w:rsidRPr="000F6E04" w:rsidR="00967CD5">
        <w:t>).</w:t>
      </w:r>
      <w:r w:rsidR="00967CD5">
        <w:t xml:space="preserve"> </w:t>
      </w:r>
      <w:r w:rsidRPr="009132EA" w:rsidR="00967CD5">
        <w:t>Note that</w:t>
      </w:r>
      <w:r w:rsidR="00967CD5">
        <w:t xml:space="preserve"> in the following calculation,</w:t>
      </w:r>
      <w:r w:rsidRPr="009132EA" w:rsidR="00967CD5">
        <w:t xml:space="preserve"> all sites in the baseline are also additionally affected by incremental rule familiarization and compliance determination for the rule. </w:t>
      </w:r>
      <w:bookmarkEnd w:id="43"/>
    </w:p>
    <w:tbl>
      <w:tblPr>
        <w:tblW w:w="5000" w:type="pct"/>
        <w:tblLook w:val="04A0" w:firstRow="1" w:lastRow="0" w:firstColumn="1" w:lastColumn="0" w:noHBand="0" w:noVBand="1"/>
      </w:tblPr>
      <w:tblGrid>
        <w:gridCol w:w="4591"/>
        <w:gridCol w:w="1439"/>
        <w:gridCol w:w="1891"/>
        <w:gridCol w:w="2159"/>
      </w:tblGrid>
      <w:tr w:rsidRPr="00454450" w:rsidR="00454450" w:rsidTr="00454450" w14:paraId="24B4DC3F" w14:textId="77777777">
        <w:trPr>
          <w:trHeight w:val="345"/>
        </w:trPr>
        <w:tc>
          <w:tcPr>
            <w:tcW w:w="5000" w:type="pct"/>
            <w:gridSpan w:val="4"/>
            <w:tcBorders>
              <w:top w:val="nil"/>
              <w:left w:val="nil"/>
              <w:bottom w:val="single" w:color="auto" w:sz="4" w:space="0"/>
              <w:right w:val="nil"/>
            </w:tcBorders>
            <w:shd w:val="clear" w:color="auto" w:fill="auto"/>
            <w:vAlign w:val="bottom"/>
            <w:hideMark/>
          </w:tcPr>
          <w:p w:rsidRPr="00454450" w:rsidR="00454450" w:rsidP="00FE4621" w:rsidRDefault="00296ED8" w14:paraId="666751AA" w14:textId="5A237897">
            <w:pPr>
              <w:spacing w:before="40" w:after="40"/>
              <w:rPr>
                <w:rFonts w:eastAsia="Times New Roman" w:cs="Arial"/>
                <w:b/>
                <w:bCs/>
                <w:color w:val="000000"/>
                <w:szCs w:val="24"/>
              </w:rPr>
            </w:pPr>
            <w:bookmarkStart w:name="_Ref28852726" w:id="44"/>
            <w:bookmarkStart w:name="_Toc42176584" w:id="45"/>
            <w:r w:rsidRPr="00296ED8">
              <w:rPr>
                <w:b/>
              </w:rPr>
              <w:t xml:space="preserve">Table </w:t>
            </w:r>
            <w:r w:rsidR="00A367CB">
              <w:rPr>
                <w:b/>
              </w:rPr>
              <w:fldChar w:fldCharType="begin"/>
            </w:r>
            <w:r w:rsidR="00A367CB">
              <w:rPr>
                <w:b/>
              </w:rPr>
              <w:instrText xml:space="preserve"> STYLEREF 1 \s </w:instrText>
            </w:r>
            <w:r w:rsidR="00A367CB">
              <w:rPr>
                <w:b/>
              </w:rPr>
              <w:fldChar w:fldCharType="separate"/>
            </w:r>
            <w:r w:rsidR="00590B23">
              <w:rPr>
                <w:b/>
                <w:noProof/>
              </w:rPr>
              <w:t>5</w:t>
            </w:r>
            <w:r w:rsidR="00A367CB">
              <w:rPr>
                <w:b/>
              </w:rPr>
              <w:fldChar w:fldCharType="end"/>
            </w:r>
            <w:r w:rsidR="00A367CB">
              <w:rPr>
                <w:b/>
              </w:rPr>
              <w:noBreakHyphen/>
            </w:r>
            <w:r w:rsidR="00A367CB">
              <w:rPr>
                <w:b/>
              </w:rPr>
              <w:fldChar w:fldCharType="begin"/>
            </w:r>
            <w:r w:rsidR="00A367CB">
              <w:rPr>
                <w:b/>
              </w:rPr>
              <w:instrText xml:space="preserve"> SEQ Table \* ARABIC \s 1 </w:instrText>
            </w:r>
            <w:r w:rsidR="00A367CB">
              <w:rPr>
                <w:b/>
              </w:rPr>
              <w:fldChar w:fldCharType="separate"/>
            </w:r>
            <w:r w:rsidR="00590B23">
              <w:rPr>
                <w:b/>
                <w:noProof/>
              </w:rPr>
              <w:t>4</w:t>
            </w:r>
            <w:r w:rsidR="00A367CB">
              <w:rPr>
                <w:b/>
              </w:rPr>
              <w:fldChar w:fldCharType="end"/>
            </w:r>
            <w:bookmarkEnd w:id="44"/>
            <w:r w:rsidRPr="00454450" w:rsidR="00454450">
              <w:rPr>
                <w:rFonts w:eastAsia="Times New Roman" w:cs="Arial"/>
                <w:b/>
                <w:bCs/>
                <w:color w:val="000000"/>
                <w:szCs w:val="24"/>
              </w:rPr>
              <w:t>: Change in Sites and Chemical Reports</w:t>
            </w:r>
            <w:bookmarkEnd w:id="45"/>
            <w:r w:rsidRPr="00454450" w:rsidR="00454450">
              <w:rPr>
                <w:rFonts w:eastAsia="Times New Roman" w:cs="Arial"/>
                <w:b/>
                <w:bCs/>
                <w:color w:val="000000"/>
                <w:szCs w:val="24"/>
              </w:rPr>
              <w:t xml:space="preserve"> </w:t>
            </w:r>
          </w:p>
        </w:tc>
      </w:tr>
      <w:tr w:rsidRPr="00454450" w:rsidR="00454450" w:rsidTr="00EC0BDA" w14:paraId="32870F20" w14:textId="77777777">
        <w:trPr>
          <w:trHeight w:val="431"/>
        </w:trPr>
        <w:tc>
          <w:tcPr>
            <w:tcW w:w="2277" w:type="pct"/>
            <w:tcBorders>
              <w:top w:val="nil"/>
              <w:left w:val="single" w:color="auto" w:sz="4" w:space="0"/>
              <w:bottom w:val="single" w:color="auto" w:sz="4" w:space="0"/>
              <w:right w:val="single" w:color="auto" w:sz="4" w:space="0"/>
            </w:tcBorders>
            <w:shd w:val="clear" w:color="000000" w:fill="A6A6A6"/>
            <w:noWrap/>
            <w:vAlign w:val="bottom"/>
            <w:hideMark/>
          </w:tcPr>
          <w:p w:rsidRPr="00454450" w:rsidR="00454450" w:rsidP="00FE4621" w:rsidRDefault="00454450" w14:paraId="49722F88" w14:textId="77777777">
            <w:pPr>
              <w:spacing w:before="40" w:after="40"/>
              <w:jc w:val="center"/>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Regulatory Provision Description</w:t>
            </w:r>
          </w:p>
        </w:tc>
        <w:tc>
          <w:tcPr>
            <w:tcW w:w="714" w:type="pct"/>
            <w:tcBorders>
              <w:top w:val="nil"/>
              <w:left w:val="nil"/>
              <w:bottom w:val="single" w:color="auto" w:sz="4" w:space="0"/>
              <w:right w:val="single" w:color="auto" w:sz="4" w:space="0"/>
            </w:tcBorders>
            <w:shd w:val="clear" w:color="000000" w:fill="A6A6A6"/>
            <w:vAlign w:val="bottom"/>
            <w:hideMark/>
          </w:tcPr>
          <w:p w:rsidRPr="00454450" w:rsidR="00454450" w:rsidP="00FE4621" w:rsidRDefault="00454450" w14:paraId="3C965BA8" w14:textId="77777777">
            <w:pPr>
              <w:spacing w:before="40" w:after="40"/>
              <w:jc w:val="center"/>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Change in Number of Sites</w:t>
            </w:r>
          </w:p>
        </w:tc>
        <w:tc>
          <w:tcPr>
            <w:tcW w:w="938" w:type="pct"/>
            <w:tcBorders>
              <w:top w:val="nil"/>
              <w:left w:val="nil"/>
              <w:bottom w:val="single" w:color="auto" w:sz="4" w:space="0"/>
              <w:right w:val="single" w:color="auto" w:sz="4" w:space="0"/>
            </w:tcBorders>
            <w:shd w:val="clear" w:color="000000" w:fill="A6A6A6"/>
            <w:vAlign w:val="bottom"/>
            <w:hideMark/>
          </w:tcPr>
          <w:p w:rsidRPr="00454450" w:rsidR="00454450" w:rsidP="00FE4621" w:rsidRDefault="00454450" w14:paraId="6F472168" w14:textId="77777777">
            <w:pPr>
              <w:spacing w:before="40" w:after="40"/>
              <w:jc w:val="center"/>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Change in Number of Chemical Reports</w:t>
            </w:r>
          </w:p>
        </w:tc>
        <w:tc>
          <w:tcPr>
            <w:tcW w:w="1071" w:type="pct"/>
            <w:tcBorders>
              <w:top w:val="nil"/>
              <w:left w:val="nil"/>
              <w:bottom w:val="single" w:color="auto" w:sz="4" w:space="0"/>
              <w:right w:val="single" w:color="auto" w:sz="4" w:space="0"/>
            </w:tcBorders>
            <w:shd w:val="clear" w:color="000000" w:fill="A6A6A6"/>
            <w:vAlign w:val="bottom"/>
            <w:hideMark/>
          </w:tcPr>
          <w:p w:rsidRPr="00454450" w:rsidR="00454450" w:rsidP="00FE4621" w:rsidRDefault="00454450" w14:paraId="16D989C5" w14:textId="77777777">
            <w:pPr>
              <w:spacing w:before="40" w:after="40"/>
              <w:jc w:val="center"/>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Change in Number of Full Chemical Reports</w:t>
            </w:r>
            <w:r w:rsidRPr="00454450">
              <w:rPr>
                <w:rFonts w:ascii="Arial Narrow" w:hAnsi="Arial Narrow" w:eastAsia="Times New Roman" w:cs="Calibri"/>
                <w:b/>
                <w:bCs/>
                <w:color w:val="000000"/>
                <w:sz w:val="18"/>
                <w:szCs w:val="18"/>
                <w:vertAlign w:val="superscript"/>
              </w:rPr>
              <w:t>1</w:t>
            </w:r>
          </w:p>
        </w:tc>
      </w:tr>
      <w:tr w:rsidRPr="00454450" w:rsidR="00454450" w:rsidTr="00EC0BDA" w14:paraId="3BE54827" w14:textId="77777777">
        <w:trPr>
          <w:trHeight w:val="300"/>
        </w:trPr>
        <w:tc>
          <w:tcPr>
            <w:tcW w:w="2277" w:type="pct"/>
            <w:tcBorders>
              <w:top w:val="single" w:color="auto" w:sz="4" w:space="0"/>
              <w:left w:val="single" w:color="auto" w:sz="4" w:space="0"/>
              <w:bottom w:val="single" w:color="auto" w:sz="4" w:space="0"/>
              <w:right w:val="nil"/>
            </w:tcBorders>
            <w:shd w:val="clear" w:color="auto" w:fill="auto"/>
            <w:noWrap/>
            <w:vAlign w:val="bottom"/>
            <w:hideMark/>
          </w:tcPr>
          <w:p w:rsidRPr="00454450" w:rsidR="00454450" w:rsidP="00FE4621" w:rsidRDefault="00454450" w14:paraId="025C2030" w14:textId="77777777">
            <w:pPr>
              <w:spacing w:before="40" w:after="40"/>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8(a) SMD Update</w:t>
            </w:r>
          </w:p>
        </w:tc>
        <w:tc>
          <w:tcPr>
            <w:tcW w:w="714" w:type="pct"/>
            <w:tcBorders>
              <w:top w:val="nil"/>
              <w:left w:val="single" w:color="auto" w:sz="4" w:space="0"/>
              <w:bottom w:val="nil"/>
              <w:right w:val="single" w:color="auto" w:sz="4" w:space="0"/>
            </w:tcBorders>
            <w:shd w:val="clear" w:color="auto" w:fill="auto"/>
            <w:noWrap/>
            <w:vAlign w:val="bottom"/>
            <w:hideMark/>
          </w:tcPr>
          <w:p w:rsidRPr="00454450" w:rsidR="00454450" w:rsidP="00FE4621" w:rsidRDefault="00454450" w14:paraId="234B7195"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-127</w:t>
            </w:r>
          </w:p>
        </w:tc>
        <w:tc>
          <w:tcPr>
            <w:tcW w:w="938" w:type="pct"/>
            <w:tcBorders>
              <w:top w:val="nil"/>
              <w:left w:val="nil"/>
              <w:bottom w:val="nil"/>
              <w:right w:val="single" w:color="auto" w:sz="4" w:space="0"/>
            </w:tcBorders>
            <w:shd w:val="clear" w:color="000000" w:fill="FFFFFF"/>
            <w:noWrap/>
            <w:vAlign w:val="bottom"/>
            <w:hideMark/>
          </w:tcPr>
          <w:p w:rsidRPr="00454450" w:rsidR="00454450" w:rsidP="00FE4621" w:rsidRDefault="00454450" w14:paraId="2051380D"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-1,248</w:t>
            </w:r>
          </w:p>
        </w:tc>
        <w:tc>
          <w:tcPr>
            <w:tcW w:w="1071" w:type="pct"/>
            <w:tcBorders>
              <w:top w:val="nil"/>
              <w:left w:val="nil"/>
              <w:bottom w:val="nil"/>
              <w:right w:val="single" w:color="auto" w:sz="4" w:space="0"/>
            </w:tcBorders>
            <w:shd w:val="clear" w:color="000000" w:fill="FFFFFF"/>
            <w:noWrap/>
            <w:vAlign w:val="bottom"/>
            <w:hideMark/>
          </w:tcPr>
          <w:p w:rsidRPr="00454450" w:rsidR="00454450" w:rsidP="00FE4621" w:rsidRDefault="00454450" w14:paraId="66E009CF"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-1,173</w:t>
            </w:r>
          </w:p>
        </w:tc>
      </w:tr>
      <w:tr w:rsidRPr="00454450" w:rsidR="00454450" w:rsidTr="00EC0BDA" w14:paraId="704BA32A" w14:textId="77777777">
        <w:trPr>
          <w:trHeight w:val="300"/>
        </w:trPr>
        <w:tc>
          <w:tcPr>
            <w:tcW w:w="227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454450" w:rsidR="00454450" w:rsidP="00FE4621" w:rsidRDefault="00454450" w14:paraId="660DE6F8" w14:textId="77777777">
            <w:pPr>
              <w:spacing w:before="40" w:after="40"/>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8(a) SGD</w:t>
            </w:r>
          </w:p>
        </w:tc>
        <w:tc>
          <w:tcPr>
            <w:tcW w:w="714" w:type="pct"/>
            <w:tcBorders>
              <w:top w:val="single" w:color="auto" w:sz="4" w:space="0"/>
              <w:left w:val="nil"/>
              <w:bottom w:val="single" w:color="auto" w:sz="4" w:space="0"/>
              <w:right w:val="single" w:color="auto" w:sz="4" w:space="0"/>
            </w:tcBorders>
            <w:shd w:val="clear" w:color="auto" w:fill="auto"/>
            <w:noWrap/>
            <w:vAlign w:val="bottom"/>
            <w:hideMark/>
          </w:tcPr>
          <w:p w:rsidRPr="00454450" w:rsidR="00454450" w:rsidP="00FE4621" w:rsidRDefault="00454450" w14:paraId="3E629A07"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-4</w:t>
            </w:r>
          </w:p>
        </w:tc>
        <w:tc>
          <w:tcPr>
            <w:tcW w:w="938" w:type="pct"/>
            <w:tcBorders>
              <w:top w:val="single" w:color="auto" w:sz="4" w:space="0"/>
              <w:left w:val="nil"/>
              <w:bottom w:val="single" w:color="auto" w:sz="4" w:space="0"/>
              <w:right w:val="single" w:color="auto" w:sz="4" w:space="0"/>
            </w:tcBorders>
            <w:shd w:val="clear" w:color="000000" w:fill="FFFFFF"/>
            <w:noWrap/>
            <w:vAlign w:val="bottom"/>
            <w:hideMark/>
          </w:tcPr>
          <w:p w:rsidRPr="00454450" w:rsidR="00454450" w:rsidP="00FE4621" w:rsidRDefault="00454450" w14:paraId="67BBC187"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-6</w:t>
            </w:r>
          </w:p>
        </w:tc>
        <w:tc>
          <w:tcPr>
            <w:tcW w:w="1071" w:type="pct"/>
            <w:tcBorders>
              <w:top w:val="single" w:color="auto" w:sz="4" w:space="0"/>
              <w:left w:val="nil"/>
              <w:bottom w:val="single" w:color="auto" w:sz="4" w:space="0"/>
              <w:right w:val="single" w:color="auto" w:sz="4" w:space="0"/>
            </w:tcBorders>
            <w:shd w:val="clear" w:color="000000" w:fill="FFFFFF"/>
            <w:noWrap/>
            <w:vAlign w:val="bottom"/>
            <w:hideMark/>
          </w:tcPr>
          <w:p w:rsidRPr="00454450" w:rsidR="00454450" w:rsidP="00FE4621" w:rsidRDefault="00454450" w14:paraId="28FC40B8" w14:textId="77777777">
            <w:pPr>
              <w:spacing w:before="40" w:after="40"/>
              <w:jc w:val="right"/>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-5</w:t>
            </w:r>
          </w:p>
        </w:tc>
      </w:tr>
      <w:tr w:rsidRPr="00454450" w:rsidR="00454450" w:rsidTr="00EC0BDA" w14:paraId="4CC435D8" w14:textId="77777777">
        <w:trPr>
          <w:trHeight w:val="300"/>
        </w:trPr>
        <w:tc>
          <w:tcPr>
            <w:tcW w:w="2277" w:type="pct"/>
            <w:tcBorders>
              <w:top w:val="nil"/>
              <w:left w:val="single" w:color="auto" w:sz="4" w:space="0"/>
              <w:bottom w:val="single" w:color="auto" w:sz="4" w:space="0"/>
              <w:right w:val="single" w:color="auto" w:sz="4" w:space="0"/>
            </w:tcBorders>
            <w:shd w:val="clear" w:color="auto" w:fill="auto"/>
            <w:vAlign w:val="bottom"/>
            <w:hideMark/>
          </w:tcPr>
          <w:p w:rsidRPr="00454450" w:rsidR="00454450" w:rsidP="00FE4621" w:rsidRDefault="00454450" w14:paraId="20BF77AC" w14:textId="77777777">
            <w:pPr>
              <w:spacing w:before="40" w:after="40"/>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Overall</w:t>
            </w:r>
          </w:p>
        </w:tc>
        <w:tc>
          <w:tcPr>
            <w:tcW w:w="714" w:type="pct"/>
            <w:tcBorders>
              <w:top w:val="nil"/>
              <w:left w:val="nil"/>
              <w:bottom w:val="single" w:color="auto" w:sz="4" w:space="0"/>
              <w:right w:val="single" w:color="auto" w:sz="4" w:space="0"/>
            </w:tcBorders>
            <w:shd w:val="clear" w:color="000000" w:fill="FFFFFF"/>
            <w:noWrap/>
            <w:vAlign w:val="bottom"/>
            <w:hideMark/>
          </w:tcPr>
          <w:p w:rsidRPr="00454450" w:rsidR="00454450" w:rsidP="00FE4621" w:rsidRDefault="00454450" w14:paraId="6C5ECD3C" w14:textId="77777777">
            <w:pPr>
              <w:spacing w:before="40" w:after="40"/>
              <w:jc w:val="right"/>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-131</w:t>
            </w:r>
          </w:p>
        </w:tc>
        <w:tc>
          <w:tcPr>
            <w:tcW w:w="938" w:type="pct"/>
            <w:tcBorders>
              <w:top w:val="nil"/>
              <w:left w:val="nil"/>
              <w:bottom w:val="single" w:color="auto" w:sz="4" w:space="0"/>
              <w:right w:val="single" w:color="auto" w:sz="4" w:space="0"/>
            </w:tcBorders>
            <w:shd w:val="clear" w:color="000000" w:fill="FFFFFF"/>
            <w:noWrap/>
            <w:vAlign w:val="bottom"/>
            <w:hideMark/>
          </w:tcPr>
          <w:p w:rsidRPr="00454450" w:rsidR="00454450" w:rsidP="00FE4621" w:rsidRDefault="00454450" w14:paraId="0BF46924" w14:textId="77777777">
            <w:pPr>
              <w:spacing w:before="40" w:after="40"/>
              <w:jc w:val="right"/>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-1,254</w:t>
            </w:r>
          </w:p>
        </w:tc>
        <w:tc>
          <w:tcPr>
            <w:tcW w:w="1071" w:type="pct"/>
            <w:tcBorders>
              <w:top w:val="nil"/>
              <w:left w:val="nil"/>
              <w:bottom w:val="single" w:color="auto" w:sz="4" w:space="0"/>
              <w:right w:val="single" w:color="auto" w:sz="4" w:space="0"/>
            </w:tcBorders>
            <w:shd w:val="clear" w:color="000000" w:fill="FFFFFF"/>
            <w:noWrap/>
            <w:vAlign w:val="bottom"/>
            <w:hideMark/>
          </w:tcPr>
          <w:p w:rsidRPr="00454450" w:rsidR="00454450" w:rsidP="00FE4621" w:rsidRDefault="00454450" w14:paraId="3A7244BF" w14:textId="77777777">
            <w:pPr>
              <w:spacing w:before="40" w:after="40"/>
              <w:jc w:val="right"/>
              <w:rPr>
                <w:rFonts w:ascii="Arial Narrow" w:hAnsi="Arial Narrow" w:eastAsia="Times New Roman" w:cs="Calibri"/>
                <w:b/>
                <w:bCs/>
                <w:color w:val="000000"/>
                <w:sz w:val="18"/>
                <w:szCs w:val="18"/>
              </w:rPr>
            </w:pPr>
            <w:r w:rsidRPr="00454450">
              <w:rPr>
                <w:rFonts w:ascii="Arial Narrow" w:hAnsi="Arial Narrow" w:eastAsia="Times New Roman" w:cs="Calibri"/>
                <w:b/>
                <w:bCs/>
                <w:color w:val="000000"/>
                <w:sz w:val="18"/>
                <w:szCs w:val="18"/>
              </w:rPr>
              <w:t>-1,178</w:t>
            </w:r>
          </w:p>
        </w:tc>
      </w:tr>
      <w:tr w:rsidRPr="00454450" w:rsidR="00454450" w:rsidTr="00EC0BDA" w14:paraId="5B2772D6" w14:textId="77777777">
        <w:trPr>
          <w:trHeight w:val="288"/>
        </w:trPr>
        <w:tc>
          <w:tcPr>
            <w:tcW w:w="5000" w:type="pct"/>
            <w:gridSpan w:val="4"/>
            <w:tcBorders>
              <w:top w:val="single" w:color="auto" w:sz="4" w:space="0"/>
              <w:left w:val="single" w:color="auto" w:sz="4" w:space="0"/>
              <w:bottom w:val="nil"/>
              <w:right w:val="single" w:color="000000" w:sz="4" w:space="0"/>
            </w:tcBorders>
            <w:shd w:val="clear" w:color="auto" w:fill="auto"/>
            <w:noWrap/>
            <w:vAlign w:val="bottom"/>
            <w:hideMark/>
          </w:tcPr>
          <w:p w:rsidRPr="00454450" w:rsidR="00454450" w:rsidP="00FE4621" w:rsidRDefault="00454450" w14:paraId="1E526CDF" w14:textId="77777777">
            <w:pPr>
              <w:spacing w:before="40" w:after="40"/>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rPr>
              <w:t>Footnote:</w:t>
            </w:r>
          </w:p>
        </w:tc>
      </w:tr>
      <w:tr w:rsidRPr="00454450" w:rsidR="00454450" w:rsidTr="00EC0BDA" w14:paraId="7D8C79F0" w14:textId="77777777">
        <w:trPr>
          <w:trHeight w:val="288"/>
        </w:trPr>
        <w:tc>
          <w:tcPr>
            <w:tcW w:w="5000" w:type="pct"/>
            <w:gridSpan w:val="4"/>
            <w:tcBorders>
              <w:top w:val="nil"/>
              <w:left w:val="single" w:color="auto" w:sz="4" w:space="0"/>
              <w:bottom w:val="single" w:color="auto" w:sz="4" w:space="0"/>
              <w:right w:val="single" w:color="000000" w:sz="4" w:space="0"/>
            </w:tcBorders>
            <w:shd w:val="clear" w:color="auto" w:fill="auto"/>
            <w:noWrap/>
            <w:vAlign w:val="bottom"/>
            <w:hideMark/>
          </w:tcPr>
          <w:p w:rsidRPr="00454450" w:rsidR="00454450" w:rsidP="00FE4621" w:rsidRDefault="00454450" w14:paraId="6930507B" w14:textId="2B7A5F0D">
            <w:pPr>
              <w:spacing w:before="40" w:after="40"/>
              <w:rPr>
                <w:rFonts w:ascii="Arial Narrow" w:hAnsi="Arial Narrow" w:eastAsia="Times New Roman" w:cs="Calibri"/>
                <w:color w:val="000000"/>
                <w:sz w:val="18"/>
                <w:szCs w:val="18"/>
              </w:rPr>
            </w:pPr>
            <w:r w:rsidRPr="00454450">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454450">
              <w:rPr>
                <w:rFonts w:ascii="Arial Narrow" w:hAnsi="Arial Narrow" w:eastAsia="Times New Roman" w:cs="Calibri"/>
                <w:color w:val="000000"/>
                <w:sz w:val="18"/>
                <w:szCs w:val="18"/>
              </w:rPr>
              <w:t>Full Chemical Report counts are used later in this analysis to calculate incremental Agency burden.</w:t>
            </w:r>
          </w:p>
        </w:tc>
      </w:tr>
    </w:tbl>
    <w:p w:rsidR="00967CD5" w:rsidP="00FE4621" w:rsidRDefault="00967CD5" w14:paraId="7DC6C9FB" w14:textId="2F6A4158">
      <w:pPr>
        <w:pStyle w:val="Caption"/>
        <w:spacing w:before="200"/>
        <w:rPr>
          <w:b w:val="0"/>
          <w:bCs w:val="0"/>
          <w:szCs w:val="22"/>
        </w:rPr>
      </w:pPr>
      <w:r w:rsidRPr="00995019">
        <w:rPr>
          <w:bCs w:val="0"/>
          <w:szCs w:val="22"/>
        </w:rPr>
        <w:t>Total Reporter Burden/Cost</w:t>
      </w:r>
      <w:r w:rsidRPr="00995019">
        <w:rPr>
          <w:b w:val="0"/>
          <w:bCs w:val="0"/>
          <w:szCs w:val="22"/>
        </w:rPr>
        <w:t>. Estimates of the reporting burden and cost per four-year reporting cycle are shown in</w:t>
      </w:r>
      <w:r w:rsidR="00A26B77">
        <w:rPr>
          <w:b w:val="0"/>
          <w:bCs w:val="0"/>
          <w:szCs w:val="22"/>
        </w:rPr>
        <w:t xml:space="preserve"> </w:t>
      </w:r>
      <w:r w:rsidR="00A26B77">
        <w:rPr>
          <w:b w:val="0"/>
          <w:bCs w:val="0"/>
          <w:szCs w:val="22"/>
        </w:rPr>
        <w:fldChar w:fldCharType="begin"/>
      </w:r>
      <w:r w:rsidR="00A26B77">
        <w:rPr>
          <w:b w:val="0"/>
          <w:bCs w:val="0"/>
          <w:szCs w:val="22"/>
        </w:rPr>
        <w:instrText xml:space="preserve"> REF _Ref28853370 \h </w:instrText>
      </w:r>
      <w:r w:rsidR="00590B23">
        <w:rPr>
          <w:b w:val="0"/>
          <w:bCs w:val="0"/>
          <w:szCs w:val="22"/>
        </w:rPr>
        <w:instrText xml:space="preserve"> \* MERGEFORMAT </w:instrText>
      </w:r>
      <w:r w:rsidR="00A26B77">
        <w:rPr>
          <w:b w:val="0"/>
          <w:bCs w:val="0"/>
          <w:szCs w:val="22"/>
        </w:rPr>
      </w:r>
      <w:r w:rsidR="00A26B77">
        <w:rPr>
          <w:b w:val="0"/>
          <w:bCs w:val="0"/>
          <w:szCs w:val="22"/>
        </w:rPr>
        <w:fldChar w:fldCharType="separate"/>
      </w:r>
      <w:r w:rsidRPr="00590B23" w:rsidR="00590B23">
        <w:rPr>
          <w:b w:val="0"/>
        </w:rPr>
        <w:t>Table</w:t>
      </w:r>
      <w:r w:rsidRPr="00271A92" w:rsidR="00590B23">
        <w:t xml:space="preserve"> </w:t>
      </w:r>
      <w:r w:rsidR="00590B23">
        <w:rPr>
          <w:b w:val="0"/>
          <w:noProof/>
        </w:rPr>
        <w:t>5</w:t>
      </w:r>
      <w:r w:rsidR="00590B23">
        <w:noBreakHyphen/>
      </w:r>
      <w:r w:rsidR="00590B23">
        <w:rPr>
          <w:b w:val="0"/>
          <w:noProof/>
        </w:rPr>
        <w:t>5</w:t>
      </w:r>
      <w:r w:rsidR="00A26B77">
        <w:rPr>
          <w:b w:val="0"/>
          <w:bCs w:val="0"/>
          <w:szCs w:val="22"/>
        </w:rPr>
        <w:fldChar w:fldCharType="end"/>
      </w:r>
      <w:r w:rsidRPr="00995019">
        <w:rPr>
          <w:b w:val="0"/>
          <w:bCs w:val="0"/>
          <w:szCs w:val="22"/>
        </w:rPr>
        <w:t xml:space="preserve">. Total burden and cost are calculated for changes to reporting activities by multiplying the unit burdens and costs in </w:t>
      </w:r>
      <w:r w:rsidR="00A26B77">
        <w:rPr>
          <w:b w:val="0"/>
          <w:bCs w:val="0"/>
          <w:szCs w:val="22"/>
        </w:rPr>
        <w:fldChar w:fldCharType="begin"/>
      </w:r>
      <w:r w:rsidR="00A26B77">
        <w:rPr>
          <w:b w:val="0"/>
          <w:bCs w:val="0"/>
          <w:szCs w:val="22"/>
        </w:rPr>
        <w:instrText xml:space="preserve"> REF _Ref28853485 \h </w:instrText>
      </w:r>
      <w:r w:rsidR="00590B23">
        <w:rPr>
          <w:b w:val="0"/>
          <w:bCs w:val="0"/>
          <w:szCs w:val="22"/>
        </w:rPr>
        <w:instrText xml:space="preserve"> \* MERGEFORMAT </w:instrText>
      </w:r>
      <w:r w:rsidR="00A26B77">
        <w:rPr>
          <w:b w:val="0"/>
          <w:bCs w:val="0"/>
          <w:szCs w:val="22"/>
        </w:rPr>
      </w:r>
      <w:r w:rsidR="00A26B77">
        <w:rPr>
          <w:b w:val="0"/>
          <w:bCs w:val="0"/>
          <w:szCs w:val="22"/>
        </w:rPr>
        <w:fldChar w:fldCharType="separate"/>
      </w:r>
      <w:r w:rsidRPr="00590B23" w:rsidR="00590B23">
        <w:rPr>
          <w:b w:val="0"/>
        </w:rPr>
        <w:t>Table</w:t>
      </w:r>
      <w:r w:rsidRPr="00296ED8" w:rsidR="00590B23">
        <w:t xml:space="preserve"> </w:t>
      </w:r>
      <w:r w:rsidR="00590B23">
        <w:rPr>
          <w:b w:val="0"/>
          <w:noProof/>
        </w:rPr>
        <w:t>5</w:t>
      </w:r>
      <w:r w:rsidR="00590B23">
        <w:noBreakHyphen/>
      </w:r>
      <w:r w:rsidR="00590B23">
        <w:rPr>
          <w:b w:val="0"/>
          <w:noProof/>
        </w:rPr>
        <w:t>3</w:t>
      </w:r>
      <w:r w:rsidR="00A26B77">
        <w:rPr>
          <w:b w:val="0"/>
          <w:bCs w:val="0"/>
          <w:szCs w:val="22"/>
        </w:rPr>
        <w:fldChar w:fldCharType="end"/>
      </w:r>
      <w:r w:rsidR="00A26B77">
        <w:rPr>
          <w:b w:val="0"/>
          <w:bCs w:val="0"/>
          <w:szCs w:val="22"/>
        </w:rPr>
        <w:t xml:space="preserve"> </w:t>
      </w:r>
      <w:r w:rsidRPr="00995019">
        <w:rPr>
          <w:b w:val="0"/>
          <w:bCs w:val="0"/>
          <w:szCs w:val="22"/>
        </w:rPr>
        <w:t xml:space="preserve">by the respective </w:t>
      </w:r>
      <w:r w:rsidRPr="00995019">
        <w:rPr>
          <w:b w:val="0"/>
          <w:bCs w:val="0"/>
          <w:szCs w:val="22"/>
        </w:rPr>
        <w:lastRenderedPageBreak/>
        <w:t>number of reporting sites. Total burden and cost attributable to reporting universe changes (reductions) are calculated for relevant sites and chemical reports using baseline information (for more detail, see EPA (2019</w:t>
      </w:r>
      <w:r w:rsidR="00FA4C5C">
        <w:rPr>
          <w:b w:val="0"/>
          <w:bCs w:val="0"/>
          <w:szCs w:val="22"/>
        </w:rPr>
        <w:t>b</w:t>
      </w:r>
      <w:r w:rsidRPr="00995019">
        <w:rPr>
          <w:b w:val="0"/>
          <w:bCs w:val="0"/>
          <w:szCs w:val="22"/>
        </w:rPr>
        <w:t xml:space="preserve">)). </w:t>
      </w:r>
      <w:bookmarkStart w:name="_Ref524346286" w:id="46"/>
    </w:p>
    <w:tbl>
      <w:tblPr>
        <w:tblW w:w="5000" w:type="pct"/>
        <w:tblLook w:val="04A0" w:firstRow="1" w:lastRow="0" w:firstColumn="1" w:lastColumn="0" w:noHBand="0" w:noVBand="1"/>
      </w:tblPr>
      <w:tblGrid>
        <w:gridCol w:w="2864"/>
        <w:gridCol w:w="1448"/>
        <w:gridCol w:w="1448"/>
        <w:gridCol w:w="1219"/>
        <w:gridCol w:w="1219"/>
        <w:gridCol w:w="790"/>
        <w:gridCol w:w="1092"/>
      </w:tblGrid>
      <w:tr w:rsidRPr="00271A92" w:rsidR="00271A92" w:rsidTr="00271A92" w14:paraId="13406E7F" w14:textId="77777777">
        <w:trPr>
          <w:trHeight w:val="615"/>
        </w:trPr>
        <w:tc>
          <w:tcPr>
            <w:tcW w:w="5000" w:type="pct"/>
            <w:gridSpan w:val="7"/>
            <w:tcBorders>
              <w:top w:val="nil"/>
              <w:left w:val="nil"/>
              <w:bottom w:val="single" w:color="auto" w:sz="4" w:space="0"/>
              <w:right w:val="nil"/>
            </w:tcBorders>
            <w:shd w:val="clear" w:color="auto" w:fill="auto"/>
            <w:vAlign w:val="bottom"/>
            <w:hideMark/>
          </w:tcPr>
          <w:p w:rsidRPr="00271A92" w:rsidR="00271A92" w:rsidP="00FE4621" w:rsidRDefault="00271A92" w14:paraId="734AAF9F" w14:textId="4755084D">
            <w:pPr>
              <w:spacing w:before="40" w:after="40"/>
              <w:rPr>
                <w:rFonts w:eastAsia="Times New Roman" w:cs="Arial"/>
                <w:b/>
                <w:bCs/>
                <w:color w:val="000000"/>
                <w:szCs w:val="24"/>
              </w:rPr>
            </w:pPr>
            <w:bookmarkStart w:name="_Ref28853370" w:id="47"/>
            <w:bookmarkStart w:name="_Toc42176585" w:id="48"/>
            <w:bookmarkEnd w:id="46"/>
            <w:r w:rsidRPr="00271A92">
              <w:rPr>
                <w:b/>
              </w:rPr>
              <w:t xml:space="preserve">Table </w:t>
            </w:r>
            <w:r w:rsidR="00A367CB">
              <w:rPr>
                <w:b/>
              </w:rPr>
              <w:fldChar w:fldCharType="begin"/>
            </w:r>
            <w:r w:rsidR="00A367CB">
              <w:rPr>
                <w:b/>
              </w:rPr>
              <w:instrText xml:space="preserve"> STYLEREF 1 \s </w:instrText>
            </w:r>
            <w:r w:rsidR="00A367CB">
              <w:rPr>
                <w:b/>
              </w:rPr>
              <w:fldChar w:fldCharType="separate"/>
            </w:r>
            <w:r w:rsidR="00590B23">
              <w:rPr>
                <w:b/>
                <w:noProof/>
              </w:rPr>
              <w:t>5</w:t>
            </w:r>
            <w:r w:rsidR="00A367CB">
              <w:rPr>
                <w:b/>
              </w:rPr>
              <w:fldChar w:fldCharType="end"/>
            </w:r>
            <w:r w:rsidR="00A367CB">
              <w:rPr>
                <w:b/>
              </w:rPr>
              <w:noBreakHyphen/>
            </w:r>
            <w:r w:rsidR="00A367CB">
              <w:rPr>
                <w:b/>
              </w:rPr>
              <w:fldChar w:fldCharType="begin"/>
            </w:r>
            <w:r w:rsidR="00A367CB">
              <w:rPr>
                <w:b/>
              </w:rPr>
              <w:instrText xml:space="preserve"> SEQ Table \* ARABIC \s 1 </w:instrText>
            </w:r>
            <w:r w:rsidR="00A367CB">
              <w:rPr>
                <w:b/>
              </w:rPr>
              <w:fldChar w:fldCharType="separate"/>
            </w:r>
            <w:r w:rsidR="00590B23">
              <w:rPr>
                <w:b/>
                <w:noProof/>
              </w:rPr>
              <w:t>5</w:t>
            </w:r>
            <w:r w:rsidR="00A367CB">
              <w:rPr>
                <w:b/>
              </w:rPr>
              <w:fldChar w:fldCharType="end"/>
            </w:r>
            <w:bookmarkEnd w:id="47"/>
            <w:r w:rsidRPr="00271A92">
              <w:rPr>
                <w:rFonts w:eastAsia="Times New Roman" w:cs="Arial"/>
                <w:b/>
                <w:bCs/>
                <w:color w:val="000000"/>
                <w:szCs w:val="24"/>
              </w:rPr>
              <w:t>: TSCA Section 8(a) SMD Update Incremental Reporting Burden and Cost for Four-Year Reporting Cycle, New and Experienced Reporters</w:t>
            </w:r>
            <w:bookmarkEnd w:id="48"/>
          </w:p>
        </w:tc>
      </w:tr>
      <w:tr w:rsidRPr="00271A92" w:rsidR="00271A92" w:rsidTr="00271A92" w14:paraId="1DF33B54" w14:textId="77777777">
        <w:trPr>
          <w:trHeight w:val="300"/>
        </w:trPr>
        <w:tc>
          <w:tcPr>
            <w:tcW w:w="1421" w:type="pct"/>
            <w:vMerge w:val="restart"/>
            <w:tcBorders>
              <w:top w:val="nil"/>
              <w:left w:val="single" w:color="auto" w:sz="4" w:space="0"/>
              <w:bottom w:val="single" w:color="000000" w:sz="4" w:space="0"/>
              <w:right w:val="single" w:color="auto" w:sz="4" w:space="0"/>
            </w:tcBorders>
            <w:shd w:val="clear" w:color="000000" w:fill="A6A6A6"/>
            <w:noWrap/>
            <w:vAlign w:val="bottom"/>
            <w:hideMark/>
          </w:tcPr>
          <w:p w:rsidRPr="00271A92" w:rsidR="00271A92" w:rsidP="00FE4621" w:rsidRDefault="00271A92" w14:paraId="29DBC672" w14:textId="77777777">
            <w:pPr>
              <w:spacing w:before="40" w:after="40"/>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 </w:t>
            </w:r>
          </w:p>
        </w:tc>
        <w:tc>
          <w:tcPr>
            <w:tcW w:w="718" w:type="pct"/>
            <w:vMerge w:val="restart"/>
            <w:tcBorders>
              <w:top w:val="nil"/>
              <w:left w:val="single" w:color="auto" w:sz="4" w:space="0"/>
              <w:bottom w:val="single" w:color="000000" w:sz="4" w:space="0"/>
              <w:right w:val="single" w:color="auto" w:sz="4" w:space="0"/>
            </w:tcBorders>
            <w:shd w:val="clear" w:color="000000" w:fill="A6A6A6"/>
            <w:vAlign w:val="bottom"/>
            <w:hideMark/>
          </w:tcPr>
          <w:p w:rsidRPr="00271A92" w:rsidR="00271A92" w:rsidP="00FE4621" w:rsidRDefault="00271A92" w14:paraId="6F58C1C0" w14:textId="77777777">
            <w:pPr>
              <w:spacing w:before="40" w:after="40"/>
              <w:jc w:val="center"/>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Baseline Number of Sites</w:t>
            </w:r>
          </w:p>
        </w:tc>
        <w:tc>
          <w:tcPr>
            <w:tcW w:w="718" w:type="pct"/>
            <w:vMerge w:val="restart"/>
            <w:tcBorders>
              <w:top w:val="nil"/>
              <w:left w:val="single" w:color="auto" w:sz="4" w:space="0"/>
              <w:bottom w:val="single" w:color="000000" w:sz="4" w:space="0"/>
              <w:right w:val="single" w:color="auto" w:sz="4" w:space="0"/>
            </w:tcBorders>
            <w:shd w:val="clear" w:color="000000" w:fill="A6A6A6"/>
            <w:vAlign w:val="bottom"/>
            <w:hideMark/>
          </w:tcPr>
          <w:p w:rsidRPr="00271A92" w:rsidR="00271A92" w:rsidP="00FE4621" w:rsidRDefault="00271A92" w14:paraId="3B0DE7C0" w14:textId="77777777">
            <w:pPr>
              <w:spacing w:before="40" w:after="40"/>
              <w:jc w:val="center"/>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Number of Sites Under Final Rule</w:t>
            </w:r>
          </w:p>
        </w:tc>
        <w:tc>
          <w:tcPr>
            <w:tcW w:w="2143" w:type="pct"/>
            <w:gridSpan w:val="4"/>
            <w:tcBorders>
              <w:top w:val="single" w:color="auto" w:sz="4" w:space="0"/>
              <w:left w:val="nil"/>
              <w:bottom w:val="single" w:color="auto" w:sz="4" w:space="0"/>
              <w:right w:val="single" w:color="auto" w:sz="4" w:space="0"/>
            </w:tcBorders>
            <w:shd w:val="clear" w:color="000000" w:fill="A6A6A6"/>
            <w:vAlign w:val="bottom"/>
            <w:hideMark/>
          </w:tcPr>
          <w:p w:rsidRPr="00271A92" w:rsidR="00271A92" w:rsidP="00FE4621" w:rsidRDefault="00271A92" w14:paraId="1F80741D" w14:textId="77777777">
            <w:pPr>
              <w:spacing w:before="40" w:after="40"/>
              <w:jc w:val="center"/>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Future Cycles</w:t>
            </w:r>
          </w:p>
        </w:tc>
      </w:tr>
      <w:tr w:rsidRPr="00271A92" w:rsidR="00271A92" w:rsidTr="00EC0BDA" w14:paraId="615509C8" w14:textId="77777777">
        <w:trPr>
          <w:trHeight w:val="548"/>
        </w:trPr>
        <w:tc>
          <w:tcPr>
            <w:tcW w:w="1421" w:type="pct"/>
            <w:vMerge/>
            <w:tcBorders>
              <w:top w:val="nil"/>
              <w:left w:val="single" w:color="auto" w:sz="4" w:space="0"/>
              <w:bottom w:val="single" w:color="000000" w:sz="4" w:space="0"/>
              <w:right w:val="single" w:color="auto" w:sz="4" w:space="0"/>
            </w:tcBorders>
            <w:vAlign w:val="center"/>
            <w:hideMark/>
          </w:tcPr>
          <w:p w:rsidRPr="00271A92" w:rsidR="00271A92" w:rsidP="00FE4621" w:rsidRDefault="00271A92" w14:paraId="1737C13C" w14:textId="77777777">
            <w:pPr>
              <w:spacing w:before="40" w:after="40"/>
              <w:rPr>
                <w:rFonts w:ascii="Arial Narrow" w:hAnsi="Arial Narrow" w:eastAsia="Times New Roman" w:cs="Calibri"/>
                <w:b/>
                <w:bCs/>
                <w:color w:val="000000"/>
                <w:sz w:val="20"/>
                <w:szCs w:val="20"/>
              </w:rPr>
            </w:pPr>
          </w:p>
        </w:tc>
        <w:tc>
          <w:tcPr>
            <w:tcW w:w="718" w:type="pct"/>
            <w:vMerge/>
            <w:tcBorders>
              <w:top w:val="nil"/>
              <w:left w:val="single" w:color="auto" w:sz="4" w:space="0"/>
              <w:bottom w:val="single" w:color="000000" w:sz="4" w:space="0"/>
              <w:right w:val="single" w:color="auto" w:sz="4" w:space="0"/>
            </w:tcBorders>
            <w:vAlign w:val="center"/>
            <w:hideMark/>
          </w:tcPr>
          <w:p w:rsidRPr="00271A92" w:rsidR="00271A92" w:rsidP="00FE4621" w:rsidRDefault="00271A92" w14:paraId="50FCEBB8" w14:textId="77777777">
            <w:pPr>
              <w:spacing w:before="40" w:after="40"/>
              <w:rPr>
                <w:rFonts w:ascii="Arial Narrow" w:hAnsi="Arial Narrow" w:eastAsia="Times New Roman" w:cs="Calibri"/>
                <w:b/>
                <w:bCs/>
                <w:color w:val="000000"/>
                <w:sz w:val="20"/>
                <w:szCs w:val="20"/>
              </w:rPr>
            </w:pPr>
          </w:p>
        </w:tc>
        <w:tc>
          <w:tcPr>
            <w:tcW w:w="718" w:type="pct"/>
            <w:vMerge/>
            <w:tcBorders>
              <w:top w:val="nil"/>
              <w:left w:val="single" w:color="auto" w:sz="4" w:space="0"/>
              <w:bottom w:val="single" w:color="000000" w:sz="4" w:space="0"/>
              <w:right w:val="single" w:color="auto" w:sz="4" w:space="0"/>
            </w:tcBorders>
            <w:vAlign w:val="center"/>
            <w:hideMark/>
          </w:tcPr>
          <w:p w:rsidRPr="00271A92" w:rsidR="00271A92" w:rsidP="00FE4621" w:rsidRDefault="00271A92" w14:paraId="11EBD248" w14:textId="77777777">
            <w:pPr>
              <w:spacing w:before="40" w:after="40"/>
              <w:rPr>
                <w:rFonts w:ascii="Arial Narrow" w:hAnsi="Arial Narrow" w:eastAsia="Times New Roman" w:cs="Calibri"/>
                <w:b/>
                <w:bCs/>
                <w:color w:val="000000"/>
                <w:sz w:val="20"/>
                <w:szCs w:val="20"/>
              </w:rPr>
            </w:pPr>
          </w:p>
        </w:tc>
        <w:tc>
          <w:tcPr>
            <w:tcW w:w="605" w:type="pct"/>
            <w:tcBorders>
              <w:top w:val="nil"/>
              <w:left w:val="nil"/>
              <w:bottom w:val="single" w:color="auto" w:sz="4" w:space="0"/>
              <w:right w:val="single" w:color="auto" w:sz="4" w:space="0"/>
            </w:tcBorders>
            <w:shd w:val="clear" w:color="000000" w:fill="A6A6A6"/>
            <w:vAlign w:val="bottom"/>
            <w:hideMark/>
          </w:tcPr>
          <w:p w:rsidRPr="00271A92" w:rsidR="00271A92" w:rsidP="00FE4621" w:rsidRDefault="00A77123" w14:paraId="1EEEBEDE" w14:textId="77BC810C">
            <w:pPr>
              <w:spacing w:before="40" w:after="40"/>
              <w:jc w:val="center"/>
              <w:rPr>
                <w:rFonts w:ascii="Arial Narrow" w:hAnsi="Arial Narrow" w:eastAsia="Times New Roman" w:cs="Calibri"/>
                <w:b/>
                <w:bCs/>
                <w:color w:val="000000"/>
                <w:sz w:val="20"/>
                <w:szCs w:val="20"/>
              </w:rPr>
            </w:pPr>
            <w:r>
              <w:rPr>
                <w:rFonts w:ascii="Arial Narrow" w:hAnsi="Arial Narrow" w:eastAsia="Times New Roman" w:cs="Calibri"/>
                <w:b/>
                <w:bCs/>
                <w:color w:val="000000"/>
                <w:sz w:val="20"/>
                <w:szCs w:val="20"/>
              </w:rPr>
              <w:t>U</w:t>
            </w:r>
            <w:r w:rsidRPr="00271A92" w:rsidR="00271A92">
              <w:rPr>
                <w:rFonts w:ascii="Arial Narrow" w:hAnsi="Arial Narrow" w:eastAsia="Times New Roman" w:cs="Calibri"/>
                <w:b/>
                <w:bCs/>
                <w:color w:val="000000"/>
                <w:sz w:val="20"/>
                <w:szCs w:val="20"/>
              </w:rPr>
              <w:t xml:space="preserve">nit </w:t>
            </w:r>
            <w:r>
              <w:rPr>
                <w:rFonts w:ascii="Arial Narrow" w:hAnsi="Arial Narrow" w:eastAsia="Times New Roman" w:cs="Calibri"/>
                <w:b/>
                <w:bCs/>
                <w:color w:val="000000"/>
                <w:sz w:val="20"/>
                <w:szCs w:val="20"/>
              </w:rPr>
              <w:t>B</w:t>
            </w:r>
            <w:r w:rsidRPr="00271A92" w:rsidR="00271A92">
              <w:rPr>
                <w:rFonts w:ascii="Arial Narrow" w:hAnsi="Arial Narrow" w:eastAsia="Times New Roman" w:cs="Calibri"/>
                <w:b/>
                <w:bCs/>
                <w:color w:val="000000"/>
                <w:sz w:val="20"/>
                <w:szCs w:val="20"/>
              </w:rPr>
              <w:t>urden (hours)</w:t>
            </w:r>
          </w:p>
        </w:tc>
        <w:tc>
          <w:tcPr>
            <w:tcW w:w="605" w:type="pct"/>
            <w:tcBorders>
              <w:top w:val="nil"/>
              <w:left w:val="nil"/>
              <w:bottom w:val="single" w:color="auto" w:sz="4" w:space="0"/>
              <w:right w:val="single" w:color="auto" w:sz="4" w:space="0"/>
            </w:tcBorders>
            <w:shd w:val="clear" w:color="000000" w:fill="A6A6A6"/>
            <w:vAlign w:val="bottom"/>
            <w:hideMark/>
          </w:tcPr>
          <w:p w:rsidRPr="00271A92" w:rsidR="00271A92" w:rsidP="00FE4621" w:rsidRDefault="00A77123" w14:paraId="481D12A8" w14:textId="0E9B8FFA">
            <w:pPr>
              <w:spacing w:before="40" w:after="40"/>
              <w:jc w:val="center"/>
              <w:rPr>
                <w:rFonts w:ascii="Arial Narrow" w:hAnsi="Arial Narrow" w:eastAsia="Times New Roman" w:cs="Calibri"/>
                <w:b/>
                <w:bCs/>
                <w:color w:val="000000"/>
                <w:sz w:val="20"/>
                <w:szCs w:val="20"/>
              </w:rPr>
            </w:pPr>
            <w:r>
              <w:rPr>
                <w:rFonts w:ascii="Arial Narrow" w:hAnsi="Arial Narrow" w:eastAsia="Times New Roman" w:cs="Calibri"/>
                <w:b/>
                <w:bCs/>
                <w:color w:val="000000"/>
                <w:sz w:val="20"/>
                <w:szCs w:val="20"/>
              </w:rPr>
              <w:t>U</w:t>
            </w:r>
            <w:r w:rsidRPr="00271A92" w:rsidR="00271A92">
              <w:rPr>
                <w:rFonts w:ascii="Arial Narrow" w:hAnsi="Arial Narrow" w:eastAsia="Times New Roman" w:cs="Calibri"/>
                <w:b/>
                <w:bCs/>
                <w:color w:val="000000"/>
                <w:sz w:val="20"/>
                <w:szCs w:val="20"/>
              </w:rPr>
              <w:t xml:space="preserve">nit </w:t>
            </w:r>
            <w:r>
              <w:rPr>
                <w:rFonts w:ascii="Arial Narrow" w:hAnsi="Arial Narrow" w:eastAsia="Times New Roman" w:cs="Calibri"/>
                <w:b/>
                <w:bCs/>
                <w:color w:val="000000"/>
                <w:sz w:val="20"/>
                <w:szCs w:val="20"/>
              </w:rPr>
              <w:t>C</w:t>
            </w:r>
            <w:r w:rsidRPr="00271A92" w:rsidR="00271A92">
              <w:rPr>
                <w:rFonts w:ascii="Arial Narrow" w:hAnsi="Arial Narrow" w:eastAsia="Times New Roman" w:cs="Calibri"/>
                <w:b/>
                <w:bCs/>
                <w:color w:val="000000"/>
                <w:sz w:val="20"/>
                <w:szCs w:val="20"/>
              </w:rPr>
              <w:t>ost (2018$)</w:t>
            </w:r>
          </w:p>
        </w:tc>
        <w:tc>
          <w:tcPr>
            <w:tcW w:w="392" w:type="pct"/>
            <w:tcBorders>
              <w:top w:val="nil"/>
              <w:left w:val="nil"/>
              <w:bottom w:val="single" w:color="auto" w:sz="4" w:space="0"/>
              <w:right w:val="single" w:color="auto" w:sz="4" w:space="0"/>
            </w:tcBorders>
            <w:shd w:val="clear" w:color="000000" w:fill="A6A6A6"/>
            <w:vAlign w:val="bottom"/>
            <w:hideMark/>
          </w:tcPr>
          <w:p w:rsidRPr="00271A92" w:rsidR="00271A92" w:rsidP="00FE4621" w:rsidRDefault="00271A92" w14:paraId="1E617FDD" w14:textId="77777777">
            <w:pPr>
              <w:spacing w:before="40" w:after="40"/>
              <w:jc w:val="center"/>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Burden (hours)</w:t>
            </w:r>
          </w:p>
        </w:tc>
        <w:tc>
          <w:tcPr>
            <w:tcW w:w="542" w:type="pct"/>
            <w:tcBorders>
              <w:top w:val="nil"/>
              <w:left w:val="nil"/>
              <w:bottom w:val="single" w:color="auto" w:sz="4" w:space="0"/>
              <w:right w:val="single" w:color="auto" w:sz="4" w:space="0"/>
            </w:tcBorders>
            <w:shd w:val="clear" w:color="000000" w:fill="A6A6A6"/>
            <w:vAlign w:val="bottom"/>
            <w:hideMark/>
          </w:tcPr>
          <w:p w:rsidRPr="00271A92" w:rsidR="00271A92" w:rsidP="00FE4621" w:rsidRDefault="00271A92" w14:paraId="1D730A0B" w14:textId="77777777">
            <w:pPr>
              <w:spacing w:before="40" w:after="40"/>
              <w:jc w:val="center"/>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Cost (2018$)</w:t>
            </w:r>
          </w:p>
        </w:tc>
      </w:tr>
      <w:tr w:rsidRPr="00271A92" w:rsidR="00271A92" w:rsidTr="00271A92" w14:paraId="420654FF" w14:textId="77777777">
        <w:trPr>
          <w:trHeight w:val="300"/>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271A92" w:rsidR="00271A92" w:rsidP="00FE4621" w:rsidRDefault="00271A92" w14:paraId="166529EE" w14:textId="77777777">
            <w:pPr>
              <w:spacing w:before="40" w:after="40"/>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Changes to Reporting Activities</w:t>
            </w:r>
          </w:p>
        </w:tc>
      </w:tr>
      <w:tr w:rsidRPr="00271A92" w:rsidR="00271A92" w:rsidTr="00271A92" w14:paraId="0159B2A5" w14:textId="77777777">
        <w:trPr>
          <w:trHeight w:val="525"/>
        </w:trPr>
        <w:tc>
          <w:tcPr>
            <w:tcW w:w="1421" w:type="pct"/>
            <w:tcBorders>
              <w:top w:val="nil"/>
              <w:left w:val="single" w:color="auto" w:sz="4" w:space="0"/>
              <w:bottom w:val="single" w:color="auto" w:sz="4" w:space="0"/>
              <w:right w:val="single" w:color="auto" w:sz="4" w:space="0"/>
            </w:tcBorders>
            <w:shd w:val="clear" w:color="auto" w:fill="auto"/>
            <w:vAlign w:val="bottom"/>
            <w:hideMark/>
          </w:tcPr>
          <w:p w:rsidRPr="00271A92" w:rsidR="00271A92" w:rsidP="00FE4621" w:rsidRDefault="00271A92" w14:paraId="07F783B2"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8(a) SMD Update incremental rule familiarization and compliance determination</w:t>
            </w:r>
          </w:p>
        </w:tc>
        <w:tc>
          <w:tcPr>
            <w:tcW w:w="718"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3D83FAF6"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5,627 </w:t>
            </w:r>
          </w:p>
        </w:tc>
        <w:tc>
          <w:tcPr>
            <w:tcW w:w="718" w:type="pct"/>
            <w:tcBorders>
              <w:top w:val="single" w:color="auto" w:sz="4" w:space="0"/>
              <w:left w:val="single" w:color="auto" w:sz="4" w:space="0"/>
              <w:bottom w:val="single" w:color="auto" w:sz="4" w:space="0"/>
              <w:right w:val="nil"/>
            </w:tcBorders>
            <w:shd w:val="clear" w:color="auto" w:fill="auto"/>
            <w:noWrap/>
            <w:vAlign w:val="bottom"/>
            <w:hideMark/>
          </w:tcPr>
          <w:p w:rsidRPr="00271A92" w:rsidR="00271A92" w:rsidP="00FE4621" w:rsidRDefault="00271A92" w14:paraId="0B3F8B28"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5,627 </w:t>
            </w:r>
          </w:p>
        </w:tc>
        <w:tc>
          <w:tcPr>
            <w:tcW w:w="605"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1FCA4491"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0.256</w:t>
            </w:r>
          </w:p>
        </w:tc>
        <w:tc>
          <w:tcPr>
            <w:tcW w:w="605" w:type="pct"/>
            <w:tcBorders>
              <w:top w:val="nil"/>
              <w:left w:val="nil"/>
              <w:bottom w:val="single" w:color="auto" w:sz="4" w:space="0"/>
              <w:right w:val="double" w:color="auto" w:sz="6" w:space="0"/>
            </w:tcBorders>
            <w:shd w:val="clear" w:color="auto" w:fill="auto"/>
            <w:noWrap/>
            <w:vAlign w:val="bottom"/>
            <w:hideMark/>
          </w:tcPr>
          <w:p w:rsidRPr="00271A92" w:rsidR="00271A92" w:rsidP="00FE4621" w:rsidRDefault="00271A92" w14:paraId="2DB529A5"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$19.67</w:t>
            </w:r>
          </w:p>
        </w:tc>
        <w:tc>
          <w:tcPr>
            <w:tcW w:w="39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1A0B76E9"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1,441</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44DD8590"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$110,683</w:t>
            </w:r>
          </w:p>
        </w:tc>
      </w:tr>
      <w:tr w:rsidRPr="00271A92" w:rsidR="00271A92" w:rsidTr="00271A92" w14:paraId="0ED7F867" w14:textId="77777777">
        <w:trPr>
          <w:trHeight w:val="525"/>
        </w:trPr>
        <w:tc>
          <w:tcPr>
            <w:tcW w:w="1421" w:type="pct"/>
            <w:tcBorders>
              <w:top w:val="nil"/>
              <w:left w:val="single" w:color="auto" w:sz="4" w:space="0"/>
              <w:bottom w:val="single" w:color="auto" w:sz="4" w:space="0"/>
              <w:right w:val="single" w:color="auto" w:sz="4" w:space="0"/>
            </w:tcBorders>
            <w:shd w:val="clear" w:color="auto" w:fill="auto"/>
            <w:vAlign w:val="bottom"/>
            <w:hideMark/>
          </w:tcPr>
          <w:p w:rsidRPr="00271A92" w:rsidR="00271A92" w:rsidP="00FE4621" w:rsidRDefault="00271A92" w14:paraId="6927026F"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8(a) SGD incremental rule familiarization and compliance determination</w:t>
            </w:r>
          </w:p>
        </w:tc>
        <w:tc>
          <w:tcPr>
            <w:tcW w:w="718"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189559C2"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33 </w:t>
            </w:r>
          </w:p>
        </w:tc>
        <w:tc>
          <w:tcPr>
            <w:tcW w:w="718" w:type="pct"/>
            <w:tcBorders>
              <w:top w:val="nil"/>
              <w:left w:val="single" w:color="auto" w:sz="4" w:space="0"/>
              <w:bottom w:val="single" w:color="auto" w:sz="4" w:space="0"/>
              <w:right w:val="nil"/>
            </w:tcBorders>
            <w:shd w:val="clear" w:color="auto" w:fill="auto"/>
            <w:noWrap/>
            <w:vAlign w:val="bottom"/>
            <w:hideMark/>
          </w:tcPr>
          <w:p w:rsidRPr="00271A92" w:rsidR="00271A92" w:rsidP="00FE4621" w:rsidRDefault="00271A92" w14:paraId="34A128F7"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33 </w:t>
            </w:r>
          </w:p>
        </w:tc>
        <w:tc>
          <w:tcPr>
            <w:tcW w:w="605"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25AD5C21"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0.170</w:t>
            </w:r>
          </w:p>
        </w:tc>
        <w:tc>
          <w:tcPr>
            <w:tcW w:w="605" w:type="pct"/>
            <w:tcBorders>
              <w:top w:val="nil"/>
              <w:left w:val="nil"/>
              <w:bottom w:val="single" w:color="auto" w:sz="4" w:space="0"/>
              <w:right w:val="double" w:color="auto" w:sz="6" w:space="0"/>
            </w:tcBorders>
            <w:shd w:val="clear" w:color="auto" w:fill="auto"/>
            <w:noWrap/>
            <w:vAlign w:val="bottom"/>
            <w:hideMark/>
          </w:tcPr>
          <w:p w:rsidRPr="00271A92" w:rsidR="00271A92" w:rsidP="00FE4621" w:rsidRDefault="00271A92" w14:paraId="06B43403"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$13.05</w:t>
            </w:r>
          </w:p>
        </w:tc>
        <w:tc>
          <w:tcPr>
            <w:tcW w:w="39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4A3BF848"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6</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79B0CDE6"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$431</w:t>
            </w:r>
          </w:p>
        </w:tc>
      </w:tr>
      <w:tr w:rsidRPr="00271A92" w:rsidR="00271A92" w:rsidTr="00271A92" w14:paraId="71200AEB" w14:textId="77777777">
        <w:trPr>
          <w:trHeight w:val="300"/>
        </w:trPr>
        <w:tc>
          <w:tcPr>
            <w:tcW w:w="4066" w:type="pct"/>
            <w:gridSpan w:val="5"/>
            <w:tcBorders>
              <w:top w:val="single" w:color="auto" w:sz="4" w:space="0"/>
              <w:left w:val="single" w:color="auto" w:sz="4" w:space="0"/>
              <w:bottom w:val="single" w:color="auto" w:sz="4" w:space="0"/>
              <w:right w:val="nil"/>
            </w:tcBorders>
            <w:shd w:val="clear" w:color="auto" w:fill="auto"/>
            <w:noWrap/>
            <w:vAlign w:val="bottom"/>
            <w:hideMark/>
          </w:tcPr>
          <w:p w:rsidRPr="00271A92" w:rsidR="00271A92" w:rsidP="00FE4621" w:rsidRDefault="00271A92" w14:paraId="0E614709"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Subtotal, Changes to Reporting Activities</w:t>
            </w:r>
          </w:p>
        </w:tc>
        <w:tc>
          <w:tcPr>
            <w:tcW w:w="392"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44EEDFEA"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1,447</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1B10DDF7"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$111,114</w:t>
            </w:r>
          </w:p>
        </w:tc>
      </w:tr>
      <w:tr w:rsidRPr="00271A92" w:rsidR="00271A92" w:rsidTr="00271A92" w14:paraId="11FBFDEE" w14:textId="77777777">
        <w:trPr>
          <w:trHeight w:val="300"/>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271A92" w:rsidR="00271A92" w:rsidP="00FE4621" w:rsidRDefault="00271A92" w14:paraId="754FD06E" w14:textId="77777777">
            <w:pPr>
              <w:spacing w:before="40" w:after="40"/>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Changes to Reporting Universe</w:t>
            </w:r>
          </w:p>
        </w:tc>
      </w:tr>
      <w:tr w:rsidRPr="00271A92" w:rsidR="00271A92" w:rsidTr="00271A92" w14:paraId="6E88FA3F" w14:textId="77777777">
        <w:trPr>
          <w:trHeight w:val="300"/>
        </w:trPr>
        <w:tc>
          <w:tcPr>
            <w:tcW w:w="1421" w:type="pct"/>
            <w:tcBorders>
              <w:top w:val="nil"/>
              <w:left w:val="single" w:color="auto" w:sz="4" w:space="0"/>
              <w:bottom w:val="single" w:color="auto" w:sz="4" w:space="0"/>
              <w:right w:val="single" w:color="auto" w:sz="4" w:space="0"/>
            </w:tcBorders>
            <w:shd w:val="clear" w:color="auto" w:fill="auto"/>
            <w:vAlign w:val="bottom"/>
            <w:hideMark/>
          </w:tcPr>
          <w:p w:rsidRPr="00271A92" w:rsidR="00271A92" w:rsidP="00FE4621" w:rsidRDefault="00271A92" w14:paraId="0B495194"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8(a) SMD Update</w:t>
            </w:r>
          </w:p>
        </w:tc>
        <w:tc>
          <w:tcPr>
            <w:tcW w:w="718"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16CB647F"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5,627 </w:t>
            </w:r>
          </w:p>
        </w:tc>
        <w:tc>
          <w:tcPr>
            <w:tcW w:w="718" w:type="pct"/>
            <w:tcBorders>
              <w:top w:val="single" w:color="auto" w:sz="4" w:space="0"/>
              <w:left w:val="single" w:color="auto" w:sz="4" w:space="0"/>
              <w:bottom w:val="single" w:color="auto" w:sz="4" w:space="0"/>
              <w:right w:val="nil"/>
            </w:tcBorders>
            <w:shd w:val="clear" w:color="auto" w:fill="auto"/>
            <w:noWrap/>
            <w:vAlign w:val="bottom"/>
            <w:hideMark/>
          </w:tcPr>
          <w:p w:rsidRPr="00271A92" w:rsidR="00271A92" w:rsidP="00FE4621" w:rsidRDefault="00271A92" w14:paraId="13DB2BCA"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5,500 </w:t>
            </w:r>
          </w:p>
        </w:tc>
        <w:tc>
          <w:tcPr>
            <w:tcW w:w="605"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5A2B9B14" w14:textId="77777777">
            <w:pPr>
              <w:spacing w:before="40" w:after="40"/>
              <w:jc w:val="center"/>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N/A</w:t>
            </w:r>
          </w:p>
        </w:tc>
        <w:tc>
          <w:tcPr>
            <w:tcW w:w="605" w:type="pct"/>
            <w:tcBorders>
              <w:top w:val="nil"/>
              <w:left w:val="nil"/>
              <w:bottom w:val="single" w:color="auto" w:sz="4" w:space="0"/>
              <w:right w:val="double" w:color="auto" w:sz="6" w:space="0"/>
            </w:tcBorders>
            <w:shd w:val="clear" w:color="auto" w:fill="auto"/>
            <w:noWrap/>
            <w:vAlign w:val="bottom"/>
            <w:hideMark/>
          </w:tcPr>
          <w:p w:rsidRPr="00271A92" w:rsidR="00271A92" w:rsidP="00FE4621" w:rsidRDefault="00271A92" w14:paraId="55E93F08" w14:textId="77777777">
            <w:pPr>
              <w:spacing w:before="40" w:after="40"/>
              <w:jc w:val="center"/>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N/A</w:t>
            </w:r>
          </w:p>
        </w:tc>
        <w:tc>
          <w:tcPr>
            <w:tcW w:w="39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7023FDE7"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-93,058</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2FD08B9E"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-$7,119,484</w:t>
            </w:r>
          </w:p>
        </w:tc>
      </w:tr>
      <w:tr w:rsidRPr="00271A92" w:rsidR="00271A92" w:rsidTr="00271A92" w14:paraId="5D1659A5" w14:textId="77777777">
        <w:trPr>
          <w:trHeight w:val="300"/>
        </w:trPr>
        <w:tc>
          <w:tcPr>
            <w:tcW w:w="1421" w:type="pct"/>
            <w:tcBorders>
              <w:top w:val="nil"/>
              <w:left w:val="single" w:color="auto" w:sz="4" w:space="0"/>
              <w:bottom w:val="single" w:color="auto" w:sz="4" w:space="0"/>
              <w:right w:val="single" w:color="auto" w:sz="4" w:space="0"/>
            </w:tcBorders>
            <w:shd w:val="clear" w:color="auto" w:fill="auto"/>
            <w:vAlign w:val="bottom"/>
            <w:hideMark/>
          </w:tcPr>
          <w:p w:rsidRPr="00271A92" w:rsidR="00271A92" w:rsidP="00FE4621" w:rsidRDefault="00271A92" w14:paraId="17F53887"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8(a) SGD</w:t>
            </w:r>
          </w:p>
        </w:tc>
        <w:tc>
          <w:tcPr>
            <w:tcW w:w="718"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35864D6A"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33 </w:t>
            </w:r>
          </w:p>
        </w:tc>
        <w:tc>
          <w:tcPr>
            <w:tcW w:w="718" w:type="pct"/>
            <w:tcBorders>
              <w:top w:val="nil"/>
              <w:left w:val="single" w:color="auto" w:sz="4" w:space="0"/>
              <w:bottom w:val="single" w:color="auto" w:sz="4" w:space="0"/>
              <w:right w:val="nil"/>
            </w:tcBorders>
            <w:shd w:val="clear" w:color="auto" w:fill="auto"/>
            <w:noWrap/>
            <w:vAlign w:val="bottom"/>
            <w:hideMark/>
          </w:tcPr>
          <w:p w:rsidRPr="00271A92" w:rsidR="00271A92" w:rsidP="00FE4621" w:rsidRDefault="00271A92" w14:paraId="7C54A216"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 xml:space="preserve">                       29 </w:t>
            </w:r>
          </w:p>
        </w:tc>
        <w:tc>
          <w:tcPr>
            <w:tcW w:w="605"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55DB2A3D" w14:textId="77777777">
            <w:pPr>
              <w:spacing w:before="40" w:after="40"/>
              <w:jc w:val="center"/>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N/A</w:t>
            </w:r>
          </w:p>
        </w:tc>
        <w:tc>
          <w:tcPr>
            <w:tcW w:w="605" w:type="pct"/>
            <w:tcBorders>
              <w:top w:val="nil"/>
              <w:left w:val="nil"/>
              <w:bottom w:val="single" w:color="auto" w:sz="4" w:space="0"/>
              <w:right w:val="double" w:color="auto" w:sz="6" w:space="0"/>
            </w:tcBorders>
            <w:shd w:val="clear" w:color="auto" w:fill="auto"/>
            <w:noWrap/>
            <w:vAlign w:val="bottom"/>
            <w:hideMark/>
          </w:tcPr>
          <w:p w:rsidRPr="00271A92" w:rsidR="00271A92" w:rsidP="00FE4621" w:rsidRDefault="00271A92" w14:paraId="53F056ED" w14:textId="77777777">
            <w:pPr>
              <w:spacing w:before="40" w:after="40"/>
              <w:jc w:val="center"/>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N/A</w:t>
            </w:r>
          </w:p>
        </w:tc>
        <w:tc>
          <w:tcPr>
            <w:tcW w:w="39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4643AA19"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-445</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2CE15F6B"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-$33,943</w:t>
            </w:r>
          </w:p>
        </w:tc>
      </w:tr>
      <w:tr w:rsidRPr="00271A92" w:rsidR="00271A92" w:rsidTr="00271A92" w14:paraId="19221FE1" w14:textId="77777777">
        <w:trPr>
          <w:trHeight w:val="300"/>
        </w:trPr>
        <w:tc>
          <w:tcPr>
            <w:tcW w:w="4066" w:type="pct"/>
            <w:gridSpan w:val="5"/>
            <w:tcBorders>
              <w:top w:val="single" w:color="auto" w:sz="4" w:space="0"/>
              <w:left w:val="single" w:color="auto" w:sz="4" w:space="0"/>
              <w:bottom w:val="single" w:color="auto" w:sz="4" w:space="0"/>
              <w:right w:val="nil"/>
            </w:tcBorders>
            <w:shd w:val="clear" w:color="auto" w:fill="auto"/>
            <w:noWrap/>
            <w:vAlign w:val="bottom"/>
            <w:hideMark/>
          </w:tcPr>
          <w:p w:rsidRPr="00271A92" w:rsidR="00271A92" w:rsidP="00FE4621" w:rsidRDefault="00271A92" w14:paraId="3D79FD9C" w14:textId="77777777">
            <w:pPr>
              <w:spacing w:before="40" w:after="40"/>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Subtotal, Changes to Reporting Universe</w:t>
            </w:r>
          </w:p>
        </w:tc>
        <w:tc>
          <w:tcPr>
            <w:tcW w:w="392"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0C032E61"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-93,503</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7116F782" w14:textId="77777777">
            <w:pPr>
              <w:spacing w:before="40" w:after="40"/>
              <w:jc w:val="right"/>
              <w:rPr>
                <w:rFonts w:ascii="Arial Narrow" w:hAnsi="Arial Narrow" w:eastAsia="Times New Roman" w:cs="Calibri"/>
                <w:color w:val="000000"/>
                <w:sz w:val="20"/>
                <w:szCs w:val="20"/>
              </w:rPr>
            </w:pPr>
            <w:r w:rsidRPr="00271A92">
              <w:rPr>
                <w:rFonts w:ascii="Arial Narrow" w:hAnsi="Arial Narrow" w:eastAsia="Times New Roman" w:cs="Calibri"/>
                <w:color w:val="000000"/>
                <w:sz w:val="20"/>
                <w:szCs w:val="20"/>
              </w:rPr>
              <w:t>-$7,153,427</w:t>
            </w:r>
          </w:p>
        </w:tc>
      </w:tr>
      <w:tr w:rsidRPr="00271A92" w:rsidR="00271A92" w:rsidTr="00271A92" w14:paraId="796466E9" w14:textId="77777777">
        <w:trPr>
          <w:trHeight w:val="300"/>
        </w:trPr>
        <w:tc>
          <w:tcPr>
            <w:tcW w:w="4066" w:type="pct"/>
            <w:gridSpan w:val="5"/>
            <w:tcBorders>
              <w:top w:val="single" w:color="auto" w:sz="4" w:space="0"/>
              <w:left w:val="single" w:color="auto" w:sz="4" w:space="0"/>
              <w:bottom w:val="single" w:color="auto" w:sz="4" w:space="0"/>
              <w:right w:val="nil"/>
            </w:tcBorders>
            <w:shd w:val="clear" w:color="auto" w:fill="auto"/>
            <w:noWrap/>
            <w:vAlign w:val="bottom"/>
            <w:hideMark/>
          </w:tcPr>
          <w:p w:rsidRPr="00271A92" w:rsidR="00271A92" w:rsidP="00FE4621" w:rsidRDefault="00271A92" w14:paraId="4D2DB2B6" w14:textId="77777777">
            <w:pPr>
              <w:spacing w:before="40" w:after="40"/>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Net Incremental Change</w:t>
            </w:r>
          </w:p>
        </w:tc>
        <w:tc>
          <w:tcPr>
            <w:tcW w:w="392" w:type="pct"/>
            <w:tcBorders>
              <w:top w:val="nil"/>
              <w:left w:val="double" w:color="auto" w:sz="6" w:space="0"/>
              <w:bottom w:val="single" w:color="auto" w:sz="4" w:space="0"/>
              <w:right w:val="single" w:color="auto" w:sz="4" w:space="0"/>
            </w:tcBorders>
            <w:shd w:val="clear" w:color="auto" w:fill="auto"/>
            <w:noWrap/>
            <w:vAlign w:val="bottom"/>
            <w:hideMark/>
          </w:tcPr>
          <w:p w:rsidRPr="00271A92" w:rsidR="00271A92" w:rsidP="00FE4621" w:rsidRDefault="00271A92" w14:paraId="6D2DBDE4" w14:textId="77777777">
            <w:pPr>
              <w:spacing w:before="40" w:after="40"/>
              <w:jc w:val="right"/>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-92,056</w:t>
            </w:r>
          </w:p>
        </w:tc>
        <w:tc>
          <w:tcPr>
            <w:tcW w:w="542" w:type="pct"/>
            <w:tcBorders>
              <w:top w:val="nil"/>
              <w:left w:val="nil"/>
              <w:bottom w:val="single" w:color="auto" w:sz="4" w:space="0"/>
              <w:right w:val="single" w:color="auto" w:sz="4" w:space="0"/>
            </w:tcBorders>
            <w:shd w:val="clear" w:color="auto" w:fill="auto"/>
            <w:noWrap/>
            <w:vAlign w:val="bottom"/>
            <w:hideMark/>
          </w:tcPr>
          <w:p w:rsidRPr="00271A92" w:rsidR="00271A92" w:rsidP="00FE4621" w:rsidRDefault="00271A92" w14:paraId="0EDAC280" w14:textId="77777777">
            <w:pPr>
              <w:spacing w:before="40" w:after="40"/>
              <w:jc w:val="right"/>
              <w:rPr>
                <w:rFonts w:ascii="Arial Narrow" w:hAnsi="Arial Narrow" w:eastAsia="Times New Roman" w:cs="Calibri"/>
                <w:b/>
                <w:bCs/>
                <w:color w:val="000000"/>
                <w:sz w:val="20"/>
                <w:szCs w:val="20"/>
              </w:rPr>
            </w:pPr>
            <w:r w:rsidRPr="00271A92">
              <w:rPr>
                <w:rFonts w:ascii="Arial Narrow" w:hAnsi="Arial Narrow" w:eastAsia="Times New Roman" w:cs="Calibri"/>
                <w:b/>
                <w:bCs/>
                <w:color w:val="000000"/>
                <w:sz w:val="20"/>
                <w:szCs w:val="20"/>
              </w:rPr>
              <w:t>-$7,042,313</w:t>
            </w:r>
          </w:p>
        </w:tc>
      </w:tr>
    </w:tbl>
    <w:p w:rsidR="00271A92" w:rsidP="004909CD" w:rsidRDefault="00271A92" w14:paraId="43A33630" w14:textId="6762A800">
      <w:pPr>
        <w:pStyle w:val="NoSpacing"/>
      </w:pPr>
    </w:p>
    <w:p w:rsidRPr="00853B7A" w:rsidR="00F44411" w:rsidP="00853B7A" w:rsidRDefault="00F62DC3" w14:paraId="07F49ADA" w14:textId="6B45E28F">
      <w:pPr>
        <w:pStyle w:val="Heading1"/>
        <w:numPr>
          <w:ilvl w:val="0"/>
          <w:numId w:val="3"/>
        </w:numPr>
      </w:pPr>
      <w:bookmarkStart w:name="_Toc42177037" w:id="49"/>
      <w:bookmarkStart w:name="_Hlk28957757" w:id="50"/>
      <w:r>
        <w:t>ESTIMATING BURDEN AND COST OF THIS COLLECTION</w:t>
      </w:r>
      <w:bookmarkEnd w:id="49"/>
    </w:p>
    <w:p w:rsidR="00F62DC3" w:rsidP="00C7037B" w:rsidRDefault="00F62DC3" w14:paraId="2C2DB34B" w14:textId="5EB738A7">
      <w:pPr>
        <w:pStyle w:val="BodyText"/>
      </w:pPr>
      <w:r>
        <w:t>This section of the ICR provides the total burden estimates, changes in the burden estimates from what is currently approved by OMB, and the paperwork burden statement. A detailed description of the information collection activities and related estimates for burden and costs associated with those activities for each respondent category is provided in section 5 of this ICR.</w:t>
      </w:r>
    </w:p>
    <w:p w:rsidR="00F62DC3" w:rsidP="00176A48" w:rsidRDefault="00F62DC3" w14:paraId="565C6306" w14:textId="5748F2A1">
      <w:pPr>
        <w:pStyle w:val="Heading2"/>
        <w:tabs>
          <w:tab w:val="left" w:pos="1080"/>
        </w:tabs>
        <w:ind w:left="360"/>
      </w:pPr>
      <w:bookmarkStart w:name="_Toc42177038" w:id="51"/>
      <w:r>
        <w:t>6(a)</w:t>
      </w:r>
      <w:r w:rsidRPr="00176A48" w:rsidR="00176A48">
        <w:tab/>
      </w:r>
      <w:r>
        <w:t>Total Estimated Respondent Burden and Costs</w:t>
      </w:r>
      <w:bookmarkEnd w:id="51"/>
    </w:p>
    <w:p w:rsidR="005A132E" w:rsidP="005A132E" w:rsidRDefault="005A132E" w14:paraId="1BEAE76A" w14:textId="16E6E6F9">
      <w:pPr>
        <w:pStyle w:val="BodyText"/>
      </w:pPr>
      <w:r w:rsidRPr="00A26B77">
        <w:fldChar w:fldCharType="begin"/>
      </w:r>
      <w:r w:rsidRPr="00A26B77">
        <w:instrText xml:space="preserve"> REF _Ref28866357 \h  \* MERGEFORMAT </w:instrText>
      </w:r>
      <w:r w:rsidRPr="00A26B77">
        <w:fldChar w:fldCharType="separate"/>
      </w:r>
      <w:r w:rsidRPr="00590B23">
        <w:t xml:space="preserve">Table </w:t>
      </w:r>
      <w:r>
        <w:t>6</w:t>
      </w:r>
      <w:r w:rsidRPr="00590B23">
        <w:rPr>
          <w:noProof/>
        </w:rPr>
        <w:noBreakHyphen/>
      </w:r>
      <w:r>
        <w:rPr>
          <w:noProof/>
        </w:rPr>
        <w:t>1</w:t>
      </w:r>
      <w:r w:rsidRPr="00A26B77">
        <w:fldChar w:fldCharType="end"/>
      </w:r>
      <w:r>
        <w:t xml:space="preserve"> presents the bottom-line reporter burden and cost, including average annual and ICR Renewal Period totals under the final rule.</w:t>
      </w:r>
    </w:p>
    <w:tbl>
      <w:tblPr>
        <w:tblW w:w="9660" w:type="dxa"/>
        <w:tblLook w:val="04A0" w:firstRow="1" w:lastRow="0" w:firstColumn="1" w:lastColumn="0" w:noHBand="0" w:noVBand="1"/>
      </w:tblPr>
      <w:tblGrid>
        <w:gridCol w:w="1977"/>
        <w:gridCol w:w="545"/>
        <w:gridCol w:w="628"/>
        <w:gridCol w:w="630"/>
        <w:gridCol w:w="630"/>
        <w:gridCol w:w="1350"/>
        <w:gridCol w:w="1460"/>
        <w:gridCol w:w="1240"/>
        <w:gridCol w:w="1200"/>
      </w:tblGrid>
      <w:tr w:rsidRPr="00344479" w:rsidR="005A132E" w:rsidTr="005A132E" w14:paraId="67562B0E" w14:textId="77777777">
        <w:trPr>
          <w:trHeight w:val="660"/>
        </w:trPr>
        <w:tc>
          <w:tcPr>
            <w:tcW w:w="9660" w:type="dxa"/>
            <w:gridSpan w:val="9"/>
            <w:tcBorders>
              <w:top w:val="nil"/>
              <w:left w:val="nil"/>
              <w:bottom w:val="nil"/>
              <w:right w:val="nil"/>
            </w:tcBorders>
            <w:shd w:val="clear" w:color="auto" w:fill="auto"/>
            <w:vAlign w:val="bottom"/>
            <w:hideMark/>
          </w:tcPr>
          <w:p w:rsidRPr="00344479" w:rsidR="005A132E" w:rsidP="00FE4621" w:rsidRDefault="005A132E" w14:paraId="1DBC996A" w14:textId="532DC62C">
            <w:pPr>
              <w:spacing w:before="40" w:after="40"/>
              <w:rPr>
                <w:rFonts w:eastAsia="Times New Roman" w:cs="Arial"/>
                <w:b/>
                <w:bCs/>
                <w:color w:val="000000"/>
                <w:szCs w:val="24"/>
              </w:rPr>
            </w:pPr>
            <w:bookmarkStart w:name="_Ref28853629" w:id="52"/>
            <w:bookmarkStart w:name="_Ref28866357" w:id="53"/>
            <w:r w:rsidRPr="00344479">
              <w:rPr>
                <w:b/>
              </w:rPr>
              <w:t xml:space="preserve">Table </w:t>
            </w:r>
            <w:r>
              <w:rPr>
                <w:b/>
              </w:rPr>
              <w:t>6</w:t>
            </w:r>
            <w:r>
              <w:rPr>
                <w:b/>
              </w:rPr>
              <w:noBreakHyphen/>
              <w:t>1</w:t>
            </w:r>
            <w:bookmarkStart w:name="_Ref24463412" w:id="54"/>
            <w:bookmarkEnd w:id="52"/>
            <w:bookmarkEnd w:id="53"/>
            <w:r w:rsidRPr="00344479">
              <w:rPr>
                <w:rFonts w:eastAsia="Times New Roman" w:cs="Arial"/>
                <w:b/>
                <w:bCs/>
                <w:color w:val="000000"/>
                <w:szCs w:val="24"/>
              </w:rPr>
              <w:t>: Annual Average and Overall Incremental Burden and Cost for the ICR Renewal Period</w:t>
            </w:r>
          </w:p>
        </w:tc>
      </w:tr>
      <w:tr w:rsidRPr="00344479" w:rsidR="005A132E" w:rsidTr="005A132E" w14:paraId="27EDFE12" w14:textId="77777777">
        <w:trPr>
          <w:trHeight w:val="570"/>
        </w:trPr>
        <w:tc>
          <w:tcPr>
            <w:tcW w:w="1977" w:type="dxa"/>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344479" w:rsidR="005A132E" w:rsidP="00FE4621" w:rsidRDefault="005A132E" w14:paraId="6FBEB716"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Burden Category</w:t>
            </w:r>
          </w:p>
        </w:tc>
        <w:tc>
          <w:tcPr>
            <w:tcW w:w="2433" w:type="dxa"/>
            <w:gridSpan w:val="4"/>
            <w:tcBorders>
              <w:top w:val="single" w:color="auto" w:sz="4" w:space="0"/>
              <w:left w:val="nil"/>
              <w:bottom w:val="single" w:color="auto" w:sz="4" w:space="0"/>
              <w:right w:val="single" w:color="auto" w:sz="4" w:space="0"/>
            </w:tcBorders>
            <w:shd w:val="clear" w:color="000000" w:fill="BFBFBF"/>
            <w:noWrap/>
            <w:vAlign w:val="center"/>
            <w:hideMark/>
          </w:tcPr>
          <w:p w:rsidRPr="00344479" w:rsidR="005A132E" w:rsidP="00FE4621" w:rsidRDefault="005A132E" w14:paraId="0282C2A1"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CDR Reporting Cycle Burden</w:t>
            </w:r>
          </w:p>
        </w:tc>
        <w:tc>
          <w:tcPr>
            <w:tcW w:w="2810" w:type="dxa"/>
            <w:gridSpan w:val="2"/>
            <w:tcBorders>
              <w:top w:val="single" w:color="auto" w:sz="4" w:space="0"/>
              <w:left w:val="double" w:color="auto" w:sz="6" w:space="0"/>
              <w:bottom w:val="single" w:color="auto" w:sz="4" w:space="0"/>
              <w:right w:val="double" w:color="000000" w:sz="6" w:space="0"/>
            </w:tcBorders>
            <w:shd w:val="clear" w:color="000000" w:fill="BFBFBF"/>
            <w:vAlign w:val="center"/>
            <w:hideMark/>
          </w:tcPr>
          <w:p w:rsidRPr="00344479" w:rsidR="005A132E" w:rsidP="00FE4621" w:rsidRDefault="005A132E" w14:paraId="6D7142DF"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Both CDR Cycle and ICR Renewal Period</w:t>
            </w:r>
          </w:p>
        </w:tc>
        <w:tc>
          <w:tcPr>
            <w:tcW w:w="2440" w:type="dxa"/>
            <w:gridSpan w:val="2"/>
            <w:tcBorders>
              <w:top w:val="single" w:color="auto" w:sz="4" w:space="0"/>
              <w:left w:val="nil"/>
              <w:bottom w:val="single" w:color="auto" w:sz="4" w:space="0"/>
              <w:right w:val="single" w:color="auto" w:sz="4" w:space="0"/>
            </w:tcBorders>
            <w:shd w:val="clear" w:color="000000" w:fill="BFBFBF"/>
            <w:vAlign w:val="center"/>
            <w:hideMark/>
          </w:tcPr>
          <w:p w:rsidRPr="00344479" w:rsidR="005A132E" w:rsidP="00FE4621" w:rsidRDefault="005A132E" w14:paraId="2D1F618C"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ICR Renewal Period</w:t>
            </w:r>
            <w:r w:rsidRPr="00344479">
              <w:rPr>
                <w:rFonts w:ascii="Arial Narrow" w:hAnsi="Arial Narrow" w:eastAsia="Times New Roman" w:cs="Calibri"/>
                <w:b/>
                <w:bCs/>
                <w:color w:val="000000"/>
                <w:sz w:val="18"/>
                <w:szCs w:val="18"/>
              </w:rPr>
              <w:br/>
              <w:t>(Nov '18 - Nov '21)</w:t>
            </w:r>
          </w:p>
        </w:tc>
      </w:tr>
      <w:tr w:rsidRPr="00344479" w:rsidR="005A132E" w:rsidTr="005A132E" w14:paraId="5BE00B91" w14:textId="77777777">
        <w:trPr>
          <w:trHeight w:val="539"/>
        </w:trPr>
        <w:tc>
          <w:tcPr>
            <w:tcW w:w="1977" w:type="dxa"/>
            <w:vMerge/>
            <w:tcBorders>
              <w:top w:val="single" w:color="auto" w:sz="4" w:space="0"/>
              <w:left w:val="single" w:color="auto" w:sz="4" w:space="0"/>
              <w:bottom w:val="single" w:color="auto" w:sz="4" w:space="0"/>
              <w:right w:val="single" w:color="auto" w:sz="4" w:space="0"/>
            </w:tcBorders>
            <w:vAlign w:val="center"/>
            <w:hideMark/>
          </w:tcPr>
          <w:p w:rsidRPr="00344479" w:rsidR="005A132E" w:rsidP="00FE4621" w:rsidRDefault="005A132E" w14:paraId="7038B394" w14:textId="77777777">
            <w:pPr>
              <w:spacing w:before="40" w:after="40"/>
              <w:rPr>
                <w:rFonts w:ascii="Arial Narrow" w:hAnsi="Arial Narrow" w:eastAsia="Times New Roman" w:cs="Calibri"/>
                <w:b/>
                <w:bCs/>
                <w:color w:val="000000"/>
                <w:sz w:val="18"/>
                <w:szCs w:val="18"/>
              </w:rPr>
            </w:pPr>
          </w:p>
        </w:tc>
        <w:tc>
          <w:tcPr>
            <w:tcW w:w="545" w:type="dxa"/>
            <w:tcBorders>
              <w:top w:val="single" w:color="auto" w:sz="4" w:space="0"/>
              <w:left w:val="nil"/>
              <w:bottom w:val="single" w:color="auto" w:sz="4" w:space="0"/>
              <w:right w:val="single" w:color="auto" w:sz="4" w:space="0"/>
            </w:tcBorders>
            <w:shd w:val="clear" w:color="000000" w:fill="BFBFBF"/>
            <w:vAlign w:val="center"/>
            <w:hideMark/>
          </w:tcPr>
          <w:p w:rsidRPr="00344479" w:rsidR="005A132E" w:rsidP="00FE4621" w:rsidRDefault="005A132E" w14:paraId="4A4E3A10"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2016</w:t>
            </w:r>
          </w:p>
        </w:tc>
        <w:tc>
          <w:tcPr>
            <w:tcW w:w="628" w:type="dxa"/>
            <w:tcBorders>
              <w:top w:val="single" w:color="auto" w:sz="4" w:space="0"/>
              <w:left w:val="nil"/>
              <w:bottom w:val="single" w:color="auto" w:sz="4" w:space="0"/>
              <w:right w:val="single" w:color="auto" w:sz="4" w:space="0"/>
            </w:tcBorders>
            <w:shd w:val="clear" w:color="000000" w:fill="BFBFBF"/>
            <w:vAlign w:val="center"/>
            <w:hideMark/>
          </w:tcPr>
          <w:p w:rsidRPr="00344479" w:rsidR="005A132E" w:rsidP="00FE4621" w:rsidRDefault="005A132E" w14:paraId="3616570C"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2017</w:t>
            </w:r>
          </w:p>
        </w:tc>
        <w:tc>
          <w:tcPr>
            <w:tcW w:w="630" w:type="dxa"/>
            <w:tcBorders>
              <w:top w:val="single" w:color="auto" w:sz="4" w:space="0"/>
              <w:left w:val="nil"/>
              <w:bottom w:val="single" w:color="auto" w:sz="4" w:space="0"/>
              <w:right w:val="single" w:color="auto" w:sz="4" w:space="0"/>
            </w:tcBorders>
            <w:shd w:val="clear" w:color="000000" w:fill="BFBFBF"/>
            <w:vAlign w:val="center"/>
            <w:hideMark/>
          </w:tcPr>
          <w:p w:rsidRPr="00344479" w:rsidR="005A132E" w:rsidP="00FE4621" w:rsidRDefault="005A132E" w14:paraId="12163C08"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2018</w:t>
            </w:r>
          </w:p>
        </w:tc>
        <w:tc>
          <w:tcPr>
            <w:tcW w:w="630" w:type="dxa"/>
            <w:tcBorders>
              <w:top w:val="nil"/>
              <w:left w:val="single" w:color="auto" w:sz="4" w:space="0"/>
              <w:bottom w:val="single" w:color="auto" w:sz="4" w:space="0"/>
              <w:right w:val="nil"/>
            </w:tcBorders>
            <w:shd w:val="clear" w:color="000000" w:fill="BFBFBF"/>
            <w:vAlign w:val="center"/>
            <w:hideMark/>
          </w:tcPr>
          <w:p w:rsidRPr="00344479" w:rsidR="005A132E" w:rsidP="00FE4621" w:rsidRDefault="005A132E" w14:paraId="7A09BC1F"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2019</w:t>
            </w:r>
          </w:p>
        </w:tc>
        <w:tc>
          <w:tcPr>
            <w:tcW w:w="1350" w:type="dxa"/>
            <w:tcBorders>
              <w:top w:val="nil"/>
              <w:left w:val="double" w:color="auto" w:sz="6" w:space="0"/>
              <w:bottom w:val="single" w:color="auto" w:sz="4" w:space="0"/>
              <w:right w:val="single" w:color="auto" w:sz="4" w:space="0"/>
            </w:tcBorders>
            <w:shd w:val="clear" w:color="000000" w:fill="BFBFBF"/>
            <w:vAlign w:val="center"/>
            <w:hideMark/>
          </w:tcPr>
          <w:p w:rsidRPr="00344479" w:rsidR="005A132E" w:rsidP="00FE4621" w:rsidRDefault="005A132E" w14:paraId="6282DA76"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Annual Average Burden (hours)</w:t>
            </w:r>
          </w:p>
        </w:tc>
        <w:tc>
          <w:tcPr>
            <w:tcW w:w="1460" w:type="dxa"/>
            <w:tcBorders>
              <w:top w:val="nil"/>
              <w:left w:val="nil"/>
              <w:bottom w:val="single" w:color="auto" w:sz="4" w:space="0"/>
              <w:right w:val="double" w:color="auto" w:sz="6" w:space="0"/>
            </w:tcBorders>
            <w:shd w:val="clear" w:color="000000" w:fill="BFBFBF"/>
            <w:vAlign w:val="center"/>
            <w:hideMark/>
          </w:tcPr>
          <w:p w:rsidRPr="00344479" w:rsidR="005A132E" w:rsidP="00FE4621" w:rsidRDefault="005A132E" w14:paraId="5103BB9B"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Annual Average Cost (2018$)</w:t>
            </w:r>
          </w:p>
        </w:tc>
        <w:tc>
          <w:tcPr>
            <w:tcW w:w="1240" w:type="dxa"/>
            <w:tcBorders>
              <w:top w:val="nil"/>
              <w:left w:val="nil"/>
              <w:bottom w:val="single" w:color="auto" w:sz="4" w:space="0"/>
              <w:right w:val="single" w:color="auto" w:sz="4" w:space="0"/>
            </w:tcBorders>
            <w:shd w:val="clear" w:color="000000" w:fill="BFBFBF"/>
            <w:vAlign w:val="center"/>
            <w:hideMark/>
          </w:tcPr>
          <w:p w:rsidRPr="00344479" w:rsidR="005A132E" w:rsidP="00FE4621" w:rsidRDefault="005A132E" w14:paraId="174101E0"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Total Burden (hours)</w:t>
            </w:r>
          </w:p>
        </w:tc>
        <w:tc>
          <w:tcPr>
            <w:tcW w:w="1200" w:type="dxa"/>
            <w:tcBorders>
              <w:top w:val="nil"/>
              <w:left w:val="nil"/>
              <w:bottom w:val="single" w:color="auto" w:sz="4" w:space="0"/>
              <w:right w:val="single" w:color="auto" w:sz="4" w:space="0"/>
            </w:tcBorders>
            <w:shd w:val="clear" w:color="000000" w:fill="BFBFBF"/>
            <w:vAlign w:val="center"/>
            <w:hideMark/>
          </w:tcPr>
          <w:p w:rsidRPr="00344479" w:rsidR="005A132E" w:rsidP="00FE4621" w:rsidRDefault="005A132E" w14:paraId="33F1BCAD"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Total Cost (2018$)</w:t>
            </w:r>
          </w:p>
        </w:tc>
      </w:tr>
      <w:tr w:rsidRPr="00344479" w:rsidR="005A132E" w:rsidTr="005A132E" w14:paraId="5BBDDD72" w14:textId="77777777">
        <w:trPr>
          <w:trHeight w:val="300"/>
        </w:trPr>
        <w:tc>
          <w:tcPr>
            <w:tcW w:w="9660" w:type="dxa"/>
            <w:gridSpan w:val="9"/>
            <w:tcBorders>
              <w:top w:val="single" w:color="auto" w:sz="4" w:space="0"/>
              <w:left w:val="single" w:color="auto" w:sz="4" w:space="0"/>
              <w:bottom w:val="single" w:color="auto" w:sz="4" w:space="0"/>
              <w:right w:val="single" w:color="auto" w:sz="4" w:space="0"/>
            </w:tcBorders>
            <w:shd w:val="clear" w:color="auto" w:fill="auto"/>
            <w:vAlign w:val="center"/>
            <w:hideMark/>
          </w:tcPr>
          <w:p w:rsidRPr="00344479" w:rsidR="005A132E" w:rsidP="00FE4621" w:rsidRDefault="005A132E" w14:paraId="3D28A7E5" w14:textId="77777777">
            <w:pPr>
              <w:spacing w:before="40" w:after="40"/>
              <w:rPr>
                <w:rFonts w:ascii="Arial Narrow" w:hAnsi="Arial Narrow" w:eastAsia="Times New Roman" w:cs="Calibri"/>
                <w:i/>
                <w:iCs/>
                <w:color w:val="000000"/>
                <w:sz w:val="18"/>
                <w:szCs w:val="18"/>
              </w:rPr>
            </w:pPr>
            <w:r w:rsidRPr="00344479">
              <w:rPr>
                <w:rFonts w:ascii="Arial Narrow" w:hAnsi="Arial Narrow" w:eastAsia="Times New Roman" w:cs="Calibri"/>
                <w:i/>
                <w:iCs/>
                <w:color w:val="000000"/>
                <w:sz w:val="18"/>
                <w:szCs w:val="18"/>
              </w:rPr>
              <w:t>Reporter Burden</w:t>
            </w:r>
          </w:p>
        </w:tc>
      </w:tr>
      <w:tr w:rsidRPr="00344479" w:rsidR="005A132E" w:rsidTr="005A132E" w14:paraId="755959A4" w14:textId="77777777">
        <w:trPr>
          <w:trHeight w:val="300"/>
        </w:trPr>
        <w:tc>
          <w:tcPr>
            <w:tcW w:w="1977" w:type="dxa"/>
            <w:tcBorders>
              <w:top w:val="nil"/>
              <w:left w:val="single" w:color="auto" w:sz="4" w:space="0"/>
              <w:bottom w:val="single" w:color="auto" w:sz="4" w:space="0"/>
              <w:right w:val="single" w:color="auto" w:sz="4" w:space="0"/>
            </w:tcBorders>
            <w:shd w:val="clear" w:color="000000" w:fill="FFFFFF"/>
            <w:vAlign w:val="center"/>
            <w:hideMark/>
          </w:tcPr>
          <w:p w:rsidRPr="00344479" w:rsidR="005A132E" w:rsidP="00FE4621" w:rsidRDefault="005A132E" w14:paraId="1DE555C7" w14:textId="77777777">
            <w:pPr>
              <w:spacing w:before="40" w:after="40"/>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8(a) SMD Update</w:t>
            </w:r>
          </w:p>
        </w:tc>
        <w:tc>
          <w:tcPr>
            <w:tcW w:w="2433" w:type="dxa"/>
            <w:gridSpan w:val="4"/>
            <w:tcBorders>
              <w:top w:val="single" w:color="auto" w:sz="4" w:space="0"/>
              <w:left w:val="nil"/>
              <w:bottom w:val="single" w:color="auto" w:sz="4" w:space="0"/>
              <w:right w:val="single" w:color="auto" w:sz="4" w:space="0"/>
            </w:tcBorders>
            <w:shd w:val="clear" w:color="auto" w:fill="auto"/>
            <w:noWrap/>
            <w:vAlign w:val="center"/>
            <w:hideMark/>
          </w:tcPr>
          <w:p w:rsidRPr="00344479" w:rsidR="005A132E" w:rsidP="00FE4621" w:rsidRDefault="005A132E" w14:paraId="02187456" w14:textId="77777777">
            <w:pPr>
              <w:spacing w:before="40" w:after="40"/>
              <w:jc w:val="center"/>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-91,617</w:t>
            </w:r>
          </w:p>
        </w:tc>
        <w:tc>
          <w:tcPr>
            <w:tcW w:w="1350" w:type="dxa"/>
            <w:tcBorders>
              <w:top w:val="nil"/>
              <w:left w:val="double" w:color="auto" w:sz="6" w:space="0"/>
              <w:bottom w:val="single" w:color="auto" w:sz="4" w:space="0"/>
              <w:right w:val="single" w:color="auto" w:sz="4" w:space="0"/>
            </w:tcBorders>
            <w:shd w:val="clear" w:color="auto" w:fill="auto"/>
            <w:noWrap/>
            <w:vAlign w:val="center"/>
            <w:hideMark/>
          </w:tcPr>
          <w:p w:rsidRPr="00344479" w:rsidR="005A132E" w:rsidP="00FE4621" w:rsidRDefault="005A132E" w14:paraId="7F33ADD4"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-22,904</w:t>
            </w:r>
          </w:p>
        </w:tc>
        <w:tc>
          <w:tcPr>
            <w:tcW w:w="1460" w:type="dxa"/>
            <w:tcBorders>
              <w:top w:val="nil"/>
              <w:left w:val="nil"/>
              <w:bottom w:val="single" w:color="auto" w:sz="4" w:space="0"/>
              <w:right w:val="double" w:color="auto" w:sz="6" w:space="0"/>
            </w:tcBorders>
            <w:shd w:val="clear" w:color="auto" w:fill="auto"/>
            <w:noWrap/>
            <w:vAlign w:val="center"/>
            <w:hideMark/>
          </w:tcPr>
          <w:p w:rsidRPr="00344479" w:rsidR="005A132E" w:rsidP="00FE4621" w:rsidRDefault="005A132E" w14:paraId="7CA08CC2"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-$1,752,200</w:t>
            </w:r>
          </w:p>
        </w:tc>
        <w:tc>
          <w:tcPr>
            <w:tcW w:w="1240" w:type="dxa"/>
            <w:tcBorders>
              <w:top w:val="nil"/>
              <w:left w:val="nil"/>
              <w:bottom w:val="single" w:color="auto" w:sz="4" w:space="0"/>
              <w:right w:val="single" w:color="auto" w:sz="4" w:space="0"/>
            </w:tcBorders>
            <w:shd w:val="clear" w:color="auto" w:fill="auto"/>
            <w:noWrap/>
            <w:vAlign w:val="center"/>
            <w:hideMark/>
          </w:tcPr>
          <w:p w:rsidRPr="00344479" w:rsidR="005A132E" w:rsidP="00FE4621" w:rsidRDefault="005A132E" w14:paraId="3644F13A"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-68,712</w:t>
            </w:r>
          </w:p>
        </w:tc>
        <w:tc>
          <w:tcPr>
            <w:tcW w:w="1200" w:type="dxa"/>
            <w:tcBorders>
              <w:top w:val="nil"/>
              <w:left w:val="nil"/>
              <w:bottom w:val="single" w:color="auto" w:sz="4" w:space="0"/>
              <w:right w:val="single" w:color="auto" w:sz="4" w:space="0"/>
            </w:tcBorders>
            <w:shd w:val="clear" w:color="auto" w:fill="auto"/>
            <w:noWrap/>
            <w:vAlign w:val="center"/>
            <w:hideMark/>
          </w:tcPr>
          <w:p w:rsidRPr="00344479" w:rsidR="005A132E" w:rsidP="00FE4621" w:rsidRDefault="005A132E" w14:paraId="0DE71690"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-$5,256,600</w:t>
            </w:r>
          </w:p>
        </w:tc>
      </w:tr>
      <w:tr w:rsidRPr="00344479" w:rsidR="005A132E" w:rsidTr="005A132E" w14:paraId="480D57E0" w14:textId="77777777">
        <w:trPr>
          <w:trHeight w:val="300"/>
        </w:trPr>
        <w:tc>
          <w:tcPr>
            <w:tcW w:w="1977" w:type="dxa"/>
            <w:tcBorders>
              <w:top w:val="nil"/>
              <w:left w:val="single" w:color="auto" w:sz="4" w:space="0"/>
              <w:bottom w:val="single" w:color="auto" w:sz="4" w:space="0"/>
              <w:right w:val="single" w:color="auto" w:sz="4" w:space="0"/>
            </w:tcBorders>
            <w:shd w:val="clear" w:color="auto" w:fill="auto"/>
            <w:vAlign w:val="center"/>
            <w:hideMark/>
          </w:tcPr>
          <w:p w:rsidRPr="00344479" w:rsidR="005A132E" w:rsidP="00FE4621" w:rsidRDefault="005A132E" w14:paraId="7FD0E5C8" w14:textId="77777777">
            <w:pPr>
              <w:spacing w:before="40" w:after="40"/>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8(a) SGD</w:t>
            </w:r>
          </w:p>
        </w:tc>
        <w:tc>
          <w:tcPr>
            <w:tcW w:w="2433" w:type="dxa"/>
            <w:gridSpan w:val="4"/>
            <w:tcBorders>
              <w:top w:val="single" w:color="auto" w:sz="4" w:space="0"/>
              <w:left w:val="single" w:color="auto" w:sz="4" w:space="0"/>
              <w:bottom w:val="single" w:color="auto" w:sz="4" w:space="0"/>
              <w:right w:val="double" w:color="000000" w:sz="6" w:space="0"/>
            </w:tcBorders>
            <w:shd w:val="clear" w:color="auto" w:fill="auto"/>
            <w:noWrap/>
            <w:vAlign w:val="center"/>
            <w:hideMark/>
          </w:tcPr>
          <w:p w:rsidRPr="00344479" w:rsidR="005A132E" w:rsidP="00FE4621" w:rsidRDefault="005A132E" w14:paraId="0C0C1794" w14:textId="77777777">
            <w:pPr>
              <w:spacing w:before="40" w:after="40"/>
              <w:jc w:val="center"/>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-439</w:t>
            </w:r>
          </w:p>
        </w:tc>
        <w:tc>
          <w:tcPr>
            <w:tcW w:w="1350" w:type="dxa"/>
            <w:tcBorders>
              <w:top w:val="nil"/>
              <w:left w:val="nil"/>
              <w:bottom w:val="single" w:color="auto" w:sz="4" w:space="0"/>
              <w:right w:val="single" w:color="auto" w:sz="4" w:space="0"/>
            </w:tcBorders>
            <w:shd w:val="clear" w:color="auto" w:fill="auto"/>
            <w:noWrap/>
            <w:vAlign w:val="center"/>
            <w:hideMark/>
          </w:tcPr>
          <w:p w:rsidRPr="00344479" w:rsidR="005A132E" w:rsidP="00FE4621" w:rsidRDefault="005A132E" w14:paraId="46F14E39"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-110</w:t>
            </w:r>
          </w:p>
        </w:tc>
        <w:tc>
          <w:tcPr>
            <w:tcW w:w="1460" w:type="dxa"/>
            <w:tcBorders>
              <w:top w:val="nil"/>
              <w:left w:val="nil"/>
              <w:bottom w:val="single" w:color="auto" w:sz="4" w:space="0"/>
              <w:right w:val="double" w:color="auto" w:sz="6" w:space="0"/>
            </w:tcBorders>
            <w:shd w:val="clear" w:color="auto" w:fill="auto"/>
            <w:noWrap/>
            <w:vAlign w:val="center"/>
            <w:hideMark/>
          </w:tcPr>
          <w:p w:rsidRPr="00344479" w:rsidR="005A132E" w:rsidP="00FE4621" w:rsidRDefault="005A132E" w14:paraId="3252C929"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-$8,378</w:t>
            </w:r>
          </w:p>
        </w:tc>
        <w:tc>
          <w:tcPr>
            <w:tcW w:w="1240" w:type="dxa"/>
            <w:tcBorders>
              <w:top w:val="nil"/>
              <w:left w:val="nil"/>
              <w:bottom w:val="single" w:color="auto" w:sz="4" w:space="0"/>
              <w:right w:val="single" w:color="auto" w:sz="4" w:space="0"/>
            </w:tcBorders>
            <w:shd w:val="clear" w:color="auto" w:fill="auto"/>
            <w:noWrap/>
            <w:vAlign w:val="center"/>
            <w:hideMark/>
          </w:tcPr>
          <w:p w:rsidRPr="00344479" w:rsidR="005A132E" w:rsidP="00FE4621" w:rsidRDefault="005A132E" w14:paraId="2CFBE550"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-330</w:t>
            </w:r>
          </w:p>
        </w:tc>
        <w:tc>
          <w:tcPr>
            <w:tcW w:w="1200" w:type="dxa"/>
            <w:tcBorders>
              <w:top w:val="nil"/>
              <w:left w:val="nil"/>
              <w:bottom w:val="single" w:color="auto" w:sz="4" w:space="0"/>
              <w:right w:val="single" w:color="auto" w:sz="4" w:space="0"/>
            </w:tcBorders>
            <w:shd w:val="clear" w:color="auto" w:fill="auto"/>
            <w:noWrap/>
            <w:vAlign w:val="center"/>
            <w:hideMark/>
          </w:tcPr>
          <w:p w:rsidRPr="00344479" w:rsidR="005A132E" w:rsidP="00FE4621" w:rsidRDefault="005A132E" w14:paraId="56990979" w14:textId="77777777">
            <w:pPr>
              <w:spacing w:before="40" w:after="40"/>
              <w:jc w:val="right"/>
              <w:rPr>
                <w:rFonts w:ascii="Arial Narrow" w:hAnsi="Arial Narrow" w:eastAsia="Times New Roman" w:cs="Calibri"/>
                <w:color w:val="000000"/>
                <w:sz w:val="18"/>
                <w:szCs w:val="18"/>
              </w:rPr>
            </w:pPr>
            <w:r w:rsidRPr="00344479">
              <w:rPr>
                <w:rFonts w:ascii="Arial Narrow" w:hAnsi="Arial Narrow" w:eastAsia="Times New Roman" w:cs="Calibri"/>
                <w:color w:val="000000"/>
                <w:sz w:val="18"/>
                <w:szCs w:val="18"/>
              </w:rPr>
              <w:t>-$25,134</w:t>
            </w:r>
          </w:p>
        </w:tc>
      </w:tr>
      <w:tr w:rsidRPr="00344479" w:rsidR="005A132E" w:rsidTr="005A132E" w14:paraId="3AE17E75" w14:textId="77777777">
        <w:trPr>
          <w:trHeight w:val="300"/>
        </w:trPr>
        <w:tc>
          <w:tcPr>
            <w:tcW w:w="1977" w:type="dxa"/>
            <w:tcBorders>
              <w:top w:val="nil"/>
              <w:left w:val="single" w:color="auto" w:sz="4" w:space="0"/>
              <w:bottom w:val="single" w:color="auto" w:sz="4" w:space="0"/>
              <w:right w:val="single" w:color="auto" w:sz="4" w:space="0"/>
            </w:tcBorders>
            <w:shd w:val="clear" w:color="000000" w:fill="D9D9D9"/>
            <w:vAlign w:val="center"/>
            <w:hideMark/>
          </w:tcPr>
          <w:p w:rsidRPr="00344479" w:rsidR="005A132E" w:rsidP="00FE4621" w:rsidRDefault="005A132E" w14:paraId="42F0FBF3" w14:textId="77777777">
            <w:pPr>
              <w:spacing w:before="40" w:after="40"/>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Reporter Burden, Total</w:t>
            </w:r>
          </w:p>
        </w:tc>
        <w:tc>
          <w:tcPr>
            <w:tcW w:w="2433" w:type="dxa"/>
            <w:gridSpan w:val="4"/>
            <w:tcBorders>
              <w:top w:val="single" w:color="auto" w:sz="4" w:space="0"/>
              <w:left w:val="nil"/>
              <w:bottom w:val="single" w:color="auto" w:sz="4" w:space="0"/>
              <w:right w:val="single" w:color="auto" w:sz="4" w:space="0"/>
            </w:tcBorders>
            <w:shd w:val="clear" w:color="000000" w:fill="D9D9D9"/>
            <w:noWrap/>
            <w:vAlign w:val="center"/>
            <w:hideMark/>
          </w:tcPr>
          <w:p w:rsidRPr="00344479" w:rsidR="005A132E" w:rsidP="00FE4621" w:rsidRDefault="005A132E" w14:paraId="31FE6F5F" w14:textId="77777777">
            <w:pPr>
              <w:spacing w:before="40" w:after="40"/>
              <w:jc w:val="center"/>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-92,056</w:t>
            </w:r>
          </w:p>
        </w:tc>
        <w:tc>
          <w:tcPr>
            <w:tcW w:w="1350" w:type="dxa"/>
            <w:tcBorders>
              <w:top w:val="nil"/>
              <w:left w:val="double" w:color="auto" w:sz="6" w:space="0"/>
              <w:bottom w:val="single" w:color="auto" w:sz="4" w:space="0"/>
              <w:right w:val="single" w:color="auto" w:sz="4" w:space="0"/>
            </w:tcBorders>
            <w:shd w:val="clear" w:color="000000" w:fill="D9D9D9"/>
            <w:noWrap/>
            <w:vAlign w:val="center"/>
            <w:hideMark/>
          </w:tcPr>
          <w:p w:rsidRPr="00344479" w:rsidR="005A132E" w:rsidP="00FE4621" w:rsidRDefault="005A132E" w14:paraId="09035E0A" w14:textId="77777777">
            <w:pPr>
              <w:spacing w:before="40" w:after="40"/>
              <w:jc w:val="right"/>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-23,014</w:t>
            </w:r>
          </w:p>
        </w:tc>
        <w:tc>
          <w:tcPr>
            <w:tcW w:w="1460" w:type="dxa"/>
            <w:tcBorders>
              <w:top w:val="nil"/>
              <w:left w:val="nil"/>
              <w:bottom w:val="single" w:color="auto" w:sz="4" w:space="0"/>
              <w:right w:val="double" w:color="auto" w:sz="6" w:space="0"/>
            </w:tcBorders>
            <w:shd w:val="clear" w:color="000000" w:fill="D9D9D9"/>
            <w:vAlign w:val="center"/>
            <w:hideMark/>
          </w:tcPr>
          <w:p w:rsidRPr="00344479" w:rsidR="005A132E" w:rsidP="00FE4621" w:rsidRDefault="005A132E" w14:paraId="613B66E5" w14:textId="77777777">
            <w:pPr>
              <w:spacing w:before="40" w:after="40"/>
              <w:jc w:val="right"/>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-$1,760,578</w:t>
            </w:r>
          </w:p>
        </w:tc>
        <w:tc>
          <w:tcPr>
            <w:tcW w:w="1240" w:type="dxa"/>
            <w:tcBorders>
              <w:top w:val="nil"/>
              <w:left w:val="nil"/>
              <w:bottom w:val="single" w:color="auto" w:sz="4" w:space="0"/>
              <w:right w:val="single" w:color="auto" w:sz="4" w:space="0"/>
            </w:tcBorders>
            <w:shd w:val="clear" w:color="000000" w:fill="D9D9D9"/>
            <w:noWrap/>
            <w:vAlign w:val="center"/>
            <w:hideMark/>
          </w:tcPr>
          <w:p w:rsidRPr="00344479" w:rsidR="005A132E" w:rsidP="00FE4621" w:rsidRDefault="005A132E" w14:paraId="3EE7410C" w14:textId="77777777">
            <w:pPr>
              <w:spacing w:before="40" w:after="40"/>
              <w:jc w:val="right"/>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-69,042</w:t>
            </w:r>
          </w:p>
        </w:tc>
        <w:tc>
          <w:tcPr>
            <w:tcW w:w="1200" w:type="dxa"/>
            <w:tcBorders>
              <w:top w:val="nil"/>
              <w:left w:val="nil"/>
              <w:bottom w:val="single" w:color="auto" w:sz="4" w:space="0"/>
              <w:right w:val="single" w:color="auto" w:sz="4" w:space="0"/>
            </w:tcBorders>
            <w:shd w:val="clear" w:color="000000" w:fill="D9D9D9"/>
            <w:noWrap/>
            <w:vAlign w:val="center"/>
            <w:hideMark/>
          </w:tcPr>
          <w:p w:rsidRPr="00344479" w:rsidR="005A132E" w:rsidP="00FE4621" w:rsidRDefault="005A132E" w14:paraId="48B74BBD" w14:textId="77777777">
            <w:pPr>
              <w:spacing w:before="40" w:after="40"/>
              <w:jc w:val="right"/>
              <w:rPr>
                <w:rFonts w:ascii="Arial Narrow" w:hAnsi="Arial Narrow" w:eastAsia="Times New Roman" w:cs="Calibri"/>
                <w:b/>
                <w:bCs/>
                <w:color w:val="000000"/>
                <w:sz w:val="18"/>
                <w:szCs w:val="18"/>
              </w:rPr>
            </w:pPr>
            <w:r w:rsidRPr="00344479">
              <w:rPr>
                <w:rFonts w:ascii="Arial Narrow" w:hAnsi="Arial Narrow" w:eastAsia="Times New Roman" w:cs="Calibri"/>
                <w:b/>
                <w:bCs/>
                <w:color w:val="000000"/>
                <w:sz w:val="18"/>
                <w:szCs w:val="18"/>
              </w:rPr>
              <w:t>-$5,281,734</w:t>
            </w:r>
          </w:p>
        </w:tc>
      </w:tr>
      <w:bookmarkEnd w:id="54"/>
    </w:tbl>
    <w:p w:rsidR="00F62DC3" w:rsidP="00C7037B" w:rsidRDefault="00F62DC3" w14:paraId="004BA348" w14:textId="7652F18F">
      <w:pPr>
        <w:pStyle w:val="BodyText"/>
      </w:pPr>
    </w:p>
    <w:p w:rsidR="009563A2" w:rsidP="00176A48" w:rsidRDefault="009563A2" w14:paraId="77A4B710" w14:textId="1E2DD84A">
      <w:pPr>
        <w:pStyle w:val="Heading2"/>
        <w:tabs>
          <w:tab w:val="left" w:pos="1080"/>
        </w:tabs>
        <w:ind w:left="360"/>
      </w:pPr>
      <w:bookmarkStart w:name="_Toc42177039" w:id="55"/>
      <w:bookmarkEnd w:id="50"/>
      <w:r>
        <w:t>6(b)</w:t>
      </w:r>
      <w:r w:rsidRPr="00176A48" w:rsidR="00176A48">
        <w:t xml:space="preserve"> </w:t>
      </w:r>
      <w:r w:rsidRPr="00176A48" w:rsidR="00176A48">
        <w:tab/>
      </w:r>
      <w:r>
        <w:t>Changes in the Estimates</w:t>
      </w:r>
      <w:bookmarkEnd w:id="55"/>
    </w:p>
    <w:p w:rsidR="009563A2" w:rsidP="009563A2" w:rsidRDefault="00F62DC3" w14:paraId="07F41D10" w14:textId="2B42EF3E">
      <w:pPr>
        <w:pStyle w:val="BodyText"/>
        <w:spacing w:after="200"/>
      </w:pPr>
      <w:r>
        <w:rPr>
          <w:rFonts w:eastAsia="Times New Roman" w:cs="Arial"/>
          <w:szCs w:val="24"/>
        </w:rPr>
        <w:t xml:space="preserve">There is an overall annual decrease of </w:t>
      </w:r>
      <w:r>
        <w:t>23,014</w:t>
      </w:r>
      <w:r w:rsidRPr="000E5DBC">
        <w:t xml:space="preserve"> hours </w:t>
      </w:r>
      <w:r>
        <w:t xml:space="preserve">in the total respondent burden that is currently approved by OMB for this ICR. This decrease reflects updates to the definition of small manufacturers and a new definition for small governments. </w:t>
      </w:r>
      <w:r w:rsidRPr="000E5DBC" w:rsidR="009563A2">
        <w:t xml:space="preserve">EPA estimates that reporters will experience </w:t>
      </w:r>
      <w:r w:rsidR="009563A2">
        <w:t xml:space="preserve">a </w:t>
      </w:r>
      <w:r w:rsidRPr="000E5DBC" w:rsidR="009563A2">
        <w:t xml:space="preserve">net </w:t>
      </w:r>
      <w:r w:rsidR="009563A2">
        <w:t>decrease</w:t>
      </w:r>
      <w:r w:rsidRPr="000E5DBC" w:rsidR="009563A2">
        <w:t xml:space="preserve"> in reporting burden due to the </w:t>
      </w:r>
      <w:r w:rsidR="009563A2">
        <w:t>final</w:t>
      </w:r>
      <w:r w:rsidRPr="000E5DBC" w:rsidR="009563A2">
        <w:t xml:space="preserve"> rule. </w:t>
      </w:r>
      <w:r w:rsidRPr="00745BD5" w:rsidR="009563A2">
        <w:fldChar w:fldCharType="begin"/>
      </w:r>
      <w:r w:rsidRPr="00745BD5" w:rsidR="009563A2">
        <w:instrText xml:space="preserve"> REF _Ref28855524 \h  \* MERGEFORMAT </w:instrText>
      </w:r>
      <w:r w:rsidRPr="00745BD5" w:rsidR="009563A2">
        <w:fldChar w:fldCharType="separate"/>
      </w:r>
      <w:r w:rsidRPr="00590B23" w:rsidR="009563A2">
        <w:t xml:space="preserve">Table </w:t>
      </w:r>
      <w:r w:rsidRPr="00590B23" w:rsidR="009563A2">
        <w:rPr>
          <w:noProof/>
        </w:rPr>
        <w:t>6</w:t>
      </w:r>
      <w:r w:rsidRPr="00590B23" w:rsidR="009563A2">
        <w:rPr>
          <w:noProof/>
        </w:rPr>
        <w:noBreakHyphen/>
      </w:r>
      <w:r w:rsidR="005A132E">
        <w:rPr>
          <w:noProof/>
        </w:rPr>
        <w:t>2</w:t>
      </w:r>
      <w:r w:rsidRPr="00745BD5" w:rsidR="009563A2">
        <w:fldChar w:fldCharType="end"/>
      </w:r>
      <w:r w:rsidR="009563A2">
        <w:t xml:space="preserve"> details the reasons for change in annual burden.</w:t>
      </w:r>
    </w:p>
    <w:tbl>
      <w:tblPr>
        <w:tblW w:w="10018" w:type="dxa"/>
        <w:tblLook w:val="04A0" w:firstRow="1" w:lastRow="0" w:firstColumn="1" w:lastColumn="0" w:noHBand="0" w:noVBand="1"/>
      </w:tblPr>
      <w:tblGrid>
        <w:gridCol w:w="1472"/>
        <w:gridCol w:w="778"/>
        <w:gridCol w:w="1080"/>
        <w:gridCol w:w="810"/>
        <w:gridCol w:w="1080"/>
        <w:gridCol w:w="990"/>
        <w:gridCol w:w="810"/>
        <w:gridCol w:w="1080"/>
        <w:gridCol w:w="958"/>
        <w:gridCol w:w="960"/>
      </w:tblGrid>
      <w:tr w:rsidRPr="00380D74" w:rsidR="009E6C42" w:rsidTr="001D65BA" w14:paraId="2138C470" w14:textId="77777777">
        <w:trPr>
          <w:trHeight w:val="315"/>
        </w:trPr>
        <w:tc>
          <w:tcPr>
            <w:tcW w:w="10018" w:type="dxa"/>
            <w:gridSpan w:val="10"/>
            <w:tcBorders>
              <w:top w:val="nil"/>
              <w:left w:val="nil"/>
              <w:bottom w:val="nil"/>
              <w:right w:val="nil"/>
            </w:tcBorders>
            <w:shd w:val="clear" w:color="auto" w:fill="auto"/>
            <w:noWrap/>
            <w:vAlign w:val="bottom"/>
            <w:hideMark/>
          </w:tcPr>
          <w:p w:rsidRPr="00380D74" w:rsidR="009E6C42" w:rsidP="00FE4621" w:rsidRDefault="00F62DC3" w14:paraId="149E8A9F" w14:textId="6E985B4A">
            <w:pPr>
              <w:spacing w:before="40" w:after="40"/>
              <w:rPr>
                <w:rFonts w:ascii="Times New Roman" w:hAnsi="Times New Roman" w:eastAsia="Times New Roman" w:cs="Times New Roman"/>
                <w:sz w:val="20"/>
                <w:szCs w:val="20"/>
              </w:rPr>
            </w:pPr>
            <w:r w:rsidRPr="001964BE">
              <w:t xml:space="preserve"> </w:t>
            </w:r>
            <w:bookmarkStart w:name="_Ref28855524" w:id="56"/>
            <w:r w:rsidRPr="00380D74" w:rsidR="009E6C42">
              <w:rPr>
                <w:b/>
              </w:rPr>
              <w:t xml:space="preserve">Table </w:t>
            </w:r>
            <w:r w:rsidR="009E6C42">
              <w:rPr>
                <w:b/>
              </w:rPr>
              <w:fldChar w:fldCharType="begin"/>
            </w:r>
            <w:r w:rsidR="009E6C42">
              <w:rPr>
                <w:b/>
              </w:rPr>
              <w:instrText xml:space="preserve"> STYLEREF 1 \s </w:instrText>
            </w:r>
            <w:r w:rsidR="009E6C42">
              <w:rPr>
                <w:b/>
              </w:rPr>
              <w:fldChar w:fldCharType="separate"/>
            </w:r>
            <w:r w:rsidR="009E6C42">
              <w:rPr>
                <w:b/>
                <w:noProof/>
              </w:rPr>
              <w:t>6</w:t>
            </w:r>
            <w:r w:rsidR="009E6C42">
              <w:rPr>
                <w:b/>
              </w:rPr>
              <w:fldChar w:fldCharType="end"/>
            </w:r>
            <w:r w:rsidR="009E6C42">
              <w:rPr>
                <w:b/>
              </w:rPr>
              <w:noBreakHyphen/>
            </w:r>
            <w:r w:rsidR="005A132E">
              <w:rPr>
                <w:b/>
              </w:rPr>
              <w:t>2</w:t>
            </w:r>
            <w:bookmarkEnd w:id="56"/>
            <w:r w:rsidRPr="00380D74" w:rsidR="009E6C42">
              <w:rPr>
                <w:rFonts w:eastAsia="Times New Roman" w:cs="Arial"/>
                <w:b/>
                <w:bCs/>
                <w:color w:val="000000"/>
                <w:szCs w:val="24"/>
              </w:rPr>
              <w:t>: Reasons for Change in Burden</w:t>
            </w:r>
          </w:p>
        </w:tc>
      </w:tr>
      <w:tr w:rsidRPr="00380D74" w:rsidR="009E6C42" w:rsidTr="00EC0BDA" w14:paraId="6FDF6771" w14:textId="77777777">
        <w:trPr>
          <w:trHeight w:val="300"/>
        </w:trPr>
        <w:tc>
          <w:tcPr>
            <w:tcW w:w="1472" w:type="dxa"/>
            <w:vMerge w:val="restart"/>
            <w:tcBorders>
              <w:top w:val="single" w:color="auto" w:sz="4" w:space="0"/>
              <w:left w:val="single" w:color="auto" w:sz="4" w:space="0"/>
              <w:bottom w:val="single" w:color="auto" w:sz="4" w:space="0"/>
              <w:right w:val="single" w:color="auto" w:sz="4" w:space="0"/>
            </w:tcBorders>
            <w:shd w:val="clear" w:color="000000" w:fill="BFBFBF"/>
            <w:vAlign w:val="bottom"/>
            <w:hideMark/>
          </w:tcPr>
          <w:p w:rsidRPr="00380D74" w:rsidR="009E6C42" w:rsidP="00380D74" w:rsidRDefault="009E6C42" w14:paraId="19D4CBE4" w14:textId="77777777">
            <w:pPr>
              <w:rPr>
                <w:rFonts w:ascii="Times New Roman" w:hAnsi="Times New Roman" w:eastAsia="Times New Roman" w:cs="Times New Roman"/>
                <w:color w:val="000000"/>
                <w:szCs w:val="24"/>
              </w:rPr>
            </w:pPr>
            <w:r w:rsidRPr="00380D74">
              <w:rPr>
                <w:rFonts w:ascii="Times New Roman" w:hAnsi="Times New Roman" w:eastAsia="Times New Roman" w:cs="Times New Roman"/>
                <w:color w:val="000000"/>
                <w:szCs w:val="24"/>
              </w:rPr>
              <w:t> </w:t>
            </w:r>
          </w:p>
        </w:tc>
        <w:tc>
          <w:tcPr>
            <w:tcW w:w="7586" w:type="dxa"/>
            <w:gridSpan w:val="8"/>
            <w:tcBorders>
              <w:top w:val="single" w:color="auto" w:sz="4" w:space="0"/>
              <w:left w:val="single" w:color="auto" w:sz="4" w:space="0"/>
              <w:bottom w:val="single" w:color="auto" w:sz="4" w:space="0"/>
              <w:right w:val="single" w:color="000000" w:sz="4" w:space="0"/>
            </w:tcBorders>
            <w:shd w:val="clear" w:color="000000" w:fill="BFBFBF"/>
            <w:vAlign w:val="center"/>
            <w:hideMark/>
          </w:tcPr>
          <w:p w:rsidRPr="00380D74" w:rsidR="009E6C42" w:rsidP="00FE4621" w:rsidRDefault="009E6C42" w14:paraId="139E9D15"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Changes</w:t>
            </w:r>
          </w:p>
        </w:tc>
        <w:tc>
          <w:tcPr>
            <w:tcW w:w="960" w:type="dxa"/>
            <w:vMerge w:val="restart"/>
            <w:tcBorders>
              <w:top w:val="single" w:color="auto" w:sz="4" w:space="0"/>
              <w:left w:val="nil"/>
              <w:right w:val="single" w:color="auto" w:sz="4" w:space="0"/>
            </w:tcBorders>
            <w:shd w:val="clear" w:color="000000" w:fill="BFBFBF"/>
            <w:vAlign w:val="center"/>
            <w:hideMark/>
          </w:tcPr>
          <w:p w:rsidRPr="00380D74" w:rsidR="009E6C42" w:rsidP="00380D74" w:rsidRDefault="009E6C42" w14:paraId="123C8FC7"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 </w:t>
            </w:r>
          </w:p>
          <w:p w:rsidRPr="00380D74" w:rsidR="009E6C42" w:rsidP="00380D74" w:rsidRDefault="009E6C42" w14:paraId="46FCEB65" w14:textId="38647A58">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sz w:val="18"/>
                <w:szCs w:val="18"/>
              </w:rPr>
              <w:t>Overall</w:t>
            </w:r>
            <w:r w:rsidRPr="00380D74">
              <w:rPr>
                <w:rFonts w:ascii="Arial Narrow" w:hAnsi="Arial Narrow" w:eastAsia="Times New Roman" w:cs="Calibri"/>
                <w:b/>
                <w:bCs/>
                <w:sz w:val="18"/>
                <w:szCs w:val="18"/>
                <w:vertAlign w:val="superscript"/>
              </w:rPr>
              <w:t>1</w:t>
            </w:r>
          </w:p>
        </w:tc>
      </w:tr>
      <w:tr w:rsidRPr="00380D74" w:rsidR="009E6C42" w:rsidTr="00EC0BDA" w14:paraId="26154DAD" w14:textId="77777777">
        <w:trPr>
          <w:trHeight w:val="1140"/>
        </w:trPr>
        <w:tc>
          <w:tcPr>
            <w:tcW w:w="1472" w:type="dxa"/>
            <w:vMerge/>
            <w:tcBorders>
              <w:top w:val="single" w:color="auto" w:sz="4" w:space="0"/>
              <w:left w:val="single" w:color="auto" w:sz="4" w:space="0"/>
              <w:bottom w:val="single" w:color="auto" w:sz="4" w:space="0"/>
              <w:right w:val="single" w:color="auto" w:sz="4" w:space="0"/>
            </w:tcBorders>
            <w:vAlign w:val="center"/>
            <w:hideMark/>
          </w:tcPr>
          <w:p w:rsidRPr="00380D74" w:rsidR="009E6C42" w:rsidP="00380D74" w:rsidRDefault="009E6C42" w14:paraId="68904D83" w14:textId="77777777">
            <w:pPr>
              <w:rPr>
                <w:rFonts w:ascii="Times New Roman" w:hAnsi="Times New Roman" w:eastAsia="Times New Roman" w:cs="Times New Roman"/>
                <w:color w:val="000000"/>
                <w:szCs w:val="24"/>
              </w:rPr>
            </w:pPr>
          </w:p>
        </w:tc>
        <w:tc>
          <w:tcPr>
            <w:tcW w:w="1858" w:type="dxa"/>
            <w:gridSpan w:val="2"/>
            <w:tcBorders>
              <w:top w:val="single" w:color="auto" w:sz="4" w:space="0"/>
              <w:left w:val="single" w:color="auto" w:sz="4" w:space="0"/>
              <w:bottom w:val="single" w:color="auto" w:sz="4" w:space="0"/>
              <w:right w:val="single" w:color="000000" w:sz="4" w:space="0"/>
            </w:tcBorders>
            <w:shd w:val="clear" w:color="000000" w:fill="BFBFBF"/>
            <w:vAlign w:val="center"/>
            <w:hideMark/>
          </w:tcPr>
          <w:p w:rsidRPr="00380D74" w:rsidR="009E6C42" w:rsidP="00FE4621" w:rsidRDefault="009E6C42" w14:paraId="02FA9759"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Section 8(a) SGD Changes to Numbers of Reporters/Chemical Reports - Government</w:t>
            </w:r>
          </w:p>
        </w:tc>
        <w:tc>
          <w:tcPr>
            <w:tcW w:w="1890" w:type="dxa"/>
            <w:gridSpan w:val="2"/>
            <w:tcBorders>
              <w:top w:val="single" w:color="auto" w:sz="4" w:space="0"/>
              <w:left w:val="single" w:color="auto" w:sz="4" w:space="0"/>
              <w:bottom w:val="single" w:color="auto" w:sz="4" w:space="0"/>
              <w:right w:val="single" w:color="000000" w:sz="4" w:space="0"/>
            </w:tcBorders>
            <w:shd w:val="clear" w:color="000000" w:fill="BFBFBF"/>
            <w:vAlign w:val="center"/>
            <w:hideMark/>
          </w:tcPr>
          <w:p w:rsidRPr="00380D74" w:rsidR="009E6C42" w:rsidP="00FE4621" w:rsidRDefault="009E6C42" w14:paraId="628CF55D"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 xml:space="preserve">Section 8(a) SMD Changes to Numbers of Reporters/Chemical Reports - Industry </w:t>
            </w:r>
          </w:p>
        </w:tc>
        <w:tc>
          <w:tcPr>
            <w:tcW w:w="1800" w:type="dxa"/>
            <w:gridSpan w:val="2"/>
            <w:tcBorders>
              <w:top w:val="single" w:color="auto" w:sz="4" w:space="0"/>
              <w:left w:val="single" w:color="auto" w:sz="4" w:space="0"/>
              <w:bottom w:val="single" w:color="auto" w:sz="4" w:space="0"/>
              <w:right w:val="single" w:color="000000" w:sz="4" w:space="0"/>
            </w:tcBorders>
            <w:shd w:val="clear" w:color="000000" w:fill="BFBFBF"/>
            <w:vAlign w:val="center"/>
            <w:hideMark/>
          </w:tcPr>
          <w:p w:rsidRPr="00380D74" w:rsidR="009E6C42" w:rsidP="00FE4621" w:rsidRDefault="009E6C42" w14:paraId="54ADEE4B"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Section 8(a) SGD Government New Reporting Activities</w:t>
            </w:r>
          </w:p>
        </w:tc>
        <w:tc>
          <w:tcPr>
            <w:tcW w:w="2038" w:type="dxa"/>
            <w:gridSpan w:val="2"/>
            <w:tcBorders>
              <w:top w:val="single" w:color="auto" w:sz="4" w:space="0"/>
              <w:left w:val="single" w:color="auto" w:sz="4" w:space="0"/>
              <w:bottom w:val="single" w:color="auto" w:sz="4" w:space="0"/>
              <w:right w:val="single" w:color="000000" w:sz="4" w:space="0"/>
            </w:tcBorders>
            <w:shd w:val="clear" w:color="000000" w:fill="BFBFBF"/>
            <w:vAlign w:val="center"/>
            <w:hideMark/>
          </w:tcPr>
          <w:p w:rsidRPr="00380D74" w:rsidR="009E6C42" w:rsidP="00380D74" w:rsidRDefault="009E6C42" w14:paraId="2F9B873E"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Section 8(a) SMD Industry New Reporting Activities</w:t>
            </w:r>
          </w:p>
        </w:tc>
        <w:tc>
          <w:tcPr>
            <w:tcW w:w="960" w:type="dxa"/>
            <w:vMerge/>
            <w:tcBorders>
              <w:left w:val="nil"/>
              <w:bottom w:val="single" w:color="auto" w:sz="4" w:space="0"/>
              <w:right w:val="single" w:color="auto" w:sz="4" w:space="0"/>
            </w:tcBorders>
            <w:shd w:val="clear" w:color="000000" w:fill="BFBFBF"/>
            <w:vAlign w:val="center"/>
            <w:hideMark/>
          </w:tcPr>
          <w:p w:rsidRPr="00380D74" w:rsidR="009E6C42" w:rsidP="00380D74" w:rsidRDefault="009E6C42" w14:paraId="7CA020C0" w14:textId="0013CA17">
            <w:pPr>
              <w:jc w:val="center"/>
              <w:rPr>
                <w:rFonts w:ascii="Arial Narrow" w:hAnsi="Arial Narrow" w:eastAsia="Times New Roman" w:cs="Calibri"/>
                <w:b/>
                <w:bCs/>
                <w:sz w:val="18"/>
                <w:szCs w:val="18"/>
              </w:rPr>
            </w:pPr>
          </w:p>
        </w:tc>
      </w:tr>
      <w:tr w:rsidRPr="00380D74" w:rsidR="009E6C42" w:rsidTr="00EC0BDA" w14:paraId="08758892" w14:textId="77777777">
        <w:trPr>
          <w:trHeight w:val="315"/>
        </w:trPr>
        <w:tc>
          <w:tcPr>
            <w:tcW w:w="1472" w:type="dxa"/>
            <w:vMerge/>
            <w:tcBorders>
              <w:top w:val="single" w:color="auto" w:sz="4" w:space="0"/>
              <w:left w:val="single" w:color="auto" w:sz="4" w:space="0"/>
              <w:bottom w:val="single" w:color="auto" w:sz="4" w:space="0"/>
              <w:right w:val="single" w:color="auto" w:sz="4" w:space="0"/>
            </w:tcBorders>
            <w:vAlign w:val="center"/>
            <w:hideMark/>
          </w:tcPr>
          <w:p w:rsidRPr="00380D74" w:rsidR="00380D74" w:rsidP="00380D74" w:rsidRDefault="00380D74" w14:paraId="1A51BD4B" w14:textId="77777777">
            <w:pPr>
              <w:rPr>
                <w:rFonts w:ascii="Times New Roman" w:hAnsi="Times New Roman" w:eastAsia="Times New Roman" w:cs="Times New Roman"/>
                <w:color w:val="000000"/>
                <w:szCs w:val="24"/>
              </w:rPr>
            </w:pPr>
          </w:p>
        </w:tc>
        <w:tc>
          <w:tcPr>
            <w:tcW w:w="778" w:type="dxa"/>
            <w:tcBorders>
              <w:top w:val="nil"/>
              <w:left w:val="nil"/>
              <w:bottom w:val="single" w:color="auto" w:sz="4" w:space="0"/>
              <w:right w:val="single" w:color="auto" w:sz="4" w:space="0"/>
            </w:tcBorders>
            <w:shd w:val="clear" w:color="000000" w:fill="BFBFBF"/>
            <w:noWrap/>
            <w:vAlign w:val="center"/>
            <w:hideMark/>
          </w:tcPr>
          <w:p w:rsidRPr="00380D74" w:rsidR="00380D74" w:rsidP="00FE4621" w:rsidRDefault="00380D74" w14:paraId="4CD798BF"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Unit</w:t>
            </w:r>
          </w:p>
        </w:tc>
        <w:tc>
          <w:tcPr>
            <w:tcW w:w="1080" w:type="dxa"/>
            <w:tcBorders>
              <w:top w:val="nil"/>
              <w:left w:val="nil"/>
              <w:bottom w:val="single" w:color="auto" w:sz="4" w:space="0"/>
              <w:right w:val="single" w:color="auto" w:sz="4" w:space="0"/>
            </w:tcBorders>
            <w:shd w:val="clear" w:color="000000" w:fill="BFBFBF"/>
            <w:noWrap/>
            <w:vAlign w:val="center"/>
            <w:hideMark/>
          </w:tcPr>
          <w:p w:rsidRPr="00380D74" w:rsidR="00380D74" w:rsidP="00FE4621" w:rsidRDefault="00380D74" w14:paraId="060BC190"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Total</w:t>
            </w:r>
          </w:p>
        </w:tc>
        <w:tc>
          <w:tcPr>
            <w:tcW w:w="810" w:type="dxa"/>
            <w:tcBorders>
              <w:top w:val="nil"/>
              <w:left w:val="nil"/>
              <w:bottom w:val="single" w:color="auto" w:sz="4" w:space="0"/>
              <w:right w:val="single" w:color="auto" w:sz="4" w:space="0"/>
            </w:tcBorders>
            <w:shd w:val="clear" w:color="000000" w:fill="BFBFBF"/>
            <w:noWrap/>
            <w:vAlign w:val="center"/>
            <w:hideMark/>
          </w:tcPr>
          <w:p w:rsidRPr="00380D74" w:rsidR="00380D74" w:rsidP="00FE4621" w:rsidRDefault="00380D74" w14:paraId="0C0D738D"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Unit</w:t>
            </w:r>
          </w:p>
        </w:tc>
        <w:tc>
          <w:tcPr>
            <w:tcW w:w="1080" w:type="dxa"/>
            <w:tcBorders>
              <w:top w:val="nil"/>
              <w:left w:val="nil"/>
              <w:bottom w:val="single" w:color="auto" w:sz="4" w:space="0"/>
              <w:right w:val="single" w:color="auto" w:sz="4" w:space="0"/>
            </w:tcBorders>
            <w:shd w:val="clear" w:color="000000" w:fill="BFBFBF"/>
            <w:noWrap/>
            <w:vAlign w:val="center"/>
            <w:hideMark/>
          </w:tcPr>
          <w:p w:rsidRPr="00380D74" w:rsidR="00380D74" w:rsidP="00FE4621" w:rsidRDefault="00380D74" w14:paraId="7B16B193"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Total</w:t>
            </w:r>
          </w:p>
        </w:tc>
        <w:tc>
          <w:tcPr>
            <w:tcW w:w="990" w:type="dxa"/>
            <w:tcBorders>
              <w:top w:val="nil"/>
              <w:left w:val="nil"/>
              <w:bottom w:val="single" w:color="auto" w:sz="4" w:space="0"/>
              <w:right w:val="single" w:color="auto" w:sz="4" w:space="0"/>
            </w:tcBorders>
            <w:shd w:val="clear" w:color="000000" w:fill="BFBFBF"/>
            <w:noWrap/>
            <w:vAlign w:val="center"/>
            <w:hideMark/>
          </w:tcPr>
          <w:p w:rsidRPr="00380D74" w:rsidR="00380D74" w:rsidP="00FE4621" w:rsidRDefault="00380D74" w14:paraId="30A74DF0" w14:textId="77777777">
            <w:pPr>
              <w:spacing w:before="40" w:after="40"/>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Unit</w:t>
            </w:r>
            <w:r w:rsidRPr="00380D74">
              <w:rPr>
                <w:rFonts w:ascii="Arial Narrow" w:hAnsi="Arial Narrow" w:eastAsia="Times New Roman" w:cs="Calibri"/>
                <w:b/>
                <w:bCs/>
                <w:color w:val="000000"/>
                <w:sz w:val="18"/>
                <w:szCs w:val="18"/>
                <w:vertAlign w:val="superscript"/>
              </w:rPr>
              <w:t>2</w:t>
            </w:r>
          </w:p>
        </w:tc>
        <w:tc>
          <w:tcPr>
            <w:tcW w:w="810" w:type="dxa"/>
            <w:tcBorders>
              <w:top w:val="nil"/>
              <w:left w:val="nil"/>
              <w:bottom w:val="single" w:color="auto" w:sz="4" w:space="0"/>
              <w:right w:val="single" w:color="auto" w:sz="4" w:space="0"/>
            </w:tcBorders>
            <w:shd w:val="clear" w:color="000000" w:fill="BFBFBF"/>
            <w:noWrap/>
            <w:vAlign w:val="center"/>
            <w:hideMark/>
          </w:tcPr>
          <w:p w:rsidRPr="00380D74" w:rsidR="00380D74" w:rsidP="00380D74" w:rsidRDefault="00380D74" w14:paraId="1D65BBA5"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Total</w:t>
            </w:r>
          </w:p>
        </w:tc>
        <w:tc>
          <w:tcPr>
            <w:tcW w:w="1080" w:type="dxa"/>
            <w:tcBorders>
              <w:top w:val="nil"/>
              <w:left w:val="nil"/>
              <w:bottom w:val="single" w:color="auto" w:sz="4" w:space="0"/>
              <w:right w:val="single" w:color="auto" w:sz="4" w:space="0"/>
            </w:tcBorders>
            <w:shd w:val="clear" w:color="000000" w:fill="BFBFBF"/>
            <w:noWrap/>
            <w:vAlign w:val="center"/>
            <w:hideMark/>
          </w:tcPr>
          <w:p w:rsidRPr="00380D74" w:rsidR="00380D74" w:rsidP="00380D74" w:rsidRDefault="00380D74" w14:paraId="62DC590B"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Unit</w:t>
            </w:r>
            <w:r w:rsidRPr="00380D74">
              <w:rPr>
                <w:rFonts w:ascii="Arial Narrow" w:hAnsi="Arial Narrow" w:eastAsia="Times New Roman" w:cs="Calibri"/>
                <w:b/>
                <w:bCs/>
                <w:color w:val="000000"/>
                <w:sz w:val="18"/>
                <w:szCs w:val="18"/>
                <w:vertAlign w:val="superscript"/>
              </w:rPr>
              <w:t>2</w:t>
            </w:r>
          </w:p>
        </w:tc>
        <w:tc>
          <w:tcPr>
            <w:tcW w:w="958" w:type="dxa"/>
            <w:tcBorders>
              <w:top w:val="nil"/>
              <w:left w:val="nil"/>
              <w:bottom w:val="single" w:color="auto" w:sz="4" w:space="0"/>
              <w:right w:val="single" w:color="auto" w:sz="4" w:space="0"/>
            </w:tcBorders>
            <w:shd w:val="clear" w:color="000000" w:fill="BFBFBF"/>
            <w:noWrap/>
            <w:vAlign w:val="center"/>
            <w:hideMark/>
          </w:tcPr>
          <w:p w:rsidRPr="00380D74" w:rsidR="00380D74" w:rsidP="00380D74" w:rsidRDefault="00380D74" w14:paraId="3A50EC5D"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Total</w:t>
            </w:r>
          </w:p>
        </w:tc>
        <w:tc>
          <w:tcPr>
            <w:tcW w:w="960" w:type="dxa"/>
            <w:tcBorders>
              <w:top w:val="single" w:color="auto" w:sz="4" w:space="0"/>
              <w:left w:val="nil"/>
              <w:bottom w:val="single" w:color="auto" w:sz="4" w:space="0"/>
              <w:right w:val="single" w:color="auto" w:sz="4" w:space="0"/>
            </w:tcBorders>
            <w:shd w:val="clear" w:color="000000" w:fill="BFBFBF"/>
            <w:noWrap/>
            <w:vAlign w:val="center"/>
            <w:hideMark/>
          </w:tcPr>
          <w:p w:rsidRPr="00380D74" w:rsidR="00380D74" w:rsidP="00380D74" w:rsidRDefault="00380D74" w14:paraId="4D887ECE" w14:textId="77777777">
            <w:pPr>
              <w:jc w:val="center"/>
              <w:rPr>
                <w:rFonts w:ascii="Arial Narrow" w:hAnsi="Arial Narrow" w:eastAsia="Times New Roman" w:cs="Calibri"/>
                <w:b/>
                <w:bCs/>
                <w:color w:val="000000"/>
                <w:sz w:val="18"/>
                <w:szCs w:val="18"/>
              </w:rPr>
            </w:pPr>
            <w:r w:rsidRPr="00380D74">
              <w:rPr>
                <w:rFonts w:ascii="Arial Narrow" w:hAnsi="Arial Narrow" w:eastAsia="Times New Roman" w:cs="Calibri"/>
                <w:b/>
                <w:bCs/>
                <w:color w:val="000000"/>
                <w:sz w:val="18"/>
                <w:szCs w:val="18"/>
              </w:rPr>
              <w:t> </w:t>
            </w:r>
          </w:p>
        </w:tc>
      </w:tr>
      <w:tr w:rsidRPr="00380D74" w:rsidR="009E6C42" w:rsidTr="00EC0BDA" w14:paraId="7D80D6F9" w14:textId="77777777">
        <w:trPr>
          <w:trHeight w:val="600"/>
        </w:trPr>
        <w:tc>
          <w:tcPr>
            <w:tcW w:w="1472" w:type="dxa"/>
            <w:tcBorders>
              <w:top w:val="nil"/>
              <w:left w:val="single" w:color="auto" w:sz="4" w:space="0"/>
              <w:bottom w:val="single" w:color="auto" w:sz="4" w:space="0"/>
              <w:right w:val="single" w:color="auto" w:sz="4" w:space="0"/>
            </w:tcBorders>
            <w:shd w:val="clear" w:color="auto" w:fill="auto"/>
            <w:vAlign w:val="center"/>
            <w:hideMark/>
          </w:tcPr>
          <w:p w:rsidRPr="00380D74" w:rsidR="00380D74" w:rsidP="00380D74" w:rsidRDefault="00380D74" w14:paraId="2004F373" w14:textId="77777777">
            <w:pPr>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Net Incremental Burden</w:t>
            </w:r>
          </w:p>
        </w:tc>
        <w:tc>
          <w:tcPr>
            <w:tcW w:w="778" w:type="dxa"/>
            <w:tcBorders>
              <w:top w:val="nil"/>
              <w:left w:val="nil"/>
              <w:bottom w:val="single" w:color="auto" w:sz="4" w:space="0"/>
              <w:right w:val="single" w:color="auto" w:sz="4" w:space="0"/>
            </w:tcBorders>
            <w:shd w:val="clear" w:color="auto" w:fill="auto"/>
            <w:noWrap/>
            <w:vAlign w:val="center"/>
            <w:hideMark/>
          </w:tcPr>
          <w:p w:rsidRPr="00380D74" w:rsidR="00380D74" w:rsidP="00FE4621" w:rsidRDefault="00380D74" w14:paraId="78FC5545" w14:textId="77777777">
            <w:pPr>
              <w:spacing w:before="40" w:after="40"/>
              <w:ind w:firstLine="18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 </w:t>
            </w:r>
          </w:p>
        </w:tc>
        <w:tc>
          <w:tcPr>
            <w:tcW w:w="1080" w:type="dxa"/>
            <w:tcBorders>
              <w:top w:val="nil"/>
              <w:left w:val="nil"/>
              <w:bottom w:val="single" w:color="auto" w:sz="4" w:space="0"/>
              <w:right w:val="single" w:color="auto" w:sz="4" w:space="0"/>
            </w:tcBorders>
            <w:shd w:val="clear" w:color="auto" w:fill="auto"/>
            <w:noWrap/>
            <w:vAlign w:val="center"/>
            <w:hideMark/>
          </w:tcPr>
          <w:p w:rsidRPr="00380D74" w:rsidR="00380D74" w:rsidP="00FE4621" w:rsidRDefault="00380D74" w14:paraId="036037C0" w14:textId="77777777">
            <w:pPr>
              <w:spacing w:before="40" w:after="40"/>
              <w:ind w:firstLine="18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-111</w:t>
            </w:r>
          </w:p>
        </w:tc>
        <w:tc>
          <w:tcPr>
            <w:tcW w:w="810" w:type="dxa"/>
            <w:tcBorders>
              <w:top w:val="nil"/>
              <w:left w:val="nil"/>
              <w:bottom w:val="single" w:color="auto" w:sz="4" w:space="0"/>
              <w:right w:val="single" w:color="auto" w:sz="4" w:space="0"/>
            </w:tcBorders>
            <w:shd w:val="clear" w:color="auto" w:fill="auto"/>
            <w:noWrap/>
            <w:vAlign w:val="center"/>
            <w:hideMark/>
          </w:tcPr>
          <w:p w:rsidRPr="00380D74" w:rsidR="00380D74" w:rsidP="00FE4621" w:rsidRDefault="00380D74" w14:paraId="1D4761A5" w14:textId="77777777">
            <w:pPr>
              <w:spacing w:before="40" w:after="40"/>
              <w:ind w:firstLine="18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 </w:t>
            </w:r>
          </w:p>
        </w:tc>
        <w:tc>
          <w:tcPr>
            <w:tcW w:w="1080" w:type="dxa"/>
            <w:tcBorders>
              <w:top w:val="nil"/>
              <w:left w:val="nil"/>
              <w:bottom w:val="single" w:color="auto" w:sz="4" w:space="0"/>
              <w:right w:val="single" w:color="auto" w:sz="4" w:space="0"/>
            </w:tcBorders>
            <w:shd w:val="clear" w:color="auto" w:fill="auto"/>
            <w:noWrap/>
            <w:vAlign w:val="center"/>
            <w:hideMark/>
          </w:tcPr>
          <w:p w:rsidRPr="00380D74" w:rsidR="00380D74" w:rsidP="00FE4621" w:rsidRDefault="00380D74" w14:paraId="5679C6D0" w14:textId="77777777">
            <w:pPr>
              <w:spacing w:before="40" w:after="40"/>
              <w:ind w:firstLine="18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-23,265</w:t>
            </w:r>
          </w:p>
        </w:tc>
        <w:tc>
          <w:tcPr>
            <w:tcW w:w="990" w:type="dxa"/>
            <w:tcBorders>
              <w:top w:val="nil"/>
              <w:left w:val="nil"/>
              <w:bottom w:val="single" w:color="auto" w:sz="4" w:space="0"/>
              <w:right w:val="single" w:color="auto" w:sz="4" w:space="0"/>
            </w:tcBorders>
            <w:shd w:val="clear" w:color="auto" w:fill="auto"/>
            <w:noWrap/>
            <w:vAlign w:val="center"/>
            <w:hideMark/>
          </w:tcPr>
          <w:p w:rsidRPr="00380D74" w:rsidR="00380D74" w:rsidP="00FE4621" w:rsidRDefault="00380D74" w14:paraId="18CD0B88" w14:textId="77777777">
            <w:pPr>
              <w:spacing w:before="40" w:after="40"/>
              <w:ind w:firstLine="18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0.043</w:t>
            </w:r>
          </w:p>
        </w:tc>
        <w:tc>
          <w:tcPr>
            <w:tcW w:w="810" w:type="dxa"/>
            <w:tcBorders>
              <w:top w:val="nil"/>
              <w:left w:val="nil"/>
              <w:bottom w:val="single" w:color="auto" w:sz="4" w:space="0"/>
              <w:right w:val="single" w:color="auto" w:sz="4" w:space="0"/>
            </w:tcBorders>
            <w:shd w:val="clear" w:color="auto" w:fill="auto"/>
            <w:noWrap/>
            <w:vAlign w:val="center"/>
            <w:hideMark/>
          </w:tcPr>
          <w:p w:rsidRPr="00380D74" w:rsidR="00380D74" w:rsidP="00380D74" w:rsidRDefault="00380D74" w14:paraId="0D401E73" w14:textId="77777777">
            <w:pPr>
              <w:ind w:firstLine="180" w:firstLineChars="10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1</w:t>
            </w:r>
          </w:p>
        </w:tc>
        <w:tc>
          <w:tcPr>
            <w:tcW w:w="1080" w:type="dxa"/>
            <w:tcBorders>
              <w:top w:val="nil"/>
              <w:left w:val="nil"/>
              <w:bottom w:val="single" w:color="auto" w:sz="4" w:space="0"/>
              <w:right w:val="single" w:color="auto" w:sz="4" w:space="0"/>
            </w:tcBorders>
            <w:shd w:val="clear" w:color="auto" w:fill="auto"/>
            <w:noWrap/>
            <w:vAlign w:val="center"/>
            <w:hideMark/>
          </w:tcPr>
          <w:p w:rsidRPr="00380D74" w:rsidR="00380D74" w:rsidP="00380D74" w:rsidRDefault="00380D74" w14:paraId="6FDCE489" w14:textId="77777777">
            <w:pPr>
              <w:ind w:firstLine="180" w:firstLineChars="10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0.064</w:t>
            </w:r>
          </w:p>
        </w:tc>
        <w:tc>
          <w:tcPr>
            <w:tcW w:w="958" w:type="dxa"/>
            <w:tcBorders>
              <w:top w:val="nil"/>
              <w:left w:val="nil"/>
              <w:bottom w:val="single" w:color="auto" w:sz="4" w:space="0"/>
              <w:right w:val="single" w:color="auto" w:sz="4" w:space="0"/>
            </w:tcBorders>
            <w:shd w:val="clear" w:color="auto" w:fill="auto"/>
            <w:noWrap/>
            <w:vAlign w:val="center"/>
            <w:hideMark/>
          </w:tcPr>
          <w:p w:rsidRPr="00380D74" w:rsidR="00380D74" w:rsidP="00380D74" w:rsidRDefault="00380D74" w14:paraId="083855E8" w14:textId="77777777">
            <w:pPr>
              <w:ind w:firstLine="180" w:firstLineChars="10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360</w:t>
            </w:r>
          </w:p>
        </w:tc>
        <w:tc>
          <w:tcPr>
            <w:tcW w:w="960" w:type="dxa"/>
            <w:tcBorders>
              <w:top w:val="nil"/>
              <w:left w:val="nil"/>
              <w:bottom w:val="single" w:color="auto" w:sz="4" w:space="0"/>
              <w:right w:val="single" w:color="auto" w:sz="4" w:space="0"/>
            </w:tcBorders>
            <w:shd w:val="clear" w:color="auto" w:fill="auto"/>
            <w:noWrap/>
            <w:vAlign w:val="center"/>
            <w:hideMark/>
          </w:tcPr>
          <w:p w:rsidRPr="00380D74" w:rsidR="00380D74" w:rsidP="00380D74" w:rsidRDefault="00380D74" w14:paraId="74445BC0" w14:textId="77777777">
            <w:pPr>
              <w:ind w:firstLine="180" w:firstLineChars="100"/>
              <w:jc w:val="right"/>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-23,015</w:t>
            </w:r>
          </w:p>
        </w:tc>
      </w:tr>
      <w:tr w:rsidRPr="00380D74" w:rsidR="00380D74" w:rsidTr="00380D74" w14:paraId="44B2CF51" w14:textId="77777777">
        <w:trPr>
          <w:trHeight w:val="300"/>
        </w:trPr>
        <w:tc>
          <w:tcPr>
            <w:tcW w:w="10018" w:type="dxa"/>
            <w:gridSpan w:val="10"/>
            <w:tcBorders>
              <w:top w:val="single" w:color="auto" w:sz="4" w:space="0"/>
              <w:left w:val="single" w:color="auto" w:sz="4" w:space="0"/>
              <w:bottom w:val="nil"/>
              <w:right w:val="single" w:color="000000" w:sz="4" w:space="0"/>
            </w:tcBorders>
            <w:shd w:val="clear" w:color="auto" w:fill="auto"/>
            <w:vAlign w:val="center"/>
            <w:hideMark/>
          </w:tcPr>
          <w:p w:rsidRPr="00380D74" w:rsidR="00380D74" w:rsidP="00FE4621" w:rsidRDefault="00380D74" w14:paraId="52C402F8" w14:textId="77777777">
            <w:pPr>
              <w:spacing w:before="40" w:after="40"/>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General Note:</w:t>
            </w:r>
          </w:p>
        </w:tc>
      </w:tr>
      <w:tr w:rsidRPr="00380D74" w:rsidR="00380D74" w:rsidTr="00380D74" w14:paraId="0C86172A" w14:textId="77777777">
        <w:trPr>
          <w:trHeight w:val="300"/>
        </w:trPr>
        <w:tc>
          <w:tcPr>
            <w:tcW w:w="10018" w:type="dxa"/>
            <w:gridSpan w:val="10"/>
            <w:tcBorders>
              <w:top w:val="nil"/>
              <w:left w:val="single" w:color="auto" w:sz="4" w:space="0"/>
              <w:bottom w:val="nil"/>
              <w:right w:val="single" w:color="000000" w:sz="4" w:space="0"/>
            </w:tcBorders>
            <w:shd w:val="clear" w:color="auto" w:fill="auto"/>
            <w:vAlign w:val="center"/>
            <w:hideMark/>
          </w:tcPr>
          <w:p w:rsidRPr="00380D74" w:rsidR="00380D74" w:rsidP="00FE4621" w:rsidRDefault="00380D74" w14:paraId="1AC82D7F" w14:textId="77777777">
            <w:pPr>
              <w:spacing w:before="40" w:after="40"/>
              <w:rPr>
                <w:rFonts w:ascii="Symbol" w:hAnsi="Symbol" w:eastAsia="Times New Roman" w:cs="Calibri"/>
                <w:color w:val="000000"/>
                <w:sz w:val="18"/>
                <w:szCs w:val="18"/>
              </w:rPr>
            </w:pPr>
            <w:r w:rsidRPr="00380D74">
              <w:rPr>
                <w:rFonts w:ascii="Symbol" w:hAnsi="Symbol" w:eastAsia="Times New Roman" w:cs="Calibri"/>
                <w:color w:val="000000"/>
                <w:sz w:val="18"/>
                <w:szCs w:val="18"/>
              </w:rPr>
              <w:t></w:t>
            </w:r>
            <w:r w:rsidRPr="00380D74">
              <w:rPr>
                <w:rFonts w:ascii="Symbol" w:hAnsi="Symbol" w:eastAsia="Times New Roman" w:cs="Calibri"/>
                <w:color w:val="000000"/>
                <w:sz w:val="18"/>
                <w:szCs w:val="18"/>
              </w:rPr>
              <w:t></w:t>
            </w:r>
            <w:r w:rsidRPr="00380D74">
              <w:rPr>
                <w:rFonts w:ascii="Arial Narrow" w:hAnsi="Arial Narrow" w:eastAsia="Times New Roman" w:cs="Calibri"/>
                <w:color w:val="000000"/>
                <w:sz w:val="18"/>
                <w:szCs w:val="18"/>
              </w:rPr>
              <w:t>All unit and total burden estimates are reported in hours and are on an annual basis.</w:t>
            </w:r>
          </w:p>
        </w:tc>
      </w:tr>
      <w:tr w:rsidRPr="00380D74" w:rsidR="00380D74" w:rsidTr="00380D74" w14:paraId="3FCFB56D" w14:textId="77777777">
        <w:trPr>
          <w:trHeight w:val="300"/>
        </w:trPr>
        <w:tc>
          <w:tcPr>
            <w:tcW w:w="10018" w:type="dxa"/>
            <w:gridSpan w:val="10"/>
            <w:tcBorders>
              <w:top w:val="nil"/>
              <w:left w:val="single" w:color="auto" w:sz="4" w:space="0"/>
              <w:bottom w:val="nil"/>
              <w:right w:val="single" w:color="000000" w:sz="4" w:space="0"/>
            </w:tcBorders>
            <w:shd w:val="clear" w:color="auto" w:fill="auto"/>
            <w:vAlign w:val="center"/>
            <w:hideMark/>
          </w:tcPr>
          <w:p w:rsidRPr="00380D74" w:rsidR="00380D74" w:rsidP="00FE4621" w:rsidRDefault="00380D74" w14:paraId="0F335850" w14:textId="77777777">
            <w:pPr>
              <w:spacing w:before="40" w:after="40"/>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rPr>
              <w:t>Footnotes:</w:t>
            </w:r>
          </w:p>
        </w:tc>
      </w:tr>
      <w:tr w:rsidRPr="00380D74" w:rsidR="00380D74" w:rsidTr="00EC0BDA" w14:paraId="69EB392B" w14:textId="77777777">
        <w:trPr>
          <w:trHeight w:val="243"/>
        </w:trPr>
        <w:tc>
          <w:tcPr>
            <w:tcW w:w="10018" w:type="dxa"/>
            <w:gridSpan w:val="10"/>
            <w:tcBorders>
              <w:top w:val="nil"/>
              <w:left w:val="single" w:color="auto" w:sz="4" w:space="0"/>
              <w:right w:val="single" w:color="000000" w:sz="4" w:space="0"/>
            </w:tcBorders>
            <w:shd w:val="clear" w:color="auto" w:fill="auto"/>
            <w:noWrap/>
            <w:hideMark/>
          </w:tcPr>
          <w:p w:rsidRPr="00380D74" w:rsidR="00380D74" w:rsidP="00FE4621" w:rsidRDefault="00380D74" w14:paraId="4792E86B" w14:textId="3069FED9">
            <w:pPr>
              <w:spacing w:before="40" w:after="40"/>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380D74">
              <w:rPr>
                <w:rFonts w:ascii="Arial Narrow" w:hAnsi="Arial Narrow" w:eastAsia="Times New Roman" w:cs="Calibri"/>
                <w:color w:val="000000"/>
                <w:sz w:val="18"/>
                <w:szCs w:val="18"/>
              </w:rPr>
              <w:t xml:space="preserve">The overall net incremental burden in this table does not match the overall net incremental burden presented in </w:t>
            </w:r>
            <w:r w:rsidR="00745BD5">
              <w:rPr>
                <w:rFonts w:ascii="Arial Narrow" w:hAnsi="Arial Narrow" w:eastAsia="Times New Roman" w:cs="Calibri"/>
                <w:color w:val="000000"/>
                <w:sz w:val="18"/>
                <w:szCs w:val="18"/>
              </w:rPr>
              <w:fldChar w:fldCharType="begin"/>
            </w:r>
            <w:r w:rsidR="00745BD5">
              <w:rPr>
                <w:rFonts w:ascii="Arial Narrow" w:hAnsi="Arial Narrow" w:eastAsia="Times New Roman" w:cs="Calibri"/>
                <w:color w:val="000000"/>
                <w:sz w:val="18"/>
                <w:szCs w:val="18"/>
              </w:rPr>
              <w:instrText xml:space="preserve"> REF _Ref28866357 \h  \* MERGEFORMAT </w:instrText>
            </w:r>
            <w:r w:rsidR="00745BD5">
              <w:rPr>
                <w:rFonts w:ascii="Arial Narrow" w:hAnsi="Arial Narrow" w:eastAsia="Times New Roman" w:cs="Calibri"/>
                <w:color w:val="000000"/>
                <w:sz w:val="18"/>
                <w:szCs w:val="18"/>
              </w:rPr>
            </w:r>
            <w:r w:rsidR="00745BD5">
              <w:rPr>
                <w:rFonts w:ascii="Arial Narrow" w:hAnsi="Arial Narrow" w:eastAsia="Times New Roman" w:cs="Calibri"/>
                <w:color w:val="000000"/>
                <w:sz w:val="18"/>
                <w:szCs w:val="18"/>
              </w:rPr>
              <w:fldChar w:fldCharType="separate"/>
            </w:r>
            <w:r w:rsidRPr="00590B23" w:rsidR="00590B23">
              <w:rPr>
                <w:rFonts w:ascii="Arial Narrow" w:hAnsi="Arial Narrow" w:eastAsia="Times New Roman" w:cs="Calibri"/>
                <w:color w:val="000000"/>
                <w:sz w:val="18"/>
                <w:szCs w:val="18"/>
              </w:rPr>
              <w:t>Table 5</w:t>
            </w:r>
            <w:r w:rsidRPr="00590B23" w:rsidR="00590B23">
              <w:rPr>
                <w:rFonts w:ascii="Arial Narrow" w:hAnsi="Arial Narrow" w:eastAsia="Times New Roman" w:cs="Calibri"/>
                <w:color w:val="000000"/>
                <w:sz w:val="18"/>
                <w:szCs w:val="18"/>
              </w:rPr>
              <w:noBreakHyphen/>
              <w:t>6</w:t>
            </w:r>
            <w:r w:rsidR="00745BD5">
              <w:rPr>
                <w:rFonts w:ascii="Arial Narrow" w:hAnsi="Arial Narrow" w:eastAsia="Times New Roman" w:cs="Calibri"/>
                <w:color w:val="000000"/>
                <w:sz w:val="18"/>
                <w:szCs w:val="18"/>
              </w:rPr>
              <w:fldChar w:fldCharType="end"/>
            </w:r>
            <w:r w:rsidR="00745BD5">
              <w:rPr>
                <w:rFonts w:ascii="Arial Narrow" w:hAnsi="Arial Narrow" w:eastAsia="Times New Roman" w:cs="Calibri"/>
                <w:color w:val="000000"/>
                <w:sz w:val="18"/>
                <w:szCs w:val="18"/>
              </w:rPr>
              <w:t xml:space="preserve"> </w:t>
            </w:r>
            <w:r w:rsidR="009E6C42">
              <w:rPr>
                <w:rFonts w:ascii="Arial Narrow" w:hAnsi="Arial Narrow" w:eastAsia="Times New Roman" w:cs="Calibri"/>
                <w:color w:val="000000"/>
                <w:sz w:val="18"/>
                <w:szCs w:val="18"/>
              </w:rPr>
              <w:t>due to rounding.</w:t>
            </w:r>
          </w:p>
        </w:tc>
      </w:tr>
      <w:tr w:rsidRPr="00380D74" w:rsidR="00380D74" w:rsidTr="000D48D4" w14:paraId="59ADB870" w14:textId="77777777">
        <w:trPr>
          <w:trHeight w:val="270"/>
        </w:trPr>
        <w:tc>
          <w:tcPr>
            <w:tcW w:w="10018" w:type="dxa"/>
            <w:gridSpan w:val="10"/>
            <w:tcBorders>
              <w:top w:val="nil"/>
              <w:left w:val="single" w:color="auto" w:sz="4" w:space="0"/>
              <w:bottom w:val="single" w:color="auto" w:sz="4" w:space="0"/>
              <w:right w:val="single" w:color="000000" w:sz="4" w:space="0"/>
            </w:tcBorders>
            <w:shd w:val="clear" w:color="auto" w:fill="auto"/>
            <w:noWrap/>
            <w:hideMark/>
          </w:tcPr>
          <w:p w:rsidRPr="00380D74" w:rsidR="00380D74" w:rsidP="00FE4621" w:rsidRDefault="00380D74" w14:paraId="2CE148AC" w14:textId="4A57C5BB">
            <w:pPr>
              <w:spacing w:before="40" w:after="40"/>
              <w:rPr>
                <w:rFonts w:ascii="Arial Narrow" w:hAnsi="Arial Narrow" w:eastAsia="Times New Roman" w:cs="Calibri"/>
                <w:color w:val="000000"/>
                <w:sz w:val="18"/>
                <w:szCs w:val="18"/>
              </w:rPr>
            </w:pPr>
            <w:r w:rsidRPr="00380D74">
              <w:rPr>
                <w:rFonts w:ascii="Arial Narrow" w:hAnsi="Arial Narrow" w:eastAsia="Times New Roman" w:cs="Calibri"/>
                <w:color w:val="000000"/>
                <w:sz w:val="18"/>
                <w:szCs w:val="18"/>
                <w:vertAlign w:val="superscript"/>
              </w:rPr>
              <w:t>2</w:t>
            </w:r>
            <w:r>
              <w:rPr>
                <w:rFonts w:ascii="Arial Narrow" w:hAnsi="Arial Narrow" w:eastAsia="Times New Roman" w:cs="Calibri"/>
                <w:color w:val="000000"/>
                <w:sz w:val="18"/>
                <w:szCs w:val="18"/>
                <w:vertAlign w:val="superscript"/>
              </w:rPr>
              <w:t xml:space="preserve"> </w:t>
            </w:r>
            <w:r w:rsidRPr="00380D74">
              <w:rPr>
                <w:rFonts w:ascii="Arial Narrow" w:hAnsi="Arial Narrow" w:eastAsia="Times New Roman" w:cs="Calibri"/>
                <w:color w:val="000000"/>
                <w:sz w:val="18"/>
                <w:szCs w:val="18"/>
              </w:rPr>
              <w:t xml:space="preserve">These unit burdens are derived by dividing the four-year cycle unit burdens in </w:t>
            </w:r>
            <w:r w:rsidR="0089537C">
              <w:rPr>
                <w:rFonts w:ascii="Arial Narrow" w:hAnsi="Arial Narrow" w:eastAsia="Times New Roman" w:cs="Calibri"/>
                <w:color w:val="000000"/>
                <w:sz w:val="18"/>
                <w:szCs w:val="18"/>
              </w:rPr>
              <w:fldChar w:fldCharType="begin"/>
            </w:r>
            <w:r w:rsidR="0089537C">
              <w:rPr>
                <w:rFonts w:ascii="Arial Narrow" w:hAnsi="Arial Narrow" w:eastAsia="Times New Roman" w:cs="Calibri"/>
                <w:color w:val="000000"/>
                <w:sz w:val="18"/>
                <w:szCs w:val="18"/>
              </w:rPr>
              <w:instrText xml:space="preserve"> REF _Ref28853485 \h  \* MERGEFORMAT </w:instrText>
            </w:r>
            <w:r w:rsidR="0089537C">
              <w:rPr>
                <w:rFonts w:ascii="Arial Narrow" w:hAnsi="Arial Narrow" w:eastAsia="Times New Roman" w:cs="Calibri"/>
                <w:color w:val="000000"/>
                <w:sz w:val="18"/>
                <w:szCs w:val="18"/>
              </w:rPr>
            </w:r>
            <w:r w:rsidR="0089537C">
              <w:rPr>
                <w:rFonts w:ascii="Arial Narrow" w:hAnsi="Arial Narrow" w:eastAsia="Times New Roman" w:cs="Calibri"/>
                <w:color w:val="000000"/>
                <w:sz w:val="18"/>
                <w:szCs w:val="18"/>
              </w:rPr>
              <w:fldChar w:fldCharType="separate"/>
            </w:r>
            <w:r w:rsidRPr="00590B23" w:rsidR="00590B23">
              <w:rPr>
                <w:rFonts w:ascii="Arial Narrow" w:hAnsi="Arial Narrow" w:eastAsia="Times New Roman" w:cs="Calibri"/>
                <w:color w:val="000000"/>
                <w:sz w:val="18"/>
                <w:szCs w:val="18"/>
              </w:rPr>
              <w:t>Table 5</w:t>
            </w:r>
            <w:r w:rsidRPr="00590B23" w:rsidR="00590B23">
              <w:rPr>
                <w:rFonts w:ascii="Arial Narrow" w:hAnsi="Arial Narrow" w:eastAsia="Times New Roman" w:cs="Calibri"/>
                <w:color w:val="000000"/>
                <w:sz w:val="18"/>
                <w:szCs w:val="18"/>
              </w:rPr>
              <w:noBreakHyphen/>
              <w:t>3</w:t>
            </w:r>
            <w:r w:rsidR="0089537C">
              <w:rPr>
                <w:rFonts w:ascii="Arial Narrow" w:hAnsi="Arial Narrow" w:eastAsia="Times New Roman" w:cs="Calibri"/>
                <w:color w:val="000000"/>
                <w:sz w:val="18"/>
                <w:szCs w:val="18"/>
              </w:rPr>
              <w:fldChar w:fldCharType="end"/>
            </w:r>
            <w:r w:rsidRPr="00380D74">
              <w:rPr>
                <w:rFonts w:ascii="Arial Narrow" w:hAnsi="Arial Narrow" w:eastAsia="Times New Roman" w:cs="Calibri"/>
                <w:color w:val="000000"/>
                <w:sz w:val="18"/>
                <w:szCs w:val="18"/>
              </w:rPr>
              <w:t xml:space="preserve"> by four.</w:t>
            </w:r>
          </w:p>
        </w:tc>
      </w:tr>
    </w:tbl>
    <w:p w:rsidR="009563A2" w:rsidP="00176A48" w:rsidRDefault="009563A2" w14:paraId="1BD19A99" w14:textId="08B1D9B3">
      <w:pPr>
        <w:pStyle w:val="Heading2"/>
        <w:tabs>
          <w:tab w:val="left" w:pos="1080"/>
        </w:tabs>
        <w:spacing w:before="240"/>
        <w:ind w:left="360"/>
      </w:pPr>
      <w:bookmarkStart w:name="_Toc42177040" w:id="57"/>
      <w:r>
        <w:t xml:space="preserve">6(c) </w:t>
      </w:r>
      <w:r w:rsidRPr="00176A48" w:rsidR="00176A48">
        <w:tab/>
      </w:r>
      <w:r>
        <w:t>PRA Burden Statement</w:t>
      </w:r>
      <w:bookmarkEnd w:id="57"/>
    </w:p>
    <w:p w:rsidR="009563A2" w:rsidP="009563A2" w:rsidRDefault="009563A2" w14:paraId="5324ABDC" w14:textId="77777777">
      <w:pPr>
        <w:pStyle w:val="BodyText"/>
        <w:spacing w:after="200"/>
      </w:pPr>
      <w:r>
        <w:t>Under the final rule, t</w:t>
      </w:r>
      <w:r w:rsidRPr="008A7FB7">
        <w:t xml:space="preserve">he </w:t>
      </w:r>
      <w:r>
        <w:t>incremental reporter</w:t>
      </w:r>
      <w:r w:rsidRPr="008A7FB7">
        <w:t xml:space="preserve"> burden</w:t>
      </w:r>
      <w:r>
        <w:t xml:space="preserve"> decrease </w:t>
      </w:r>
      <w:r w:rsidRPr="008A7FB7">
        <w:t xml:space="preserve">for this collection of information </w:t>
      </w:r>
      <w:r>
        <w:t xml:space="preserve">(identified under </w:t>
      </w:r>
      <w:r>
        <w:rPr>
          <w:color w:val="000000" w:themeColor="text1"/>
        </w:rPr>
        <w:t xml:space="preserve">EPA ICR No. 1884.13 and OMB Control No. 2070-0162) </w:t>
      </w:r>
      <w:r w:rsidRPr="008A7FB7">
        <w:t xml:space="preserve">is estimated </w:t>
      </w:r>
      <w:r>
        <w:t>to average -4.07 hours per year for the average site.</w:t>
      </w:r>
      <w:r w:rsidRPr="002B6E34">
        <w:rPr>
          <w:rStyle w:val="FootnoteReference"/>
          <w:vertAlign w:val="superscript"/>
        </w:rPr>
        <w:footnoteReference w:id="9"/>
      </w:r>
      <w:r w:rsidRPr="002B6E34">
        <w:rPr>
          <w:vertAlign w:val="superscript"/>
        </w:rPr>
        <w:t>,</w:t>
      </w:r>
      <w:r w:rsidRPr="002B6E34">
        <w:rPr>
          <w:rStyle w:val="FootnoteReference"/>
          <w:vertAlign w:val="superscript"/>
        </w:rPr>
        <w:footnoteReference w:id="10"/>
      </w:r>
      <w:r>
        <w:t xml:space="preserve"> This estimate includes the combined effects of increases to certain reporting activities (incremental rule familiarization and compliance determination) as well as the elimination of reporting for newly exempted chemical reports and/or sites due to the change in the applicable small manufacturer definition. </w:t>
      </w:r>
    </w:p>
    <w:p w:rsidR="009563A2" w:rsidP="009563A2" w:rsidRDefault="009563A2" w14:paraId="40E1ED51" w14:textId="43924007">
      <w:pPr>
        <w:pStyle w:val="BodyText"/>
        <w:spacing w:after="200"/>
      </w:pPr>
      <w:r w:rsidRPr="008A7FB7">
        <w:t xml:space="preserve">Burden is defined in </w:t>
      </w:r>
      <w:hyperlink w:history="1" w:anchor="5:3.0.2.3.9.0.48.3" r:id="rId14">
        <w:r w:rsidR="005A132E">
          <w:rPr>
            <w:rStyle w:val="Hyperlink"/>
          </w:rPr>
          <w:t>5 CFR 1320.3(b)</w:t>
        </w:r>
      </w:hyperlink>
      <w:r w:rsidR="005A132E">
        <w:t>, and the activities associated with this collection of information are described in more detail in the information collection request (ICR). Under the PRA,</w:t>
      </w:r>
      <w:r w:rsidRPr="008A7FB7">
        <w:t xml:space="preserve"> </w:t>
      </w:r>
      <w:r w:rsidR="005A132E">
        <w:t>a</w:t>
      </w:r>
      <w:r w:rsidRPr="008A7FB7">
        <w:t xml:space="preserve">n </w:t>
      </w:r>
      <w:r w:rsidR="005A132E">
        <w:t>a</w:t>
      </w:r>
      <w:r w:rsidRPr="008A7FB7">
        <w:t>gency may not conduct or sponsor, and a person is not required to respond to, a collection of information unless it displays a currently valid OMB control number. The OMB control numbers for EPA</w:t>
      </w:r>
      <w:r>
        <w:t>’</w:t>
      </w:r>
      <w:r w:rsidRPr="008A7FB7">
        <w:t xml:space="preserve">s regulations in title 40 of the CFR, after appearing in the Federal Register when approved, are listed in 40 CFR Part 9, and are displayed either by publication in </w:t>
      </w:r>
      <w:r w:rsidRPr="008A7FB7">
        <w:lastRenderedPageBreak/>
        <w:t>the Federal Register or by other appropriate means, such as on the related collection instrument or form, if applicable.</w:t>
      </w:r>
    </w:p>
    <w:p w:rsidR="005A132E" w:rsidP="005A132E" w:rsidRDefault="005A132E" w14:paraId="68658E82" w14:textId="77777777">
      <w:pPr>
        <w:pStyle w:val="NoSpacing"/>
      </w:pPr>
      <w:r>
        <w:t xml:space="preserve">EPA has established a docket for this ICR that is available for online viewing at </w:t>
      </w:r>
      <w:hyperlink w:history="1" r:id="rId15">
        <w:r>
          <w:rPr>
            <w:rStyle w:val="Hyperlink"/>
          </w:rPr>
          <w:t>http://www.regulations.gov</w:t>
        </w:r>
      </w:hyperlink>
      <w:r>
        <w:t xml:space="preserve">.  See section 1(b) in this ICR for information about the docket.  </w:t>
      </w:r>
    </w:p>
    <w:p w:rsidR="005A132E" w:rsidP="005A132E" w:rsidRDefault="005A132E" w14:paraId="1B1906F1" w14:textId="77777777">
      <w:pPr>
        <w:pStyle w:val="NoSpacing"/>
      </w:pPr>
    </w:p>
    <w:p w:rsidR="005A132E" w:rsidP="005A132E" w:rsidRDefault="005A132E" w14:paraId="2A2C0CBD" w14:textId="4FE5F973">
      <w:pPr>
        <w:pStyle w:val="NoSpacing"/>
        <w:spacing w:after="120"/>
      </w:pPr>
      <w: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the EPA Docket ID No. </w:t>
      </w:r>
      <w:r w:rsidRPr="00FD6177">
        <w:t>EPA-HQ-OPPT-2013-0721</w:t>
      </w:r>
      <w:r>
        <w:t xml:space="preserve"> and OMB Control No. 2070-0162, to both EPA and OMB as follows:</w:t>
      </w:r>
    </w:p>
    <w:p w:rsidR="005A132E" w:rsidP="005A132E" w:rsidRDefault="005A132E" w14:paraId="76F1898C" w14:textId="77777777">
      <w:pPr>
        <w:pStyle w:val="NoSpacing"/>
        <w:spacing w:after="120"/>
        <w:ind w:left="720"/>
      </w:pPr>
      <w:r>
        <w:t xml:space="preserve">(1) For EPA, submit online using </w:t>
      </w:r>
      <w:hyperlink w:history="1" r:id="rId16">
        <w:r>
          <w:rPr>
            <w:rStyle w:val="Hyperlink"/>
          </w:rPr>
          <w:t>http://www.regulations.gov</w:t>
        </w:r>
      </w:hyperlink>
      <w:r>
        <w:t xml:space="preserve">, and </w:t>
      </w:r>
    </w:p>
    <w:p w:rsidRPr="008A7FB7" w:rsidR="005A132E" w:rsidP="005A132E" w:rsidRDefault="005A132E" w14:paraId="5CAF2E2C" w14:textId="2B36A65D">
      <w:pPr>
        <w:pStyle w:val="BodyText"/>
        <w:ind w:left="720"/>
      </w:pPr>
      <w:r>
        <w:t xml:space="preserve">(2) For OMB, submit via email to </w:t>
      </w:r>
      <w:hyperlink w:history="1" r:id="rId17">
        <w:r>
          <w:rPr>
            <w:rStyle w:val="Hyperlink"/>
          </w:rPr>
          <w:t>oira_submission@omb.eop.gov</w:t>
        </w:r>
      </w:hyperlink>
      <w:r>
        <w:t>, addressed to “</w:t>
      </w:r>
      <w:r>
        <w:rPr>
          <w:i/>
        </w:rPr>
        <w:t>OMB Desk Officer for EPA</w:t>
      </w:r>
      <w:r>
        <w:t>.”</w:t>
      </w:r>
    </w:p>
    <w:p w:rsidRPr="0068315F" w:rsidR="002B34A0" w:rsidP="00853B7A" w:rsidRDefault="00A22510" w14:paraId="4C8092A3" w14:textId="007F263C">
      <w:pPr>
        <w:pStyle w:val="Heading1"/>
        <w:numPr>
          <w:ilvl w:val="0"/>
          <w:numId w:val="3"/>
        </w:numPr>
        <w:rPr>
          <w:lang w:bidi="en-US"/>
        </w:rPr>
      </w:pPr>
      <w:bookmarkStart w:name="_Toc42177041" w:id="58"/>
      <w:r>
        <w:rPr>
          <w:lang w:bidi="en-US"/>
        </w:rPr>
        <w:t>R</w:t>
      </w:r>
      <w:r w:rsidR="00DE1813">
        <w:rPr>
          <w:lang w:bidi="en-US"/>
        </w:rPr>
        <w:t>EFERENCES</w:t>
      </w:r>
      <w:bookmarkEnd w:id="58"/>
    </w:p>
    <w:p w:rsidRPr="00852CB1" w:rsidR="008F0E7C" w:rsidP="00852CB1" w:rsidRDefault="008F0E7C" w14:paraId="3736FC91" w14:textId="6D954409">
      <w:pPr>
        <w:pStyle w:val="Reference"/>
        <w:spacing w:after="240"/>
        <w:rPr>
          <w:rFonts w:ascii="Arial" w:hAnsi="Arial" w:cs="Arial"/>
          <w:sz w:val="24"/>
        </w:rPr>
      </w:pPr>
      <w:bookmarkStart w:name="OLE_LINK6" w:id="59"/>
      <w:bookmarkStart w:name="OLE_LINK7" w:id="60"/>
      <w:r w:rsidRPr="00852CB1">
        <w:rPr>
          <w:rFonts w:ascii="Arial" w:hAnsi="Arial" w:cs="Arial"/>
          <w:sz w:val="24"/>
        </w:rPr>
        <w:t xml:space="preserve">BLS (U.S. Bureau of Labor Statistics). 2019a. Employer Costs for Employee Compensation Supplementary Tables: December 2006 – June 2019. </w:t>
      </w:r>
      <w:bookmarkStart w:name="_Hlk28857210" w:id="61"/>
      <w:r w:rsidR="00915887">
        <w:rPr>
          <w:rFonts w:ascii="Arial" w:hAnsi="Arial" w:cs="Arial"/>
          <w:sz w:val="24"/>
        </w:rPr>
        <w:t xml:space="preserve">Retrieved October 24, 2019 from </w:t>
      </w:r>
      <w:bookmarkEnd w:id="61"/>
      <w:r w:rsidRPr="00852CB1">
        <w:rPr>
          <w:rFonts w:ascii="Arial" w:hAnsi="Arial" w:cs="Arial"/>
          <w:sz w:val="24"/>
        </w:rPr>
        <w:t>https//www/bls.gov/</w:t>
      </w:r>
      <w:proofErr w:type="spellStart"/>
      <w:r w:rsidRPr="00852CB1">
        <w:rPr>
          <w:rFonts w:ascii="Arial" w:hAnsi="Arial" w:cs="Arial"/>
          <w:sz w:val="24"/>
        </w:rPr>
        <w:t>ncs</w:t>
      </w:r>
      <w:proofErr w:type="spellEnd"/>
      <w:r w:rsidRPr="00852CB1">
        <w:rPr>
          <w:rFonts w:ascii="Arial" w:hAnsi="Arial" w:cs="Arial"/>
          <w:sz w:val="24"/>
        </w:rPr>
        <w:t>/</w:t>
      </w:r>
      <w:proofErr w:type="spellStart"/>
      <w:r w:rsidRPr="00852CB1">
        <w:rPr>
          <w:rFonts w:ascii="Arial" w:hAnsi="Arial" w:cs="Arial"/>
          <w:sz w:val="24"/>
        </w:rPr>
        <w:t>ect</w:t>
      </w:r>
      <w:proofErr w:type="spellEnd"/>
      <w:r w:rsidRPr="00852CB1">
        <w:rPr>
          <w:rFonts w:ascii="Arial" w:hAnsi="Arial" w:cs="Arial"/>
          <w:sz w:val="24"/>
        </w:rPr>
        <w:t>/.</w:t>
      </w:r>
    </w:p>
    <w:p w:rsidRPr="00852CB1" w:rsidR="008F0E7C" w:rsidP="00852CB1" w:rsidRDefault="008F0E7C" w14:paraId="5384053D" w14:textId="30DB2F40">
      <w:pPr>
        <w:pStyle w:val="Reference"/>
        <w:spacing w:after="240"/>
        <w:rPr>
          <w:rFonts w:ascii="Arial" w:hAnsi="Arial" w:cs="Arial"/>
          <w:sz w:val="24"/>
        </w:rPr>
      </w:pPr>
      <w:r w:rsidRPr="00852CB1">
        <w:rPr>
          <w:rFonts w:ascii="Arial" w:hAnsi="Arial" w:cs="Arial"/>
          <w:sz w:val="24"/>
        </w:rPr>
        <w:t xml:space="preserve">BLS. 2019b. Employment Cost Index (ECI) Historical Listing – Volume III National Compensation Survey </w:t>
      </w:r>
      <w:r w:rsidR="00641D49">
        <w:rPr>
          <w:rFonts w:ascii="Arial" w:hAnsi="Arial" w:cs="Arial"/>
          <w:sz w:val="24"/>
        </w:rPr>
        <w:t>October</w:t>
      </w:r>
      <w:r w:rsidR="00DD34F1">
        <w:rPr>
          <w:rFonts w:ascii="Arial" w:hAnsi="Arial" w:cs="Arial"/>
          <w:sz w:val="24"/>
        </w:rPr>
        <w:t xml:space="preserve"> 2019</w:t>
      </w:r>
      <w:r w:rsidRPr="00852CB1">
        <w:rPr>
          <w:rFonts w:ascii="Arial" w:hAnsi="Arial" w:cs="Arial"/>
          <w:sz w:val="24"/>
        </w:rPr>
        <w:t xml:space="preserve">. Available at https://www.bls.gov/web/eci/echistrynaics.pdf (Accessed </w:t>
      </w:r>
      <w:r w:rsidR="00DD34F1">
        <w:rPr>
          <w:rFonts w:ascii="Arial" w:hAnsi="Arial" w:cs="Arial"/>
          <w:sz w:val="24"/>
        </w:rPr>
        <w:t>January 28, 2020</w:t>
      </w:r>
      <w:r w:rsidRPr="00852CB1">
        <w:rPr>
          <w:rFonts w:ascii="Arial" w:hAnsi="Arial" w:cs="Arial"/>
          <w:sz w:val="24"/>
        </w:rPr>
        <w:t>).</w:t>
      </w:r>
    </w:p>
    <w:p w:rsidRPr="008F0E7C" w:rsidR="008F0E7C" w:rsidP="008F0E7C" w:rsidRDefault="008F0E7C" w14:paraId="0AC9E8B4" w14:textId="77777777">
      <w:pPr>
        <w:pStyle w:val="Reference"/>
        <w:spacing w:after="240"/>
        <w:rPr>
          <w:rFonts w:ascii="Arial" w:hAnsi="Arial" w:cs="Arial"/>
          <w:i/>
          <w:sz w:val="24"/>
        </w:rPr>
      </w:pPr>
      <w:r w:rsidRPr="008F0E7C">
        <w:rPr>
          <w:rFonts w:ascii="Arial" w:hAnsi="Arial" w:cs="Arial"/>
          <w:sz w:val="24"/>
        </w:rPr>
        <w:t xml:space="preserve">EPA. 2002. </w:t>
      </w:r>
      <w:r w:rsidRPr="008F0E7C">
        <w:rPr>
          <w:rFonts w:ascii="Arial" w:hAnsi="Arial" w:cs="Arial"/>
          <w:i/>
          <w:sz w:val="24"/>
        </w:rPr>
        <w:t>Revised Economic Analysis for the Amended Inventory Update Rule: Final Report (EPA-HQ-OPPT-2002-0054-0260).</w:t>
      </w:r>
      <w:r w:rsidRPr="008F0E7C">
        <w:rPr>
          <w:rFonts w:ascii="Arial" w:hAnsi="Arial" w:cs="Arial"/>
          <w:sz w:val="24"/>
        </w:rPr>
        <w:t xml:space="preserve"> Office of Pollution Prevention and Toxics, Economic and Policy Analysis Branch. August 2002</w:t>
      </w:r>
      <w:r w:rsidRPr="008F0E7C">
        <w:rPr>
          <w:rFonts w:ascii="Arial" w:hAnsi="Arial" w:cs="Arial"/>
          <w:i/>
          <w:sz w:val="24"/>
        </w:rPr>
        <w:t>.</w:t>
      </w:r>
    </w:p>
    <w:p w:rsidRPr="008F0E7C" w:rsidR="008F0E7C" w:rsidP="008F0E7C" w:rsidRDefault="008F0E7C" w14:paraId="7EF0F84F" w14:textId="77777777">
      <w:pPr>
        <w:pStyle w:val="Reference"/>
        <w:spacing w:after="240"/>
        <w:rPr>
          <w:rFonts w:ascii="Arial" w:hAnsi="Arial" w:cs="Arial"/>
        </w:rPr>
      </w:pPr>
      <w:r w:rsidRPr="008F0E7C">
        <w:rPr>
          <w:rFonts w:ascii="Arial" w:hAnsi="Arial" w:cs="Arial"/>
          <w:sz w:val="24"/>
        </w:rPr>
        <w:t xml:space="preserve">EPA. 2009. </w:t>
      </w:r>
      <w:r w:rsidRPr="008F0E7C">
        <w:rPr>
          <w:rFonts w:ascii="Arial" w:hAnsi="Arial" w:cs="Arial"/>
          <w:i/>
          <w:iCs/>
          <w:sz w:val="24"/>
        </w:rPr>
        <w:t>ICR Handbook: EPA’s Guide to Writing Information Collection Requests under the Paperwork Reduction Act of 1995</w:t>
      </w:r>
      <w:r w:rsidRPr="008F0E7C">
        <w:rPr>
          <w:rFonts w:ascii="Arial" w:hAnsi="Arial" w:cs="Arial"/>
          <w:sz w:val="24"/>
        </w:rPr>
        <w:t>. Retrieved from https://www.pdffiller.com/10247637--ICR-Handbook---Environmental-Protection-Agency-.</w:t>
      </w:r>
    </w:p>
    <w:p w:rsidRPr="008F0E7C" w:rsidR="008F0E7C" w:rsidP="0089537C" w:rsidRDefault="008F0E7C" w14:paraId="7D72F45E" w14:textId="77777777">
      <w:pPr>
        <w:ind w:left="360" w:right="360" w:hanging="360"/>
        <w:rPr>
          <w:rFonts w:cs="Arial"/>
        </w:rPr>
      </w:pPr>
      <w:r w:rsidRPr="008F0E7C">
        <w:rPr>
          <w:rFonts w:cs="Arial"/>
        </w:rPr>
        <w:t xml:space="preserve">EPA. 2015. </w:t>
      </w:r>
      <w:r w:rsidRPr="008F0E7C">
        <w:rPr>
          <w:rFonts w:cs="Arial"/>
          <w:i/>
        </w:rPr>
        <w:t xml:space="preserve">ICR No. </w:t>
      </w:r>
      <w:r w:rsidRPr="008F0E7C">
        <w:rPr>
          <w:rFonts w:cs="Arial"/>
          <w:bCs/>
          <w:i/>
        </w:rPr>
        <w:t>1884.08</w:t>
      </w:r>
      <w:r w:rsidRPr="008F0E7C">
        <w:rPr>
          <w:rFonts w:cs="Arial"/>
          <w:i/>
        </w:rPr>
        <w:t>.</w:t>
      </w:r>
      <w:r w:rsidRPr="008F0E7C">
        <w:rPr>
          <w:rFonts w:cs="Arial"/>
        </w:rPr>
        <w:t xml:space="preserve"> </w:t>
      </w:r>
      <w:r w:rsidRPr="008F0E7C">
        <w:rPr>
          <w:rFonts w:cs="Arial"/>
          <w:i/>
          <w:iCs/>
        </w:rPr>
        <w:t>[Information Collection Request for]</w:t>
      </w:r>
      <w:r w:rsidRPr="008F0E7C">
        <w:rPr>
          <w:rFonts w:cs="Arial"/>
          <w:bCs/>
        </w:rPr>
        <w:t xml:space="preserve"> Partial Update of the TSCA Section 8(b) Inventory Data Base, Production and Site Report </w:t>
      </w:r>
      <w:r w:rsidRPr="008F0E7C">
        <w:rPr>
          <w:rFonts w:cs="Arial"/>
          <w:i/>
          <w:iCs/>
        </w:rPr>
        <w:t>Supporting Statement for a Request for</w:t>
      </w:r>
      <w:r w:rsidRPr="008F0E7C">
        <w:rPr>
          <w:rFonts w:cs="Arial"/>
          <w:bCs/>
        </w:rPr>
        <w:t xml:space="preserve"> </w:t>
      </w:r>
      <w:r w:rsidRPr="008F0E7C">
        <w:rPr>
          <w:rFonts w:cs="Arial"/>
          <w:i/>
          <w:iCs/>
        </w:rPr>
        <w:t>OMB Review under the Paperwork Reduction Act</w:t>
      </w:r>
      <w:r w:rsidRPr="008F0E7C">
        <w:rPr>
          <w:rFonts w:cs="Arial"/>
        </w:rPr>
        <w:t>. October 14, 2015. EPA-HQ-OPPT-2013-0721-0008.</w:t>
      </w:r>
    </w:p>
    <w:p w:rsidR="008F0E7C" w:rsidP="00B641A6" w:rsidRDefault="008F0E7C" w14:paraId="413B1CC9" w14:textId="67B39A7C">
      <w:pPr>
        <w:pStyle w:val="Reference"/>
        <w:spacing w:after="200"/>
        <w:rPr>
          <w:rFonts w:ascii="Arial" w:hAnsi="Arial" w:cs="Arial"/>
          <w:sz w:val="24"/>
        </w:rPr>
      </w:pPr>
      <w:r w:rsidRPr="008F0E7C">
        <w:rPr>
          <w:rFonts w:ascii="Arial" w:hAnsi="Arial" w:cs="Arial"/>
          <w:sz w:val="24"/>
        </w:rPr>
        <w:t xml:space="preserve">EPA. 2018a. </w:t>
      </w:r>
      <w:r w:rsidRPr="008F0E7C">
        <w:rPr>
          <w:rFonts w:ascii="Arial" w:hAnsi="Arial" w:cs="Arial"/>
          <w:i/>
          <w:sz w:val="24"/>
        </w:rPr>
        <w:t>2016 Chemical Data Reporting (CDR).</w:t>
      </w:r>
      <w:r w:rsidRPr="008F0E7C">
        <w:rPr>
          <w:rFonts w:ascii="Arial" w:hAnsi="Arial" w:cs="Arial"/>
          <w:sz w:val="24"/>
        </w:rPr>
        <w:t xml:space="preserve"> CBI Dataset pulled on October 7, 2017 and developed in the EPAB CDR Database, internal EPA release. Office of Pollution Prevention and Toxics, Economic and Policy Analysis Branch. June 13, 2018.</w:t>
      </w:r>
    </w:p>
    <w:p w:rsidR="008F0E7C" w:rsidP="00852CB1" w:rsidRDefault="008F0E7C" w14:paraId="13CC1E1E" w14:textId="6EB5AB58">
      <w:pPr>
        <w:pStyle w:val="Reference"/>
        <w:spacing w:after="240"/>
        <w:rPr>
          <w:rFonts w:ascii="Arial" w:hAnsi="Arial" w:cs="Arial"/>
          <w:sz w:val="24"/>
        </w:rPr>
      </w:pPr>
      <w:r w:rsidRPr="00852CB1">
        <w:rPr>
          <w:rFonts w:ascii="Arial" w:hAnsi="Arial" w:cs="Arial"/>
          <w:sz w:val="24"/>
        </w:rPr>
        <w:t>EPA. 2018b. ICR No. 1884.10. [Information Collection Request for] Chemical Data Reporting under the Toxic Substances Control Act (TSCA section 8(a)) Supporting Statement for a Request for OMB Review under the Paperwork Reduction Act. October 29, 2018. EPA-HQ-OPPT-2017-0648.</w:t>
      </w:r>
    </w:p>
    <w:p w:rsidRPr="00852CB1" w:rsidR="0096792C" w:rsidP="0096792C" w:rsidRDefault="0096792C" w14:paraId="4A7B4282" w14:textId="2F52A16C">
      <w:pPr>
        <w:pStyle w:val="Reference"/>
        <w:spacing w:after="240"/>
        <w:rPr>
          <w:rFonts w:ascii="Arial" w:hAnsi="Arial" w:cs="Arial"/>
          <w:sz w:val="24"/>
        </w:rPr>
      </w:pPr>
      <w:r w:rsidRPr="0096792C">
        <w:rPr>
          <w:rFonts w:ascii="Arial" w:hAnsi="Arial" w:cs="Arial"/>
          <w:sz w:val="24"/>
        </w:rPr>
        <w:t xml:space="preserve">EPA. </w:t>
      </w:r>
      <w:r w:rsidRPr="00B80EA2">
        <w:rPr>
          <w:rFonts w:ascii="Arial" w:hAnsi="Arial" w:cs="Arial"/>
          <w:sz w:val="24"/>
        </w:rPr>
        <w:t>20</w:t>
      </w:r>
      <w:r w:rsidRPr="00B80EA2" w:rsidR="00B80EA2">
        <w:rPr>
          <w:rFonts w:ascii="Arial" w:hAnsi="Arial" w:cs="Arial"/>
          <w:sz w:val="24"/>
        </w:rPr>
        <w:t>20</w:t>
      </w:r>
      <w:r w:rsidRPr="00B80EA2">
        <w:rPr>
          <w:rFonts w:ascii="Arial" w:hAnsi="Arial" w:cs="Arial"/>
          <w:sz w:val="24"/>
        </w:rPr>
        <w:t>a</w:t>
      </w:r>
      <w:r w:rsidRPr="0096792C">
        <w:rPr>
          <w:rFonts w:ascii="Arial" w:hAnsi="Arial" w:cs="Arial"/>
          <w:sz w:val="24"/>
        </w:rPr>
        <w:t xml:space="preserve">. Economic Analysis for the Final Rule on TSCA Chemical Data Reporting (CDR) Revisions (RIN 2070-AK33). </w:t>
      </w:r>
      <w:r w:rsidR="00B80EA2">
        <w:rPr>
          <w:rFonts w:ascii="Arial" w:hAnsi="Arial" w:cs="Arial"/>
          <w:sz w:val="24"/>
        </w:rPr>
        <w:t xml:space="preserve">April 9, 2020. </w:t>
      </w:r>
      <w:r w:rsidRPr="0096792C">
        <w:rPr>
          <w:rFonts w:ascii="Arial" w:hAnsi="Arial" w:cs="Arial"/>
          <w:sz w:val="24"/>
        </w:rPr>
        <w:t>EPA-HQ-OPPT-2018-0321.</w:t>
      </w:r>
    </w:p>
    <w:p w:rsidR="008F0E7C" w:rsidP="00852CB1" w:rsidRDefault="008F0E7C" w14:paraId="18AC293C" w14:textId="48B7E2DE">
      <w:pPr>
        <w:pStyle w:val="Reference"/>
        <w:spacing w:after="240"/>
        <w:rPr>
          <w:rFonts w:ascii="Arial" w:hAnsi="Arial" w:cs="Arial"/>
          <w:sz w:val="24"/>
        </w:rPr>
      </w:pPr>
      <w:r w:rsidRPr="00852CB1">
        <w:rPr>
          <w:rFonts w:ascii="Arial" w:hAnsi="Arial" w:cs="Arial"/>
          <w:sz w:val="24"/>
        </w:rPr>
        <w:lastRenderedPageBreak/>
        <w:t xml:space="preserve">EPA. </w:t>
      </w:r>
      <w:r w:rsidRPr="00B80EA2">
        <w:rPr>
          <w:rFonts w:ascii="Arial" w:hAnsi="Arial" w:cs="Arial"/>
          <w:sz w:val="24"/>
        </w:rPr>
        <w:t>20</w:t>
      </w:r>
      <w:r w:rsidRPr="00B80EA2" w:rsidR="00B80EA2">
        <w:rPr>
          <w:rFonts w:ascii="Arial" w:hAnsi="Arial" w:cs="Arial"/>
          <w:sz w:val="24"/>
        </w:rPr>
        <w:t>20</w:t>
      </w:r>
      <w:r w:rsidRPr="00B80EA2" w:rsidR="0096792C">
        <w:rPr>
          <w:rFonts w:ascii="Arial" w:hAnsi="Arial" w:cs="Arial"/>
          <w:sz w:val="24"/>
        </w:rPr>
        <w:t>b</w:t>
      </w:r>
      <w:r w:rsidRPr="00852CB1">
        <w:rPr>
          <w:rFonts w:ascii="Arial" w:hAnsi="Arial" w:cs="Arial"/>
          <w:sz w:val="24"/>
        </w:rPr>
        <w:t xml:space="preserve">. </w:t>
      </w:r>
      <w:r w:rsidRPr="006F6524" w:rsidR="006F6524">
        <w:rPr>
          <w:rFonts w:ascii="Arial" w:hAnsi="Arial" w:cs="Arial"/>
          <w:sz w:val="24"/>
        </w:rPr>
        <w:t xml:space="preserve">Economic Analysis for the </w:t>
      </w:r>
      <w:r w:rsidR="006F6524">
        <w:rPr>
          <w:rFonts w:ascii="Arial" w:hAnsi="Arial" w:cs="Arial"/>
          <w:sz w:val="24"/>
        </w:rPr>
        <w:t>Final</w:t>
      </w:r>
      <w:r w:rsidRPr="006F6524" w:rsidR="006F6524">
        <w:rPr>
          <w:rFonts w:ascii="Arial" w:hAnsi="Arial" w:cs="Arial"/>
          <w:sz w:val="24"/>
        </w:rPr>
        <w:t xml:space="preserve"> Rule on the TSCA Section 8(a) Small Manufacturer Definition Update (RIN 2070-AK33). Economic and Policy Analysis Branch Chemistry, Economics, and Sustainable Strategies Division, Office of Pollution Prevention and Toxics, U.S. Environmental Protection Agency. </w:t>
      </w:r>
      <w:r w:rsidR="00B80EA2">
        <w:rPr>
          <w:rFonts w:ascii="Arial" w:hAnsi="Arial" w:cs="Arial"/>
          <w:sz w:val="24"/>
        </w:rPr>
        <w:t>May 28, 2020</w:t>
      </w:r>
      <w:r w:rsidRPr="006F6524" w:rsidR="006F6524">
        <w:rPr>
          <w:rFonts w:ascii="Arial" w:hAnsi="Arial" w:cs="Arial"/>
          <w:sz w:val="24"/>
        </w:rPr>
        <w:t>. EPA-HQ-OPPT-2018-0321</w:t>
      </w:r>
      <w:r w:rsidRPr="00852CB1">
        <w:rPr>
          <w:rFonts w:ascii="Arial" w:hAnsi="Arial" w:cs="Arial"/>
          <w:sz w:val="24"/>
        </w:rPr>
        <w:t xml:space="preserve">). </w:t>
      </w:r>
    </w:p>
    <w:p w:rsidRPr="00357E8D" w:rsidR="00357E8D" w:rsidP="00357E8D" w:rsidRDefault="00357E8D" w14:paraId="1C85E780" w14:textId="77777777">
      <w:pPr>
        <w:pStyle w:val="Reference"/>
        <w:spacing w:after="240"/>
        <w:rPr>
          <w:rFonts w:ascii="Arial" w:hAnsi="Arial" w:cs="Arial"/>
          <w:sz w:val="24"/>
        </w:rPr>
      </w:pPr>
      <w:r w:rsidRPr="00357E8D">
        <w:rPr>
          <w:rFonts w:ascii="Arial" w:hAnsi="Arial" w:cs="Arial"/>
          <w:sz w:val="24"/>
        </w:rPr>
        <w:t>ICF (ICF International, Inc.). 1982. Analysis of TSCA Section 8(a) Small Manufacturer Exemption.</w:t>
      </w:r>
    </w:p>
    <w:p w:rsidRPr="00852CB1" w:rsidR="008F0E7C" w:rsidP="00852CB1" w:rsidRDefault="008F0E7C" w14:paraId="1FB6AF73" w14:textId="01F9DAE0">
      <w:pPr>
        <w:pStyle w:val="Reference"/>
        <w:spacing w:after="240"/>
        <w:rPr>
          <w:rFonts w:ascii="Arial" w:hAnsi="Arial" w:cs="Arial"/>
          <w:sz w:val="24"/>
        </w:rPr>
      </w:pPr>
      <w:r w:rsidRPr="00852CB1">
        <w:rPr>
          <w:rFonts w:ascii="Arial" w:hAnsi="Arial" w:cs="Arial"/>
          <w:sz w:val="24"/>
        </w:rPr>
        <w:t xml:space="preserve">OPM (Office of Personnel Management). 2018. Salary Table 2018-DCB. </w:t>
      </w:r>
      <w:r w:rsidR="00DD34F1">
        <w:rPr>
          <w:rFonts w:ascii="Arial" w:hAnsi="Arial" w:cs="Arial"/>
          <w:sz w:val="24"/>
        </w:rPr>
        <w:t>F</w:t>
      </w:r>
      <w:r w:rsidRPr="00852CB1">
        <w:rPr>
          <w:rFonts w:ascii="Arial" w:hAnsi="Arial" w:cs="Arial"/>
          <w:sz w:val="24"/>
        </w:rPr>
        <w:t xml:space="preserve">rom Pay &amp; Leave: Salaries &amp; Wages: </w:t>
      </w:r>
      <w:hyperlink w:history="1" r:id="rId18">
        <w:r w:rsidRPr="00852CB1">
          <w:rPr>
            <w:rFonts w:ascii="Arial" w:hAnsi="Arial" w:cs="Arial"/>
            <w:sz w:val="24"/>
          </w:rPr>
          <w:t>https://www.opm.gov/policy-data-oversight/pay-leave/salaries-wages/salary-tables/18Tables/html/DCB_h.aspx</w:t>
        </w:r>
      </w:hyperlink>
      <w:r w:rsidRPr="00852CB1">
        <w:rPr>
          <w:rFonts w:ascii="Arial" w:hAnsi="Arial" w:cs="Arial"/>
          <w:sz w:val="24"/>
        </w:rPr>
        <w:t>.</w:t>
      </w:r>
      <w:r w:rsidR="00DD34F1">
        <w:rPr>
          <w:rFonts w:ascii="Arial" w:hAnsi="Arial" w:cs="Arial"/>
          <w:sz w:val="24"/>
        </w:rPr>
        <w:t xml:space="preserve"> (Accessed October 18, 2019).</w:t>
      </w:r>
    </w:p>
    <w:p w:rsidR="008F0E7C" w:rsidP="00852CB1" w:rsidRDefault="008F0E7C" w14:paraId="3E75A1A6" w14:textId="258C65B7">
      <w:pPr>
        <w:pStyle w:val="Reference"/>
        <w:spacing w:after="240"/>
        <w:rPr>
          <w:rFonts w:ascii="Arial" w:hAnsi="Arial" w:cs="Arial"/>
          <w:sz w:val="24"/>
        </w:rPr>
      </w:pPr>
      <w:r w:rsidRPr="00852CB1">
        <w:rPr>
          <w:rFonts w:ascii="Arial" w:hAnsi="Arial" w:cs="Arial"/>
          <w:sz w:val="24"/>
        </w:rPr>
        <w:t>Rice. 2002. Wage Rates for Economic Analysis of the Toxics Release Inventory Program. June 10, 2002.</w:t>
      </w:r>
      <w:bookmarkEnd w:id="59"/>
      <w:bookmarkEnd w:id="60"/>
      <w:r w:rsidRPr="00852CB1">
        <w:rPr>
          <w:rFonts w:ascii="Arial" w:hAnsi="Arial" w:cs="Arial"/>
          <w:sz w:val="24"/>
        </w:rPr>
        <w:t xml:space="preserve"> </w:t>
      </w:r>
    </w:p>
    <w:p w:rsidRPr="00712820" w:rsidR="00712820" w:rsidP="0089537C" w:rsidRDefault="00712820" w14:paraId="6BFCC3B9" w14:textId="77777777">
      <w:pPr>
        <w:pStyle w:val="Sources"/>
        <w:ind w:left="360" w:hanging="360"/>
        <w:rPr>
          <w:rFonts w:ascii="Arial" w:hAnsi="Arial" w:cs="Arial" w:eastAsiaTheme="minorHAnsi"/>
          <w:color w:val="000000"/>
          <w:sz w:val="24"/>
          <w:szCs w:val="24"/>
        </w:rPr>
      </w:pPr>
      <w:bookmarkStart w:name="_Hlk532822063" w:id="62"/>
      <w:r w:rsidRPr="00712820">
        <w:rPr>
          <w:rFonts w:ascii="Arial" w:hAnsi="Arial" w:cs="Arial" w:eastAsiaTheme="minorHAnsi"/>
          <w:color w:val="000000"/>
          <w:sz w:val="24"/>
          <w:szCs w:val="24"/>
        </w:rPr>
        <w:t xml:space="preserve">SBA (U.S. Small Business Administration). 2009. SBA Size Standards Methodology. SBA Size Standards Division, Office of Government Contracting and Business Development. </w:t>
      </w:r>
      <w:hyperlink w:history="1" r:id="rId19">
        <w:r w:rsidRPr="00712820">
          <w:rPr>
            <w:rFonts w:ascii="Arial" w:hAnsi="Arial" w:cs="Arial" w:eastAsiaTheme="minorHAnsi"/>
            <w:color w:val="000000"/>
            <w:sz w:val="24"/>
            <w:szCs w:val="24"/>
          </w:rPr>
          <w:t>https://www.sba.gov/sites/default/files/2018-02/size_standards_methodology.pdf</w:t>
        </w:r>
      </w:hyperlink>
      <w:r w:rsidRPr="00712820">
        <w:rPr>
          <w:rFonts w:ascii="Arial" w:hAnsi="Arial" w:cs="Arial" w:eastAsiaTheme="minorHAnsi"/>
          <w:color w:val="000000"/>
          <w:sz w:val="24"/>
          <w:szCs w:val="24"/>
        </w:rPr>
        <w:t xml:space="preserve">. (Accessed December 17, 2018). </w:t>
      </w:r>
    </w:p>
    <w:bookmarkEnd w:id="62"/>
    <w:p w:rsidR="00176A48" w:rsidP="00176A48" w:rsidRDefault="00712820" w14:paraId="217E283F" w14:textId="0404B299">
      <w:pPr>
        <w:pStyle w:val="BodyText"/>
        <w:ind w:left="360" w:hanging="360"/>
        <w:rPr>
          <w:rFonts w:cs="Arial" w:eastAsiaTheme="minorHAnsi"/>
          <w:color w:val="000000"/>
          <w:szCs w:val="24"/>
        </w:rPr>
      </w:pPr>
      <w:r w:rsidRPr="00712820">
        <w:rPr>
          <w:rFonts w:cs="Arial" w:eastAsiaTheme="minorHAnsi"/>
          <w:color w:val="000000"/>
          <w:szCs w:val="24"/>
        </w:rPr>
        <w:t xml:space="preserve">SBA. 2019. SBA Size Standards Methodology. SBA Size Standards Division, Office of Government Contracting and Business Development. </w:t>
      </w:r>
      <w:hyperlink w:history="1" r:id="rId20">
        <w:r w:rsidRPr="00712820">
          <w:rPr>
            <w:rFonts w:cs="Arial" w:eastAsiaTheme="minorHAnsi"/>
            <w:color w:val="000000"/>
            <w:szCs w:val="24"/>
          </w:rPr>
          <w:t>https://www.sba.gov/document/support--size-standards-methodology-white-paper</w:t>
        </w:r>
      </w:hyperlink>
      <w:r w:rsidRPr="00712820">
        <w:rPr>
          <w:rFonts w:cs="Arial" w:eastAsiaTheme="minorHAnsi"/>
          <w:color w:val="000000"/>
          <w:szCs w:val="24"/>
        </w:rPr>
        <w:t xml:space="preserve">. (Accessed October 22, 2019). </w:t>
      </w:r>
    </w:p>
    <w:p w:rsidRPr="008A7FB7" w:rsidR="00176A48" w:rsidP="00176A48" w:rsidRDefault="00176A48" w14:paraId="434449DC" w14:textId="77777777">
      <w:pPr>
        <w:pStyle w:val="BodyText"/>
      </w:pPr>
    </w:p>
    <w:p w:rsidRPr="0068315F" w:rsidR="00176A48" w:rsidP="00176A48" w:rsidRDefault="00176A48" w14:paraId="7FDAB2A7" w14:textId="5E4BFCF2">
      <w:pPr>
        <w:pStyle w:val="Heading1"/>
        <w:numPr>
          <w:ilvl w:val="0"/>
          <w:numId w:val="3"/>
        </w:numPr>
        <w:rPr>
          <w:lang w:bidi="en-US"/>
        </w:rPr>
      </w:pPr>
      <w:bookmarkStart w:name="_Toc42177042" w:id="63"/>
      <w:r>
        <w:rPr>
          <w:lang w:bidi="en-US"/>
        </w:rPr>
        <w:t>APPENDICES</w:t>
      </w:r>
      <w:bookmarkEnd w:id="63"/>
    </w:p>
    <w:p w:rsidRPr="00852CB1" w:rsidR="00324F8B" w:rsidP="00852CB1" w:rsidRDefault="00324F8B" w14:paraId="2B34499F" w14:textId="04B80F74">
      <w:pPr>
        <w:pStyle w:val="Reference"/>
        <w:spacing w:after="240"/>
        <w:rPr>
          <w:rFonts w:ascii="Arial" w:hAnsi="Arial" w:cs="Arial"/>
          <w:sz w:val="24"/>
        </w:rPr>
      </w:pPr>
      <w:r w:rsidRPr="00852CB1">
        <w:rPr>
          <w:rFonts w:ascii="Arial" w:hAnsi="Arial" w:cs="Arial"/>
          <w:sz w:val="24"/>
        </w:rPr>
        <w:br w:type="page"/>
      </w:r>
    </w:p>
    <w:p w:rsidRPr="00431919" w:rsidR="00324F8B" w:rsidP="00820169" w:rsidRDefault="00324F8B" w14:paraId="78B8FCC5" w14:textId="5FCF7591">
      <w:pPr>
        <w:pStyle w:val="Heading7"/>
      </w:pPr>
      <w:bookmarkStart w:name="_Toc42177043" w:id="64"/>
      <w:r w:rsidRPr="00431919">
        <w:lastRenderedPageBreak/>
        <w:t>Detailed Derivation of Agency Burden and Cost</w:t>
      </w:r>
      <w:bookmarkEnd w:id="64"/>
    </w:p>
    <w:p w:rsidR="00324F8B" w:rsidP="00BB0BA7" w:rsidRDefault="00324F8B" w14:paraId="6BC615F6" w14:textId="3CC0DB96">
      <w:pPr>
        <w:rPr>
          <w:b/>
        </w:rPr>
      </w:pPr>
      <w:bookmarkStart w:name="_Hlk23940184" w:id="65"/>
      <w:r w:rsidRPr="00BB0BA7">
        <w:rPr>
          <w:b/>
        </w:rPr>
        <w:t>EPA Staff Activities</w:t>
      </w:r>
    </w:p>
    <w:p w:rsidRPr="00E43E85" w:rsidR="00324F8B" w:rsidP="00324F8B" w:rsidRDefault="00324F8B" w14:paraId="29457D13" w14:textId="77777777">
      <w:pPr>
        <w:pStyle w:val="BodyText"/>
      </w:pPr>
      <w:r>
        <w:t xml:space="preserve">EPA activities affected by the rule involve submission receipt and tracking, data review, and quality control. Agency burden is reduced given that these activities are related to the quantity of sites, chemical reports, and CDX registrations, all of which decrease under the rule. The following analysis of Agency burden is limited to incremental change in these variable costs, since fixed costs do not change. Additionally, </w:t>
      </w:r>
      <w:r w:rsidRPr="00E43E85">
        <w:t>costs related to EPA activities that involve data</w:t>
      </w:r>
      <w:r>
        <w:t xml:space="preserve"> use</w:t>
      </w:r>
      <w:r w:rsidRPr="00E43E85">
        <w:t xml:space="preserve"> are not included. </w:t>
      </w:r>
    </w:p>
    <w:p w:rsidR="00324F8B" w:rsidP="00324F8B" w:rsidRDefault="00324F8B" w14:paraId="69DBFB5F" w14:textId="77777777">
      <w:pPr>
        <w:pStyle w:val="BodyText"/>
      </w:pPr>
      <w:r w:rsidRPr="008A7FB7">
        <w:t>Agency personnel are responsible for quality control of data</w:t>
      </w:r>
      <w:r>
        <w:t xml:space="preserve">, while contractors perform data processing tasks. Additionally, change in number of CDX registrations is considered to be negligible, and therefore for ease of presentation is not included in estimate of associated Agency cost. </w:t>
      </w:r>
    </w:p>
    <w:p w:rsidR="00324F8B" w:rsidP="00324F8B" w:rsidRDefault="00324F8B" w14:paraId="37475191" w14:textId="1176B474">
      <w:pPr>
        <w:pStyle w:val="BodyText"/>
      </w:pPr>
      <w:r w:rsidRPr="008A7FB7">
        <w:t>EPA labor costs are based on annual federal wage rates</w:t>
      </w:r>
      <w:r>
        <w:t>,</w:t>
      </w:r>
      <w:r w:rsidRPr="008A7FB7">
        <w:t xml:space="preserve"> </w:t>
      </w:r>
      <w:r>
        <w:t xml:space="preserve">as presented in </w:t>
      </w:r>
      <w:r w:rsidR="00623383">
        <w:fldChar w:fldCharType="begin"/>
      </w:r>
      <w:r w:rsidR="00623383">
        <w:instrText xml:space="preserve"> REF _Ref28934922 \h </w:instrText>
      </w:r>
      <w:r w:rsidR="00623383">
        <w:fldChar w:fldCharType="separate"/>
      </w:r>
      <w:r w:rsidRPr="00DD7B30" w:rsidR="00590B23">
        <w:t xml:space="preserve">Table </w:t>
      </w:r>
      <w:r w:rsidR="00590B23">
        <w:rPr>
          <w:noProof/>
        </w:rPr>
        <w:t>A</w:t>
      </w:r>
      <w:r w:rsidRPr="00DD7B30" w:rsidR="00590B23">
        <w:noBreakHyphen/>
      </w:r>
      <w:r w:rsidR="00590B23">
        <w:rPr>
          <w:noProof/>
        </w:rPr>
        <w:t>1</w:t>
      </w:r>
      <w:r w:rsidR="00623383">
        <w:fldChar w:fldCharType="end"/>
      </w:r>
      <w:r w:rsidR="00CC3895">
        <w:t xml:space="preserve">. </w:t>
      </w:r>
      <w:r>
        <w:t>As in the ICR renewal (EPA, 2018b), a GS-12 Step 3 is assumed for program staff hours and a GS-13</w:t>
      </w:r>
      <w:r w:rsidRPr="008A7FB7">
        <w:t xml:space="preserve"> Step 3 is assumed for </w:t>
      </w:r>
      <w:r>
        <w:t xml:space="preserve">information technology (IT) staff hours. </w:t>
      </w:r>
      <w:r w:rsidRPr="008A7FB7">
        <w:t xml:space="preserve"> </w:t>
      </w:r>
    </w:p>
    <w:tbl>
      <w:tblPr>
        <w:tblW w:w="5000" w:type="pct"/>
        <w:jc w:val="center"/>
        <w:tblLook w:val="04A0" w:firstRow="1" w:lastRow="0" w:firstColumn="1" w:lastColumn="0" w:noHBand="0" w:noVBand="1"/>
      </w:tblPr>
      <w:tblGrid>
        <w:gridCol w:w="1113"/>
        <w:gridCol w:w="1782"/>
        <w:gridCol w:w="1205"/>
        <w:gridCol w:w="953"/>
        <w:gridCol w:w="1189"/>
        <w:gridCol w:w="1111"/>
        <w:gridCol w:w="1539"/>
        <w:gridCol w:w="1188"/>
      </w:tblGrid>
      <w:tr w:rsidRPr="003D75E2" w:rsidR="00324F8B" w:rsidTr="008F2224" w14:paraId="11F8DEB8" w14:textId="77777777">
        <w:trPr>
          <w:tblHeader/>
          <w:jc w:val="center"/>
        </w:trPr>
        <w:tc>
          <w:tcPr>
            <w:tcW w:w="10080" w:type="dxa"/>
            <w:gridSpan w:val="8"/>
            <w:tcBorders>
              <w:bottom w:val="single" w:color="auto" w:sz="4" w:space="0"/>
            </w:tcBorders>
            <w:shd w:val="clear" w:color="auto" w:fill="auto"/>
            <w:vAlign w:val="center"/>
          </w:tcPr>
          <w:p w:rsidRPr="00DD7B30" w:rsidR="00324F8B" w:rsidP="00B641A6" w:rsidRDefault="00623383" w14:paraId="4610EA49" w14:textId="170CC3EC">
            <w:pPr>
              <w:pStyle w:val="Caption"/>
              <w:spacing w:before="40" w:after="40"/>
            </w:pPr>
            <w:bookmarkStart w:name="_Ref28934922" w:id="66"/>
            <w:bookmarkStart w:name="_Toc28935280" w:id="67"/>
            <w:r w:rsidRPr="00DD7B30">
              <w:t xml:space="preserve">Table </w:t>
            </w:r>
            <w:fldSimple w:instr=" STYLEREF 7 \s ">
              <w:r w:rsidR="00590B23">
                <w:rPr>
                  <w:noProof/>
                </w:rPr>
                <w:t>A</w:t>
              </w:r>
            </w:fldSimple>
            <w:r w:rsidRPr="00DD7B30" w:rsidR="00B60B34">
              <w:noBreakHyphen/>
            </w:r>
            <w:fldSimple w:instr=" SEQ Table_Apx \* ARABIC \s 7 ">
              <w:r w:rsidR="00590B23">
                <w:rPr>
                  <w:noProof/>
                </w:rPr>
                <w:t>1</w:t>
              </w:r>
            </w:fldSimple>
            <w:bookmarkEnd w:id="66"/>
            <w:r w:rsidRPr="00DD7B30">
              <w:t>:</w:t>
            </w:r>
            <w:r w:rsidRPr="00DD7B30" w:rsidR="00A968E8">
              <w:t xml:space="preserve"> Agency Wage Rate (2018$)</w:t>
            </w:r>
            <w:bookmarkEnd w:id="67"/>
          </w:p>
        </w:tc>
      </w:tr>
      <w:tr w:rsidRPr="003D75E2" w:rsidR="00324F8B" w:rsidTr="008F2224" w14:paraId="57468859" w14:textId="77777777">
        <w:trPr>
          <w:tblHeader/>
          <w:jc w:val="center"/>
        </w:trPr>
        <w:tc>
          <w:tcPr>
            <w:tcW w:w="1113"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192DF6" w:rsidRDefault="00324F8B" w14:paraId="1384F769" w14:textId="77777777">
            <w:pPr>
              <w:jc w:val="center"/>
              <w:rPr>
                <w:rFonts w:ascii="Arial Narrow" w:hAnsi="Arial Narrow"/>
                <w:b/>
                <w:sz w:val="18"/>
                <w:szCs w:val="18"/>
              </w:rPr>
            </w:pPr>
            <w:r w:rsidRPr="006B5FC6">
              <w:rPr>
                <w:rFonts w:ascii="Arial Narrow" w:hAnsi="Arial Narrow"/>
                <w:b/>
                <w:sz w:val="18"/>
                <w:szCs w:val="18"/>
              </w:rPr>
              <w:t>Labor Category</w:t>
            </w:r>
          </w:p>
        </w:tc>
        <w:tc>
          <w:tcPr>
            <w:tcW w:w="1782"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6F144451" w14:textId="77777777">
            <w:pPr>
              <w:spacing w:before="40" w:after="40"/>
              <w:jc w:val="center"/>
              <w:rPr>
                <w:rFonts w:ascii="Arial Narrow" w:hAnsi="Arial Narrow"/>
                <w:b/>
                <w:sz w:val="18"/>
                <w:szCs w:val="18"/>
              </w:rPr>
            </w:pPr>
            <w:r w:rsidRPr="006B5FC6">
              <w:rPr>
                <w:rFonts w:ascii="Arial Narrow" w:hAnsi="Arial Narrow"/>
                <w:b/>
                <w:sz w:val="18"/>
                <w:szCs w:val="18"/>
              </w:rPr>
              <w:t>Data Source for Wage Information</w:t>
            </w:r>
          </w:p>
        </w:tc>
        <w:tc>
          <w:tcPr>
            <w:tcW w:w="12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778DDB12" w14:textId="77777777">
            <w:pPr>
              <w:spacing w:before="40" w:after="40"/>
              <w:jc w:val="center"/>
              <w:rPr>
                <w:rFonts w:ascii="Arial Narrow" w:hAnsi="Arial Narrow"/>
                <w:b/>
                <w:sz w:val="18"/>
                <w:szCs w:val="18"/>
              </w:rPr>
            </w:pPr>
            <w:r w:rsidRPr="006B5FC6">
              <w:rPr>
                <w:rFonts w:ascii="Arial Narrow" w:hAnsi="Arial Narrow"/>
                <w:b/>
                <w:sz w:val="18"/>
                <w:szCs w:val="18"/>
              </w:rPr>
              <w:t>Wage ($/hour)</w:t>
            </w:r>
            <w:r w:rsidRPr="006B5FC6">
              <w:rPr>
                <w:rFonts w:ascii="Arial Narrow" w:hAnsi="Arial Narrow"/>
                <w:b/>
                <w:sz w:val="18"/>
                <w:szCs w:val="18"/>
                <w:vertAlign w:val="superscript"/>
              </w:rPr>
              <w:t>1</w:t>
            </w:r>
          </w:p>
        </w:tc>
        <w:tc>
          <w:tcPr>
            <w:tcW w:w="95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181A474A" w14:textId="77777777">
            <w:pPr>
              <w:spacing w:before="40" w:after="40"/>
              <w:jc w:val="center"/>
              <w:rPr>
                <w:rFonts w:ascii="Arial Narrow" w:hAnsi="Arial Narrow"/>
                <w:b/>
                <w:sz w:val="18"/>
                <w:szCs w:val="18"/>
              </w:rPr>
            </w:pPr>
            <w:r w:rsidRPr="006B5FC6">
              <w:rPr>
                <w:rFonts w:ascii="Arial Narrow" w:hAnsi="Arial Narrow"/>
                <w:b/>
                <w:sz w:val="18"/>
                <w:szCs w:val="18"/>
              </w:rPr>
              <w:t>Fringe Benefit</w:t>
            </w:r>
          </w:p>
        </w:tc>
        <w:tc>
          <w:tcPr>
            <w:tcW w:w="118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432D9E33" w14:textId="77777777">
            <w:pPr>
              <w:spacing w:before="40" w:after="40"/>
              <w:jc w:val="center"/>
              <w:rPr>
                <w:rFonts w:ascii="Arial Narrow" w:hAnsi="Arial Narrow"/>
                <w:b/>
                <w:sz w:val="18"/>
                <w:szCs w:val="18"/>
              </w:rPr>
            </w:pPr>
            <w:r w:rsidRPr="006B5FC6">
              <w:rPr>
                <w:rFonts w:ascii="Arial Narrow" w:hAnsi="Arial Narrow"/>
                <w:b/>
                <w:sz w:val="18"/>
                <w:szCs w:val="18"/>
              </w:rPr>
              <w:t xml:space="preserve">Fringes as % </w:t>
            </w:r>
            <w:r>
              <w:rPr>
                <w:rFonts w:ascii="Arial Narrow" w:hAnsi="Arial Narrow"/>
                <w:b/>
                <w:sz w:val="18"/>
                <w:szCs w:val="18"/>
              </w:rPr>
              <w:t>W</w:t>
            </w:r>
            <w:r w:rsidRPr="006B5FC6">
              <w:rPr>
                <w:rFonts w:ascii="Arial Narrow" w:hAnsi="Arial Narrow"/>
                <w:b/>
                <w:sz w:val="18"/>
                <w:szCs w:val="18"/>
              </w:rPr>
              <w:t>age</w:t>
            </w:r>
          </w:p>
        </w:tc>
        <w:tc>
          <w:tcPr>
            <w:tcW w:w="1111"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481AECD5" w14:textId="77777777">
            <w:pPr>
              <w:spacing w:before="40" w:after="40"/>
              <w:jc w:val="center"/>
              <w:rPr>
                <w:rFonts w:ascii="Arial Narrow" w:hAnsi="Arial Narrow"/>
                <w:b/>
                <w:sz w:val="18"/>
                <w:szCs w:val="18"/>
              </w:rPr>
            </w:pPr>
            <w:r w:rsidRPr="006B5FC6">
              <w:rPr>
                <w:rFonts w:ascii="Arial Narrow" w:hAnsi="Arial Narrow"/>
                <w:b/>
                <w:sz w:val="18"/>
                <w:szCs w:val="18"/>
              </w:rPr>
              <w:t xml:space="preserve">Overhead as % </w:t>
            </w:r>
            <w:r>
              <w:rPr>
                <w:rFonts w:ascii="Arial Narrow" w:hAnsi="Arial Narrow"/>
                <w:b/>
                <w:sz w:val="18"/>
                <w:szCs w:val="18"/>
              </w:rPr>
              <w:t>W</w:t>
            </w:r>
            <w:r w:rsidRPr="006B5FC6">
              <w:rPr>
                <w:rFonts w:ascii="Arial Narrow" w:hAnsi="Arial Narrow"/>
                <w:b/>
                <w:sz w:val="18"/>
                <w:szCs w:val="18"/>
              </w:rPr>
              <w:t>age</w:t>
            </w:r>
            <w:r w:rsidRPr="006B5FC6">
              <w:rPr>
                <w:rFonts w:ascii="Arial Narrow" w:hAnsi="Arial Narrow"/>
                <w:b/>
                <w:sz w:val="18"/>
                <w:szCs w:val="18"/>
                <w:vertAlign w:val="superscript"/>
              </w:rPr>
              <w:t>2</w:t>
            </w:r>
          </w:p>
        </w:tc>
        <w:tc>
          <w:tcPr>
            <w:tcW w:w="153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192DF6" w:rsidRDefault="00324F8B" w14:paraId="4BFC8D35" w14:textId="77777777">
            <w:pPr>
              <w:jc w:val="center"/>
              <w:rPr>
                <w:rFonts w:ascii="Arial Narrow" w:hAnsi="Arial Narrow"/>
                <w:b/>
                <w:sz w:val="18"/>
                <w:szCs w:val="18"/>
              </w:rPr>
            </w:pPr>
            <w:r w:rsidRPr="006B5FC6">
              <w:rPr>
                <w:rFonts w:ascii="Arial Narrow" w:hAnsi="Arial Narrow"/>
                <w:b/>
                <w:sz w:val="18"/>
                <w:szCs w:val="18"/>
              </w:rPr>
              <w:t>Fringe + Overhead Factor</w:t>
            </w:r>
          </w:p>
        </w:tc>
        <w:tc>
          <w:tcPr>
            <w:tcW w:w="118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192DF6" w:rsidRDefault="00324F8B" w14:paraId="32C1FE53" w14:textId="77777777">
            <w:pPr>
              <w:jc w:val="center"/>
              <w:rPr>
                <w:rFonts w:ascii="Arial Narrow" w:hAnsi="Arial Narrow"/>
                <w:b/>
                <w:bCs/>
                <w:sz w:val="18"/>
                <w:szCs w:val="18"/>
              </w:rPr>
            </w:pPr>
            <w:r w:rsidRPr="0B02F8A5">
              <w:rPr>
                <w:rFonts w:ascii="Arial Narrow" w:hAnsi="Arial Narrow"/>
                <w:b/>
                <w:bCs/>
                <w:sz w:val="18"/>
                <w:szCs w:val="18"/>
              </w:rPr>
              <w:t>Loaded Wage ($/h</w:t>
            </w:r>
            <w:r>
              <w:rPr>
                <w:rFonts w:ascii="Arial Narrow" w:hAnsi="Arial Narrow"/>
                <w:b/>
                <w:bCs/>
                <w:sz w:val="18"/>
                <w:szCs w:val="18"/>
              </w:rPr>
              <w:t>ou</w:t>
            </w:r>
            <w:r w:rsidRPr="0B02F8A5">
              <w:rPr>
                <w:rFonts w:ascii="Arial Narrow" w:hAnsi="Arial Narrow"/>
                <w:b/>
                <w:bCs/>
                <w:sz w:val="18"/>
                <w:szCs w:val="18"/>
              </w:rPr>
              <w:t>r)</w:t>
            </w:r>
          </w:p>
        </w:tc>
      </w:tr>
      <w:tr w:rsidRPr="003D75E2" w:rsidR="00324F8B" w:rsidTr="008F2224" w14:paraId="1C1B8CAC" w14:textId="77777777">
        <w:trPr>
          <w:tblHeader/>
          <w:jc w:val="center"/>
        </w:trPr>
        <w:tc>
          <w:tcPr>
            <w:tcW w:w="1113" w:type="dxa"/>
            <w:vMerge/>
            <w:tcBorders>
              <w:top w:val="single" w:color="auto" w:sz="4" w:space="0"/>
              <w:left w:val="single" w:color="auto" w:sz="4" w:space="0"/>
              <w:bottom w:val="single" w:color="auto" w:sz="4" w:space="0"/>
              <w:right w:val="single" w:color="auto" w:sz="4" w:space="0"/>
            </w:tcBorders>
            <w:shd w:val="clear" w:color="auto" w:fill="BFBFBF"/>
            <w:vAlign w:val="bottom"/>
            <w:hideMark/>
          </w:tcPr>
          <w:p w:rsidRPr="006B5FC6" w:rsidR="00324F8B" w:rsidP="00192DF6" w:rsidRDefault="00324F8B" w14:paraId="47E9A223" w14:textId="77777777">
            <w:pPr>
              <w:jc w:val="center"/>
              <w:rPr>
                <w:rFonts w:ascii="Arial Narrow" w:hAnsi="Arial Narrow"/>
                <w:b/>
                <w:sz w:val="18"/>
                <w:szCs w:val="18"/>
              </w:rPr>
            </w:pPr>
          </w:p>
        </w:tc>
        <w:tc>
          <w:tcPr>
            <w:tcW w:w="0" w:type="auto"/>
            <w:vMerge/>
            <w:tcBorders>
              <w:top w:val="single" w:color="auto" w:sz="4" w:space="0"/>
              <w:left w:val="single" w:color="auto" w:sz="4" w:space="0"/>
              <w:bottom w:val="single" w:color="auto" w:sz="4" w:space="0"/>
              <w:right w:val="single" w:color="auto" w:sz="4" w:space="0"/>
            </w:tcBorders>
            <w:shd w:val="clear" w:color="auto" w:fill="BFBFBF"/>
            <w:vAlign w:val="bottom"/>
            <w:hideMark/>
          </w:tcPr>
          <w:p w:rsidRPr="006B5FC6" w:rsidR="00324F8B" w:rsidP="00B641A6" w:rsidRDefault="00324F8B" w14:paraId="68FDF074" w14:textId="77777777">
            <w:pPr>
              <w:spacing w:before="40" w:after="40"/>
              <w:jc w:val="center"/>
              <w:rPr>
                <w:rFonts w:ascii="Arial Narrow" w:hAnsi="Arial Narrow"/>
                <w:b/>
                <w:sz w:val="18"/>
                <w:szCs w:val="18"/>
              </w:rPr>
            </w:pPr>
          </w:p>
        </w:tc>
        <w:tc>
          <w:tcPr>
            <w:tcW w:w="12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70FE86E0" w14:textId="77777777">
            <w:pPr>
              <w:spacing w:before="40" w:after="40"/>
              <w:jc w:val="center"/>
              <w:rPr>
                <w:rFonts w:ascii="Arial Narrow" w:hAnsi="Arial Narrow"/>
                <w:b/>
                <w:sz w:val="18"/>
                <w:szCs w:val="18"/>
              </w:rPr>
            </w:pPr>
            <w:r w:rsidRPr="006B5FC6">
              <w:rPr>
                <w:rFonts w:ascii="Arial Narrow" w:hAnsi="Arial Narrow"/>
                <w:b/>
                <w:sz w:val="18"/>
                <w:szCs w:val="18"/>
              </w:rPr>
              <w:t>(a)</w:t>
            </w:r>
          </w:p>
        </w:tc>
        <w:tc>
          <w:tcPr>
            <w:tcW w:w="95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6F893F6D" w14:textId="77777777">
            <w:pPr>
              <w:spacing w:before="40" w:after="40"/>
              <w:jc w:val="center"/>
              <w:rPr>
                <w:rFonts w:ascii="Arial Narrow" w:hAnsi="Arial Narrow"/>
                <w:b/>
                <w:sz w:val="18"/>
                <w:szCs w:val="18"/>
              </w:rPr>
            </w:pPr>
            <w:r w:rsidRPr="006B5FC6">
              <w:rPr>
                <w:rFonts w:ascii="Arial Narrow" w:hAnsi="Arial Narrow"/>
                <w:b/>
                <w:sz w:val="18"/>
                <w:szCs w:val="18"/>
              </w:rPr>
              <w:t>(b)</w:t>
            </w:r>
          </w:p>
        </w:tc>
        <w:tc>
          <w:tcPr>
            <w:tcW w:w="118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7F5322C4" w14:textId="77777777">
            <w:pPr>
              <w:spacing w:before="40" w:after="40"/>
              <w:jc w:val="center"/>
              <w:rPr>
                <w:rFonts w:ascii="Arial Narrow" w:hAnsi="Arial Narrow"/>
                <w:b/>
                <w:sz w:val="18"/>
                <w:szCs w:val="18"/>
              </w:rPr>
            </w:pPr>
            <w:r w:rsidRPr="006B5FC6">
              <w:rPr>
                <w:rFonts w:ascii="Arial Narrow" w:hAnsi="Arial Narrow"/>
                <w:b/>
                <w:sz w:val="18"/>
                <w:szCs w:val="18"/>
              </w:rPr>
              <w:t>(c)=(b)/(a)</w:t>
            </w:r>
          </w:p>
        </w:tc>
        <w:tc>
          <w:tcPr>
            <w:tcW w:w="1111"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B641A6" w:rsidRDefault="00324F8B" w14:paraId="3369C83E" w14:textId="77777777">
            <w:pPr>
              <w:spacing w:before="40" w:after="40"/>
              <w:jc w:val="center"/>
              <w:rPr>
                <w:rFonts w:ascii="Arial Narrow" w:hAnsi="Arial Narrow"/>
                <w:b/>
                <w:sz w:val="18"/>
                <w:szCs w:val="18"/>
              </w:rPr>
            </w:pPr>
            <w:r w:rsidRPr="006B5FC6">
              <w:rPr>
                <w:rFonts w:ascii="Arial Narrow" w:hAnsi="Arial Narrow"/>
                <w:b/>
                <w:sz w:val="18"/>
                <w:szCs w:val="18"/>
              </w:rPr>
              <w:t>(d)</w:t>
            </w:r>
          </w:p>
        </w:tc>
        <w:tc>
          <w:tcPr>
            <w:tcW w:w="153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192DF6" w:rsidRDefault="00324F8B" w14:paraId="7C33C2EB" w14:textId="77777777">
            <w:pPr>
              <w:jc w:val="center"/>
              <w:rPr>
                <w:rFonts w:ascii="Arial Narrow" w:hAnsi="Arial Narrow"/>
                <w:b/>
                <w:sz w:val="18"/>
                <w:szCs w:val="18"/>
              </w:rPr>
            </w:pPr>
            <w:r w:rsidRPr="006B5FC6">
              <w:rPr>
                <w:rFonts w:ascii="Arial Narrow" w:hAnsi="Arial Narrow"/>
                <w:b/>
                <w:sz w:val="18"/>
                <w:szCs w:val="18"/>
              </w:rPr>
              <w:t>(e)=(c)+(d)+1</w:t>
            </w:r>
          </w:p>
        </w:tc>
        <w:tc>
          <w:tcPr>
            <w:tcW w:w="118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6B5FC6" w:rsidR="00324F8B" w:rsidP="00192DF6" w:rsidRDefault="00324F8B" w14:paraId="68C9ADC0" w14:textId="77777777">
            <w:pPr>
              <w:jc w:val="center"/>
              <w:rPr>
                <w:rFonts w:ascii="Arial Narrow" w:hAnsi="Arial Narrow"/>
                <w:b/>
                <w:sz w:val="18"/>
                <w:szCs w:val="18"/>
              </w:rPr>
            </w:pPr>
            <w:r w:rsidRPr="006B5FC6">
              <w:rPr>
                <w:rFonts w:ascii="Arial Narrow" w:hAnsi="Arial Narrow"/>
                <w:b/>
                <w:sz w:val="18"/>
                <w:szCs w:val="18"/>
              </w:rPr>
              <w:t>(f)=(a)*(e)</w:t>
            </w:r>
          </w:p>
        </w:tc>
      </w:tr>
      <w:tr w:rsidRPr="003D75E2" w:rsidR="00324F8B" w:rsidTr="008F2224" w14:paraId="7FF8EDD0" w14:textId="77777777">
        <w:trPr>
          <w:jc w:val="center"/>
        </w:trPr>
        <w:tc>
          <w:tcPr>
            <w:tcW w:w="1113" w:type="dxa"/>
            <w:tcBorders>
              <w:top w:val="single" w:color="auto" w:sz="4" w:space="0"/>
              <w:left w:val="single" w:color="auto" w:sz="4" w:space="0"/>
              <w:bottom w:val="single" w:color="auto" w:sz="4" w:space="0"/>
              <w:right w:val="single" w:color="auto" w:sz="4" w:space="0"/>
            </w:tcBorders>
            <w:vAlign w:val="center"/>
            <w:hideMark/>
          </w:tcPr>
          <w:p w:rsidRPr="006B5FC6" w:rsidR="00324F8B" w:rsidP="00192DF6" w:rsidRDefault="00324F8B" w14:paraId="67F067DE" w14:textId="77777777">
            <w:pPr>
              <w:rPr>
                <w:rFonts w:ascii="Arial Narrow" w:hAnsi="Arial Narrow"/>
                <w:sz w:val="18"/>
                <w:szCs w:val="18"/>
              </w:rPr>
            </w:pPr>
            <w:r w:rsidRPr="006B5FC6">
              <w:rPr>
                <w:rFonts w:ascii="Arial Narrow" w:hAnsi="Arial Narrow"/>
                <w:sz w:val="18"/>
                <w:szCs w:val="18"/>
              </w:rPr>
              <w:t>EPA program staff</w:t>
            </w:r>
          </w:p>
        </w:tc>
        <w:tc>
          <w:tcPr>
            <w:tcW w:w="1782"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0CCD9122" w14:textId="77777777">
            <w:pPr>
              <w:spacing w:before="40" w:after="40"/>
              <w:rPr>
                <w:rFonts w:ascii="Arial Narrow" w:hAnsi="Arial Narrow"/>
                <w:sz w:val="18"/>
                <w:szCs w:val="18"/>
              </w:rPr>
            </w:pPr>
            <w:r w:rsidRPr="006B5FC6">
              <w:rPr>
                <w:rFonts w:ascii="Arial Narrow" w:hAnsi="Arial Narrow"/>
                <w:sz w:val="18"/>
                <w:szCs w:val="18"/>
              </w:rPr>
              <w:t>Annual federal staff cost: OPM Washington-Baltimore-Northern Virginia, DC-MD-PA-VA-WV area,</w:t>
            </w:r>
            <w:r w:rsidRPr="006B5FC6">
              <w:rPr>
                <w:rFonts w:ascii="Arial Narrow" w:hAnsi="Arial Narrow"/>
                <w:sz w:val="18"/>
                <w:szCs w:val="18"/>
                <w:u w:val="single"/>
              </w:rPr>
              <w:t xml:space="preserve"> </w:t>
            </w:r>
            <w:r w:rsidRPr="006B5FC6">
              <w:rPr>
                <w:rFonts w:ascii="Arial Narrow" w:hAnsi="Arial Narrow"/>
                <w:sz w:val="18"/>
                <w:szCs w:val="18"/>
              </w:rPr>
              <w:t xml:space="preserve">GS-12 Step 3 pay rates </w:t>
            </w:r>
          </w:p>
        </w:tc>
        <w:tc>
          <w:tcPr>
            <w:tcW w:w="1205" w:type="dxa"/>
            <w:tcBorders>
              <w:top w:val="single" w:color="auto" w:sz="4" w:space="0"/>
              <w:left w:val="single" w:color="auto" w:sz="4" w:space="0"/>
              <w:bottom w:val="single" w:color="auto" w:sz="4" w:space="0"/>
              <w:right w:val="single" w:color="auto" w:sz="4" w:space="0"/>
            </w:tcBorders>
            <w:vAlign w:val="center"/>
            <w:hideMark/>
          </w:tcPr>
          <w:p w:rsidRPr="000626DB" w:rsidR="00324F8B" w:rsidP="00B641A6" w:rsidRDefault="00324F8B" w14:paraId="454584E4" w14:textId="77777777">
            <w:pPr>
              <w:spacing w:before="40" w:after="40"/>
              <w:jc w:val="center"/>
              <w:rPr>
                <w:rFonts w:ascii="Arial Narrow" w:hAnsi="Arial Narrow"/>
                <w:sz w:val="18"/>
                <w:szCs w:val="18"/>
              </w:rPr>
            </w:pPr>
            <w:r>
              <w:rPr>
                <w:rFonts w:ascii="Arial Narrow" w:hAnsi="Arial Narrow" w:cs="Calibri"/>
                <w:color w:val="000000"/>
                <w:sz w:val="18"/>
                <w:szCs w:val="18"/>
              </w:rPr>
              <w:t>$41.68</w:t>
            </w:r>
          </w:p>
        </w:tc>
        <w:tc>
          <w:tcPr>
            <w:tcW w:w="953"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1707F9DE" w14:textId="77777777">
            <w:pPr>
              <w:spacing w:before="40" w:after="40"/>
              <w:jc w:val="center"/>
              <w:rPr>
                <w:rFonts w:ascii="Arial Narrow" w:hAnsi="Arial Narrow"/>
                <w:sz w:val="18"/>
                <w:szCs w:val="18"/>
              </w:rPr>
            </w:pPr>
            <w:r w:rsidRPr="006B5FC6">
              <w:rPr>
                <w:rFonts w:ascii="Arial Narrow" w:hAnsi="Arial Narrow"/>
                <w:sz w:val="18"/>
                <w:szCs w:val="18"/>
              </w:rPr>
              <w:t>Included in 60% overhead</w:t>
            </w:r>
          </w:p>
        </w:tc>
        <w:tc>
          <w:tcPr>
            <w:tcW w:w="1189"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280987BA" w14:textId="77777777">
            <w:pPr>
              <w:spacing w:before="40" w:after="40"/>
              <w:jc w:val="center"/>
              <w:rPr>
                <w:rFonts w:ascii="Arial Narrow" w:hAnsi="Arial Narrow"/>
                <w:sz w:val="18"/>
                <w:szCs w:val="18"/>
              </w:rPr>
            </w:pPr>
            <w:r w:rsidRPr="006B5FC6">
              <w:rPr>
                <w:rFonts w:ascii="Arial Narrow" w:hAnsi="Arial Narrow"/>
                <w:sz w:val="18"/>
                <w:szCs w:val="18"/>
              </w:rPr>
              <w:t>N/A</w:t>
            </w:r>
          </w:p>
        </w:tc>
        <w:tc>
          <w:tcPr>
            <w:tcW w:w="1111"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10A8A864" w14:textId="77777777">
            <w:pPr>
              <w:spacing w:before="40" w:after="40"/>
              <w:jc w:val="center"/>
              <w:rPr>
                <w:rFonts w:ascii="Arial Narrow" w:hAnsi="Arial Narrow"/>
                <w:sz w:val="18"/>
                <w:szCs w:val="18"/>
              </w:rPr>
            </w:pPr>
            <w:r w:rsidRPr="006B5FC6">
              <w:rPr>
                <w:rFonts w:ascii="Arial Narrow" w:hAnsi="Arial Narrow"/>
                <w:sz w:val="18"/>
                <w:szCs w:val="18"/>
              </w:rPr>
              <w:t xml:space="preserve">60% </w:t>
            </w:r>
          </w:p>
        </w:tc>
        <w:tc>
          <w:tcPr>
            <w:tcW w:w="1539" w:type="dxa"/>
            <w:tcBorders>
              <w:top w:val="single" w:color="auto" w:sz="4" w:space="0"/>
              <w:left w:val="single" w:color="auto" w:sz="4" w:space="0"/>
              <w:bottom w:val="single" w:color="auto" w:sz="4" w:space="0"/>
              <w:right w:val="single" w:color="auto" w:sz="4" w:space="0"/>
            </w:tcBorders>
            <w:vAlign w:val="center"/>
            <w:hideMark/>
          </w:tcPr>
          <w:p w:rsidRPr="006B5FC6" w:rsidR="00324F8B" w:rsidP="00192DF6" w:rsidRDefault="00324F8B" w14:paraId="3150B22F" w14:textId="77777777">
            <w:pPr>
              <w:jc w:val="center"/>
              <w:rPr>
                <w:rFonts w:ascii="Arial Narrow" w:hAnsi="Arial Narrow"/>
                <w:sz w:val="18"/>
                <w:szCs w:val="18"/>
              </w:rPr>
            </w:pPr>
            <w:r w:rsidRPr="0B02F8A5">
              <w:rPr>
                <w:rFonts w:ascii="Arial Narrow" w:hAnsi="Arial Narrow"/>
                <w:sz w:val="18"/>
                <w:szCs w:val="18"/>
              </w:rPr>
              <w:t>1.6</w:t>
            </w:r>
          </w:p>
        </w:tc>
        <w:tc>
          <w:tcPr>
            <w:tcW w:w="1188" w:type="dxa"/>
            <w:tcBorders>
              <w:top w:val="single" w:color="auto" w:sz="4" w:space="0"/>
              <w:left w:val="single" w:color="auto" w:sz="4" w:space="0"/>
              <w:bottom w:val="single" w:color="auto" w:sz="4" w:space="0"/>
              <w:right w:val="single" w:color="auto" w:sz="4" w:space="0"/>
            </w:tcBorders>
            <w:vAlign w:val="center"/>
            <w:hideMark/>
          </w:tcPr>
          <w:p w:rsidRPr="000626DB" w:rsidR="00324F8B" w:rsidP="00192DF6" w:rsidRDefault="00324F8B" w14:paraId="7FD09534" w14:textId="77777777">
            <w:pPr>
              <w:jc w:val="center"/>
              <w:rPr>
                <w:rFonts w:ascii="Arial Narrow" w:hAnsi="Arial Narrow"/>
                <w:sz w:val="18"/>
                <w:szCs w:val="18"/>
              </w:rPr>
            </w:pPr>
            <w:r>
              <w:rPr>
                <w:rFonts w:ascii="Arial Narrow" w:hAnsi="Arial Narrow" w:cs="Calibri"/>
                <w:color w:val="000000"/>
                <w:sz w:val="18"/>
                <w:szCs w:val="18"/>
              </w:rPr>
              <w:t xml:space="preserve">$66.69 </w:t>
            </w:r>
          </w:p>
        </w:tc>
      </w:tr>
      <w:tr w:rsidRPr="003D75E2" w:rsidR="00324F8B" w:rsidTr="008F2224" w14:paraId="3A68B3D9" w14:textId="77777777">
        <w:trPr>
          <w:jc w:val="center"/>
        </w:trPr>
        <w:tc>
          <w:tcPr>
            <w:tcW w:w="1113" w:type="dxa"/>
            <w:tcBorders>
              <w:top w:val="single" w:color="auto" w:sz="4" w:space="0"/>
              <w:left w:val="single" w:color="auto" w:sz="4" w:space="0"/>
              <w:bottom w:val="single" w:color="auto" w:sz="4" w:space="0"/>
              <w:right w:val="single" w:color="auto" w:sz="4" w:space="0"/>
            </w:tcBorders>
            <w:vAlign w:val="center"/>
            <w:hideMark/>
          </w:tcPr>
          <w:p w:rsidRPr="006B5FC6" w:rsidR="00324F8B" w:rsidP="00192DF6" w:rsidRDefault="00324F8B" w14:paraId="0BC84392" w14:textId="77777777">
            <w:pPr>
              <w:rPr>
                <w:rFonts w:ascii="Arial Narrow" w:hAnsi="Arial Narrow"/>
                <w:sz w:val="18"/>
                <w:szCs w:val="18"/>
              </w:rPr>
            </w:pPr>
            <w:r w:rsidRPr="006B5FC6">
              <w:rPr>
                <w:rFonts w:ascii="Arial Narrow" w:hAnsi="Arial Narrow"/>
                <w:sz w:val="18"/>
                <w:szCs w:val="18"/>
              </w:rPr>
              <w:t>EPA IT staff</w:t>
            </w:r>
          </w:p>
        </w:tc>
        <w:tc>
          <w:tcPr>
            <w:tcW w:w="1782"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1CD4E706" w14:textId="77777777">
            <w:pPr>
              <w:spacing w:before="40" w:after="40"/>
              <w:rPr>
                <w:rFonts w:ascii="Arial Narrow" w:hAnsi="Arial Narrow"/>
                <w:sz w:val="18"/>
                <w:szCs w:val="18"/>
              </w:rPr>
            </w:pPr>
            <w:r w:rsidRPr="006B5FC6">
              <w:rPr>
                <w:rFonts w:ascii="Arial Narrow" w:hAnsi="Arial Narrow"/>
                <w:sz w:val="18"/>
                <w:szCs w:val="18"/>
              </w:rPr>
              <w:t>Annual federal staff cost: OPM Washington-Baltimore-Northern Virginia, DC-MD-PA-VA-WV area,</w:t>
            </w:r>
            <w:r w:rsidRPr="006B5FC6">
              <w:rPr>
                <w:rFonts w:ascii="Arial Narrow" w:hAnsi="Arial Narrow"/>
                <w:sz w:val="18"/>
                <w:szCs w:val="18"/>
                <w:u w:val="single"/>
              </w:rPr>
              <w:t xml:space="preserve"> </w:t>
            </w:r>
            <w:r w:rsidRPr="006B5FC6">
              <w:rPr>
                <w:rFonts w:ascii="Arial Narrow" w:hAnsi="Arial Narrow"/>
                <w:sz w:val="18"/>
                <w:szCs w:val="18"/>
              </w:rPr>
              <w:t>GS-13 Step 3 pay rates</w:t>
            </w:r>
          </w:p>
        </w:tc>
        <w:tc>
          <w:tcPr>
            <w:tcW w:w="1205" w:type="dxa"/>
            <w:tcBorders>
              <w:top w:val="single" w:color="auto" w:sz="4" w:space="0"/>
              <w:left w:val="single" w:color="auto" w:sz="4" w:space="0"/>
              <w:bottom w:val="single" w:color="auto" w:sz="4" w:space="0"/>
              <w:right w:val="single" w:color="auto" w:sz="4" w:space="0"/>
            </w:tcBorders>
            <w:vAlign w:val="center"/>
            <w:hideMark/>
          </w:tcPr>
          <w:p w:rsidRPr="000626DB" w:rsidR="00324F8B" w:rsidP="00B641A6" w:rsidRDefault="00324F8B" w14:paraId="2EAF8063" w14:textId="77777777">
            <w:pPr>
              <w:spacing w:before="40" w:after="40"/>
              <w:jc w:val="center"/>
              <w:rPr>
                <w:rFonts w:ascii="Arial Narrow" w:hAnsi="Arial Narrow"/>
                <w:sz w:val="18"/>
                <w:szCs w:val="18"/>
              </w:rPr>
            </w:pPr>
            <w:r>
              <w:rPr>
                <w:rFonts w:ascii="Arial Narrow" w:hAnsi="Arial Narrow" w:cs="Calibri"/>
                <w:color w:val="000000"/>
                <w:sz w:val="18"/>
                <w:szCs w:val="18"/>
              </w:rPr>
              <w:t>$49.56</w:t>
            </w:r>
          </w:p>
        </w:tc>
        <w:tc>
          <w:tcPr>
            <w:tcW w:w="953"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1DDD1A14" w14:textId="77777777">
            <w:pPr>
              <w:spacing w:before="40" w:after="40"/>
              <w:jc w:val="center"/>
              <w:rPr>
                <w:rFonts w:ascii="Arial Narrow" w:hAnsi="Arial Narrow"/>
                <w:sz w:val="18"/>
                <w:szCs w:val="18"/>
              </w:rPr>
            </w:pPr>
            <w:r w:rsidRPr="006B5FC6">
              <w:rPr>
                <w:rFonts w:ascii="Arial Narrow" w:hAnsi="Arial Narrow"/>
                <w:sz w:val="18"/>
                <w:szCs w:val="18"/>
              </w:rPr>
              <w:t>Included in 60% overhead</w:t>
            </w:r>
          </w:p>
        </w:tc>
        <w:tc>
          <w:tcPr>
            <w:tcW w:w="1189"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463E2903" w14:textId="77777777">
            <w:pPr>
              <w:spacing w:before="40" w:after="40"/>
              <w:jc w:val="center"/>
              <w:rPr>
                <w:rFonts w:ascii="Arial Narrow" w:hAnsi="Arial Narrow"/>
                <w:sz w:val="18"/>
                <w:szCs w:val="18"/>
              </w:rPr>
            </w:pPr>
            <w:r w:rsidRPr="006B5FC6">
              <w:rPr>
                <w:rFonts w:ascii="Arial Narrow" w:hAnsi="Arial Narrow"/>
                <w:sz w:val="18"/>
                <w:szCs w:val="18"/>
              </w:rPr>
              <w:t>N/A</w:t>
            </w:r>
          </w:p>
        </w:tc>
        <w:tc>
          <w:tcPr>
            <w:tcW w:w="1111"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59B83753" w14:textId="77777777">
            <w:pPr>
              <w:spacing w:before="40" w:after="40"/>
              <w:jc w:val="center"/>
              <w:rPr>
                <w:rFonts w:ascii="Arial Narrow" w:hAnsi="Arial Narrow"/>
                <w:sz w:val="18"/>
                <w:szCs w:val="18"/>
              </w:rPr>
            </w:pPr>
            <w:r w:rsidRPr="006B5FC6">
              <w:rPr>
                <w:rFonts w:ascii="Arial Narrow" w:hAnsi="Arial Narrow"/>
                <w:sz w:val="18"/>
                <w:szCs w:val="18"/>
              </w:rPr>
              <w:t xml:space="preserve">60% </w:t>
            </w:r>
          </w:p>
        </w:tc>
        <w:tc>
          <w:tcPr>
            <w:tcW w:w="1539" w:type="dxa"/>
            <w:tcBorders>
              <w:top w:val="single" w:color="auto" w:sz="4" w:space="0"/>
              <w:left w:val="single" w:color="auto" w:sz="4" w:space="0"/>
              <w:bottom w:val="single" w:color="auto" w:sz="4" w:space="0"/>
              <w:right w:val="single" w:color="auto" w:sz="4" w:space="0"/>
            </w:tcBorders>
            <w:vAlign w:val="center"/>
            <w:hideMark/>
          </w:tcPr>
          <w:p w:rsidRPr="006B5FC6" w:rsidR="00324F8B" w:rsidP="00192DF6" w:rsidRDefault="00324F8B" w14:paraId="0B2F3FD3" w14:textId="77777777">
            <w:pPr>
              <w:jc w:val="center"/>
              <w:rPr>
                <w:rFonts w:ascii="Arial Narrow" w:hAnsi="Arial Narrow"/>
                <w:sz w:val="18"/>
                <w:szCs w:val="18"/>
              </w:rPr>
            </w:pPr>
            <w:r w:rsidRPr="0B02F8A5">
              <w:rPr>
                <w:rFonts w:ascii="Arial Narrow" w:hAnsi="Arial Narrow"/>
                <w:sz w:val="18"/>
                <w:szCs w:val="18"/>
              </w:rPr>
              <w:t>1.6</w:t>
            </w:r>
          </w:p>
        </w:tc>
        <w:tc>
          <w:tcPr>
            <w:tcW w:w="1188" w:type="dxa"/>
            <w:tcBorders>
              <w:top w:val="single" w:color="auto" w:sz="4" w:space="0"/>
              <w:left w:val="single" w:color="auto" w:sz="4" w:space="0"/>
              <w:bottom w:val="single" w:color="auto" w:sz="4" w:space="0"/>
              <w:right w:val="single" w:color="auto" w:sz="4" w:space="0"/>
            </w:tcBorders>
            <w:vAlign w:val="center"/>
            <w:hideMark/>
          </w:tcPr>
          <w:p w:rsidRPr="000626DB" w:rsidR="00324F8B" w:rsidP="00192DF6" w:rsidRDefault="00324F8B" w14:paraId="2EB03EDF" w14:textId="77777777">
            <w:pPr>
              <w:jc w:val="center"/>
              <w:rPr>
                <w:rFonts w:ascii="Arial Narrow" w:hAnsi="Arial Narrow"/>
                <w:sz w:val="18"/>
                <w:szCs w:val="18"/>
              </w:rPr>
            </w:pPr>
            <w:r>
              <w:rPr>
                <w:rFonts w:ascii="Arial Narrow" w:hAnsi="Arial Narrow" w:cs="Calibri"/>
                <w:color w:val="000000"/>
                <w:sz w:val="18"/>
                <w:szCs w:val="18"/>
              </w:rPr>
              <w:t xml:space="preserve">$79.30 </w:t>
            </w:r>
          </w:p>
        </w:tc>
      </w:tr>
      <w:tr w:rsidRPr="005E662A" w:rsidR="00324F8B" w:rsidTr="008F2224" w14:paraId="3EDD5A78" w14:textId="77777777">
        <w:trPr>
          <w:jc w:val="center"/>
        </w:trPr>
        <w:tc>
          <w:tcPr>
            <w:tcW w:w="10080" w:type="dxa"/>
            <w:gridSpan w:val="8"/>
            <w:tcBorders>
              <w:top w:val="single" w:color="auto" w:sz="4" w:space="0"/>
              <w:left w:val="single" w:color="auto" w:sz="4" w:space="0"/>
              <w:bottom w:val="single" w:color="auto" w:sz="4" w:space="0"/>
              <w:right w:val="single" w:color="auto" w:sz="4" w:space="0"/>
            </w:tcBorders>
            <w:vAlign w:val="center"/>
            <w:hideMark/>
          </w:tcPr>
          <w:p w:rsidR="00324F8B" w:rsidP="00B641A6" w:rsidRDefault="00324F8B" w14:paraId="5DC86692" w14:textId="77777777">
            <w:pPr>
              <w:spacing w:before="40" w:after="40"/>
              <w:rPr>
                <w:rFonts w:ascii="Arial Narrow" w:hAnsi="Arial Narrow"/>
                <w:sz w:val="18"/>
                <w:szCs w:val="18"/>
              </w:rPr>
            </w:pPr>
            <w:r w:rsidRPr="00885DF8">
              <w:rPr>
                <w:rFonts w:ascii="Arial Narrow" w:hAnsi="Arial Narrow"/>
                <w:sz w:val="18"/>
                <w:szCs w:val="18"/>
              </w:rPr>
              <w:t>Footnotes</w:t>
            </w:r>
            <w:r>
              <w:rPr>
                <w:rFonts w:ascii="Arial Narrow" w:hAnsi="Arial Narrow"/>
                <w:sz w:val="18"/>
                <w:szCs w:val="18"/>
              </w:rPr>
              <w:t>:</w:t>
            </w:r>
          </w:p>
          <w:p w:rsidR="00324F8B" w:rsidP="00B641A6" w:rsidRDefault="00324F8B" w14:paraId="6C13C79A" w14:textId="77777777">
            <w:pPr>
              <w:spacing w:before="40" w:after="40"/>
              <w:ind w:left="144" w:hanging="144"/>
              <w:rPr>
                <w:rFonts w:ascii="Arial Narrow" w:hAnsi="Arial Narrow"/>
                <w:sz w:val="18"/>
                <w:szCs w:val="18"/>
              </w:rPr>
            </w:pPr>
            <w:bookmarkStart w:name="_Hlk519781728" w:id="68"/>
            <w:r w:rsidRPr="00885DF8">
              <w:rPr>
                <w:rFonts w:ascii="Arial Narrow" w:hAnsi="Arial Narrow"/>
                <w:sz w:val="18"/>
                <w:szCs w:val="18"/>
                <w:vertAlign w:val="superscript"/>
              </w:rPr>
              <w:t>1</w:t>
            </w:r>
            <w:r>
              <w:rPr>
                <w:rFonts w:ascii="Arial Narrow" w:hAnsi="Arial Narrow"/>
                <w:sz w:val="18"/>
                <w:szCs w:val="18"/>
              </w:rPr>
              <w:tab/>
            </w:r>
            <w:r w:rsidRPr="00885DF8">
              <w:rPr>
                <w:rFonts w:ascii="Arial Narrow" w:hAnsi="Arial Narrow"/>
                <w:sz w:val="18"/>
                <w:szCs w:val="18"/>
              </w:rPr>
              <w:t xml:space="preserve">Source:  </w:t>
            </w:r>
            <w:r w:rsidRPr="00885DF8">
              <w:rPr>
                <w:rFonts w:ascii="Arial Narrow" w:hAnsi="Arial Narrow"/>
                <w:i/>
                <w:sz w:val="18"/>
                <w:szCs w:val="18"/>
              </w:rPr>
              <w:t>Salary Table</w:t>
            </w:r>
            <w:r w:rsidRPr="00885DF8">
              <w:rPr>
                <w:rFonts w:ascii="Arial Narrow" w:hAnsi="Arial Narrow"/>
                <w:sz w:val="18"/>
                <w:szCs w:val="18"/>
              </w:rPr>
              <w:t xml:space="preserve"> 201</w:t>
            </w:r>
            <w:r>
              <w:rPr>
                <w:rFonts w:ascii="Arial Narrow" w:hAnsi="Arial Narrow"/>
                <w:sz w:val="18"/>
                <w:szCs w:val="18"/>
              </w:rPr>
              <w:t>8</w:t>
            </w:r>
            <w:r w:rsidRPr="00885DF8">
              <w:rPr>
                <w:rFonts w:ascii="Arial Narrow" w:hAnsi="Arial Narrow"/>
                <w:sz w:val="18"/>
                <w:szCs w:val="18"/>
              </w:rPr>
              <w:t>-DCB. (OPM, 2018).</w:t>
            </w:r>
          </w:p>
          <w:p w:rsidRPr="00885DF8" w:rsidR="00324F8B" w:rsidP="00B641A6" w:rsidRDefault="00324F8B" w14:paraId="4DDD539C" w14:textId="77777777">
            <w:pPr>
              <w:spacing w:before="40" w:after="40"/>
              <w:ind w:left="144" w:hanging="144"/>
              <w:rPr>
                <w:rFonts w:ascii="Arial Narrow" w:hAnsi="Arial Narrow"/>
                <w:sz w:val="18"/>
                <w:szCs w:val="18"/>
              </w:rPr>
            </w:pPr>
            <w:r w:rsidRPr="00885DF8">
              <w:rPr>
                <w:rFonts w:ascii="Arial Narrow" w:hAnsi="Arial Narrow"/>
                <w:sz w:val="18"/>
                <w:szCs w:val="18"/>
                <w:vertAlign w:val="superscript"/>
              </w:rPr>
              <w:t>2</w:t>
            </w:r>
            <w:r>
              <w:rPr>
                <w:rFonts w:ascii="Arial Narrow" w:hAnsi="Arial Narrow"/>
                <w:sz w:val="18"/>
                <w:szCs w:val="18"/>
              </w:rPr>
              <w:tab/>
            </w:r>
            <w:r w:rsidRPr="00885DF8">
              <w:rPr>
                <w:rFonts w:ascii="Arial Narrow" w:hAnsi="Arial Narrow"/>
                <w:sz w:val="18"/>
                <w:szCs w:val="18"/>
              </w:rPr>
              <w:t>The 60</w:t>
            </w:r>
            <w:r>
              <w:rPr>
                <w:rFonts w:ascii="Arial Narrow" w:hAnsi="Arial Narrow"/>
                <w:sz w:val="18"/>
                <w:szCs w:val="18"/>
              </w:rPr>
              <w:t>%</w:t>
            </w:r>
            <w:r w:rsidRPr="00885DF8">
              <w:rPr>
                <w:rFonts w:ascii="Arial Narrow" w:hAnsi="Arial Narrow"/>
                <w:sz w:val="18"/>
                <w:szCs w:val="18"/>
              </w:rPr>
              <w:t xml:space="preserve"> fringes-and-overhead rate is from an EPA guide, </w:t>
            </w:r>
            <w:r w:rsidRPr="00885DF8">
              <w:rPr>
                <w:rFonts w:ascii="Arial Narrow" w:hAnsi="Arial Narrow"/>
                <w:i/>
                <w:iCs/>
                <w:sz w:val="18"/>
                <w:szCs w:val="18"/>
              </w:rPr>
              <w:t>Instructions for Preparing ICRs</w:t>
            </w:r>
            <w:r w:rsidRPr="00885DF8">
              <w:rPr>
                <w:rFonts w:ascii="Arial Narrow" w:hAnsi="Arial Narrow"/>
                <w:sz w:val="18"/>
                <w:szCs w:val="18"/>
              </w:rPr>
              <w:t xml:space="preserve"> (EPA, 2009).</w:t>
            </w:r>
            <w:bookmarkEnd w:id="68"/>
          </w:p>
        </w:tc>
      </w:tr>
    </w:tbl>
    <w:p w:rsidR="00324F8B" w:rsidP="00DD7B30" w:rsidRDefault="00324F8B" w14:paraId="4CE47C6B" w14:textId="2319E31B">
      <w:pPr>
        <w:pStyle w:val="BodyText"/>
        <w:spacing w:before="240"/>
      </w:pPr>
      <w:r w:rsidRPr="004523B1">
        <w:t xml:space="preserve">Unit </w:t>
      </w:r>
      <w:r>
        <w:t>b</w:t>
      </w:r>
      <w:r w:rsidRPr="004523B1">
        <w:t>urden and cost associated with EPA staff activities per four-year reporting cycle are the same as in the</w:t>
      </w:r>
      <w:r>
        <w:t xml:space="preserve"> </w:t>
      </w:r>
      <w:r w:rsidRPr="004523B1">
        <w:t xml:space="preserve">ICR </w:t>
      </w:r>
      <w:r>
        <w:t xml:space="preserve">Renewal (EPA, 2018b) </w:t>
      </w:r>
      <w:r w:rsidRPr="004523B1">
        <w:t xml:space="preserve">and </w:t>
      </w:r>
      <w:r>
        <w:t xml:space="preserve">are </w:t>
      </w:r>
      <w:r w:rsidRPr="004523B1">
        <w:t>presented in</w:t>
      </w:r>
      <w:r>
        <w:t xml:space="preserve"> </w:t>
      </w:r>
      <w:r w:rsidR="00623383">
        <w:fldChar w:fldCharType="begin"/>
      </w:r>
      <w:r w:rsidR="00623383">
        <w:instrText xml:space="preserve"> REF _Ref28934981 \h </w:instrText>
      </w:r>
      <w:r w:rsidR="00623383">
        <w:fldChar w:fldCharType="separate"/>
      </w:r>
      <w:r w:rsidRPr="00DD7B30" w:rsidR="00590B23">
        <w:t xml:space="preserve">Table </w:t>
      </w:r>
      <w:r w:rsidR="00590B23">
        <w:rPr>
          <w:noProof/>
        </w:rPr>
        <w:t>A</w:t>
      </w:r>
      <w:r w:rsidRPr="00DD7B30" w:rsidR="00590B23">
        <w:noBreakHyphen/>
      </w:r>
      <w:r w:rsidR="00590B23">
        <w:rPr>
          <w:noProof/>
        </w:rPr>
        <w:t>2</w:t>
      </w:r>
      <w:r w:rsidR="00623383">
        <w:fldChar w:fldCharType="end"/>
      </w:r>
      <w:r w:rsidRPr="004523B1">
        <w:t xml:space="preserve">. The cost associated with quality control of data is performed by program staff and is dependent on the number of </w:t>
      </w:r>
      <w:r>
        <w:t xml:space="preserve">chemical </w:t>
      </w:r>
      <w:r w:rsidRPr="004523B1">
        <w:t xml:space="preserve">reports received. </w:t>
      </w:r>
    </w:p>
    <w:p w:rsidRPr="00DD7B30" w:rsidR="00C935A8" w:rsidP="00DD7B30" w:rsidRDefault="00C935A8" w14:paraId="1A159346" w14:textId="77777777"/>
    <w:p w:rsidRPr="00DD7B30" w:rsidR="00623383" w:rsidP="00DD7B30" w:rsidRDefault="00623383" w14:paraId="0945991E" w14:textId="1C203A5B"/>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37"/>
        <w:gridCol w:w="1746"/>
        <w:gridCol w:w="1534"/>
        <w:gridCol w:w="1663"/>
      </w:tblGrid>
      <w:tr w:rsidRPr="003A0A3F" w:rsidR="00324F8B" w:rsidTr="00192DF6" w14:paraId="51A20819" w14:textId="77777777">
        <w:trPr>
          <w:tblHeader/>
          <w:jc w:val="center"/>
        </w:trPr>
        <w:tc>
          <w:tcPr>
            <w:tcW w:w="5000" w:type="pct"/>
            <w:gridSpan w:val="4"/>
            <w:tcBorders>
              <w:top w:val="nil"/>
              <w:left w:val="nil"/>
              <w:bottom w:val="single" w:color="auto" w:sz="4" w:space="0"/>
              <w:right w:val="nil"/>
            </w:tcBorders>
            <w:shd w:val="clear" w:color="auto" w:fill="auto"/>
            <w:vAlign w:val="bottom"/>
          </w:tcPr>
          <w:p w:rsidRPr="00DD7B30" w:rsidR="00324F8B" w:rsidP="00B641A6" w:rsidRDefault="00623383" w14:paraId="7485F201" w14:textId="1D09FF87">
            <w:pPr>
              <w:pStyle w:val="Caption"/>
              <w:spacing w:before="40" w:after="40"/>
            </w:pPr>
            <w:bookmarkStart w:name="_Ref28934981" w:id="69"/>
            <w:bookmarkStart w:name="_Toc519866159" w:id="70"/>
            <w:bookmarkStart w:name="_Toc521241619" w:id="71"/>
            <w:bookmarkStart w:name="_Toc521331637" w:id="72"/>
            <w:bookmarkStart w:name="_Toc521468921" w:id="73"/>
            <w:bookmarkStart w:name="_Toc28935281" w:id="74"/>
            <w:r w:rsidRPr="00DD7B30">
              <w:lastRenderedPageBreak/>
              <w:t xml:space="preserve">Table </w:t>
            </w:r>
            <w:fldSimple w:instr=" STYLEREF 7 \s ">
              <w:r w:rsidR="00590B23">
                <w:rPr>
                  <w:noProof/>
                </w:rPr>
                <w:t>A</w:t>
              </w:r>
            </w:fldSimple>
            <w:r w:rsidRPr="00DD7B30" w:rsidR="00B60B34">
              <w:noBreakHyphen/>
            </w:r>
            <w:fldSimple w:instr=" SEQ Table_Apx \* ARABIC \s 7 ">
              <w:r w:rsidR="00590B23">
                <w:rPr>
                  <w:noProof/>
                </w:rPr>
                <w:t>2</w:t>
              </w:r>
            </w:fldSimple>
            <w:bookmarkEnd w:id="69"/>
            <w:r w:rsidRPr="00DD7B30" w:rsidR="00A968E8">
              <w:t>: EPA Staff Burden and Cost of Processing Reports per Four-Year Reporting Cycle</w:t>
            </w:r>
            <w:bookmarkEnd w:id="70"/>
            <w:bookmarkEnd w:id="71"/>
            <w:bookmarkEnd w:id="72"/>
            <w:bookmarkEnd w:id="73"/>
            <w:bookmarkEnd w:id="74"/>
          </w:p>
        </w:tc>
      </w:tr>
      <w:tr w:rsidRPr="003A0A3F" w:rsidR="00324F8B" w:rsidTr="00192DF6" w14:paraId="203BED8E" w14:textId="77777777">
        <w:trPr>
          <w:tblHeader/>
          <w:jc w:val="center"/>
        </w:trPr>
        <w:tc>
          <w:tcPr>
            <w:tcW w:w="2548" w:type="pct"/>
            <w:tcBorders>
              <w:top w:val="single" w:color="auto" w:sz="4" w:space="0"/>
            </w:tcBorders>
            <w:shd w:val="clear" w:color="auto" w:fill="BFBFBF" w:themeFill="background1" w:themeFillShade="BF"/>
            <w:vAlign w:val="bottom"/>
            <w:hideMark/>
          </w:tcPr>
          <w:p w:rsidRPr="006B5FC6" w:rsidR="00324F8B" w:rsidP="00B641A6" w:rsidRDefault="00324F8B" w14:paraId="501D8B1C" w14:textId="77777777">
            <w:pPr>
              <w:keepNext/>
              <w:spacing w:before="40" w:after="40"/>
              <w:jc w:val="center"/>
              <w:rPr>
                <w:rFonts w:ascii="Arial Narrow" w:hAnsi="Arial Narrow"/>
                <w:b/>
                <w:sz w:val="18"/>
                <w:szCs w:val="18"/>
              </w:rPr>
            </w:pPr>
            <w:r w:rsidRPr="006B5FC6">
              <w:rPr>
                <w:rFonts w:ascii="Arial Narrow" w:hAnsi="Arial Narrow"/>
                <w:b/>
                <w:sz w:val="18"/>
                <w:szCs w:val="18"/>
              </w:rPr>
              <w:t>Activity</w:t>
            </w:r>
          </w:p>
        </w:tc>
        <w:tc>
          <w:tcPr>
            <w:tcW w:w="866" w:type="pct"/>
            <w:tcBorders>
              <w:top w:val="single" w:color="auto" w:sz="4" w:space="0"/>
            </w:tcBorders>
            <w:shd w:val="clear" w:color="auto" w:fill="BFBFBF" w:themeFill="background1" w:themeFillShade="BF"/>
            <w:vAlign w:val="bottom"/>
            <w:hideMark/>
          </w:tcPr>
          <w:p w:rsidRPr="006B5FC6" w:rsidR="00324F8B" w:rsidP="00B641A6" w:rsidRDefault="00324F8B" w14:paraId="186E9DD2" w14:textId="77777777">
            <w:pPr>
              <w:keepNext/>
              <w:spacing w:before="40" w:after="40"/>
              <w:jc w:val="center"/>
              <w:rPr>
                <w:rFonts w:ascii="Arial Narrow" w:hAnsi="Arial Narrow"/>
                <w:b/>
                <w:sz w:val="18"/>
                <w:szCs w:val="18"/>
              </w:rPr>
            </w:pPr>
            <w:r w:rsidRPr="006B5FC6">
              <w:rPr>
                <w:rFonts w:ascii="Arial Narrow" w:hAnsi="Arial Narrow"/>
                <w:b/>
                <w:sz w:val="18"/>
                <w:szCs w:val="18"/>
              </w:rPr>
              <w:t>Unit of Analysis</w:t>
            </w:r>
          </w:p>
        </w:tc>
        <w:tc>
          <w:tcPr>
            <w:tcW w:w="761" w:type="pct"/>
            <w:tcBorders>
              <w:top w:val="single" w:color="auto" w:sz="4" w:space="0"/>
            </w:tcBorders>
            <w:shd w:val="clear" w:color="auto" w:fill="BFBFBF" w:themeFill="background1" w:themeFillShade="BF"/>
            <w:vAlign w:val="bottom"/>
            <w:hideMark/>
          </w:tcPr>
          <w:p w:rsidRPr="006B5FC6" w:rsidR="00324F8B" w:rsidP="00B641A6" w:rsidRDefault="00324F8B" w14:paraId="66A9434D" w14:textId="77777777">
            <w:pPr>
              <w:keepNext/>
              <w:spacing w:before="40" w:after="40"/>
              <w:jc w:val="center"/>
              <w:rPr>
                <w:rFonts w:ascii="Arial Narrow" w:hAnsi="Arial Narrow"/>
                <w:b/>
                <w:sz w:val="18"/>
                <w:szCs w:val="18"/>
              </w:rPr>
            </w:pPr>
            <w:r w:rsidRPr="006B5FC6">
              <w:rPr>
                <w:rFonts w:ascii="Arial Narrow" w:hAnsi="Arial Narrow"/>
                <w:b/>
                <w:sz w:val="18"/>
                <w:szCs w:val="18"/>
              </w:rPr>
              <w:t>Agency Burden per Activity</w:t>
            </w:r>
            <w:r w:rsidRPr="006B5FC6">
              <w:rPr>
                <w:rFonts w:ascii="Arial Narrow" w:hAnsi="Arial Narrow"/>
                <w:b/>
                <w:sz w:val="18"/>
                <w:szCs w:val="18"/>
              </w:rPr>
              <w:br/>
              <w:t>(</w:t>
            </w:r>
            <w:r>
              <w:rPr>
                <w:rFonts w:ascii="Arial Narrow" w:hAnsi="Arial Narrow"/>
                <w:b/>
                <w:sz w:val="18"/>
                <w:szCs w:val="18"/>
              </w:rPr>
              <w:t>h</w:t>
            </w:r>
            <w:r w:rsidRPr="006B5FC6">
              <w:rPr>
                <w:rFonts w:ascii="Arial Narrow" w:hAnsi="Arial Narrow"/>
                <w:b/>
                <w:sz w:val="18"/>
                <w:szCs w:val="18"/>
              </w:rPr>
              <w:t>ours)</w:t>
            </w:r>
          </w:p>
        </w:tc>
        <w:tc>
          <w:tcPr>
            <w:tcW w:w="825" w:type="pct"/>
            <w:tcBorders>
              <w:top w:val="single" w:color="auto" w:sz="4" w:space="0"/>
            </w:tcBorders>
            <w:shd w:val="clear" w:color="auto" w:fill="BFBFBF" w:themeFill="background1" w:themeFillShade="BF"/>
            <w:vAlign w:val="bottom"/>
            <w:hideMark/>
          </w:tcPr>
          <w:p w:rsidRPr="006B5FC6" w:rsidR="00324F8B" w:rsidP="00B641A6" w:rsidRDefault="00324F8B" w14:paraId="0687BBCA" w14:textId="77777777">
            <w:pPr>
              <w:keepNext/>
              <w:spacing w:before="40" w:after="40"/>
              <w:jc w:val="center"/>
              <w:rPr>
                <w:rFonts w:ascii="Arial Narrow" w:hAnsi="Arial Narrow"/>
                <w:b/>
                <w:sz w:val="18"/>
                <w:szCs w:val="18"/>
              </w:rPr>
            </w:pPr>
            <w:r w:rsidRPr="006B5FC6">
              <w:rPr>
                <w:rFonts w:ascii="Arial Narrow" w:hAnsi="Arial Narrow"/>
                <w:b/>
                <w:sz w:val="18"/>
                <w:szCs w:val="18"/>
              </w:rPr>
              <w:t>Agency Cost per Activity (</w:t>
            </w:r>
            <w:r>
              <w:rPr>
                <w:rFonts w:ascii="Arial Narrow" w:hAnsi="Arial Narrow"/>
                <w:b/>
                <w:sz w:val="18"/>
                <w:szCs w:val="18"/>
              </w:rPr>
              <w:t>2018$</w:t>
            </w:r>
            <w:r w:rsidRPr="006B5FC6">
              <w:rPr>
                <w:rFonts w:ascii="Arial Narrow" w:hAnsi="Arial Narrow"/>
                <w:b/>
                <w:sz w:val="18"/>
                <w:szCs w:val="18"/>
              </w:rPr>
              <w:t>)</w:t>
            </w:r>
            <w:r w:rsidRPr="006B5FC6">
              <w:rPr>
                <w:rFonts w:ascii="Arial Narrow" w:hAnsi="Arial Narrow"/>
                <w:b/>
                <w:sz w:val="18"/>
                <w:szCs w:val="18"/>
                <w:vertAlign w:val="superscript"/>
              </w:rPr>
              <w:t>1</w:t>
            </w:r>
          </w:p>
        </w:tc>
      </w:tr>
      <w:tr w:rsidRPr="003A0A3F" w:rsidR="00324F8B" w:rsidTr="00192DF6" w14:paraId="24FB0891" w14:textId="77777777">
        <w:trPr>
          <w:jc w:val="center"/>
        </w:trPr>
        <w:tc>
          <w:tcPr>
            <w:tcW w:w="2548" w:type="pct"/>
            <w:vAlign w:val="center"/>
            <w:hideMark/>
          </w:tcPr>
          <w:p w:rsidRPr="006B5FC6" w:rsidR="00324F8B" w:rsidP="00B641A6" w:rsidRDefault="00324F8B" w14:paraId="36152AC4" w14:textId="77777777">
            <w:pPr>
              <w:keepNext/>
              <w:spacing w:before="40" w:after="40"/>
              <w:rPr>
                <w:rFonts w:ascii="Arial Narrow" w:hAnsi="Arial Narrow"/>
                <w:sz w:val="18"/>
                <w:szCs w:val="18"/>
              </w:rPr>
            </w:pPr>
            <w:r w:rsidRPr="006B5FC6">
              <w:rPr>
                <w:rFonts w:ascii="Arial Narrow" w:hAnsi="Arial Narrow"/>
                <w:sz w:val="18"/>
                <w:szCs w:val="18"/>
              </w:rPr>
              <w:t>Quality Control of Data for Part I</w:t>
            </w:r>
          </w:p>
        </w:tc>
        <w:tc>
          <w:tcPr>
            <w:tcW w:w="866" w:type="pct"/>
            <w:shd w:val="clear" w:color="auto" w:fill="FFFFFF" w:themeFill="background1"/>
            <w:vAlign w:val="center"/>
            <w:hideMark/>
          </w:tcPr>
          <w:p w:rsidRPr="006B5FC6" w:rsidR="00324F8B" w:rsidP="00B641A6" w:rsidRDefault="00324F8B" w14:paraId="6516744C" w14:textId="77777777">
            <w:pPr>
              <w:keepNext/>
              <w:spacing w:before="40" w:after="40"/>
              <w:rPr>
                <w:rFonts w:ascii="Arial Narrow" w:hAnsi="Arial Narrow"/>
                <w:sz w:val="18"/>
                <w:szCs w:val="18"/>
              </w:rPr>
            </w:pPr>
            <w:r w:rsidRPr="006B5FC6">
              <w:rPr>
                <w:rFonts w:ascii="Arial Narrow" w:hAnsi="Arial Narrow"/>
                <w:sz w:val="18"/>
                <w:szCs w:val="18"/>
              </w:rPr>
              <w:t>Per Site</w:t>
            </w:r>
          </w:p>
        </w:tc>
        <w:tc>
          <w:tcPr>
            <w:tcW w:w="761" w:type="pct"/>
            <w:vAlign w:val="center"/>
            <w:hideMark/>
          </w:tcPr>
          <w:p w:rsidRPr="006B5FC6" w:rsidR="00324F8B" w:rsidP="00B641A6" w:rsidRDefault="00324F8B" w14:paraId="2978724F" w14:textId="77777777">
            <w:pPr>
              <w:keepNext/>
              <w:spacing w:before="40" w:after="40"/>
              <w:jc w:val="right"/>
              <w:rPr>
                <w:rFonts w:ascii="Arial Narrow" w:hAnsi="Arial Narrow"/>
                <w:sz w:val="18"/>
                <w:szCs w:val="18"/>
              </w:rPr>
            </w:pPr>
            <w:r w:rsidRPr="0B02F8A5">
              <w:rPr>
                <w:rFonts w:ascii="Arial Narrow" w:hAnsi="Arial Narrow"/>
                <w:sz w:val="18"/>
                <w:szCs w:val="18"/>
              </w:rPr>
              <w:t>0.0019</w:t>
            </w:r>
          </w:p>
        </w:tc>
        <w:tc>
          <w:tcPr>
            <w:tcW w:w="825" w:type="pct"/>
            <w:vAlign w:val="center"/>
            <w:hideMark/>
          </w:tcPr>
          <w:p w:rsidRPr="006B5FC6" w:rsidR="00324F8B" w:rsidP="00B641A6" w:rsidRDefault="00324F8B" w14:paraId="0CC60D5B" w14:textId="77777777">
            <w:pPr>
              <w:keepNext/>
              <w:spacing w:before="40" w:after="40"/>
              <w:jc w:val="right"/>
              <w:rPr>
                <w:rFonts w:ascii="Arial Narrow" w:hAnsi="Arial Narrow"/>
                <w:sz w:val="18"/>
                <w:szCs w:val="18"/>
              </w:rPr>
            </w:pPr>
            <w:r>
              <w:rPr>
                <w:rFonts w:ascii="Arial Narrow" w:hAnsi="Arial Narrow" w:cs="Calibri"/>
                <w:color w:val="000000"/>
                <w:sz w:val="18"/>
                <w:szCs w:val="18"/>
              </w:rPr>
              <w:t xml:space="preserve">$0.13 </w:t>
            </w:r>
          </w:p>
        </w:tc>
      </w:tr>
      <w:tr w:rsidRPr="003A0A3F" w:rsidR="00324F8B" w:rsidTr="00192DF6" w14:paraId="042C846A" w14:textId="77777777">
        <w:trPr>
          <w:jc w:val="center"/>
        </w:trPr>
        <w:tc>
          <w:tcPr>
            <w:tcW w:w="2548" w:type="pct"/>
            <w:vAlign w:val="center"/>
            <w:hideMark/>
          </w:tcPr>
          <w:p w:rsidRPr="006B5FC6" w:rsidR="00324F8B" w:rsidP="00B641A6" w:rsidRDefault="00324F8B" w14:paraId="4D847878" w14:textId="77777777">
            <w:pPr>
              <w:keepNext/>
              <w:spacing w:before="40" w:after="40"/>
              <w:rPr>
                <w:rFonts w:ascii="Arial Narrow" w:hAnsi="Arial Narrow"/>
                <w:sz w:val="18"/>
                <w:szCs w:val="18"/>
              </w:rPr>
            </w:pPr>
            <w:r w:rsidRPr="006B5FC6">
              <w:rPr>
                <w:rFonts w:ascii="Arial Narrow" w:hAnsi="Arial Narrow"/>
                <w:sz w:val="18"/>
                <w:szCs w:val="18"/>
              </w:rPr>
              <w:t>Quality Control of Data for Part II</w:t>
            </w:r>
          </w:p>
        </w:tc>
        <w:tc>
          <w:tcPr>
            <w:tcW w:w="866" w:type="pct"/>
            <w:vAlign w:val="center"/>
            <w:hideMark/>
          </w:tcPr>
          <w:p w:rsidRPr="006B5FC6" w:rsidR="00324F8B" w:rsidP="00B641A6" w:rsidRDefault="00324F8B" w14:paraId="6E0E6C9B" w14:textId="77777777">
            <w:pPr>
              <w:keepNext/>
              <w:spacing w:before="40" w:after="40"/>
              <w:rPr>
                <w:rFonts w:ascii="Arial Narrow" w:hAnsi="Arial Narrow"/>
                <w:sz w:val="18"/>
                <w:szCs w:val="18"/>
              </w:rPr>
            </w:pPr>
            <w:r w:rsidRPr="006B5FC6">
              <w:rPr>
                <w:rFonts w:ascii="Arial Narrow" w:hAnsi="Arial Narrow"/>
                <w:sz w:val="18"/>
                <w:szCs w:val="18"/>
              </w:rPr>
              <w:t>Per Chemical Report</w:t>
            </w:r>
          </w:p>
        </w:tc>
        <w:tc>
          <w:tcPr>
            <w:tcW w:w="761" w:type="pct"/>
            <w:vAlign w:val="center"/>
            <w:hideMark/>
          </w:tcPr>
          <w:p w:rsidRPr="006B5FC6" w:rsidR="00324F8B" w:rsidP="00B641A6" w:rsidRDefault="00324F8B" w14:paraId="3A696E6B" w14:textId="77777777">
            <w:pPr>
              <w:keepNext/>
              <w:spacing w:before="40" w:after="40"/>
              <w:jc w:val="right"/>
              <w:rPr>
                <w:rFonts w:ascii="Arial Narrow" w:hAnsi="Arial Narrow"/>
                <w:sz w:val="18"/>
                <w:szCs w:val="18"/>
              </w:rPr>
            </w:pPr>
            <w:r w:rsidRPr="0B02F8A5">
              <w:rPr>
                <w:rFonts w:ascii="Arial Narrow" w:hAnsi="Arial Narrow"/>
                <w:sz w:val="18"/>
                <w:szCs w:val="18"/>
              </w:rPr>
              <w:t>0.0054</w:t>
            </w:r>
          </w:p>
        </w:tc>
        <w:tc>
          <w:tcPr>
            <w:tcW w:w="825" w:type="pct"/>
            <w:vAlign w:val="center"/>
            <w:hideMark/>
          </w:tcPr>
          <w:p w:rsidRPr="006B5FC6" w:rsidR="00324F8B" w:rsidP="00B641A6" w:rsidRDefault="00324F8B" w14:paraId="79BDDF4D" w14:textId="77777777">
            <w:pPr>
              <w:keepNext/>
              <w:spacing w:before="40" w:after="40"/>
              <w:jc w:val="right"/>
              <w:rPr>
                <w:rFonts w:ascii="Arial Narrow" w:hAnsi="Arial Narrow"/>
                <w:sz w:val="18"/>
                <w:szCs w:val="18"/>
              </w:rPr>
            </w:pPr>
            <w:r>
              <w:rPr>
                <w:rFonts w:ascii="Arial Narrow" w:hAnsi="Arial Narrow" w:cs="Calibri"/>
                <w:color w:val="000000"/>
                <w:sz w:val="18"/>
                <w:szCs w:val="18"/>
              </w:rPr>
              <w:t xml:space="preserve">$0.36 </w:t>
            </w:r>
          </w:p>
        </w:tc>
      </w:tr>
      <w:tr w:rsidRPr="003A0A3F" w:rsidR="00324F8B" w:rsidTr="00192DF6" w14:paraId="4A62CE59" w14:textId="77777777">
        <w:trPr>
          <w:jc w:val="center"/>
        </w:trPr>
        <w:tc>
          <w:tcPr>
            <w:tcW w:w="2548" w:type="pct"/>
            <w:vAlign w:val="center"/>
            <w:hideMark/>
          </w:tcPr>
          <w:p w:rsidRPr="006B5FC6" w:rsidR="00324F8B" w:rsidP="00B641A6" w:rsidRDefault="00324F8B" w14:paraId="3AE0784D" w14:textId="77777777">
            <w:pPr>
              <w:keepNext/>
              <w:spacing w:before="40" w:after="40"/>
              <w:rPr>
                <w:rFonts w:ascii="Arial Narrow" w:hAnsi="Arial Narrow"/>
                <w:sz w:val="18"/>
                <w:szCs w:val="18"/>
              </w:rPr>
            </w:pPr>
            <w:r w:rsidRPr="006B5FC6">
              <w:rPr>
                <w:rFonts w:ascii="Arial Narrow" w:hAnsi="Arial Narrow"/>
                <w:sz w:val="18"/>
                <w:szCs w:val="18"/>
              </w:rPr>
              <w:t>Quality Control of Data for Part III</w:t>
            </w:r>
          </w:p>
        </w:tc>
        <w:tc>
          <w:tcPr>
            <w:tcW w:w="866" w:type="pct"/>
            <w:vAlign w:val="center"/>
            <w:hideMark/>
          </w:tcPr>
          <w:p w:rsidRPr="006B5FC6" w:rsidR="00324F8B" w:rsidP="00B641A6" w:rsidRDefault="00324F8B" w14:paraId="5073F8BD" w14:textId="77777777">
            <w:pPr>
              <w:keepNext/>
              <w:spacing w:before="40" w:after="40"/>
              <w:rPr>
                <w:rFonts w:ascii="Arial Narrow" w:hAnsi="Arial Narrow"/>
                <w:sz w:val="18"/>
                <w:szCs w:val="18"/>
              </w:rPr>
            </w:pPr>
            <w:r w:rsidRPr="006B5FC6">
              <w:rPr>
                <w:rFonts w:ascii="Arial Narrow" w:hAnsi="Arial Narrow"/>
                <w:sz w:val="18"/>
                <w:szCs w:val="18"/>
              </w:rPr>
              <w:t>Per Chemical Report</w:t>
            </w:r>
          </w:p>
        </w:tc>
        <w:tc>
          <w:tcPr>
            <w:tcW w:w="761" w:type="pct"/>
            <w:vAlign w:val="center"/>
            <w:hideMark/>
          </w:tcPr>
          <w:p w:rsidRPr="006B5FC6" w:rsidR="00324F8B" w:rsidP="00B641A6" w:rsidRDefault="00324F8B" w14:paraId="0C1A518A" w14:textId="77777777">
            <w:pPr>
              <w:keepNext/>
              <w:spacing w:before="40" w:after="40"/>
              <w:jc w:val="right"/>
              <w:rPr>
                <w:rFonts w:ascii="Arial Narrow" w:hAnsi="Arial Narrow"/>
                <w:sz w:val="18"/>
                <w:szCs w:val="18"/>
              </w:rPr>
            </w:pPr>
            <w:r w:rsidRPr="0B02F8A5">
              <w:rPr>
                <w:rFonts w:ascii="Arial Narrow" w:hAnsi="Arial Narrow"/>
                <w:sz w:val="18"/>
                <w:szCs w:val="18"/>
              </w:rPr>
              <w:t>0.0063</w:t>
            </w:r>
          </w:p>
        </w:tc>
        <w:tc>
          <w:tcPr>
            <w:tcW w:w="825" w:type="pct"/>
            <w:vAlign w:val="center"/>
            <w:hideMark/>
          </w:tcPr>
          <w:p w:rsidRPr="006B5FC6" w:rsidR="00324F8B" w:rsidP="00B641A6" w:rsidRDefault="00324F8B" w14:paraId="68B6DDAB" w14:textId="77777777">
            <w:pPr>
              <w:keepNext/>
              <w:spacing w:before="40" w:after="40"/>
              <w:jc w:val="right"/>
              <w:rPr>
                <w:rFonts w:ascii="Arial Narrow" w:hAnsi="Arial Narrow"/>
                <w:sz w:val="18"/>
                <w:szCs w:val="18"/>
              </w:rPr>
            </w:pPr>
            <w:r>
              <w:rPr>
                <w:rFonts w:ascii="Arial Narrow" w:hAnsi="Arial Narrow" w:cs="Calibri"/>
                <w:color w:val="000000"/>
                <w:sz w:val="18"/>
                <w:szCs w:val="18"/>
              </w:rPr>
              <w:t xml:space="preserve">$0.42 </w:t>
            </w:r>
          </w:p>
        </w:tc>
      </w:tr>
      <w:tr w:rsidRPr="003A0A3F" w:rsidR="00324F8B" w:rsidTr="00192DF6" w14:paraId="70A6539E" w14:textId="77777777">
        <w:trPr>
          <w:jc w:val="center"/>
        </w:trPr>
        <w:tc>
          <w:tcPr>
            <w:tcW w:w="5000" w:type="pct"/>
            <w:gridSpan w:val="4"/>
            <w:tcBorders>
              <w:left w:val="single" w:color="auto" w:sz="4" w:space="0"/>
              <w:bottom w:val="single" w:color="auto" w:sz="4" w:space="0"/>
              <w:right w:val="single" w:color="auto" w:sz="4" w:space="0"/>
            </w:tcBorders>
            <w:hideMark/>
          </w:tcPr>
          <w:p w:rsidRPr="008C5171" w:rsidR="00324F8B" w:rsidP="00B641A6" w:rsidRDefault="00324F8B" w14:paraId="4B931562" w14:textId="77777777">
            <w:pPr>
              <w:spacing w:before="40" w:after="40"/>
              <w:rPr>
                <w:rFonts w:ascii="Arial Narrow" w:hAnsi="Arial Narrow"/>
                <w:sz w:val="18"/>
                <w:szCs w:val="18"/>
              </w:rPr>
            </w:pPr>
            <w:r w:rsidRPr="008C5171">
              <w:rPr>
                <w:rFonts w:ascii="Arial Narrow" w:hAnsi="Arial Narrow"/>
                <w:sz w:val="18"/>
                <w:szCs w:val="18"/>
              </w:rPr>
              <w:t xml:space="preserve">Sources include EPA </w:t>
            </w:r>
            <w:r>
              <w:rPr>
                <w:rFonts w:ascii="Arial Narrow" w:hAnsi="Arial Narrow"/>
                <w:sz w:val="18"/>
                <w:szCs w:val="18"/>
              </w:rPr>
              <w:t>(</w:t>
            </w:r>
            <w:r w:rsidRPr="008C5171">
              <w:rPr>
                <w:rFonts w:ascii="Arial Narrow" w:hAnsi="Arial Narrow"/>
                <w:sz w:val="18"/>
                <w:szCs w:val="18"/>
              </w:rPr>
              <w:t>2015</w:t>
            </w:r>
            <w:r>
              <w:rPr>
                <w:rFonts w:ascii="Arial Narrow" w:hAnsi="Arial Narrow"/>
                <w:sz w:val="18"/>
                <w:szCs w:val="18"/>
              </w:rPr>
              <w:t>)</w:t>
            </w:r>
            <w:r w:rsidRPr="008C5171">
              <w:rPr>
                <w:rFonts w:ascii="Arial Narrow" w:hAnsi="Arial Narrow"/>
                <w:sz w:val="18"/>
                <w:szCs w:val="18"/>
              </w:rPr>
              <w:t xml:space="preserve"> and </w:t>
            </w:r>
            <w:r>
              <w:rPr>
                <w:rFonts w:ascii="Arial Narrow" w:hAnsi="Arial Narrow"/>
                <w:sz w:val="18"/>
                <w:szCs w:val="18"/>
              </w:rPr>
              <w:t>EPA (2018b).</w:t>
            </w:r>
          </w:p>
          <w:p w:rsidR="00324F8B" w:rsidP="00B641A6" w:rsidRDefault="00324F8B" w14:paraId="64A81D67" w14:textId="77777777">
            <w:pPr>
              <w:spacing w:before="40" w:after="40"/>
              <w:rPr>
                <w:rFonts w:ascii="Arial Narrow" w:hAnsi="Arial Narrow"/>
                <w:sz w:val="18"/>
                <w:szCs w:val="18"/>
              </w:rPr>
            </w:pPr>
            <w:r w:rsidRPr="00885DF8">
              <w:rPr>
                <w:rFonts w:ascii="Arial Narrow" w:hAnsi="Arial Narrow"/>
                <w:sz w:val="18"/>
                <w:szCs w:val="18"/>
              </w:rPr>
              <w:t>Footnote</w:t>
            </w:r>
            <w:r>
              <w:rPr>
                <w:rFonts w:ascii="Arial Narrow" w:hAnsi="Arial Narrow"/>
                <w:sz w:val="18"/>
                <w:szCs w:val="18"/>
              </w:rPr>
              <w:t>:</w:t>
            </w:r>
          </w:p>
          <w:p w:rsidRPr="00885DF8" w:rsidR="00324F8B" w:rsidP="00B641A6" w:rsidRDefault="00324F8B" w14:paraId="207CD93A" w14:textId="6E777FBD">
            <w:pPr>
              <w:spacing w:before="40" w:after="40"/>
              <w:rPr>
                <w:rFonts w:ascii="Arial Narrow" w:hAnsi="Arial Narrow"/>
                <w:sz w:val="18"/>
                <w:szCs w:val="18"/>
              </w:rPr>
            </w:pPr>
            <w:r w:rsidRPr="00885DF8">
              <w:rPr>
                <w:rFonts w:ascii="Arial Narrow" w:hAnsi="Arial Narrow"/>
                <w:sz w:val="18"/>
                <w:szCs w:val="18"/>
                <w:vertAlign w:val="superscript"/>
              </w:rPr>
              <w:t>1</w:t>
            </w:r>
            <w:r>
              <w:rPr>
                <w:rFonts w:ascii="Arial Narrow" w:hAnsi="Arial Narrow"/>
                <w:sz w:val="18"/>
                <w:szCs w:val="18"/>
              </w:rPr>
              <w:t xml:space="preserve"> Based on labor </w:t>
            </w:r>
            <w:r w:rsidRPr="00E074AB">
              <w:rPr>
                <w:rFonts w:ascii="Arial Narrow" w:hAnsi="Arial Narrow"/>
                <w:sz w:val="18"/>
                <w:szCs w:val="18"/>
              </w:rPr>
              <w:t xml:space="preserve">rates </w:t>
            </w:r>
            <w:r w:rsidRPr="00E074AB">
              <w:rPr>
                <w:rFonts w:ascii="Arial Narrow" w:hAnsi="Arial Narrow" w:eastAsia="Times New Roman" w:cs="Calibri"/>
                <w:color w:val="000000"/>
                <w:sz w:val="18"/>
                <w:szCs w:val="18"/>
              </w:rPr>
              <w:t>(</w:t>
            </w:r>
            <w:r w:rsidRPr="009C4CF6">
              <w:rPr>
                <w:rFonts w:ascii="Arial Narrow" w:hAnsi="Arial Narrow"/>
                <w:sz w:val="18"/>
                <w:szCs w:val="18"/>
              </w:rPr>
              <w:t>see</w:t>
            </w:r>
            <w:r w:rsidR="00656F70">
              <w:rPr>
                <w:rFonts w:ascii="Arial Narrow" w:hAnsi="Arial Narrow"/>
                <w:sz w:val="18"/>
                <w:szCs w:val="18"/>
              </w:rPr>
              <w:t xml:space="preserve"> </w:t>
            </w:r>
            <w:r w:rsidRPr="009C4CF6" w:rsidR="009C4CF6">
              <w:rPr>
                <w:rFonts w:ascii="Arial Narrow" w:hAnsi="Arial Narrow"/>
                <w:sz w:val="18"/>
                <w:szCs w:val="18"/>
              </w:rPr>
              <w:fldChar w:fldCharType="begin"/>
            </w:r>
            <w:r w:rsidRPr="009C4CF6" w:rsidR="009C4CF6">
              <w:rPr>
                <w:rFonts w:ascii="Arial Narrow" w:hAnsi="Arial Narrow"/>
                <w:sz w:val="18"/>
                <w:szCs w:val="18"/>
              </w:rPr>
              <w:instrText xml:space="preserve"> REF _Ref28871394 \h </w:instrText>
            </w:r>
            <w:r w:rsidR="009C4CF6">
              <w:rPr>
                <w:rFonts w:ascii="Arial Narrow" w:hAnsi="Arial Narrow"/>
                <w:sz w:val="18"/>
                <w:szCs w:val="18"/>
              </w:rPr>
              <w:instrText xml:space="preserve"> \* MERGEFORMAT </w:instrText>
            </w:r>
            <w:r w:rsidRPr="009C4CF6" w:rsidR="009C4CF6">
              <w:rPr>
                <w:rFonts w:ascii="Arial Narrow" w:hAnsi="Arial Narrow"/>
                <w:sz w:val="18"/>
                <w:szCs w:val="18"/>
              </w:rPr>
            </w:r>
            <w:r w:rsidRPr="009C4CF6" w:rsidR="009C4CF6">
              <w:rPr>
                <w:rFonts w:ascii="Arial Narrow" w:hAnsi="Arial Narrow"/>
                <w:sz w:val="18"/>
                <w:szCs w:val="18"/>
              </w:rPr>
              <w:fldChar w:fldCharType="separate"/>
            </w:r>
            <w:r w:rsidRPr="00656F70" w:rsidR="00656F70">
              <w:rPr>
                <w:rFonts w:ascii="Arial Narrow" w:hAnsi="Arial Narrow"/>
                <w:b/>
                <w:bCs/>
                <w:sz w:val="18"/>
                <w:szCs w:val="18"/>
              </w:rPr>
              <w:fldChar w:fldCharType="begin"/>
            </w:r>
            <w:r w:rsidRPr="00656F70" w:rsidR="00656F70">
              <w:rPr>
                <w:rFonts w:ascii="Arial Narrow" w:hAnsi="Arial Narrow"/>
                <w:sz w:val="18"/>
                <w:szCs w:val="18"/>
              </w:rPr>
              <w:instrText xml:space="preserve"> REF _Ref28934922 \h </w:instrText>
            </w:r>
            <w:r w:rsidRPr="00656F70" w:rsidR="00656F70">
              <w:rPr>
                <w:rFonts w:ascii="Arial Narrow" w:hAnsi="Arial Narrow"/>
                <w:b/>
                <w:bCs/>
                <w:sz w:val="18"/>
                <w:szCs w:val="18"/>
              </w:rPr>
              <w:instrText xml:space="preserve"> \* MERGEFORMAT </w:instrText>
            </w:r>
            <w:r w:rsidRPr="00656F70" w:rsidR="00656F70">
              <w:rPr>
                <w:rFonts w:ascii="Arial Narrow" w:hAnsi="Arial Narrow"/>
                <w:b/>
                <w:bCs/>
                <w:sz w:val="18"/>
                <w:szCs w:val="18"/>
              </w:rPr>
            </w:r>
            <w:r w:rsidRPr="00656F70" w:rsidR="00656F70">
              <w:rPr>
                <w:rFonts w:ascii="Arial Narrow" w:hAnsi="Arial Narrow"/>
                <w:b/>
                <w:bCs/>
                <w:sz w:val="18"/>
                <w:szCs w:val="18"/>
              </w:rPr>
              <w:fldChar w:fldCharType="separate"/>
            </w:r>
            <w:r w:rsidRPr="00656F70" w:rsidR="00656F70">
              <w:rPr>
                <w:rFonts w:ascii="Arial Narrow" w:hAnsi="Arial Narrow"/>
                <w:sz w:val="18"/>
                <w:szCs w:val="18"/>
              </w:rPr>
              <w:t xml:space="preserve">Table </w:t>
            </w:r>
            <w:r w:rsidRPr="00656F70" w:rsidR="00656F70">
              <w:rPr>
                <w:rFonts w:ascii="Arial Narrow" w:hAnsi="Arial Narrow"/>
                <w:noProof/>
                <w:sz w:val="18"/>
                <w:szCs w:val="18"/>
              </w:rPr>
              <w:t>A</w:t>
            </w:r>
            <w:r w:rsidRPr="00656F70" w:rsidR="00656F70">
              <w:rPr>
                <w:rFonts w:ascii="Arial Narrow" w:hAnsi="Arial Narrow"/>
                <w:sz w:val="18"/>
                <w:szCs w:val="18"/>
              </w:rPr>
              <w:noBreakHyphen/>
            </w:r>
            <w:r w:rsidRPr="00656F70" w:rsidR="00656F70">
              <w:rPr>
                <w:rFonts w:ascii="Arial Narrow" w:hAnsi="Arial Narrow"/>
                <w:noProof/>
                <w:sz w:val="18"/>
                <w:szCs w:val="18"/>
              </w:rPr>
              <w:t>1</w:t>
            </w:r>
            <w:r w:rsidRPr="00656F70" w:rsidR="00656F70">
              <w:rPr>
                <w:rFonts w:ascii="Arial Narrow" w:hAnsi="Arial Narrow"/>
                <w:b/>
                <w:bCs/>
                <w:sz w:val="18"/>
                <w:szCs w:val="18"/>
              </w:rPr>
              <w:fldChar w:fldCharType="end"/>
            </w:r>
            <w:r w:rsidRPr="009C4CF6" w:rsidR="009C4CF6">
              <w:rPr>
                <w:rFonts w:ascii="Arial Narrow" w:hAnsi="Arial Narrow"/>
                <w:sz w:val="18"/>
                <w:szCs w:val="18"/>
              </w:rPr>
              <w:fldChar w:fldCharType="end"/>
            </w:r>
            <w:r w:rsidRPr="00E074AB">
              <w:rPr>
                <w:rFonts w:ascii="Arial Narrow" w:hAnsi="Arial Narrow" w:eastAsia="Times New Roman" w:cs="Calibri"/>
                <w:color w:val="000000"/>
                <w:sz w:val="18"/>
                <w:szCs w:val="18"/>
              </w:rPr>
              <w:t>)</w:t>
            </w:r>
            <w:r w:rsidRPr="00E074AB">
              <w:rPr>
                <w:rFonts w:ascii="Arial Narrow" w:hAnsi="Arial Narrow"/>
                <w:sz w:val="18"/>
                <w:szCs w:val="18"/>
              </w:rPr>
              <w:t xml:space="preserve"> for</w:t>
            </w:r>
            <w:r w:rsidRPr="00885DF8">
              <w:rPr>
                <w:rFonts w:ascii="Arial Narrow" w:hAnsi="Arial Narrow"/>
                <w:sz w:val="18"/>
                <w:szCs w:val="18"/>
              </w:rPr>
              <w:t xml:space="preserve"> </w:t>
            </w:r>
            <w:r>
              <w:rPr>
                <w:rFonts w:ascii="Arial Narrow" w:hAnsi="Arial Narrow"/>
                <w:sz w:val="18"/>
                <w:szCs w:val="18"/>
              </w:rPr>
              <w:t>q</w:t>
            </w:r>
            <w:r w:rsidRPr="00885DF8">
              <w:rPr>
                <w:rFonts w:ascii="Arial Narrow" w:hAnsi="Arial Narrow"/>
                <w:sz w:val="18"/>
                <w:szCs w:val="18"/>
              </w:rPr>
              <w:t xml:space="preserve">uality </w:t>
            </w:r>
            <w:r>
              <w:rPr>
                <w:rFonts w:ascii="Arial Narrow" w:hAnsi="Arial Narrow"/>
                <w:sz w:val="18"/>
                <w:szCs w:val="18"/>
              </w:rPr>
              <w:t>c</w:t>
            </w:r>
            <w:r w:rsidRPr="00885DF8">
              <w:rPr>
                <w:rFonts w:ascii="Arial Narrow" w:hAnsi="Arial Narrow"/>
                <w:sz w:val="18"/>
                <w:szCs w:val="18"/>
              </w:rPr>
              <w:t xml:space="preserve">ontrol activities and </w:t>
            </w:r>
            <w:r>
              <w:rPr>
                <w:rFonts w:ascii="Arial Narrow" w:hAnsi="Arial Narrow"/>
                <w:sz w:val="18"/>
                <w:szCs w:val="18"/>
              </w:rPr>
              <w:t>r</w:t>
            </w:r>
            <w:r w:rsidRPr="00885DF8">
              <w:rPr>
                <w:rFonts w:ascii="Arial Narrow" w:hAnsi="Arial Narrow"/>
                <w:sz w:val="18"/>
                <w:szCs w:val="18"/>
              </w:rPr>
              <w:t>eview of e-</w:t>
            </w:r>
            <w:r>
              <w:rPr>
                <w:rFonts w:ascii="Arial Narrow" w:hAnsi="Arial Narrow"/>
                <w:sz w:val="18"/>
                <w:szCs w:val="18"/>
              </w:rPr>
              <w:t>s</w:t>
            </w:r>
            <w:r w:rsidRPr="00885DF8">
              <w:rPr>
                <w:rFonts w:ascii="Arial Narrow" w:hAnsi="Arial Narrow"/>
                <w:sz w:val="18"/>
                <w:szCs w:val="18"/>
              </w:rPr>
              <w:t xml:space="preserve">ignatures by </w:t>
            </w:r>
            <w:r>
              <w:rPr>
                <w:rFonts w:ascii="Arial Narrow" w:hAnsi="Arial Narrow"/>
                <w:sz w:val="18"/>
                <w:szCs w:val="18"/>
              </w:rPr>
              <w:t>p</w:t>
            </w:r>
            <w:r w:rsidRPr="00885DF8">
              <w:rPr>
                <w:rFonts w:ascii="Arial Narrow" w:hAnsi="Arial Narrow"/>
                <w:sz w:val="18"/>
                <w:szCs w:val="18"/>
              </w:rPr>
              <w:t xml:space="preserve">rogram </w:t>
            </w:r>
            <w:r>
              <w:rPr>
                <w:rFonts w:ascii="Arial Narrow" w:hAnsi="Arial Narrow"/>
                <w:sz w:val="18"/>
                <w:szCs w:val="18"/>
              </w:rPr>
              <w:t>s</w:t>
            </w:r>
            <w:r w:rsidRPr="00885DF8">
              <w:rPr>
                <w:rFonts w:ascii="Arial Narrow" w:hAnsi="Arial Narrow"/>
                <w:sz w:val="18"/>
                <w:szCs w:val="18"/>
              </w:rPr>
              <w:t>taff GS12 Step 3</w:t>
            </w:r>
            <w:r>
              <w:rPr>
                <w:rFonts w:ascii="Arial Narrow" w:hAnsi="Arial Narrow"/>
                <w:sz w:val="18"/>
                <w:szCs w:val="18"/>
              </w:rPr>
              <w:t>.</w:t>
            </w:r>
          </w:p>
        </w:tc>
      </w:tr>
    </w:tbl>
    <w:p w:rsidRPr="003928A8" w:rsidR="003928A8" w:rsidP="003928A8" w:rsidRDefault="003928A8" w14:paraId="2ADFC548" w14:textId="77777777"/>
    <w:p w:rsidR="00324F8B" w:rsidP="00BB0BA7" w:rsidRDefault="00324F8B" w14:paraId="37E2D487" w14:textId="2F9624A6">
      <w:pPr>
        <w:rPr>
          <w:b/>
        </w:rPr>
      </w:pPr>
      <w:r w:rsidRPr="00BB0BA7">
        <w:rPr>
          <w:b/>
        </w:rPr>
        <w:t>Contractor Activities</w:t>
      </w:r>
    </w:p>
    <w:p w:rsidRPr="00A968E8" w:rsidR="00324F8B" w:rsidP="00A968E8" w:rsidRDefault="00324F8B" w14:paraId="140009E6" w14:textId="32BB4E56">
      <w:r w:rsidRPr="00A968E8">
        <w:t>Agency costs also include payment for extramural tasks completed by contractors (this category includes costs to EPA, but not burden hours). Contractor activities affected by the final rule include document receipt, tracking, and data review as presented in</w:t>
      </w:r>
      <w:r w:rsidR="00CC3895">
        <w:t xml:space="preserve"> </w:t>
      </w:r>
      <w:r w:rsidR="00B60B34">
        <w:fldChar w:fldCharType="begin"/>
      </w:r>
      <w:r w:rsidR="00B60B34">
        <w:instrText xml:space="preserve"> REF _Ref28935092 \h </w:instrText>
      </w:r>
      <w:r w:rsidR="00B60B34">
        <w:fldChar w:fldCharType="separate"/>
      </w:r>
      <w:r w:rsidR="00590B23">
        <w:t xml:space="preserve">Table </w:t>
      </w:r>
      <w:r w:rsidR="00590B23">
        <w:rPr>
          <w:noProof/>
        </w:rPr>
        <w:t>A</w:t>
      </w:r>
      <w:r w:rsidR="00590B23">
        <w:noBreakHyphen/>
      </w:r>
      <w:r w:rsidR="00590B23">
        <w:rPr>
          <w:noProof/>
        </w:rPr>
        <w:t>3</w:t>
      </w:r>
      <w:r w:rsidR="00B60B34">
        <w:fldChar w:fldCharType="end"/>
      </w:r>
      <w:r w:rsidRPr="00A968E8">
        <w:t xml:space="preserve">.  These costs are taken from the ICR renewal (EPA, 2018b) and are inflated from 2012 to 2018 dollars with an inflation factor calculated using the Employment Cost Index (ECI), seasonally adjusted, for management, professional, and related occupations in private industry (BLS, 2019b). </w:t>
      </w:r>
    </w:p>
    <w:tbl>
      <w:tblPr>
        <w:tblW w:w="5000" w:type="pct"/>
        <w:jc w:val="center"/>
        <w:tblLook w:val="04A0" w:firstRow="1" w:lastRow="0" w:firstColumn="1" w:lastColumn="0" w:noHBand="0" w:noVBand="1"/>
      </w:tblPr>
      <w:tblGrid>
        <w:gridCol w:w="7536"/>
        <w:gridCol w:w="1370"/>
        <w:gridCol w:w="1174"/>
      </w:tblGrid>
      <w:tr w:rsidRPr="003D75E2" w:rsidR="00324F8B" w:rsidTr="00A968E8" w14:paraId="6FE2362F" w14:textId="77777777">
        <w:trPr>
          <w:tblHeader/>
          <w:jc w:val="center"/>
        </w:trPr>
        <w:tc>
          <w:tcPr>
            <w:tcW w:w="10080" w:type="dxa"/>
            <w:gridSpan w:val="3"/>
            <w:tcBorders>
              <w:bottom w:val="single" w:color="auto" w:sz="4" w:space="0"/>
            </w:tcBorders>
            <w:shd w:val="clear" w:color="auto" w:fill="auto"/>
            <w:vAlign w:val="bottom"/>
          </w:tcPr>
          <w:p w:rsidRPr="00207D17" w:rsidR="00324F8B" w:rsidP="00B641A6" w:rsidRDefault="00B60B34" w14:paraId="608881A3" w14:textId="4133177C">
            <w:pPr>
              <w:pStyle w:val="Caption"/>
              <w:spacing w:before="40" w:after="40"/>
            </w:pPr>
            <w:bookmarkStart w:name="_Ref28935092" w:id="75"/>
            <w:bookmarkStart w:name="_Toc519866160" w:id="76"/>
            <w:bookmarkStart w:name="_Toc521241620" w:id="77"/>
            <w:bookmarkStart w:name="_Toc521331638" w:id="78"/>
            <w:bookmarkStart w:name="_Toc521468922" w:id="79"/>
            <w:bookmarkStart w:name="_Toc28935282" w:id="80"/>
            <w:r>
              <w:t xml:space="preserve">Table </w:t>
            </w:r>
            <w:fldSimple w:instr=" STYLEREF 7 \s ">
              <w:r w:rsidR="00590B23">
                <w:rPr>
                  <w:noProof/>
                </w:rPr>
                <w:t>A</w:t>
              </w:r>
            </w:fldSimple>
            <w:r>
              <w:noBreakHyphen/>
            </w:r>
            <w:fldSimple w:instr=" SEQ Table_Apx \* ARABIC \s 7 ">
              <w:r w:rsidR="00590B23">
                <w:rPr>
                  <w:noProof/>
                </w:rPr>
                <w:t>3</w:t>
              </w:r>
            </w:fldSimple>
            <w:bookmarkEnd w:id="75"/>
            <w:r>
              <w:t>:</w:t>
            </w:r>
            <w:r w:rsidRPr="00207D17" w:rsidR="00324F8B">
              <w:t xml:space="preserve"> Unit Cost of Contractor Activities for Four-Year Reporting Cycle</w:t>
            </w:r>
            <w:bookmarkEnd w:id="76"/>
            <w:bookmarkEnd w:id="77"/>
            <w:bookmarkEnd w:id="78"/>
            <w:bookmarkEnd w:id="79"/>
            <w:bookmarkEnd w:id="80"/>
          </w:p>
        </w:tc>
      </w:tr>
      <w:tr w:rsidRPr="003D75E2" w:rsidR="00324F8B" w:rsidTr="00A968E8" w14:paraId="1140F76D" w14:textId="77777777">
        <w:trPr>
          <w:tblHeader/>
          <w:jc w:val="center"/>
        </w:trPr>
        <w:tc>
          <w:tcPr>
            <w:tcW w:w="7536" w:type="dxa"/>
            <w:tcBorders>
              <w:top w:val="single" w:color="auto" w:sz="4" w:space="0"/>
              <w:left w:val="single" w:color="auto" w:sz="4" w:space="0"/>
              <w:bottom w:val="single" w:color="auto" w:sz="4" w:space="0"/>
              <w:right w:val="single" w:color="auto" w:sz="4" w:space="0"/>
            </w:tcBorders>
            <w:shd w:val="clear" w:color="auto" w:fill="BFBFBF"/>
            <w:vAlign w:val="bottom"/>
          </w:tcPr>
          <w:p w:rsidRPr="006B5FC6" w:rsidR="00324F8B" w:rsidP="00B641A6" w:rsidRDefault="00324F8B" w14:paraId="54459F76" w14:textId="77777777">
            <w:pPr>
              <w:spacing w:before="40" w:after="40"/>
              <w:jc w:val="center"/>
              <w:rPr>
                <w:rFonts w:ascii="Arial Narrow" w:hAnsi="Arial Narrow"/>
                <w:b/>
                <w:sz w:val="18"/>
                <w:szCs w:val="18"/>
              </w:rPr>
            </w:pPr>
            <w:r>
              <w:rPr>
                <w:rFonts w:ascii="Arial Narrow" w:hAnsi="Arial Narrow"/>
                <w:b/>
                <w:sz w:val="18"/>
                <w:szCs w:val="18"/>
              </w:rPr>
              <w:t>Activity</w:t>
            </w:r>
          </w:p>
        </w:tc>
        <w:tc>
          <w:tcPr>
            <w:tcW w:w="1370" w:type="dxa"/>
            <w:tcBorders>
              <w:top w:val="single" w:color="auto" w:sz="4" w:space="0"/>
              <w:left w:val="single" w:color="auto" w:sz="4" w:space="0"/>
              <w:bottom w:val="single" w:color="auto" w:sz="4" w:space="0"/>
              <w:right w:val="single" w:color="auto" w:sz="4" w:space="0"/>
            </w:tcBorders>
            <w:shd w:val="clear" w:color="auto" w:fill="BFBFBF"/>
            <w:vAlign w:val="bottom"/>
          </w:tcPr>
          <w:p w:rsidRPr="006B5FC6" w:rsidR="00324F8B" w:rsidP="00B641A6" w:rsidRDefault="00324F8B" w14:paraId="0E034B69" w14:textId="77777777">
            <w:pPr>
              <w:spacing w:before="40" w:after="40"/>
              <w:jc w:val="center"/>
              <w:rPr>
                <w:rFonts w:ascii="Arial Narrow" w:hAnsi="Arial Narrow"/>
                <w:b/>
                <w:sz w:val="18"/>
                <w:szCs w:val="18"/>
              </w:rPr>
            </w:pPr>
            <w:r w:rsidRPr="006B5FC6">
              <w:rPr>
                <w:rFonts w:ascii="Arial Narrow" w:hAnsi="Arial Narrow"/>
                <w:b/>
                <w:sz w:val="18"/>
                <w:szCs w:val="18"/>
              </w:rPr>
              <w:t xml:space="preserve">Cost </w:t>
            </w:r>
            <w:r w:rsidRPr="006B5FC6">
              <w:rPr>
                <w:rFonts w:ascii="Arial Narrow" w:hAnsi="Arial Narrow"/>
                <w:b/>
                <w:sz w:val="18"/>
                <w:szCs w:val="18"/>
              </w:rPr>
              <w:br/>
              <w:t>2012$</w:t>
            </w:r>
          </w:p>
        </w:tc>
        <w:tc>
          <w:tcPr>
            <w:tcW w:w="1174" w:type="dxa"/>
            <w:tcBorders>
              <w:top w:val="single" w:color="auto" w:sz="4" w:space="0"/>
              <w:left w:val="single" w:color="auto" w:sz="4" w:space="0"/>
              <w:bottom w:val="single" w:color="auto" w:sz="4" w:space="0"/>
              <w:right w:val="single" w:color="auto" w:sz="4" w:space="0"/>
            </w:tcBorders>
            <w:shd w:val="clear" w:color="auto" w:fill="BFBFBF"/>
            <w:vAlign w:val="bottom"/>
          </w:tcPr>
          <w:p w:rsidRPr="006B5FC6" w:rsidR="00324F8B" w:rsidP="00B641A6" w:rsidRDefault="00324F8B" w14:paraId="2F70B0F2" w14:textId="77777777">
            <w:pPr>
              <w:spacing w:before="40" w:after="40"/>
              <w:jc w:val="center"/>
              <w:rPr>
                <w:rFonts w:ascii="Arial Narrow" w:hAnsi="Arial Narrow"/>
                <w:b/>
                <w:sz w:val="18"/>
                <w:szCs w:val="18"/>
              </w:rPr>
            </w:pPr>
            <w:r w:rsidRPr="006B5FC6">
              <w:rPr>
                <w:rFonts w:ascii="Arial Narrow" w:hAnsi="Arial Narrow"/>
                <w:b/>
                <w:sz w:val="18"/>
                <w:szCs w:val="18"/>
              </w:rPr>
              <w:t>Cost</w:t>
            </w:r>
            <w:r w:rsidRPr="006B5FC6">
              <w:rPr>
                <w:rFonts w:ascii="Arial Narrow" w:hAnsi="Arial Narrow"/>
                <w:b/>
                <w:sz w:val="18"/>
                <w:szCs w:val="18"/>
                <w:vertAlign w:val="superscript"/>
              </w:rPr>
              <w:t>1</w:t>
            </w:r>
            <w:r w:rsidRPr="006B5FC6">
              <w:rPr>
                <w:rFonts w:ascii="Arial Narrow" w:hAnsi="Arial Narrow"/>
                <w:b/>
                <w:sz w:val="18"/>
                <w:szCs w:val="18"/>
              </w:rPr>
              <w:br/>
            </w:r>
            <w:r>
              <w:rPr>
                <w:rFonts w:ascii="Arial Narrow" w:hAnsi="Arial Narrow"/>
                <w:b/>
                <w:sz w:val="18"/>
                <w:szCs w:val="18"/>
              </w:rPr>
              <w:t>2018$</w:t>
            </w:r>
          </w:p>
        </w:tc>
      </w:tr>
      <w:tr w:rsidRPr="003D75E2" w:rsidR="00324F8B" w:rsidTr="00A968E8" w14:paraId="131792FF" w14:textId="77777777">
        <w:trPr>
          <w:jc w:val="center"/>
        </w:trPr>
        <w:tc>
          <w:tcPr>
            <w:tcW w:w="10080" w:type="dxa"/>
            <w:gridSpan w:val="3"/>
            <w:tcBorders>
              <w:top w:val="single" w:color="auto" w:sz="4" w:space="0"/>
              <w:left w:val="single" w:color="auto" w:sz="4" w:space="0"/>
              <w:bottom w:val="single" w:color="auto" w:sz="4" w:space="0"/>
              <w:right w:val="single" w:color="auto" w:sz="4" w:space="0"/>
            </w:tcBorders>
            <w:shd w:val="clear" w:color="auto" w:fill="F2F2F2"/>
            <w:vAlign w:val="center"/>
            <w:hideMark/>
          </w:tcPr>
          <w:p w:rsidRPr="006B5FC6" w:rsidR="00324F8B" w:rsidP="00B641A6" w:rsidRDefault="00324F8B" w14:paraId="0460DD54" w14:textId="77777777">
            <w:pPr>
              <w:spacing w:before="40" w:after="40"/>
              <w:rPr>
                <w:rFonts w:ascii="Arial Narrow" w:hAnsi="Arial Narrow"/>
                <w:sz w:val="18"/>
                <w:szCs w:val="18"/>
              </w:rPr>
            </w:pPr>
            <w:r w:rsidRPr="006B5FC6">
              <w:rPr>
                <w:rFonts w:ascii="Arial Narrow" w:hAnsi="Arial Narrow"/>
                <w:b/>
                <w:sz w:val="18"/>
                <w:szCs w:val="18"/>
              </w:rPr>
              <w:t xml:space="preserve">Variable Costs (cost per </w:t>
            </w:r>
            <w:r>
              <w:rPr>
                <w:rFonts w:ascii="Arial Narrow" w:hAnsi="Arial Narrow"/>
                <w:b/>
                <w:sz w:val="18"/>
                <w:szCs w:val="18"/>
              </w:rPr>
              <w:t xml:space="preserve">chemical </w:t>
            </w:r>
            <w:r w:rsidRPr="006B5FC6">
              <w:rPr>
                <w:rFonts w:ascii="Arial Narrow" w:hAnsi="Arial Narrow"/>
                <w:b/>
                <w:sz w:val="18"/>
                <w:szCs w:val="18"/>
              </w:rPr>
              <w:t>report)</w:t>
            </w:r>
          </w:p>
        </w:tc>
      </w:tr>
      <w:tr w:rsidRPr="003D75E2" w:rsidR="00324F8B" w:rsidTr="00A968E8" w14:paraId="61778210" w14:textId="77777777">
        <w:trPr>
          <w:jc w:val="center"/>
        </w:trPr>
        <w:tc>
          <w:tcPr>
            <w:tcW w:w="7536"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0A6EEBF3" w14:textId="77777777">
            <w:pPr>
              <w:spacing w:before="40" w:after="40"/>
              <w:rPr>
                <w:rFonts w:ascii="Arial Narrow" w:hAnsi="Arial Narrow"/>
                <w:sz w:val="18"/>
                <w:szCs w:val="18"/>
              </w:rPr>
            </w:pPr>
            <w:r w:rsidRPr="006B5FC6">
              <w:rPr>
                <w:rFonts w:ascii="Arial Narrow" w:hAnsi="Arial Narrow"/>
                <w:sz w:val="18"/>
                <w:szCs w:val="18"/>
              </w:rPr>
              <w:t>Document receipt, tracking, and data review for Part I</w:t>
            </w:r>
          </w:p>
        </w:tc>
        <w:tc>
          <w:tcPr>
            <w:tcW w:w="1370"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5C5E7C4D" w14:textId="77777777">
            <w:pPr>
              <w:spacing w:before="40" w:after="40"/>
              <w:jc w:val="right"/>
              <w:rPr>
                <w:rFonts w:ascii="Arial Narrow" w:hAnsi="Arial Narrow"/>
                <w:sz w:val="18"/>
                <w:szCs w:val="18"/>
              </w:rPr>
            </w:pPr>
            <w:r w:rsidRPr="006B5FC6">
              <w:rPr>
                <w:rFonts w:ascii="Arial Narrow" w:hAnsi="Arial Narrow"/>
                <w:sz w:val="18"/>
                <w:szCs w:val="18"/>
              </w:rPr>
              <w:t xml:space="preserve">$0.10 </w:t>
            </w:r>
          </w:p>
        </w:tc>
        <w:tc>
          <w:tcPr>
            <w:tcW w:w="1174"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2FD38A90" w14:textId="77777777">
            <w:pPr>
              <w:spacing w:before="40" w:after="40"/>
              <w:jc w:val="right"/>
              <w:rPr>
                <w:rFonts w:ascii="Arial Narrow" w:hAnsi="Arial Narrow"/>
                <w:sz w:val="18"/>
                <w:szCs w:val="18"/>
              </w:rPr>
            </w:pPr>
            <w:r>
              <w:rPr>
                <w:rFonts w:ascii="Arial Narrow" w:hAnsi="Arial Narrow" w:cs="Calibri"/>
                <w:color w:val="000000"/>
                <w:sz w:val="18"/>
                <w:szCs w:val="18"/>
              </w:rPr>
              <w:t xml:space="preserve">$0.12 </w:t>
            </w:r>
          </w:p>
        </w:tc>
      </w:tr>
      <w:tr w:rsidRPr="003D75E2" w:rsidR="00324F8B" w:rsidTr="00A968E8" w14:paraId="3032862B" w14:textId="77777777">
        <w:trPr>
          <w:jc w:val="center"/>
        </w:trPr>
        <w:tc>
          <w:tcPr>
            <w:tcW w:w="7536"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40C59227" w14:textId="77777777">
            <w:pPr>
              <w:spacing w:before="40" w:after="40"/>
              <w:rPr>
                <w:rFonts w:ascii="Arial Narrow" w:hAnsi="Arial Narrow"/>
                <w:sz w:val="18"/>
                <w:szCs w:val="18"/>
              </w:rPr>
            </w:pPr>
            <w:r w:rsidRPr="006B5FC6">
              <w:rPr>
                <w:rFonts w:ascii="Arial Narrow" w:hAnsi="Arial Narrow"/>
                <w:sz w:val="18"/>
                <w:szCs w:val="18"/>
              </w:rPr>
              <w:t>Document receipt, tracking, and data review for Part II</w:t>
            </w:r>
          </w:p>
        </w:tc>
        <w:tc>
          <w:tcPr>
            <w:tcW w:w="1370"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7684C30C" w14:textId="77777777">
            <w:pPr>
              <w:spacing w:before="40" w:after="40"/>
              <w:jc w:val="right"/>
              <w:rPr>
                <w:rFonts w:ascii="Arial Narrow" w:hAnsi="Arial Narrow"/>
                <w:sz w:val="18"/>
                <w:szCs w:val="18"/>
              </w:rPr>
            </w:pPr>
            <w:r w:rsidRPr="006B5FC6">
              <w:rPr>
                <w:rFonts w:ascii="Arial Narrow" w:hAnsi="Arial Narrow"/>
                <w:sz w:val="18"/>
                <w:szCs w:val="18"/>
              </w:rPr>
              <w:t xml:space="preserve">$0.28 </w:t>
            </w:r>
          </w:p>
        </w:tc>
        <w:tc>
          <w:tcPr>
            <w:tcW w:w="1174" w:type="dxa"/>
            <w:tcBorders>
              <w:top w:val="single" w:color="auto" w:sz="4" w:space="0"/>
              <w:left w:val="single" w:color="auto" w:sz="4" w:space="0"/>
              <w:bottom w:val="single" w:color="auto" w:sz="4" w:space="0"/>
              <w:right w:val="single" w:color="auto" w:sz="4" w:space="0"/>
            </w:tcBorders>
            <w:vAlign w:val="center"/>
            <w:hideMark/>
          </w:tcPr>
          <w:p w:rsidRPr="006B5FC6" w:rsidR="00324F8B" w:rsidP="00B641A6" w:rsidRDefault="00324F8B" w14:paraId="5E3B9E3E" w14:textId="77777777">
            <w:pPr>
              <w:spacing w:before="40" w:after="40"/>
              <w:jc w:val="right"/>
              <w:rPr>
                <w:rFonts w:ascii="Arial Narrow" w:hAnsi="Arial Narrow"/>
                <w:sz w:val="18"/>
                <w:szCs w:val="18"/>
              </w:rPr>
            </w:pPr>
            <w:r>
              <w:rPr>
                <w:rFonts w:ascii="Arial Narrow" w:hAnsi="Arial Narrow" w:cs="Calibri"/>
                <w:color w:val="000000"/>
                <w:sz w:val="18"/>
                <w:szCs w:val="18"/>
              </w:rPr>
              <w:t xml:space="preserve">$0.32 </w:t>
            </w:r>
          </w:p>
        </w:tc>
      </w:tr>
      <w:tr w:rsidRPr="003D75E2" w:rsidR="00324F8B" w:rsidTr="00A968E8" w14:paraId="0E3392F7" w14:textId="77777777">
        <w:trPr>
          <w:jc w:val="center"/>
        </w:trPr>
        <w:tc>
          <w:tcPr>
            <w:tcW w:w="7536" w:type="dxa"/>
            <w:tcBorders>
              <w:top w:val="single" w:color="auto" w:sz="4" w:space="0"/>
              <w:left w:val="single" w:color="auto" w:sz="4" w:space="0"/>
              <w:bottom w:val="single" w:color="auto" w:sz="12" w:space="0"/>
              <w:right w:val="single" w:color="auto" w:sz="4" w:space="0"/>
            </w:tcBorders>
            <w:vAlign w:val="center"/>
            <w:hideMark/>
          </w:tcPr>
          <w:p w:rsidRPr="006B5FC6" w:rsidR="00324F8B" w:rsidP="00B641A6" w:rsidRDefault="00324F8B" w14:paraId="1D51EAB4" w14:textId="77777777">
            <w:pPr>
              <w:spacing w:before="40" w:after="40"/>
              <w:rPr>
                <w:rFonts w:ascii="Arial Narrow" w:hAnsi="Arial Narrow"/>
                <w:sz w:val="18"/>
                <w:szCs w:val="18"/>
              </w:rPr>
            </w:pPr>
            <w:r w:rsidRPr="006B5FC6">
              <w:rPr>
                <w:rFonts w:ascii="Arial Narrow" w:hAnsi="Arial Narrow"/>
                <w:sz w:val="18"/>
                <w:szCs w:val="18"/>
              </w:rPr>
              <w:t>Document receipt, tracking, and data review for Part III</w:t>
            </w:r>
          </w:p>
        </w:tc>
        <w:tc>
          <w:tcPr>
            <w:tcW w:w="1370" w:type="dxa"/>
            <w:tcBorders>
              <w:top w:val="single" w:color="auto" w:sz="4" w:space="0"/>
              <w:left w:val="single" w:color="auto" w:sz="4" w:space="0"/>
              <w:bottom w:val="single" w:color="auto" w:sz="12" w:space="0"/>
              <w:right w:val="single" w:color="auto" w:sz="4" w:space="0"/>
            </w:tcBorders>
            <w:vAlign w:val="center"/>
            <w:hideMark/>
          </w:tcPr>
          <w:p w:rsidRPr="006B5FC6" w:rsidR="00324F8B" w:rsidP="00B641A6" w:rsidRDefault="00324F8B" w14:paraId="6AA5AF04" w14:textId="77777777">
            <w:pPr>
              <w:spacing w:before="40" w:after="40"/>
              <w:jc w:val="right"/>
              <w:rPr>
                <w:rFonts w:ascii="Arial Narrow" w:hAnsi="Arial Narrow"/>
                <w:sz w:val="18"/>
                <w:szCs w:val="18"/>
              </w:rPr>
            </w:pPr>
            <w:r w:rsidRPr="006B5FC6">
              <w:rPr>
                <w:rFonts w:ascii="Arial Narrow" w:hAnsi="Arial Narrow"/>
                <w:sz w:val="18"/>
                <w:szCs w:val="18"/>
              </w:rPr>
              <w:t xml:space="preserve">$0.32 </w:t>
            </w:r>
          </w:p>
        </w:tc>
        <w:tc>
          <w:tcPr>
            <w:tcW w:w="1174" w:type="dxa"/>
            <w:tcBorders>
              <w:top w:val="single" w:color="auto" w:sz="4" w:space="0"/>
              <w:left w:val="single" w:color="auto" w:sz="4" w:space="0"/>
              <w:bottom w:val="single" w:color="auto" w:sz="12" w:space="0"/>
              <w:right w:val="single" w:color="auto" w:sz="4" w:space="0"/>
            </w:tcBorders>
            <w:vAlign w:val="center"/>
            <w:hideMark/>
          </w:tcPr>
          <w:p w:rsidRPr="006B5FC6" w:rsidR="00324F8B" w:rsidP="00B641A6" w:rsidRDefault="00324F8B" w14:paraId="71380C0F" w14:textId="77777777">
            <w:pPr>
              <w:spacing w:before="40" w:after="40"/>
              <w:jc w:val="right"/>
              <w:rPr>
                <w:rFonts w:ascii="Arial Narrow" w:hAnsi="Arial Narrow"/>
                <w:sz w:val="18"/>
                <w:szCs w:val="18"/>
              </w:rPr>
            </w:pPr>
            <w:r>
              <w:rPr>
                <w:rFonts w:ascii="Arial Narrow" w:hAnsi="Arial Narrow" w:cs="Calibri"/>
                <w:color w:val="000000"/>
                <w:sz w:val="18"/>
                <w:szCs w:val="18"/>
              </w:rPr>
              <w:t xml:space="preserve">$0.37 </w:t>
            </w:r>
          </w:p>
        </w:tc>
      </w:tr>
      <w:tr w:rsidRPr="003D75E2" w:rsidR="00324F8B" w:rsidTr="00A968E8" w14:paraId="6EE70C2E" w14:textId="77777777">
        <w:trPr>
          <w:jc w:val="center"/>
        </w:trPr>
        <w:tc>
          <w:tcPr>
            <w:tcW w:w="7536" w:type="dxa"/>
            <w:tcBorders>
              <w:top w:val="single" w:color="auto" w:sz="12" w:space="0"/>
              <w:left w:val="single" w:color="auto" w:sz="8" w:space="0"/>
              <w:bottom w:val="single" w:color="auto" w:sz="8" w:space="0"/>
              <w:right w:val="single" w:color="auto" w:sz="4" w:space="0"/>
            </w:tcBorders>
            <w:vAlign w:val="center"/>
            <w:hideMark/>
          </w:tcPr>
          <w:p w:rsidRPr="006B5FC6" w:rsidR="00324F8B" w:rsidP="00B641A6" w:rsidRDefault="00324F8B" w14:paraId="6B99B66A" w14:textId="77777777">
            <w:pPr>
              <w:spacing w:before="40" w:after="40"/>
              <w:rPr>
                <w:rFonts w:ascii="Arial Narrow" w:hAnsi="Arial Narrow"/>
                <w:b/>
                <w:sz w:val="18"/>
                <w:szCs w:val="18"/>
              </w:rPr>
            </w:pPr>
            <w:r w:rsidRPr="006B5FC6">
              <w:rPr>
                <w:rFonts w:ascii="Arial Narrow" w:hAnsi="Arial Narrow"/>
                <w:b/>
                <w:sz w:val="18"/>
                <w:szCs w:val="18"/>
              </w:rPr>
              <w:t>Total Cost of Document receipt, tracking, and data review, per single chemical full report</w:t>
            </w:r>
          </w:p>
        </w:tc>
        <w:tc>
          <w:tcPr>
            <w:tcW w:w="1370" w:type="dxa"/>
            <w:tcBorders>
              <w:top w:val="single" w:color="auto" w:sz="12" w:space="0"/>
              <w:left w:val="single" w:color="auto" w:sz="4" w:space="0"/>
              <w:bottom w:val="single" w:color="auto" w:sz="8" w:space="0"/>
              <w:right w:val="single" w:color="auto" w:sz="4" w:space="0"/>
            </w:tcBorders>
            <w:vAlign w:val="center"/>
            <w:hideMark/>
          </w:tcPr>
          <w:p w:rsidRPr="006B5FC6" w:rsidR="00324F8B" w:rsidP="00B641A6" w:rsidRDefault="00324F8B" w14:paraId="02F7F28E" w14:textId="77777777">
            <w:pPr>
              <w:spacing w:before="40" w:after="40"/>
              <w:jc w:val="right"/>
              <w:rPr>
                <w:rFonts w:ascii="Arial Narrow" w:hAnsi="Arial Narrow"/>
                <w:b/>
                <w:sz w:val="18"/>
                <w:szCs w:val="18"/>
              </w:rPr>
            </w:pPr>
            <w:r w:rsidRPr="006B5FC6">
              <w:rPr>
                <w:rFonts w:ascii="Arial Narrow" w:hAnsi="Arial Narrow"/>
                <w:b/>
                <w:sz w:val="18"/>
                <w:szCs w:val="18"/>
              </w:rPr>
              <w:t xml:space="preserve">$0.70 </w:t>
            </w:r>
          </w:p>
        </w:tc>
        <w:tc>
          <w:tcPr>
            <w:tcW w:w="1174" w:type="dxa"/>
            <w:tcBorders>
              <w:top w:val="single" w:color="auto" w:sz="12" w:space="0"/>
              <w:left w:val="single" w:color="auto" w:sz="4" w:space="0"/>
              <w:bottom w:val="single" w:color="auto" w:sz="8" w:space="0"/>
              <w:right w:val="single" w:color="auto" w:sz="8" w:space="0"/>
            </w:tcBorders>
            <w:vAlign w:val="center"/>
            <w:hideMark/>
          </w:tcPr>
          <w:p w:rsidRPr="006B5FC6" w:rsidR="00324F8B" w:rsidP="00B641A6" w:rsidRDefault="00324F8B" w14:paraId="7D20D061" w14:textId="77777777">
            <w:pPr>
              <w:spacing w:before="40" w:after="40"/>
              <w:jc w:val="right"/>
              <w:rPr>
                <w:rFonts w:ascii="Arial Narrow" w:hAnsi="Arial Narrow"/>
                <w:b/>
                <w:sz w:val="18"/>
                <w:szCs w:val="18"/>
              </w:rPr>
            </w:pPr>
            <w:r>
              <w:rPr>
                <w:rFonts w:ascii="Arial Narrow" w:hAnsi="Arial Narrow" w:cs="Calibri"/>
                <w:b/>
                <w:bCs/>
                <w:color w:val="000000"/>
                <w:sz w:val="18"/>
                <w:szCs w:val="18"/>
              </w:rPr>
              <w:t xml:space="preserve">$0.81 </w:t>
            </w:r>
          </w:p>
        </w:tc>
      </w:tr>
      <w:tr w:rsidRPr="005E662A" w:rsidR="00324F8B" w:rsidTr="00A968E8" w14:paraId="75BE8AFB" w14:textId="77777777">
        <w:trPr>
          <w:jc w:val="center"/>
        </w:trPr>
        <w:tc>
          <w:tcPr>
            <w:tcW w:w="10080" w:type="dxa"/>
            <w:gridSpan w:val="3"/>
            <w:tcBorders>
              <w:top w:val="single" w:color="auto" w:sz="8" w:space="0"/>
              <w:left w:val="single" w:color="auto" w:sz="4" w:space="0"/>
              <w:bottom w:val="single" w:color="auto" w:sz="4" w:space="0"/>
              <w:right w:val="single" w:color="auto" w:sz="4" w:space="0"/>
            </w:tcBorders>
            <w:vAlign w:val="bottom"/>
            <w:hideMark/>
          </w:tcPr>
          <w:p w:rsidRPr="008C5171" w:rsidR="00324F8B" w:rsidP="00B641A6" w:rsidRDefault="00324F8B" w14:paraId="30CB23B1" w14:textId="77777777">
            <w:pPr>
              <w:spacing w:before="40" w:after="40"/>
              <w:rPr>
                <w:rFonts w:ascii="Arial Narrow" w:hAnsi="Arial Narrow"/>
                <w:sz w:val="18"/>
                <w:szCs w:val="18"/>
              </w:rPr>
            </w:pPr>
            <w:r w:rsidRPr="008C5171">
              <w:rPr>
                <w:rFonts w:ascii="Arial Narrow" w:hAnsi="Arial Narrow"/>
                <w:sz w:val="18"/>
                <w:szCs w:val="18"/>
              </w:rPr>
              <w:t xml:space="preserve">Sources include EPA </w:t>
            </w:r>
            <w:r>
              <w:rPr>
                <w:rFonts w:ascii="Arial Narrow" w:hAnsi="Arial Narrow"/>
                <w:sz w:val="18"/>
                <w:szCs w:val="18"/>
              </w:rPr>
              <w:t>(</w:t>
            </w:r>
            <w:r w:rsidRPr="008C5171">
              <w:rPr>
                <w:rFonts w:ascii="Arial Narrow" w:hAnsi="Arial Narrow"/>
                <w:sz w:val="18"/>
                <w:szCs w:val="18"/>
              </w:rPr>
              <w:t>2015</w:t>
            </w:r>
            <w:r>
              <w:rPr>
                <w:rFonts w:ascii="Arial Narrow" w:hAnsi="Arial Narrow"/>
                <w:sz w:val="18"/>
                <w:szCs w:val="18"/>
              </w:rPr>
              <w:t>),</w:t>
            </w:r>
            <w:r w:rsidRPr="008C5171">
              <w:rPr>
                <w:rFonts w:ascii="Arial Narrow" w:hAnsi="Arial Narrow"/>
                <w:sz w:val="18"/>
                <w:szCs w:val="18"/>
              </w:rPr>
              <w:t xml:space="preserve"> </w:t>
            </w:r>
            <w:r>
              <w:rPr>
                <w:rFonts w:ascii="Arial Narrow" w:hAnsi="Arial Narrow"/>
                <w:sz w:val="18"/>
                <w:szCs w:val="18"/>
              </w:rPr>
              <w:t>EPA (2018b),</w:t>
            </w:r>
            <w:r w:rsidRPr="008C5171">
              <w:rPr>
                <w:rFonts w:ascii="Arial Narrow" w:hAnsi="Arial Narrow"/>
                <w:sz w:val="18"/>
                <w:szCs w:val="18"/>
              </w:rPr>
              <w:t xml:space="preserve"> and BLS </w:t>
            </w:r>
            <w:r>
              <w:rPr>
                <w:rFonts w:ascii="Arial Narrow" w:hAnsi="Arial Narrow"/>
                <w:sz w:val="18"/>
                <w:szCs w:val="18"/>
              </w:rPr>
              <w:t>(</w:t>
            </w:r>
            <w:r w:rsidRPr="008C5171">
              <w:rPr>
                <w:rFonts w:ascii="Arial Narrow" w:hAnsi="Arial Narrow"/>
                <w:sz w:val="18"/>
                <w:szCs w:val="18"/>
              </w:rPr>
              <w:t>201</w:t>
            </w:r>
            <w:r>
              <w:rPr>
                <w:rFonts w:ascii="Arial Narrow" w:hAnsi="Arial Narrow"/>
                <w:sz w:val="18"/>
                <w:szCs w:val="18"/>
              </w:rPr>
              <w:t>9b).</w:t>
            </w:r>
          </w:p>
          <w:p w:rsidR="00324F8B" w:rsidP="00B641A6" w:rsidRDefault="00324F8B" w14:paraId="7C251530" w14:textId="77777777">
            <w:pPr>
              <w:spacing w:before="40" w:after="40"/>
              <w:rPr>
                <w:rFonts w:ascii="Arial Narrow" w:hAnsi="Arial Narrow"/>
                <w:sz w:val="18"/>
                <w:szCs w:val="18"/>
              </w:rPr>
            </w:pPr>
            <w:r w:rsidRPr="00885DF8">
              <w:rPr>
                <w:rFonts w:ascii="Arial Narrow" w:hAnsi="Arial Narrow"/>
                <w:sz w:val="18"/>
                <w:szCs w:val="18"/>
              </w:rPr>
              <w:t>Footnote</w:t>
            </w:r>
            <w:r>
              <w:rPr>
                <w:rFonts w:ascii="Arial Narrow" w:hAnsi="Arial Narrow"/>
                <w:sz w:val="18"/>
                <w:szCs w:val="18"/>
              </w:rPr>
              <w:t>:</w:t>
            </w:r>
          </w:p>
          <w:p w:rsidRPr="00885DF8" w:rsidR="00324F8B" w:rsidP="00B641A6" w:rsidRDefault="00324F8B" w14:paraId="35AAD51D" w14:textId="77777777">
            <w:pPr>
              <w:spacing w:before="40" w:after="40"/>
              <w:ind w:left="144" w:hanging="144"/>
              <w:rPr>
                <w:rFonts w:ascii="Arial Narrow" w:hAnsi="Arial Narrow"/>
                <w:sz w:val="18"/>
                <w:szCs w:val="18"/>
              </w:rPr>
            </w:pPr>
            <w:r w:rsidRPr="00885DF8">
              <w:rPr>
                <w:rFonts w:ascii="Arial Narrow" w:hAnsi="Arial Narrow"/>
                <w:sz w:val="18"/>
                <w:szCs w:val="18"/>
                <w:vertAlign w:val="superscript"/>
              </w:rPr>
              <w:t>1</w:t>
            </w:r>
            <w:r>
              <w:rPr>
                <w:rFonts w:ascii="Arial Narrow" w:hAnsi="Arial Narrow"/>
                <w:sz w:val="18"/>
                <w:szCs w:val="18"/>
              </w:rPr>
              <w:tab/>
            </w:r>
            <w:r w:rsidRPr="00885DF8">
              <w:rPr>
                <w:rFonts w:ascii="Arial Narrow" w:hAnsi="Arial Narrow"/>
                <w:sz w:val="18"/>
                <w:szCs w:val="18"/>
              </w:rPr>
              <w:t>The inflation rate of 1.1</w:t>
            </w:r>
            <w:r>
              <w:rPr>
                <w:rFonts w:ascii="Arial Narrow" w:hAnsi="Arial Narrow"/>
                <w:sz w:val="18"/>
                <w:szCs w:val="18"/>
              </w:rPr>
              <w:t>5</w:t>
            </w:r>
            <w:r w:rsidRPr="00885DF8">
              <w:rPr>
                <w:rFonts w:ascii="Arial Narrow" w:hAnsi="Arial Narrow"/>
                <w:sz w:val="18"/>
                <w:szCs w:val="18"/>
              </w:rPr>
              <w:t xml:space="preserve"> is calculated as the total compensation Employment Cost Index (ECI) for 201</w:t>
            </w:r>
            <w:r>
              <w:rPr>
                <w:rFonts w:ascii="Arial Narrow" w:hAnsi="Arial Narrow"/>
                <w:sz w:val="18"/>
                <w:szCs w:val="18"/>
              </w:rPr>
              <w:t>8</w:t>
            </w:r>
            <w:r w:rsidRPr="00885DF8">
              <w:rPr>
                <w:rFonts w:ascii="Arial Narrow" w:hAnsi="Arial Narrow"/>
                <w:sz w:val="18"/>
                <w:szCs w:val="18"/>
              </w:rPr>
              <w:t xml:space="preserve"> divided by the ECI for 2012.</w:t>
            </w:r>
          </w:p>
        </w:tc>
      </w:tr>
      <w:bookmarkEnd w:id="65"/>
    </w:tbl>
    <w:p w:rsidRPr="003928A8" w:rsidR="00955C62" w:rsidP="003928A8" w:rsidRDefault="00955C62" w14:paraId="2435919C" w14:textId="3B23D700"/>
    <w:p w:rsidR="00325669" w:rsidP="00A22510" w:rsidRDefault="00A22510" w14:paraId="71646586" w14:textId="674EEB63">
      <w:pPr>
        <w:pStyle w:val="BodyText"/>
      </w:pPr>
      <w:r>
        <w:t xml:space="preserve">The final rule will result in net reduction in the reporting universe, which will result in lower Agency burden and cost associated with quality control. </w:t>
      </w:r>
      <w:r w:rsidR="00B60B34">
        <w:fldChar w:fldCharType="begin"/>
      </w:r>
      <w:r w:rsidR="00B60B34">
        <w:instrText xml:space="preserve"> REF _Ref28935122 \h </w:instrText>
      </w:r>
      <w:r w:rsidR="00B60B34">
        <w:fldChar w:fldCharType="separate"/>
      </w:r>
      <w:r w:rsidRPr="00DD7B30" w:rsidR="00590B23">
        <w:t xml:space="preserve">Table </w:t>
      </w:r>
      <w:r w:rsidR="00590B23">
        <w:rPr>
          <w:noProof/>
        </w:rPr>
        <w:t>A</w:t>
      </w:r>
      <w:r w:rsidRPr="00DD7B30" w:rsidR="00590B23">
        <w:noBreakHyphen/>
      </w:r>
      <w:r w:rsidR="00590B23">
        <w:rPr>
          <w:noProof/>
        </w:rPr>
        <w:t>4</w:t>
      </w:r>
      <w:r w:rsidR="00B60B34">
        <w:fldChar w:fldCharType="end"/>
      </w:r>
      <w:r w:rsidR="00AF6C59">
        <w:t xml:space="preserve"> </w:t>
      </w:r>
      <w:r>
        <w:t xml:space="preserve">presents the estimated incremental Agency burden and </w:t>
      </w:r>
      <w:r w:rsidRPr="00794249">
        <w:t>cost</w:t>
      </w:r>
      <w:r>
        <w:t xml:space="preserve"> associated with the rule. </w:t>
      </w:r>
    </w:p>
    <w:p w:rsidR="00325669" w:rsidP="00325669" w:rsidRDefault="00325669" w14:paraId="278D8A22" w14:textId="77777777">
      <w:pPr>
        <w:pStyle w:val="NoSpacing"/>
        <w:rPr>
          <w:rFonts w:eastAsiaTheme="minorEastAsia"/>
          <w:lang w:bidi="en-US"/>
        </w:rPr>
      </w:pPr>
      <w:r>
        <w:br w:type="page"/>
      </w:r>
    </w:p>
    <w:tbl>
      <w:tblPr>
        <w:tblW w:w="9260" w:type="dxa"/>
        <w:tblLook w:val="04A0" w:firstRow="1" w:lastRow="0" w:firstColumn="1" w:lastColumn="0" w:noHBand="0" w:noVBand="1"/>
      </w:tblPr>
      <w:tblGrid>
        <w:gridCol w:w="1400"/>
        <w:gridCol w:w="960"/>
        <w:gridCol w:w="960"/>
        <w:gridCol w:w="960"/>
        <w:gridCol w:w="960"/>
        <w:gridCol w:w="1140"/>
        <w:gridCol w:w="960"/>
        <w:gridCol w:w="960"/>
        <w:gridCol w:w="960"/>
      </w:tblGrid>
      <w:tr w:rsidRPr="00325669" w:rsidR="00325669" w:rsidTr="00325669" w14:paraId="1349907C" w14:textId="77777777">
        <w:trPr>
          <w:trHeight w:val="645"/>
        </w:trPr>
        <w:tc>
          <w:tcPr>
            <w:tcW w:w="9260" w:type="dxa"/>
            <w:gridSpan w:val="9"/>
            <w:tcBorders>
              <w:top w:val="nil"/>
              <w:left w:val="nil"/>
              <w:bottom w:val="single" w:color="auto" w:sz="4" w:space="0"/>
              <w:right w:val="nil"/>
            </w:tcBorders>
            <w:shd w:val="clear" w:color="auto" w:fill="auto"/>
            <w:vAlign w:val="bottom"/>
            <w:hideMark/>
          </w:tcPr>
          <w:p w:rsidRPr="00DD7B30" w:rsidR="00325669" w:rsidP="00B641A6" w:rsidRDefault="00B60B34" w14:paraId="7820898B" w14:textId="0C4B05DF">
            <w:pPr>
              <w:pStyle w:val="Caption"/>
              <w:spacing w:before="40" w:after="40"/>
            </w:pPr>
            <w:bookmarkStart w:name="_Ref28935122" w:id="81"/>
            <w:bookmarkStart w:name="_Toc28935283" w:id="82"/>
            <w:r w:rsidRPr="00DD7B30">
              <w:lastRenderedPageBreak/>
              <w:t xml:space="preserve">Table </w:t>
            </w:r>
            <w:fldSimple w:instr=" STYLEREF 7 \s ">
              <w:r w:rsidR="00590B23">
                <w:rPr>
                  <w:noProof/>
                </w:rPr>
                <w:t>A</w:t>
              </w:r>
            </w:fldSimple>
            <w:r w:rsidRPr="00DD7B30">
              <w:noBreakHyphen/>
            </w:r>
            <w:fldSimple w:instr=" SEQ Table_Apx \* ARABIC \s 7 ">
              <w:r w:rsidR="00590B23">
                <w:rPr>
                  <w:noProof/>
                </w:rPr>
                <w:t>4</w:t>
              </w:r>
            </w:fldSimple>
            <w:bookmarkEnd w:id="81"/>
            <w:r w:rsidRPr="00DD7B30" w:rsidR="00325669">
              <w:t>: Incremental Agency Burden and Cost of 8(a) SMD Update, Four-Year Cycle</w:t>
            </w:r>
            <w:bookmarkEnd w:id="82"/>
          </w:p>
        </w:tc>
      </w:tr>
      <w:tr w:rsidRPr="00325669" w:rsidR="00325669" w:rsidTr="00325669" w14:paraId="338F8B28" w14:textId="77777777">
        <w:trPr>
          <w:trHeight w:val="300"/>
        </w:trPr>
        <w:tc>
          <w:tcPr>
            <w:tcW w:w="6380" w:type="dxa"/>
            <w:gridSpan w:val="6"/>
            <w:tcBorders>
              <w:top w:val="single" w:color="auto" w:sz="4" w:space="0"/>
              <w:left w:val="single" w:color="auto" w:sz="4" w:space="0"/>
              <w:bottom w:val="single" w:color="auto" w:sz="4" w:space="0"/>
              <w:right w:val="single" w:color="auto" w:sz="4" w:space="0"/>
            </w:tcBorders>
            <w:shd w:val="clear" w:color="000000" w:fill="BFBFBF"/>
            <w:vAlign w:val="center"/>
            <w:hideMark/>
          </w:tcPr>
          <w:p w:rsidRPr="00325669" w:rsidR="00325669" w:rsidP="00B641A6" w:rsidRDefault="00325669" w14:paraId="0838A99C"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 </w:t>
            </w:r>
          </w:p>
        </w:tc>
        <w:tc>
          <w:tcPr>
            <w:tcW w:w="2880" w:type="dxa"/>
            <w:gridSpan w:val="3"/>
            <w:tcBorders>
              <w:top w:val="single" w:color="auto" w:sz="4" w:space="0"/>
              <w:left w:val="nil"/>
              <w:bottom w:val="single" w:color="auto" w:sz="4" w:space="0"/>
              <w:right w:val="single" w:color="auto" w:sz="4" w:space="0"/>
            </w:tcBorders>
            <w:shd w:val="clear" w:color="000000" w:fill="BFBFBF"/>
            <w:vAlign w:val="center"/>
            <w:hideMark/>
          </w:tcPr>
          <w:p w:rsidRPr="00325669" w:rsidR="00325669" w:rsidP="00B641A6" w:rsidRDefault="00325669" w14:paraId="00CF80DF"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Incremental Change</w:t>
            </w:r>
          </w:p>
        </w:tc>
      </w:tr>
      <w:tr w:rsidRPr="00325669" w:rsidR="00325669" w:rsidTr="00325669" w14:paraId="279DA96A" w14:textId="77777777">
        <w:trPr>
          <w:trHeight w:val="810"/>
        </w:trPr>
        <w:tc>
          <w:tcPr>
            <w:tcW w:w="1400" w:type="dxa"/>
            <w:tcBorders>
              <w:top w:val="nil"/>
              <w:left w:val="single" w:color="auto" w:sz="4" w:space="0"/>
              <w:bottom w:val="single" w:color="auto" w:sz="4" w:space="0"/>
              <w:right w:val="single" w:color="auto" w:sz="4" w:space="0"/>
            </w:tcBorders>
            <w:shd w:val="clear" w:color="000000" w:fill="BFBFBF"/>
            <w:vAlign w:val="center"/>
            <w:hideMark/>
          </w:tcPr>
          <w:p w:rsidRPr="00325669" w:rsidR="00325669" w:rsidP="00B641A6" w:rsidRDefault="00325669" w14:paraId="24DA5474"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Activity</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66E699BA"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Staff</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37A463E1"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Form U Section</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38986EBA"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Burden per Activity (hours)</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4ADCB40E"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Cost per Activity</w:t>
            </w:r>
            <w:r w:rsidRPr="00325669">
              <w:rPr>
                <w:rFonts w:ascii="Arial Narrow" w:hAnsi="Arial Narrow" w:eastAsia="Times New Roman" w:cs="Calibri"/>
                <w:b/>
                <w:bCs/>
                <w:color w:val="000000"/>
                <w:sz w:val="18"/>
                <w:szCs w:val="18"/>
              </w:rPr>
              <w:br/>
              <w:t>(2018$)</w:t>
            </w:r>
          </w:p>
        </w:tc>
        <w:tc>
          <w:tcPr>
            <w:tcW w:w="114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0FF458CD"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Unit of Analysis</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2BFF708A"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Affected Universe</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018D1D3A"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Total Burden (hours)</w:t>
            </w:r>
          </w:p>
        </w:tc>
        <w:tc>
          <w:tcPr>
            <w:tcW w:w="960" w:type="dxa"/>
            <w:tcBorders>
              <w:top w:val="nil"/>
              <w:left w:val="nil"/>
              <w:bottom w:val="single" w:color="auto" w:sz="4" w:space="0"/>
              <w:right w:val="single" w:color="auto" w:sz="4" w:space="0"/>
            </w:tcBorders>
            <w:shd w:val="clear" w:color="000000" w:fill="BFBFBF"/>
            <w:vAlign w:val="center"/>
            <w:hideMark/>
          </w:tcPr>
          <w:p w:rsidRPr="00325669" w:rsidR="00325669" w:rsidP="00B641A6" w:rsidRDefault="00325669" w14:paraId="1DA6EB4D" w14:textId="77777777">
            <w:pPr>
              <w:spacing w:before="40" w:after="40"/>
              <w:jc w:val="center"/>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Total Cost (2018$)</w:t>
            </w:r>
            <w:r w:rsidRPr="00325669">
              <w:rPr>
                <w:rFonts w:ascii="Arial Narrow" w:hAnsi="Arial Narrow" w:eastAsia="Times New Roman" w:cs="Calibri"/>
                <w:b/>
                <w:bCs/>
                <w:color w:val="000000"/>
                <w:sz w:val="18"/>
                <w:szCs w:val="18"/>
                <w:vertAlign w:val="superscript"/>
              </w:rPr>
              <w:t>1</w:t>
            </w:r>
          </w:p>
        </w:tc>
      </w:tr>
      <w:tr w:rsidRPr="00325669" w:rsidR="00325669" w:rsidTr="00325669" w14:paraId="4D311566" w14:textId="77777777">
        <w:trPr>
          <w:trHeight w:val="300"/>
        </w:trPr>
        <w:tc>
          <w:tcPr>
            <w:tcW w:w="9260" w:type="dxa"/>
            <w:gridSpan w:val="9"/>
            <w:tcBorders>
              <w:top w:val="single" w:color="auto" w:sz="4" w:space="0"/>
              <w:left w:val="single" w:color="auto" w:sz="4" w:space="0"/>
              <w:bottom w:val="single" w:color="auto" w:sz="4" w:space="0"/>
              <w:right w:val="single" w:color="auto" w:sz="4" w:space="0"/>
            </w:tcBorders>
            <w:shd w:val="clear" w:color="auto" w:fill="auto"/>
            <w:vAlign w:val="center"/>
            <w:hideMark/>
          </w:tcPr>
          <w:p w:rsidRPr="00325669" w:rsidR="00325669" w:rsidP="00B641A6" w:rsidRDefault="00325669" w14:paraId="66790E93" w14:textId="77777777">
            <w:pPr>
              <w:spacing w:before="40" w:after="40"/>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Variable Burden and Cost</w:t>
            </w:r>
          </w:p>
        </w:tc>
      </w:tr>
      <w:tr w:rsidRPr="00325669" w:rsidR="00325669" w:rsidTr="00325669" w14:paraId="2D780B35" w14:textId="77777777">
        <w:trPr>
          <w:trHeight w:val="300"/>
        </w:trPr>
        <w:tc>
          <w:tcPr>
            <w:tcW w:w="1400" w:type="dxa"/>
            <w:vMerge w:val="restart"/>
            <w:tcBorders>
              <w:top w:val="nil"/>
              <w:left w:val="single" w:color="auto" w:sz="4" w:space="0"/>
              <w:bottom w:val="single" w:color="auto" w:sz="4" w:space="0"/>
              <w:right w:val="single" w:color="auto" w:sz="4" w:space="0"/>
            </w:tcBorders>
            <w:shd w:val="clear" w:color="000000" w:fill="FFFFFF"/>
            <w:vAlign w:val="center"/>
            <w:hideMark/>
          </w:tcPr>
          <w:p w:rsidRPr="00325669" w:rsidR="00325669" w:rsidP="00B641A6" w:rsidRDefault="00325669" w14:paraId="6F0ED31A" w14:textId="7777777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Submission Receipt and Tracking; Data Review</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hideMark/>
          </w:tcPr>
          <w:p w:rsidRPr="00325669" w:rsidR="00325669" w:rsidP="00B641A6" w:rsidRDefault="00325669" w14:paraId="26C57F9D"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Contractor</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01BD648F"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9C7701B"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3249174"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$0.12 </w:t>
            </w:r>
          </w:p>
        </w:tc>
        <w:tc>
          <w:tcPr>
            <w:tcW w:w="114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3CECF139"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Sites</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8EEE8A1"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-131</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305F48EC"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27D56CE"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-$15</w:t>
            </w:r>
          </w:p>
        </w:tc>
      </w:tr>
      <w:tr w:rsidRPr="00325669" w:rsidR="00325669" w:rsidTr="00325669" w14:paraId="4A5B8DC5" w14:textId="77777777">
        <w:trPr>
          <w:trHeight w:val="810"/>
        </w:trPr>
        <w:tc>
          <w:tcPr>
            <w:tcW w:w="140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7152B915" w14:textId="77777777">
            <w:pPr>
              <w:spacing w:before="40" w:after="40"/>
              <w:rPr>
                <w:rFonts w:ascii="Arial Narrow" w:hAnsi="Arial Narrow" w:eastAsia="Times New Roman" w:cs="Calibri"/>
                <w:color w:val="000000"/>
                <w:sz w:val="18"/>
                <w:szCs w:val="18"/>
              </w:rPr>
            </w:pPr>
          </w:p>
        </w:tc>
        <w:tc>
          <w:tcPr>
            <w:tcW w:w="96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0D9349C0" w14:textId="77777777">
            <w:pPr>
              <w:spacing w:before="40" w:after="40"/>
              <w:rPr>
                <w:rFonts w:ascii="Arial Narrow" w:hAnsi="Arial Narrow" w:eastAsia="Times New Roman" w:cs="Calibri"/>
                <w:color w:val="000000"/>
                <w:sz w:val="18"/>
                <w:szCs w:val="18"/>
              </w:rPr>
            </w:pP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6810C9C"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II</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FCDAFE8"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10E2656C"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$0.32 </w:t>
            </w:r>
          </w:p>
        </w:tc>
        <w:tc>
          <w:tcPr>
            <w:tcW w:w="114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859A9BD"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Full and Partial Chemical Reports</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02D198C5"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-1,254</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3DDE80A1"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1BF969C6"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-$404</w:t>
            </w:r>
          </w:p>
        </w:tc>
      </w:tr>
      <w:tr w:rsidRPr="00325669" w:rsidR="00325669" w:rsidTr="00325669" w14:paraId="2C4F5B59" w14:textId="77777777">
        <w:trPr>
          <w:trHeight w:val="540"/>
        </w:trPr>
        <w:tc>
          <w:tcPr>
            <w:tcW w:w="140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355AAB4A" w14:textId="77777777">
            <w:pPr>
              <w:spacing w:before="40" w:after="40"/>
              <w:rPr>
                <w:rFonts w:ascii="Arial Narrow" w:hAnsi="Arial Narrow" w:eastAsia="Times New Roman" w:cs="Calibri"/>
                <w:color w:val="000000"/>
                <w:sz w:val="18"/>
                <w:szCs w:val="18"/>
              </w:rPr>
            </w:pPr>
          </w:p>
        </w:tc>
        <w:tc>
          <w:tcPr>
            <w:tcW w:w="96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7269FEDC" w14:textId="77777777">
            <w:pPr>
              <w:spacing w:before="40" w:after="40"/>
              <w:rPr>
                <w:rFonts w:ascii="Arial Narrow" w:hAnsi="Arial Narrow" w:eastAsia="Times New Roman" w:cs="Calibri"/>
                <w:color w:val="000000"/>
                <w:sz w:val="18"/>
                <w:szCs w:val="18"/>
              </w:rPr>
            </w:pP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7633AFA"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III</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4DA68CD"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29F37477"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$0.37 </w:t>
            </w:r>
          </w:p>
        </w:tc>
        <w:tc>
          <w:tcPr>
            <w:tcW w:w="114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BC7B399"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Full Chemical Reports</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3741E187"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-1,178</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575D613"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N/A</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44A29588"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-$434</w:t>
            </w:r>
          </w:p>
        </w:tc>
      </w:tr>
      <w:tr w:rsidRPr="00325669" w:rsidR="00325669" w:rsidTr="00325669" w14:paraId="277045E6" w14:textId="77777777">
        <w:trPr>
          <w:trHeight w:val="300"/>
        </w:trPr>
        <w:tc>
          <w:tcPr>
            <w:tcW w:w="1400" w:type="dxa"/>
            <w:vMerge w:val="restart"/>
            <w:tcBorders>
              <w:top w:val="nil"/>
              <w:left w:val="single" w:color="auto" w:sz="4" w:space="0"/>
              <w:bottom w:val="single" w:color="auto" w:sz="4" w:space="0"/>
              <w:right w:val="single" w:color="auto" w:sz="4" w:space="0"/>
            </w:tcBorders>
            <w:shd w:val="clear" w:color="000000" w:fill="FFFFFF"/>
            <w:vAlign w:val="center"/>
            <w:hideMark/>
          </w:tcPr>
          <w:p w:rsidRPr="00325669" w:rsidR="00325669" w:rsidP="00B641A6" w:rsidRDefault="00325669" w14:paraId="7B70301B" w14:textId="7777777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Quality Control</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hideMark/>
          </w:tcPr>
          <w:p w:rsidRPr="00325669" w:rsidR="00325669" w:rsidP="00B641A6" w:rsidRDefault="00325669" w14:paraId="19F286A7"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EPA Program Staff </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08247E7A"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B14BE92"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0.0019</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5DFE657"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$0.13 </w:t>
            </w:r>
          </w:p>
        </w:tc>
        <w:tc>
          <w:tcPr>
            <w:tcW w:w="114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99488D2"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Sites</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3251CBBD"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-131</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0701D746"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0</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CAC4216"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-$17</w:t>
            </w:r>
          </w:p>
        </w:tc>
      </w:tr>
      <w:tr w:rsidRPr="00325669" w:rsidR="00325669" w:rsidTr="00325669" w14:paraId="723D9EF1" w14:textId="77777777">
        <w:trPr>
          <w:trHeight w:val="810"/>
        </w:trPr>
        <w:tc>
          <w:tcPr>
            <w:tcW w:w="140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19363E6E" w14:textId="77777777">
            <w:pPr>
              <w:spacing w:before="40" w:after="40"/>
              <w:rPr>
                <w:rFonts w:ascii="Arial Narrow" w:hAnsi="Arial Narrow" w:eastAsia="Times New Roman" w:cs="Calibri"/>
                <w:color w:val="000000"/>
                <w:sz w:val="18"/>
                <w:szCs w:val="18"/>
              </w:rPr>
            </w:pPr>
          </w:p>
        </w:tc>
        <w:tc>
          <w:tcPr>
            <w:tcW w:w="96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5105CC70" w14:textId="77777777">
            <w:pPr>
              <w:spacing w:before="40" w:after="40"/>
              <w:rPr>
                <w:rFonts w:ascii="Arial Narrow" w:hAnsi="Arial Narrow" w:eastAsia="Times New Roman" w:cs="Calibri"/>
                <w:color w:val="000000"/>
                <w:sz w:val="18"/>
                <w:szCs w:val="18"/>
              </w:rPr>
            </w:pP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680D3A7"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II</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744AE3E"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0.0054</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20DD750A"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$0.36 </w:t>
            </w:r>
          </w:p>
        </w:tc>
        <w:tc>
          <w:tcPr>
            <w:tcW w:w="114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6ADFC57D"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Full and Partial Chemical Reports</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25A849D8"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-1,254</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442599A4"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-7</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71840EED"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-$451</w:t>
            </w:r>
          </w:p>
        </w:tc>
      </w:tr>
      <w:tr w:rsidRPr="00325669" w:rsidR="00325669" w:rsidTr="00325669" w14:paraId="14BEEC13" w14:textId="77777777">
        <w:trPr>
          <w:trHeight w:val="555"/>
        </w:trPr>
        <w:tc>
          <w:tcPr>
            <w:tcW w:w="140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410785B4" w14:textId="77777777">
            <w:pPr>
              <w:spacing w:before="40" w:after="40"/>
              <w:rPr>
                <w:rFonts w:ascii="Arial Narrow" w:hAnsi="Arial Narrow" w:eastAsia="Times New Roman" w:cs="Calibri"/>
                <w:color w:val="000000"/>
                <w:sz w:val="18"/>
                <w:szCs w:val="18"/>
              </w:rPr>
            </w:pPr>
          </w:p>
        </w:tc>
        <w:tc>
          <w:tcPr>
            <w:tcW w:w="960" w:type="dxa"/>
            <w:vMerge/>
            <w:tcBorders>
              <w:top w:val="nil"/>
              <w:left w:val="single" w:color="auto" w:sz="4" w:space="0"/>
              <w:bottom w:val="single" w:color="auto" w:sz="4" w:space="0"/>
              <w:right w:val="single" w:color="auto" w:sz="4" w:space="0"/>
            </w:tcBorders>
            <w:vAlign w:val="center"/>
            <w:hideMark/>
          </w:tcPr>
          <w:p w:rsidRPr="00325669" w:rsidR="00325669" w:rsidP="00B641A6" w:rsidRDefault="00325669" w14:paraId="58A1117F" w14:textId="77777777">
            <w:pPr>
              <w:spacing w:before="40" w:after="40"/>
              <w:rPr>
                <w:rFonts w:ascii="Arial Narrow" w:hAnsi="Arial Narrow" w:eastAsia="Times New Roman" w:cs="Calibri"/>
                <w:color w:val="000000"/>
                <w:sz w:val="18"/>
                <w:szCs w:val="18"/>
              </w:rPr>
            </w:pPr>
          </w:p>
        </w:tc>
        <w:tc>
          <w:tcPr>
            <w:tcW w:w="960" w:type="dxa"/>
            <w:tcBorders>
              <w:top w:val="nil"/>
              <w:left w:val="nil"/>
              <w:bottom w:val="nil"/>
              <w:right w:val="single" w:color="auto" w:sz="4" w:space="0"/>
            </w:tcBorders>
            <w:shd w:val="clear" w:color="000000" w:fill="FFFFFF"/>
            <w:vAlign w:val="center"/>
            <w:hideMark/>
          </w:tcPr>
          <w:p w:rsidRPr="00325669" w:rsidR="00325669" w:rsidP="00B641A6" w:rsidRDefault="00325669" w14:paraId="36291D70"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Part III</w:t>
            </w:r>
          </w:p>
        </w:tc>
        <w:tc>
          <w:tcPr>
            <w:tcW w:w="960" w:type="dxa"/>
            <w:tcBorders>
              <w:top w:val="nil"/>
              <w:left w:val="nil"/>
              <w:bottom w:val="nil"/>
              <w:right w:val="single" w:color="auto" w:sz="4" w:space="0"/>
            </w:tcBorders>
            <w:shd w:val="clear" w:color="000000" w:fill="FFFFFF"/>
            <w:vAlign w:val="center"/>
            <w:hideMark/>
          </w:tcPr>
          <w:p w:rsidRPr="00325669" w:rsidR="00325669" w:rsidP="00B641A6" w:rsidRDefault="00325669" w14:paraId="625B2588"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0.0063</w:t>
            </w:r>
          </w:p>
        </w:tc>
        <w:tc>
          <w:tcPr>
            <w:tcW w:w="960" w:type="dxa"/>
            <w:tcBorders>
              <w:top w:val="nil"/>
              <w:left w:val="nil"/>
              <w:bottom w:val="single" w:color="auto" w:sz="4" w:space="0"/>
              <w:right w:val="single" w:color="auto" w:sz="4" w:space="0"/>
            </w:tcBorders>
            <w:shd w:val="clear" w:color="000000" w:fill="FFFFFF"/>
            <w:vAlign w:val="center"/>
            <w:hideMark/>
          </w:tcPr>
          <w:p w:rsidRPr="00325669" w:rsidR="00325669" w:rsidP="00B641A6" w:rsidRDefault="00325669" w14:paraId="5DBBB60F"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xml:space="preserve">$0.42 </w:t>
            </w:r>
          </w:p>
        </w:tc>
        <w:tc>
          <w:tcPr>
            <w:tcW w:w="1140" w:type="dxa"/>
            <w:tcBorders>
              <w:top w:val="nil"/>
              <w:left w:val="nil"/>
              <w:bottom w:val="nil"/>
              <w:right w:val="single" w:color="auto" w:sz="4" w:space="0"/>
            </w:tcBorders>
            <w:shd w:val="clear" w:color="000000" w:fill="FFFFFF"/>
            <w:vAlign w:val="center"/>
            <w:hideMark/>
          </w:tcPr>
          <w:p w:rsidRPr="00325669" w:rsidR="00325669" w:rsidP="00B641A6" w:rsidRDefault="00325669" w14:paraId="05444D9F"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Full Chemical Reports</w:t>
            </w:r>
          </w:p>
        </w:tc>
        <w:tc>
          <w:tcPr>
            <w:tcW w:w="960" w:type="dxa"/>
            <w:tcBorders>
              <w:top w:val="nil"/>
              <w:left w:val="nil"/>
              <w:bottom w:val="nil"/>
              <w:right w:val="single" w:color="auto" w:sz="4" w:space="0"/>
            </w:tcBorders>
            <w:shd w:val="clear" w:color="000000" w:fill="FFFFFF"/>
            <w:vAlign w:val="center"/>
            <w:hideMark/>
          </w:tcPr>
          <w:p w:rsidRPr="00325669" w:rsidR="00325669" w:rsidP="00B641A6" w:rsidRDefault="00325669" w14:paraId="28627D04" w14:textId="77777777">
            <w:pPr>
              <w:spacing w:before="40" w:after="40"/>
              <w:jc w:val="center"/>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-1,178</w:t>
            </w:r>
          </w:p>
        </w:tc>
        <w:tc>
          <w:tcPr>
            <w:tcW w:w="960" w:type="dxa"/>
            <w:tcBorders>
              <w:top w:val="nil"/>
              <w:left w:val="nil"/>
              <w:bottom w:val="nil"/>
              <w:right w:val="single" w:color="auto" w:sz="4" w:space="0"/>
            </w:tcBorders>
            <w:shd w:val="clear" w:color="000000" w:fill="FFFFFF"/>
            <w:vAlign w:val="center"/>
            <w:hideMark/>
          </w:tcPr>
          <w:p w:rsidRPr="00325669" w:rsidR="00325669" w:rsidP="00B641A6" w:rsidRDefault="00325669" w14:paraId="6562DB64"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-7</w:t>
            </w:r>
          </w:p>
        </w:tc>
        <w:tc>
          <w:tcPr>
            <w:tcW w:w="960" w:type="dxa"/>
            <w:tcBorders>
              <w:top w:val="nil"/>
              <w:left w:val="nil"/>
              <w:bottom w:val="nil"/>
              <w:right w:val="single" w:color="auto" w:sz="4" w:space="0"/>
            </w:tcBorders>
            <w:shd w:val="clear" w:color="000000" w:fill="FFFFFF"/>
            <w:vAlign w:val="center"/>
            <w:hideMark/>
          </w:tcPr>
          <w:p w:rsidRPr="00325669" w:rsidR="00325669" w:rsidP="00B641A6" w:rsidRDefault="00325669" w14:paraId="1C877C79" w14:textId="77777777">
            <w:pPr>
              <w:spacing w:before="40" w:after="40"/>
              <w:jc w:val="right"/>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-$495</w:t>
            </w:r>
          </w:p>
        </w:tc>
      </w:tr>
      <w:tr w:rsidRPr="00325669" w:rsidR="00325669" w:rsidTr="00325669" w14:paraId="57785996" w14:textId="77777777">
        <w:trPr>
          <w:trHeight w:val="300"/>
        </w:trPr>
        <w:tc>
          <w:tcPr>
            <w:tcW w:w="7340" w:type="dxa"/>
            <w:gridSpan w:val="7"/>
            <w:tcBorders>
              <w:top w:val="single" w:color="auto" w:sz="8" w:space="0"/>
              <w:left w:val="single" w:color="auto" w:sz="4" w:space="0"/>
              <w:bottom w:val="single" w:color="auto" w:sz="4" w:space="0"/>
              <w:right w:val="single" w:color="000000" w:sz="4" w:space="0"/>
            </w:tcBorders>
            <w:shd w:val="clear" w:color="000000" w:fill="FFFFFF"/>
            <w:vAlign w:val="center"/>
            <w:hideMark/>
          </w:tcPr>
          <w:p w:rsidRPr="00325669" w:rsidR="00325669" w:rsidP="00B641A6" w:rsidRDefault="00325669" w14:paraId="7B735EA1" w14:textId="77777777">
            <w:pPr>
              <w:spacing w:before="40" w:after="40"/>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Total Variable Burden and Cost</w:t>
            </w:r>
          </w:p>
        </w:tc>
        <w:tc>
          <w:tcPr>
            <w:tcW w:w="960" w:type="dxa"/>
            <w:tcBorders>
              <w:top w:val="single" w:color="auto" w:sz="8" w:space="0"/>
              <w:left w:val="nil"/>
              <w:bottom w:val="single" w:color="auto" w:sz="4" w:space="0"/>
              <w:right w:val="single" w:color="auto" w:sz="4" w:space="0"/>
            </w:tcBorders>
            <w:shd w:val="clear" w:color="000000" w:fill="FFFFFF"/>
            <w:vAlign w:val="center"/>
            <w:hideMark/>
          </w:tcPr>
          <w:p w:rsidRPr="00325669" w:rsidR="00325669" w:rsidP="00B641A6" w:rsidRDefault="00325669" w14:paraId="14023C81" w14:textId="77777777">
            <w:pPr>
              <w:spacing w:before="40" w:after="40"/>
              <w:jc w:val="right"/>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-14</w:t>
            </w:r>
          </w:p>
        </w:tc>
        <w:tc>
          <w:tcPr>
            <w:tcW w:w="960" w:type="dxa"/>
            <w:tcBorders>
              <w:top w:val="single" w:color="auto" w:sz="8" w:space="0"/>
              <w:left w:val="nil"/>
              <w:bottom w:val="single" w:color="auto" w:sz="4" w:space="0"/>
              <w:right w:val="single" w:color="auto" w:sz="4" w:space="0"/>
            </w:tcBorders>
            <w:shd w:val="clear" w:color="000000" w:fill="FFFFFF"/>
            <w:vAlign w:val="center"/>
            <w:hideMark/>
          </w:tcPr>
          <w:p w:rsidRPr="00325669" w:rsidR="00325669" w:rsidP="00B641A6" w:rsidRDefault="00325669" w14:paraId="34D7D7A3" w14:textId="77777777">
            <w:pPr>
              <w:spacing w:before="40" w:after="40"/>
              <w:jc w:val="right"/>
              <w:rPr>
                <w:rFonts w:ascii="Arial Narrow" w:hAnsi="Arial Narrow" w:eastAsia="Times New Roman" w:cs="Calibri"/>
                <w:b/>
                <w:bCs/>
                <w:color w:val="000000"/>
                <w:sz w:val="18"/>
                <w:szCs w:val="18"/>
              </w:rPr>
            </w:pPr>
            <w:r w:rsidRPr="00325669">
              <w:rPr>
                <w:rFonts w:ascii="Arial Narrow" w:hAnsi="Arial Narrow" w:eastAsia="Times New Roman" w:cs="Calibri"/>
                <w:b/>
                <w:bCs/>
                <w:color w:val="000000"/>
                <w:sz w:val="18"/>
                <w:szCs w:val="18"/>
              </w:rPr>
              <w:t>-$1,816</w:t>
            </w:r>
          </w:p>
        </w:tc>
      </w:tr>
      <w:tr w:rsidRPr="00325669" w:rsidR="00325669" w:rsidTr="00325669" w14:paraId="251B2239" w14:textId="77777777">
        <w:trPr>
          <w:trHeight w:val="300"/>
        </w:trPr>
        <w:tc>
          <w:tcPr>
            <w:tcW w:w="9260" w:type="dxa"/>
            <w:gridSpan w:val="9"/>
            <w:tcBorders>
              <w:top w:val="single" w:color="auto" w:sz="4" w:space="0"/>
              <w:left w:val="single" w:color="auto" w:sz="4" w:space="0"/>
              <w:bottom w:val="nil"/>
              <w:right w:val="single" w:color="000000" w:sz="4" w:space="0"/>
            </w:tcBorders>
            <w:shd w:val="clear" w:color="000000" w:fill="FFFFFF"/>
            <w:vAlign w:val="center"/>
            <w:hideMark/>
          </w:tcPr>
          <w:p w:rsidRPr="00325669" w:rsidR="00325669" w:rsidP="00B641A6" w:rsidRDefault="00325669" w14:paraId="3F11B35F" w14:textId="7777777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General Notes:</w:t>
            </w:r>
          </w:p>
        </w:tc>
      </w:tr>
      <w:tr w:rsidRPr="00325669" w:rsidR="00325669" w:rsidTr="00325669" w14:paraId="24D0ED6F" w14:textId="77777777">
        <w:trPr>
          <w:trHeight w:val="270"/>
        </w:trPr>
        <w:tc>
          <w:tcPr>
            <w:tcW w:w="9260" w:type="dxa"/>
            <w:gridSpan w:val="9"/>
            <w:tcBorders>
              <w:top w:val="nil"/>
              <w:left w:val="single" w:color="auto" w:sz="4" w:space="0"/>
              <w:bottom w:val="nil"/>
              <w:right w:val="single" w:color="000000" w:sz="4" w:space="0"/>
            </w:tcBorders>
            <w:shd w:val="clear" w:color="auto" w:fill="auto"/>
            <w:hideMark/>
          </w:tcPr>
          <w:p w:rsidRPr="00325669" w:rsidR="00325669" w:rsidP="00B641A6" w:rsidRDefault="00325669" w14:paraId="1CFCAEF7" w14:textId="3F61BE6A">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Results differ slightly from the 8(a) SMD Update EA (EPA, 2019</w:t>
            </w:r>
            <w:r w:rsidR="0096792C">
              <w:rPr>
                <w:rFonts w:ascii="Arial Narrow" w:hAnsi="Arial Narrow" w:eastAsia="Times New Roman" w:cs="Calibri"/>
                <w:color w:val="000000"/>
                <w:sz w:val="18"/>
                <w:szCs w:val="18"/>
              </w:rPr>
              <w:t>b</w:t>
            </w:r>
            <w:r w:rsidRPr="00325669">
              <w:rPr>
                <w:rFonts w:ascii="Arial Narrow" w:hAnsi="Arial Narrow" w:eastAsia="Times New Roman" w:cs="Calibri"/>
                <w:color w:val="000000"/>
                <w:sz w:val="18"/>
                <w:szCs w:val="18"/>
              </w:rPr>
              <w:t>) due to rounding.</w:t>
            </w:r>
          </w:p>
        </w:tc>
      </w:tr>
      <w:tr w:rsidRPr="00325669" w:rsidR="00325669" w:rsidTr="00325669" w14:paraId="4B5D2A29" w14:textId="77777777">
        <w:trPr>
          <w:trHeight w:val="270"/>
        </w:trPr>
        <w:tc>
          <w:tcPr>
            <w:tcW w:w="9260" w:type="dxa"/>
            <w:gridSpan w:val="9"/>
            <w:tcBorders>
              <w:top w:val="nil"/>
              <w:left w:val="single" w:color="auto" w:sz="4" w:space="0"/>
              <w:bottom w:val="nil"/>
              <w:right w:val="single" w:color="000000" w:sz="4" w:space="0"/>
            </w:tcBorders>
            <w:shd w:val="clear" w:color="auto" w:fill="auto"/>
            <w:hideMark/>
          </w:tcPr>
          <w:p w:rsidRPr="00325669" w:rsidR="00325669" w:rsidP="00B641A6" w:rsidRDefault="00325669" w14:paraId="7E317B89" w14:textId="7777777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 For ease of presentation, change in number of CDX registrations is assumed to be negligible.</w:t>
            </w:r>
          </w:p>
        </w:tc>
      </w:tr>
      <w:tr w:rsidRPr="00325669" w:rsidR="00325669" w:rsidTr="00325669" w14:paraId="0B58D014" w14:textId="77777777">
        <w:trPr>
          <w:trHeight w:val="270"/>
        </w:trPr>
        <w:tc>
          <w:tcPr>
            <w:tcW w:w="9260" w:type="dxa"/>
            <w:gridSpan w:val="9"/>
            <w:tcBorders>
              <w:top w:val="nil"/>
              <w:left w:val="single" w:color="auto" w:sz="4" w:space="0"/>
              <w:bottom w:val="nil"/>
              <w:right w:val="single" w:color="000000" w:sz="4" w:space="0"/>
            </w:tcBorders>
            <w:shd w:val="clear" w:color="auto" w:fill="auto"/>
            <w:hideMark/>
          </w:tcPr>
          <w:p w:rsidRPr="00325669" w:rsidR="00325669" w:rsidP="00B641A6" w:rsidRDefault="00325669" w14:paraId="5027363E" w14:textId="7777777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rPr>
              <w:t>Footnote:</w:t>
            </w:r>
          </w:p>
        </w:tc>
      </w:tr>
      <w:tr w:rsidRPr="00325669" w:rsidR="009D7EC7" w:rsidTr="009D7EC7" w14:paraId="50F60486" w14:textId="77777777">
        <w:trPr>
          <w:trHeight w:val="315"/>
        </w:trPr>
        <w:tc>
          <w:tcPr>
            <w:tcW w:w="9260" w:type="dxa"/>
            <w:gridSpan w:val="9"/>
            <w:tcBorders>
              <w:top w:val="nil"/>
              <w:left w:val="single" w:color="auto" w:sz="4" w:space="0"/>
              <w:bottom w:val="single" w:color="auto" w:sz="4" w:space="0"/>
              <w:right w:val="single" w:color="000000" w:sz="4" w:space="0"/>
            </w:tcBorders>
            <w:shd w:val="clear" w:color="auto" w:fill="auto"/>
            <w:hideMark/>
          </w:tcPr>
          <w:p w:rsidRPr="00325669" w:rsidR="009D7EC7" w:rsidP="00B641A6" w:rsidRDefault="009D7EC7" w14:paraId="6EBC82E2" w14:textId="42B86F97">
            <w:pPr>
              <w:spacing w:before="40" w:after="40"/>
              <w:rPr>
                <w:rFonts w:ascii="Arial Narrow" w:hAnsi="Arial Narrow" w:eastAsia="Times New Roman" w:cs="Calibri"/>
                <w:color w:val="000000"/>
                <w:sz w:val="18"/>
                <w:szCs w:val="18"/>
              </w:rPr>
            </w:pPr>
            <w:r w:rsidRPr="00325669">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325669">
              <w:rPr>
                <w:rFonts w:ascii="Arial Narrow" w:hAnsi="Arial Narrow" w:eastAsia="Times New Roman" w:cs="Calibri"/>
                <w:color w:val="000000"/>
                <w:sz w:val="18"/>
                <w:szCs w:val="18"/>
              </w:rPr>
              <w:t>Based on Labor rates (see</w:t>
            </w:r>
            <w:r w:rsidRPr="00B60B34">
              <w:rPr>
                <w:rFonts w:ascii="Arial Narrow" w:hAnsi="Arial Narrow" w:eastAsia="Times New Roman" w:cs="Calibri"/>
                <w:color w:val="000000"/>
                <w:sz w:val="18"/>
                <w:szCs w:val="18"/>
              </w:rPr>
              <w:t xml:space="preserve"> </w:t>
            </w:r>
            <w:r w:rsidRPr="00B60B34" w:rsidR="00B60B34">
              <w:rPr>
                <w:rFonts w:ascii="Arial Narrow" w:hAnsi="Arial Narrow" w:eastAsia="Times New Roman" w:cs="Calibri"/>
                <w:color w:val="000000"/>
                <w:sz w:val="18"/>
                <w:szCs w:val="18"/>
              </w:rPr>
              <w:fldChar w:fldCharType="begin"/>
            </w:r>
            <w:r w:rsidRPr="00B60B34" w:rsidR="00B60B34">
              <w:rPr>
                <w:rFonts w:ascii="Arial Narrow" w:hAnsi="Arial Narrow" w:eastAsia="Times New Roman" w:cs="Calibri"/>
                <w:color w:val="000000"/>
                <w:sz w:val="18"/>
                <w:szCs w:val="18"/>
              </w:rPr>
              <w:instrText xml:space="preserve"> REF _Ref28934922 \h  \* MERGEFORMAT </w:instrText>
            </w:r>
            <w:r w:rsidRPr="00B60B34" w:rsidR="00B60B34">
              <w:rPr>
                <w:rFonts w:ascii="Arial Narrow" w:hAnsi="Arial Narrow" w:eastAsia="Times New Roman" w:cs="Calibri"/>
                <w:color w:val="000000"/>
                <w:sz w:val="18"/>
                <w:szCs w:val="18"/>
              </w:rPr>
            </w:r>
            <w:r w:rsidRPr="00B60B34" w:rsidR="00B60B34">
              <w:rPr>
                <w:rFonts w:ascii="Arial Narrow" w:hAnsi="Arial Narrow" w:eastAsia="Times New Roman" w:cs="Calibri"/>
                <w:color w:val="000000"/>
                <w:sz w:val="18"/>
                <w:szCs w:val="18"/>
              </w:rPr>
              <w:fldChar w:fldCharType="separate"/>
            </w:r>
            <w:r w:rsidRPr="00590B23" w:rsidR="00590B23">
              <w:rPr>
                <w:rFonts w:ascii="Arial Narrow" w:hAnsi="Arial Narrow"/>
                <w:sz w:val="18"/>
                <w:szCs w:val="18"/>
              </w:rPr>
              <w:t xml:space="preserve">Table </w:t>
            </w:r>
            <w:r w:rsidRPr="00590B23" w:rsidR="00590B23">
              <w:rPr>
                <w:rFonts w:ascii="Arial Narrow" w:hAnsi="Arial Narrow"/>
                <w:noProof/>
                <w:sz w:val="18"/>
                <w:szCs w:val="18"/>
              </w:rPr>
              <w:t>A</w:t>
            </w:r>
            <w:r w:rsidRPr="00590B23" w:rsidR="00590B23">
              <w:rPr>
                <w:rFonts w:ascii="Arial Narrow" w:hAnsi="Arial Narrow"/>
                <w:noProof/>
                <w:sz w:val="18"/>
                <w:szCs w:val="18"/>
              </w:rPr>
              <w:noBreakHyphen/>
              <w:t>1</w:t>
            </w:r>
            <w:r w:rsidRPr="00B60B34" w:rsidR="00B60B34">
              <w:rPr>
                <w:rFonts w:ascii="Arial Narrow" w:hAnsi="Arial Narrow" w:eastAsia="Times New Roman" w:cs="Calibri"/>
                <w:color w:val="000000"/>
                <w:sz w:val="18"/>
                <w:szCs w:val="18"/>
              </w:rPr>
              <w:fldChar w:fldCharType="end"/>
            </w:r>
            <w:r w:rsidRPr="00B60B34">
              <w:rPr>
                <w:rFonts w:ascii="Arial Narrow" w:hAnsi="Arial Narrow" w:eastAsia="Times New Roman" w:cs="Calibri"/>
                <w:color w:val="000000"/>
                <w:sz w:val="18"/>
                <w:szCs w:val="18"/>
              </w:rPr>
              <w:t xml:space="preserve">) </w:t>
            </w:r>
            <w:r w:rsidRPr="00325669">
              <w:rPr>
                <w:rFonts w:ascii="Arial Narrow" w:hAnsi="Arial Narrow" w:eastAsia="Times New Roman" w:cs="Calibri"/>
                <w:color w:val="000000"/>
                <w:sz w:val="18"/>
                <w:szCs w:val="18"/>
              </w:rPr>
              <w:t>for Program Staff GS12 Step 3; for IT Staff GS13, Step 3.</w:t>
            </w:r>
          </w:p>
        </w:tc>
      </w:tr>
    </w:tbl>
    <w:p w:rsidR="00325669" w:rsidP="00955C62" w:rsidRDefault="00325669" w14:paraId="3417236B" w14:textId="303E58D2">
      <w:pPr>
        <w:pStyle w:val="NoSpacing"/>
        <w:sectPr w:rsidR="00325669" w:rsidSect="002B34A0">
          <w:headerReference w:type="default" r:id="rId21"/>
          <w:footerReference w:type="default" r:id="rId22"/>
          <w:pgSz w:w="12240" w:h="15840"/>
          <w:pgMar w:top="1080" w:right="1080" w:bottom="1080" w:left="1080" w:header="720" w:footer="720" w:gutter="0"/>
          <w:cols w:space="720"/>
          <w:docGrid w:linePitch="360"/>
        </w:sectPr>
      </w:pPr>
    </w:p>
    <w:p w:rsidRPr="00955C62" w:rsidR="00955C62" w:rsidP="00820169" w:rsidRDefault="00955C62" w14:paraId="1CC0A606" w14:textId="31483E1C">
      <w:pPr>
        <w:pStyle w:val="Heading7"/>
      </w:pPr>
      <w:bookmarkStart w:name="_Toc42177044" w:id="83"/>
      <w:r w:rsidRPr="00955C62">
        <w:lastRenderedPageBreak/>
        <w:t>Estimating Respondent Cost</w:t>
      </w:r>
      <w:bookmarkEnd w:id="83"/>
    </w:p>
    <w:p w:rsidRPr="003E03CF" w:rsidR="00955C62" w:rsidP="00955C62" w:rsidRDefault="00955C62" w14:paraId="25ADFAFD" w14:textId="01ECD9FB">
      <w:pPr>
        <w:pStyle w:val="BodyText"/>
      </w:pPr>
      <w:r w:rsidRPr="003C2620">
        <w:t>Wage rates for managerial, technical, and clerical labor are derived an</w:t>
      </w:r>
      <w:r>
        <w:t>d presented in</w:t>
      </w:r>
      <w:r w:rsidR="00893482">
        <w:t xml:space="preserve"> </w:t>
      </w:r>
      <w:r w:rsidR="00255288">
        <w:fldChar w:fldCharType="begin"/>
      </w:r>
      <w:r w:rsidR="00255288">
        <w:instrText xml:space="preserve"> REF _Ref28935186 \h </w:instrText>
      </w:r>
      <w:r w:rsidR="00255288">
        <w:fldChar w:fldCharType="separate"/>
      </w:r>
      <w:r w:rsidRPr="00DD7B30" w:rsidR="00255288">
        <w:t xml:space="preserve">Table </w:t>
      </w:r>
      <w:r w:rsidR="00255288">
        <w:rPr>
          <w:noProof/>
        </w:rPr>
        <w:t>B</w:t>
      </w:r>
      <w:r w:rsidRPr="00DD7B30" w:rsidR="00255288">
        <w:noBreakHyphen/>
      </w:r>
      <w:r w:rsidR="00255288">
        <w:rPr>
          <w:noProof/>
        </w:rPr>
        <w:t>1</w:t>
      </w:r>
      <w:r w:rsidR="00255288">
        <w:fldChar w:fldCharType="end"/>
      </w:r>
      <w:r>
        <w:t xml:space="preserve">. </w:t>
      </w:r>
      <w:r w:rsidRPr="003E03CF">
        <w:t xml:space="preserve">As a simplification and for purposes of ease of presentation, personnel at government-owned reporting sites are assumed to have the same wage rate as the equivalent industry personnel. This section describes the industry wage data used to develop </w:t>
      </w:r>
      <w:r>
        <w:t xml:space="preserve">reporting burden </w:t>
      </w:r>
      <w:r w:rsidRPr="003E03CF">
        <w:t>estimates</w:t>
      </w:r>
      <w:r>
        <w:t xml:space="preserve">. </w:t>
      </w:r>
    </w:p>
    <w:p w:rsidR="00955C62" w:rsidP="00955C62" w:rsidRDefault="00955C62" w14:paraId="1E828857" w14:textId="77777777">
      <w:pPr>
        <w:pStyle w:val="BodyText"/>
        <w:rPr>
          <w:i/>
          <w:iCs/>
        </w:rPr>
      </w:pPr>
      <w:r w:rsidRPr="003E03CF">
        <w:t xml:space="preserve">Standard wage rates for managerial, technical, and clerical levels </w:t>
      </w:r>
      <w:r>
        <w:t>are</w:t>
      </w:r>
      <w:r w:rsidRPr="003E03CF">
        <w:t xml:space="preserve"> developed from information published by the Bureau of Labor Statistics (BLS) and a method outlined in the document </w:t>
      </w:r>
      <w:r w:rsidRPr="003E03CF">
        <w:rPr>
          <w:i/>
          <w:iCs/>
        </w:rPr>
        <w:t xml:space="preserve">Wage Rates for Economic Analyses of the Toxics Release Inventory Program </w:t>
      </w:r>
      <w:r w:rsidRPr="003E03CF">
        <w:t>(</w:t>
      </w:r>
      <w:r>
        <w:t>Rice</w:t>
      </w:r>
      <w:r w:rsidRPr="003E03CF">
        <w:t>, 2002). Average wage data for the three major occupational groups are published quarterly by the BLS in the Employer Costs for Employer Compensation (ECEC) reports</w:t>
      </w:r>
      <w:r>
        <w:t xml:space="preserve"> (per </w:t>
      </w:r>
      <w:r w:rsidRPr="003E03CF">
        <w:rPr>
          <w:i/>
          <w:iCs/>
        </w:rPr>
        <w:t xml:space="preserve">Employer Costs for Employee Compensation Supplementary Tables: December 2006 – </w:t>
      </w:r>
      <w:r>
        <w:rPr>
          <w:i/>
          <w:iCs/>
        </w:rPr>
        <w:t>June</w:t>
      </w:r>
      <w:r w:rsidRPr="003E03CF">
        <w:rPr>
          <w:i/>
          <w:iCs/>
        </w:rPr>
        <w:t xml:space="preserve"> 201</w:t>
      </w:r>
      <w:r>
        <w:rPr>
          <w:i/>
          <w:iCs/>
        </w:rPr>
        <w:t>9</w:t>
      </w:r>
      <w:r w:rsidRPr="003E03CF">
        <w:rPr>
          <w:i/>
          <w:iCs/>
        </w:rPr>
        <w:t xml:space="preserve"> </w:t>
      </w:r>
      <w:r w:rsidRPr="003E03CF">
        <w:rPr>
          <w:iCs/>
        </w:rPr>
        <w:t>(</w:t>
      </w:r>
      <w:r>
        <w:rPr>
          <w:iCs/>
        </w:rPr>
        <w:t>BLS</w:t>
      </w:r>
      <w:r w:rsidRPr="003E03CF">
        <w:rPr>
          <w:iCs/>
        </w:rPr>
        <w:t>, 201</w:t>
      </w:r>
      <w:r>
        <w:rPr>
          <w:iCs/>
        </w:rPr>
        <w:t>9a)</w:t>
      </w:r>
      <w:r w:rsidRPr="003E03CF">
        <w:rPr>
          <w:iCs/>
        </w:rPr>
        <w:t>)</w:t>
      </w:r>
      <w:r w:rsidRPr="003E03CF">
        <w:rPr>
          <w:i/>
          <w:iCs/>
        </w:rPr>
        <w:t>.</w:t>
      </w:r>
    </w:p>
    <w:p w:rsidR="00955C62" w:rsidP="00955C62" w:rsidRDefault="00955C62" w14:paraId="10B52F93" w14:textId="34126A3B">
      <w:pPr>
        <w:pStyle w:val="BodyText"/>
        <w:rPr>
          <w:szCs w:val="24"/>
        </w:rPr>
      </w:pPr>
      <w:r w:rsidRPr="003E03CF">
        <w:t xml:space="preserve">Fringe benefits costs, such as health insurance and vacation for each labor category are taken from the same ECEC series. Following the methodology outlined in </w:t>
      </w:r>
      <w:r>
        <w:t>Rice (2002)</w:t>
      </w:r>
      <w:r w:rsidRPr="003E03CF">
        <w:t>, fringe benefits are calculated as a percentage of total wages for each category. An additional 17</w:t>
      </w:r>
      <w:r>
        <w:t>%</w:t>
      </w:r>
      <w:r w:rsidRPr="003E03CF">
        <w:t xml:space="preserve"> is added to the wages in each category to account for overhead, based on information provided by the chemical industry and chemical industry trade associations in the </w:t>
      </w:r>
      <w:r w:rsidRPr="003E03CF">
        <w:rPr>
          <w:i/>
          <w:iCs/>
        </w:rPr>
        <w:t xml:space="preserve">Revised Economic Analysis for the Amended Inventory Update Rule: Final Report </w:t>
      </w:r>
      <w:r w:rsidRPr="003E03CF">
        <w:t>(EPA, 2002). The wages for each of the three categories are then multiplied by benefits and overhead factors to estimate loaded, annual salaries in 201</w:t>
      </w:r>
      <w:r>
        <w:t>8</w:t>
      </w:r>
      <w:r w:rsidRPr="003E03CF">
        <w:t xml:space="preserve"> dollars. </w:t>
      </w:r>
      <w:r w:rsidR="00B60B34">
        <w:fldChar w:fldCharType="begin"/>
      </w:r>
      <w:r w:rsidR="00B60B34">
        <w:instrText xml:space="preserve"> REF _Ref28935186 \h </w:instrText>
      </w:r>
      <w:r w:rsidR="00B60B34">
        <w:fldChar w:fldCharType="separate"/>
      </w:r>
      <w:r w:rsidRPr="00DD7B30" w:rsidR="00590B23">
        <w:t xml:space="preserve">Table </w:t>
      </w:r>
      <w:r w:rsidR="00590B23">
        <w:rPr>
          <w:noProof/>
        </w:rPr>
        <w:t>B</w:t>
      </w:r>
      <w:r w:rsidRPr="00DD7B30" w:rsidR="00590B23">
        <w:noBreakHyphen/>
      </w:r>
      <w:r w:rsidR="00590B23">
        <w:rPr>
          <w:noProof/>
        </w:rPr>
        <w:t>1</w:t>
      </w:r>
      <w:r w:rsidR="00B60B34">
        <w:fldChar w:fldCharType="end"/>
      </w:r>
      <w:r w:rsidR="008F733B">
        <w:t xml:space="preserve"> </w:t>
      </w:r>
      <w:r w:rsidRPr="003E03CF">
        <w:t xml:space="preserve">contains the loaded wage rates for the managerial, </w:t>
      </w:r>
      <w:r w:rsidRPr="00F64D94">
        <w:rPr>
          <w:szCs w:val="24"/>
        </w:rPr>
        <w:t>technical and clerical occupation categories.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1269"/>
        <w:gridCol w:w="2028"/>
        <w:gridCol w:w="782"/>
        <w:gridCol w:w="865"/>
        <w:gridCol w:w="873"/>
        <w:gridCol w:w="1066"/>
        <w:gridCol w:w="873"/>
        <w:gridCol w:w="1262"/>
        <w:gridCol w:w="1062"/>
      </w:tblGrid>
      <w:tr w:rsidRPr="00F64D94" w:rsidR="00F64D94" w:rsidTr="00F64D94" w14:paraId="129C140F" w14:textId="77777777">
        <w:trPr>
          <w:tblHeader/>
          <w:jc w:val="center"/>
        </w:trPr>
        <w:tc>
          <w:tcPr>
            <w:tcW w:w="5000" w:type="pct"/>
            <w:gridSpan w:val="9"/>
            <w:tcBorders>
              <w:top w:val="nil"/>
              <w:left w:val="nil"/>
              <w:right w:val="nil"/>
            </w:tcBorders>
            <w:shd w:val="clear" w:color="auto" w:fill="auto"/>
            <w:vAlign w:val="center"/>
          </w:tcPr>
          <w:p w:rsidRPr="00DD7B30" w:rsidR="00955C62" w:rsidP="00B641A6" w:rsidRDefault="00B60B34" w14:paraId="11EED633" w14:textId="64E0653B">
            <w:pPr>
              <w:pStyle w:val="Caption"/>
              <w:spacing w:before="40" w:after="40"/>
            </w:pPr>
            <w:bookmarkStart w:name="_Ref28935186" w:id="84"/>
            <w:bookmarkStart w:name="_Toc28935284" w:id="85"/>
            <w:r w:rsidRPr="00DD7B30">
              <w:t xml:space="preserve">Table </w:t>
            </w:r>
            <w:fldSimple w:instr=" STYLEREF 7 \s ">
              <w:r w:rsidR="00590B23">
                <w:rPr>
                  <w:noProof/>
                </w:rPr>
                <w:t>B</w:t>
              </w:r>
            </w:fldSimple>
            <w:r w:rsidRPr="00DD7B30">
              <w:noBreakHyphen/>
            </w:r>
            <w:fldSimple w:instr=" SEQ Table_Apx \* ARABIC \s 7 ">
              <w:r w:rsidR="00590B23">
                <w:rPr>
                  <w:noProof/>
                </w:rPr>
                <w:t>1</w:t>
              </w:r>
            </w:fldSimple>
            <w:bookmarkEnd w:id="84"/>
            <w:r w:rsidRPr="00DD7B30" w:rsidR="00955C62">
              <w:t>: Reporter Wage Rates (2018$)</w:t>
            </w:r>
            <w:bookmarkEnd w:id="85"/>
          </w:p>
        </w:tc>
      </w:tr>
      <w:tr w:rsidRPr="003E03CF" w:rsidR="00955C62" w:rsidTr="00B641A6" w14:paraId="327BFD4E" w14:textId="77777777">
        <w:trPr>
          <w:tblHeader/>
          <w:jc w:val="center"/>
        </w:trPr>
        <w:tc>
          <w:tcPr>
            <w:tcW w:w="629" w:type="pct"/>
            <w:vMerge w:val="restart"/>
            <w:shd w:val="clear" w:color="auto" w:fill="BFBFBF" w:themeFill="background1" w:themeFillShade="BF"/>
            <w:vAlign w:val="bottom"/>
            <w:hideMark/>
          </w:tcPr>
          <w:p w:rsidRPr="003E03CF" w:rsidR="00955C62" w:rsidP="00F64D94" w:rsidRDefault="00955C62" w14:paraId="08BA3967" w14:textId="77777777">
            <w:pPr>
              <w:jc w:val="center"/>
              <w:rPr>
                <w:rFonts w:ascii="Arial Narrow" w:hAnsi="Arial Narrow"/>
                <w:b/>
                <w:sz w:val="18"/>
              </w:rPr>
            </w:pPr>
            <w:r w:rsidRPr="003E03CF">
              <w:rPr>
                <w:rFonts w:ascii="Arial Narrow" w:hAnsi="Arial Narrow"/>
                <w:b/>
                <w:sz w:val="18"/>
              </w:rPr>
              <w:t>Labor Category</w:t>
            </w:r>
          </w:p>
        </w:tc>
        <w:tc>
          <w:tcPr>
            <w:tcW w:w="1006" w:type="pct"/>
            <w:vMerge w:val="restart"/>
            <w:shd w:val="clear" w:color="auto" w:fill="BFBFBF" w:themeFill="background1" w:themeFillShade="BF"/>
            <w:vAlign w:val="bottom"/>
            <w:hideMark/>
          </w:tcPr>
          <w:p w:rsidRPr="003E03CF" w:rsidR="00955C62" w:rsidP="00B641A6" w:rsidRDefault="00955C62" w14:paraId="6B38CF80" w14:textId="77777777">
            <w:pPr>
              <w:spacing w:before="40" w:after="40"/>
              <w:jc w:val="center"/>
              <w:rPr>
                <w:rFonts w:ascii="Arial Narrow" w:hAnsi="Arial Narrow"/>
                <w:b/>
                <w:sz w:val="18"/>
              </w:rPr>
            </w:pPr>
            <w:r w:rsidRPr="003E03CF">
              <w:rPr>
                <w:rFonts w:ascii="Arial Narrow" w:hAnsi="Arial Narrow"/>
                <w:b/>
                <w:sz w:val="18"/>
              </w:rPr>
              <w:t>Data Series</w:t>
            </w:r>
            <w:r w:rsidRPr="003E03CF">
              <w:rPr>
                <w:rFonts w:ascii="Arial Narrow" w:hAnsi="Arial Narrow"/>
                <w:b/>
                <w:sz w:val="18"/>
                <w:vertAlign w:val="superscript"/>
              </w:rPr>
              <w:t xml:space="preserve"> 1</w:t>
            </w:r>
          </w:p>
        </w:tc>
        <w:tc>
          <w:tcPr>
            <w:tcW w:w="388" w:type="pct"/>
            <w:vMerge w:val="restart"/>
            <w:shd w:val="clear" w:color="auto" w:fill="BFBFBF" w:themeFill="background1" w:themeFillShade="BF"/>
            <w:vAlign w:val="bottom"/>
            <w:hideMark/>
          </w:tcPr>
          <w:p w:rsidRPr="003E03CF" w:rsidR="00955C62" w:rsidP="00B641A6" w:rsidRDefault="00955C62" w14:paraId="7D7D4C58" w14:textId="77777777">
            <w:pPr>
              <w:spacing w:before="40" w:after="40"/>
              <w:jc w:val="center"/>
              <w:rPr>
                <w:rFonts w:ascii="Arial Narrow" w:hAnsi="Arial Narrow"/>
                <w:b/>
                <w:sz w:val="18"/>
              </w:rPr>
            </w:pPr>
            <w:r w:rsidRPr="003E03CF">
              <w:rPr>
                <w:rFonts w:ascii="Arial Narrow" w:hAnsi="Arial Narrow"/>
                <w:b/>
                <w:sz w:val="18"/>
              </w:rPr>
              <w:t>Date</w:t>
            </w:r>
          </w:p>
        </w:tc>
        <w:tc>
          <w:tcPr>
            <w:tcW w:w="429" w:type="pct"/>
            <w:shd w:val="clear" w:color="auto" w:fill="BFBFBF" w:themeFill="background1" w:themeFillShade="BF"/>
            <w:vAlign w:val="bottom"/>
            <w:hideMark/>
          </w:tcPr>
          <w:p w:rsidRPr="003E03CF" w:rsidR="00955C62" w:rsidP="00B641A6" w:rsidRDefault="00955C62" w14:paraId="4AE6CD12" w14:textId="77777777">
            <w:pPr>
              <w:spacing w:before="40" w:after="40"/>
              <w:jc w:val="center"/>
              <w:rPr>
                <w:rFonts w:ascii="Arial Narrow" w:hAnsi="Arial Narrow"/>
                <w:b/>
                <w:sz w:val="18"/>
              </w:rPr>
            </w:pPr>
            <w:r w:rsidRPr="003E03CF">
              <w:rPr>
                <w:rFonts w:ascii="Arial Narrow" w:hAnsi="Arial Narrow"/>
                <w:b/>
                <w:sz w:val="18"/>
              </w:rPr>
              <w:t>Wage</w:t>
            </w:r>
            <w:r>
              <w:rPr>
                <w:rFonts w:ascii="Arial Narrow" w:hAnsi="Arial Narrow"/>
                <w:b/>
                <w:sz w:val="18"/>
              </w:rPr>
              <w:t xml:space="preserve"> ($/hour)</w:t>
            </w:r>
          </w:p>
        </w:tc>
        <w:tc>
          <w:tcPr>
            <w:tcW w:w="433" w:type="pct"/>
            <w:shd w:val="clear" w:color="auto" w:fill="BFBFBF" w:themeFill="background1" w:themeFillShade="BF"/>
            <w:vAlign w:val="bottom"/>
            <w:hideMark/>
          </w:tcPr>
          <w:p w:rsidRPr="003E03CF" w:rsidR="00955C62" w:rsidP="00B641A6" w:rsidRDefault="00955C62" w14:paraId="1356042F" w14:textId="77777777">
            <w:pPr>
              <w:spacing w:before="40" w:after="40"/>
              <w:jc w:val="center"/>
              <w:rPr>
                <w:rFonts w:ascii="Arial Narrow" w:hAnsi="Arial Narrow"/>
                <w:b/>
                <w:sz w:val="18"/>
              </w:rPr>
            </w:pPr>
            <w:r w:rsidRPr="003E03CF">
              <w:rPr>
                <w:rFonts w:ascii="Arial Narrow" w:hAnsi="Arial Narrow"/>
                <w:b/>
                <w:sz w:val="18"/>
              </w:rPr>
              <w:t>Fringe Benefit</w:t>
            </w:r>
          </w:p>
        </w:tc>
        <w:tc>
          <w:tcPr>
            <w:tcW w:w="529" w:type="pct"/>
            <w:shd w:val="clear" w:color="auto" w:fill="BFBFBF" w:themeFill="background1" w:themeFillShade="BF"/>
            <w:vAlign w:val="bottom"/>
            <w:hideMark/>
          </w:tcPr>
          <w:p w:rsidRPr="003E03CF" w:rsidR="00955C62" w:rsidP="00B641A6" w:rsidRDefault="00955C62" w14:paraId="65EB2DFA" w14:textId="77777777">
            <w:pPr>
              <w:spacing w:before="40" w:after="40"/>
              <w:jc w:val="center"/>
              <w:rPr>
                <w:rFonts w:ascii="Arial Narrow" w:hAnsi="Arial Narrow"/>
                <w:b/>
                <w:sz w:val="18"/>
              </w:rPr>
            </w:pPr>
            <w:r w:rsidRPr="003E03CF">
              <w:rPr>
                <w:rFonts w:ascii="Arial Narrow" w:hAnsi="Arial Narrow"/>
                <w:b/>
                <w:sz w:val="18"/>
              </w:rPr>
              <w:t>Fringes as % Wage</w:t>
            </w:r>
          </w:p>
        </w:tc>
        <w:tc>
          <w:tcPr>
            <w:tcW w:w="433" w:type="pct"/>
            <w:shd w:val="clear" w:color="auto" w:fill="BFBFBF" w:themeFill="background1" w:themeFillShade="BF"/>
            <w:vAlign w:val="bottom"/>
            <w:hideMark/>
          </w:tcPr>
          <w:p w:rsidRPr="003E03CF" w:rsidR="00955C62" w:rsidP="00B641A6" w:rsidRDefault="00955C62" w14:paraId="0A4FC4C9" w14:textId="77777777">
            <w:pPr>
              <w:spacing w:before="40" w:after="40"/>
              <w:jc w:val="center"/>
              <w:rPr>
                <w:rFonts w:ascii="Arial Narrow" w:hAnsi="Arial Narrow"/>
                <w:b/>
                <w:sz w:val="18"/>
              </w:rPr>
            </w:pPr>
            <w:r w:rsidRPr="003E03CF">
              <w:rPr>
                <w:rFonts w:ascii="Arial Narrow" w:hAnsi="Arial Narrow"/>
                <w:b/>
                <w:sz w:val="18"/>
              </w:rPr>
              <w:t>Over</w:t>
            </w:r>
            <w:r>
              <w:rPr>
                <w:rFonts w:ascii="Arial Narrow" w:hAnsi="Arial Narrow"/>
                <w:b/>
                <w:sz w:val="18"/>
              </w:rPr>
              <w:t>-</w:t>
            </w:r>
            <w:r w:rsidRPr="003E03CF">
              <w:rPr>
                <w:rFonts w:ascii="Arial Narrow" w:hAnsi="Arial Narrow"/>
                <w:b/>
                <w:sz w:val="18"/>
              </w:rPr>
              <w:t xml:space="preserve">head % </w:t>
            </w:r>
            <w:r>
              <w:rPr>
                <w:rFonts w:ascii="Arial Narrow" w:hAnsi="Arial Narrow"/>
                <w:b/>
                <w:sz w:val="18"/>
              </w:rPr>
              <w:t>W</w:t>
            </w:r>
            <w:r w:rsidRPr="003E03CF">
              <w:rPr>
                <w:rFonts w:ascii="Arial Narrow" w:hAnsi="Arial Narrow"/>
                <w:b/>
                <w:sz w:val="18"/>
              </w:rPr>
              <w:t xml:space="preserve">age </w:t>
            </w:r>
            <w:r w:rsidRPr="003E03CF">
              <w:rPr>
                <w:rFonts w:ascii="Arial Narrow" w:hAnsi="Arial Narrow"/>
                <w:b/>
                <w:sz w:val="18"/>
                <w:vertAlign w:val="superscript"/>
              </w:rPr>
              <w:t>2</w:t>
            </w:r>
          </w:p>
        </w:tc>
        <w:tc>
          <w:tcPr>
            <w:tcW w:w="626" w:type="pct"/>
            <w:shd w:val="clear" w:color="auto" w:fill="BFBFBF" w:themeFill="background1" w:themeFillShade="BF"/>
            <w:vAlign w:val="bottom"/>
            <w:hideMark/>
          </w:tcPr>
          <w:p w:rsidRPr="003E03CF" w:rsidR="00955C62" w:rsidP="00B641A6" w:rsidRDefault="00955C62" w14:paraId="313D1B40" w14:textId="77777777">
            <w:pPr>
              <w:jc w:val="center"/>
              <w:rPr>
                <w:rFonts w:ascii="Arial Narrow" w:hAnsi="Arial Narrow"/>
                <w:b/>
                <w:sz w:val="18"/>
              </w:rPr>
            </w:pPr>
            <w:r w:rsidRPr="003E03CF">
              <w:rPr>
                <w:rFonts w:ascii="Arial Narrow" w:hAnsi="Arial Narrow"/>
                <w:b/>
                <w:sz w:val="18"/>
              </w:rPr>
              <w:t xml:space="preserve">Fringe + Overhead Factor </w:t>
            </w:r>
            <w:r w:rsidRPr="003E03CF">
              <w:rPr>
                <w:rFonts w:ascii="Arial Narrow" w:hAnsi="Arial Narrow"/>
                <w:b/>
                <w:sz w:val="18"/>
                <w:vertAlign w:val="superscript"/>
              </w:rPr>
              <w:t>3</w:t>
            </w:r>
          </w:p>
        </w:tc>
        <w:tc>
          <w:tcPr>
            <w:tcW w:w="527" w:type="pct"/>
            <w:shd w:val="clear" w:color="auto" w:fill="BFBFBF" w:themeFill="background1" w:themeFillShade="BF"/>
            <w:vAlign w:val="bottom"/>
            <w:hideMark/>
          </w:tcPr>
          <w:p w:rsidRPr="003E03CF" w:rsidR="00955C62" w:rsidP="00B641A6" w:rsidRDefault="00955C62" w14:paraId="104B43FD" w14:textId="77777777">
            <w:pPr>
              <w:jc w:val="center"/>
              <w:rPr>
                <w:rFonts w:ascii="Arial Narrow" w:hAnsi="Arial Narrow"/>
                <w:b/>
                <w:sz w:val="18"/>
              </w:rPr>
            </w:pPr>
            <w:r w:rsidRPr="003E03CF">
              <w:rPr>
                <w:rFonts w:ascii="Arial Narrow" w:hAnsi="Arial Narrow"/>
                <w:b/>
                <w:sz w:val="18"/>
              </w:rPr>
              <w:t>Loaded Wage</w:t>
            </w:r>
            <w:r>
              <w:rPr>
                <w:rFonts w:ascii="Arial Narrow" w:hAnsi="Arial Narrow"/>
                <w:b/>
                <w:sz w:val="18"/>
              </w:rPr>
              <w:t xml:space="preserve"> ($/hour)</w:t>
            </w:r>
            <w:r w:rsidRPr="003E03CF">
              <w:rPr>
                <w:rFonts w:ascii="Arial Narrow" w:hAnsi="Arial Narrow"/>
                <w:b/>
                <w:sz w:val="18"/>
                <w:vertAlign w:val="superscript"/>
              </w:rPr>
              <w:t>4</w:t>
            </w:r>
          </w:p>
        </w:tc>
      </w:tr>
      <w:tr w:rsidRPr="003E03CF" w:rsidR="00955C62" w:rsidTr="00B641A6" w14:paraId="531AE02C" w14:textId="77777777">
        <w:trPr>
          <w:tblHeader/>
          <w:jc w:val="center"/>
        </w:trPr>
        <w:tc>
          <w:tcPr>
            <w:tcW w:w="629" w:type="pct"/>
            <w:vMerge/>
            <w:shd w:val="clear" w:color="auto" w:fill="BFBFBF"/>
            <w:vAlign w:val="center"/>
            <w:hideMark/>
          </w:tcPr>
          <w:p w:rsidRPr="003E03CF" w:rsidR="00955C62" w:rsidP="00F64D94" w:rsidRDefault="00955C62" w14:paraId="59B15C3F" w14:textId="77777777">
            <w:pPr>
              <w:rPr>
                <w:rFonts w:ascii="Arial Narrow" w:hAnsi="Arial Narrow"/>
                <w:b/>
                <w:sz w:val="18"/>
              </w:rPr>
            </w:pPr>
          </w:p>
        </w:tc>
        <w:tc>
          <w:tcPr>
            <w:tcW w:w="1006" w:type="pct"/>
            <w:vMerge/>
            <w:shd w:val="clear" w:color="auto" w:fill="BFBFBF"/>
            <w:vAlign w:val="center"/>
            <w:hideMark/>
          </w:tcPr>
          <w:p w:rsidRPr="003E03CF" w:rsidR="00955C62" w:rsidP="00B641A6" w:rsidRDefault="00955C62" w14:paraId="042CBE99" w14:textId="77777777">
            <w:pPr>
              <w:spacing w:before="40" w:after="40"/>
              <w:rPr>
                <w:rFonts w:ascii="Arial Narrow" w:hAnsi="Arial Narrow"/>
                <w:b/>
                <w:sz w:val="18"/>
              </w:rPr>
            </w:pPr>
          </w:p>
        </w:tc>
        <w:tc>
          <w:tcPr>
            <w:tcW w:w="388" w:type="pct"/>
            <w:vMerge/>
            <w:shd w:val="clear" w:color="auto" w:fill="BFBFBF"/>
            <w:vAlign w:val="center"/>
            <w:hideMark/>
          </w:tcPr>
          <w:p w:rsidRPr="003E03CF" w:rsidR="00955C62" w:rsidP="00B641A6" w:rsidRDefault="00955C62" w14:paraId="4398A1AA" w14:textId="77777777">
            <w:pPr>
              <w:spacing w:before="40" w:after="40"/>
              <w:rPr>
                <w:rFonts w:ascii="Arial Narrow" w:hAnsi="Arial Narrow"/>
                <w:b/>
                <w:sz w:val="18"/>
              </w:rPr>
            </w:pPr>
          </w:p>
        </w:tc>
        <w:tc>
          <w:tcPr>
            <w:tcW w:w="429" w:type="pct"/>
            <w:shd w:val="clear" w:color="auto" w:fill="BFBFBF" w:themeFill="background1" w:themeFillShade="BF"/>
            <w:vAlign w:val="center"/>
            <w:hideMark/>
          </w:tcPr>
          <w:p w:rsidRPr="003E03CF" w:rsidR="00955C62" w:rsidP="00B641A6" w:rsidRDefault="00955C62" w14:paraId="517EC56F" w14:textId="77777777">
            <w:pPr>
              <w:spacing w:before="40" w:after="40"/>
              <w:jc w:val="center"/>
              <w:rPr>
                <w:rFonts w:ascii="Arial Narrow" w:hAnsi="Arial Narrow"/>
                <w:b/>
                <w:sz w:val="18"/>
              </w:rPr>
            </w:pPr>
            <w:r w:rsidRPr="003E03CF">
              <w:rPr>
                <w:rFonts w:ascii="Arial Narrow" w:hAnsi="Arial Narrow"/>
                <w:b/>
                <w:sz w:val="18"/>
              </w:rPr>
              <w:t>(a)</w:t>
            </w:r>
          </w:p>
        </w:tc>
        <w:tc>
          <w:tcPr>
            <w:tcW w:w="433" w:type="pct"/>
            <w:shd w:val="clear" w:color="auto" w:fill="BFBFBF" w:themeFill="background1" w:themeFillShade="BF"/>
            <w:vAlign w:val="center"/>
            <w:hideMark/>
          </w:tcPr>
          <w:p w:rsidRPr="003E03CF" w:rsidR="00955C62" w:rsidP="00B641A6" w:rsidRDefault="00955C62" w14:paraId="07690287" w14:textId="77777777">
            <w:pPr>
              <w:spacing w:before="40" w:after="40"/>
              <w:jc w:val="center"/>
              <w:rPr>
                <w:rFonts w:ascii="Arial Narrow" w:hAnsi="Arial Narrow"/>
                <w:b/>
                <w:sz w:val="18"/>
              </w:rPr>
            </w:pPr>
            <w:r w:rsidRPr="003E03CF">
              <w:rPr>
                <w:rFonts w:ascii="Arial Narrow" w:hAnsi="Arial Narrow"/>
                <w:b/>
                <w:sz w:val="18"/>
              </w:rPr>
              <w:t>(b)</w:t>
            </w:r>
          </w:p>
        </w:tc>
        <w:tc>
          <w:tcPr>
            <w:tcW w:w="529" w:type="pct"/>
            <w:shd w:val="clear" w:color="auto" w:fill="BFBFBF" w:themeFill="background1" w:themeFillShade="BF"/>
            <w:vAlign w:val="center"/>
            <w:hideMark/>
          </w:tcPr>
          <w:p w:rsidRPr="003E03CF" w:rsidR="00955C62" w:rsidP="00B641A6" w:rsidRDefault="00955C62" w14:paraId="6292A84B" w14:textId="77777777">
            <w:pPr>
              <w:spacing w:before="40" w:after="40"/>
              <w:jc w:val="center"/>
              <w:rPr>
                <w:rFonts w:ascii="Arial Narrow" w:hAnsi="Arial Narrow"/>
                <w:b/>
                <w:sz w:val="18"/>
              </w:rPr>
            </w:pPr>
            <w:r w:rsidRPr="003E03CF">
              <w:rPr>
                <w:rFonts w:ascii="Arial Narrow" w:hAnsi="Arial Narrow"/>
                <w:b/>
                <w:sz w:val="18"/>
              </w:rPr>
              <w:t>(c) =(b)/(a)</w:t>
            </w:r>
          </w:p>
        </w:tc>
        <w:tc>
          <w:tcPr>
            <w:tcW w:w="433" w:type="pct"/>
            <w:shd w:val="clear" w:color="auto" w:fill="BFBFBF" w:themeFill="background1" w:themeFillShade="BF"/>
            <w:vAlign w:val="center"/>
            <w:hideMark/>
          </w:tcPr>
          <w:p w:rsidRPr="003E03CF" w:rsidR="00955C62" w:rsidP="00B641A6" w:rsidRDefault="00955C62" w14:paraId="2F4F2861" w14:textId="77777777">
            <w:pPr>
              <w:spacing w:before="40" w:after="40"/>
              <w:jc w:val="center"/>
              <w:rPr>
                <w:rFonts w:ascii="Arial Narrow" w:hAnsi="Arial Narrow"/>
                <w:b/>
                <w:sz w:val="18"/>
              </w:rPr>
            </w:pPr>
            <w:r w:rsidRPr="003E03CF">
              <w:rPr>
                <w:rFonts w:ascii="Arial Narrow" w:hAnsi="Arial Narrow"/>
                <w:b/>
                <w:sz w:val="18"/>
              </w:rPr>
              <w:t>(d)</w:t>
            </w:r>
          </w:p>
        </w:tc>
        <w:tc>
          <w:tcPr>
            <w:tcW w:w="626" w:type="pct"/>
            <w:shd w:val="clear" w:color="auto" w:fill="BFBFBF" w:themeFill="background1" w:themeFillShade="BF"/>
            <w:vAlign w:val="bottom"/>
            <w:hideMark/>
          </w:tcPr>
          <w:p w:rsidRPr="003E03CF" w:rsidR="00955C62" w:rsidP="00B641A6" w:rsidRDefault="00955C62" w14:paraId="0ACCD0A2" w14:textId="77777777">
            <w:pPr>
              <w:jc w:val="center"/>
              <w:rPr>
                <w:rFonts w:ascii="Arial Narrow" w:hAnsi="Arial Narrow"/>
                <w:b/>
                <w:sz w:val="18"/>
              </w:rPr>
            </w:pPr>
            <w:r w:rsidRPr="003E03CF">
              <w:rPr>
                <w:rFonts w:ascii="Arial Narrow" w:hAnsi="Arial Narrow"/>
                <w:b/>
                <w:sz w:val="18"/>
              </w:rPr>
              <w:t>(e)=(c)+(d)+1</w:t>
            </w:r>
          </w:p>
        </w:tc>
        <w:tc>
          <w:tcPr>
            <w:tcW w:w="527" w:type="pct"/>
            <w:shd w:val="clear" w:color="auto" w:fill="BFBFBF" w:themeFill="background1" w:themeFillShade="BF"/>
            <w:vAlign w:val="bottom"/>
            <w:hideMark/>
          </w:tcPr>
          <w:p w:rsidRPr="003E03CF" w:rsidR="00955C62" w:rsidP="00B641A6" w:rsidRDefault="00955C62" w14:paraId="6E6C7D96" w14:textId="77777777">
            <w:pPr>
              <w:jc w:val="center"/>
              <w:rPr>
                <w:rFonts w:ascii="Arial Narrow" w:hAnsi="Arial Narrow"/>
                <w:b/>
                <w:sz w:val="18"/>
              </w:rPr>
            </w:pPr>
            <w:r w:rsidRPr="003E03CF">
              <w:rPr>
                <w:rFonts w:ascii="Arial Narrow" w:hAnsi="Arial Narrow"/>
                <w:b/>
                <w:sz w:val="18"/>
              </w:rPr>
              <w:t>(f)=(a)×(e)</w:t>
            </w:r>
          </w:p>
        </w:tc>
      </w:tr>
      <w:tr w:rsidRPr="003E03CF" w:rsidR="00955C62" w:rsidTr="00F64D94" w14:paraId="360F4D8E" w14:textId="77777777">
        <w:trPr>
          <w:jc w:val="center"/>
        </w:trPr>
        <w:tc>
          <w:tcPr>
            <w:tcW w:w="629" w:type="pct"/>
            <w:shd w:val="clear" w:color="auto" w:fill="auto"/>
            <w:vAlign w:val="center"/>
            <w:hideMark/>
          </w:tcPr>
          <w:p w:rsidRPr="003E03CF" w:rsidR="00955C62" w:rsidP="00F64D94" w:rsidRDefault="00955C62" w14:paraId="4916DB6A" w14:textId="77777777">
            <w:pPr>
              <w:rPr>
                <w:rFonts w:ascii="Arial Narrow" w:hAnsi="Arial Narrow"/>
                <w:sz w:val="18"/>
                <w:szCs w:val="18"/>
              </w:rPr>
            </w:pPr>
            <w:r w:rsidRPr="003E03CF">
              <w:rPr>
                <w:rFonts w:ascii="Arial Narrow" w:hAnsi="Arial Narrow"/>
                <w:sz w:val="18"/>
                <w:szCs w:val="18"/>
              </w:rPr>
              <w:t>Managerial</w:t>
            </w:r>
          </w:p>
        </w:tc>
        <w:tc>
          <w:tcPr>
            <w:tcW w:w="1006" w:type="pct"/>
            <w:shd w:val="clear" w:color="auto" w:fill="auto"/>
            <w:vAlign w:val="center"/>
            <w:hideMark/>
          </w:tcPr>
          <w:p w:rsidRPr="003E03CF" w:rsidR="00955C62" w:rsidP="00B641A6" w:rsidRDefault="00955C62" w14:paraId="0CEC4CC6" w14:textId="77777777">
            <w:pPr>
              <w:spacing w:before="40" w:after="40"/>
              <w:rPr>
                <w:rFonts w:ascii="Arial Narrow" w:hAnsi="Arial Narrow"/>
                <w:sz w:val="18"/>
                <w:szCs w:val="18"/>
              </w:rPr>
            </w:pPr>
            <w:r w:rsidRPr="003E03CF">
              <w:rPr>
                <w:rFonts w:ascii="Arial Narrow" w:hAnsi="Arial Narrow"/>
                <w:sz w:val="18"/>
                <w:szCs w:val="18"/>
              </w:rPr>
              <w:t>BLS ECEC, Private Manufacturing industries, “Mgt, Business, and Financial”</w:t>
            </w:r>
          </w:p>
        </w:tc>
        <w:tc>
          <w:tcPr>
            <w:tcW w:w="388" w:type="pct"/>
            <w:shd w:val="clear" w:color="auto" w:fill="auto"/>
            <w:vAlign w:val="center"/>
            <w:hideMark/>
          </w:tcPr>
          <w:p w:rsidRPr="003E03CF" w:rsidR="00955C62" w:rsidP="00B641A6" w:rsidRDefault="00955C62" w14:paraId="604A048C" w14:textId="77777777">
            <w:pPr>
              <w:spacing w:before="40" w:after="40"/>
              <w:rPr>
                <w:rFonts w:ascii="Arial Narrow" w:hAnsi="Arial Narrow"/>
                <w:sz w:val="18"/>
                <w:szCs w:val="18"/>
              </w:rPr>
            </w:pPr>
            <w:r>
              <w:rPr>
                <w:rFonts w:ascii="Arial Narrow" w:hAnsi="Arial Narrow" w:cs="Calibri"/>
                <w:color w:val="000000"/>
                <w:sz w:val="18"/>
                <w:szCs w:val="18"/>
              </w:rPr>
              <w:t>Dec-18</w:t>
            </w:r>
          </w:p>
        </w:tc>
        <w:tc>
          <w:tcPr>
            <w:tcW w:w="429" w:type="pct"/>
            <w:shd w:val="clear" w:color="auto" w:fill="auto"/>
            <w:vAlign w:val="center"/>
            <w:hideMark/>
          </w:tcPr>
          <w:p w:rsidRPr="003E03CF" w:rsidR="00955C62" w:rsidP="00B641A6" w:rsidRDefault="00955C62" w14:paraId="129D46AE"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$48.73 </w:t>
            </w:r>
          </w:p>
        </w:tc>
        <w:tc>
          <w:tcPr>
            <w:tcW w:w="433" w:type="pct"/>
            <w:shd w:val="clear" w:color="auto" w:fill="auto"/>
            <w:vAlign w:val="center"/>
            <w:hideMark/>
          </w:tcPr>
          <w:p w:rsidRPr="003E03CF" w:rsidR="00955C62" w:rsidP="00B641A6" w:rsidRDefault="00955C62" w14:paraId="36AD3031"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$23.08 </w:t>
            </w:r>
          </w:p>
        </w:tc>
        <w:tc>
          <w:tcPr>
            <w:tcW w:w="529" w:type="pct"/>
            <w:shd w:val="clear" w:color="auto" w:fill="auto"/>
            <w:vAlign w:val="center"/>
            <w:hideMark/>
          </w:tcPr>
          <w:p w:rsidRPr="003E03CF" w:rsidR="00955C62" w:rsidP="00B641A6" w:rsidRDefault="00955C62" w14:paraId="2D1E9D5F" w14:textId="77777777">
            <w:pPr>
              <w:spacing w:before="40" w:after="40"/>
              <w:jc w:val="center"/>
              <w:rPr>
                <w:rFonts w:ascii="Arial Narrow" w:hAnsi="Arial Narrow"/>
                <w:sz w:val="18"/>
                <w:szCs w:val="18"/>
              </w:rPr>
            </w:pPr>
            <w:r>
              <w:rPr>
                <w:rFonts w:ascii="Arial Narrow" w:hAnsi="Arial Narrow" w:cs="Calibri"/>
                <w:color w:val="000000"/>
                <w:sz w:val="18"/>
                <w:szCs w:val="18"/>
              </w:rPr>
              <w:t>47%</w:t>
            </w:r>
          </w:p>
        </w:tc>
        <w:tc>
          <w:tcPr>
            <w:tcW w:w="433" w:type="pct"/>
            <w:shd w:val="clear" w:color="auto" w:fill="auto"/>
            <w:vAlign w:val="center"/>
            <w:hideMark/>
          </w:tcPr>
          <w:p w:rsidRPr="003E03CF" w:rsidR="00955C62" w:rsidP="00B641A6" w:rsidRDefault="00955C62" w14:paraId="0A8809A0" w14:textId="77777777">
            <w:pPr>
              <w:spacing w:before="40" w:after="40"/>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rsidRPr="003E03CF" w:rsidR="00955C62" w:rsidP="00F64D94" w:rsidRDefault="00955C62" w14:paraId="1FE5F6E0" w14:textId="77777777">
            <w:pPr>
              <w:jc w:val="center"/>
              <w:rPr>
                <w:rFonts w:ascii="Arial Narrow" w:hAnsi="Arial Narrow"/>
                <w:sz w:val="18"/>
                <w:szCs w:val="18"/>
              </w:rPr>
            </w:pPr>
            <w:r>
              <w:rPr>
                <w:rFonts w:ascii="Arial Narrow" w:hAnsi="Arial Narrow" w:cs="Calibri"/>
                <w:color w:val="000000"/>
                <w:sz w:val="18"/>
                <w:szCs w:val="18"/>
              </w:rPr>
              <w:t>1.64</w:t>
            </w:r>
          </w:p>
        </w:tc>
        <w:tc>
          <w:tcPr>
            <w:tcW w:w="527" w:type="pct"/>
            <w:shd w:val="clear" w:color="auto" w:fill="auto"/>
            <w:vAlign w:val="center"/>
            <w:hideMark/>
          </w:tcPr>
          <w:p w:rsidRPr="003E03CF" w:rsidR="00955C62" w:rsidP="00F64D94" w:rsidRDefault="00955C62" w14:paraId="543CA83F" w14:textId="77777777">
            <w:pPr>
              <w:jc w:val="center"/>
              <w:rPr>
                <w:rFonts w:ascii="Arial Narrow" w:hAnsi="Arial Narrow"/>
                <w:sz w:val="18"/>
                <w:szCs w:val="18"/>
              </w:rPr>
            </w:pPr>
            <w:r>
              <w:rPr>
                <w:rFonts w:ascii="Arial Narrow" w:hAnsi="Arial Narrow" w:cs="Calibri"/>
                <w:color w:val="000000"/>
                <w:sz w:val="18"/>
                <w:szCs w:val="18"/>
              </w:rPr>
              <w:t xml:space="preserve">$79.92 </w:t>
            </w:r>
          </w:p>
        </w:tc>
      </w:tr>
      <w:tr w:rsidRPr="003E03CF" w:rsidR="00955C62" w:rsidTr="00F64D94" w14:paraId="06551378" w14:textId="77777777">
        <w:trPr>
          <w:jc w:val="center"/>
        </w:trPr>
        <w:tc>
          <w:tcPr>
            <w:tcW w:w="629" w:type="pct"/>
            <w:shd w:val="clear" w:color="auto" w:fill="auto"/>
            <w:vAlign w:val="center"/>
            <w:hideMark/>
          </w:tcPr>
          <w:p w:rsidRPr="003E03CF" w:rsidR="00955C62" w:rsidP="00F64D94" w:rsidRDefault="00955C62" w14:paraId="041F242B" w14:textId="77777777">
            <w:pPr>
              <w:rPr>
                <w:rFonts w:ascii="Arial Narrow" w:hAnsi="Arial Narrow"/>
                <w:sz w:val="18"/>
                <w:szCs w:val="18"/>
              </w:rPr>
            </w:pPr>
            <w:r w:rsidRPr="003E03CF">
              <w:rPr>
                <w:rFonts w:ascii="Arial Narrow" w:hAnsi="Arial Narrow"/>
                <w:sz w:val="18"/>
                <w:szCs w:val="18"/>
              </w:rPr>
              <w:t>Professional / Technical</w:t>
            </w:r>
          </w:p>
        </w:tc>
        <w:tc>
          <w:tcPr>
            <w:tcW w:w="1006" w:type="pct"/>
            <w:shd w:val="clear" w:color="auto" w:fill="auto"/>
            <w:vAlign w:val="center"/>
            <w:hideMark/>
          </w:tcPr>
          <w:p w:rsidRPr="003E03CF" w:rsidR="00955C62" w:rsidP="00B641A6" w:rsidRDefault="00955C62" w14:paraId="39BB4875" w14:textId="77777777">
            <w:pPr>
              <w:spacing w:before="40" w:after="40"/>
              <w:rPr>
                <w:rFonts w:ascii="Arial Narrow" w:hAnsi="Arial Narrow"/>
                <w:sz w:val="18"/>
                <w:szCs w:val="18"/>
              </w:rPr>
            </w:pPr>
            <w:r w:rsidRPr="003E03CF">
              <w:rPr>
                <w:rFonts w:ascii="Arial Narrow" w:hAnsi="Arial Narrow"/>
                <w:sz w:val="18"/>
                <w:szCs w:val="18"/>
              </w:rPr>
              <w:t>BLS ECEC, Private Manufacturing industries, “Professional and related“</w:t>
            </w:r>
          </w:p>
        </w:tc>
        <w:tc>
          <w:tcPr>
            <w:tcW w:w="388" w:type="pct"/>
            <w:shd w:val="clear" w:color="auto" w:fill="auto"/>
            <w:vAlign w:val="center"/>
            <w:hideMark/>
          </w:tcPr>
          <w:p w:rsidRPr="003E03CF" w:rsidR="00955C62" w:rsidP="00B641A6" w:rsidRDefault="00955C62" w14:paraId="60D78B3E" w14:textId="77777777">
            <w:pPr>
              <w:spacing w:before="40" w:after="40"/>
              <w:rPr>
                <w:rFonts w:ascii="Arial Narrow" w:hAnsi="Arial Narrow"/>
                <w:sz w:val="18"/>
                <w:szCs w:val="18"/>
              </w:rPr>
            </w:pPr>
            <w:r>
              <w:rPr>
                <w:rFonts w:ascii="Arial Narrow" w:hAnsi="Arial Narrow" w:cs="Calibri"/>
                <w:color w:val="000000"/>
                <w:sz w:val="18"/>
                <w:szCs w:val="18"/>
              </w:rPr>
              <w:t>Dec-18</w:t>
            </w:r>
          </w:p>
        </w:tc>
        <w:tc>
          <w:tcPr>
            <w:tcW w:w="429" w:type="pct"/>
            <w:shd w:val="clear" w:color="auto" w:fill="auto"/>
            <w:vAlign w:val="center"/>
            <w:hideMark/>
          </w:tcPr>
          <w:p w:rsidRPr="003E03CF" w:rsidR="00955C62" w:rsidP="00B641A6" w:rsidRDefault="00955C62" w14:paraId="4805A217"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$44.35 </w:t>
            </w:r>
          </w:p>
        </w:tc>
        <w:tc>
          <w:tcPr>
            <w:tcW w:w="433" w:type="pct"/>
            <w:shd w:val="clear" w:color="auto" w:fill="auto"/>
            <w:vAlign w:val="center"/>
            <w:hideMark/>
          </w:tcPr>
          <w:p w:rsidRPr="003E03CF" w:rsidR="00955C62" w:rsidP="00B641A6" w:rsidRDefault="00955C62" w14:paraId="1B281AA8"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$23.43 </w:t>
            </w:r>
          </w:p>
        </w:tc>
        <w:tc>
          <w:tcPr>
            <w:tcW w:w="529" w:type="pct"/>
            <w:shd w:val="clear" w:color="auto" w:fill="auto"/>
            <w:vAlign w:val="center"/>
            <w:hideMark/>
          </w:tcPr>
          <w:p w:rsidRPr="003E03CF" w:rsidR="00955C62" w:rsidP="00B641A6" w:rsidRDefault="0065660F" w14:paraId="6C9371C0" w14:textId="03298FC0">
            <w:pPr>
              <w:spacing w:before="40" w:after="40"/>
              <w:jc w:val="center"/>
              <w:rPr>
                <w:rFonts w:ascii="Arial Narrow" w:hAnsi="Arial Narrow"/>
                <w:sz w:val="18"/>
                <w:szCs w:val="18"/>
              </w:rPr>
            </w:pPr>
            <w:r>
              <w:rPr>
                <w:rFonts w:ascii="Arial Narrow" w:hAnsi="Arial Narrow" w:cs="Calibri"/>
                <w:color w:val="000000"/>
                <w:sz w:val="18"/>
                <w:szCs w:val="18"/>
              </w:rPr>
              <w:t>53</w:t>
            </w:r>
            <w:r w:rsidR="00955C62">
              <w:rPr>
                <w:rFonts w:ascii="Arial Narrow" w:hAnsi="Arial Narrow" w:cs="Calibri"/>
                <w:color w:val="000000"/>
                <w:sz w:val="18"/>
                <w:szCs w:val="18"/>
              </w:rPr>
              <w:t>%</w:t>
            </w:r>
          </w:p>
        </w:tc>
        <w:tc>
          <w:tcPr>
            <w:tcW w:w="433" w:type="pct"/>
            <w:shd w:val="clear" w:color="auto" w:fill="auto"/>
            <w:vAlign w:val="center"/>
            <w:hideMark/>
          </w:tcPr>
          <w:p w:rsidRPr="003E03CF" w:rsidR="00955C62" w:rsidP="00B641A6" w:rsidRDefault="00955C62" w14:paraId="6F7FC0F8" w14:textId="77777777">
            <w:pPr>
              <w:spacing w:before="40" w:after="40"/>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rsidRPr="003E03CF" w:rsidR="00955C62" w:rsidP="00F64D94" w:rsidRDefault="00955C62" w14:paraId="131ACB6E" w14:textId="6C7C79A3">
            <w:pPr>
              <w:jc w:val="center"/>
              <w:rPr>
                <w:rFonts w:ascii="Arial Narrow" w:hAnsi="Arial Narrow"/>
                <w:sz w:val="18"/>
                <w:szCs w:val="18"/>
              </w:rPr>
            </w:pPr>
            <w:r>
              <w:rPr>
                <w:rFonts w:ascii="Arial Narrow" w:hAnsi="Arial Narrow" w:cs="Calibri"/>
                <w:color w:val="000000"/>
                <w:sz w:val="18"/>
                <w:szCs w:val="18"/>
              </w:rPr>
              <w:t>1.</w:t>
            </w:r>
            <w:r w:rsidR="00DA51C7">
              <w:rPr>
                <w:rFonts w:ascii="Arial Narrow" w:hAnsi="Arial Narrow" w:cs="Calibri"/>
                <w:color w:val="000000"/>
                <w:sz w:val="18"/>
                <w:szCs w:val="18"/>
              </w:rPr>
              <w:t>70</w:t>
            </w:r>
          </w:p>
        </w:tc>
        <w:tc>
          <w:tcPr>
            <w:tcW w:w="527" w:type="pct"/>
            <w:shd w:val="clear" w:color="auto" w:fill="auto"/>
            <w:vAlign w:val="center"/>
            <w:hideMark/>
          </w:tcPr>
          <w:p w:rsidRPr="003E03CF" w:rsidR="00955C62" w:rsidP="00F64D94" w:rsidRDefault="00955C62" w14:paraId="05FAECA4" w14:textId="77777777">
            <w:pPr>
              <w:jc w:val="center"/>
              <w:rPr>
                <w:rFonts w:ascii="Arial Narrow" w:hAnsi="Arial Narrow"/>
                <w:sz w:val="18"/>
                <w:szCs w:val="18"/>
              </w:rPr>
            </w:pPr>
            <w:r>
              <w:rPr>
                <w:rFonts w:ascii="Arial Narrow" w:hAnsi="Arial Narrow" w:cs="Calibri"/>
                <w:color w:val="000000"/>
                <w:sz w:val="18"/>
                <w:szCs w:val="18"/>
              </w:rPr>
              <w:t xml:space="preserve">$75.40 </w:t>
            </w:r>
          </w:p>
        </w:tc>
      </w:tr>
      <w:tr w:rsidRPr="003E03CF" w:rsidR="00955C62" w:rsidTr="00F64D94" w14:paraId="7DB9BA13" w14:textId="77777777">
        <w:trPr>
          <w:jc w:val="center"/>
        </w:trPr>
        <w:tc>
          <w:tcPr>
            <w:tcW w:w="629" w:type="pct"/>
            <w:shd w:val="clear" w:color="auto" w:fill="auto"/>
            <w:vAlign w:val="center"/>
            <w:hideMark/>
          </w:tcPr>
          <w:p w:rsidRPr="003E03CF" w:rsidR="00955C62" w:rsidP="00F64D94" w:rsidRDefault="00955C62" w14:paraId="08D88570" w14:textId="77777777">
            <w:pPr>
              <w:rPr>
                <w:rFonts w:ascii="Arial Narrow" w:hAnsi="Arial Narrow"/>
                <w:sz w:val="18"/>
                <w:szCs w:val="18"/>
              </w:rPr>
            </w:pPr>
            <w:r w:rsidRPr="003E03CF">
              <w:rPr>
                <w:rFonts w:ascii="Arial Narrow" w:hAnsi="Arial Narrow"/>
                <w:sz w:val="18"/>
                <w:szCs w:val="18"/>
              </w:rPr>
              <w:t>Clerical</w:t>
            </w:r>
          </w:p>
        </w:tc>
        <w:tc>
          <w:tcPr>
            <w:tcW w:w="1006" w:type="pct"/>
            <w:shd w:val="clear" w:color="auto" w:fill="auto"/>
            <w:vAlign w:val="center"/>
            <w:hideMark/>
          </w:tcPr>
          <w:p w:rsidRPr="003E03CF" w:rsidR="00955C62" w:rsidP="00B641A6" w:rsidRDefault="00955C62" w14:paraId="7583DEEB" w14:textId="77777777">
            <w:pPr>
              <w:spacing w:before="40" w:after="40"/>
              <w:rPr>
                <w:rFonts w:ascii="Arial Narrow" w:hAnsi="Arial Narrow"/>
                <w:sz w:val="18"/>
                <w:szCs w:val="18"/>
              </w:rPr>
            </w:pPr>
            <w:r w:rsidRPr="003E03CF">
              <w:rPr>
                <w:rFonts w:ascii="Arial Narrow" w:hAnsi="Arial Narrow"/>
                <w:sz w:val="18"/>
                <w:szCs w:val="18"/>
              </w:rPr>
              <w:t>BLS ECEC, Private Manufacturing industries, “Office and Administrative Support”</w:t>
            </w:r>
          </w:p>
        </w:tc>
        <w:tc>
          <w:tcPr>
            <w:tcW w:w="388" w:type="pct"/>
            <w:shd w:val="clear" w:color="auto" w:fill="auto"/>
            <w:vAlign w:val="center"/>
            <w:hideMark/>
          </w:tcPr>
          <w:p w:rsidRPr="003E03CF" w:rsidR="00955C62" w:rsidP="00B641A6" w:rsidRDefault="00955C62" w14:paraId="5F0BD747" w14:textId="77777777">
            <w:pPr>
              <w:spacing w:before="40" w:after="40"/>
              <w:rPr>
                <w:rFonts w:ascii="Arial Narrow" w:hAnsi="Arial Narrow"/>
                <w:sz w:val="18"/>
                <w:szCs w:val="18"/>
              </w:rPr>
            </w:pPr>
            <w:r>
              <w:rPr>
                <w:rFonts w:ascii="Arial Narrow" w:hAnsi="Arial Narrow" w:cs="Calibri"/>
                <w:color w:val="000000"/>
                <w:sz w:val="18"/>
                <w:szCs w:val="18"/>
              </w:rPr>
              <w:t>Dec-18</w:t>
            </w:r>
          </w:p>
        </w:tc>
        <w:tc>
          <w:tcPr>
            <w:tcW w:w="429" w:type="pct"/>
            <w:shd w:val="clear" w:color="auto" w:fill="auto"/>
            <w:vAlign w:val="center"/>
            <w:hideMark/>
          </w:tcPr>
          <w:p w:rsidRPr="003E03CF" w:rsidR="00955C62" w:rsidP="00B641A6" w:rsidRDefault="00955C62" w14:paraId="644EAD03"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$20.77 </w:t>
            </w:r>
          </w:p>
        </w:tc>
        <w:tc>
          <w:tcPr>
            <w:tcW w:w="433" w:type="pct"/>
            <w:shd w:val="clear" w:color="auto" w:fill="auto"/>
            <w:vAlign w:val="center"/>
            <w:hideMark/>
          </w:tcPr>
          <w:p w:rsidRPr="003E03CF" w:rsidR="00955C62" w:rsidP="00B641A6" w:rsidRDefault="00955C62" w14:paraId="39502D59" w14:textId="77777777">
            <w:pPr>
              <w:spacing w:before="40" w:after="40"/>
              <w:jc w:val="center"/>
              <w:rPr>
                <w:rFonts w:ascii="Arial Narrow" w:hAnsi="Arial Narrow"/>
                <w:sz w:val="18"/>
                <w:szCs w:val="18"/>
              </w:rPr>
            </w:pPr>
            <w:r>
              <w:rPr>
                <w:rFonts w:ascii="Arial Narrow" w:hAnsi="Arial Narrow" w:cs="Calibri"/>
                <w:color w:val="000000"/>
                <w:sz w:val="18"/>
                <w:szCs w:val="18"/>
              </w:rPr>
              <w:t xml:space="preserve">$10.20 </w:t>
            </w:r>
          </w:p>
        </w:tc>
        <w:tc>
          <w:tcPr>
            <w:tcW w:w="529" w:type="pct"/>
            <w:shd w:val="clear" w:color="auto" w:fill="auto"/>
            <w:vAlign w:val="center"/>
            <w:hideMark/>
          </w:tcPr>
          <w:p w:rsidRPr="003E03CF" w:rsidR="00955C62" w:rsidP="00B641A6" w:rsidRDefault="00955C62" w14:paraId="53E88054" w14:textId="77777777">
            <w:pPr>
              <w:spacing w:before="40" w:after="40"/>
              <w:jc w:val="center"/>
              <w:rPr>
                <w:rFonts w:ascii="Arial Narrow" w:hAnsi="Arial Narrow"/>
                <w:sz w:val="18"/>
                <w:szCs w:val="18"/>
              </w:rPr>
            </w:pPr>
            <w:r>
              <w:rPr>
                <w:rFonts w:ascii="Arial Narrow" w:hAnsi="Arial Narrow" w:cs="Calibri"/>
                <w:color w:val="000000"/>
                <w:sz w:val="18"/>
                <w:szCs w:val="18"/>
              </w:rPr>
              <w:t>49%</w:t>
            </w:r>
          </w:p>
        </w:tc>
        <w:tc>
          <w:tcPr>
            <w:tcW w:w="433" w:type="pct"/>
            <w:shd w:val="clear" w:color="auto" w:fill="auto"/>
            <w:vAlign w:val="center"/>
            <w:hideMark/>
          </w:tcPr>
          <w:p w:rsidRPr="003E03CF" w:rsidR="00955C62" w:rsidP="00B641A6" w:rsidRDefault="00955C62" w14:paraId="198FFDEB" w14:textId="77777777">
            <w:pPr>
              <w:spacing w:before="40" w:after="40"/>
              <w:jc w:val="center"/>
              <w:rPr>
                <w:rFonts w:ascii="Arial Narrow" w:hAnsi="Arial Narrow"/>
                <w:sz w:val="18"/>
                <w:szCs w:val="18"/>
              </w:rPr>
            </w:pPr>
            <w:r w:rsidRPr="003E03CF">
              <w:rPr>
                <w:rFonts w:ascii="Arial Narrow" w:hAnsi="Arial Narrow"/>
                <w:color w:val="000000"/>
                <w:sz w:val="18"/>
                <w:szCs w:val="18"/>
              </w:rPr>
              <w:t>17%</w:t>
            </w:r>
          </w:p>
        </w:tc>
        <w:tc>
          <w:tcPr>
            <w:tcW w:w="626" w:type="pct"/>
            <w:shd w:val="clear" w:color="auto" w:fill="auto"/>
            <w:vAlign w:val="center"/>
            <w:hideMark/>
          </w:tcPr>
          <w:p w:rsidRPr="003E03CF" w:rsidR="00955C62" w:rsidP="00F64D94" w:rsidRDefault="00955C62" w14:paraId="440CED53" w14:textId="77777777">
            <w:pPr>
              <w:jc w:val="center"/>
              <w:rPr>
                <w:rFonts w:ascii="Arial Narrow" w:hAnsi="Arial Narrow"/>
                <w:sz w:val="18"/>
                <w:szCs w:val="18"/>
              </w:rPr>
            </w:pPr>
            <w:r>
              <w:rPr>
                <w:rFonts w:ascii="Arial Narrow" w:hAnsi="Arial Narrow" w:cs="Calibri"/>
                <w:color w:val="000000"/>
                <w:sz w:val="18"/>
                <w:szCs w:val="18"/>
              </w:rPr>
              <w:t>1.66</w:t>
            </w:r>
          </w:p>
        </w:tc>
        <w:tc>
          <w:tcPr>
            <w:tcW w:w="527" w:type="pct"/>
            <w:shd w:val="clear" w:color="auto" w:fill="auto"/>
            <w:vAlign w:val="center"/>
            <w:hideMark/>
          </w:tcPr>
          <w:p w:rsidRPr="003E03CF" w:rsidR="00955C62" w:rsidP="00F64D94" w:rsidRDefault="00955C62" w14:paraId="3EF95189" w14:textId="77777777">
            <w:pPr>
              <w:jc w:val="center"/>
              <w:rPr>
                <w:rFonts w:ascii="Arial Narrow" w:hAnsi="Arial Narrow"/>
                <w:sz w:val="18"/>
                <w:szCs w:val="18"/>
              </w:rPr>
            </w:pPr>
            <w:r>
              <w:rPr>
                <w:rFonts w:ascii="Arial Narrow" w:hAnsi="Arial Narrow" w:cs="Calibri"/>
                <w:color w:val="000000"/>
                <w:sz w:val="18"/>
                <w:szCs w:val="18"/>
              </w:rPr>
              <w:t xml:space="preserve">$34.48 </w:t>
            </w:r>
          </w:p>
        </w:tc>
      </w:tr>
      <w:tr w:rsidRPr="003E03CF" w:rsidR="00955C62" w:rsidTr="00F64D94" w14:paraId="65479B51" w14:textId="77777777">
        <w:trPr>
          <w:jc w:val="center"/>
        </w:trPr>
        <w:tc>
          <w:tcPr>
            <w:tcW w:w="5000" w:type="pct"/>
            <w:gridSpan w:val="9"/>
            <w:shd w:val="clear" w:color="auto" w:fill="auto"/>
            <w:hideMark/>
          </w:tcPr>
          <w:p w:rsidRPr="003E03CF" w:rsidR="00955C62" w:rsidP="00B641A6" w:rsidRDefault="00955C62" w14:paraId="59246BC7" w14:textId="77777777">
            <w:pPr>
              <w:spacing w:before="40" w:after="40"/>
              <w:rPr>
                <w:rFonts w:ascii="Arial Narrow" w:hAnsi="Arial Narrow"/>
                <w:sz w:val="18"/>
                <w:szCs w:val="18"/>
              </w:rPr>
            </w:pPr>
            <w:r w:rsidRPr="003E03CF">
              <w:rPr>
                <w:rFonts w:ascii="Arial Narrow" w:hAnsi="Arial Narrow"/>
                <w:sz w:val="18"/>
                <w:szCs w:val="18"/>
              </w:rPr>
              <w:t>Footnotes</w:t>
            </w:r>
            <w:r>
              <w:rPr>
                <w:rFonts w:ascii="Arial Narrow" w:hAnsi="Arial Narrow"/>
                <w:sz w:val="18"/>
                <w:szCs w:val="18"/>
              </w:rPr>
              <w:t>:</w:t>
            </w:r>
            <w:r w:rsidRPr="003E03CF">
              <w:rPr>
                <w:rFonts w:ascii="Arial Narrow" w:hAnsi="Arial Narrow"/>
                <w:sz w:val="18"/>
                <w:szCs w:val="18"/>
              </w:rPr>
              <w:br/>
            </w:r>
            <w:r w:rsidRPr="003E03CF">
              <w:rPr>
                <w:rFonts w:ascii="Arial Narrow" w:hAnsi="Arial Narrow"/>
                <w:sz w:val="18"/>
                <w:szCs w:val="18"/>
                <w:vertAlign w:val="superscript"/>
              </w:rPr>
              <w:t>1</w:t>
            </w:r>
            <w:r w:rsidRPr="003E03CF">
              <w:rPr>
                <w:rFonts w:ascii="Arial Narrow" w:hAnsi="Arial Narrow"/>
                <w:sz w:val="18"/>
                <w:szCs w:val="18"/>
              </w:rPr>
              <w:t xml:space="preserve"> </w:t>
            </w:r>
            <w:r w:rsidRPr="003E03CF">
              <w:rPr>
                <w:rFonts w:ascii="Arial Narrow" w:hAnsi="Arial Narrow"/>
                <w:i/>
                <w:sz w:val="18"/>
                <w:szCs w:val="18"/>
              </w:rPr>
              <w:t>Employer Costs for Employee Compensation Supplementary Tables</w:t>
            </w:r>
            <w:r w:rsidRPr="003E03CF">
              <w:rPr>
                <w:rFonts w:ascii="Arial Narrow" w:hAnsi="Arial Narrow"/>
                <w:sz w:val="18"/>
                <w:szCs w:val="18"/>
              </w:rPr>
              <w:t xml:space="preserve">: December 2006 – </w:t>
            </w:r>
            <w:r>
              <w:rPr>
                <w:rFonts w:ascii="Arial Narrow" w:hAnsi="Arial Narrow"/>
                <w:sz w:val="18"/>
                <w:szCs w:val="18"/>
              </w:rPr>
              <w:t>June</w:t>
            </w:r>
            <w:r w:rsidRPr="003E03CF">
              <w:rPr>
                <w:rFonts w:ascii="Arial Narrow" w:hAnsi="Arial Narrow"/>
                <w:sz w:val="18"/>
                <w:szCs w:val="18"/>
              </w:rPr>
              <w:t xml:space="preserve"> 201</w:t>
            </w:r>
            <w:r>
              <w:rPr>
                <w:rFonts w:ascii="Arial Narrow" w:hAnsi="Arial Narrow"/>
                <w:sz w:val="18"/>
                <w:szCs w:val="18"/>
              </w:rPr>
              <w:t>9</w:t>
            </w:r>
            <w:r w:rsidRPr="003E03CF">
              <w:rPr>
                <w:rFonts w:ascii="Arial Narrow" w:hAnsi="Arial Narrow"/>
                <w:sz w:val="18"/>
                <w:szCs w:val="18"/>
              </w:rPr>
              <w:t xml:space="preserve"> (</w:t>
            </w:r>
            <w:r>
              <w:rPr>
                <w:rFonts w:ascii="Arial Narrow" w:hAnsi="Arial Narrow"/>
                <w:sz w:val="18"/>
                <w:szCs w:val="18"/>
              </w:rPr>
              <w:t>BLS</w:t>
            </w:r>
            <w:r w:rsidRPr="003E03CF">
              <w:rPr>
                <w:rFonts w:ascii="Arial Narrow" w:hAnsi="Arial Narrow"/>
                <w:sz w:val="18"/>
                <w:szCs w:val="18"/>
              </w:rPr>
              <w:t>, 201</w:t>
            </w:r>
            <w:r>
              <w:rPr>
                <w:rFonts w:ascii="Arial Narrow" w:hAnsi="Arial Narrow"/>
                <w:sz w:val="18"/>
                <w:szCs w:val="18"/>
              </w:rPr>
              <w:t>9a</w:t>
            </w:r>
            <w:r w:rsidRPr="003E03CF">
              <w:rPr>
                <w:rFonts w:ascii="Arial Narrow" w:hAnsi="Arial Narrow"/>
                <w:sz w:val="18"/>
                <w:szCs w:val="18"/>
              </w:rPr>
              <w:t>).</w:t>
            </w:r>
            <w:r w:rsidRPr="003E03CF">
              <w:rPr>
                <w:rFonts w:ascii="Arial Narrow" w:hAnsi="Arial Narrow"/>
                <w:sz w:val="18"/>
                <w:szCs w:val="18"/>
              </w:rPr>
              <w:br/>
            </w:r>
            <w:r w:rsidRPr="003E03CF">
              <w:rPr>
                <w:rFonts w:ascii="Arial Narrow" w:hAnsi="Arial Narrow"/>
                <w:sz w:val="18"/>
                <w:szCs w:val="18"/>
                <w:vertAlign w:val="superscript"/>
              </w:rPr>
              <w:t>2</w:t>
            </w:r>
            <w:r w:rsidRPr="003E03CF">
              <w:rPr>
                <w:rFonts w:ascii="Arial Narrow" w:hAnsi="Arial Narrow"/>
                <w:sz w:val="18"/>
                <w:szCs w:val="18"/>
              </w:rPr>
              <w:t xml:space="preserve"> An overhead rate of 17% is used based on assumptions in </w:t>
            </w:r>
            <w:r w:rsidRPr="003E03CF">
              <w:rPr>
                <w:rFonts w:ascii="Arial Narrow" w:hAnsi="Arial Narrow"/>
                <w:i/>
                <w:sz w:val="18"/>
                <w:szCs w:val="18"/>
              </w:rPr>
              <w:t>Wage Rates for Economic Analysis of the Toxics Release Inventory Program</w:t>
            </w:r>
            <w:r w:rsidRPr="003E03CF">
              <w:rPr>
                <w:rFonts w:ascii="Arial Narrow" w:hAnsi="Arial Narrow"/>
                <w:sz w:val="18"/>
                <w:szCs w:val="18"/>
              </w:rPr>
              <w:t xml:space="preserve"> (</w:t>
            </w:r>
            <w:r>
              <w:rPr>
                <w:rFonts w:ascii="Arial Narrow" w:hAnsi="Arial Narrow"/>
                <w:sz w:val="18"/>
                <w:szCs w:val="18"/>
              </w:rPr>
              <w:t>Rice</w:t>
            </w:r>
            <w:r w:rsidRPr="003E03CF">
              <w:rPr>
                <w:rFonts w:ascii="Arial Narrow" w:hAnsi="Arial Narrow"/>
                <w:sz w:val="18"/>
                <w:szCs w:val="18"/>
              </w:rPr>
              <w:t xml:space="preserve">, 2002), and the </w:t>
            </w:r>
            <w:r w:rsidRPr="003E03CF">
              <w:rPr>
                <w:rFonts w:ascii="Arial Narrow" w:hAnsi="Arial Narrow"/>
                <w:i/>
                <w:sz w:val="18"/>
                <w:szCs w:val="18"/>
              </w:rPr>
              <w:t>Revised Economic Analysis for the Amended Inventory Update Rule: Final Report</w:t>
            </w:r>
            <w:r w:rsidRPr="003E03CF">
              <w:rPr>
                <w:rFonts w:ascii="Arial Narrow" w:hAnsi="Arial Narrow"/>
                <w:sz w:val="18"/>
                <w:szCs w:val="18"/>
              </w:rPr>
              <w:t xml:space="preserve"> (EPA, 2002).</w:t>
            </w:r>
            <w:r w:rsidRPr="003E03CF">
              <w:rPr>
                <w:rFonts w:ascii="Arial Narrow" w:hAnsi="Arial Narrow"/>
                <w:sz w:val="18"/>
                <w:szCs w:val="18"/>
              </w:rPr>
              <w:br/>
            </w:r>
            <w:r w:rsidRPr="003E03CF">
              <w:rPr>
                <w:rFonts w:ascii="Arial Narrow" w:hAnsi="Arial Narrow"/>
                <w:sz w:val="18"/>
                <w:szCs w:val="18"/>
                <w:vertAlign w:val="superscript"/>
              </w:rPr>
              <w:t>3</w:t>
            </w:r>
            <w:r w:rsidRPr="003E03CF">
              <w:rPr>
                <w:rFonts w:ascii="Arial Narrow" w:hAnsi="Arial Narrow"/>
                <w:sz w:val="18"/>
                <w:szCs w:val="18"/>
              </w:rPr>
              <w:t xml:space="preserve"> The inflation factor of “1” in the formula for calculating the fringe + overhead factor means wage data are not escalated to reflect inflation.</w:t>
            </w:r>
            <w:r w:rsidRPr="003E03CF">
              <w:rPr>
                <w:rFonts w:ascii="Arial Narrow" w:hAnsi="Arial Narrow"/>
                <w:sz w:val="18"/>
                <w:szCs w:val="18"/>
              </w:rPr>
              <w:br/>
            </w:r>
            <w:r w:rsidRPr="003E03CF">
              <w:rPr>
                <w:rFonts w:ascii="Arial Narrow" w:hAnsi="Arial Narrow"/>
                <w:sz w:val="18"/>
                <w:szCs w:val="18"/>
                <w:vertAlign w:val="superscript"/>
              </w:rPr>
              <w:t>4</w:t>
            </w:r>
            <w:r w:rsidRPr="003E03CF">
              <w:rPr>
                <w:rFonts w:ascii="Arial Narrow" w:hAnsi="Arial Narrow"/>
                <w:sz w:val="18"/>
                <w:szCs w:val="18"/>
              </w:rPr>
              <w:t xml:space="preserve"> Wage data are rounded to the closest cent in this analysis.</w:t>
            </w:r>
          </w:p>
        </w:tc>
      </w:tr>
    </w:tbl>
    <w:p w:rsidR="004775FB" w:rsidP="00585780" w:rsidRDefault="004775FB" w14:paraId="0CAD929D" w14:textId="38F9F596"/>
    <w:p w:rsidR="006C162C" w:rsidRDefault="006C162C" w14:paraId="07BE3810" w14:textId="77777777">
      <w:pPr>
        <w:spacing w:line="276" w:lineRule="auto"/>
        <w:rPr>
          <w:rFonts w:cs="Arial"/>
          <w:b/>
          <w:color w:val="000000"/>
          <w:sz w:val="28"/>
          <w:szCs w:val="28"/>
        </w:rPr>
      </w:pPr>
      <w:r>
        <w:br w:type="page"/>
      </w:r>
    </w:p>
    <w:p w:rsidRPr="00431919" w:rsidR="006C162C" w:rsidP="006C162C" w:rsidRDefault="006C162C" w14:paraId="45E596EC" w14:textId="2A3E39A5">
      <w:pPr>
        <w:pStyle w:val="Heading7"/>
      </w:pPr>
      <w:bookmarkStart w:name="_Toc42177045" w:id="86"/>
      <w:r w:rsidRPr="00431919">
        <w:lastRenderedPageBreak/>
        <w:t xml:space="preserve">Detailed </w:t>
      </w:r>
      <w:r>
        <w:t>Response to Comments</w:t>
      </w:r>
      <w:bookmarkEnd w:id="86"/>
    </w:p>
    <w:p w:rsidR="00342637" w:rsidP="00342637" w:rsidRDefault="00342637" w14:paraId="293C2EC1" w14:textId="319D4004">
      <w:pPr>
        <w:spacing w:line="276" w:lineRule="auto"/>
      </w:pPr>
      <w:r>
        <w:t xml:space="preserve">The Agency reviewed and considered all comments received on the proposed rule. Copies of all comments are available in the docket for this action (EPA-HQ-OPPT-2018-0321). A discussion of the comments </w:t>
      </w:r>
      <w:r w:rsidRPr="00DE0FEF" w:rsidR="00DE0FEF">
        <w:t>associated with paperwork burden</w:t>
      </w:r>
      <w:r>
        <w:t xml:space="preserve"> </w:t>
      </w:r>
      <w:r w:rsidR="00DE0FEF">
        <w:t>of</w:t>
      </w:r>
      <w:r>
        <w:t xml:space="preserve"> this rulemaking and the Agency's responses follows.</w:t>
      </w:r>
    </w:p>
    <w:p w:rsidR="00342637" w:rsidP="00342637" w:rsidRDefault="00342637" w14:paraId="04DA76A3" w14:textId="77777777">
      <w:pPr>
        <w:spacing w:line="276" w:lineRule="auto"/>
      </w:pPr>
      <w:r w:rsidRPr="00DE0FEF">
        <w:rPr>
          <w:i/>
        </w:rPr>
        <w:t>1. Comment.</w:t>
      </w:r>
      <w:r>
        <w:t xml:space="preserve"> Two commenters supported the proposed update to the current two-standard definition at 40 CFR 704.3. (Docket IDs: EPA-HQ-OPPT-2018-0321-0089, EPA-HQ-OPPT-2018-0321-0102.) </w:t>
      </w:r>
    </w:p>
    <w:p w:rsidR="00342637" w:rsidP="00342637" w:rsidRDefault="00342637" w14:paraId="4C05FA7F" w14:textId="77777777">
      <w:pPr>
        <w:spacing w:line="276" w:lineRule="auto"/>
      </w:pPr>
      <w:r w:rsidRPr="00DE0FEF">
        <w:rPr>
          <w:i/>
        </w:rPr>
        <w:t>Response.</w:t>
      </w:r>
      <w:r>
        <w:t xml:space="preserve"> EPA acknowledges the comment.</w:t>
      </w:r>
    </w:p>
    <w:p w:rsidR="00342637" w:rsidP="00342637" w:rsidRDefault="00342637" w14:paraId="1C67A538" w14:textId="77777777">
      <w:pPr>
        <w:spacing w:line="276" w:lineRule="auto"/>
      </w:pPr>
      <w:r w:rsidRPr="00DE0FEF">
        <w:rPr>
          <w:i/>
        </w:rPr>
        <w:t>2. Comment.</w:t>
      </w:r>
      <w:r>
        <w:t xml:space="preserve"> Four commenters requested that EPA implement a variable employment-based size standard for CDR and TSCA section 8(a) that uses different industry specific standards defined by NAICS codes, similar to the final rule for Fees for the Administration of the Toxic Substances Control Act (fees rule)(83 FR 52694, October 18, 2018), which is based on the SBA definition for small business, as opposed to the current two-standard revenue-based definition. One commenter further stated that EPA should finalize an employment-based size standard for CDR reporting with the addition of a 100,000 lb volume modifier. Commenters stated that using a definition similar to that in the fees rule would provide consistency and “more accurately reflect the business size of companies in the chemical industry.” Another commenter noted that the EPA’s economic analysis for the proposed rule (Ref. 2) shows that the “SBA Only” definition would provide the least regulatory burden. The same commenter requested to know why a “definition that is variable and maintained by another agency would be unwieldy.” (Comment IDs: EPA-HQ-OPPT-2018-0321-0091, EPA-HQ-OPPT-2018-0321-0096, EPA-HQ-OPPT-2018-0321-0097, EPA-HQ-OPPT-2018-0321-0104.)</w:t>
      </w:r>
    </w:p>
    <w:p w:rsidR="00342637" w:rsidP="00342637" w:rsidRDefault="00342637" w14:paraId="4F3A08F8" w14:textId="77777777">
      <w:pPr>
        <w:spacing w:line="276" w:lineRule="auto"/>
      </w:pPr>
      <w:r w:rsidRPr="00DE0FEF">
        <w:rPr>
          <w:i/>
        </w:rPr>
        <w:t>Response.</w:t>
      </w:r>
      <w:r>
        <w:t xml:space="preserve"> Using a variable employment-based size standard similar to the fees rule leads to a reduction of information that would hamper EPA’s ability to carry out the Agency’s obligation under TSCA. As discussed in the proposal, EPA examined the utility of several criteria for “small” including a definition based on SBA’s definition for small businesses. EPA’s decision to finalize the update to the small manufacturer definition as proposed (using 2018$ rather than 2017$) is a result of EPA balancing Agency data needs under TSCA section 8(a) for implementing TSCA against the burden imposed on the regulated community. EPA also considered comments on the 2017 determination and the 2019 proposed rule, held multiple meetings with SBA to obtain input, and developed new analyses to understand the impact of the updated definition on the CDR requirements.</w:t>
      </w:r>
    </w:p>
    <w:p w:rsidR="00342637" w:rsidP="00342637" w:rsidRDefault="00342637" w14:paraId="0076F1B5" w14:textId="77777777">
      <w:pPr>
        <w:spacing w:line="276" w:lineRule="auto"/>
      </w:pPr>
      <w:r>
        <w:t xml:space="preserve">The economic analysis for the proposed rule (Ref. 2) evaluated an unmodified SBA-based definition (“SBA Only”) in addition to SBA-based definitions that included production volume modifiers of 100,000 lb, 50,000 lb, and 25,000 lb (SBA+100k, SBA+50k, SBA+25k). The purpose of the production volume modifier was similar to its purpose in the existing definition: to balance the need to minimize the reporting and recordkeeping burden on small </w:t>
      </w:r>
      <w:r>
        <w:lastRenderedPageBreak/>
        <w:t xml:space="preserve">manufacturers with EPA’s need for exposure-related information that will be reported under TSCA section 8(a). EPA’s analysis found that using SBA standards in isolation results in a large loss of information, approximately 20% of chemical reports and 24% of sites, in addition to those already not reported to CDR as a result of the current definition (“Baseline”) (See Ref. 2, Table ES-1). While this option provides the least regulatory burden, it also creates the greatest loss of data to the Agency. EPA determined that losing such a large amount of information would hamper EPA’s ability to effectively carry out and implement the requirements of TSCA. </w:t>
      </w:r>
    </w:p>
    <w:p w:rsidR="00342637" w:rsidP="00342637" w:rsidRDefault="00342637" w14:paraId="6E235789" w14:textId="77777777">
      <w:pPr>
        <w:spacing w:line="276" w:lineRule="auto"/>
      </w:pPr>
      <w:r>
        <w:t>EPA calculated the loss of reports for chemicals on the TSCA Work Plan for Chemical Assessments to be 24% for SBA Only, 8% for SBA+100k, and 3% for the inflation definition. The TSCA Work Plan, originally released in 2012 and updated in 2014, identified a work plan of chemicals for further assessment under TSCA. 2016 amendments to TSCA require that at least 50 percent of all chemical substances undergoing risk evaluation come from the 2014 update to the Work Plan, until the Work Plan chemical list is exhausted. Disproportionate losses of reporting on TSCA Work Plan chemicals constitute a potential loss of information necessary for key Agency decisions. Again, EPA determined that losing an additional 24% or 6% of information on TSCA Work Plan chemicals would hamper EPA’s ability to effectively carry out and implement the requirements of TSCA.</w:t>
      </w:r>
    </w:p>
    <w:p w:rsidR="00342637" w:rsidP="00342637" w:rsidRDefault="00342637" w14:paraId="5CE2181B" w14:textId="77777777">
      <w:pPr>
        <w:spacing w:line="276" w:lineRule="auto"/>
      </w:pPr>
      <w:r>
        <w:t>Prior to finalizing this final rule, EPA updated its analysis of the reporting impact of the updated small manufacturer definition, as well as the potential reporting impacts of alternative small manufacturer definitions. In the updated analysis, EPA compared the final rule’s inflation adjusted small manufacturer definition to the TSCA fees rule’s small manufacturer definition with a series of production volume modifiers. The calculated impacts remained largely unchanged from the proposed to final rule. (See the supporting document, Economic Analysis for the Final Rule on the TSCA Section 8(a) Small Manufacturer Definition Update for a more in-depth analysis (Ref. 1)). These impacts of the various alternative small manufacturer definitions were part of the basis for deciding to finalize the updated definition as proposed (updated with 2018$ rather than 2017$).</w:t>
      </w:r>
    </w:p>
    <w:p w:rsidR="00342637" w:rsidP="00342637" w:rsidRDefault="00342637" w14:paraId="68C3BA6B" w14:textId="77777777">
      <w:pPr>
        <w:spacing w:line="276" w:lineRule="auto"/>
      </w:pPr>
      <w:r>
        <w:t xml:space="preserve">In deciding to finalize the updated definition as proposed (updated with 2018$ rather than 2017$), EPA considered the practicality of implementing any potential definition. SBA’s variable definition is developed and managed by SBA, and EPA cannot simply cite SBA’s definition. As was done with the TSCA fees rule, EPA would need to finalize an SBA-based definition in part or in whole as part of its own regulations. Once done, the two definitions (SBA’s and EPA’s SBA-based definition) may diverge from one another whenever SBA chooses to update its definition independently of EPA. While EPA adopted parts of the SBA definition for the fees rule, CDR and the fees rule operate differently for small manufacturers. Under the fees rule, small manufacturers pay a reduced fee but are still subject to the same requirements as large manufacturers. Under the CDR rule, however, small manufacturers are completely exempt from reporting. Given that the fees rule reduces burden for small manufacturers while the CDR rule eliminates burden, EPA does not believe that the fees rule </w:t>
      </w:r>
      <w:r>
        <w:lastRenderedPageBreak/>
        <w:t>and CDR rule must have identical or comparable small manufacturer definitions.</w:t>
      </w:r>
    </w:p>
    <w:p w:rsidR="00342637" w:rsidP="00342637" w:rsidRDefault="00342637" w14:paraId="37D38951" w14:textId="77777777">
      <w:pPr>
        <w:spacing w:line="276" w:lineRule="auto"/>
      </w:pPr>
      <w:r>
        <w:t>Additionally, the SBA definition is used to define the largest size a business can be to participate in government contracting programs and compete for contracts reserved or set aside for small businesses. Applications for these programs are reviewed on a case-by-case basis and a determination is made if a business qualifies. For the CDR rule, however, the small manufacturer definition is self-implementing. EPA does not make a determination on whether a company is exempted as a small manufacturer or is required to report to CDR, prior to CDR reporting. For CDR, it is up to the manufacturer to determine if the small manufacturer definition applies. A small manufacturer definition differentiated by NAICS codes could be difficult to apply for reporters because CDR imposes site-based reporting requirements and multiple NAICS codes could apply to a given site. Additionally, EPA believes the current revenue and production volume approach is more amenable to compliance monitoring and believes that it would be more difficult to determine the appropriate NAICS classification for a company because often multiple NAICS apply to a site.</w:t>
      </w:r>
    </w:p>
    <w:p w:rsidR="00342637" w:rsidP="00342637" w:rsidRDefault="00342637" w14:paraId="4947B839" w14:textId="77777777">
      <w:pPr>
        <w:spacing w:line="276" w:lineRule="auto"/>
      </w:pPr>
      <w:r>
        <w:t>For these reasons, EPA has decided to finalize the updated small manufacturer definition as proposed (updated with 2018$ rather than 2017$), instead of finalizing an employee-based size standard.</w:t>
      </w:r>
    </w:p>
    <w:p w:rsidR="00342637" w:rsidP="00342637" w:rsidRDefault="00342637" w14:paraId="5F734DB4" w14:textId="77777777">
      <w:pPr>
        <w:spacing w:line="276" w:lineRule="auto"/>
      </w:pPr>
      <w:r w:rsidRPr="00DE0FEF">
        <w:rPr>
          <w:i/>
        </w:rPr>
        <w:t>3. Comment.</w:t>
      </w:r>
      <w:r>
        <w:t xml:space="preserve"> In addition to broadly updating the small manufacturer definition to an employment-based size standard for all manufacturers subject to reporting under TSCA section 8(a), two commenters specifically asked that EPA use the SBA size standard for the utility sector. One commenter went on to state that “EPA should incorporate the SBA size standard of 750 employees as the definition of ‘small manufacturer’ for NAICS 221112, fossil fuel electric power generation; or define ‘total sales’ for NAICS 221112 as only including sale of electricity from coal-fired generation.” (Comment IDs: EPA-HQ-OPPT-2018-0321-0105, EPA-HQ-OPPT-2018-0321-0104.)</w:t>
      </w:r>
    </w:p>
    <w:p w:rsidR="00342637" w:rsidP="00342637" w:rsidRDefault="00342637" w14:paraId="6578DAEA" w14:textId="77777777">
      <w:pPr>
        <w:spacing w:line="276" w:lineRule="auto"/>
      </w:pPr>
      <w:r w:rsidRPr="00DE0FEF">
        <w:rPr>
          <w:i/>
        </w:rPr>
        <w:t xml:space="preserve">Response. </w:t>
      </w:r>
      <w:r>
        <w:t>EPA is finalizing a standardized two-part revenue-based small manufacturer definition that applies to all chemical substance manufacturers. Given the difficulties that EPA has already described in implementing a small manufacturer standard defined by industry sector, EPA does not believe that the Agency should adopt industry-specific standards. If EPA made specific standards for one industry, it would need to consider additional standards for other industries that requested a standard different from those in the general TSCA section 8(a) small manufacturer definition, which would result in a complex and unworkable definition. That being said, EPA did conduct an analysis of the CDR submitters from utilities sites (government and industry) and also considered the public commenters’ recommendation to use the SBA size standard for NAICS code 221112, fossil fuel electric power generation. From this analysis, EPA found that CDR reporters represent a variety of utilities, one of which is electricity generation. NAICS code 221112 does not have high representation in CDR and is not the most often used electricity NAICS.</w:t>
      </w:r>
    </w:p>
    <w:p w:rsidR="00342637" w:rsidP="00342637" w:rsidRDefault="00342637" w14:paraId="68732BC1" w14:textId="77777777">
      <w:pPr>
        <w:spacing w:line="276" w:lineRule="auto"/>
      </w:pPr>
      <w:r>
        <w:lastRenderedPageBreak/>
        <w:t>EPA disagrees with the concept of relying only on sales associated with a subset of the production of the reportable chemical substance. As described in Unit II.B., the purpose of the small manufacturer exemption is to reduce (or eliminate) the burden of compliance for those entities that have limited financial and personnel resources. Reducing the sales of a company to only a subset of its revenue does not identify the companies that have such limited resources.</w:t>
      </w:r>
    </w:p>
    <w:p w:rsidR="00342637" w:rsidP="00342637" w:rsidRDefault="00342637" w14:paraId="256288C5" w14:textId="77777777">
      <w:pPr>
        <w:spacing w:line="276" w:lineRule="auto"/>
      </w:pPr>
      <w:r w:rsidRPr="00DE0FEF">
        <w:rPr>
          <w:i/>
        </w:rPr>
        <w:t>4. Comment.</w:t>
      </w:r>
      <w:r>
        <w:t xml:space="preserve"> One commenter requested that EPA implement a third standard, in addition to the proposed two-part revenue-based standard, for the small manufacturer definition under TSCA section 8(a). The commenter asked that this third standard be an employee-based size standard combined with a production limit, specifically “a small manufacturer definition of 500 or fewer employees, as defined by the U.S. Small Business Administration Office of Advocacy, if annual production (including import) volume of the particular substance does not exceed 100,000 lbs. at any individual site.” (Comment ID: EPA-HQ-OPPT-2018-0321-0102)</w:t>
      </w:r>
    </w:p>
    <w:p w:rsidR="00342637" w:rsidP="00342637" w:rsidRDefault="00342637" w14:paraId="5025B87E" w14:textId="77777777">
      <w:pPr>
        <w:spacing w:line="276" w:lineRule="auto"/>
      </w:pPr>
      <w:r w:rsidRPr="00DE0FEF">
        <w:rPr>
          <w:i/>
        </w:rPr>
        <w:t>Response.</w:t>
      </w:r>
      <w:r>
        <w:t xml:space="preserve"> EPA disagrees with the comment. Adding a third standard using a different metric than the first two standards would unduly complicate the definition because companies would not only have to identify their company </w:t>
      </w:r>
      <w:proofErr w:type="gramStart"/>
      <w:r>
        <w:t>sales volume, but</w:t>
      </w:r>
      <w:proofErr w:type="gramEnd"/>
      <w:r>
        <w:t xml:space="preserve"> would also have to determine the number of employees. Due to the need to balance the reduction of the reporting and recordkeeping burden on small manufacturers with EPA’s need for exposure-related data, EPA would need to adjust the third standard in such a way that it would not result in additional losses of information. Thus, adding a third standard would introduce additional complexity but without further reducing burden or information received by EPA. See the response to Comment 2 for further discussion. </w:t>
      </w:r>
    </w:p>
    <w:p w:rsidR="00342637" w:rsidP="00342637" w:rsidRDefault="00342637" w14:paraId="5223AC30" w14:textId="77777777">
      <w:pPr>
        <w:spacing w:line="276" w:lineRule="auto"/>
      </w:pPr>
      <w:r w:rsidRPr="00DE0FEF">
        <w:rPr>
          <w:i/>
        </w:rPr>
        <w:t>5. Comment.</w:t>
      </w:r>
      <w:r>
        <w:t xml:space="preserve"> Two commenters recommended that EPA retain the use of the PPI for Chemicals and Allied Products in future updates of the size standard threshold instead of changing to GDP when determining if an update to the TSCA section 8(a) small manufacturer size standards is warranted. (Comment IDs: EPA-HQ-OPPT-2018-0321-0096, EPA-HQ-OPPT-2018-0321-0102.)</w:t>
      </w:r>
    </w:p>
    <w:p w:rsidR="00342637" w:rsidP="00342637" w:rsidRDefault="00342637" w14:paraId="3D91954A" w14:textId="77777777">
      <w:pPr>
        <w:spacing w:line="276" w:lineRule="auto"/>
      </w:pPr>
      <w:r w:rsidRPr="00DE0FEF">
        <w:rPr>
          <w:i/>
        </w:rPr>
        <w:t>Response.</w:t>
      </w:r>
      <w:r>
        <w:t xml:space="preserve"> After reviewing the comments received, EPA decided that it will not finalize the change to Gross Domestic Product (GDP) as an inflation index. Instead, EPA will amend the small manufacturer definition at 40 CFR 704.3 to use a five-year average of the PPI for Chemicals and Allied Products when determining if the small manufacturer definition warrants adjustment. EPA proposed the change to GDP because a GDP deflator is less volatile and is broader than the PPI for Chemicals and Allied Products, and therefore EPA believed it to be a better measure when considering an update to the revenue size standards in the proposed definition. While GDP is less volatile, EPA now recognizes that PPI for Chemicals and Allied Products is a better overall accounting of chemical manufacturers that would be subject to reporting under TSCA section 8(a) because it directly reflects the chemical manufacturing sector as opposed to the U.S. economy as a whole. By using a five-year average of PPI for Chemicals and Allied Products, EPA will be able to protect against volatility while continuing to </w:t>
      </w:r>
      <w:r>
        <w:lastRenderedPageBreak/>
        <w:t>account for the chemical manufacturers that fall under the small manufacturer definition.</w:t>
      </w:r>
    </w:p>
    <w:p w:rsidR="00342637" w:rsidP="00342637" w:rsidRDefault="00342637" w14:paraId="15190849" w14:textId="77777777">
      <w:pPr>
        <w:spacing w:line="276" w:lineRule="auto"/>
      </w:pPr>
      <w:r w:rsidRPr="00E66F51">
        <w:rPr>
          <w:i/>
        </w:rPr>
        <w:t>6. Comment.</w:t>
      </w:r>
      <w:r>
        <w:t xml:space="preserve"> Three commenters requested that EPA change the production volume modifier. Two commenters requested that EPA remove or raise the 100,000 lb production volume modifier used as part of the first standard for TSCA section 8(a) small manufacturer definition. Another commenter asked that EPA evaluate the impacts of decreasing the 100,000 lb production volume modifier. One commenter asked that EPA show “why 100,000 lbs. is an appropriate modifier and consult with the SBA on this threshold.” Additionally, the commenter asked that the Agency “consider a volume modifier with an employee-based standard.” One commenter stated that, with no change in the existing 100,000 lb modifier, the proposed increases of annual company sales thresholds are unlikely to provide regulatory relief from reporting for small scrap metal recyclers. The commenter further stated that while the 100,000 lb limit made sense when inorganic chemical substances were exempt from reporting (before 2003), the threshold has not made sense since inorganic chemical manufacturers became subject to reporting under IUR/CDR because inorganic chemicals are denser than organic chemicals and the production volume threshold is quickly reached. To support their public comments, the commenter provided excerpts from industry testimonies made during the 1975 Senate hearings on pending TSCA legislation. (Comment IDs: EPA-HQ-OPPT-2018-0321-0097, EPA-HQ-OPPT-2018-0321-0100, EPA-HQ-OPPT-2018-0321-0111).</w:t>
      </w:r>
    </w:p>
    <w:p w:rsidR="00342637" w:rsidP="00342637" w:rsidRDefault="00342637" w14:paraId="7C5F882C" w14:textId="77777777">
      <w:pPr>
        <w:spacing w:line="276" w:lineRule="auto"/>
      </w:pPr>
      <w:r w:rsidRPr="00E66F51">
        <w:rPr>
          <w:i/>
        </w:rPr>
        <w:t>Response.</w:t>
      </w:r>
      <w:r>
        <w:t xml:space="preserve"> EPA disagrees that the production volume modifier should be changed (either raised or lowered) or that industry-specific modifiers should be developed. EPA has updated the revenue thresholds for the small manufacturer definition based on changes to the value of the U.S. dollar as a result of inflation. There is, however, no corresponding basis for adjusting the production volume modifier. In developing the initial small manufacturer standard, EPA included a production volume modifier to ensure that chemical substances manufactured or imported at high volumes were reported to EPA. The commenters have provided no support to indicate that the 100,000 lb threshold requires updating as a result of changes to the chemical manufacturing sector.</w:t>
      </w:r>
    </w:p>
    <w:p w:rsidR="00342637" w:rsidP="00342637" w:rsidRDefault="00342637" w14:paraId="40820A89" w14:textId="583E13EB">
      <w:pPr>
        <w:spacing w:line="276" w:lineRule="auto"/>
      </w:pPr>
      <w:r>
        <w:t xml:space="preserve">Regarding industry-specific modifiers, such as for the scrap metal industry, EPA believes that it be difficult and resource intensive for EPA to establish, administer, and update industry- or chemical-specific modifiers that align with the 100,000 lb threshold. As stated in EPA’s response to Comment 2, EPA does not feel it is appropriate to have small manufacturer standards that are differentiated by industry. Please see EPA’s full response to Comment 2 for further discussion. </w:t>
      </w:r>
    </w:p>
    <w:p w:rsidR="00342637" w:rsidP="00342637" w:rsidRDefault="00E66F51" w14:paraId="57DB0BED" w14:textId="6A6743AC">
      <w:pPr>
        <w:spacing w:line="276" w:lineRule="auto"/>
      </w:pPr>
      <w:r w:rsidRPr="00E66F51">
        <w:rPr>
          <w:i/>
        </w:rPr>
        <w:t>7</w:t>
      </w:r>
      <w:r w:rsidRPr="00E66F51" w:rsidR="00342637">
        <w:rPr>
          <w:i/>
        </w:rPr>
        <w:t>. Comment.</w:t>
      </w:r>
      <w:r w:rsidR="00342637">
        <w:t xml:space="preserve"> One commenter stated that with respect to the 93 fewer reporting sites, EPA did not show which part of the modified revenue definition applied. The commenter stated that “if all or the majority of the sites are now exempt due to the first standard of $11 million, the purpose of having a second prong is unclear.” (Comment ID: EPA-HQ-OPPT-2018-0321-0097).</w:t>
      </w:r>
    </w:p>
    <w:p w:rsidR="00342637" w:rsidP="00342637" w:rsidRDefault="00342637" w14:paraId="09655AFE" w14:textId="77777777">
      <w:pPr>
        <w:spacing w:line="276" w:lineRule="auto"/>
      </w:pPr>
      <w:r w:rsidRPr="00E66F51">
        <w:rPr>
          <w:i/>
        </w:rPr>
        <w:lastRenderedPageBreak/>
        <w:t>Response.</w:t>
      </w:r>
      <w:r>
        <w:t xml:space="preserve"> As stated in the economic analysis, the structure of the definition was designed for effective targeting of small manufacturers (Ref. 1). Note that the information from baseline conditions for this question is unmeasured (i.e., CDR does not receive reports from these manufacturers). Nonetheless, not all sites that are exempted are expected to meet the conditions of the Second Standard of annual sales less than $12 million. EPA considered the increment of the changes in the proposed rule via the 93 fewer reporting sites (now calculated to be 127 using an updated analysis); EPA found that although a larger portion of sites incur exemption via the Second Standard compared to the First Standard, there is a non-trivial portion of sites that incur exemption via the First Standard (Refs. 3 and 4). </w:t>
      </w:r>
    </w:p>
    <w:p w:rsidR="00342637" w:rsidP="00342637" w:rsidRDefault="00E66F51" w14:paraId="413073A0" w14:textId="5A0E018C">
      <w:pPr>
        <w:spacing w:line="276" w:lineRule="auto"/>
      </w:pPr>
      <w:r w:rsidRPr="00E66F51">
        <w:rPr>
          <w:i/>
        </w:rPr>
        <w:t>8</w:t>
      </w:r>
      <w:r w:rsidRPr="00E66F51" w:rsidR="00342637">
        <w:rPr>
          <w:i/>
        </w:rPr>
        <w:t>. Comment.</w:t>
      </w:r>
      <w:r w:rsidR="00342637">
        <w:t xml:space="preserve"> One commenter asked that the updated small manufacturer definition not apply to mercury reporting under CDR. This request was made because the mercury reporting rule promulgated by EPA on June 27, 2018 includes certain exemptions for persons who already report for mercury and mercury-added products to CDR (83 FR 30054). The commenter points out that EPA included this exemption because comparable data would be provided to EPA under the CDR rule. The commenter then states that this assumption may no longer be correct if EPA modifies the small manufacturer standards as proposed. </w:t>
      </w:r>
    </w:p>
    <w:p w:rsidR="006C162C" w:rsidP="00342637" w:rsidRDefault="00342637" w14:paraId="28C1C9D0" w14:textId="7AD097AA">
      <w:pPr>
        <w:spacing w:line="276" w:lineRule="auto"/>
        <w:rPr>
          <w:rFonts w:cs="Arial"/>
          <w:b/>
          <w:color w:val="000000"/>
          <w:sz w:val="28"/>
          <w:szCs w:val="28"/>
        </w:rPr>
      </w:pPr>
      <w:r w:rsidRPr="00E66F51">
        <w:rPr>
          <w:i/>
        </w:rPr>
        <w:t>Response.</w:t>
      </w:r>
      <w:r>
        <w:t xml:space="preserve"> EPA appreciates the comment. The first reporting cycle for the mercury inventory closed on July 1, 2019. The Agency is currently assessing data received in preparation for the statutory deadline for publishing the mercury inventory not later than April 1, 2020. The Agency is amenable to suggestions of ways to improve the reporting requirements related to mercury supply, use, and trade in the United States, and will take all comments under consideration for future program refinement.</w:t>
      </w:r>
      <w:r w:rsidR="006C162C">
        <w:br w:type="page"/>
      </w:r>
    </w:p>
    <w:p w:rsidRPr="00431919" w:rsidR="006C162C" w:rsidP="006C162C" w:rsidRDefault="006C162C" w14:paraId="13DBB9D9" w14:textId="02B933F1">
      <w:pPr>
        <w:pStyle w:val="Heading7"/>
      </w:pPr>
      <w:bookmarkStart w:name="_Toc42177046" w:id="87"/>
      <w:r>
        <w:lastRenderedPageBreak/>
        <w:t>Excerpts from the 2020 CDR Instructions for Reporting</w:t>
      </w:r>
      <w:bookmarkEnd w:id="87"/>
    </w:p>
    <w:p w:rsidR="00517886" w:rsidP="00517886" w:rsidRDefault="008874EF" w14:paraId="6FF32640" w14:textId="14A51028">
      <w:pPr>
        <w:pStyle w:val="Heading3"/>
        <w:keepLines/>
        <w:numPr>
          <w:ilvl w:val="2"/>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left="720" w:hanging="720"/>
      </w:pPr>
      <w:bookmarkStart w:name="_Toc42176446" w:id="88"/>
      <w:bookmarkStart w:name="_Toc42177047" w:id="89"/>
      <w:r>
        <w:t>2.2.3</w:t>
      </w:r>
      <w:bookmarkStart w:name="_Ref5373528" w:id="90"/>
      <w:bookmarkStart w:name="_Toc5380580" w:id="91"/>
      <w:bookmarkStart w:name="_Ref421457488" w:id="92"/>
      <w:r w:rsidRPr="00517886" w:rsidR="00517886">
        <w:t xml:space="preserve"> </w:t>
      </w:r>
      <w:r w:rsidR="00517886">
        <w:t>Do You Quali</w:t>
      </w:r>
      <w:r w:rsidR="00517886">
        <w:rPr>
          <w:spacing w:val="1"/>
        </w:rPr>
        <w:t>f</w:t>
      </w:r>
      <w:r w:rsidR="00517886">
        <w:t xml:space="preserve">y for a Small </w:t>
      </w:r>
      <w:r w:rsidR="00517886">
        <w:rPr>
          <w:spacing w:val="1"/>
        </w:rPr>
        <w:t>M</w:t>
      </w:r>
      <w:r w:rsidR="00517886">
        <w:t>a</w:t>
      </w:r>
      <w:r w:rsidR="00517886">
        <w:rPr>
          <w:spacing w:val="-1"/>
        </w:rPr>
        <w:t>n</w:t>
      </w:r>
      <w:r w:rsidR="00517886">
        <w:t xml:space="preserve">ufacturer or Small Government </w:t>
      </w:r>
      <w:r w:rsidR="00517886">
        <w:rPr>
          <w:spacing w:val="-1"/>
        </w:rPr>
        <w:t>E</w:t>
      </w:r>
      <w:r w:rsidR="00517886">
        <w:t>xemption? (Questi</w:t>
      </w:r>
      <w:r w:rsidR="00517886">
        <w:rPr>
          <w:spacing w:val="1"/>
        </w:rPr>
        <w:t>o</w:t>
      </w:r>
      <w:r w:rsidR="00517886">
        <w:t>n G)</w:t>
      </w:r>
      <w:bookmarkEnd w:id="88"/>
      <w:bookmarkEnd w:id="89"/>
      <w:bookmarkEnd w:id="90"/>
      <w:bookmarkEnd w:id="91"/>
      <w:r w:rsidR="00517886">
        <w:rPr>
          <w:rStyle w:val="CommentReference"/>
          <w:rFonts w:ascii="Calibri" w:hAnsi="Calibri"/>
        </w:rPr>
        <w:t xml:space="preserve"> </w:t>
      </w:r>
      <w:bookmarkEnd w:id="92"/>
    </w:p>
    <w:p w:rsidR="00517886" w:rsidP="00517886" w:rsidRDefault="00517886" w14:paraId="5E0F61DB" w14:textId="77777777">
      <w:pPr>
        <w:tabs>
          <w:tab w:val="left" w:pos="9360"/>
        </w:tabs>
        <w:autoSpaceDE w:val="0"/>
        <w:autoSpaceDN w:val="0"/>
        <w:adjustRightInd w:val="0"/>
        <w:spacing w:after="17" w:line="220" w:lineRule="exact"/>
      </w:pPr>
    </w:p>
    <w:p w:rsidR="00517886" w:rsidP="00B641A6" w:rsidRDefault="00517886" w14:paraId="0F29EB19" w14:textId="77777777">
      <w:pPr>
        <w:tabs>
          <w:tab w:val="left" w:pos="9360"/>
        </w:tabs>
        <w:autoSpaceDE w:val="0"/>
        <w:autoSpaceDN w:val="0"/>
        <w:adjustRightInd w:val="0"/>
        <w:rPr>
          <w:szCs w:val="24"/>
        </w:rPr>
      </w:pPr>
      <w:r>
        <w:rPr>
          <w:i/>
          <w:spacing w:val="-1"/>
          <w:szCs w:val="24"/>
        </w:rPr>
        <w:t>Small manufacturer</w:t>
      </w:r>
      <w:r w:rsidRPr="00EC1B68">
        <w:rPr>
          <w:spacing w:val="-1"/>
          <w:szCs w:val="24"/>
        </w:rPr>
        <w:t xml:space="preserve"> </w:t>
      </w:r>
      <w:r>
        <w:rPr>
          <w:spacing w:val="-1"/>
          <w:szCs w:val="24"/>
        </w:rPr>
        <w:t>(t</w:t>
      </w:r>
      <w:r w:rsidRPr="00EC1B68">
        <w:rPr>
          <w:spacing w:val="-1"/>
          <w:szCs w:val="24"/>
        </w:rPr>
        <w:t xml:space="preserve">he same standard </w:t>
      </w:r>
      <w:r>
        <w:rPr>
          <w:spacing w:val="-1"/>
          <w:szCs w:val="24"/>
        </w:rPr>
        <w:t xml:space="preserve">will be used </w:t>
      </w:r>
      <w:r w:rsidRPr="00EC1B68">
        <w:rPr>
          <w:spacing w:val="-1"/>
          <w:szCs w:val="24"/>
        </w:rPr>
        <w:t>for all manufacturers, except for small governments</w:t>
      </w:r>
      <w:r>
        <w:rPr>
          <w:spacing w:val="-1"/>
          <w:szCs w:val="24"/>
        </w:rPr>
        <w:t>)</w:t>
      </w:r>
      <w:r>
        <w:rPr>
          <w:szCs w:val="24"/>
        </w:rPr>
        <w:t xml:space="preserve"> (40</w:t>
      </w:r>
      <w:r>
        <w:rPr>
          <w:spacing w:val="-1"/>
          <w:szCs w:val="24"/>
        </w:rPr>
        <w:t xml:space="preserve"> </w:t>
      </w:r>
      <w:r>
        <w:rPr>
          <w:szCs w:val="24"/>
        </w:rPr>
        <w:t>CFR 704.3):</w:t>
      </w:r>
    </w:p>
    <w:p w:rsidR="00517886" w:rsidP="00517886" w:rsidRDefault="00517886" w14:paraId="12503707" w14:textId="77777777">
      <w:pPr>
        <w:tabs>
          <w:tab w:val="left" w:pos="9360"/>
        </w:tabs>
        <w:autoSpaceDE w:val="0"/>
        <w:autoSpaceDN w:val="0"/>
        <w:adjustRightInd w:val="0"/>
        <w:spacing w:after="6" w:line="20" w:lineRule="exact"/>
        <w:rPr>
          <w:sz w:val="2"/>
          <w:szCs w:val="2"/>
        </w:rPr>
      </w:pPr>
    </w:p>
    <w:p w:rsidRPr="00E62B17" w:rsidR="00517886" w:rsidP="00B641A6" w:rsidRDefault="00517886" w14:paraId="2A5BBCE5" w14:textId="26630873">
      <w:pPr>
        <w:pStyle w:val="ListParagraph"/>
        <w:numPr>
          <w:ilvl w:val="0"/>
          <w:numId w:val="47"/>
        </w:numPr>
        <w:tabs>
          <w:tab w:val="left" w:pos="720"/>
        </w:tabs>
        <w:autoSpaceDE w:val="0"/>
        <w:autoSpaceDN w:val="0"/>
        <w:adjustRightInd w:val="0"/>
        <w:spacing w:line="247" w:lineRule="auto"/>
        <w:contextualSpacing w:val="0"/>
        <w:rPr>
          <w:szCs w:val="24"/>
        </w:rPr>
      </w:pPr>
      <w:r w:rsidRPr="00EC1B68">
        <w:rPr>
          <w:szCs w:val="24"/>
        </w:rPr>
        <w:t xml:space="preserve">First standard. </w:t>
      </w:r>
      <w:r w:rsidRPr="4B7EEEEB">
        <w:rPr>
          <w:color w:val="000000" w:themeColor="text1"/>
        </w:rPr>
        <w:t xml:space="preserve">A manufacturer </w:t>
      </w:r>
      <w:r>
        <w:rPr>
          <w:color w:val="000000" w:themeColor="text1"/>
        </w:rPr>
        <w:t>(including</w:t>
      </w:r>
      <w:r w:rsidRPr="4B7EEEEB">
        <w:rPr>
          <w:color w:val="000000" w:themeColor="text1"/>
        </w:rPr>
        <w:t xml:space="preserve"> importer</w:t>
      </w:r>
      <w:r>
        <w:rPr>
          <w:color w:val="000000" w:themeColor="text1"/>
        </w:rPr>
        <w:t>)</w:t>
      </w:r>
      <w:r w:rsidRPr="4B7EEEEB">
        <w:rPr>
          <w:color w:val="000000" w:themeColor="text1"/>
        </w:rPr>
        <w:t xml:space="preserve"> of a substance is small if its total annual sales, when combined with those of its parent company (if any), are less than $</w:t>
      </w:r>
      <w:r>
        <w:rPr>
          <w:color w:val="000000" w:themeColor="text1"/>
        </w:rPr>
        <w:t>120</w:t>
      </w:r>
      <w:r w:rsidRPr="4B7EEEEB">
        <w:rPr>
          <w:color w:val="000000" w:themeColor="text1"/>
        </w:rPr>
        <w:t xml:space="preserve"> million. However, if the annual production or importation volume of a particular substance at any individual site owned or controlled by the manufacturer or importer is greater than 45,400 kilograms (100,000 lbs), the manufacturer </w:t>
      </w:r>
      <w:r>
        <w:rPr>
          <w:color w:val="000000" w:themeColor="text1"/>
        </w:rPr>
        <w:t>(including</w:t>
      </w:r>
      <w:r w:rsidRPr="4B7EEEEB">
        <w:rPr>
          <w:color w:val="000000" w:themeColor="text1"/>
        </w:rPr>
        <w:t xml:space="preserve"> importer</w:t>
      </w:r>
      <w:r>
        <w:rPr>
          <w:color w:val="000000" w:themeColor="text1"/>
        </w:rPr>
        <w:t>)</w:t>
      </w:r>
      <w:r w:rsidRPr="4B7EEEEB">
        <w:rPr>
          <w:color w:val="000000" w:themeColor="text1"/>
        </w:rPr>
        <w:t xml:space="preserve"> </w:t>
      </w:r>
      <w:r>
        <w:rPr>
          <w:color w:val="000000" w:themeColor="text1"/>
        </w:rPr>
        <w:t>will</w:t>
      </w:r>
      <w:r w:rsidRPr="4B7EEEEB">
        <w:rPr>
          <w:color w:val="000000" w:themeColor="text1"/>
        </w:rPr>
        <w:t xml:space="preserve"> not qualify as small for purposes of reporting on the production or importation of that substance at that site, unless the manufacturer </w:t>
      </w:r>
      <w:r>
        <w:rPr>
          <w:color w:val="000000" w:themeColor="text1"/>
        </w:rPr>
        <w:t>(including</w:t>
      </w:r>
      <w:r w:rsidRPr="4B7EEEEB">
        <w:rPr>
          <w:color w:val="000000" w:themeColor="text1"/>
        </w:rPr>
        <w:t xml:space="preserve"> importer</w:t>
      </w:r>
      <w:r>
        <w:rPr>
          <w:color w:val="000000" w:themeColor="text1"/>
        </w:rPr>
        <w:t>)</w:t>
      </w:r>
      <w:r w:rsidRPr="4B7EEEEB">
        <w:rPr>
          <w:color w:val="000000" w:themeColor="text1"/>
        </w:rPr>
        <w:t xml:space="preserve"> qualifies as small under standard (2) of this definition</w:t>
      </w:r>
      <w:r>
        <w:rPr>
          <w:color w:val="000000" w:themeColor="text1"/>
        </w:rPr>
        <w:t>.</w:t>
      </w:r>
    </w:p>
    <w:p w:rsidRPr="00E62B17" w:rsidR="00517886" w:rsidP="00517886" w:rsidRDefault="00517886" w14:paraId="37886C11" w14:textId="23247BBB">
      <w:pPr>
        <w:pStyle w:val="ListParagraph"/>
        <w:numPr>
          <w:ilvl w:val="0"/>
          <w:numId w:val="47"/>
        </w:numPr>
        <w:tabs>
          <w:tab w:val="left" w:pos="720"/>
        </w:tabs>
        <w:autoSpaceDE w:val="0"/>
        <w:autoSpaceDN w:val="0"/>
        <w:adjustRightInd w:val="0"/>
        <w:spacing w:line="241" w:lineRule="auto"/>
        <w:rPr>
          <w:szCs w:val="24"/>
        </w:rPr>
      </w:pPr>
      <w:r w:rsidRPr="00EC1B68">
        <w:rPr>
          <w:szCs w:val="24"/>
        </w:rPr>
        <w:t xml:space="preserve">Second standard. </w:t>
      </w:r>
      <w:r w:rsidRPr="4C19FD24">
        <w:rPr>
          <w:color w:val="000000" w:themeColor="text1"/>
        </w:rPr>
        <w:t>A manufacturer (including importer) of a substance is small if its total annual sales, when combined with those of its parent company (if any), are less than $</w:t>
      </w:r>
      <w:r>
        <w:rPr>
          <w:color w:val="000000" w:themeColor="text1"/>
        </w:rPr>
        <w:t>12</w:t>
      </w:r>
      <w:r w:rsidRPr="4C19FD24">
        <w:rPr>
          <w:color w:val="000000" w:themeColor="text1"/>
        </w:rPr>
        <w:t xml:space="preserve"> million, regardless of the quantity of substances produced or imported by that manufacturer (including importer).</w:t>
      </w:r>
    </w:p>
    <w:p w:rsidR="00517886" w:rsidP="00517886" w:rsidRDefault="00517886" w14:paraId="1E4C0902" w14:textId="77777777">
      <w:pPr>
        <w:tabs>
          <w:tab w:val="left" w:pos="9810"/>
        </w:tabs>
        <w:autoSpaceDE w:val="0"/>
        <w:autoSpaceDN w:val="0"/>
        <w:adjustRightInd w:val="0"/>
        <w:spacing w:after="15" w:line="20" w:lineRule="exact"/>
        <w:rPr>
          <w:sz w:val="2"/>
          <w:szCs w:val="2"/>
        </w:rPr>
      </w:pPr>
    </w:p>
    <w:p w:rsidR="00517886" w:rsidP="00B641A6" w:rsidRDefault="00517886" w14:paraId="66024D4B" w14:textId="77777777">
      <w:pPr>
        <w:tabs>
          <w:tab w:val="left" w:pos="9360"/>
        </w:tabs>
        <w:autoSpaceDE w:val="0"/>
        <w:autoSpaceDN w:val="0"/>
        <w:adjustRightInd w:val="0"/>
        <w:rPr>
          <w:szCs w:val="24"/>
        </w:rPr>
      </w:pPr>
      <w:r>
        <w:rPr>
          <w:szCs w:val="24"/>
        </w:rPr>
        <w:t xml:space="preserve">For purposes of </w:t>
      </w:r>
      <w:r>
        <w:rPr>
          <w:spacing w:val="1"/>
          <w:szCs w:val="24"/>
        </w:rPr>
        <w:t>t</w:t>
      </w:r>
      <w:r>
        <w:rPr>
          <w:szCs w:val="24"/>
        </w:rPr>
        <w:t>he definition</w:t>
      </w:r>
      <w:r>
        <w:rPr>
          <w:spacing w:val="1"/>
          <w:szCs w:val="24"/>
        </w:rPr>
        <w:t xml:space="preserve"> </w:t>
      </w:r>
      <w:r>
        <w:rPr>
          <w:szCs w:val="24"/>
        </w:rPr>
        <w:t>of a s</w:t>
      </w:r>
      <w:r>
        <w:rPr>
          <w:spacing w:val="-1"/>
          <w:szCs w:val="24"/>
        </w:rPr>
        <w:t>m</w:t>
      </w:r>
      <w:r>
        <w:rPr>
          <w:szCs w:val="24"/>
        </w:rPr>
        <w:t xml:space="preserve">all </w:t>
      </w:r>
      <w:r>
        <w:rPr>
          <w:spacing w:val="-1"/>
          <w:szCs w:val="24"/>
        </w:rPr>
        <w:t>m</w:t>
      </w:r>
      <w:r>
        <w:rPr>
          <w:szCs w:val="24"/>
        </w:rPr>
        <w:t>anu</w:t>
      </w:r>
      <w:r>
        <w:rPr>
          <w:spacing w:val="-1"/>
          <w:szCs w:val="24"/>
        </w:rPr>
        <w:t>f</w:t>
      </w:r>
      <w:r>
        <w:rPr>
          <w:spacing w:val="1"/>
          <w:szCs w:val="24"/>
        </w:rPr>
        <w:t>a</w:t>
      </w:r>
      <w:r>
        <w:rPr>
          <w:szCs w:val="24"/>
        </w:rPr>
        <w:t>ctur</w:t>
      </w:r>
      <w:r>
        <w:rPr>
          <w:spacing w:val="1"/>
          <w:szCs w:val="24"/>
        </w:rPr>
        <w:t>e</w:t>
      </w:r>
      <w:r>
        <w:rPr>
          <w:szCs w:val="24"/>
        </w:rPr>
        <w:t>r, total a</w:t>
      </w:r>
      <w:r>
        <w:rPr>
          <w:spacing w:val="1"/>
          <w:szCs w:val="24"/>
        </w:rPr>
        <w:t>n</w:t>
      </w:r>
      <w:r>
        <w:rPr>
          <w:szCs w:val="24"/>
        </w:rPr>
        <w:t>nual s</w:t>
      </w:r>
      <w:r>
        <w:rPr>
          <w:spacing w:val="-1"/>
          <w:szCs w:val="24"/>
        </w:rPr>
        <w:t>a</w:t>
      </w:r>
      <w:r>
        <w:rPr>
          <w:szCs w:val="24"/>
        </w:rPr>
        <w:t>les include all</w:t>
      </w:r>
      <w:r>
        <w:rPr>
          <w:spacing w:val="-1"/>
          <w:szCs w:val="24"/>
        </w:rPr>
        <w:t xml:space="preserve"> </w:t>
      </w:r>
      <w:r>
        <w:rPr>
          <w:szCs w:val="24"/>
        </w:rPr>
        <w:t>sales of the co</w:t>
      </w:r>
      <w:r>
        <w:rPr>
          <w:spacing w:val="-1"/>
          <w:szCs w:val="24"/>
        </w:rPr>
        <w:t>m</w:t>
      </w:r>
      <w:r>
        <w:rPr>
          <w:szCs w:val="24"/>
        </w:rPr>
        <w:t>pany, not jus</w:t>
      </w:r>
      <w:r>
        <w:rPr>
          <w:spacing w:val="1"/>
          <w:szCs w:val="24"/>
        </w:rPr>
        <w:t>t</w:t>
      </w:r>
      <w:r>
        <w:rPr>
          <w:szCs w:val="24"/>
        </w:rPr>
        <w:t xml:space="preserve"> the total sales of a given che</w:t>
      </w:r>
      <w:r>
        <w:rPr>
          <w:spacing w:val="-1"/>
          <w:szCs w:val="24"/>
        </w:rPr>
        <w:t>m</w:t>
      </w:r>
      <w:r>
        <w:rPr>
          <w:szCs w:val="24"/>
        </w:rPr>
        <w:t>ical substance.</w:t>
      </w:r>
    </w:p>
    <w:p w:rsidRPr="00626130" w:rsidR="00517886" w:rsidP="00B641A6" w:rsidRDefault="00517886" w14:paraId="4634F2E5" w14:textId="77777777">
      <w:pPr>
        <w:tabs>
          <w:tab w:val="left" w:pos="9360"/>
        </w:tabs>
        <w:autoSpaceDE w:val="0"/>
        <w:autoSpaceDN w:val="0"/>
        <w:adjustRightInd w:val="0"/>
        <w:rPr>
          <w:spacing w:val="-1"/>
          <w:szCs w:val="24"/>
        </w:rPr>
      </w:pPr>
      <w:r w:rsidRPr="00626130">
        <w:rPr>
          <w:i/>
          <w:spacing w:val="-1"/>
          <w:szCs w:val="24"/>
        </w:rPr>
        <w:t>Small government</w:t>
      </w:r>
      <w:r w:rsidRPr="00626130">
        <w:rPr>
          <w:spacing w:val="-1"/>
          <w:szCs w:val="24"/>
        </w:rPr>
        <w:t xml:space="preserve"> means the government of a city, county, town, township, village, school district, or special district with a population of less than 50,000. States and tribal governments are not considered small governments.</w:t>
      </w:r>
    </w:p>
    <w:p w:rsidR="00517886" w:rsidP="00517886" w:rsidRDefault="00517886" w14:paraId="3E61A178" w14:textId="77777777">
      <w:pPr>
        <w:tabs>
          <w:tab w:val="left" w:pos="9810"/>
        </w:tabs>
        <w:autoSpaceDE w:val="0"/>
        <w:autoSpaceDN w:val="0"/>
        <w:adjustRightInd w:val="0"/>
        <w:spacing w:after="15" w:line="20" w:lineRule="exact"/>
        <w:rPr>
          <w:sz w:val="2"/>
          <w:szCs w:val="2"/>
        </w:rPr>
      </w:pPr>
    </w:p>
    <w:p w:rsidR="00517886" w:rsidP="00517886" w:rsidRDefault="00517886" w14:paraId="427C3C41" w14:textId="77777777">
      <w:pPr>
        <w:tabs>
          <w:tab w:val="left" w:pos="9810"/>
        </w:tabs>
        <w:autoSpaceDE w:val="0"/>
        <w:autoSpaceDN w:val="0"/>
        <w:adjustRightInd w:val="0"/>
        <w:spacing w:after="15" w:line="20" w:lineRule="exact"/>
        <w:rPr>
          <w:sz w:val="2"/>
          <w:szCs w:val="2"/>
        </w:rPr>
      </w:pPr>
    </w:p>
    <w:p w:rsidR="00517886" w:rsidP="00B641A6" w:rsidRDefault="00517886" w14:paraId="33206447" w14:textId="77777777">
      <w:pPr>
        <w:tabs>
          <w:tab w:val="left" w:pos="9360"/>
        </w:tabs>
        <w:autoSpaceDE w:val="0"/>
        <w:autoSpaceDN w:val="0"/>
        <w:adjustRightInd w:val="0"/>
        <w:rPr>
          <w:szCs w:val="24"/>
        </w:rPr>
      </w:pPr>
      <w:r>
        <w:rPr>
          <w:szCs w:val="24"/>
        </w:rPr>
        <w:t>If you have de</w:t>
      </w:r>
      <w:r>
        <w:rPr>
          <w:spacing w:val="1"/>
          <w:szCs w:val="24"/>
        </w:rPr>
        <w:t>t</w:t>
      </w:r>
      <w:r>
        <w:rPr>
          <w:szCs w:val="24"/>
        </w:rPr>
        <w:t>er</w:t>
      </w:r>
      <w:r>
        <w:rPr>
          <w:spacing w:val="-1"/>
          <w:szCs w:val="24"/>
        </w:rPr>
        <w:t>m</w:t>
      </w:r>
      <w:r>
        <w:rPr>
          <w:szCs w:val="24"/>
        </w:rPr>
        <w:t>ined that you a</w:t>
      </w:r>
      <w:r>
        <w:rPr>
          <w:spacing w:val="1"/>
          <w:szCs w:val="24"/>
        </w:rPr>
        <w:t>r</w:t>
      </w:r>
      <w:r>
        <w:rPr>
          <w:szCs w:val="24"/>
        </w:rPr>
        <w:t>e a s</w:t>
      </w:r>
      <w:r>
        <w:rPr>
          <w:spacing w:val="-1"/>
          <w:szCs w:val="24"/>
        </w:rPr>
        <w:t>ma</w:t>
      </w:r>
      <w:r>
        <w:rPr>
          <w:szCs w:val="24"/>
        </w:rPr>
        <w:t xml:space="preserve">ll </w:t>
      </w:r>
      <w:r>
        <w:rPr>
          <w:spacing w:val="-2"/>
          <w:szCs w:val="24"/>
        </w:rPr>
        <w:t>m</w:t>
      </w:r>
      <w:r>
        <w:rPr>
          <w:szCs w:val="24"/>
        </w:rPr>
        <w:t>anufa</w:t>
      </w:r>
      <w:r>
        <w:rPr>
          <w:spacing w:val="1"/>
          <w:szCs w:val="24"/>
        </w:rPr>
        <w:t>c</w:t>
      </w:r>
      <w:r>
        <w:rPr>
          <w:szCs w:val="24"/>
        </w:rPr>
        <w:t xml:space="preserve">turer or small government that is manufacturing a CDR </w:t>
      </w:r>
      <w:r>
        <w:rPr>
          <w:spacing w:val="1"/>
          <w:szCs w:val="24"/>
        </w:rPr>
        <w:t>r</w:t>
      </w:r>
      <w:r>
        <w:rPr>
          <w:szCs w:val="24"/>
        </w:rPr>
        <w:t>eport</w:t>
      </w:r>
      <w:r>
        <w:rPr>
          <w:spacing w:val="1"/>
          <w:szCs w:val="24"/>
        </w:rPr>
        <w:t>a</w:t>
      </w:r>
      <w:r>
        <w:rPr>
          <w:szCs w:val="24"/>
        </w:rPr>
        <w:t>ble chemical substance, evaluate Question H (described</w:t>
      </w:r>
      <w:r>
        <w:rPr>
          <w:spacing w:val="-1"/>
          <w:szCs w:val="24"/>
        </w:rPr>
        <w:t xml:space="preserve"> </w:t>
      </w:r>
      <w:r>
        <w:rPr>
          <w:szCs w:val="24"/>
        </w:rPr>
        <w:t>in</w:t>
      </w:r>
      <w:r>
        <w:rPr>
          <w:spacing w:val="2"/>
          <w:szCs w:val="24"/>
        </w:rPr>
        <w:t xml:space="preserve"> </w:t>
      </w:r>
      <w:r>
        <w:rPr>
          <w:szCs w:val="24"/>
        </w:rPr>
        <w:t>the next s</w:t>
      </w:r>
      <w:r>
        <w:rPr>
          <w:spacing w:val="1"/>
          <w:szCs w:val="24"/>
        </w:rPr>
        <w:t>e</w:t>
      </w:r>
      <w:r>
        <w:rPr>
          <w:szCs w:val="24"/>
        </w:rPr>
        <w:t>ction) to de</w:t>
      </w:r>
      <w:r>
        <w:rPr>
          <w:spacing w:val="1"/>
          <w:szCs w:val="24"/>
        </w:rPr>
        <w:t>t</w:t>
      </w:r>
      <w:r>
        <w:rPr>
          <w:szCs w:val="24"/>
        </w:rPr>
        <w:t>er</w:t>
      </w:r>
      <w:r>
        <w:rPr>
          <w:spacing w:val="-1"/>
          <w:szCs w:val="24"/>
        </w:rPr>
        <w:t>m</w:t>
      </w:r>
      <w:r>
        <w:rPr>
          <w:szCs w:val="24"/>
        </w:rPr>
        <w:t>ine whether you are exe</w:t>
      </w:r>
      <w:r>
        <w:rPr>
          <w:spacing w:val="-1"/>
          <w:szCs w:val="24"/>
        </w:rPr>
        <w:t>m</w:t>
      </w:r>
      <w:r>
        <w:rPr>
          <w:szCs w:val="24"/>
        </w:rPr>
        <w:t>pt from any r</w:t>
      </w:r>
      <w:r>
        <w:rPr>
          <w:spacing w:val="1"/>
          <w:szCs w:val="24"/>
        </w:rPr>
        <w:t>e</w:t>
      </w:r>
      <w:r>
        <w:rPr>
          <w:szCs w:val="24"/>
        </w:rPr>
        <w:t>portin</w:t>
      </w:r>
      <w:r>
        <w:rPr>
          <w:spacing w:val="1"/>
          <w:szCs w:val="24"/>
        </w:rPr>
        <w:t>g</w:t>
      </w:r>
      <w:r>
        <w:rPr>
          <w:szCs w:val="24"/>
        </w:rPr>
        <w:t>.</w:t>
      </w:r>
    </w:p>
    <w:p w:rsidR="00517886" w:rsidP="00517886" w:rsidRDefault="00517886" w14:paraId="1841D3C1" w14:textId="77777777">
      <w:pPr>
        <w:tabs>
          <w:tab w:val="left" w:pos="9810"/>
        </w:tabs>
        <w:autoSpaceDE w:val="0"/>
        <w:autoSpaceDN w:val="0"/>
        <w:adjustRightInd w:val="0"/>
        <w:spacing w:after="15" w:line="20" w:lineRule="exact"/>
        <w:rPr>
          <w:sz w:val="2"/>
          <w:szCs w:val="2"/>
        </w:rPr>
      </w:pPr>
    </w:p>
    <w:p w:rsidR="00517886" w:rsidP="00B641A6" w:rsidRDefault="00517886" w14:paraId="30653F19" w14:textId="64C504C4">
      <w:pPr>
        <w:tabs>
          <w:tab w:val="left" w:pos="9360"/>
        </w:tabs>
        <w:autoSpaceDE w:val="0"/>
        <w:autoSpaceDN w:val="0"/>
        <w:adjustRightInd w:val="0"/>
        <w:rPr>
          <w:szCs w:val="24"/>
        </w:rPr>
      </w:pPr>
      <w:r w:rsidRPr="00A4440E">
        <w:rPr>
          <w:szCs w:val="24"/>
        </w:rPr>
        <w:t xml:space="preserve">If you do </w:t>
      </w:r>
      <w:r w:rsidRPr="00A4440E">
        <w:rPr>
          <w:spacing w:val="1"/>
          <w:szCs w:val="24"/>
        </w:rPr>
        <w:t>n</w:t>
      </w:r>
      <w:r w:rsidRPr="00A4440E">
        <w:rPr>
          <w:szCs w:val="24"/>
        </w:rPr>
        <w:t>ot qualify</w:t>
      </w:r>
      <w:r w:rsidRPr="00A4440E">
        <w:rPr>
          <w:spacing w:val="1"/>
          <w:szCs w:val="24"/>
        </w:rPr>
        <w:t xml:space="preserve"> </w:t>
      </w:r>
      <w:r w:rsidRPr="00A4440E">
        <w:rPr>
          <w:szCs w:val="24"/>
        </w:rPr>
        <w:t>for a s</w:t>
      </w:r>
      <w:r w:rsidRPr="00A4440E">
        <w:rPr>
          <w:spacing w:val="-1"/>
          <w:szCs w:val="24"/>
        </w:rPr>
        <w:t>m</w:t>
      </w:r>
      <w:r w:rsidRPr="00A4440E">
        <w:rPr>
          <w:szCs w:val="24"/>
        </w:rPr>
        <w:t xml:space="preserve">all </w:t>
      </w:r>
      <w:r w:rsidRPr="00A4440E">
        <w:rPr>
          <w:spacing w:val="-1"/>
          <w:szCs w:val="24"/>
        </w:rPr>
        <w:t>m</w:t>
      </w:r>
      <w:r w:rsidRPr="00A4440E">
        <w:rPr>
          <w:szCs w:val="24"/>
        </w:rPr>
        <w:t>anufacturer</w:t>
      </w:r>
      <w:r>
        <w:rPr>
          <w:szCs w:val="24"/>
        </w:rPr>
        <w:t xml:space="preserve"> or small government</w:t>
      </w:r>
      <w:r w:rsidRPr="00A4440E">
        <w:rPr>
          <w:szCs w:val="24"/>
        </w:rPr>
        <w:t xml:space="preserve"> exe</w:t>
      </w:r>
      <w:r w:rsidRPr="00A4440E">
        <w:rPr>
          <w:spacing w:val="-2"/>
          <w:szCs w:val="24"/>
        </w:rPr>
        <w:t>m</w:t>
      </w:r>
      <w:r w:rsidRPr="00A4440E">
        <w:rPr>
          <w:szCs w:val="24"/>
        </w:rPr>
        <w:t>ption, evaluate Question I in</w:t>
      </w:r>
      <w:r>
        <w:rPr>
          <w:szCs w:val="24"/>
        </w:rPr>
        <w:t xml:space="preserve"> Figure 2-3</w:t>
      </w:r>
      <w:r w:rsidRPr="00A4440E">
        <w:rPr>
          <w:szCs w:val="24"/>
        </w:rPr>
        <w:t xml:space="preserve"> (</w:t>
      </w:r>
      <w:r>
        <w:rPr>
          <w:szCs w:val="24"/>
        </w:rPr>
        <w:t>further</w:t>
      </w:r>
      <w:r>
        <w:rPr>
          <w:spacing w:val="-1"/>
          <w:szCs w:val="24"/>
        </w:rPr>
        <w:t xml:space="preserve"> </w:t>
      </w:r>
      <w:r>
        <w:rPr>
          <w:szCs w:val="24"/>
        </w:rPr>
        <w:t>described in</w:t>
      </w:r>
      <w:r>
        <w:rPr>
          <w:spacing w:val="-1"/>
          <w:szCs w:val="24"/>
        </w:rPr>
        <w:t xml:space="preserve"> </w:t>
      </w:r>
      <w:r>
        <w:rPr>
          <w:szCs w:val="24"/>
        </w:rPr>
        <w:t>Se</w:t>
      </w:r>
      <w:r>
        <w:rPr>
          <w:spacing w:val="2"/>
          <w:szCs w:val="24"/>
        </w:rPr>
        <w:t>c</w:t>
      </w:r>
      <w:r>
        <w:rPr>
          <w:szCs w:val="24"/>
        </w:rPr>
        <w:t xml:space="preserve">tion </w:t>
      </w:r>
      <w:r>
        <w:rPr>
          <w:szCs w:val="24"/>
        </w:rPr>
        <w:fldChar w:fldCharType="begin"/>
      </w:r>
      <w:r>
        <w:rPr>
          <w:szCs w:val="24"/>
        </w:rPr>
        <w:instrText xml:space="preserve"> REF _Ref421458037 \r \h </w:instrText>
      </w:r>
      <w:r>
        <w:rPr>
          <w:szCs w:val="24"/>
        </w:rPr>
      </w:r>
      <w:r>
        <w:rPr>
          <w:szCs w:val="24"/>
        </w:rPr>
        <w:fldChar w:fldCharType="separate"/>
      </w:r>
      <w:r>
        <w:rPr>
          <w:szCs w:val="24"/>
        </w:rPr>
        <w:t>2.2.5</w:t>
      </w:r>
      <w:r>
        <w:rPr>
          <w:szCs w:val="24"/>
        </w:rPr>
        <w:fldChar w:fldCharType="end"/>
      </w:r>
      <w:r>
        <w:rPr>
          <w:szCs w:val="24"/>
        </w:rPr>
        <w:t>)</w:t>
      </w:r>
      <w:r>
        <w:rPr>
          <w:spacing w:val="1"/>
          <w:szCs w:val="24"/>
        </w:rPr>
        <w:t xml:space="preserve"> </w:t>
      </w:r>
      <w:r>
        <w:rPr>
          <w:szCs w:val="24"/>
        </w:rPr>
        <w:t>to determine whether</w:t>
      </w:r>
      <w:r>
        <w:rPr>
          <w:spacing w:val="-2"/>
          <w:szCs w:val="24"/>
        </w:rPr>
        <w:t xml:space="preserve"> </w:t>
      </w:r>
      <w:r>
        <w:rPr>
          <w:szCs w:val="24"/>
        </w:rPr>
        <w:t>you qualify for any oth</w:t>
      </w:r>
      <w:r>
        <w:rPr>
          <w:spacing w:val="1"/>
          <w:szCs w:val="24"/>
        </w:rPr>
        <w:t>e</w:t>
      </w:r>
      <w:r>
        <w:rPr>
          <w:szCs w:val="24"/>
        </w:rPr>
        <w:t>r reporting exe</w:t>
      </w:r>
      <w:r>
        <w:rPr>
          <w:spacing w:val="-1"/>
          <w:szCs w:val="24"/>
        </w:rPr>
        <w:t>m</w:t>
      </w:r>
      <w:r>
        <w:rPr>
          <w:szCs w:val="24"/>
        </w:rPr>
        <w:t>ptions.</w:t>
      </w:r>
    </w:p>
    <w:p w:rsidRPr="00B641A6" w:rsidR="00B641A6" w:rsidP="00B641A6" w:rsidRDefault="00B641A6" w14:paraId="7554B834" w14:textId="77777777">
      <w:pPr>
        <w:pStyle w:val="NoSpacing"/>
      </w:pPr>
    </w:p>
    <w:p w:rsidR="00DE1F90" w:rsidP="00DE1F90" w:rsidRDefault="00D925CE" w14:paraId="0820A829" w14:textId="59E9C1B2">
      <w:pPr>
        <w:pStyle w:val="Heading3"/>
        <w:spacing w:before="0"/>
      </w:pPr>
      <w:bookmarkStart w:name="_Toc5380581" w:id="93"/>
      <w:bookmarkStart w:name="_Toc42176447" w:id="94"/>
      <w:bookmarkStart w:name="_Toc42177048" w:id="95"/>
      <w:r>
        <w:t xml:space="preserve">2.2.4. </w:t>
      </w:r>
      <w:r w:rsidR="00DE1F90">
        <w:t>Did You</w:t>
      </w:r>
      <w:r w:rsidR="00DE1F90">
        <w:rPr>
          <w:spacing w:val="-1"/>
        </w:rPr>
        <w:t xml:space="preserve"> </w:t>
      </w:r>
      <w:r w:rsidR="00DE1F90">
        <w:rPr>
          <w:spacing w:val="1"/>
        </w:rPr>
        <w:t>M</w:t>
      </w:r>
      <w:r w:rsidR="00DE1F90">
        <w:t xml:space="preserve">anufacture a Chemical </w:t>
      </w:r>
      <w:r w:rsidR="00DE1F90">
        <w:rPr>
          <w:spacing w:val="-1"/>
        </w:rPr>
        <w:t>S</w:t>
      </w:r>
      <w:r w:rsidR="00DE1F90">
        <w:t>ubstance</w:t>
      </w:r>
      <w:r w:rsidR="00DE1F90">
        <w:rPr>
          <w:spacing w:val="1"/>
        </w:rPr>
        <w:t xml:space="preserve"> that is the </w:t>
      </w:r>
      <w:r w:rsidR="00DE1F90">
        <w:t>Subject of Certain TSCA Actions? (Q</w:t>
      </w:r>
      <w:r w:rsidR="00DE1F90">
        <w:rPr>
          <w:spacing w:val="-1"/>
        </w:rPr>
        <w:t>u</w:t>
      </w:r>
      <w:r w:rsidR="00DE1F90">
        <w:t>estion H)</w:t>
      </w:r>
      <w:bookmarkEnd w:id="93"/>
      <w:bookmarkEnd w:id="94"/>
      <w:bookmarkEnd w:id="95"/>
    </w:p>
    <w:p w:rsidR="00DE1F90" w:rsidP="00B641A6" w:rsidRDefault="00DE1F90" w14:paraId="125EF1CF" w14:textId="4E2B9D66">
      <w:pPr>
        <w:tabs>
          <w:tab w:val="left" w:pos="9360"/>
        </w:tabs>
        <w:autoSpaceDE w:val="0"/>
        <w:autoSpaceDN w:val="0"/>
        <w:adjustRightInd w:val="0"/>
        <w:ind w:left="97"/>
        <w:rPr>
          <w:szCs w:val="24"/>
        </w:rPr>
      </w:pPr>
      <w:r>
        <w:rPr>
          <w:szCs w:val="24"/>
        </w:rPr>
        <w:t>S</w:t>
      </w:r>
      <w:r>
        <w:rPr>
          <w:spacing w:val="-1"/>
          <w:szCs w:val="24"/>
        </w:rPr>
        <w:t>m</w:t>
      </w:r>
      <w:r>
        <w:rPr>
          <w:szCs w:val="24"/>
        </w:rPr>
        <w:t xml:space="preserve">all </w:t>
      </w:r>
      <w:r>
        <w:rPr>
          <w:spacing w:val="-2"/>
          <w:szCs w:val="24"/>
        </w:rPr>
        <w:t>m</w:t>
      </w:r>
      <w:r>
        <w:rPr>
          <w:szCs w:val="24"/>
        </w:rPr>
        <w:t>anuf</w:t>
      </w:r>
      <w:r>
        <w:rPr>
          <w:spacing w:val="1"/>
          <w:szCs w:val="24"/>
        </w:rPr>
        <w:t>a</w:t>
      </w:r>
      <w:r>
        <w:rPr>
          <w:szCs w:val="24"/>
        </w:rPr>
        <w:t>ctur</w:t>
      </w:r>
      <w:r>
        <w:rPr>
          <w:spacing w:val="1"/>
          <w:szCs w:val="24"/>
        </w:rPr>
        <w:t>e</w:t>
      </w:r>
      <w:r>
        <w:rPr>
          <w:szCs w:val="24"/>
        </w:rPr>
        <w:t>rs and small governments are</w:t>
      </w:r>
      <w:r>
        <w:rPr>
          <w:spacing w:val="1"/>
          <w:szCs w:val="24"/>
        </w:rPr>
        <w:t xml:space="preserve"> </w:t>
      </w:r>
      <w:r>
        <w:rPr>
          <w:szCs w:val="24"/>
        </w:rPr>
        <w:t>exe</w:t>
      </w:r>
      <w:r>
        <w:rPr>
          <w:spacing w:val="-1"/>
          <w:szCs w:val="24"/>
        </w:rPr>
        <w:t>m</w:t>
      </w:r>
      <w:r>
        <w:rPr>
          <w:szCs w:val="24"/>
        </w:rPr>
        <w:t>pt from C</w:t>
      </w:r>
      <w:r>
        <w:rPr>
          <w:spacing w:val="1"/>
          <w:szCs w:val="24"/>
        </w:rPr>
        <w:t>D</w:t>
      </w:r>
      <w:r>
        <w:rPr>
          <w:szCs w:val="24"/>
        </w:rPr>
        <w:t>R requir</w:t>
      </w:r>
      <w:r>
        <w:rPr>
          <w:spacing w:val="1"/>
          <w:szCs w:val="24"/>
        </w:rPr>
        <w:t>e</w:t>
      </w:r>
      <w:r>
        <w:rPr>
          <w:spacing w:val="-1"/>
          <w:szCs w:val="24"/>
        </w:rPr>
        <w:t>m</w:t>
      </w:r>
      <w:r>
        <w:rPr>
          <w:szCs w:val="24"/>
        </w:rPr>
        <w:t xml:space="preserve">ents unless </w:t>
      </w:r>
      <w:r>
        <w:rPr>
          <w:spacing w:val="1"/>
          <w:szCs w:val="24"/>
        </w:rPr>
        <w:t>t</w:t>
      </w:r>
      <w:r>
        <w:rPr>
          <w:szCs w:val="24"/>
        </w:rPr>
        <w:t xml:space="preserve">hey </w:t>
      </w:r>
      <w:r>
        <w:rPr>
          <w:spacing w:val="-1"/>
          <w:szCs w:val="24"/>
        </w:rPr>
        <w:t>m</w:t>
      </w:r>
      <w:r>
        <w:rPr>
          <w:szCs w:val="24"/>
        </w:rPr>
        <w:t>anufactu</w:t>
      </w:r>
      <w:r>
        <w:rPr>
          <w:spacing w:val="1"/>
          <w:szCs w:val="24"/>
        </w:rPr>
        <w:t>r</w:t>
      </w:r>
      <w:r>
        <w:rPr>
          <w:szCs w:val="24"/>
        </w:rPr>
        <w:t>e (including impor</w:t>
      </w:r>
      <w:r>
        <w:rPr>
          <w:spacing w:val="1"/>
          <w:szCs w:val="24"/>
        </w:rPr>
        <w:t>t</w:t>
      </w:r>
      <w:r>
        <w:rPr>
          <w:szCs w:val="24"/>
        </w:rPr>
        <w:t>) a che</w:t>
      </w:r>
      <w:r>
        <w:rPr>
          <w:spacing w:val="-1"/>
          <w:szCs w:val="24"/>
        </w:rPr>
        <w:t>m</w:t>
      </w:r>
      <w:r>
        <w:rPr>
          <w:szCs w:val="24"/>
        </w:rPr>
        <w:t>ical substance that is t</w:t>
      </w:r>
      <w:r>
        <w:rPr>
          <w:spacing w:val="1"/>
          <w:szCs w:val="24"/>
        </w:rPr>
        <w:t>h</w:t>
      </w:r>
      <w:r>
        <w:rPr>
          <w:szCs w:val="24"/>
        </w:rPr>
        <w:t xml:space="preserve">e subject of a </w:t>
      </w:r>
      <w:r>
        <w:rPr>
          <w:spacing w:val="1"/>
          <w:szCs w:val="24"/>
        </w:rPr>
        <w:t>r</w:t>
      </w:r>
      <w:r>
        <w:rPr>
          <w:szCs w:val="24"/>
        </w:rPr>
        <w:t>ule proposed or</w:t>
      </w:r>
      <w:r>
        <w:rPr>
          <w:spacing w:val="1"/>
          <w:szCs w:val="24"/>
        </w:rPr>
        <w:t xml:space="preserve"> </w:t>
      </w:r>
      <w:r>
        <w:rPr>
          <w:szCs w:val="24"/>
        </w:rPr>
        <w:t>pro</w:t>
      </w:r>
      <w:r>
        <w:rPr>
          <w:spacing w:val="-1"/>
          <w:szCs w:val="24"/>
        </w:rPr>
        <w:t>m</w:t>
      </w:r>
      <w:r>
        <w:rPr>
          <w:szCs w:val="24"/>
        </w:rPr>
        <w:t xml:space="preserve">ulgated under sections 4, 5(b)(4), or 6 of TSCA, or is the subject of an order </w:t>
      </w:r>
      <w:r>
        <w:rPr>
          <w:spacing w:val="1"/>
          <w:szCs w:val="24"/>
        </w:rPr>
        <w:t>i</w:t>
      </w:r>
      <w:r>
        <w:rPr>
          <w:szCs w:val="24"/>
        </w:rPr>
        <w:t>n effect under sect</w:t>
      </w:r>
      <w:r>
        <w:rPr>
          <w:spacing w:val="1"/>
          <w:szCs w:val="24"/>
        </w:rPr>
        <w:t>i</w:t>
      </w:r>
      <w:r>
        <w:rPr>
          <w:szCs w:val="24"/>
        </w:rPr>
        <w:t xml:space="preserve">ons 4 or 5(e) of TSCA, or is the subject of relief </w:t>
      </w:r>
      <w:r>
        <w:rPr>
          <w:spacing w:val="1"/>
          <w:szCs w:val="24"/>
        </w:rPr>
        <w:t>t</w:t>
      </w:r>
      <w:r>
        <w:rPr>
          <w:szCs w:val="24"/>
        </w:rPr>
        <w:t>hat has b</w:t>
      </w:r>
      <w:r>
        <w:rPr>
          <w:spacing w:val="-1"/>
          <w:szCs w:val="24"/>
        </w:rPr>
        <w:t>e</w:t>
      </w:r>
      <w:r>
        <w:rPr>
          <w:szCs w:val="24"/>
        </w:rPr>
        <w:t>en granted under a c</w:t>
      </w:r>
      <w:r>
        <w:rPr>
          <w:spacing w:val="1"/>
          <w:szCs w:val="24"/>
        </w:rPr>
        <w:t>i</w:t>
      </w:r>
      <w:r>
        <w:rPr>
          <w:szCs w:val="24"/>
        </w:rPr>
        <w:t>vil</w:t>
      </w:r>
      <w:r>
        <w:rPr>
          <w:spacing w:val="-1"/>
          <w:szCs w:val="24"/>
        </w:rPr>
        <w:t xml:space="preserve"> </w:t>
      </w:r>
      <w:r>
        <w:rPr>
          <w:szCs w:val="24"/>
        </w:rPr>
        <w:t>action under sections</w:t>
      </w:r>
      <w:r>
        <w:rPr>
          <w:spacing w:val="1"/>
          <w:szCs w:val="24"/>
        </w:rPr>
        <w:t xml:space="preserve"> </w:t>
      </w:r>
      <w:r>
        <w:rPr>
          <w:szCs w:val="24"/>
        </w:rPr>
        <w:t>5 or 7 of TSCA (40 CFR 711.9 and TS</w:t>
      </w:r>
      <w:r>
        <w:rPr>
          <w:spacing w:val="-1"/>
          <w:szCs w:val="24"/>
        </w:rPr>
        <w:t>C</w:t>
      </w:r>
      <w:r>
        <w:rPr>
          <w:szCs w:val="24"/>
        </w:rPr>
        <w:t>A section 8(a)(3)(A)(ii)). The SRS provides information regarding which che</w:t>
      </w:r>
      <w:r>
        <w:rPr>
          <w:spacing w:val="1"/>
          <w:szCs w:val="24"/>
        </w:rPr>
        <w:t>m</w:t>
      </w:r>
      <w:r>
        <w:rPr>
          <w:szCs w:val="24"/>
        </w:rPr>
        <w:t>ical su</w:t>
      </w:r>
      <w:r>
        <w:rPr>
          <w:spacing w:val="1"/>
          <w:szCs w:val="24"/>
        </w:rPr>
        <w:t>b</w:t>
      </w:r>
      <w:r>
        <w:rPr>
          <w:szCs w:val="24"/>
        </w:rPr>
        <w:t xml:space="preserve">stances </w:t>
      </w:r>
      <w:r>
        <w:rPr>
          <w:spacing w:val="-1"/>
          <w:szCs w:val="24"/>
        </w:rPr>
        <w:t>f</w:t>
      </w:r>
      <w:r>
        <w:rPr>
          <w:szCs w:val="24"/>
        </w:rPr>
        <w:t>all into these groups.</w:t>
      </w:r>
      <w:r>
        <w:rPr>
          <w:spacing w:val="59"/>
          <w:szCs w:val="24"/>
        </w:rPr>
        <w:t xml:space="preserve"> </w:t>
      </w:r>
      <w:r w:rsidRPr="00B556E1">
        <w:rPr>
          <w:szCs w:val="24"/>
        </w:rPr>
        <w:fldChar w:fldCharType="begin"/>
      </w:r>
      <w:r w:rsidRPr="00B556E1">
        <w:rPr>
          <w:spacing w:val="59"/>
          <w:szCs w:val="24"/>
        </w:rPr>
        <w:instrText xml:space="preserve"> REF _Ref421463687 \h </w:instrText>
      </w:r>
      <w:r w:rsidRPr="00807A4D">
        <w:rPr>
          <w:szCs w:val="24"/>
        </w:rPr>
        <w:instrText xml:space="preserve"> \* MERGEFORMAT </w:instrText>
      </w:r>
      <w:r w:rsidRPr="00B556E1">
        <w:rPr>
          <w:szCs w:val="24"/>
        </w:rPr>
      </w:r>
      <w:r w:rsidRPr="00B556E1">
        <w:rPr>
          <w:szCs w:val="24"/>
        </w:rPr>
        <w:fldChar w:fldCharType="separate"/>
      </w:r>
      <w:r w:rsidRPr="00A41608">
        <w:rPr>
          <w:szCs w:val="24"/>
        </w:rPr>
        <w:t xml:space="preserve">Table </w:t>
      </w:r>
      <w:r w:rsidRPr="00A41608">
        <w:rPr>
          <w:noProof/>
          <w:szCs w:val="24"/>
        </w:rPr>
        <w:t>2</w:t>
      </w:r>
      <w:r w:rsidRPr="00A41608">
        <w:rPr>
          <w:noProof/>
          <w:szCs w:val="24"/>
        </w:rPr>
        <w:noBreakHyphen/>
        <w:t>4</w:t>
      </w:r>
      <w:r w:rsidRPr="00B556E1">
        <w:rPr>
          <w:szCs w:val="24"/>
        </w:rPr>
        <w:fldChar w:fldCharType="end"/>
      </w:r>
      <w:r>
        <w:rPr>
          <w:szCs w:val="24"/>
        </w:rPr>
        <w:t xml:space="preserve"> provides e</w:t>
      </w:r>
      <w:r>
        <w:rPr>
          <w:spacing w:val="-1"/>
          <w:szCs w:val="24"/>
        </w:rPr>
        <w:t>x</w:t>
      </w:r>
      <w:r>
        <w:rPr>
          <w:szCs w:val="24"/>
        </w:rPr>
        <w:t>amples of how the s</w:t>
      </w:r>
      <w:r>
        <w:rPr>
          <w:spacing w:val="-1"/>
          <w:szCs w:val="24"/>
        </w:rPr>
        <w:t>m</w:t>
      </w:r>
      <w:r>
        <w:rPr>
          <w:spacing w:val="1"/>
          <w:szCs w:val="24"/>
        </w:rPr>
        <w:t>a</w:t>
      </w:r>
      <w:r>
        <w:rPr>
          <w:szCs w:val="24"/>
        </w:rPr>
        <w:t xml:space="preserve">ll </w:t>
      </w:r>
      <w:r>
        <w:rPr>
          <w:spacing w:val="-1"/>
          <w:szCs w:val="24"/>
        </w:rPr>
        <w:t>m</w:t>
      </w:r>
      <w:r>
        <w:rPr>
          <w:szCs w:val="24"/>
        </w:rPr>
        <w:t>anufac</w:t>
      </w:r>
      <w:r>
        <w:rPr>
          <w:spacing w:val="1"/>
          <w:szCs w:val="24"/>
        </w:rPr>
        <w:t>t</w:t>
      </w:r>
      <w:r>
        <w:rPr>
          <w:szCs w:val="24"/>
        </w:rPr>
        <w:t>uring exemption applies.</w:t>
      </w:r>
    </w:p>
    <w:p w:rsidRPr="00B641A6" w:rsidR="00B641A6" w:rsidP="00B641A6" w:rsidRDefault="00B641A6" w14:paraId="7A422B4B" w14:textId="77777777">
      <w:pPr>
        <w:pStyle w:val="NoSpacing"/>
      </w:pPr>
    </w:p>
    <w:p w:rsidR="00DE1F90" w:rsidP="00DE1F90" w:rsidRDefault="00DE1F90" w14:paraId="4ACB0FC7" w14:textId="77777777">
      <w:pPr>
        <w:autoSpaceDE w:val="0"/>
        <w:autoSpaceDN w:val="0"/>
        <w:adjustRightInd w:val="0"/>
        <w:spacing w:after="18" w:line="20" w:lineRule="exact"/>
        <w:rPr>
          <w:sz w:val="2"/>
          <w:szCs w:val="2"/>
        </w:rPr>
      </w:pPr>
    </w:p>
    <w:p w:rsidR="00DE1F90" w:rsidP="00B641A6" w:rsidRDefault="00DE1F90" w14:paraId="6B2926EC" w14:textId="77777777">
      <w:pPr>
        <w:pStyle w:val="Caption"/>
        <w:spacing w:before="40" w:after="40"/>
        <w:rPr>
          <w:szCs w:val="24"/>
        </w:rPr>
      </w:pPr>
      <w:bookmarkStart w:name="_Ref421463687" w:id="96"/>
      <w:bookmarkStart w:name="Table2_4" w:id="97"/>
      <w:bookmarkStart w:name="_Toc42176586" w:id="98"/>
      <w:r w:rsidRPr="006F574F">
        <w:lastRenderedPageBreak/>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bookmarkEnd w:id="96"/>
      <w:bookmarkEnd w:id="97"/>
      <w:r>
        <w:t>. Small Manufactur</w:t>
      </w:r>
      <w:r>
        <w:rPr>
          <w:spacing w:val="1"/>
        </w:rPr>
        <w:t>e</w:t>
      </w:r>
      <w:r>
        <w:t>r or Small Government Exemption (Examples using 2020 CDR Reporting)</w:t>
      </w:r>
      <w:bookmarkEnd w:id="98"/>
      <w:r>
        <w:rPr>
          <w:rStyle w:val="CommentReference"/>
          <w:rFonts w:ascii="Calibri" w:hAnsi="Calibri"/>
          <w:b w:val="0"/>
          <w:bCs w:val="0"/>
        </w:rPr>
        <w:t xml:space="preserve"> </w:t>
      </w:r>
    </w:p>
    <w:p w:rsidR="00DE1F90" w:rsidP="00B641A6" w:rsidRDefault="00DE1F90" w14:paraId="24C71F93" w14:textId="77777777">
      <w:pPr>
        <w:autoSpaceDE w:val="0"/>
        <w:autoSpaceDN w:val="0"/>
        <w:adjustRightInd w:val="0"/>
        <w:spacing w:before="40" w:after="40" w:line="20" w:lineRule="exact"/>
        <w:rPr>
          <w:sz w:val="2"/>
          <w:szCs w:val="2"/>
        </w:rPr>
      </w:pPr>
    </w:p>
    <w:tbl>
      <w:tblPr>
        <w:tblW w:w="9974" w:type="dxa"/>
        <w:tblInd w:w="8" w:type="dxa"/>
        <w:tblLayout w:type="fixed"/>
        <w:tblCellMar>
          <w:left w:w="0" w:type="dxa"/>
          <w:right w:w="0" w:type="dxa"/>
        </w:tblCellMar>
        <w:tblLook w:val="0000" w:firstRow="0" w:lastRow="0" w:firstColumn="0" w:lastColumn="0" w:noHBand="0" w:noVBand="0"/>
      </w:tblPr>
      <w:tblGrid>
        <w:gridCol w:w="5050"/>
        <w:gridCol w:w="4924"/>
      </w:tblGrid>
      <w:tr w:rsidRPr="008814F8" w:rsidR="00DE1F90" w:rsidTr="00B641A6" w14:paraId="5E7C715E" w14:textId="77777777">
        <w:trPr>
          <w:trHeight w:val="420" w:hRule="exact"/>
          <w:tblHeader/>
        </w:trPr>
        <w:tc>
          <w:tcPr>
            <w:tcW w:w="5050" w:type="dxa"/>
            <w:tcBorders>
              <w:top w:val="double" w:color="auto" w:sz="2" w:space="0"/>
              <w:left w:val="double" w:color="auto" w:sz="2" w:space="0"/>
              <w:bottom w:val="single" w:color="auto" w:sz="6" w:space="0"/>
              <w:right w:val="single" w:color="auto" w:sz="6" w:space="0"/>
            </w:tcBorders>
            <w:shd w:val="clear" w:color="auto" w:fill="D9D9D9" w:themeFill="background1" w:themeFillShade="D9"/>
          </w:tcPr>
          <w:p w:rsidR="00DE1F90" w:rsidP="00B641A6" w:rsidRDefault="00DE1F90" w14:paraId="06131D5A" w14:textId="77777777">
            <w:pPr>
              <w:autoSpaceDE w:val="0"/>
              <w:autoSpaceDN w:val="0"/>
              <w:adjustRightInd w:val="0"/>
              <w:spacing w:before="40" w:after="40" w:line="231" w:lineRule="auto"/>
              <w:ind w:left="2035" w:right="-20"/>
              <w:rPr>
                <w:szCs w:val="24"/>
              </w:rPr>
            </w:pPr>
            <w:r>
              <w:rPr>
                <w:b/>
                <w:bCs/>
                <w:sz w:val="20"/>
                <w:szCs w:val="20"/>
              </w:rPr>
              <w:t>Descript</w:t>
            </w:r>
            <w:r>
              <w:rPr>
                <w:b/>
                <w:bCs/>
                <w:spacing w:val="-1"/>
                <w:sz w:val="20"/>
                <w:szCs w:val="20"/>
              </w:rPr>
              <w:t>i</w:t>
            </w:r>
            <w:r>
              <w:rPr>
                <w:b/>
                <w:bCs/>
                <w:sz w:val="20"/>
                <w:szCs w:val="20"/>
              </w:rPr>
              <w:t>on</w:t>
            </w:r>
          </w:p>
          <w:p w:rsidR="00DE1F90" w:rsidP="00B641A6" w:rsidRDefault="00DE1F90" w14:paraId="2659BC18" w14:textId="77777777">
            <w:pPr>
              <w:autoSpaceDE w:val="0"/>
              <w:autoSpaceDN w:val="0"/>
              <w:adjustRightInd w:val="0"/>
              <w:spacing w:before="40" w:after="40" w:line="231" w:lineRule="auto"/>
              <w:ind w:left="2035" w:right="-20"/>
              <w:rPr>
                <w:szCs w:val="24"/>
              </w:rPr>
            </w:pPr>
          </w:p>
        </w:tc>
        <w:tc>
          <w:tcPr>
            <w:tcW w:w="4924" w:type="dxa"/>
            <w:tcBorders>
              <w:top w:val="double" w:color="auto" w:sz="2" w:space="0"/>
              <w:left w:val="single" w:color="auto" w:sz="6" w:space="0"/>
              <w:bottom w:val="single" w:color="auto" w:sz="6" w:space="0"/>
              <w:right w:val="double" w:color="auto" w:sz="2" w:space="0"/>
            </w:tcBorders>
            <w:shd w:val="clear" w:color="auto" w:fill="D9D9D9" w:themeFill="background1" w:themeFillShade="D9"/>
          </w:tcPr>
          <w:p w:rsidR="00DE1F90" w:rsidP="00B641A6" w:rsidRDefault="00DE1F90" w14:paraId="5B91B99C" w14:textId="77777777">
            <w:pPr>
              <w:autoSpaceDE w:val="0"/>
              <w:autoSpaceDN w:val="0"/>
              <w:adjustRightInd w:val="0"/>
              <w:spacing w:before="40" w:after="40" w:line="231" w:lineRule="auto"/>
              <w:ind w:left="916" w:right="-20"/>
              <w:rPr>
                <w:szCs w:val="24"/>
              </w:rPr>
            </w:pPr>
            <w:r>
              <w:rPr>
                <w:b/>
                <w:bCs/>
                <w:sz w:val="20"/>
                <w:szCs w:val="20"/>
              </w:rPr>
              <w:t>Reporting</w:t>
            </w:r>
            <w:r>
              <w:rPr>
                <w:sz w:val="20"/>
                <w:szCs w:val="20"/>
              </w:rPr>
              <w:t xml:space="preserve"> </w:t>
            </w:r>
            <w:r>
              <w:rPr>
                <w:b/>
                <w:bCs/>
                <w:sz w:val="20"/>
                <w:szCs w:val="20"/>
              </w:rPr>
              <w:t>Requirement</w:t>
            </w:r>
          </w:p>
          <w:p w:rsidR="00DE1F90" w:rsidP="00B641A6" w:rsidRDefault="00DE1F90" w14:paraId="008A8E29" w14:textId="77777777">
            <w:pPr>
              <w:autoSpaceDE w:val="0"/>
              <w:autoSpaceDN w:val="0"/>
              <w:adjustRightInd w:val="0"/>
              <w:spacing w:before="40" w:after="40" w:line="231" w:lineRule="auto"/>
              <w:ind w:left="916" w:right="-20"/>
              <w:rPr>
                <w:szCs w:val="24"/>
              </w:rPr>
            </w:pPr>
          </w:p>
        </w:tc>
      </w:tr>
      <w:tr w:rsidRPr="008814F8" w:rsidR="00DE1F90" w:rsidTr="00B641A6" w14:paraId="23C44A3D" w14:textId="77777777">
        <w:trPr>
          <w:trHeight w:val="1410" w:hRule="exact"/>
        </w:trPr>
        <w:tc>
          <w:tcPr>
            <w:tcW w:w="5050" w:type="dxa"/>
            <w:tcBorders>
              <w:top w:val="single" w:color="auto" w:sz="6" w:space="0"/>
              <w:left w:val="double" w:color="auto" w:sz="2" w:space="0"/>
              <w:bottom w:val="single" w:color="auto" w:sz="5" w:space="0"/>
              <w:right w:val="single" w:color="auto" w:sz="5" w:space="0"/>
            </w:tcBorders>
            <w:shd w:val="clear" w:color="auto" w:fill="auto"/>
          </w:tcPr>
          <w:p w:rsidRPr="00AB4954" w:rsidR="00DE1F90" w:rsidP="00B641A6" w:rsidRDefault="00DE1F90" w14:paraId="6715FF02" w14:textId="77B8A466">
            <w:pPr>
              <w:autoSpaceDE w:val="0"/>
              <w:autoSpaceDN w:val="0"/>
              <w:adjustRightInd w:val="0"/>
              <w:spacing w:before="40" w:after="40" w:line="245" w:lineRule="auto"/>
              <w:ind w:left="97" w:right="184"/>
              <w:rPr>
                <w:szCs w:val="24"/>
              </w:rPr>
            </w:pPr>
            <w:r w:rsidRPr="00AB4954">
              <w:rPr>
                <w:sz w:val="20"/>
                <w:szCs w:val="20"/>
              </w:rPr>
              <w:t>Site 1</w:t>
            </w:r>
            <w:r w:rsidRPr="00AB4954">
              <w:rPr>
                <w:spacing w:val="1"/>
                <w:sz w:val="20"/>
                <w:szCs w:val="20"/>
              </w:rPr>
              <w:t>,</w:t>
            </w:r>
            <w:r w:rsidRPr="00AB4954">
              <w:rPr>
                <w:sz w:val="20"/>
                <w:szCs w:val="20"/>
              </w:rPr>
              <w:t xml:space="preserve"> which is one of seve</w:t>
            </w:r>
            <w:r w:rsidRPr="00AB4954">
              <w:rPr>
                <w:spacing w:val="1"/>
                <w:sz w:val="20"/>
                <w:szCs w:val="20"/>
              </w:rPr>
              <w:t>r</w:t>
            </w:r>
            <w:r w:rsidRPr="00AB4954">
              <w:rPr>
                <w:sz w:val="20"/>
                <w:szCs w:val="20"/>
              </w:rPr>
              <w:t>al si</w:t>
            </w:r>
            <w:r w:rsidRPr="00AB4954">
              <w:rPr>
                <w:spacing w:val="-1"/>
                <w:sz w:val="20"/>
                <w:szCs w:val="20"/>
              </w:rPr>
              <w:t>t</w:t>
            </w:r>
            <w:r w:rsidRPr="00AB4954">
              <w:rPr>
                <w:sz w:val="20"/>
                <w:szCs w:val="20"/>
              </w:rPr>
              <w:t xml:space="preserve">es </w:t>
            </w:r>
            <w:r w:rsidRPr="00AB4954">
              <w:rPr>
                <w:spacing w:val="1"/>
                <w:sz w:val="20"/>
                <w:szCs w:val="20"/>
              </w:rPr>
              <w:t>o</w:t>
            </w:r>
            <w:r w:rsidRPr="00AB4954">
              <w:rPr>
                <w:sz w:val="20"/>
                <w:szCs w:val="20"/>
              </w:rPr>
              <w:t xml:space="preserve">wned </w:t>
            </w:r>
            <w:r w:rsidRPr="00AB4954">
              <w:rPr>
                <w:spacing w:val="-1"/>
                <w:sz w:val="20"/>
                <w:szCs w:val="20"/>
              </w:rPr>
              <w:t>b</w:t>
            </w:r>
            <w:r w:rsidRPr="00AB4954">
              <w:rPr>
                <w:sz w:val="20"/>
                <w:szCs w:val="20"/>
              </w:rPr>
              <w:t>y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A, ha</w:t>
            </w:r>
            <w:r w:rsidRPr="00AB4954">
              <w:rPr>
                <w:spacing w:val="1"/>
                <w:sz w:val="20"/>
                <w:szCs w:val="20"/>
              </w:rPr>
              <w:t>d</w:t>
            </w:r>
            <w:r w:rsidRPr="00AB4954">
              <w:rPr>
                <w:sz w:val="20"/>
                <w:szCs w:val="20"/>
              </w:rPr>
              <w:t xml:space="preserve"> a production volu</w:t>
            </w:r>
            <w:r w:rsidRPr="00AB4954">
              <w:rPr>
                <w:spacing w:val="-1"/>
                <w:sz w:val="20"/>
                <w:szCs w:val="20"/>
              </w:rPr>
              <w:t>m</w:t>
            </w:r>
            <w:r w:rsidRPr="00AB4954">
              <w:rPr>
                <w:sz w:val="20"/>
                <w:szCs w:val="20"/>
              </w:rPr>
              <w:t xml:space="preserve">e </w:t>
            </w:r>
            <w:r w:rsidRPr="00AB4954">
              <w:rPr>
                <w:spacing w:val="1"/>
                <w:sz w:val="20"/>
                <w:szCs w:val="20"/>
              </w:rPr>
              <w:t>o</w:t>
            </w:r>
            <w:r w:rsidRPr="00AB4954">
              <w:rPr>
                <w:sz w:val="20"/>
                <w:szCs w:val="20"/>
              </w:rPr>
              <w:t>f 120,000</w:t>
            </w:r>
            <w:r w:rsidRPr="00AB4954">
              <w:rPr>
                <w:spacing w:val="1"/>
                <w:sz w:val="20"/>
                <w:szCs w:val="20"/>
              </w:rPr>
              <w:t xml:space="preserve"> </w:t>
            </w:r>
            <w:r w:rsidRPr="00AB4954">
              <w:rPr>
                <w:sz w:val="20"/>
                <w:szCs w:val="20"/>
              </w:rPr>
              <w:t>lb of</w:t>
            </w:r>
            <w:r w:rsidRPr="00AB4954">
              <w:rPr>
                <w:spacing w:val="1"/>
                <w:sz w:val="20"/>
                <w:szCs w:val="20"/>
              </w:rPr>
              <w:t xml:space="preserve">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ical X in 20</w:t>
            </w:r>
            <w:r>
              <w:rPr>
                <w:sz w:val="20"/>
                <w:szCs w:val="20"/>
              </w:rPr>
              <w:t>17</w:t>
            </w:r>
            <w:r w:rsidRPr="00327DBE">
              <w:rPr>
                <w:sz w:val="20"/>
                <w:szCs w:val="20"/>
              </w:rPr>
              <w:t>. The to</w:t>
            </w:r>
            <w:r w:rsidRPr="00AB4954">
              <w:rPr>
                <w:spacing w:val="1"/>
                <w:sz w:val="20"/>
                <w:szCs w:val="20"/>
              </w:rPr>
              <w:t>t</w:t>
            </w:r>
            <w:r w:rsidRPr="00AB4954">
              <w:rPr>
                <w:sz w:val="20"/>
                <w:szCs w:val="20"/>
              </w:rPr>
              <w:t>al ann</w:t>
            </w:r>
            <w:r w:rsidRPr="00AB4954">
              <w:rPr>
                <w:spacing w:val="1"/>
                <w:sz w:val="20"/>
                <w:szCs w:val="20"/>
              </w:rPr>
              <w:t>u</w:t>
            </w:r>
            <w:r w:rsidRPr="00AB4954">
              <w:rPr>
                <w:sz w:val="20"/>
                <w:szCs w:val="20"/>
              </w:rPr>
              <w:t>al sales of Co</w:t>
            </w:r>
            <w:r w:rsidRPr="00AB4954">
              <w:rPr>
                <w:spacing w:val="-1"/>
                <w:sz w:val="20"/>
                <w:szCs w:val="20"/>
              </w:rPr>
              <w:t>m</w:t>
            </w:r>
            <w:r w:rsidRPr="00AB4954">
              <w:rPr>
                <w:sz w:val="20"/>
                <w:szCs w:val="20"/>
              </w:rPr>
              <w:t>pany A</w:t>
            </w:r>
            <w:r w:rsidRPr="00AB4954">
              <w:rPr>
                <w:spacing w:val="-1"/>
                <w:sz w:val="20"/>
                <w:szCs w:val="20"/>
              </w:rPr>
              <w:t xml:space="preserve"> </w:t>
            </w:r>
            <w:r w:rsidRPr="00AB4954">
              <w:rPr>
                <w:sz w:val="20"/>
                <w:szCs w:val="20"/>
              </w:rPr>
              <w:t>(all sites co</w:t>
            </w:r>
            <w:r w:rsidRPr="00AB4954">
              <w:rPr>
                <w:spacing w:val="-1"/>
                <w:sz w:val="20"/>
                <w:szCs w:val="20"/>
              </w:rPr>
              <w:t>m</w:t>
            </w:r>
            <w:r w:rsidRPr="00AB4954">
              <w:rPr>
                <w:sz w:val="20"/>
                <w:szCs w:val="20"/>
              </w:rPr>
              <w:t>bin</w:t>
            </w:r>
            <w:r w:rsidRPr="00AB4954">
              <w:rPr>
                <w:spacing w:val="1"/>
                <w:sz w:val="20"/>
                <w:szCs w:val="20"/>
              </w:rPr>
              <w:t>e</w:t>
            </w:r>
            <w:r w:rsidRPr="00AB4954">
              <w:rPr>
                <w:sz w:val="20"/>
                <w:szCs w:val="20"/>
              </w:rPr>
              <w:t>d) were $</w:t>
            </w:r>
            <w:r>
              <w:rPr>
                <w:sz w:val="20"/>
                <w:szCs w:val="20"/>
              </w:rPr>
              <w:t>7</w:t>
            </w:r>
            <w:r w:rsidRPr="00AB4954">
              <w:rPr>
                <w:sz w:val="20"/>
                <w:szCs w:val="20"/>
              </w:rPr>
              <w:t xml:space="preserve">.25 </w:t>
            </w:r>
            <w:r w:rsidRPr="00AB4954">
              <w:rPr>
                <w:spacing w:val="-1"/>
                <w:sz w:val="20"/>
                <w:szCs w:val="20"/>
              </w:rPr>
              <w:t>m</w:t>
            </w:r>
            <w:r w:rsidRPr="00AB4954">
              <w:rPr>
                <w:sz w:val="20"/>
                <w:szCs w:val="20"/>
              </w:rPr>
              <w:t>illion</w:t>
            </w:r>
            <w:r w:rsidRPr="00AB4954">
              <w:rPr>
                <w:spacing w:val="1"/>
                <w:sz w:val="20"/>
                <w:szCs w:val="20"/>
              </w:rPr>
              <w:t xml:space="preserve"> </w:t>
            </w:r>
            <w:r w:rsidRPr="00AB4954">
              <w:rPr>
                <w:sz w:val="20"/>
                <w:szCs w:val="20"/>
              </w:rPr>
              <w:t xml:space="preserve">in </w:t>
            </w:r>
            <w:r w:rsidRPr="00AB4954">
              <w:rPr>
                <w:spacing w:val="1"/>
                <w:sz w:val="20"/>
                <w:szCs w:val="20"/>
              </w:rPr>
              <w:t>2</w:t>
            </w:r>
            <w:r w:rsidRPr="00AB4954">
              <w:rPr>
                <w:sz w:val="20"/>
                <w:szCs w:val="20"/>
              </w:rPr>
              <w:t>0</w:t>
            </w:r>
            <w:r>
              <w:rPr>
                <w:sz w:val="20"/>
                <w:szCs w:val="20"/>
              </w:rPr>
              <w:t>19</w:t>
            </w:r>
            <w:r w:rsidRPr="00327DBE">
              <w:rPr>
                <w:sz w:val="20"/>
                <w:szCs w:val="20"/>
              </w:rPr>
              <w:t>.</w:t>
            </w:r>
          </w:p>
          <w:p w:rsidRPr="00AB4954" w:rsidR="00DE1F90" w:rsidP="00B641A6" w:rsidRDefault="00DE1F90" w14:paraId="51E4EF8E" w14:textId="77777777">
            <w:pPr>
              <w:autoSpaceDE w:val="0"/>
              <w:autoSpaceDN w:val="0"/>
              <w:adjustRightInd w:val="0"/>
              <w:spacing w:before="40" w:after="40" w:line="245" w:lineRule="auto"/>
              <w:ind w:left="97" w:right="184"/>
              <w:rPr>
                <w:szCs w:val="24"/>
              </w:rPr>
            </w:pPr>
          </w:p>
        </w:tc>
        <w:tc>
          <w:tcPr>
            <w:tcW w:w="4924" w:type="dxa"/>
            <w:tcBorders>
              <w:top w:val="single" w:color="auto" w:sz="6" w:space="0"/>
              <w:left w:val="single" w:color="auto" w:sz="5" w:space="0"/>
              <w:bottom w:val="single" w:color="auto" w:sz="5" w:space="0"/>
              <w:right w:val="double" w:color="auto" w:sz="2" w:space="0"/>
            </w:tcBorders>
            <w:shd w:val="clear" w:color="auto" w:fill="auto"/>
          </w:tcPr>
          <w:p w:rsidRPr="00AB4954" w:rsidR="00DE1F90" w:rsidP="00B641A6" w:rsidRDefault="00DE1F90" w14:paraId="56C6EFC7" w14:textId="540F20FF">
            <w:pPr>
              <w:autoSpaceDE w:val="0"/>
              <w:autoSpaceDN w:val="0"/>
              <w:adjustRightInd w:val="0"/>
              <w:spacing w:before="40" w:after="40" w:line="239" w:lineRule="auto"/>
              <w:ind w:left="87" w:right="137"/>
              <w:rPr>
                <w:szCs w:val="24"/>
              </w:rPr>
            </w:pPr>
            <w:r w:rsidRPr="00AB4954">
              <w:rPr>
                <w:sz w:val="20"/>
                <w:szCs w:val="20"/>
              </w:rPr>
              <w:t>Site 1</w:t>
            </w:r>
            <w:r w:rsidRPr="00AB4954">
              <w:rPr>
                <w:spacing w:val="1"/>
                <w:sz w:val="20"/>
                <w:szCs w:val="20"/>
              </w:rPr>
              <w:t xml:space="preserve"> </w:t>
            </w:r>
            <w:r w:rsidRPr="00AB4954">
              <w:rPr>
                <w:sz w:val="20"/>
                <w:szCs w:val="20"/>
              </w:rPr>
              <w:t>is not req</w:t>
            </w:r>
            <w:r w:rsidRPr="00AB4954">
              <w:rPr>
                <w:spacing w:val="1"/>
                <w:sz w:val="20"/>
                <w:szCs w:val="20"/>
              </w:rPr>
              <w:t>u</w:t>
            </w:r>
            <w:r w:rsidRPr="00AB4954">
              <w:rPr>
                <w:sz w:val="20"/>
                <w:szCs w:val="20"/>
              </w:rPr>
              <w:t>ired to repo</w:t>
            </w:r>
            <w:r w:rsidRPr="00AB4954">
              <w:rPr>
                <w:spacing w:val="-1"/>
                <w:sz w:val="20"/>
                <w:szCs w:val="20"/>
              </w:rPr>
              <w:t>r</w:t>
            </w:r>
            <w:r w:rsidRPr="00AB4954">
              <w:rPr>
                <w:sz w:val="20"/>
                <w:szCs w:val="20"/>
              </w:rPr>
              <w:t>t for Che</w:t>
            </w:r>
            <w:r w:rsidRPr="00AB4954">
              <w:rPr>
                <w:spacing w:val="-2"/>
                <w:sz w:val="20"/>
                <w:szCs w:val="20"/>
              </w:rPr>
              <w:t>m</w:t>
            </w:r>
            <w:r w:rsidRPr="00AB4954">
              <w:rPr>
                <w:sz w:val="20"/>
                <w:szCs w:val="20"/>
              </w:rPr>
              <w:t>ica</w:t>
            </w:r>
            <w:r w:rsidRPr="00AB4954">
              <w:rPr>
                <w:spacing w:val="1"/>
                <w:sz w:val="20"/>
                <w:szCs w:val="20"/>
              </w:rPr>
              <w:t>l</w:t>
            </w:r>
            <w:r w:rsidRPr="00AB4954">
              <w:rPr>
                <w:sz w:val="20"/>
                <w:szCs w:val="20"/>
              </w:rPr>
              <w:t xml:space="preserve"> X beca</w:t>
            </w:r>
            <w:r w:rsidRPr="00AB4954">
              <w:rPr>
                <w:spacing w:val="1"/>
                <w:sz w:val="20"/>
                <w:szCs w:val="20"/>
              </w:rPr>
              <w:t>u</w:t>
            </w:r>
            <w:r w:rsidRPr="00AB4954">
              <w:rPr>
                <w:sz w:val="20"/>
                <w:szCs w:val="20"/>
              </w:rPr>
              <w:t>se co</w:t>
            </w:r>
            <w:r w:rsidRPr="00AB4954">
              <w:rPr>
                <w:spacing w:val="-1"/>
                <w:sz w:val="20"/>
                <w:szCs w:val="20"/>
              </w:rPr>
              <w:t>m</w:t>
            </w:r>
            <w:r w:rsidRPr="00AB4954">
              <w:rPr>
                <w:sz w:val="20"/>
                <w:szCs w:val="20"/>
              </w:rPr>
              <w:t>bine</w:t>
            </w:r>
            <w:r w:rsidRPr="00AB4954">
              <w:rPr>
                <w:spacing w:val="1"/>
                <w:sz w:val="20"/>
                <w:szCs w:val="20"/>
              </w:rPr>
              <w:t>d</w:t>
            </w:r>
            <w:r w:rsidRPr="00AB4954">
              <w:rPr>
                <w:sz w:val="20"/>
                <w:szCs w:val="20"/>
              </w:rPr>
              <w:t xml:space="preserve"> sal</w:t>
            </w:r>
            <w:r w:rsidRPr="00AB4954">
              <w:rPr>
                <w:spacing w:val="1"/>
                <w:sz w:val="20"/>
                <w:szCs w:val="20"/>
              </w:rPr>
              <w:t>e</w:t>
            </w:r>
            <w:r w:rsidRPr="00AB4954">
              <w:rPr>
                <w:sz w:val="20"/>
                <w:szCs w:val="20"/>
              </w:rPr>
              <w:t>s i</w:t>
            </w:r>
            <w:r w:rsidRPr="00AB4954">
              <w:rPr>
                <w:spacing w:val="1"/>
                <w:sz w:val="20"/>
                <w:szCs w:val="20"/>
              </w:rPr>
              <w:t>n</w:t>
            </w:r>
            <w:r w:rsidRPr="00AB4954">
              <w:rPr>
                <w:sz w:val="20"/>
                <w:szCs w:val="20"/>
              </w:rPr>
              <w:t xml:space="preserve"> 20</w:t>
            </w:r>
            <w:r>
              <w:rPr>
                <w:spacing w:val="1"/>
                <w:sz w:val="20"/>
                <w:szCs w:val="20"/>
              </w:rPr>
              <w:t>19</w:t>
            </w:r>
            <w:r w:rsidRPr="00327DBE">
              <w:rPr>
                <w:sz w:val="20"/>
                <w:szCs w:val="20"/>
              </w:rPr>
              <w:t xml:space="preserve"> did</w:t>
            </w:r>
            <w:r w:rsidRPr="00AB4954">
              <w:rPr>
                <w:spacing w:val="-1"/>
                <w:sz w:val="20"/>
                <w:szCs w:val="20"/>
              </w:rPr>
              <w:t xml:space="preserve"> </w:t>
            </w:r>
            <w:r w:rsidRPr="00AB4954">
              <w:rPr>
                <w:sz w:val="20"/>
                <w:szCs w:val="20"/>
              </w:rPr>
              <w:t>not exceed</w:t>
            </w:r>
            <w:r w:rsidRPr="00AB4954">
              <w:rPr>
                <w:spacing w:val="-1"/>
                <w:sz w:val="20"/>
                <w:szCs w:val="20"/>
              </w:rPr>
              <w:t xml:space="preserve"> </w:t>
            </w:r>
            <w:r w:rsidRPr="00AB4954">
              <w:rPr>
                <w:sz w:val="20"/>
                <w:szCs w:val="20"/>
              </w:rPr>
              <w:t>$</w:t>
            </w:r>
            <w:r>
              <w:rPr>
                <w:sz w:val="20"/>
                <w:szCs w:val="20"/>
              </w:rPr>
              <w:t>12</w:t>
            </w:r>
            <w:r w:rsidRPr="00AB4954">
              <w:rPr>
                <w:sz w:val="20"/>
                <w:szCs w:val="20"/>
              </w:rPr>
              <w:t xml:space="preserve"> m</w:t>
            </w:r>
            <w:r w:rsidRPr="00AB4954">
              <w:rPr>
                <w:spacing w:val="-1"/>
                <w:sz w:val="20"/>
                <w:szCs w:val="20"/>
              </w:rPr>
              <w:t>i</w:t>
            </w:r>
            <w:r w:rsidRPr="00AB4954">
              <w:rPr>
                <w:sz w:val="20"/>
                <w:szCs w:val="20"/>
              </w:rPr>
              <w:t>llio</w:t>
            </w:r>
            <w:r w:rsidRPr="00AB4954">
              <w:rPr>
                <w:spacing w:val="1"/>
                <w:sz w:val="20"/>
                <w:szCs w:val="20"/>
              </w:rPr>
              <w:t>n</w:t>
            </w:r>
            <w:r w:rsidRPr="00AB4954">
              <w:rPr>
                <w:sz w:val="20"/>
                <w:szCs w:val="20"/>
              </w:rPr>
              <w:t>.</w:t>
            </w:r>
          </w:p>
          <w:p w:rsidRPr="00AB4954" w:rsidR="00DE1F90" w:rsidP="00B641A6" w:rsidRDefault="00DE1F90" w14:paraId="28E9934A" w14:textId="77777777">
            <w:pPr>
              <w:autoSpaceDE w:val="0"/>
              <w:autoSpaceDN w:val="0"/>
              <w:adjustRightInd w:val="0"/>
              <w:spacing w:before="40" w:after="40" w:line="239" w:lineRule="auto"/>
              <w:ind w:left="87" w:right="137"/>
              <w:rPr>
                <w:szCs w:val="24"/>
              </w:rPr>
            </w:pPr>
          </w:p>
        </w:tc>
      </w:tr>
      <w:tr w:rsidRPr="008814F8" w:rsidR="00DE1F90" w:rsidTr="00B641A6" w14:paraId="5B63FC1D" w14:textId="77777777">
        <w:trPr>
          <w:trHeight w:val="1704" w:hRule="exact"/>
        </w:trPr>
        <w:tc>
          <w:tcPr>
            <w:tcW w:w="5050" w:type="dxa"/>
            <w:tcBorders>
              <w:top w:val="single" w:color="auto" w:sz="5" w:space="0"/>
              <w:left w:val="double" w:color="auto" w:sz="2" w:space="0"/>
              <w:bottom w:val="single" w:color="auto" w:sz="5" w:space="0"/>
              <w:right w:val="single" w:color="auto" w:sz="5" w:space="0"/>
            </w:tcBorders>
            <w:shd w:val="clear" w:color="auto" w:fill="auto"/>
          </w:tcPr>
          <w:p w:rsidRPr="00AB4954" w:rsidR="00DE1F90" w:rsidP="00B641A6" w:rsidRDefault="00DE1F90" w14:paraId="3C60BD28" w14:textId="1C91A9B1">
            <w:pPr>
              <w:autoSpaceDE w:val="0"/>
              <w:autoSpaceDN w:val="0"/>
              <w:adjustRightInd w:val="0"/>
              <w:spacing w:before="40" w:after="40" w:line="244" w:lineRule="auto"/>
              <w:ind w:left="97" w:right="65"/>
              <w:rPr>
                <w:szCs w:val="24"/>
              </w:rPr>
            </w:pPr>
            <w:r w:rsidRPr="00327DBE">
              <w:rPr>
                <w:sz w:val="20"/>
                <w:szCs w:val="20"/>
              </w:rPr>
              <w:t>Site 2</w:t>
            </w:r>
            <w:r w:rsidRPr="00AB4954">
              <w:rPr>
                <w:spacing w:val="1"/>
                <w:sz w:val="20"/>
                <w:szCs w:val="20"/>
              </w:rPr>
              <w:t>,</w:t>
            </w:r>
            <w:r w:rsidRPr="00AB4954">
              <w:rPr>
                <w:sz w:val="20"/>
                <w:szCs w:val="20"/>
              </w:rPr>
              <w:t xml:space="preserve"> which is one of seve</w:t>
            </w:r>
            <w:r w:rsidRPr="00AB4954">
              <w:rPr>
                <w:spacing w:val="1"/>
                <w:sz w:val="20"/>
                <w:szCs w:val="20"/>
              </w:rPr>
              <w:t>r</w:t>
            </w:r>
            <w:r w:rsidRPr="00AB4954">
              <w:rPr>
                <w:sz w:val="20"/>
                <w:szCs w:val="20"/>
              </w:rPr>
              <w:t>al si</w:t>
            </w:r>
            <w:r w:rsidRPr="00AB4954">
              <w:rPr>
                <w:spacing w:val="-1"/>
                <w:sz w:val="20"/>
                <w:szCs w:val="20"/>
              </w:rPr>
              <w:t>t</w:t>
            </w:r>
            <w:r w:rsidRPr="00AB4954">
              <w:rPr>
                <w:sz w:val="20"/>
                <w:szCs w:val="20"/>
              </w:rPr>
              <w:t xml:space="preserve">es </w:t>
            </w:r>
            <w:r w:rsidRPr="00AB4954">
              <w:rPr>
                <w:spacing w:val="1"/>
                <w:sz w:val="20"/>
                <w:szCs w:val="20"/>
              </w:rPr>
              <w:t>o</w:t>
            </w:r>
            <w:r w:rsidRPr="00AB4954">
              <w:rPr>
                <w:sz w:val="20"/>
                <w:szCs w:val="20"/>
              </w:rPr>
              <w:t xml:space="preserve">wned </w:t>
            </w:r>
            <w:r w:rsidRPr="00AB4954">
              <w:rPr>
                <w:spacing w:val="-1"/>
                <w:sz w:val="20"/>
                <w:szCs w:val="20"/>
              </w:rPr>
              <w:t>b</w:t>
            </w:r>
            <w:r w:rsidRPr="00AB4954">
              <w:rPr>
                <w:sz w:val="20"/>
                <w:szCs w:val="20"/>
              </w:rPr>
              <w:t>y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B, h</w:t>
            </w:r>
            <w:r w:rsidRPr="00AB4954">
              <w:rPr>
                <w:spacing w:val="1"/>
                <w:sz w:val="20"/>
                <w:szCs w:val="20"/>
              </w:rPr>
              <w:t>a</w:t>
            </w:r>
            <w:r w:rsidRPr="00AB4954">
              <w:rPr>
                <w:sz w:val="20"/>
                <w:szCs w:val="20"/>
              </w:rPr>
              <w:t>d a produ</w:t>
            </w:r>
            <w:r w:rsidRPr="00AB4954">
              <w:rPr>
                <w:spacing w:val="1"/>
                <w:sz w:val="20"/>
                <w:szCs w:val="20"/>
              </w:rPr>
              <w:t>c</w:t>
            </w:r>
            <w:r w:rsidRPr="00AB4954">
              <w:rPr>
                <w:sz w:val="20"/>
                <w:szCs w:val="20"/>
              </w:rPr>
              <w:t>t</w:t>
            </w:r>
            <w:r w:rsidRPr="00AB4954">
              <w:rPr>
                <w:spacing w:val="-1"/>
                <w:sz w:val="20"/>
                <w:szCs w:val="20"/>
              </w:rPr>
              <w:t>i</w:t>
            </w:r>
            <w:r w:rsidRPr="00AB4954">
              <w:rPr>
                <w:sz w:val="20"/>
                <w:szCs w:val="20"/>
              </w:rPr>
              <w:t>on volu</w:t>
            </w:r>
            <w:r w:rsidRPr="00AB4954">
              <w:rPr>
                <w:spacing w:val="-1"/>
                <w:sz w:val="20"/>
                <w:szCs w:val="20"/>
              </w:rPr>
              <w:t>m</w:t>
            </w:r>
            <w:r w:rsidRPr="00AB4954">
              <w:rPr>
                <w:sz w:val="20"/>
                <w:szCs w:val="20"/>
              </w:rPr>
              <w:t>e o</w:t>
            </w:r>
            <w:r w:rsidRPr="00AB4954">
              <w:rPr>
                <w:spacing w:val="1"/>
                <w:sz w:val="20"/>
                <w:szCs w:val="20"/>
              </w:rPr>
              <w:t>f</w:t>
            </w:r>
            <w:r w:rsidRPr="00AB4954">
              <w:rPr>
                <w:sz w:val="20"/>
                <w:szCs w:val="20"/>
              </w:rPr>
              <w:t xml:space="preserve"> 90,000 lb of Che</w:t>
            </w:r>
            <w:r w:rsidRPr="00AB4954">
              <w:rPr>
                <w:spacing w:val="-2"/>
                <w:sz w:val="20"/>
                <w:szCs w:val="20"/>
              </w:rPr>
              <w:t>m</w:t>
            </w:r>
            <w:r w:rsidRPr="00AB4954">
              <w:rPr>
                <w:sz w:val="20"/>
                <w:szCs w:val="20"/>
              </w:rPr>
              <w:t xml:space="preserve">ical </w:t>
            </w:r>
            <w:r w:rsidRPr="00AB4954">
              <w:rPr>
                <w:spacing w:val="1"/>
                <w:sz w:val="20"/>
                <w:szCs w:val="20"/>
              </w:rPr>
              <w:t>X</w:t>
            </w:r>
            <w:r w:rsidRPr="00AB4954">
              <w:rPr>
                <w:sz w:val="20"/>
                <w:szCs w:val="20"/>
              </w:rPr>
              <w:t xml:space="preserve"> in 2</w:t>
            </w:r>
            <w:r w:rsidRPr="00AB4954">
              <w:rPr>
                <w:spacing w:val="1"/>
                <w:sz w:val="20"/>
                <w:szCs w:val="20"/>
              </w:rPr>
              <w:t>0</w:t>
            </w:r>
            <w:r>
              <w:rPr>
                <w:sz w:val="20"/>
                <w:szCs w:val="20"/>
              </w:rPr>
              <w:t>16</w:t>
            </w:r>
            <w:r w:rsidRPr="00AB4954">
              <w:rPr>
                <w:sz w:val="20"/>
                <w:szCs w:val="20"/>
              </w:rPr>
              <w:t>, 75,000 lb in 20</w:t>
            </w:r>
            <w:r>
              <w:rPr>
                <w:sz w:val="20"/>
                <w:szCs w:val="20"/>
              </w:rPr>
              <w:t>17</w:t>
            </w:r>
            <w:r w:rsidRPr="00AB4954">
              <w:rPr>
                <w:sz w:val="20"/>
                <w:szCs w:val="20"/>
              </w:rPr>
              <w:t>, 82,000 in 20</w:t>
            </w:r>
            <w:r>
              <w:rPr>
                <w:sz w:val="20"/>
                <w:szCs w:val="20"/>
              </w:rPr>
              <w:t>18</w:t>
            </w:r>
            <w:r w:rsidRPr="00AB4954">
              <w:rPr>
                <w:sz w:val="20"/>
                <w:szCs w:val="20"/>
              </w:rPr>
              <w:t>, and 95,000 in 20</w:t>
            </w:r>
            <w:r>
              <w:rPr>
                <w:sz w:val="20"/>
                <w:szCs w:val="20"/>
              </w:rPr>
              <w:t>19</w:t>
            </w:r>
            <w:r w:rsidRPr="00AB4954">
              <w:rPr>
                <w:sz w:val="20"/>
                <w:szCs w:val="20"/>
              </w:rPr>
              <w:t>. The t</w:t>
            </w:r>
            <w:r w:rsidRPr="00AB4954">
              <w:rPr>
                <w:spacing w:val="1"/>
                <w:sz w:val="20"/>
                <w:szCs w:val="20"/>
              </w:rPr>
              <w:t>o</w:t>
            </w:r>
            <w:r w:rsidRPr="00AB4954">
              <w:rPr>
                <w:sz w:val="20"/>
                <w:szCs w:val="20"/>
              </w:rPr>
              <w:t>tal ann</w:t>
            </w:r>
            <w:r w:rsidRPr="00AB4954">
              <w:rPr>
                <w:spacing w:val="1"/>
                <w:sz w:val="20"/>
                <w:szCs w:val="20"/>
              </w:rPr>
              <w:t>ua</w:t>
            </w:r>
            <w:r w:rsidRPr="00AB4954">
              <w:rPr>
                <w:sz w:val="20"/>
                <w:szCs w:val="20"/>
              </w:rPr>
              <w:t>l</w:t>
            </w:r>
            <w:r w:rsidRPr="00AB4954">
              <w:rPr>
                <w:spacing w:val="-1"/>
                <w:sz w:val="20"/>
                <w:szCs w:val="20"/>
              </w:rPr>
              <w:t xml:space="preserve"> </w:t>
            </w:r>
            <w:r w:rsidRPr="00AB4954">
              <w:rPr>
                <w:sz w:val="20"/>
                <w:szCs w:val="20"/>
              </w:rPr>
              <w:t>sales of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B (all s</w:t>
            </w:r>
            <w:r w:rsidRPr="00AB4954">
              <w:rPr>
                <w:spacing w:val="-1"/>
                <w:sz w:val="20"/>
                <w:szCs w:val="20"/>
              </w:rPr>
              <w:t>i</w:t>
            </w:r>
            <w:r w:rsidRPr="00AB4954">
              <w:rPr>
                <w:sz w:val="20"/>
                <w:szCs w:val="20"/>
              </w:rPr>
              <w:t>tes c</w:t>
            </w:r>
            <w:r w:rsidRPr="00AB4954">
              <w:rPr>
                <w:spacing w:val="1"/>
                <w:sz w:val="20"/>
                <w:szCs w:val="20"/>
              </w:rPr>
              <w:t>o</w:t>
            </w:r>
            <w:r w:rsidRPr="00AB4954">
              <w:rPr>
                <w:spacing w:val="-1"/>
                <w:sz w:val="20"/>
                <w:szCs w:val="20"/>
              </w:rPr>
              <w:t>m</w:t>
            </w:r>
            <w:r w:rsidRPr="00AB4954">
              <w:rPr>
                <w:sz w:val="20"/>
                <w:szCs w:val="20"/>
              </w:rPr>
              <w:t>bin</w:t>
            </w:r>
            <w:r w:rsidRPr="00AB4954">
              <w:rPr>
                <w:spacing w:val="1"/>
                <w:sz w:val="20"/>
                <w:szCs w:val="20"/>
              </w:rPr>
              <w:t>e</w:t>
            </w:r>
            <w:r w:rsidRPr="00AB4954">
              <w:rPr>
                <w:sz w:val="20"/>
                <w:szCs w:val="20"/>
              </w:rPr>
              <w:t xml:space="preserve">d) </w:t>
            </w:r>
            <w:r w:rsidRPr="00AB4954">
              <w:rPr>
                <w:spacing w:val="1"/>
                <w:sz w:val="20"/>
                <w:szCs w:val="20"/>
              </w:rPr>
              <w:t>w</w:t>
            </w:r>
            <w:r w:rsidRPr="00AB4954">
              <w:rPr>
                <w:spacing w:val="-1"/>
                <w:sz w:val="20"/>
                <w:szCs w:val="20"/>
              </w:rPr>
              <w:t>e</w:t>
            </w:r>
            <w:r w:rsidRPr="00AB4954">
              <w:rPr>
                <w:sz w:val="20"/>
                <w:szCs w:val="20"/>
              </w:rPr>
              <w:t>re $</w:t>
            </w:r>
            <w:r>
              <w:rPr>
                <w:sz w:val="20"/>
                <w:szCs w:val="20"/>
              </w:rPr>
              <w:t>8</w:t>
            </w:r>
            <w:r w:rsidRPr="00AB4954">
              <w:rPr>
                <w:sz w:val="20"/>
                <w:szCs w:val="20"/>
              </w:rPr>
              <w:t xml:space="preserve">0 </w:t>
            </w:r>
            <w:r w:rsidRPr="00AB4954">
              <w:rPr>
                <w:spacing w:val="-1"/>
                <w:sz w:val="20"/>
                <w:szCs w:val="20"/>
              </w:rPr>
              <w:t>m</w:t>
            </w:r>
            <w:r w:rsidRPr="00AB4954">
              <w:rPr>
                <w:sz w:val="20"/>
                <w:szCs w:val="20"/>
              </w:rPr>
              <w:t>illion in 2</w:t>
            </w:r>
            <w:r w:rsidRPr="00AB4954">
              <w:rPr>
                <w:spacing w:val="1"/>
                <w:sz w:val="20"/>
                <w:szCs w:val="20"/>
              </w:rPr>
              <w:t>0</w:t>
            </w:r>
            <w:r>
              <w:rPr>
                <w:sz w:val="20"/>
                <w:szCs w:val="20"/>
              </w:rPr>
              <w:t>19</w:t>
            </w:r>
            <w:r w:rsidRPr="00327DBE">
              <w:rPr>
                <w:sz w:val="20"/>
                <w:szCs w:val="20"/>
              </w:rPr>
              <w:t>. None</w:t>
            </w:r>
            <w:r w:rsidRPr="00AB4954">
              <w:rPr>
                <w:spacing w:val="-1"/>
                <w:sz w:val="20"/>
                <w:szCs w:val="20"/>
              </w:rPr>
              <w:t xml:space="preserve"> </w:t>
            </w:r>
            <w:r w:rsidRPr="00AB4954">
              <w:rPr>
                <w:sz w:val="20"/>
                <w:szCs w:val="20"/>
              </w:rPr>
              <w:t>of the other sites produc</w:t>
            </w:r>
            <w:r w:rsidRPr="00AB4954">
              <w:rPr>
                <w:spacing w:val="1"/>
                <w:sz w:val="20"/>
                <w:szCs w:val="20"/>
              </w:rPr>
              <w:t>e</w:t>
            </w:r>
            <w:r w:rsidRPr="00AB4954">
              <w:rPr>
                <w:sz w:val="20"/>
                <w:szCs w:val="20"/>
              </w:rPr>
              <w:t xml:space="preserve"> </w:t>
            </w:r>
            <w:r w:rsidRPr="00AB4954">
              <w:rPr>
                <w:spacing w:val="-1"/>
                <w:sz w:val="20"/>
                <w:szCs w:val="20"/>
              </w:rPr>
              <w:t>C</w:t>
            </w:r>
            <w:r w:rsidRPr="00AB4954">
              <w:rPr>
                <w:sz w:val="20"/>
                <w:szCs w:val="20"/>
              </w:rPr>
              <w:t>h</w:t>
            </w:r>
            <w:r w:rsidRPr="00AB4954">
              <w:rPr>
                <w:spacing w:val="1"/>
                <w:sz w:val="20"/>
                <w:szCs w:val="20"/>
              </w:rPr>
              <w:t>e</w:t>
            </w:r>
            <w:r w:rsidRPr="00AB4954">
              <w:rPr>
                <w:spacing w:val="-1"/>
                <w:sz w:val="20"/>
                <w:szCs w:val="20"/>
              </w:rPr>
              <w:t>m</w:t>
            </w:r>
            <w:r w:rsidRPr="00AB4954">
              <w:rPr>
                <w:sz w:val="20"/>
                <w:szCs w:val="20"/>
              </w:rPr>
              <w:t xml:space="preserve">ical </w:t>
            </w:r>
            <w:r w:rsidRPr="00AB4954">
              <w:rPr>
                <w:spacing w:val="1"/>
                <w:sz w:val="20"/>
                <w:szCs w:val="20"/>
              </w:rPr>
              <w:t>X</w:t>
            </w:r>
            <w:r w:rsidRPr="00AB4954">
              <w:rPr>
                <w:sz w:val="20"/>
                <w:szCs w:val="20"/>
              </w:rPr>
              <w:t>.</w:t>
            </w:r>
          </w:p>
          <w:p w:rsidRPr="00AB4954" w:rsidR="00DE1F90" w:rsidP="00B641A6" w:rsidRDefault="00DE1F90" w14:paraId="66458DCE" w14:textId="77777777">
            <w:pPr>
              <w:autoSpaceDE w:val="0"/>
              <w:autoSpaceDN w:val="0"/>
              <w:adjustRightInd w:val="0"/>
              <w:spacing w:before="40" w:after="40" w:line="244" w:lineRule="auto"/>
              <w:ind w:left="97" w:right="65"/>
              <w:rPr>
                <w:szCs w:val="24"/>
              </w:rPr>
            </w:pPr>
          </w:p>
        </w:tc>
        <w:tc>
          <w:tcPr>
            <w:tcW w:w="4924" w:type="dxa"/>
            <w:tcBorders>
              <w:top w:val="single" w:color="auto" w:sz="5" w:space="0"/>
              <w:left w:val="single" w:color="auto" w:sz="5" w:space="0"/>
              <w:bottom w:val="single" w:color="auto" w:sz="5" w:space="0"/>
              <w:right w:val="double" w:color="auto" w:sz="2" w:space="0"/>
            </w:tcBorders>
            <w:shd w:val="clear" w:color="auto" w:fill="auto"/>
          </w:tcPr>
          <w:p w:rsidRPr="00AB4954" w:rsidR="00DE1F90" w:rsidP="00B641A6" w:rsidRDefault="00DE1F90" w14:paraId="155E15B8" w14:textId="5A08C9B4">
            <w:pPr>
              <w:autoSpaceDE w:val="0"/>
              <w:autoSpaceDN w:val="0"/>
              <w:adjustRightInd w:val="0"/>
              <w:spacing w:before="40" w:after="40" w:line="244" w:lineRule="auto"/>
              <w:ind w:left="87" w:right="52"/>
              <w:rPr>
                <w:szCs w:val="24"/>
              </w:rPr>
            </w:pPr>
            <w:r w:rsidRPr="00AB4954">
              <w:rPr>
                <w:sz w:val="20"/>
                <w:szCs w:val="20"/>
              </w:rPr>
              <w:t>Site 2</w:t>
            </w:r>
            <w:r w:rsidRPr="00AB4954">
              <w:rPr>
                <w:spacing w:val="1"/>
                <w:sz w:val="20"/>
                <w:szCs w:val="20"/>
              </w:rPr>
              <w:t xml:space="preserve"> </w:t>
            </w:r>
            <w:r w:rsidRPr="00AB4954">
              <w:rPr>
                <w:sz w:val="20"/>
                <w:szCs w:val="20"/>
              </w:rPr>
              <w:t>is not req</w:t>
            </w:r>
            <w:r w:rsidRPr="00AB4954">
              <w:rPr>
                <w:spacing w:val="1"/>
                <w:sz w:val="20"/>
                <w:szCs w:val="20"/>
              </w:rPr>
              <w:t>u</w:t>
            </w:r>
            <w:r w:rsidRPr="00AB4954">
              <w:rPr>
                <w:sz w:val="20"/>
                <w:szCs w:val="20"/>
              </w:rPr>
              <w:t>ired to repo</w:t>
            </w:r>
            <w:r w:rsidRPr="00AB4954">
              <w:rPr>
                <w:spacing w:val="-1"/>
                <w:sz w:val="20"/>
                <w:szCs w:val="20"/>
              </w:rPr>
              <w:t>r</w:t>
            </w:r>
            <w:r w:rsidRPr="00AB4954">
              <w:rPr>
                <w:sz w:val="20"/>
                <w:szCs w:val="20"/>
              </w:rPr>
              <w:t>t for Che</w:t>
            </w:r>
            <w:r w:rsidRPr="00AB4954">
              <w:rPr>
                <w:spacing w:val="-2"/>
                <w:sz w:val="20"/>
                <w:szCs w:val="20"/>
              </w:rPr>
              <w:t>m</w:t>
            </w:r>
            <w:r w:rsidRPr="00AB4954">
              <w:rPr>
                <w:sz w:val="20"/>
                <w:szCs w:val="20"/>
              </w:rPr>
              <w:t>ica</w:t>
            </w:r>
            <w:r w:rsidRPr="00AB4954">
              <w:rPr>
                <w:spacing w:val="1"/>
                <w:sz w:val="20"/>
                <w:szCs w:val="20"/>
              </w:rPr>
              <w:t>l</w:t>
            </w:r>
            <w:r w:rsidRPr="00AB4954">
              <w:rPr>
                <w:sz w:val="20"/>
                <w:szCs w:val="20"/>
              </w:rPr>
              <w:t xml:space="preserve"> X because annual production vo</w:t>
            </w:r>
            <w:r w:rsidRPr="00AB4954">
              <w:rPr>
                <w:spacing w:val="-1"/>
                <w:sz w:val="20"/>
                <w:szCs w:val="20"/>
              </w:rPr>
              <w:t>l</w:t>
            </w:r>
            <w:r w:rsidRPr="00AB4954">
              <w:rPr>
                <w:sz w:val="20"/>
                <w:szCs w:val="20"/>
              </w:rPr>
              <w:t>u</w:t>
            </w:r>
            <w:r w:rsidRPr="00AB4954">
              <w:rPr>
                <w:spacing w:val="-1"/>
                <w:sz w:val="20"/>
                <w:szCs w:val="20"/>
              </w:rPr>
              <w:t>m</w:t>
            </w:r>
            <w:r w:rsidRPr="00AB4954">
              <w:rPr>
                <w:sz w:val="20"/>
                <w:szCs w:val="20"/>
              </w:rPr>
              <w:t xml:space="preserve">e of </w:t>
            </w:r>
            <w:r w:rsidRPr="00AB4954">
              <w:rPr>
                <w:spacing w:val="1"/>
                <w:sz w:val="20"/>
                <w:szCs w:val="20"/>
              </w:rPr>
              <w:t>t</w:t>
            </w:r>
            <w:r w:rsidRPr="00AB4954">
              <w:rPr>
                <w:sz w:val="20"/>
                <w:szCs w:val="20"/>
              </w:rPr>
              <w:t>hat</w:t>
            </w:r>
            <w:r w:rsidRPr="00AB4954">
              <w:rPr>
                <w:spacing w:val="1"/>
                <w:sz w:val="20"/>
                <w:szCs w:val="20"/>
              </w:rPr>
              <w:t xml:space="preserve">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ical substance</w:t>
            </w:r>
            <w:r w:rsidRPr="00AB4954">
              <w:rPr>
                <w:spacing w:val="-1"/>
                <w:sz w:val="20"/>
                <w:szCs w:val="20"/>
              </w:rPr>
              <w:t xml:space="preserve"> </w:t>
            </w:r>
            <w:r w:rsidRPr="00AB4954">
              <w:rPr>
                <w:sz w:val="20"/>
                <w:szCs w:val="20"/>
              </w:rPr>
              <w:t xml:space="preserve">did not </w:t>
            </w:r>
            <w:r w:rsidRPr="00AB4954">
              <w:rPr>
                <w:spacing w:val="1"/>
                <w:sz w:val="20"/>
                <w:szCs w:val="20"/>
              </w:rPr>
              <w:t>e</w:t>
            </w:r>
            <w:r w:rsidRPr="00AB4954">
              <w:rPr>
                <w:sz w:val="20"/>
                <w:szCs w:val="20"/>
              </w:rPr>
              <w:t>xceed 100,000 lb</w:t>
            </w:r>
            <w:r w:rsidRPr="00AB4954">
              <w:rPr>
                <w:spacing w:val="1"/>
                <w:sz w:val="20"/>
                <w:szCs w:val="20"/>
              </w:rPr>
              <w:t xml:space="preserve"> </w:t>
            </w:r>
            <w:r w:rsidRPr="00AB4954">
              <w:rPr>
                <w:sz w:val="20"/>
                <w:szCs w:val="20"/>
              </w:rPr>
              <w:t>at any of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 xml:space="preserve">y B’s </w:t>
            </w:r>
            <w:r w:rsidRPr="00AB4954">
              <w:rPr>
                <w:spacing w:val="-1"/>
                <w:sz w:val="20"/>
                <w:szCs w:val="20"/>
              </w:rPr>
              <w:t>s</w:t>
            </w:r>
            <w:r w:rsidRPr="00AB4954">
              <w:rPr>
                <w:sz w:val="20"/>
                <w:szCs w:val="20"/>
              </w:rPr>
              <w:t>ites during 20</w:t>
            </w:r>
            <w:r>
              <w:rPr>
                <w:sz w:val="20"/>
                <w:szCs w:val="20"/>
              </w:rPr>
              <w:t>16</w:t>
            </w:r>
            <w:r w:rsidRPr="00AB4954">
              <w:rPr>
                <w:sz w:val="20"/>
                <w:szCs w:val="20"/>
              </w:rPr>
              <w:t>-20</w:t>
            </w:r>
            <w:r>
              <w:rPr>
                <w:sz w:val="20"/>
                <w:szCs w:val="20"/>
              </w:rPr>
              <w:t>19</w:t>
            </w:r>
            <w:r w:rsidRPr="00327DBE">
              <w:rPr>
                <w:sz w:val="20"/>
                <w:szCs w:val="20"/>
              </w:rPr>
              <w:t>, and Compa</w:t>
            </w:r>
            <w:r w:rsidRPr="00AB4954">
              <w:rPr>
                <w:spacing w:val="1"/>
                <w:sz w:val="20"/>
                <w:szCs w:val="20"/>
              </w:rPr>
              <w:t>n</w:t>
            </w:r>
            <w:r w:rsidRPr="00AB4954">
              <w:rPr>
                <w:sz w:val="20"/>
                <w:szCs w:val="20"/>
              </w:rPr>
              <w:t>y B h</w:t>
            </w:r>
            <w:r w:rsidRPr="00AB4954">
              <w:rPr>
                <w:spacing w:val="-1"/>
                <w:sz w:val="20"/>
                <w:szCs w:val="20"/>
              </w:rPr>
              <w:t>a</w:t>
            </w:r>
            <w:r w:rsidRPr="00AB4954">
              <w:rPr>
                <w:sz w:val="20"/>
                <w:szCs w:val="20"/>
              </w:rPr>
              <w:t>d</w:t>
            </w:r>
            <w:r w:rsidRPr="00AB4954">
              <w:rPr>
                <w:spacing w:val="1"/>
                <w:sz w:val="20"/>
                <w:szCs w:val="20"/>
              </w:rPr>
              <w:t xml:space="preserve"> </w:t>
            </w:r>
            <w:r w:rsidRPr="00AB4954">
              <w:rPr>
                <w:spacing w:val="-1"/>
                <w:sz w:val="20"/>
                <w:szCs w:val="20"/>
              </w:rPr>
              <w:t>t</w:t>
            </w:r>
            <w:r w:rsidRPr="00AB4954">
              <w:rPr>
                <w:sz w:val="20"/>
                <w:szCs w:val="20"/>
              </w:rPr>
              <w:t>otal ann</w:t>
            </w:r>
            <w:r w:rsidRPr="00AB4954">
              <w:rPr>
                <w:spacing w:val="1"/>
                <w:sz w:val="20"/>
                <w:szCs w:val="20"/>
              </w:rPr>
              <w:t>u</w:t>
            </w:r>
            <w:r w:rsidRPr="00AB4954">
              <w:rPr>
                <w:sz w:val="20"/>
                <w:szCs w:val="20"/>
              </w:rPr>
              <w:t>al sales</w:t>
            </w:r>
            <w:r w:rsidRPr="00AB4954">
              <w:rPr>
                <w:spacing w:val="-1"/>
                <w:sz w:val="20"/>
                <w:szCs w:val="20"/>
              </w:rPr>
              <w:t xml:space="preserve"> </w:t>
            </w:r>
            <w:r w:rsidRPr="00AB4954">
              <w:rPr>
                <w:sz w:val="20"/>
                <w:szCs w:val="20"/>
              </w:rPr>
              <w:t>of l</w:t>
            </w:r>
            <w:r w:rsidRPr="00AB4954">
              <w:rPr>
                <w:spacing w:val="-1"/>
                <w:sz w:val="20"/>
                <w:szCs w:val="20"/>
              </w:rPr>
              <w:t>e</w:t>
            </w:r>
            <w:r w:rsidRPr="00AB4954">
              <w:rPr>
                <w:sz w:val="20"/>
                <w:szCs w:val="20"/>
              </w:rPr>
              <w:t xml:space="preserve">ss than </w:t>
            </w:r>
            <w:r w:rsidRPr="00AB4954">
              <w:rPr>
                <w:spacing w:val="1"/>
                <w:sz w:val="20"/>
                <w:szCs w:val="20"/>
              </w:rPr>
              <w:t>$</w:t>
            </w:r>
            <w:r>
              <w:rPr>
                <w:sz w:val="20"/>
                <w:szCs w:val="20"/>
              </w:rPr>
              <w:t>120</w:t>
            </w:r>
            <w:r w:rsidRPr="00AB4954">
              <w:rPr>
                <w:sz w:val="20"/>
                <w:szCs w:val="20"/>
              </w:rPr>
              <w:t xml:space="preserve"> millio</w:t>
            </w:r>
            <w:r w:rsidRPr="00AB4954">
              <w:rPr>
                <w:spacing w:val="1"/>
                <w:sz w:val="20"/>
                <w:szCs w:val="20"/>
              </w:rPr>
              <w:t>n</w:t>
            </w:r>
            <w:r w:rsidRPr="00AB4954">
              <w:rPr>
                <w:sz w:val="20"/>
                <w:szCs w:val="20"/>
              </w:rPr>
              <w:t>.</w:t>
            </w:r>
          </w:p>
          <w:p w:rsidRPr="00AB4954" w:rsidR="00DE1F90" w:rsidP="00B641A6" w:rsidRDefault="00DE1F90" w14:paraId="5573ED50" w14:textId="77777777">
            <w:pPr>
              <w:autoSpaceDE w:val="0"/>
              <w:autoSpaceDN w:val="0"/>
              <w:adjustRightInd w:val="0"/>
              <w:spacing w:before="40" w:after="40" w:line="244" w:lineRule="auto"/>
              <w:ind w:left="87" w:right="52"/>
              <w:rPr>
                <w:szCs w:val="24"/>
              </w:rPr>
            </w:pPr>
          </w:p>
        </w:tc>
      </w:tr>
      <w:tr w:rsidRPr="008814F8" w:rsidR="00DE1F90" w:rsidTr="00B641A6" w14:paraId="2C2D4B9D" w14:textId="77777777">
        <w:trPr>
          <w:trHeight w:val="2055" w:hRule="exact"/>
        </w:trPr>
        <w:tc>
          <w:tcPr>
            <w:tcW w:w="5050" w:type="dxa"/>
            <w:tcBorders>
              <w:top w:val="single" w:color="auto" w:sz="5" w:space="0"/>
              <w:left w:val="double" w:color="auto" w:sz="2" w:space="0"/>
              <w:bottom w:val="single" w:color="auto" w:sz="5" w:space="0"/>
              <w:right w:val="single" w:color="auto" w:sz="5" w:space="0"/>
            </w:tcBorders>
            <w:shd w:val="clear" w:color="auto" w:fill="auto"/>
          </w:tcPr>
          <w:p w:rsidRPr="00AB4954" w:rsidR="00DE1F90" w:rsidP="00B641A6" w:rsidRDefault="00DE1F90" w14:paraId="25CBCD83" w14:textId="0A9C6DE5">
            <w:pPr>
              <w:autoSpaceDE w:val="0"/>
              <w:autoSpaceDN w:val="0"/>
              <w:adjustRightInd w:val="0"/>
              <w:spacing w:before="40" w:after="40" w:line="243" w:lineRule="auto"/>
              <w:ind w:left="97" w:right="72"/>
              <w:rPr>
                <w:szCs w:val="24"/>
              </w:rPr>
            </w:pPr>
            <w:r w:rsidRPr="00327DBE">
              <w:rPr>
                <w:sz w:val="20"/>
                <w:szCs w:val="20"/>
              </w:rPr>
              <w:t>Site 3</w:t>
            </w:r>
            <w:r w:rsidRPr="00AB4954">
              <w:rPr>
                <w:spacing w:val="1"/>
                <w:sz w:val="20"/>
                <w:szCs w:val="20"/>
              </w:rPr>
              <w:t>,</w:t>
            </w:r>
            <w:r w:rsidRPr="00AB4954">
              <w:rPr>
                <w:sz w:val="20"/>
                <w:szCs w:val="20"/>
              </w:rPr>
              <w:t xml:space="preserve"> which is one of seve</w:t>
            </w:r>
            <w:r w:rsidRPr="00AB4954">
              <w:rPr>
                <w:spacing w:val="1"/>
                <w:sz w:val="20"/>
                <w:szCs w:val="20"/>
              </w:rPr>
              <w:t>r</w:t>
            </w:r>
            <w:r w:rsidRPr="00AB4954">
              <w:rPr>
                <w:sz w:val="20"/>
                <w:szCs w:val="20"/>
              </w:rPr>
              <w:t>al si</w:t>
            </w:r>
            <w:r w:rsidRPr="00AB4954">
              <w:rPr>
                <w:spacing w:val="-1"/>
                <w:sz w:val="20"/>
                <w:szCs w:val="20"/>
              </w:rPr>
              <w:t>t</w:t>
            </w:r>
            <w:r w:rsidRPr="00AB4954">
              <w:rPr>
                <w:sz w:val="20"/>
                <w:szCs w:val="20"/>
              </w:rPr>
              <w:t xml:space="preserve">es </w:t>
            </w:r>
            <w:r w:rsidRPr="00AB4954">
              <w:rPr>
                <w:spacing w:val="1"/>
                <w:sz w:val="20"/>
                <w:szCs w:val="20"/>
              </w:rPr>
              <w:t>o</w:t>
            </w:r>
            <w:r w:rsidRPr="00AB4954">
              <w:rPr>
                <w:sz w:val="20"/>
                <w:szCs w:val="20"/>
              </w:rPr>
              <w:t xml:space="preserve">wned </w:t>
            </w:r>
            <w:r w:rsidRPr="00AB4954">
              <w:rPr>
                <w:spacing w:val="-1"/>
                <w:sz w:val="20"/>
                <w:szCs w:val="20"/>
              </w:rPr>
              <w:t>b</w:t>
            </w:r>
            <w:r w:rsidRPr="00AB4954">
              <w:rPr>
                <w:sz w:val="20"/>
                <w:szCs w:val="20"/>
              </w:rPr>
              <w:t>y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C, ha</w:t>
            </w:r>
            <w:r w:rsidRPr="00AB4954">
              <w:rPr>
                <w:spacing w:val="1"/>
                <w:sz w:val="20"/>
                <w:szCs w:val="20"/>
              </w:rPr>
              <w:t>d</w:t>
            </w:r>
            <w:r w:rsidRPr="00AB4954">
              <w:rPr>
                <w:sz w:val="20"/>
                <w:szCs w:val="20"/>
              </w:rPr>
              <w:t xml:space="preserve"> a production volu</w:t>
            </w:r>
            <w:r w:rsidRPr="00AB4954">
              <w:rPr>
                <w:spacing w:val="-1"/>
                <w:sz w:val="20"/>
                <w:szCs w:val="20"/>
              </w:rPr>
              <w:t>m</w:t>
            </w:r>
            <w:r w:rsidRPr="00AB4954">
              <w:rPr>
                <w:sz w:val="20"/>
                <w:szCs w:val="20"/>
              </w:rPr>
              <w:t xml:space="preserve">e </w:t>
            </w:r>
            <w:r w:rsidRPr="00AB4954">
              <w:rPr>
                <w:spacing w:val="1"/>
                <w:sz w:val="20"/>
                <w:szCs w:val="20"/>
              </w:rPr>
              <w:t>o</w:t>
            </w:r>
            <w:r w:rsidRPr="00AB4954">
              <w:rPr>
                <w:sz w:val="20"/>
                <w:szCs w:val="20"/>
              </w:rPr>
              <w:t>f 200,000</w:t>
            </w:r>
            <w:r w:rsidRPr="00AB4954">
              <w:rPr>
                <w:spacing w:val="1"/>
                <w:sz w:val="20"/>
                <w:szCs w:val="20"/>
              </w:rPr>
              <w:t xml:space="preserve"> </w:t>
            </w:r>
            <w:r w:rsidRPr="00AB4954">
              <w:rPr>
                <w:sz w:val="20"/>
                <w:szCs w:val="20"/>
              </w:rPr>
              <w:t>lb per year</w:t>
            </w:r>
            <w:r w:rsidRPr="00327DBE">
              <w:rPr>
                <w:sz w:val="20"/>
                <w:szCs w:val="20"/>
              </w:rPr>
              <w:t xml:space="preserve"> of</w:t>
            </w:r>
            <w:r w:rsidRPr="00AB4954">
              <w:rPr>
                <w:spacing w:val="1"/>
                <w:sz w:val="20"/>
                <w:szCs w:val="20"/>
              </w:rPr>
              <w:t xml:space="preserve">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ical X in 20</w:t>
            </w:r>
            <w:r>
              <w:rPr>
                <w:sz w:val="20"/>
                <w:szCs w:val="20"/>
              </w:rPr>
              <w:t>16</w:t>
            </w:r>
            <w:r w:rsidRPr="00AB4954">
              <w:rPr>
                <w:sz w:val="20"/>
                <w:szCs w:val="20"/>
              </w:rPr>
              <w:t xml:space="preserve"> through 20</w:t>
            </w:r>
            <w:r>
              <w:rPr>
                <w:sz w:val="20"/>
                <w:szCs w:val="20"/>
              </w:rPr>
              <w:t>19</w:t>
            </w:r>
            <w:r w:rsidRPr="00327DBE">
              <w:rPr>
                <w:sz w:val="20"/>
                <w:szCs w:val="20"/>
              </w:rPr>
              <w:t>. Site 4</w:t>
            </w:r>
            <w:r w:rsidRPr="00AB4954">
              <w:rPr>
                <w:spacing w:val="1"/>
                <w:sz w:val="20"/>
                <w:szCs w:val="20"/>
              </w:rPr>
              <w:t>,</w:t>
            </w:r>
            <w:r w:rsidRPr="00AB4954">
              <w:rPr>
                <w:sz w:val="20"/>
                <w:szCs w:val="20"/>
              </w:rPr>
              <w:t xml:space="preserve"> </w:t>
            </w:r>
            <w:r w:rsidRPr="00AB4954">
              <w:rPr>
                <w:spacing w:val="-1"/>
                <w:sz w:val="20"/>
                <w:szCs w:val="20"/>
              </w:rPr>
              <w:t>a</w:t>
            </w:r>
            <w:r w:rsidRPr="00AB4954">
              <w:rPr>
                <w:sz w:val="20"/>
                <w:szCs w:val="20"/>
              </w:rPr>
              <w:t>nother site owned b</w:t>
            </w:r>
            <w:r w:rsidRPr="00AB4954">
              <w:rPr>
                <w:spacing w:val="1"/>
                <w:sz w:val="20"/>
                <w:szCs w:val="20"/>
              </w:rPr>
              <w:t>y</w:t>
            </w:r>
            <w:r w:rsidRPr="00AB4954">
              <w:rPr>
                <w:sz w:val="20"/>
                <w:szCs w:val="20"/>
              </w:rPr>
              <w:t xml:space="preserve"> </w:t>
            </w:r>
            <w:r w:rsidRPr="00AB4954">
              <w:rPr>
                <w:spacing w:val="-1"/>
                <w:sz w:val="20"/>
                <w:szCs w:val="20"/>
              </w:rPr>
              <w:t>C</w:t>
            </w:r>
            <w:r w:rsidRPr="00AB4954">
              <w:rPr>
                <w:sz w:val="20"/>
                <w:szCs w:val="20"/>
              </w:rPr>
              <w:t>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C, had a produc</w:t>
            </w:r>
            <w:r w:rsidRPr="00AB4954">
              <w:rPr>
                <w:spacing w:val="1"/>
                <w:sz w:val="20"/>
                <w:szCs w:val="20"/>
              </w:rPr>
              <w:t>t</w:t>
            </w:r>
            <w:r w:rsidRPr="00AB4954">
              <w:rPr>
                <w:sz w:val="20"/>
                <w:szCs w:val="20"/>
              </w:rPr>
              <w:t>i</w:t>
            </w:r>
            <w:r w:rsidRPr="00AB4954">
              <w:rPr>
                <w:spacing w:val="-1"/>
                <w:sz w:val="20"/>
                <w:szCs w:val="20"/>
              </w:rPr>
              <w:t>o</w:t>
            </w:r>
            <w:r w:rsidRPr="00AB4954">
              <w:rPr>
                <w:sz w:val="20"/>
                <w:szCs w:val="20"/>
              </w:rPr>
              <w:t xml:space="preserve">n </w:t>
            </w:r>
            <w:r w:rsidRPr="00AB4954">
              <w:rPr>
                <w:spacing w:val="-1"/>
                <w:sz w:val="20"/>
                <w:szCs w:val="20"/>
              </w:rPr>
              <w:t>v</w:t>
            </w:r>
            <w:r w:rsidRPr="00AB4954">
              <w:rPr>
                <w:sz w:val="20"/>
                <w:szCs w:val="20"/>
              </w:rPr>
              <w:t>olume of 75,000</w:t>
            </w:r>
            <w:r w:rsidRPr="00AB4954">
              <w:rPr>
                <w:spacing w:val="-1"/>
                <w:sz w:val="20"/>
                <w:szCs w:val="20"/>
              </w:rPr>
              <w:t xml:space="preserve"> </w:t>
            </w:r>
            <w:r w:rsidRPr="00AB4954">
              <w:rPr>
                <w:sz w:val="20"/>
                <w:szCs w:val="20"/>
              </w:rPr>
              <w:t>lb per year</w:t>
            </w:r>
            <w:r w:rsidRPr="00327DBE">
              <w:rPr>
                <w:sz w:val="20"/>
                <w:szCs w:val="20"/>
              </w:rPr>
              <w:t xml:space="preserve"> of</w:t>
            </w:r>
            <w:r w:rsidRPr="00AB4954">
              <w:rPr>
                <w:spacing w:val="1"/>
                <w:sz w:val="20"/>
                <w:szCs w:val="20"/>
              </w:rPr>
              <w:t xml:space="preserve"> </w:t>
            </w:r>
            <w:r w:rsidRPr="00AB4954">
              <w:rPr>
                <w:spacing w:val="-1"/>
                <w:sz w:val="20"/>
                <w:szCs w:val="20"/>
              </w:rPr>
              <w:t>C</w:t>
            </w:r>
            <w:r w:rsidRPr="00AB4954">
              <w:rPr>
                <w:sz w:val="20"/>
                <w:szCs w:val="20"/>
              </w:rPr>
              <w:t>hem</w:t>
            </w:r>
            <w:r w:rsidRPr="00AB4954">
              <w:rPr>
                <w:spacing w:val="-1"/>
                <w:sz w:val="20"/>
                <w:szCs w:val="20"/>
              </w:rPr>
              <w:t>i</w:t>
            </w:r>
            <w:r w:rsidRPr="00AB4954">
              <w:rPr>
                <w:sz w:val="20"/>
                <w:szCs w:val="20"/>
              </w:rPr>
              <w:t>cal</w:t>
            </w:r>
            <w:r w:rsidRPr="00AB4954">
              <w:rPr>
                <w:spacing w:val="1"/>
                <w:sz w:val="20"/>
                <w:szCs w:val="20"/>
              </w:rPr>
              <w:t xml:space="preserve"> </w:t>
            </w:r>
            <w:r w:rsidRPr="00AB4954">
              <w:rPr>
                <w:sz w:val="20"/>
                <w:szCs w:val="20"/>
              </w:rPr>
              <w:t>X</w:t>
            </w:r>
            <w:r w:rsidRPr="00AB4954">
              <w:rPr>
                <w:spacing w:val="1"/>
                <w:sz w:val="20"/>
                <w:szCs w:val="20"/>
              </w:rPr>
              <w:t xml:space="preserve"> </w:t>
            </w:r>
            <w:r w:rsidRPr="00AB4954">
              <w:rPr>
                <w:spacing w:val="-1"/>
                <w:sz w:val="20"/>
                <w:szCs w:val="20"/>
              </w:rPr>
              <w:t>i</w:t>
            </w:r>
            <w:r w:rsidRPr="00AB4954">
              <w:rPr>
                <w:sz w:val="20"/>
                <w:szCs w:val="20"/>
              </w:rPr>
              <w:t>n 20</w:t>
            </w:r>
            <w:r>
              <w:rPr>
                <w:sz w:val="20"/>
                <w:szCs w:val="20"/>
              </w:rPr>
              <w:t>16</w:t>
            </w:r>
            <w:r w:rsidRPr="00AB4954">
              <w:rPr>
                <w:sz w:val="20"/>
                <w:szCs w:val="20"/>
              </w:rPr>
              <w:t xml:space="preserve"> through 20</w:t>
            </w:r>
            <w:r>
              <w:rPr>
                <w:sz w:val="20"/>
                <w:szCs w:val="20"/>
              </w:rPr>
              <w:t>19</w:t>
            </w:r>
            <w:r w:rsidRPr="00327DBE">
              <w:rPr>
                <w:sz w:val="20"/>
                <w:szCs w:val="20"/>
              </w:rPr>
              <w:t xml:space="preserve">. The </w:t>
            </w:r>
            <w:r w:rsidRPr="00AB4954">
              <w:rPr>
                <w:sz w:val="20"/>
                <w:szCs w:val="20"/>
              </w:rPr>
              <w:t xml:space="preserve">total </w:t>
            </w:r>
            <w:r w:rsidRPr="00AB4954">
              <w:rPr>
                <w:spacing w:val="1"/>
                <w:sz w:val="20"/>
                <w:szCs w:val="20"/>
              </w:rPr>
              <w:t>a</w:t>
            </w:r>
            <w:r w:rsidRPr="00AB4954">
              <w:rPr>
                <w:sz w:val="20"/>
                <w:szCs w:val="20"/>
              </w:rPr>
              <w:t>nn</w:t>
            </w:r>
            <w:r w:rsidRPr="00AB4954">
              <w:rPr>
                <w:spacing w:val="1"/>
                <w:sz w:val="20"/>
                <w:szCs w:val="20"/>
              </w:rPr>
              <w:t>u</w:t>
            </w:r>
            <w:r w:rsidRPr="00AB4954">
              <w:rPr>
                <w:sz w:val="20"/>
                <w:szCs w:val="20"/>
              </w:rPr>
              <w:t xml:space="preserve">al sales of </w:t>
            </w:r>
            <w:r w:rsidRPr="00AB4954">
              <w:rPr>
                <w:spacing w:val="-1"/>
                <w:sz w:val="20"/>
                <w:szCs w:val="20"/>
              </w:rPr>
              <w:t>C</w:t>
            </w:r>
            <w:r w:rsidRPr="00AB4954">
              <w:rPr>
                <w:sz w:val="20"/>
                <w:szCs w:val="20"/>
              </w:rPr>
              <w:t>o</w:t>
            </w:r>
            <w:r w:rsidRPr="00AB4954">
              <w:rPr>
                <w:spacing w:val="-1"/>
                <w:sz w:val="20"/>
                <w:szCs w:val="20"/>
              </w:rPr>
              <w:t>m</w:t>
            </w:r>
            <w:r w:rsidRPr="00AB4954">
              <w:rPr>
                <w:sz w:val="20"/>
                <w:szCs w:val="20"/>
              </w:rPr>
              <w:t>pan</w:t>
            </w:r>
            <w:r w:rsidRPr="00AB4954">
              <w:rPr>
                <w:spacing w:val="1"/>
                <w:sz w:val="20"/>
                <w:szCs w:val="20"/>
              </w:rPr>
              <w:t>y</w:t>
            </w:r>
            <w:r w:rsidRPr="00AB4954">
              <w:rPr>
                <w:sz w:val="20"/>
                <w:szCs w:val="20"/>
              </w:rPr>
              <w:t xml:space="preserve"> C (all sites </w:t>
            </w:r>
            <w:r w:rsidRPr="00AB4954">
              <w:rPr>
                <w:spacing w:val="1"/>
                <w:sz w:val="20"/>
                <w:szCs w:val="20"/>
              </w:rPr>
              <w:t>c</w:t>
            </w:r>
            <w:r w:rsidRPr="00AB4954">
              <w:rPr>
                <w:sz w:val="20"/>
                <w:szCs w:val="20"/>
              </w:rPr>
              <w:t>o</w:t>
            </w:r>
            <w:r w:rsidRPr="00AB4954">
              <w:rPr>
                <w:spacing w:val="-2"/>
                <w:sz w:val="20"/>
                <w:szCs w:val="20"/>
              </w:rPr>
              <w:t>m</w:t>
            </w:r>
            <w:r w:rsidRPr="00AB4954">
              <w:rPr>
                <w:sz w:val="20"/>
                <w:szCs w:val="20"/>
              </w:rPr>
              <w:t>bi</w:t>
            </w:r>
            <w:r w:rsidRPr="00AB4954">
              <w:rPr>
                <w:spacing w:val="1"/>
                <w:sz w:val="20"/>
                <w:szCs w:val="20"/>
              </w:rPr>
              <w:t>n</w:t>
            </w:r>
            <w:r w:rsidRPr="00AB4954">
              <w:rPr>
                <w:sz w:val="20"/>
                <w:szCs w:val="20"/>
              </w:rPr>
              <w:t>e</w:t>
            </w:r>
            <w:r w:rsidRPr="00AB4954">
              <w:rPr>
                <w:spacing w:val="1"/>
                <w:sz w:val="20"/>
                <w:szCs w:val="20"/>
              </w:rPr>
              <w:t>d</w:t>
            </w:r>
            <w:r w:rsidRPr="00AB4954">
              <w:rPr>
                <w:sz w:val="20"/>
                <w:szCs w:val="20"/>
              </w:rPr>
              <w:t>) were $</w:t>
            </w:r>
            <w:r>
              <w:rPr>
                <w:sz w:val="20"/>
                <w:szCs w:val="20"/>
              </w:rPr>
              <w:t>9</w:t>
            </w:r>
            <w:r w:rsidRPr="00AB4954">
              <w:rPr>
                <w:sz w:val="20"/>
                <w:szCs w:val="20"/>
              </w:rPr>
              <w:t xml:space="preserve">0 </w:t>
            </w:r>
            <w:r w:rsidRPr="00AB4954">
              <w:rPr>
                <w:spacing w:val="-1"/>
                <w:sz w:val="20"/>
                <w:szCs w:val="20"/>
              </w:rPr>
              <w:t>m</w:t>
            </w:r>
            <w:r w:rsidRPr="00AB4954">
              <w:rPr>
                <w:sz w:val="20"/>
                <w:szCs w:val="20"/>
              </w:rPr>
              <w:t>illion</w:t>
            </w:r>
            <w:r w:rsidRPr="00AB4954">
              <w:rPr>
                <w:spacing w:val="1"/>
                <w:sz w:val="20"/>
                <w:szCs w:val="20"/>
              </w:rPr>
              <w:t xml:space="preserve"> </w:t>
            </w:r>
            <w:r w:rsidRPr="00AB4954">
              <w:rPr>
                <w:sz w:val="20"/>
                <w:szCs w:val="20"/>
              </w:rPr>
              <w:t>in 20</w:t>
            </w:r>
            <w:r>
              <w:rPr>
                <w:sz w:val="20"/>
                <w:szCs w:val="20"/>
              </w:rPr>
              <w:t>19</w:t>
            </w:r>
            <w:r w:rsidRPr="00327DBE">
              <w:rPr>
                <w:sz w:val="20"/>
                <w:szCs w:val="20"/>
              </w:rPr>
              <w:t>.</w:t>
            </w:r>
          </w:p>
          <w:p w:rsidRPr="00AB4954" w:rsidR="00DE1F90" w:rsidP="00B641A6" w:rsidRDefault="00DE1F90" w14:paraId="1697E06D" w14:textId="77777777">
            <w:pPr>
              <w:autoSpaceDE w:val="0"/>
              <w:autoSpaceDN w:val="0"/>
              <w:adjustRightInd w:val="0"/>
              <w:spacing w:before="40" w:after="40" w:line="243" w:lineRule="auto"/>
              <w:ind w:left="97" w:right="72"/>
              <w:rPr>
                <w:szCs w:val="24"/>
              </w:rPr>
            </w:pPr>
          </w:p>
        </w:tc>
        <w:tc>
          <w:tcPr>
            <w:tcW w:w="4924" w:type="dxa"/>
            <w:tcBorders>
              <w:top w:val="single" w:color="auto" w:sz="5" w:space="0"/>
              <w:left w:val="single" w:color="auto" w:sz="5" w:space="0"/>
              <w:bottom w:val="single" w:color="auto" w:sz="5" w:space="0"/>
              <w:right w:val="double" w:color="auto" w:sz="2" w:space="0"/>
            </w:tcBorders>
            <w:shd w:val="clear" w:color="auto" w:fill="auto"/>
          </w:tcPr>
          <w:p w:rsidRPr="00AB4954" w:rsidR="00DE1F90" w:rsidP="00B641A6" w:rsidRDefault="00DE1F90" w14:paraId="5B897429" w14:textId="1CB29D0D">
            <w:pPr>
              <w:autoSpaceDE w:val="0"/>
              <w:autoSpaceDN w:val="0"/>
              <w:adjustRightInd w:val="0"/>
              <w:spacing w:before="40" w:after="40" w:line="243" w:lineRule="auto"/>
              <w:ind w:left="87" w:right="51"/>
              <w:rPr>
                <w:szCs w:val="24"/>
              </w:rPr>
            </w:pPr>
            <w:r w:rsidRPr="00AB4954">
              <w:rPr>
                <w:sz w:val="20"/>
                <w:szCs w:val="20"/>
              </w:rPr>
              <w:t>Co</w:t>
            </w:r>
            <w:r w:rsidRPr="00AB4954">
              <w:rPr>
                <w:spacing w:val="-1"/>
                <w:sz w:val="20"/>
                <w:szCs w:val="20"/>
              </w:rPr>
              <w:t>m</w:t>
            </w:r>
            <w:r w:rsidRPr="00AB4954">
              <w:rPr>
                <w:sz w:val="20"/>
                <w:szCs w:val="20"/>
              </w:rPr>
              <w:t>pany</w:t>
            </w:r>
            <w:r w:rsidRPr="00AB4954">
              <w:rPr>
                <w:spacing w:val="1"/>
                <w:sz w:val="20"/>
                <w:szCs w:val="20"/>
              </w:rPr>
              <w:t xml:space="preserve"> </w:t>
            </w:r>
            <w:r w:rsidRPr="00AB4954">
              <w:rPr>
                <w:sz w:val="20"/>
                <w:szCs w:val="20"/>
              </w:rPr>
              <w:t xml:space="preserve">C </w:t>
            </w:r>
            <w:r w:rsidRPr="00AB4954">
              <w:rPr>
                <w:spacing w:val="1"/>
                <w:sz w:val="20"/>
                <w:szCs w:val="20"/>
              </w:rPr>
              <w:t>m</w:t>
            </w:r>
            <w:r w:rsidRPr="00AB4954">
              <w:rPr>
                <w:sz w:val="20"/>
                <w:szCs w:val="20"/>
              </w:rPr>
              <w:t xml:space="preserve">ust report for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ical X</w:t>
            </w:r>
            <w:r w:rsidRPr="00AB4954">
              <w:rPr>
                <w:spacing w:val="1"/>
                <w:sz w:val="20"/>
                <w:szCs w:val="20"/>
              </w:rPr>
              <w:t xml:space="preserve"> </w:t>
            </w:r>
            <w:r w:rsidRPr="00AB4954">
              <w:rPr>
                <w:sz w:val="20"/>
                <w:szCs w:val="20"/>
              </w:rPr>
              <w:t>at</w:t>
            </w:r>
            <w:r w:rsidRPr="00AB4954">
              <w:rPr>
                <w:spacing w:val="1"/>
                <w:sz w:val="20"/>
                <w:szCs w:val="20"/>
              </w:rPr>
              <w:t xml:space="preserve"> </w:t>
            </w:r>
            <w:r w:rsidRPr="00AB4954">
              <w:rPr>
                <w:sz w:val="20"/>
                <w:szCs w:val="20"/>
              </w:rPr>
              <w:t xml:space="preserve">Site </w:t>
            </w:r>
            <w:r w:rsidRPr="00AB4954">
              <w:rPr>
                <w:spacing w:val="1"/>
                <w:sz w:val="20"/>
                <w:szCs w:val="20"/>
              </w:rPr>
              <w:t>3</w:t>
            </w:r>
            <w:r w:rsidRPr="00AB4954">
              <w:rPr>
                <w:sz w:val="20"/>
                <w:szCs w:val="20"/>
              </w:rPr>
              <w:t xml:space="preserve"> because annu</w:t>
            </w:r>
            <w:r w:rsidRPr="00AB4954">
              <w:rPr>
                <w:spacing w:val="1"/>
                <w:sz w:val="20"/>
                <w:szCs w:val="20"/>
              </w:rPr>
              <w:t>a</w:t>
            </w:r>
            <w:r w:rsidRPr="00AB4954">
              <w:rPr>
                <w:sz w:val="20"/>
                <w:szCs w:val="20"/>
              </w:rPr>
              <w:t>l</w:t>
            </w:r>
            <w:r w:rsidRPr="00AB4954">
              <w:rPr>
                <w:spacing w:val="-1"/>
                <w:sz w:val="20"/>
                <w:szCs w:val="20"/>
              </w:rPr>
              <w:t xml:space="preserve"> </w:t>
            </w:r>
            <w:r w:rsidRPr="00AB4954">
              <w:rPr>
                <w:sz w:val="20"/>
                <w:szCs w:val="20"/>
              </w:rPr>
              <w:t xml:space="preserve">production </w:t>
            </w:r>
            <w:r w:rsidRPr="00AB4954">
              <w:rPr>
                <w:spacing w:val="1"/>
                <w:sz w:val="20"/>
                <w:szCs w:val="20"/>
              </w:rPr>
              <w:t>v</w:t>
            </w:r>
            <w:r w:rsidRPr="00AB4954">
              <w:rPr>
                <w:sz w:val="20"/>
                <w:szCs w:val="20"/>
              </w:rPr>
              <w:t>o</w:t>
            </w:r>
            <w:r w:rsidRPr="00AB4954">
              <w:rPr>
                <w:spacing w:val="-1"/>
                <w:sz w:val="20"/>
                <w:szCs w:val="20"/>
              </w:rPr>
              <w:t>l</w:t>
            </w:r>
            <w:r w:rsidRPr="00AB4954">
              <w:rPr>
                <w:sz w:val="20"/>
                <w:szCs w:val="20"/>
              </w:rPr>
              <w:t>u</w:t>
            </w:r>
            <w:r w:rsidRPr="00AB4954">
              <w:rPr>
                <w:spacing w:val="-1"/>
                <w:sz w:val="20"/>
                <w:szCs w:val="20"/>
              </w:rPr>
              <w:t>m</w:t>
            </w:r>
            <w:r w:rsidRPr="00AB4954">
              <w:rPr>
                <w:sz w:val="20"/>
                <w:szCs w:val="20"/>
              </w:rPr>
              <w:t>e at Sit</w:t>
            </w:r>
            <w:r w:rsidRPr="00AB4954">
              <w:rPr>
                <w:spacing w:val="1"/>
                <w:sz w:val="20"/>
                <w:szCs w:val="20"/>
              </w:rPr>
              <w:t>e</w:t>
            </w:r>
            <w:r w:rsidRPr="00AB4954">
              <w:rPr>
                <w:sz w:val="20"/>
                <w:szCs w:val="20"/>
              </w:rPr>
              <w:t xml:space="preserve"> 3 excee</w:t>
            </w:r>
            <w:r w:rsidRPr="00AB4954">
              <w:rPr>
                <w:spacing w:val="1"/>
                <w:sz w:val="20"/>
                <w:szCs w:val="20"/>
              </w:rPr>
              <w:t>d</w:t>
            </w:r>
            <w:r w:rsidRPr="00AB4954">
              <w:rPr>
                <w:spacing w:val="-1"/>
                <w:sz w:val="20"/>
                <w:szCs w:val="20"/>
              </w:rPr>
              <w:t>e</w:t>
            </w:r>
            <w:r w:rsidRPr="00AB4954">
              <w:rPr>
                <w:sz w:val="20"/>
                <w:szCs w:val="20"/>
              </w:rPr>
              <w:t>d 100,00</w:t>
            </w:r>
            <w:r w:rsidRPr="00AB4954">
              <w:rPr>
                <w:spacing w:val="1"/>
                <w:sz w:val="20"/>
                <w:szCs w:val="20"/>
              </w:rPr>
              <w:t>0</w:t>
            </w:r>
            <w:r w:rsidRPr="00AB4954">
              <w:rPr>
                <w:sz w:val="20"/>
                <w:szCs w:val="20"/>
              </w:rPr>
              <w:t xml:space="preserve"> </w:t>
            </w:r>
            <w:r w:rsidRPr="00AB4954">
              <w:rPr>
                <w:spacing w:val="-1"/>
                <w:sz w:val="20"/>
                <w:szCs w:val="20"/>
              </w:rPr>
              <w:t>l</w:t>
            </w:r>
            <w:r w:rsidRPr="00AB4954">
              <w:rPr>
                <w:sz w:val="20"/>
                <w:szCs w:val="20"/>
              </w:rPr>
              <w:t>b in at least one year from 20</w:t>
            </w:r>
            <w:r>
              <w:rPr>
                <w:sz w:val="20"/>
                <w:szCs w:val="20"/>
              </w:rPr>
              <w:t>16</w:t>
            </w:r>
            <w:r w:rsidRPr="00AB4954">
              <w:rPr>
                <w:sz w:val="20"/>
                <w:szCs w:val="20"/>
              </w:rPr>
              <w:t xml:space="preserve"> to 20</w:t>
            </w:r>
            <w:r>
              <w:rPr>
                <w:sz w:val="20"/>
                <w:szCs w:val="20"/>
              </w:rPr>
              <w:t>19</w:t>
            </w:r>
            <w:r w:rsidRPr="00327DBE">
              <w:rPr>
                <w:sz w:val="20"/>
                <w:szCs w:val="20"/>
              </w:rPr>
              <w:t>.</w:t>
            </w:r>
            <w:r w:rsidRPr="00AB4954">
              <w:rPr>
                <w:spacing w:val="1"/>
                <w:sz w:val="20"/>
                <w:szCs w:val="20"/>
              </w:rPr>
              <w:t xml:space="preserve"> </w:t>
            </w:r>
            <w:r w:rsidRPr="00AB4954">
              <w:rPr>
                <w:spacing w:val="-1"/>
                <w:sz w:val="20"/>
                <w:szCs w:val="20"/>
              </w:rPr>
              <w:t>C</w:t>
            </w:r>
            <w:r w:rsidRPr="00AB4954">
              <w:rPr>
                <w:sz w:val="20"/>
                <w:szCs w:val="20"/>
              </w:rPr>
              <w:t>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 xml:space="preserve">y </w:t>
            </w:r>
            <w:r w:rsidRPr="00AB4954">
              <w:rPr>
                <w:spacing w:val="1"/>
                <w:sz w:val="20"/>
                <w:szCs w:val="20"/>
              </w:rPr>
              <w:t>C</w:t>
            </w:r>
            <w:r w:rsidRPr="00AB4954">
              <w:rPr>
                <w:sz w:val="20"/>
                <w:szCs w:val="20"/>
              </w:rPr>
              <w:t xml:space="preserve"> is not</w:t>
            </w:r>
            <w:r w:rsidRPr="00AB4954">
              <w:rPr>
                <w:spacing w:val="-1"/>
                <w:sz w:val="20"/>
                <w:szCs w:val="20"/>
              </w:rPr>
              <w:t xml:space="preserve"> </w:t>
            </w:r>
            <w:r w:rsidRPr="00AB4954">
              <w:rPr>
                <w:sz w:val="20"/>
                <w:szCs w:val="20"/>
              </w:rPr>
              <w:t>r</w:t>
            </w:r>
            <w:r w:rsidRPr="00AB4954">
              <w:rPr>
                <w:spacing w:val="-1"/>
                <w:sz w:val="20"/>
                <w:szCs w:val="20"/>
              </w:rPr>
              <w:t>e</w:t>
            </w:r>
            <w:r w:rsidRPr="00AB4954">
              <w:rPr>
                <w:sz w:val="20"/>
                <w:szCs w:val="20"/>
              </w:rPr>
              <w:t>quir</w:t>
            </w:r>
            <w:r w:rsidRPr="00AB4954">
              <w:rPr>
                <w:spacing w:val="-1"/>
                <w:sz w:val="20"/>
                <w:szCs w:val="20"/>
              </w:rPr>
              <w:t>e</w:t>
            </w:r>
            <w:r w:rsidRPr="00AB4954">
              <w:rPr>
                <w:sz w:val="20"/>
                <w:szCs w:val="20"/>
              </w:rPr>
              <w:t>d to repor</w:t>
            </w:r>
            <w:r w:rsidRPr="00AB4954">
              <w:rPr>
                <w:spacing w:val="1"/>
                <w:sz w:val="20"/>
                <w:szCs w:val="20"/>
              </w:rPr>
              <w:t>t</w:t>
            </w:r>
            <w:r w:rsidRPr="00AB4954">
              <w:rPr>
                <w:sz w:val="20"/>
                <w:szCs w:val="20"/>
              </w:rPr>
              <w:t xml:space="preserve"> for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 xml:space="preserve">ical </w:t>
            </w:r>
            <w:r w:rsidRPr="00AB4954">
              <w:rPr>
                <w:spacing w:val="1"/>
                <w:sz w:val="20"/>
                <w:szCs w:val="20"/>
              </w:rPr>
              <w:t>X</w:t>
            </w:r>
            <w:r w:rsidRPr="00AB4954">
              <w:rPr>
                <w:sz w:val="20"/>
                <w:szCs w:val="20"/>
              </w:rPr>
              <w:t xml:space="preserve"> at</w:t>
            </w:r>
            <w:r w:rsidRPr="00AB4954">
              <w:rPr>
                <w:spacing w:val="1"/>
                <w:sz w:val="20"/>
                <w:szCs w:val="20"/>
              </w:rPr>
              <w:t xml:space="preserve"> </w:t>
            </w:r>
            <w:r w:rsidRPr="00AB4954">
              <w:rPr>
                <w:sz w:val="20"/>
                <w:szCs w:val="20"/>
              </w:rPr>
              <w:t>Site</w:t>
            </w:r>
            <w:r w:rsidRPr="00AB4954">
              <w:rPr>
                <w:spacing w:val="1"/>
                <w:sz w:val="20"/>
                <w:szCs w:val="20"/>
              </w:rPr>
              <w:t xml:space="preserve"> </w:t>
            </w:r>
            <w:r w:rsidRPr="00AB4954">
              <w:rPr>
                <w:sz w:val="20"/>
                <w:szCs w:val="20"/>
              </w:rPr>
              <w:t xml:space="preserve">4 because </w:t>
            </w:r>
            <w:r w:rsidRPr="00AB4954">
              <w:rPr>
                <w:spacing w:val="-1"/>
                <w:sz w:val="20"/>
                <w:szCs w:val="20"/>
              </w:rPr>
              <w:t>a</w:t>
            </w:r>
            <w:r w:rsidRPr="00AB4954">
              <w:rPr>
                <w:sz w:val="20"/>
                <w:szCs w:val="20"/>
              </w:rPr>
              <w:t>nnual produ</w:t>
            </w:r>
            <w:r w:rsidRPr="00AB4954">
              <w:rPr>
                <w:spacing w:val="1"/>
                <w:sz w:val="20"/>
                <w:szCs w:val="20"/>
              </w:rPr>
              <w:t>c</w:t>
            </w:r>
            <w:r w:rsidRPr="00AB4954">
              <w:rPr>
                <w:sz w:val="20"/>
                <w:szCs w:val="20"/>
              </w:rPr>
              <w:t xml:space="preserve">tion </w:t>
            </w:r>
            <w:r w:rsidRPr="00AB4954">
              <w:rPr>
                <w:spacing w:val="-1"/>
                <w:sz w:val="20"/>
                <w:szCs w:val="20"/>
              </w:rPr>
              <w:t>v</w:t>
            </w:r>
            <w:r w:rsidRPr="00AB4954">
              <w:rPr>
                <w:sz w:val="20"/>
                <w:szCs w:val="20"/>
              </w:rPr>
              <w:t>olume at site 4</w:t>
            </w:r>
            <w:r w:rsidRPr="00AB4954">
              <w:rPr>
                <w:spacing w:val="1"/>
                <w:sz w:val="20"/>
                <w:szCs w:val="20"/>
              </w:rPr>
              <w:t xml:space="preserve"> d</w:t>
            </w:r>
            <w:r w:rsidRPr="00AB4954">
              <w:rPr>
                <w:spacing w:val="-1"/>
                <w:sz w:val="20"/>
                <w:szCs w:val="20"/>
              </w:rPr>
              <w:t>i</w:t>
            </w:r>
            <w:r w:rsidRPr="00AB4954">
              <w:rPr>
                <w:sz w:val="20"/>
                <w:szCs w:val="20"/>
              </w:rPr>
              <w:t>d not exc</w:t>
            </w:r>
            <w:r w:rsidRPr="00AB4954">
              <w:rPr>
                <w:spacing w:val="1"/>
                <w:sz w:val="20"/>
                <w:szCs w:val="20"/>
              </w:rPr>
              <w:t>e</w:t>
            </w:r>
            <w:r w:rsidRPr="00AB4954">
              <w:rPr>
                <w:sz w:val="20"/>
                <w:szCs w:val="20"/>
              </w:rPr>
              <w:t>ed</w:t>
            </w:r>
            <w:r w:rsidRPr="00AB4954">
              <w:rPr>
                <w:spacing w:val="-1"/>
                <w:sz w:val="20"/>
                <w:szCs w:val="20"/>
              </w:rPr>
              <w:t xml:space="preserve"> </w:t>
            </w:r>
            <w:r w:rsidRPr="00AB4954">
              <w:rPr>
                <w:sz w:val="20"/>
                <w:szCs w:val="20"/>
              </w:rPr>
              <w:t>100,000 lb</w:t>
            </w:r>
            <w:r w:rsidRPr="00AB4954">
              <w:rPr>
                <w:spacing w:val="1"/>
                <w:sz w:val="20"/>
                <w:szCs w:val="20"/>
              </w:rPr>
              <w:t xml:space="preserve"> </w:t>
            </w:r>
            <w:r w:rsidRPr="00AB4954">
              <w:rPr>
                <w:sz w:val="20"/>
                <w:szCs w:val="20"/>
              </w:rPr>
              <w:t>and</w:t>
            </w:r>
            <w:r w:rsidRPr="00AB4954">
              <w:rPr>
                <w:spacing w:val="1"/>
                <w:sz w:val="20"/>
                <w:szCs w:val="20"/>
              </w:rPr>
              <w:t xml:space="preserve"> </w:t>
            </w:r>
            <w:r w:rsidRPr="00AB4954">
              <w:rPr>
                <w:spacing w:val="-1"/>
                <w:sz w:val="20"/>
                <w:szCs w:val="20"/>
              </w:rPr>
              <w:t>t</w:t>
            </w:r>
            <w:r w:rsidRPr="00AB4954">
              <w:rPr>
                <w:sz w:val="20"/>
                <w:szCs w:val="20"/>
              </w:rPr>
              <w:t>otal an</w:t>
            </w:r>
            <w:r w:rsidRPr="00AB4954">
              <w:rPr>
                <w:spacing w:val="1"/>
                <w:sz w:val="20"/>
                <w:szCs w:val="20"/>
              </w:rPr>
              <w:t>n</w:t>
            </w:r>
            <w:r w:rsidRPr="00AB4954">
              <w:rPr>
                <w:sz w:val="20"/>
                <w:szCs w:val="20"/>
              </w:rPr>
              <w:t>u</w:t>
            </w:r>
            <w:r w:rsidRPr="00AB4954">
              <w:rPr>
                <w:spacing w:val="1"/>
                <w:sz w:val="20"/>
                <w:szCs w:val="20"/>
              </w:rPr>
              <w:t>a</w:t>
            </w:r>
            <w:r w:rsidRPr="00AB4954">
              <w:rPr>
                <w:sz w:val="20"/>
                <w:szCs w:val="20"/>
              </w:rPr>
              <w:t xml:space="preserve">l </w:t>
            </w:r>
            <w:r w:rsidRPr="00AB4954">
              <w:rPr>
                <w:spacing w:val="-1"/>
                <w:sz w:val="20"/>
                <w:szCs w:val="20"/>
              </w:rPr>
              <w:t>s</w:t>
            </w:r>
            <w:r w:rsidRPr="00AB4954">
              <w:rPr>
                <w:sz w:val="20"/>
                <w:szCs w:val="20"/>
              </w:rPr>
              <w:t>ales was</w:t>
            </w:r>
            <w:r w:rsidRPr="00AB4954">
              <w:rPr>
                <w:spacing w:val="-1"/>
                <w:sz w:val="20"/>
                <w:szCs w:val="20"/>
              </w:rPr>
              <w:t xml:space="preserve"> </w:t>
            </w:r>
            <w:r w:rsidRPr="00AB4954">
              <w:rPr>
                <w:sz w:val="20"/>
                <w:szCs w:val="20"/>
              </w:rPr>
              <w:t>le</w:t>
            </w:r>
            <w:r w:rsidRPr="00AB4954">
              <w:rPr>
                <w:spacing w:val="-1"/>
                <w:sz w:val="20"/>
                <w:szCs w:val="20"/>
              </w:rPr>
              <w:t>s</w:t>
            </w:r>
            <w:r w:rsidRPr="00AB4954">
              <w:rPr>
                <w:sz w:val="20"/>
                <w:szCs w:val="20"/>
              </w:rPr>
              <w:t>s th</w:t>
            </w:r>
            <w:r w:rsidRPr="00AB4954">
              <w:rPr>
                <w:spacing w:val="1"/>
                <w:sz w:val="20"/>
                <w:szCs w:val="20"/>
              </w:rPr>
              <w:t>a</w:t>
            </w:r>
            <w:r w:rsidRPr="00AB4954">
              <w:rPr>
                <w:sz w:val="20"/>
                <w:szCs w:val="20"/>
              </w:rPr>
              <w:t>n $</w:t>
            </w:r>
            <w:r>
              <w:rPr>
                <w:sz w:val="20"/>
                <w:szCs w:val="20"/>
              </w:rPr>
              <w:t>120</w:t>
            </w:r>
            <w:r w:rsidRPr="00AB4954">
              <w:rPr>
                <w:sz w:val="20"/>
                <w:szCs w:val="20"/>
              </w:rPr>
              <w:t xml:space="preserve"> milli</w:t>
            </w:r>
            <w:r w:rsidRPr="00AB4954">
              <w:rPr>
                <w:spacing w:val="1"/>
                <w:sz w:val="20"/>
                <w:szCs w:val="20"/>
              </w:rPr>
              <w:t>o</w:t>
            </w:r>
            <w:r w:rsidRPr="00AB4954">
              <w:rPr>
                <w:sz w:val="20"/>
                <w:szCs w:val="20"/>
              </w:rPr>
              <w:t>n</w:t>
            </w:r>
            <w:r w:rsidRPr="00AB4954">
              <w:rPr>
                <w:spacing w:val="1"/>
                <w:sz w:val="20"/>
                <w:szCs w:val="20"/>
              </w:rPr>
              <w:t>.</w:t>
            </w:r>
          </w:p>
          <w:p w:rsidRPr="00AB4954" w:rsidR="00DE1F90" w:rsidP="00B641A6" w:rsidRDefault="00DE1F90" w14:paraId="433A3C6F" w14:textId="77777777">
            <w:pPr>
              <w:autoSpaceDE w:val="0"/>
              <w:autoSpaceDN w:val="0"/>
              <w:adjustRightInd w:val="0"/>
              <w:spacing w:before="40" w:after="40" w:line="243" w:lineRule="auto"/>
              <w:ind w:left="87" w:right="51"/>
              <w:rPr>
                <w:szCs w:val="24"/>
              </w:rPr>
            </w:pPr>
          </w:p>
        </w:tc>
      </w:tr>
      <w:tr w:rsidRPr="008814F8" w:rsidR="00DE1F90" w:rsidTr="00B641A6" w14:paraId="3D386153" w14:textId="77777777">
        <w:trPr>
          <w:trHeight w:val="1542" w:hRule="exact"/>
        </w:trPr>
        <w:tc>
          <w:tcPr>
            <w:tcW w:w="5050" w:type="dxa"/>
            <w:tcBorders>
              <w:top w:val="single" w:color="auto" w:sz="5" w:space="0"/>
              <w:left w:val="double" w:color="auto" w:sz="2" w:space="0"/>
              <w:bottom w:val="single" w:color="auto" w:sz="5" w:space="0"/>
              <w:right w:val="single" w:color="auto" w:sz="5" w:space="0"/>
            </w:tcBorders>
            <w:shd w:val="clear" w:color="auto" w:fill="auto"/>
          </w:tcPr>
          <w:p w:rsidRPr="00AB4954" w:rsidR="00DE1F90" w:rsidP="00B641A6" w:rsidRDefault="00DE1F90" w14:paraId="60BA7EFB" w14:textId="77777777">
            <w:pPr>
              <w:autoSpaceDE w:val="0"/>
              <w:autoSpaceDN w:val="0"/>
              <w:adjustRightInd w:val="0"/>
              <w:spacing w:before="40" w:after="40" w:line="245" w:lineRule="auto"/>
              <w:ind w:left="97" w:right="184"/>
              <w:rPr>
                <w:szCs w:val="24"/>
              </w:rPr>
            </w:pPr>
            <w:r w:rsidRPr="00327DBE">
              <w:rPr>
                <w:sz w:val="20"/>
                <w:szCs w:val="20"/>
              </w:rPr>
              <w:t>Site 5</w:t>
            </w:r>
            <w:r w:rsidRPr="00AB4954">
              <w:rPr>
                <w:spacing w:val="1"/>
                <w:sz w:val="20"/>
                <w:szCs w:val="20"/>
              </w:rPr>
              <w:t>,</w:t>
            </w:r>
            <w:r w:rsidRPr="00AB4954">
              <w:rPr>
                <w:sz w:val="20"/>
                <w:szCs w:val="20"/>
              </w:rPr>
              <w:t xml:space="preserve"> which is one of seve</w:t>
            </w:r>
            <w:r w:rsidRPr="00AB4954">
              <w:rPr>
                <w:spacing w:val="1"/>
                <w:sz w:val="20"/>
                <w:szCs w:val="20"/>
              </w:rPr>
              <w:t>r</w:t>
            </w:r>
            <w:r w:rsidRPr="00AB4954">
              <w:rPr>
                <w:sz w:val="20"/>
                <w:szCs w:val="20"/>
              </w:rPr>
              <w:t>al si</w:t>
            </w:r>
            <w:r w:rsidRPr="00AB4954">
              <w:rPr>
                <w:spacing w:val="-1"/>
                <w:sz w:val="20"/>
                <w:szCs w:val="20"/>
              </w:rPr>
              <w:t>t</w:t>
            </w:r>
            <w:r w:rsidRPr="00AB4954">
              <w:rPr>
                <w:sz w:val="20"/>
                <w:szCs w:val="20"/>
              </w:rPr>
              <w:t xml:space="preserve">es </w:t>
            </w:r>
            <w:r w:rsidRPr="00AB4954">
              <w:rPr>
                <w:spacing w:val="1"/>
                <w:sz w:val="20"/>
                <w:szCs w:val="20"/>
              </w:rPr>
              <w:t>o</w:t>
            </w:r>
            <w:r w:rsidRPr="00AB4954">
              <w:rPr>
                <w:sz w:val="20"/>
                <w:szCs w:val="20"/>
              </w:rPr>
              <w:t xml:space="preserve">wned </w:t>
            </w:r>
            <w:r w:rsidRPr="00AB4954">
              <w:rPr>
                <w:spacing w:val="-1"/>
                <w:sz w:val="20"/>
                <w:szCs w:val="20"/>
              </w:rPr>
              <w:t>b</w:t>
            </w:r>
            <w:r w:rsidRPr="00AB4954">
              <w:rPr>
                <w:sz w:val="20"/>
                <w:szCs w:val="20"/>
              </w:rPr>
              <w:t>y Co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D, h</w:t>
            </w:r>
            <w:r w:rsidRPr="00AB4954">
              <w:rPr>
                <w:spacing w:val="1"/>
                <w:sz w:val="20"/>
                <w:szCs w:val="20"/>
              </w:rPr>
              <w:t>a</w:t>
            </w:r>
            <w:r w:rsidRPr="00AB4954">
              <w:rPr>
                <w:sz w:val="20"/>
                <w:szCs w:val="20"/>
              </w:rPr>
              <w:t>d a produ</w:t>
            </w:r>
            <w:r w:rsidRPr="00AB4954">
              <w:rPr>
                <w:spacing w:val="1"/>
                <w:sz w:val="20"/>
                <w:szCs w:val="20"/>
              </w:rPr>
              <w:t>c</w:t>
            </w:r>
            <w:r w:rsidRPr="00AB4954">
              <w:rPr>
                <w:sz w:val="20"/>
                <w:szCs w:val="20"/>
              </w:rPr>
              <w:t>t</w:t>
            </w:r>
            <w:r w:rsidRPr="00AB4954">
              <w:rPr>
                <w:spacing w:val="-1"/>
                <w:sz w:val="20"/>
                <w:szCs w:val="20"/>
              </w:rPr>
              <w:t>i</w:t>
            </w:r>
            <w:r w:rsidRPr="00AB4954">
              <w:rPr>
                <w:sz w:val="20"/>
                <w:szCs w:val="20"/>
              </w:rPr>
              <w:t>on volu</w:t>
            </w:r>
            <w:r w:rsidRPr="00AB4954">
              <w:rPr>
                <w:spacing w:val="-1"/>
                <w:sz w:val="20"/>
                <w:szCs w:val="20"/>
              </w:rPr>
              <w:t>m</w:t>
            </w:r>
            <w:r w:rsidRPr="00AB4954">
              <w:rPr>
                <w:sz w:val="20"/>
                <w:szCs w:val="20"/>
              </w:rPr>
              <w:t>e o</w:t>
            </w:r>
            <w:r w:rsidRPr="00AB4954">
              <w:rPr>
                <w:spacing w:val="1"/>
                <w:sz w:val="20"/>
                <w:szCs w:val="20"/>
              </w:rPr>
              <w:t>f</w:t>
            </w:r>
            <w:r w:rsidRPr="00AB4954">
              <w:rPr>
                <w:sz w:val="20"/>
                <w:szCs w:val="20"/>
              </w:rPr>
              <w:t xml:space="preserve"> 50,000 lb of Che</w:t>
            </w:r>
            <w:r w:rsidRPr="00AB4954">
              <w:rPr>
                <w:spacing w:val="-2"/>
                <w:sz w:val="20"/>
                <w:szCs w:val="20"/>
              </w:rPr>
              <w:t>m</w:t>
            </w:r>
            <w:r w:rsidRPr="00AB4954">
              <w:rPr>
                <w:sz w:val="20"/>
                <w:szCs w:val="20"/>
              </w:rPr>
              <w:t xml:space="preserve">ical </w:t>
            </w:r>
            <w:r w:rsidRPr="00AB4954">
              <w:rPr>
                <w:spacing w:val="1"/>
                <w:sz w:val="20"/>
                <w:szCs w:val="20"/>
              </w:rPr>
              <w:t>X</w:t>
            </w:r>
            <w:r w:rsidRPr="00AB4954">
              <w:rPr>
                <w:sz w:val="20"/>
                <w:szCs w:val="20"/>
              </w:rPr>
              <w:t xml:space="preserve"> in 20</w:t>
            </w:r>
            <w:r>
              <w:rPr>
                <w:sz w:val="20"/>
                <w:szCs w:val="20"/>
              </w:rPr>
              <w:t>18</w:t>
            </w:r>
            <w:r w:rsidRPr="00327DBE">
              <w:rPr>
                <w:sz w:val="20"/>
                <w:szCs w:val="20"/>
              </w:rPr>
              <w:t>. The to</w:t>
            </w:r>
            <w:r w:rsidRPr="00AB4954">
              <w:rPr>
                <w:spacing w:val="1"/>
                <w:sz w:val="20"/>
                <w:szCs w:val="20"/>
              </w:rPr>
              <w:t>t</w:t>
            </w:r>
            <w:r w:rsidRPr="00AB4954">
              <w:rPr>
                <w:sz w:val="20"/>
                <w:szCs w:val="20"/>
              </w:rPr>
              <w:t>al ann</w:t>
            </w:r>
            <w:r w:rsidRPr="00AB4954">
              <w:rPr>
                <w:spacing w:val="1"/>
                <w:sz w:val="20"/>
                <w:szCs w:val="20"/>
              </w:rPr>
              <w:t>u</w:t>
            </w:r>
            <w:r w:rsidRPr="00AB4954">
              <w:rPr>
                <w:sz w:val="20"/>
                <w:szCs w:val="20"/>
              </w:rPr>
              <w:t>al sales of Co</w:t>
            </w:r>
            <w:r w:rsidRPr="00AB4954">
              <w:rPr>
                <w:spacing w:val="-1"/>
                <w:sz w:val="20"/>
                <w:szCs w:val="20"/>
              </w:rPr>
              <w:t>m</w:t>
            </w:r>
            <w:r w:rsidRPr="00AB4954">
              <w:rPr>
                <w:sz w:val="20"/>
                <w:szCs w:val="20"/>
              </w:rPr>
              <w:t>pany D</w:t>
            </w:r>
            <w:r w:rsidRPr="00AB4954">
              <w:rPr>
                <w:spacing w:val="-1"/>
                <w:sz w:val="20"/>
                <w:szCs w:val="20"/>
              </w:rPr>
              <w:t xml:space="preserve"> </w:t>
            </w:r>
            <w:r w:rsidRPr="00AB4954">
              <w:rPr>
                <w:sz w:val="20"/>
                <w:szCs w:val="20"/>
              </w:rPr>
              <w:t>(all sites co</w:t>
            </w:r>
            <w:r w:rsidRPr="00AB4954">
              <w:rPr>
                <w:spacing w:val="-1"/>
                <w:sz w:val="20"/>
                <w:szCs w:val="20"/>
              </w:rPr>
              <w:t>m</w:t>
            </w:r>
            <w:r w:rsidRPr="00AB4954">
              <w:rPr>
                <w:sz w:val="20"/>
                <w:szCs w:val="20"/>
              </w:rPr>
              <w:t>bin</w:t>
            </w:r>
            <w:r w:rsidRPr="00AB4954">
              <w:rPr>
                <w:spacing w:val="1"/>
                <w:sz w:val="20"/>
                <w:szCs w:val="20"/>
              </w:rPr>
              <w:t>e</w:t>
            </w:r>
            <w:r w:rsidRPr="00AB4954">
              <w:rPr>
                <w:sz w:val="20"/>
                <w:szCs w:val="20"/>
              </w:rPr>
              <w:t>d) were $1</w:t>
            </w:r>
            <w:r>
              <w:rPr>
                <w:sz w:val="20"/>
                <w:szCs w:val="20"/>
              </w:rPr>
              <w:t>25</w:t>
            </w:r>
            <w:r w:rsidRPr="00AB4954">
              <w:rPr>
                <w:spacing w:val="1"/>
                <w:sz w:val="20"/>
                <w:szCs w:val="20"/>
              </w:rPr>
              <w:t xml:space="preserve"> </w:t>
            </w:r>
            <w:r w:rsidRPr="00AB4954">
              <w:rPr>
                <w:spacing w:val="-1"/>
                <w:sz w:val="20"/>
                <w:szCs w:val="20"/>
              </w:rPr>
              <w:t>m</w:t>
            </w:r>
            <w:r w:rsidRPr="00AB4954">
              <w:rPr>
                <w:sz w:val="20"/>
                <w:szCs w:val="20"/>
              </w:rPr>
              <w:t>il</w:t>
            </w:r>
            <w:r w:rsidRPr="00AB4954">
              <w:rPr>
                <w:spacing w:val="-1"/>
                <w:sz w:val="20"/>
                <w:szCs w:val="20"/>
              </w:rPr>
              <w:t>l</w:t>
            </w:r>
            <w:r w:rsidRPr="00AB4954">
              <w:rPr>
                <w:sz w:val="20"/>
                <w:szCs w:val="20"/>
              </w:rPr>
              <w:t>ion</w:t>
            </w:r>
            <w:r w:rsidRPr="00AB4954">
              <w:rPr>
                <w:spacing w:val="1"/>
                <w:sz w:val="20"/>
                <w:szCs w:val="20"/>
              </w:rPr>
              <w:t xml:space="preserve"> </w:t>
            </w:r>
            <w:r w:rsidRPr="00AB4954">
              <w:rPr>
                <w:sz w:val="20"/>
                <w:szCs w:val="20"/>
              </w:rPr>
              <w:t>in</w:t>
            </w:r>
            <w:r w:rsidRPr="00AB4954">
              <w:rPr>
                <w:spacing w:val="1"/>
                <w:sz w:val="20"/>
                <w:szCs w:val="20"/>
              </w:rPr>
              <w:t xml:space="preserve"> </w:t>
            </w:r>
            <w:r w:rsidRPr="00AB4954">
              <w:rPr>
                <w:sz w:val="20"/>
                <w:szCs w:val="20"/>
              </w:rPr>
              <w:t>20</w:t>
            </w:r>
            <w:r>
              <w:rPr>
                <w:sz w:val="20"/>
                <w:szCs w:val="20"/>
              </w:rPr>
              <w:t>19</w:t>
            </w:r>
            <w:r w:rsidRPr="00327DBE">
              <w:rPr>
                <w:sz w:val="20"/>
                <w:szCs w:val="20"/>
              </w:rPr>
              <w:t>.</w:t>
            </w:r>
          </w:p>
          <w:p w:rsidRPr="00AB4954" w:rsidR="00DE1F90" w:rsidP="00B641A6" w:rsidRDefault="00DE1F90" w14:paraId="6DA63ED2" w14:textId="77777777">
            <w:pPr>
              <w:autoSpaceDE w:val="0"/>
              <w:autoSpaceDN w:val="0"/>
              <w:adjustRightInd w:val="0"/>
              <w:spacing w:before="40" w:after="40" w:line="245" w:lineRule="auto"/>
              <w:ind w:left="97" w:right="184"/>
              <w:rPr>
                <w:szCs w:val="24"/>
              </w:rPr>
            </w:pPr>
          </w:p>
        </w:tc>
        <w:tc>
          <w:tcPr>
            <w:tcW w:w="4924" w:type="dxa"/>
            <w:tcBorders>
              <w:top w:val="single" w:color="auto" w:sz="5" w:space="0"/>
              <w:left w:val="single" w:color="auto" w:sz="5" w:space="0"/>
              <w:bottom w:val="single" w:color="auto" w:sz="5" w:space="0"/>
              <w:right w:val="double" w:color="auto" w:sz="2" w:space="0"/>
            </w:tcBorders>
            <w:shd w:val="clear" w:color="auto" w:fill="auto"/>
          </w:tcPr>
          <w:p w:rsidRPr="00AB4954" w:rsidR="00DE1F90" w:rsidP="00B641A6" w:rsidRDefault="00DE1F90" w14:paraId="1DC4DDC0" w14:textId="26CEF694">
            <w:pPr>
              <w:autoSpaceDE w:val="0"/>
              <w:autoSpaceDN w:val="0"/>
              <w:adjustRightInd w:val="0"/>
              <w:spacing w:before="40" w:after="40" w:line="245" w:lineRule="auto"/>
              <w:ind w:left="87" w:right="165"/>
              <w:rPr>
                <w:szCs w:val="24"/>
              </w:rPr>
            </w:pPr>
            <w:r w:rsidRPr="00AB4954">
              <w:rPr>
                <w:sz w:val="20"/>
                <w:szCs w:val="20"/>
              </w:rPr>
              <w:t>Co</w:t>
            </w:r>
            <w:r w:rsidRPr="00AB4954">
              <w:rPr>
                <w:spacing w:val="-1"/>
                <w:sz w:val="20"/>
                <w:szCs w:val="20"/>
              </w:rPr>
              <w:t>m</w:t>
            </w:r>
            <w:r w:rsidRPr="00AB4954">
              <w:rPr>
                <w:sz w:val="20"/>
                <w:szCs w:val="20"/>
              </w:rPr>
              <w:t>pany</w:t>
            </w:r>
            <w:r w:rsidRPr="00AB4954">
              <w:rPr>
                <w:spacing w:val="1"/>
                <w:sz w:val="20"/>
                <w:szCs w:val="20"/>
              </w:rPr>
              <w:t xml:space="preserve"> </w:t>
            </w:r>
            <w:r w:rsidRPr="00AB4954">
              <w:rPr>
                <w:sz w:val="20"/>
                <w:szCs w:val="20"/>
              </w:rPr>
              <w:t>D</w:t>
            </w:r>
            <w:r w:rsidRPr="00AB4954">
              <w:rPr>
                <w:spacing w:val="1"/>
                <w:sz w:val="20"/>
                <w:szCs w:val="20"/>
              </w:rPr>
              <w:t xml:space="preserve"> </w:t>
            </w:r>
            <w:r w:rsidRPr="00AB4954">
              <w:rPr>
                <w:spacing w:val="-2"/>
                <w:sz w:val="20"/>
                <w:szCs w:val="20"/>
              </w:rPr>
              <w:t>m</w:t>
            </w:r>
            <w:r w:rsidRPr="00AB4954">
              <w:rPr>
                <w:sz w:val="20"/>
                <w:szCs w:val="20"/>
              </w:rPr>
              <w:t>us</w:t>
            </w:r>
            <w:r w:rsidRPr="00AB4954">
              <w:rPr>
                <w:spacing w:val="1"/>
                <w:sz w:val="20"/>
                <w:szCs w:val="20"/>
              </w:rPr>
              <w:t>t</w:t>
            </w:r>
            <w:r w:rsidRPr="00AB4954">
              <w:rPr>
                <w:sz w:val="20"/>
                <w:szCs w:val="20"/>
              </w:rPr>
              <w:t xml:space="preserve"> report for Che</w:t>
            </w:r>
            <w:r w:rsidRPr="00AB4954">
              <w:rPr>
                <w:spacing w:val="-1"/>
                <w:sz w:val="20"/>
                <w:szCs w:val="20"/>
              </w:rPr>
              <w:t>m</w:t>
            </w:r>
            <w:r w:rsidRPr="00AB4954">
              <w:rPr>
                <w:sz w:val="20"/>
                <w:szCs w:val="20"/>
              </w:rPr>
              <w:t xml:space="preserve">ical X </w:t>
            </w:r>
            <w:r w:rsidRPr="00AB4954">
              <w:rPr>
                <w:spacing w:val="1"/>
                <w:sz w:val="20"/>
                <w:szCs w:val="20"/>
              </w:rPr>
              <w:t>a</w:t>
            </w:r>
            <w:r w:rsidRPr="00AB4954">
              <w:rPr>
                <w:sz w:val="20"/>
                <w:szCs w:val="20"/>
              </w:rPr>
              <w:t>t S</w:t>
            </w:r>
            <w:r w:rsidRPr="00AB4954">
              <w:rPr>
                <w:spacing w:val="1"/>
                <w:sz w:val="20"/>
                <w:szCs w:val="20"/>
              </w:rPr>
              <w:t>i</w:t>
            </w:r>
            <w:r w:rsidRPr="00AB4954">
              <w:rPr>
                <w:sz w:val="20"/>
                <w:szCs w:val="20"/>
              </w:rPr>
              <w:t xml:space="preserve">te </w:t>
            </w:r>
            <w:r w:rsidRPr="00AB4954">
              <w:rPr>
                <w:spacing w:val="1"/>
                <w:sz w:val="20"/>
                <w:szCs w:val="20"/>
              </w:rPr>
              <w:t>5</w:t>
            </w:r>
            <w:r w:rsidRPr="00AB4954">
              <w:rPr>
                <w:sz w:val="20"/>
                <w:szCs w:val="20"/>
              </w:rPr>
              <w:t xml:space="preserve"> because tot</w:t>
            </w:r>
            <w:r w:rsidRPr="00AB4954">
              <w:rPr>
                <w:spacing w:val="1"/>
                <w:sz w:val="20"/>
                <w:szCs w:val="20"/>
              </w:rPr>
              <w:t>a</w:t>
            </w:r>
            <w:r w:rsidRPr="00AB4954">
              <w:rPr>
                <w:sz w:val="20"/>
                <w:szCs w:val="20"/>
              </w:rPr>
              <w:t>l annual sales in</w:t>
            </w:r>
            <w:r w:rsidRPr="00AB4954">
              <w:rPr>
                <w:spacing w:val="-1"/>
                <w:sz w:val="20"/>
                <w:szCs w:val="20"/>
              </w:rPr>
              <w:t xml:space="preserve"> </w:t>
            </w:r>
            <w:r w:rsidRPr="00AB4954">
              <w:rPr>
                <w:sz w:val="20"/>
                <w:szCs w:val="20"/>
              </w:rPr>
              <w:t>20</w:t>
            </w:r>
            <w:r>
              <w:rPr>
                <w:sz w:val="20"/>
                <w:szCs w:val="20"/>
              </w:rPr>
              <w:t>19</w:t>
            </w:r>
            <w:r w:rsidRPr="00327DBE">
              <w:rPr>
                <w:sz w:val="20"/>
                <w:szCs w:val="20"/>
              </w:rPr>
              <w:t xml:space="preserve"> excee</w:t>
            </w:r>
            <w:r w:rsidRPr="00AB4954">
              <w:rPr>
                <w:spacing w:val="1"/>
                <w:sz w:val="20"/>
                <w:szCs w:val="20"/>
              </w:rPr>
              <w:t>d</w:t>
            </w:r>
            <w:r w:rsidRPr="00AB4954">
              <w:rPr>
                <w:spacing w:val="-1"/>
                <w:sz w:val="20"/>
                <w:szCs w:val="20"/>
              </w:rPr>
              <w:t>e</w:t>
            </w:r>
            <w:r w:rsidRPr="00AB4954">
              <w:rPr>
                <w:sz w:val="20"/>
                <w:szCs w:val="20"/>
              </w:rPr>
              <w:t>d $</w:t>
            </w:r>
            <w:r>
              <w:rPr>
                <w:sz w:val="20"/>
                <w:szCs w:val="20"/>
              </w:rPr>
              <w:t>120</w:t>
            </w:r>
            <w:r w:rsidRPr="00AB4954">
              <w:rPr>
                <w:sz w:val="20"/>
                <w:szCs w:val="20"/>
              </w:rPr>
              <w:t xml:space="preserve"> million</w:t>
            </w:r>
            <w:r w:rsidRPr="00AB4954">
              <w:rPr>
                <w:spacing w:val="1"/>
                <w:sz w:val="20"/>
                <w:szCs w:val="20"/>
              </w:rPr>
              <w:t xml:space="preserve"> </w:t>
            </w:r>
            <w:r w:rsidRPr="00AB4954">
              <w:rPr>
                <w:sz w:val="20"/>
                <w:szCs w:val="20"/>
              </w:rPr>
              <w:t>a</w:t>
            </w:r>
            <w:r w:rsidRPr="00AB4954">
              <w:rPr>
                <w:spacing w:val="1"/>
                <w:sz w:val="20"/>
                <w:szCs w:val="20"/>
              </w:rPr>
              <w:t>n</w:t>
            </w:r>
            <w:r w:rsidRPr="00AB4954">
              <w:rPr>
                <w:sz w:val="20"/>
                <w:szCs w:val="20"/>
              </w:rPr>
              <w:t>d th</w:t>
            </w:r>
            <w:r w:rsidRPr="00AB4954">
              <w:rPr>
                <w:spacing w:val="1"/>
                <w:sz w:val="20"/>
                <w:szCs w:val="20"/>
              </w:rPr>
              <w:t>e</w:t>
            </w:r>
            <w:r w:rsidRPr="00AB4954">
              <w:rPr>
                <w:sz w:val="20"/>
                <w:szCs w:val="20"/>
              </w:rPr>
              <w:t xml:space="preserve"> production volu</w:t>
            </w:r>
            <w:r w:rsidRPr="00AB4954">
              <w:rPr>
                <w:spacing w:val="-1"/>
                <w:sz w:val="20"/>
                <w:szCs w:val="20"/>
              </w:rPr>
              <w:t>m</w:t>
            </w:r>
            <w:r w:rsidRPr="00AB4954">
              <w:rPr>
                <w:sz w:val="20"/>
                <w:szCs w:val="20"/>
              </w:rPr>
              <w:t>e of</w:t>
            </w:r>
            <w:r w:rsidRPr="00AB4954">
              <w:rPr>
                <w:spacing w:val="1"/>
                <w:sz w:val="20"/>
                <w:szCs w:val="20"/>
              </w:rPr>
              <w:t xml:space="preserve"> </w:t>
            </w:r>
            <w:r w:rsidRPr="00AB4954">
              <w:rPr>
                <w:sz w:val="20"/>
                <w:szCs w:val="20"/>
              </w:rPr>
              <w:t>C</w:t>
            </w:r>
            <w:r w:rsidRPr="00AB4954">
              <w:rPr>
                <w:spacing w:val="1"/>
                <w:sz w:val="20"/>
                <w:szCs w:val="20"/>
              </w:rPr>
              <w:t>h</w:t>
            </w:r>
            <w:r w:rsidRPr="00AB4954">
              <w:rPr>
                <w:sz w:val="20"/>
                <w:szCs w:val="20"/>
              </w:rPr>
              <w:t>e</w:t>
            </w:r>
            <w:r w:rsidRPr="00AB4954">
              <w:rPr>
                <w:spacing w:val="-2"/>
                <w:sz w:val="20"/>
                <w:szCs w:val="20"/>
              </w:rPr>
              <w:t>m</w:t>
            </w:r>
            <w:r w:rsidRPr="00AB4954">
              <w:rPr>
                <w:sz w:val="20"/>
                <w:szCs w:val="20"/>
              </w:rPr>
              <w:t>ic</w:t>
            </w:r>
            <w:r w:rsidRPr="00AB4954">
              <w:rPr>
                <w:spacing w:val="-1"/>
                <w:sz w:val="20"/>
                <w:szCs w:val="20"/>
              </w:rPr>
              <w:t>a</w:t>
            </w:r>
            <w:r w:rsidRPr="00AB4954">
              <w:rPr>
                <w:sz w:val="20"/>
                <w:szCs w:val="20"/>
              </w:rPr>
              <w:t>l X at Site 5</w:t>
            </w:r>
            <w:r w:rsidRPr="00AB4954">
              <w:rPr>
                <w:spacing w:val="1"/>
                <w:sz w:val="20"/>
                <w:szCs w:val="20"/>
              </w:rPr>
              <w:t xml:space="preserve"> </w:t>
            </w:r>
            <w:r w:rsidRPr="00AB4954">
              <w:rPr>
                <w:sz w:val="20"/>
                <w:szCs w:val="20"/>
              </w:rPr>
              <w:t>exceeded 25,000 lb in at least one year from 20</w:t>
            </w:r>
            <w:r>
              <w:rPr>
                <w:sz w:val="20"/>
                <w:szCs w:val="20"/>
              </w:rPr>
              <w:t>16</w:t>
            </w:r>
            <w:r w:rsidRPr="00AB4954">
              <w:rPr>
                <w:sz w:val="20"/>
                <w:szCs w:val="20"/>
              </w:rPr>
              <w:t xml:space="preserve"> to 20</w:t>
            </w:r>
            <w:r>
              <w:rPr>
                <w:sz w:val="20"/>
                <w:szCs w:val="20"/>
              </w:rPr>
              <w:t>19</w:t>
            </w:r>
            <w:r w:rsidRPr="00327DBE">
              <w:rPr>
                <w:sz w:val="20"/>
                <w:szCs w:val="20"/>
              </w:rPr>
              <w:t>.</w:t>
            </w:r>
          </w:p>
          <w:p w:rsidRPr="00AB4954" w:rsidR="00DE1F90" w:rsidP="00B641A6" w:rsidRDefault="00DE1F90" w14:paraId="247BD21D" w14:textId="77777777">
            <w:pPr>
              <w:autoSpaceDE w:val="0"/>
              <w:autoSpaceDN w:val="0"/>
              <w:adjustRightInd w:val="0"/>
              <w:spacing w:before="40" w:after="40" w:line="245" w:lineRule="auto"/>
              <w:ind w:left="87" w:right="165"/>
              <w:rPr>
                <w:szCs w:val="24"/>
              </w:rPr>
            </w:pPr>
          </w:p>
        </w:tc>
      </w:tr>
      <w:tr w:rsidRPr="008814F8" w:rsidR="00DE1F90" w:rsidTr="00B641A6" w14:paraId="570940A7" w14:textId="77777777">
        <w:trPr>
          <w:trHeight w:val="1359" w:hRule="exact"/>
        </w:trPr>
        <w:tc>
          <w:tcPr>
            <w:tcW w:w="5050" w:type="dxa"/>
            <w:tcBorders>
              <w:top w:val="single" w:color="auto" w:sz="5" w:space="0"/>
              <w:left w:val="double" w:color="auto" w:sz="2" w:space="0"/>
              <w:bottom w:val="single" w:color="auto" w:sz="5" w:space="0"/>
              <w:right w:val="single" w:color="auto" w:sz="5" w:space="0"/>
            </w:tcBorders>
            <w:shd w:val="clear" w:color="auto" w:fill="auto"/>
          </w:tcPr>
          <w:p w:rsidRPr="00AB4954" w:rsidR="00DE1F90" w:rsidP="00B641A6" w:rsidRDefault="00DE1F90" w14:paraId="36FA8F3C" w14:textId="6CD6532B">
            <w:pPr>
              <w:autoSpaceDE w:val="0"/>
              <w:autoSpaceDN w:val="0"/>
              <w:adjustRightInd w:val="0"/>
              <w:spacing w:before="40" w:after="40" w:line="244" w:lineRule="auto"/>
              <w:ind w:left="97" w:right="207"/>
              <w:rPr>
                <w:szCs w:val="24"/>
              </w:rPr>
            </w:pPr>
            <w:r w:rsidRPr="00327DBE">
              <w:rPr>
                <w:sz w:val="20"/>
                <w:szCs w:val="20"/>
              </w:rPr>
              <w:t>Site 6, which</w:t>
            </w:r>
            <w:r w:rsidRPr="00AB4954">
              <w:rPr>
                <w:spacing w:val="1"/>
                <w:sz w:val="20"/>
                <w:szCs w:val="20"/>
              </w:rPr>
              <w:t xml:space="preserve"> </w:t>
            </w:r>
            <w:r w:rsidRPr="00AB4954">
              <w:rPr>
                <w:spacing w:val="-1"/>
                <w:sz w:val="20"/>
                <w:szCs w:val="20"/>
              </w:rPr>
              <w:t>i</w:t>
            </w:r>
            <w:r w:rsidRPr="00AB4954">
              <w:rPr>
                <w:sz w:val="20"/>
                <w:szCs w:val="20"/>
              </w:rPr>
              <w:t>s one o</w:t>
            </w:r>
            <w:r w:rsidRPr="00AB4954">
              <w:rPr>
                <w:spacing w:val="1"/>
                <w:sz w:val="20"/>
                <w:szCs w:val="20"/>
              </w:rPr>
              <w:t>f</w:t>
            </w:r>
            <w:r w:rsidRPr="00AB4954">
              <w:rPr>
                <w:sz w:val="20"/>
                <w:szCs w:val="20"/>
              </w:rPr>
              <w:t xml:space="preserve"> several sites o</w:t>
            </w:r>
            <w:r w:rsidRPr="00AB4954">
              <w:rPr>
                <w:spacing w:val="1"/>
                <w:sz w:val="20"/>
                <w:szCs w:val="20"/>
              </w:rPr>
              <w:t>w</w:t>
            </w:r>
            <w:r w:rsidRPr="00AB4954">
              <w:rPr>
                <w:sz w:val="20"/>
                <w:szCs w:val="20"/>
              </w:rPr>
              <w:t>n</w:t>
            </w:r>
            <w:r w:rsidRPr="00AB4954">
              <w:rPr>
                <w:spacing w:val="-1"/>
                <w:sz w:val="20"/>
                <w:szCs w:val="20"/>
              </w:rPr>
              <w:t>e</w:t>
            </w:r>
            <w:r w:rsidRPr="00AB4954">
              <w:rPr>
                <w:sz w:val="20"/>
                <w:szCs w:val="20"/>
              </w:rPr>
              <w:t xml:space="preserve">d by </w:t>
            </w:r>
            <w:r w:rsidRPr="00AB4954">
              <w:rPr>
                <w:spacing w:val="-1"/>
                <w:sz w:val="20"/>
                <w:szCs w:val="20"/>
              </w:rPr>
              <w:t>C</w:t>
            </w:r>
            <w:r w:rsidRPr="00AB4954">
              <w:rPr>
                <w:sz w:val="20"/>
                <w:szCs w:val="20"/>
              </w:rPr>
              <w:t>o</w:t>
            </w:r>
            <w:r w:rsidRPr="00AB4954">
              <w:rPr>
                <w:spacing w:val="-1"/>
                <w:sz w:val="20"/>
                <w:szCs w:val="20"/>
              </w:rPr>
              <w:t>m</w:t>
            </w:r>
            <w:r w:rsidRPr="00AB4954">
              <w:rPr>
                <w:sz w:val="20"/>
                <w:szCs w:val="20"/>
              </w:rPr>
              <w:t>pa</w:t>
            </w:r>
            <w:r w:rsidRPr="00AB4954">
              <w:rPr>
                <w:spacing w:val="1"/>
                <w:sz w:val="20"/>
                <w:szCs w:val="20"/>
              </w:rPr>
              <w:t>n</w:t>
            </w:r>
            <w:r w:rsidRPr="00AB4954">
              <w:rPr>
                <w:sz w:val="20"/>
                <w:szCs w:val="20"/>
              </w:rPr>
              <w:t>y E</w:t>
            </w:r>
            <w:r w:rsidRPr="00AB4954">
              <w:rPr>
                <w:spacing w:val="1"/>
                <w:sz w:val="20"/>
                <w:szCs w:val="20"/>
              </w:rPr>
              <w:t>,</w:t>
            </w:r>
            <w:r w:rsidRPr="00AB4954">
              <w:rPr>
                <w:sz w:val="20"/>
                <w:szCs w:val="20"/>
              </w:rPr>
              <w:t xml:space="preserve"> ha</w:t>
            </w:r>
            <w:r w:rsidRPr="00AB4954">
              <w:rPr>
                <w:spacing w:val="1"/>
                <w:sz w:val="20"/>
                <w:szCs w:val="20"/>
              </w:rPr>
              <w:t>d</w:t>
            </w:r>
            <w:r w:rsidRPr="00AB4954">
              <w:rPr>
                <w:sz w:val="20"/>
                <w:szCs w:val="20"/>
              </w:rPr>
              <w:t xml:space="preserve"> a production volu</w:t>
            </w:r>
            <w:r w:rsidRPr="00AB4954">
              <w:rPr>
                <w:spacing w:val="-1"/>
                <w:sz w:val="20"/>
                <w:szCs w:val="20"/>
              </w:rPr>
              <w:t>m</w:t>
            </w:r>
            <w:r w:rsidRPr="00AB4954">
              <w:rPr>
                <w:sz w:val="20"/>
                <w:szCs w:val="20"/>
              </w:rPr>
              <w:t xml:space="preserve">e </w:t>
            </w:r>
            <w:r w:rsidRPr="00AB4954">
              <w:rPr>
                <w:spacing w:val="1"/>
                <w:sz w:val="20"/>
                <w:szCs w:val="20"/>
              </w:rPr>
              <w:t>o</w:t>
            </w:r>
            <w:r w:rsidRPr="00AB4954">
              <w:rPr>
                <w:sz w:val="20"/>
                <w:szCs w:val="20"/>
              </w:rPr>
              <w:t>f 120,000</w:t>
            </w:r>
            <w:r w:rsidRPr="00AB4954">
              <w:rPr>
                <w:spacing w:val="1"/>
                <w:sz w:val="20"/>
                <w:szCs w:val="20"/>
              </w:rPr>
              <w:t xml:space="preserve"> </w:t>
            </w:r>
            <w:r w:rsidRPr="00AB4954">
              <w:rPr>
                <w:sz w:val="20"/>
                <w:szCs w:val="20"/>
              </w:rPr>
              <w:t>lb of</w:t>
            </w:r>
            <w:r w:rsidRPr="00AB4954">
              <w:rPr>
                <w:spacing w:val="1"/>
                <w:sz w:val="20"/>
                <w:szCs w:val="20"/>
              </w:rPr>
              <w:t xml:space="preserve"> </w:t>
            </w:r>
            <w:r w:rsidRPr="00AB4954">
              <w:rPr>
                <w:spacing w:val="-1"/>
                <w:sz w:val="20"/>
                <w:szCs w:val="20"/>
              </w:rPr>
              <w:t>C</w:t>
            </w:r>
            <w:r w:rsidRPr="00AB4954">
              <w:rPr>
                <w:sz w:val="20"/>
                <w:szCs w:val="20"/>
              </w:rPr>
              <w:t>he</w:t>
            </w:r>
            <w:r w:rsidRPr="00AB4954">
              <w:rPr>
                <w:spacing w:val="-1"/>
                <w:sz w:val="20"/>
                <w:szCs w:val="20"/>
              </w:rPr>
              <w:t>m</w:t>
            </w:r>
            <w:r w:rsidRPr="00AB4954">
              <w:rPr>
                <w:sz w:val="20"/>
                <w:szCs w:val="20"/>
              </w:rPr>
              <w:t>ical X in 2</w:t>
            </w:r>
            <w:r w:rsidRPr="00AB4954">
              <w:rPr>
                <w:spacing w:val="1"/>
                <w:sz w:val="20"/>
                <w:szCs w:val="20"/>
              </w:rPr>
              <w:t>0</w:t>
            </w:r>
            <w:r>
              <w:rPr>
                <w:sz w:val="20"/>
                <w:szCs w:val="20"/>
              </w:rPr>
              <w:t>16</w:t>
            </w:r>
            <w:r w:rsidRPr="00327DBE">
              <w:rPr>
                <w:sz w:val="20"/>
                <w:szCs w:val="20"/>
              </w:rPr>
              <w:t>. The to</w:t>
            </w:r>
            <w:r w:rsidRPr="00AB4954">
              <w:rPr>
                <w:spacing w:val="1"/>
                <w:sz w:val="20"/>
                <w:szCs w:val="20"/>
              </w:rPr>
              <w:t>t</w:t>
            </w:r>
            <w:r w:rsidRPr="00AB4954">
              <w:rPr>
                <w:sz w:val="20"/>
                <w:szCs w:val="20"/>
              </w:rPr>
              <w:t>al ann</w:t>
            </w:r>
            <w:r w:rsidRPr="00AB4954">
              <w:rPr>
                <w:spacing w:val="1"/>
                <w:sz w:val="20"/>
                <w:szCs w:val="20"/>
              </w:rPr>
              <w:t>u</w:t>
            </w:r>
            <w:r w:rsidRPr="00AB4954">
              <w:rPr>
                <w:sz w:val="20"/>
                <w:szCs w:val="20"/>
              </w:rPr>
              <w:t xml:space="preserve">al </w:t>
            </w:r>
            <w:r w:rsidRPr="00AB4954">
              <w:rPr>
                <w:spacing w:val="-1"/>
                <w:sz w:val="20"/>
                <w:szCs w:val="20"/>
              </w:rPr>
              <w:t>s</w:t>
            </w:r>
            <w:r w:rsidRPr="00AB4954">
              <w:rPr>
                <w:sz w:val="20"/>
                <w:szCs w:val="20"/>
              </w:rPr>
              <w:t>ales of Co</w:t>
            </w:r>
            <w:r w:rsidRPr="00AB4954">
              <w:rPr>
                <w:spacing w:val="-1"/>
                <w:sz w:val="20"/>
                <w:szCs w:val="20"/>
              </w:rPr>
              <w:t>m</w:t>
            </w:r>
            <w:r w:rsidRPr="00AB4954">
              <w:rPr>
                <w:sz w:val="20"/>
                <w:szCs w:val="20"/>
              </w:rPr>
              <w:t>pan</w:t>
            </w:r>
            <w:r w:rsidRPr="00AB4954">
              <w:rPr>
                <w:spacing w:val="1"/>
                <w:sz w:val="20"/>
                <w:szCs w:val="20"/>
              </w:rPr>
              <w:t>y</w:t>
            </w:r>
            <w:r w:rsidRPr="00AB4954">
              <w:rPr>
                <w:sz w:val="20"/>
                <w:szCs w:val="20"/>
              </w:rPr>
              <w:t xml:space="preserve"> E (all sites co</w:t>
            </w:r>
            <w:r w:rsidRPr="00AB4954">
              <w:rPr>
                <w:spacing w:val="-1"/>
                <w:sz w:val="20"/>
                <w:szCs w:val="20"/>
              </w:rPr>
              <w:t>m</w:t>
            </w:r>
            <w:r w:rsidRPr="00AB4954">
              <w:rPr>
                <w:sz w:val="20"/>
                <w:szCs w:val="20"/>
              </w:rPr>
              <w:t>bi</w:t>
            </w:r>
            <w:r w:rsidRPr="00AB4954">
              <w:rPr>
                <w:spacing w:val="1"/>
                <w:sz w:val="20"/>
                <w:szCs w:val="20"/>
              </w:rPr>
              <w:t>n</w:t>
            </w:r>
            <w:r w:rsidRPr="00AB4954">
              <w:rPr>
                <w:sz w:val="20"/>
                <w:szCs w:val="20"/>
              </w:rPr>
              <w:t xml:space="preserve">ed) </w:t>
            </w:r>
            <w:r w:rsidRPr="00AB4954">
              <w:rPr>
                <w:spacing w:val="1"/>
                <w:sz w:val="20"/>
                <w:szCs w:val="20"/>
              </w:rPr>
              <w:t>w</w:t>
            </w:r>
            <w:r w:rsidRPr="00AB4954">
              <w:rPr>
                <w:sz w:val="20"/>
                <w:szCs w:val="20"/>
              </w:rPr>
              <w:t>ere $</w:t>
            </w:r>
            <w:r>
              <w:rPr>
                <w:sz w:val="20"/>
                <w:szCs w:val="20"/>
              </w:rPr>
              <w:t>7</w:t>
            </w:r>
            <w:r w:rsidRPr="00AB4954">
              <w:rPr>
                <w:sz w:val="20"/>
                <w:szCs w:val="20"/>
              </w:rPr>
              <w:t xml:space="preserve">.25 </w:t>
            </w:r>
            <w:r w:rsidRPr="00AB4954">
              <w:rPr>
                <w:spacing w:val="-1"/>
                <w:sz w:val="20"/>
                <w:szCs w:val="20"/>
              </w:rPr>
              <w:t>m</w:t>
            </w:r>
            <w:r w:rsidRPr="00AB4954">
              <w:rPr>
                <w:sz w:val="20"/>
                <w:szCs w:val="20"/>
              </w:rPr>
              <w:t>illio</w:t>
            </w:r>
            <w:r w:rsidRPr="00AB4954">
              <w:rPr>
                <w:spacing w:val="1"/>
                <w:sz w:val="20"/>
                <w:szCs w:val="20"/>
              </w:rPr>
              <w:t xml:space="preserve">n </w:t>
            </w:r>
            <w:r w:rsidRPr="00AB4954">
              <w:rPr>
                <w:sz w:val="20"/>
                <w:szCs w:val="20"/>
              </w:rPr>
              <w:t>in 20</w:t>
            </w:r>
            <w:r>
              <w:rPr>
                <w:sz w:val="20"/>
                <w:szCs w:val="20"/>
              </w:rPr>
              <w:t>19</w:t>
            </w:r>
            <w:r w:rsidRPr="00327DBE">
              <w:rPr>
                <w:sz w:val="20"/>
                <w:szCs w:val="20"/>
              </w:rPr>
              <w:t xml:space="preserve">. </w:t>
            </w:r>
            <w:r w:rsidRPr="00AB4954">
              <w:rPr>
                <w:spacing w:val="-1"/>
                <w:sz w:val="20"/>
                <w:szCs w:val="20"/>
              </w:rPr>
              <w:t>C</w:t>
            </w:r>
            <w:r w:rsidRPr="00AB4954">
              <w:rPr>
                <w:sz w:val="20"/>
                <w:szCs w:val="20"/>
              </w:rPr>
              <w:t>hemical X is sub</w:t>
            </w:r>
            <w:r w:rsidRPr="00AB4954">
              <w:rPr>
                <w:spacing w:val="1"/>
                <w:sz w:val="20"/>
                <w:szCs w:val="20"/>
              </w:rPr>
              <w:t>j</w:t>
            </w:r>
            <w:r w:rsidRPr="00AB4954">
              <w:rPr>
                <w:sz w:val="20"/>
                <w:szCs w:val="20"/>
              </w:rPr>
              <w:t xml:space="preserve">ect </w:t>
            </w:r>
            <w:r w:rsidRPr="00AB4954">
              <w:rPr>
                <w:spacing w:val="-1"/>
                <w:sz w:val="20"/>
                <w:szCs w:val="20"/>
              </w:rPr>
              <w:t>t</w:t>
            </w:r>
            <w:r w:rsidRPr="00AB4954">
              <w:rPr>
                <w:sz w:val="20"/>
                <w:szCs w:val="20"/>
              </w:rPr>
              <w:t xml:space="preserve">o a </w:t>
            </w:r>
            <w:r w:rsidRPr="00AB4954">
              <w:rPr>
                <w:spacing w:val="1"/>
                <w:sz w:val="20"/>
                <w:szCs w:val="20"/>
              </w:rPr>
              <w:t>s</w:t>
            </w:r>
            <w:r w:rsidRPr="00AB4954">
              <w:rPr>
                <w:sz w:val="20"/>
                <w:szCs w:val="20"/>
              </w:rPr>
              <w:t>ection 4</w:t>
            </w:r>
            <w:r w:rsidRPr="00AB4954">
              <w:rPr>
                <w:spacing w:val="1"/>
                <w:sz w:val="20"/>
                <w:szCs w:val="20"/>
              </w:rPr>
              <w:t xml:space="preserve"> </w:t>
            </w:r>
            <w:r w:rsidRPr="00AB4954">
              <w:rPr>
                <w:sz w:val="20"/>
                <w:szCs w:val="20"/>
              </w:rPr>
              <w:t>test rule.</w:t>
            </w:r>
          </w:p>
          <w:p w:rsidRPr="00AB4954" w:rsidR="00DE1F90" w:rsidP="00B641A6" w:rsidRDefault="00DE1F90" w14:paraId="4555C1B8" w14:textId="77777777">
            <w:pPr>
              <w:autoSpaceDE w:val="0"/>
              <w:autoSpaceDN w:val="0"/>
              <w:adjustRightInd w:val="0"/>
              <w:spacing w:before="40" w:after="40" w:line="244" w:lineRule="auto"/>
              <w:ind w:left="97" w:right="207"/>
              <w:rPr>
                <w:szCs w:val="24"/>
              </w:rPr>
            </w:pPr>
          </w:p>
        </w:tc>
        <w:tc>
          <w:tcPr>
            <w:tcW w:w="4924" w:type="dxa"/>
            <w:tcBorders>
              <w:top w:val="single" w:color="auto" w:sz="5" w:space="0"/>
              <w:left w:val="single" w:color="auto" w:sz="5" w:space="0"/>
              <w:bottom w:val="single" w:color="auto" w:sz="5" w:space="0"/>
              <w:right w:val="double" w:color="auto" w:sz="2" w:space="0"/>
            </w:tcBorders>
            <w:shd w:val="clear" w:color="auto" w:fill="auto"/>
          </w:tcPr>
          <w:p w:rsidRPr="00AB4954" w:rsidR="00DE1F90" w:rsidP="00B641A6" w:rsidRDefault="00DE1F90" w14:paraId="05F59048" w14:textId="71290178">
            <w:pPr>
              <w:autoSpaceDE w:val="0"/>
              <w:autoSpaceDN w:val="0"/>
              <w:adjustRightInd w:val="0"/>
              <w:spacing w:before="40" w:after="40"/>
              <w:ind w:left="87" w:right="29"/>
              <w:rPr>
                <w:szCs w:val="24"/>
              </w:rPr>
            </w:pPr>
            <w:r w:rsidRPr="00AB4954">
              <w:rPr>
                <w:sz w:val="20"/>
                <w:szCs w:val="20"/>
              </w:rPr>
              <w:t>Site 6</w:t>
            </w:r>
            <w:r w:rsidRPr="00AB4954">
              <w:rPr>
                <w:spacing w:val="1"/>
                <w:sz w:val="20"/>
                <w:szCs w:val="20"/>
              </w:rPr>
              <w:t xml:space="preserve"> </w:t>
            </w:r>
            <w:r w:rsidRPr="00AB4954">
              <w:rPr>
                <w:sz w:val="20"/>
                <w:szCs w:val="20"/>
              </w:rPr>
              <w:t>is</w:t>
            </w:r>
            <w:r w:rsidRPr="00AB4954">
              <w:rPr>
                <w:spacing w:val="-1"/>
                <w:sz w:val="20"/>
                <w:szCs w:val="20"/>
              </w:rPr>
              <w:t xml:space="preserve"> </w:t>
            </w:r>
            <w:r w:rsidRPr="00AB4954">
              <w:rPr>
                <w:sz w:val="20"/>
                <w:szCs w:val="20"/>
              </w:rPr>
              <w:t>required</w:t>
            </w:r>
            <w:r w:rsidRPr="00AB4954">
              <w:rPr>
                <w:spacing w:val="1"/>
                <w:sz w:val="20"/>
                <w:szCs w:val="20"/>
              </w:rPr>
              <w:t xml:space="preserve"> </w:t>
            </w:r>
            <w:r w:rsidRPr="00AB4954">
              <w:rPr>
                <w:sz w:val="20"/>
                <w:szCs w:val="20"/>
              </w:rPr>
              <w:t>to report for Che</w:t>
            </w:r>
            <w:r w:rsidRPr="00AB4954">
              <w:rPr>
                <w:spacing w:val="-1"/>
                <w:sz w:val="20"/>
                <w:szCs w:val="20"/>
              </w:rPr>
              <w:t>m</w:t>
            </w:r>
            <w:r w:rsidRPr="00AB4954">
              <w:rPr>
                <w:sz w:val="20"/>
                <w:szCs w:val="20"/>
              </w:rPr>
              <w:t>ical X. Even tho</w:t>
            </w:r>
            <w:r w:rsidRPr="00AB4954">
              <w:rPr>
                <w:spacing w:val="1"/>
                <w:sz w:val="20"/>
                <w:szCs w:val="20"/>
              </w:rPr>
              <w:t>u</w:t>
            </w:r>
            <w:r w:rsidRPr="00AB4954">
              <w:rPr>
                <w:sz w:val="20"/>
                <w:szCs w:val="20"/>
              </w:rPr>
              <w:t>gh</w:t>
            </w:r>
            <w:r w:rsidRPr="00AB4954">
              <w:rPr>
                <w:spacing w:val="1"/>
                <w:sz w:val="20"/>
                <w:szCs w:val="20"/>
              </w:rPr>
              <w:t xml:space="preserve"> </w:t>
            </w:r>
            <w:r w:rsidRPr="00AB4954">
              <w:rPr>
                <w:sz w:val="20"/>
                <w:szCs w:val="20"/>
              </w:rPr>
              <w:t>co</w:t>
            </w:r>
            <w:r w:rsidRPr="00AB4954">
              <w:rPr>
                <w:spacing w:val="-1"/>
                <w:sz w:val="20"/>
                <w:szCs w:val="20"/>
              </w:rPr>
              <w:t>m</w:t>
            </w:r>
            <w:r w:rsidRPr="00AB4954">
              <w:rPr>
                <w:sz w:val="20"/>
                <w:szCs w:val="20"/>
              </w:rPr>
              <w:t>bi</w:t>
            </w:r>
            <w:r w:rsidRPr="00AB4954">
              <w:rPr>
                <w:spacing w:val="1"/>
                <w:sz w:val="20"/>
                <w:szCs w:val="20"/>
              </w:rPr>
              <w:t>n</w:t>
            </w:r>
            <w:r w:rsidRPr="00AB4954">
              <w:rPr>
                <w:sz w:val="20"/>
                <w:szCs w:val="20"/>
              </w:rPr>
              <w:t>ed</w:t>
            </w:r>
            <w:r w:rsidRPr="00AB4954">
              <w:rPr>
                <w:spacing w:val="1"/>
                <w:sz w:val="20"/>
                <w:szCs w:val="20"/>
              </w:rPr>
              <w:t xml:space="preserve"> </w:t>
            </w:r>
            <w:r w:rsidRPr="00AB4954">
              <w:rPr>
                <w:sz w:val="20"/>
                <w:szCs w:val="20"/>
              </w:rPr>
              <w:t>sales a</w:t>
            </w:r>
            <w:r w:rsidRPr="00AB4954">
              <w:rPr>
                <w:spacing w:val="-1"/>
                <w:sz w:val="20"/>
                <w:szCs w:val="20"/>
              </w:rPr>
              <w:t>r</w:t>
            </w:r>
            <w:r w:rsidRPr="00AB4954">
              <w:rPr>
                <w:sz w:val="20"/>
                <w:szCs w:val="20"/>
              </w:rPr>
              <w:t>e less than $</w:t>
            </w:r>
            <w:r>
              <w:rPr>
                <w:sz w:val="20"/>
                <w:szCs w:val="20"/>
              </w:rPr>
              <w:t>12</w:t>
            </w:r>
            <w:r w:rsidRPr="00AB4954">
              <w:rPr>
                <w:sz w:val="20"/>
                <w:szCs w:val="20"/>
              </w:rPr>
              <w:t xml:space="preserve"> </w:t>
            </w:r>
            <w:r w:rsidRPr="004B116E">
              <w:rPr>
                <w:sz w:val="20"/>
                <w:szCs w:val="20"/>
              </w:rPr>
              <w:t>m</w:t>
            </w:r>
            <w:r w:rsidRPr="00AB4954">
              <w:rPr>
                <w:sz w:val="20"/>
                <w:szCs w:val="20"/>
              </w:rPr>
              <w:t>ill</w:t>
            </w:r>
            <w:r w:rsidRPr="004B116E">
              <w:rPr>
                <w:sz w:val="20"/>
                <w:szCs w:val="20"/>
              </w:rPr>
              <w:t>io</w:t>
            </w:r>
            <w:r w:rsidRPr="00AB4954">
              <w:rPr>
                <w:sz w:val="20"/>
                <w:szCs w:val="20"/>
              </w:rPr>
              <w:t>n, this che</w:t>
            </w:r>
            <w:r w:rsidRPr="00AB4954">
              <w:rPr>
                <w:spacing w:val="-1"/>
                <w:sz w:val="20"/>
                <w:szCs w:val="20"/>
              </w:rPr>
              <w:t>m</w:t>
            </w:r>
            <w:r w:rsidRPr="00AB4954">
              <w:rPr>
                <w:sz w:val="20"/>
                <w:szCs w:val="20"/>
              </w:rPr>
              <w:t>ical s</w:t>
            </w:r>
            <w:r w:rsidRPr="00AB4954">
              <w:rPr>
                <w:spacing w:val="1"/>
                <w:sz w:val="20"/>
                <w:szCs w:val="20"/>
              </w:rPr>
              <w:t>u</w:t>
            </w:r>
            <w:r w:rsidRPr="00AB4954">
              <w:rPr>
                <w:sz w:val="20"/>
                <w:szCs w:val="20"/>
              </w:rPr>
              <w:t>bsta</w:t>
            </w:r>
            <w:r w:rsidRPr="00AB4954">
              <w:rPr>
                <w:spacing w:val="1"/>
                <w:sz w:val="20"/>
                <w:szCs w:val="20"/>
              </w:rPr>
              <w:t>n</w:t>
            </w:r>
            <w:r w:rsidRPr="00AB4954">
              <w:rPr>
                <w:sz w:val="20"/>
                <w:szCs w:val="20"/>
              </w:rPr>
              <w:t xml:space="preserve">ce </w:t>
            </w:r>
            <w:r w:rsidRPr="00AB4954">
              <w:rPr>
                <w:spacing w:val="1"/>
                <w:sz w:val="20"/>
                <w:szCs w:val="20"/>
              </w:rPr>
              <w:t>i</w:t>
            </w:r>
            <w:r w:rsidRPr="00AB4954">
              <w:rPr>
                <w:sz w:val="20"/>
                <w:szCs w:val="20"/>
              </w:rPr>
              <w:t>s subject</w:t>
            </w:r>
            <w:r w:rsidRPr="00AB4954">
              <w:rPr>
                <w:spacing w:val="-2"/>
                <w:sz w:val="20"/>
                <w:szCs w:val="20"/>
              </w:rPr>
              <w:t xml:space="preserve"> </w:t>
            </w:r>
            <w:r w:rsidRPr="00AB4954">
              <w:rPr>
                <w:sz w:val="20"/>
                <w:szCs w:val="20"/>
              </w:rPr>
              <w:t xml:space="preserve">to a </w:t>
            </w:r>
            <w:r w:rsidRPr="00AB4954">
              <w:rPr>
                <w:spacing w:val="1"/>
                <w:sz w:val="20"/>
                <w:szCs w:val="20"/>
              </w:rPr>
              <w:t>t</w:t>
            </w:r>
            <w:r w:rsidRPr="00AB4954">
              <w:rPr>
                <w:sz w:val="20"/>
                <w:szCs w:val="20"/>
              </w:rPr>
              <w:t xml:space="preserve">est </w:t>
            </w:r>
            <w:r w:rsidRPr="00AB4954">
              <w:rPr>
                <w:spacing w:val="1"/>
                <w:sz w:val="20"/>
                <w:szCs w:val="20"/>
              </w:rPr>
              <w:t>r</w:t>
            </w:r>
            <w:r w:rsidRPr="00AB4954">
              <w:rPr>
                <w:sz w:val="20"/>
                <w:szCs w:val="20"/>
              </w:rPr>
              <w:t>ule</w:t>
            </w:r>
            <w:r w:rsidRPr="00AB4954">
              <w:rPr>
                <w:spacing w:val="1"/>
                <w:sz w:val="20"/>
                <w:szCs w:val="20"/>
              </w:rPr>
              <w:t xml:space="preserve"> </w:t>
            </w:r>
            <w:r w:rsidRPr="00AB4954">
              <w:rPr>
                <w:spacing w:val="-1"/>
                <w:sz w:val="20"/>
                <w:szCs w:val="20"/>
              </w:rPr>
              <w:t>a</w:t>
            </w:r>
            <w:r w:rsidRPr="00AB4954">
              <w:rPr>
                <w:sz w:val="20"/>
                <w:szCs w:val="20"/>
              </w:rPr>
              <w:t xml:space="preserve">nd therefore </w:t>
            </w:r>
            <w:r w:rsidRPr="00AB4954">
              <w:rPr>
                <w:spacing w:val="-1"/>
                <w:sz w:val="20"/>
                <w:szCs w:val="20"/>
              </w:rPr>
              <w:t>m</w:t>
            </w:r>
            <w:r w:rsidRPr="00AB4954">
              <w:rPr>
                <w:sz w:val="20"/>
                <w:szCs w:val="20"/>
              </w:rPr>
              <w:t>ust</w:t>
            </w:r>
            <w:r w:rsidRPr="00AB4954">
              <w:rPr>
                <w:spacing w:val="1"/>
                <w:sz w:val="20"/>
                <w:szCs w:val="20"/>
              </w:rPr>
              <w:t xml:space="preserve"> </w:t>
            </w:r>
            <w:r w:rsidRPr="00AB4954">
              <w:rPr>
                <w:sz w:val="20"/>
                <w:szCs w:val="20"/>
              </w:rPr>
              <w:t>be report</w:t>
            </w:r>
            <w:r w:rsidRPr="00AB4954">
              <w:rPr>
                <w:spacing w:val="-1"/>
                <w:sz w:val="20"/>
                <w:szCs w:val="20"/>
              </w:rPr>
              <w:t>e</w:t>
            </w:r>
            <w:r w:rsidRPr="00AB4954">
              <w:rPr>
                <w:sz w:val="20"/>
                <w:szCs w:val="20"/>
              </w:rPr>
              <w:t>d.</w:t>
            </w:r>
          </w:p>
          <w:p w:rsidRPr="00AB4954" w:rsidR="00DE1F90" w:rsidP="00B641A6" w:rsidRDefault="00DE1F90" w14:paraId="38ACC4DE" w14:textId="77777777">
            <w:pPr>
              <w:autoSpaceDE w:val="0"/>
              <w:autoSpaceDN w:val="0"/>
              <w:adjustRightInd w:val="0"/>
              <w:spacing w:before="40" w:after="40"/>
              <w:ind w:left="87" w:right="29"/>
              <w:rPr>
                <w:szCs w:val="24"/>
              </w:rPr>
            </w:pPr>
          </w:p>
        </w:tc>
      </w:tr>
      <w:tr w:rsidRPr="008814F8" w:rsidR="00DE1F90" w:rsidTr="00B641A6" w14:paraId="0BB8B7EE" w14:textId="77777777">
        <w:trPr>
          <w:trHeight w:val="4890" w:hRule="exact"/>
        </w:trPr>
        <w:tc>
          <w:tcPr>
            <w:tcW w:w="5050" w:type="dxa"/>
            <w:tcBorders>
              <w:top w:val="single" w:color="auto" w:sz="5" w:space="0"/>
              <w:left w:val="double" w:color="auto" w:sz="2" w:space="0"/>
              <w:bottom w:val="single" w:color="auto" w:sz="5" w:space="0"/>
              <w:right w:val="single" w:color="auto" w:sz="5" w:space="0"/>
            </w:tcBorders>
            <w:shd w:val="clear" w:color="auto" w:fill="auto"/>
          </w:tcPr>
          <w:p w:rsidRPr="00AB4954" w:rsidR="00DE1F90" w:rsidP="00B641A6" w:rsidRDefault="00DE1F90" w14:paraId="190235DD" w14:textId="5A966EC0">
            <w:pPr>
              <w:pStyle w:val="Default"/>
              <w:spacing w:before="40" w:after="40"/>
              <w:ind w:left="90"/>
              <w:rPr>
                <w:rFonts w:ascii="Times New Roman" w:hAnsi="Times New Roman" w:eastAsia="Times New Roman" w:cs="Times New Roman"/>
                <w:sz w:val="20"/>
                <w:szCs w:val="20"/>
              </w:rPr>
            </w:pPr>
            <w:r w:rsidRPr="008814F8">
              <w:rPr>
                <w:rFonts w:ascii="Times New Roman" w:hAnsi="Times New Roman" w:cs="Times New Roman"/>
                <w:bCs/>
                <w:sz w:val="20"/>
                <w:szCs w:val="20"/>
              </w:rPr>
              <w:lastRenderedPageBreak/>
              <w:t>Site 7, owned by Company F, whose total annual sales is $</w:t>
            </w:r>
            <w:r>
              <w:rPr>
                <w:rFonts w:ascii="Times New Roman" w:hAnsi="Times New Roman" w:cs="Times New Roman"/>
                <w:bCs/>
                <w:sz w:val="20"/>
                <w:szCs w:val="20"/>
              </w:rPr>
              <w:t>9</w:t>
            </w:r>
            <w:r w:rsidRPr="008814F8">
              <w:rPr>
                <w:rFonts w:ascii="Times New Roman" w:hAnsi="Times New Roman" w:cs="Times New Roman"/>
                <w:bCs/>
                <w:sz w:val="20"/>
                <w:szCs w:val="20"/>
              </w:rPr>
              <w:t>0 million</w:t>
            </w:r>
            <w:r>
              <w:rPr>
                <w:rFonts w:ascii="Times New Roman" w:hAnsi="Times New Roman" w:cs="Times New Roman"/>
                <w:bCs/>
                <w:sz w:val="20"/>
                <w:szCs w:val="20"/>
              </w:rPr>
              <w:t xml:space="preserve"> in the principal reporting year (2019)</w:t>
            </w:r>
            <w:r w:rsidRPr="008814F8">
              <w:rPr>
                <w:rFonts w:ascii="Times New Roman" w:hAnsi="Times New Roman" w:cs="Times New Roman"/>
                <w:bCs/>
                <w:sz w:val="20"/>
                <w:szCs w:val="20"/>
              </w:rPr>
              <w:t>, manufactures Chemical X, which is the subject of a TSCA section 5(e) consent order and a TSCA section 5(a)(2) SNUR. The annual production volume of Chemical X ranges between 3,000 and 5,000 lb from 20</w:t>
            </w:r>
            <w:r>
              <w:rPr>
                <w:rFonts w:ascii="Times New Roman" w:hAnsi="Times New Roman" w:cs="Times New Roman"/>
                <w:bCs/>
                <w:sz w:val="20"/>
                <w:szCs w:val="20"/>
              </w:rPr>
              <w:t>16</w:t>
            </w:r>
            <w:r w:rsidRPr="008814F8">
              <w:rPr>
                <w:rFonts w:ascii="Times New Roman" w:hAnsi="Times New Roman" w:cs="Times New Roman"/>
                <w:bCs/>
                <w:sz w:val="20"/>
                <w:szCs w:val="20"/>
              </w:rPr>
              <w:t>-20</w:t>
            </w:r>
            <w:r>
              <w:rPr>
                <w:rFonts w:ascii="Times New Roman" w:hAnsi="Times New Roman" w:cs="Times New Roman"/>
                <w:bCs/>
                <w:sz w:val="20"/>
                <w:szCs w:val="20"/>
              </w:rPr>
              <w:t>19</w:t>
            </w:r>
            <w:r w:rsidRPr="008814F8">
              <w:rPr>
                <w:rFonts w:ascii="Times New Roman" w:hAnsi="Times New Roman" w:cs="Times New Roman"/>
                <w:bCs/>
                <w:sz w:val="20"/>
                <w:szCs w:val="20"/>
              </w:rPr>
              <w:t xml:space="preserve">. </w:t>
            </w:r>
          </w:p>
        </w:tc>
        <w:tc>
          <w:tcPr>
            <w:tcW w:w="4924" w:type="dxa"/>
            <w:tcBorders>
              <w:top w:val="single" w:color="auto" w:sz="5" w:space="0"/>
              <w:left w:val="single" w:color="auto" w:sz="5" w:space="0"/>
              <w:bottom w:val="single" w:color="auto" w:sz="5" w:space="0"/>
              <w:right w:val="double" w:color="auto" w:sz="2" w:space="0"/>
            </w:tcBorders>
            <w:shd w:val="clear" w:color="auto" w:fill="auto"/>
          </w:tcPr>
          <w:p w:rsidRPr="008814F8" w:rsidR="00DE1F90" w:rsidP="00B641A6" w:rsidRDefault="00DE1F90" w14:paraId="04D9280B" w14:textId="33FFF4E3">
            <w:pPr>
              <w:pStyle w:val="Default"/>
              <w:spacing w:before="40" w:after="40"/>
              <w:ind w:left="80"/>
              <w:rPr>
                <w:rFonts w:ascii="Times New Roman" w:hAnsi="Times New Roman" w:cs="Times New Roman"/>
                <w:sz w:val="20"/>
                <w:szCs w:val="20"/>
              </w:rPr>
            </w:pPr>
            <w:r w:rsidRPr="008814F8">
              <w:rPr>
                <w:rFonts w:ascii="Times New Roman" w:hAnsi="Times New Roman" w:cs="Times New Roman"/>
                <w:sz w:val="20"/>
                <w:szCs w:val="20"/>
              </w:rPr>
              <w:t>Site 7 is required to report for Chemical X. Based on the sales of less than $</w:t>
            </w:r>
            <w:r w:rsidRPr="00D925CE">
              <w:rPr>
                <w:rFonts w:ascii="Times New Roman" w:hAnsi="Times New Roman" w:cs="Times New Roman"/>
                <w:sz w:val="20"/>
                <w:szCs w:val="20"/>
              </w:rPr>
              <w:t>120</w:t>
            </w:r>
            <w:r w:rsidRPr="008814F8">
              <w:rPr>
                <w:rFonts w:ascii="Times New Roman" w:hAnsi="Times New Roman" w:cs="Times New Roman"/>
                <w:sz w:val="20"/>
                <w:szCs w:val="20"/>
              </w:rPr>
              <w:t xml:space="preserve"> million and production volume below 100,000 lb, Company F would qualify as a small manufacturer. Chemical X being the subject of a SNUR does not affect the small manufacturer exemption. However, Chemical S being the subject of a </w:t>
            </w:r>
            <w:proofErr w:type="gramStart"/>
            <w:r w:rsidRPr="008814F8">
              <w:rPr>
                <w:rFonts w:ascii="Times New Roman" w:hAnsi="Times New Roman" w:cs="Times New Roman"/>
                <w:sz w:val="20"/>
                <w:szCs w:val="20"/>
              </w:rPr>
              <w:t>5(e) consent</w:t>
            </w:r>
            <w:proofErr w:type="gramEnd"/>
            <w:r w:rsidRPr="008814F8">
              <w:rPr>
                <w:rFonts w:ascii="Times New Roman" w:hAnsi="Times New Roman" w:cs="Times New Roman"/>
                <w:sz w:val="20"/>
                <w:szCs w:val="20"/>
              </w:rPr>
              <w:t xml:space="preserve"> order does affect the exemption: the small manufacturer exemption does not apply to Company F with respect to its manufacture of Chemical X. </w:t>
            </w:r>
          </w:p>
          <w:p w:rsidRPr="00D925CE" w:rsidR="00DE1F90" w:rsidP="00B641A6" w:rsidRDefault="00DE1F90" w14:paraId="19E1EFC9" w14:textId="255667C4">
            <w:pPr>
              <w:autoSpaceDE w:val="0"/>
              <w:autoSpaceDN w:val="0"/>
              <w:adjustRightInd w:val="0"/>
              <w:spacing w:before="40" w:after="40"/>
              <w:ind w:left="80" w:right="29"/>
              <w:rPr>
                <w:rFonts w:ascii="Times New Roman" w:hAnsi="Times New Roman" w:cs="Times New Roman" w:eastAsiaTheme="minorEastAsia"/>
                <w:color w:val="000000"/>
                <w:sz w:val="20"/>
                <w:szCs w:val="20"/>
                <w:lang w:bidi="en-US"/>
              </w:rPr>
            </w:pPr>
            <w:r w:rsidRPr="00D925CE">
              <w:rPr>
                <w:rFonts w:ascii="Times New Roman" w:hAnsi="Times New Roman" w:cs="Times New Roman" w:eastAsiaTheme="minorEastAsia"/>
                <w:color w:val="000000"/>
                <w:sz w:val="20"/>
                <w:szCs w:val="20"/>
                <w:lang w:bidi="en-US"/>
              </w:rPr>
              <w:t xml:space="preserve">Both the SNUR and the </w:t>
            </w:r>
            <w:proofErr w:type="gramStart"/>
            <w:r w:rsidRPr="00D925CE">
              <w:rPr>
                <w:rFonts w:ascii="Times New Roman" w:hAnsi="Times New Roman" w:cs="Times New Roman" w:eastAsiaTheme="minorEastAsia"/>
                <w:color w:val="000000"/>
                <w:sz w:val="20"/>
                <w:szCs w:val="20"/>
                <w:lang w:bidi="en-US"/>
              </w:rPr>
              <w:t>5(e) consent</w:t>
            </w:r>
            <w:proofErr w:type="gramEnd"/>
            <w:r w:rsidRPr="00D925CE">
              <w:rPr>
                <w:rFonts w:ascii="Times New Roman" w:hAnsi="Times New Roman" w:cs="Times New Roman" w:eastAsiaTheme="minorEastAsia"/>
                <w:color w:val="000000"/>
                <w:sz w:val="20"/>
                <w:szCs w:val="20"/>
                <w:lang w:bidi="en-US"/>
              </w:rPr>
              <w:t xml:space="preserve"> order trigger the reduced reporting threshold of 2,500 lb. Therefore, because Chemical X is subject to a SNUR and a section 5(e) consent order and because Company F has produced Chemical X in amounts above 2,500 lb in at least one year from 2016 to 2019 (in this case all four years), Company F would be required to report.</w:t>
            </w:r>
          </w:p>
        </w:tc>
      </w:tr>
      <w:tr w:rsidRPr="008814F8" w:rsidR="00DE1F90" w:rsidTr="00B641A6" w14:paraId="1E6CBA91" w14:textId="77777777">
        <w:trPr>
          <w:trHeight w:val="2874" w:hRule="exact"/>
        </w:trPr>
        <w:tc>
          <w:tcPr>
            <w:tcW w:w="5050" w:type="dxa"/>
            <w:tcBorders>
              <w:top w:val="single" w:color="auto" w:sz="5" w:space="0"/>
              <w:left w:val="double" w:color="auto" w:sz="2" w:space="0"/>
              <w:bottom w:val="single" w:color="auto" w:sz="6" w:space="0"/>
              <w:right w:val="single" w:color="auto" w:sz="5" w:space="0"/>
            </w:tcBorders>
            <w:shd w:val="clear" w:color="auto" w:fill="auto"/>
          </w:tcPr>
          <w:p w:rsidRPr="008814F8" w:rsidR="00DE1F90" w:rsidP="00B641A6" w:rsidRDefault="00DE1F90" w14:paraId="4874EAFF" w14:textId="77777777">
            <w:pPr>
              <w:pStyle w:val="Default"/>
              <w:spacing w:before="40" w:after="40"/>
              <w:ind w:left="90"/>
              <w:rPr>
                <w:rFonts w:ascii="Times New Roman" w:hAnsi="Times New Roman" w:cs="Times New Roman"/>
                <w:sz w:val="20"/>
                <w:szCs w:val="20"/>
              </w:rPr>
            </w:pPr>
            <w:r w:rsidRPr="008814F8">
              <w:rPr>
                <w:rFonts w:ascii="Times New Roman" w:hAnsi="Times New Roman" w:cs="Times New Roman"/>
                <w:bCs/>
                <w:sz w:val="20"/>
                <w:szCs w:val="20"/>
              </w:rPr>
              <w:t>Site 8 is owned by Company G and manufactured 25,000 lb of Chemical X in 20</w:t>
            </w:r>
            <w:r>
              <w:rPr>
                <w:rFonts w:ascii="Times New Roman" w:hAnsi="Times New Roman" w:cs="Times New Roman"/>
                <w:bCs/>
                <w:sz w:val="20"/>
                <w:szCs w:val="20"/>
              </w:rPr>
              <w:t>16</w:t>
            </w:r>
            <w:r w:rsidRPr="008814F8">
              <w:rPr>
                <w:rFonts w:ascii="Times New Roman" w:hAnsi="Times New Roman" w:cs="Times New Roman"/>
                <w:bCs/>
                <w:sz w:val="20"/>
                <w:szCs w:val="20"/>
              </w:rPr>
              <w:t xml:space="preserve"> and 20,000 lb in 20</w:t>
            </w:r>
            <w:r>
              <w:rPr>
                <w:rFonts w:ascii="Times New Roman" w:hAnsi="Times New Roman" w:cs="Times New Roman"/>
                <w:bCs/>
                <w:sz w:val="20"/>
                <w:szCs w:val="20"/>
              </w:rPr>
              <w:t>17</w:t>
            </w:r>
            <w:r w:rsidRPr="008814F8">
              <w:rPr>
                <w:rFonts w:ascii="Times New Roman" w:hAnsi="Times New Roman" w:cs="Times New Roman"/>
                <w:bCs/>
                <w:sz w:val="20"/>
                <w:szCs w:val="20"/>
              </w:rPr>
              <w:t>. Chemical X was the subject of a TSCA section 4 test rule promulgated in 20</w:t>
            </w:r>
            <w:r>
              <w:rPr>
                <w:rFonts w:ascii="Times New Roman" w:hAnsi="Times New Roman" w:cs="Times New Roman"/>
                <w:bCs/>
                <w:sz w:val="20"/>
                <w:szCs w:val="20"/>
              </w:rPr>
              <w:t>19</w:t>
            </w:r>
            <w:r w:rsidRPr="008814F8">
              <w:rPr>
                <w:rFonts w:ascii="Times New Roman" w:hAnsi="Times New Roman" w:cs="Times New Roman"/>
                <w:bCs/>
                <w:sz w:val="20"/>
                <w:szCs w:val="20"/>
              </w:rPr>
              <w:t>. Company G’s total annual income was the following: $1 million in 20</w:t>
            </w:r>
            <w:r>
              <w:rPr>
                <w:rFonts w:ascii="Times New Roman" w:hAnsi="Times New Roman" w:cs="Times New Roman"/>
                <w:bCs/>
                <w:sz w:val="20"/>
                <w:szCs w:val="20"/>
              </w:rPr>
              <w:t>16</w:t>
            </w:r>
            <w:r w:rsidRPr="008814F8">
              <w:rPr>
                <w:rFonts w:ascii="Times New Roman" w:hAnsi="Times New Roman" w:cs="Times New Roman"/>
                <w:bCs/>
                <w:sz w:val="20"/>
                <w:szCs w:val="20"/>
              </w:rPr>
              <w:t>, $2 million in 20</w:t>
            </w:r>
            <w:r>
              <w:rPr>
                <w:rFonts w:ascii="Times New Roman" w:hAnsi="Times New Roman" w:cs="Times New Roman"/>
                <w:bCs/>
                <w:sz w:val="20"/>
                <w:szCs w:val="20"/>
              </w:rPr>
              <w:t>17</w:t>
            </w:r>
            <w:r w:rsidRPr="008814F8">
              <w:rPr>
                <w:rFonts w:ascii="Times New Roman" w:hAnsi="Times New Roman" w:cs="Times New Roman"/>
                <w:bCs/>
                <w:sz w:val="20"/>
                <w:szCs w:val="20"/>
              </w:rPr>
              <w:t>, $</w:t>
            </w:r>
            <w:r>
              <w:rPr>
                <w:rFonts w:ascii="Times New Roman" w:hAnsi="Times New Roman" w:cs="Times New Roman"/>
                <w:bCs/>
                <w:sz w:val="20"/>
                <w:szCs w:val="20"/>
              </w:rPr>
              <w:t>9</w:t>
            </w:r>
            <w:r w:rsidRPr="008814F8">
              <w:rPr>
                <w:rFonts w:ascii="Times New Roman" w:hAnsi="Times New Roman" w:cs="Times New Roman"/>
                <w:bCs/>
                <w:sz w:val="20"/>
                <w:szCs w:val="20"/>
              </w:rPr>
              <w:t xml:space="preserve"> million in 20</w:t>
            </w:r>
            <w:r>
              <w:rPr>
                <w:rFonts w:ascii="Times New Roman" w:hAnsi="Times New Roman" w:cs="Times New Roman"/>
                <w:bCs/>
                <w:sz w:val="20"/>
                <w:szCs w:val="20"/>
              </w:rPr>
              <w:t>18</w:t>
            </w:r>
            <w:r w:rsidRPr="008814F8">
              <w:rPr>
                <w:rFonts w:ascii="Times New Roman" w:hAnsi="Times New Roman" w:cs="Times New Roman"/>
                <w:bCs/>
                <w:sz w:val="20"/>
                <w:szCs w:val="20"/>
              </w:rPr>
              <w:t>, and $</w:t>
            </w:r>
            <w:r>
              <w:rPr>
                <w:rFonts w:ascii="Times New Roman" w:hAnsi="Times New Roman" w:cs="Times New Roman"/>
                <w:bCs/>
                <w:sz w:val="20"/>
                <w:szCs w:val="20"/>
              </w:rPr>
              <w:t>12</w:t>
            </w:r>
            <w:r w:rsidRPr="008814F8">
              <w:rPr>
                <w:rFonts w:ascii="Times New Roman" w:hAnsi="Times New Roman" w:cs="Times New Roman"/>
                <w:bCs/>
                <w:sz w:val="20"/>
                <w:szCs w:val="20"/>
              </w:rPr>
              <w:t xml:space="preserve"> million in 20</w:t>
            </w:r>
            <w:r>
              <w:rPr>
                <w:rFonts w:ascii="Times New Roman" w:hAnsi="Times New Roman" w:cs="Times New Roman"/>
                <w:bCs/>
                <w:sz w:val="20"/>
                <w:szCs w:val="20"/>
              </w:rPr>
              <w:t>19</w:t>
            </w:r>
            <w:r w:rsidRPr="008814F8">
              <w:rPr>
                <w:rFonts w:ascii="Times New Roman" w:hAnsi="Times New Roman" w:cs="Times New Roman"/>
                <w:bCs/>
                <w:sz w:val="20"/>
                <w:szCs w:val="20"/>
              </w:rPr>
              <w:t xml:space="preserve">. </w:t>
            </w:r>
          </w:p>
          <w:p w:rsidRPr="008814F8" w:rsidR="00DE1F90" w:rsidP="00B641A6" w:rsidRDefault="00DE1F90" w14:paraId="486801B1" w14:textId="77777777">
            <w:pPr>
              <w:pStyle w:val="Default"/>
              <w:spacing w:before="40" w:after="40"/>
              <w:ind w:left="90"/>
              <w:rPr>
                <w:rFonts w:ascii="Times New Roman" w:hAnsi="Times New Roman" w:cs="Times New Roman"/>
                <w:bCs/>
                <w:sz w:val="20"/>
                <w:szCs w:val="20"/>
              </w:rPr>
            </w:pPr>
          </w:p>
        </w:tc>
        <w:tc>
          <w:tcPr>
            <w:tcW w:w="4924" w:type="dxa"/>
            <w:tcBorders>
              <w:top w:val="single" w:color="auto" w:sz="5" w:space="0"/>
              <w:left w:val="single" w:color="auto" w:sz="5" w:space="0"/>
              <w:bottom w:val="single" w:color="auto" w:sz="6" w:space="0"/>
              <w:right w:val="double" w:color="auto" w:sz="2" w:space="0"/>
            </w:tcBorders>
            <w:shd w:val="clear" w:color="auto" w:fill="auto"/>
          </w:tcPr>
          <w:p w:rsidRPr="008814F8" w:rsidR="00DE1F90" w:rsidP="00B641A6" w:rsidRDefault="00DE1F90" w14:paraId="5915C0F6" w14:textId="77777777">
            <w:pPr>
              <w:pStyle w:val="Default"/>
              <w:spacing w:before="40" w:after="40"/>
              <w:ind w:left="80"/>
              <w:rPr>
                <w:rFonts w:ascii="Times New Roman" w:hAnsi="Times New Roman" w:cs="Times New Roman"/>
                <w:sz w:val="20"/>
                <w:szCs w:val="20"/>
              </w:rPr>
            </w:pPr>
            <w:r w:rsidRPr="008814F8">
              <w:rPr>
                <w:rFonts w:ascii="Times New Roman" w:hAnsi="Times New Roman" w:cs="Times New Roman"/>
                <w:sz w:val="20"/>
                <w:szCs w:val="20"/>
              </w:rPr>
              <w:t>Site 8 is required to report for Chemical X. On June 1, 20</w:t>
            </w:r>
            <w:r>
              <w:rPr>
                <w:rFonts w:ascii="Times New Roman" w:hAnsi="Times New Roman" w:cs="Times New Roman"/>
                <w:sz w:val="20"/>
                <w:szCs w:val="20"/>
              </w:rPr>
              <w:t>20</w:t>
            </w:r>
            <w:r w:rsidRPr="008814F8">
              <w:rPr>
                <w:rFonts w:ascii="Times New Roman" w:hAnsi="Times New Roman" w:cs="Times New Roman"/>
                <w:sz w:val="20"/>
                <w:szCs w:val="20"/>
              </w:rPr>
              <w:t xml:space="preserve">, Chemical X is subject to a TSCA section 4 test rule, which means that Company G cannot apply the small manufacturer exemption to its manufacture of this substance. </w:t>
            </w:r>
          </w:p>
          <w:p w:rsidRPr="008814F8" w:rsidR="00DE1F90" w:rsidP="00B641A6" w:rsidRDefault="00DE1F90" w14:paraId="32987928" w14:textId="77777777">
            <w:pPr>
              <w:pStyle w:val="Default"/>
              <w:spacing w:before="40" w:after="40"/>
              <w:ind w:left="80"/>
              <w:rPr>
                <w:rFonts w:ascii="Times New Roman" w:hAnsi="Times New Roman" w:cs="Times New Roman"/>
                <w:sz w:val="20"/>
                <w:szCs w:val="20"/>
              </w:rPr>
            </w:pPr>
            <w:r w:rsidRPr="008814F8">
              <w:rPr>
                <w:rFonts w:ascii="Times New Roman" w:hAnsi="Times New Roman" w:cs="Times New Roman"/>
                <w:sz w:val="20"/>
                <w:szCs w:val="20"/>
              </w:rPr>
              <w:t xml:space="preserve">Because annual production volume of Chemical G was 25,000 lb or greater in at least one year </w:t>
            </w:r>
            <w:r>
              <w:rPr>
                <w:rFonts w:ascii="Times New Roman" w:hAnsi="Times New Roman" w:cs="Times New Roman"/>
                <w:sz w:val="20"/>
                <w:szCs w:val="20"/>
              </w:rPr>
              <w:t>from</w:t>
            </w:r>
            <w:r w:rsidRPr="008814F8">
              <w:rPr>
                <w:rFonts w:ascii="Times New Roman" w:hAnsi="Times New Roman" w:cs="Times New Roman"/>
                <w:sz w:val="20"/>
                <w:szCs w:val="20"/>
              </w:rPr>
              <w:t xml:space="preserve"> 20</w:t>
            </w:r>
            <w:r>
              <w:rPr>
                <w:rFonts w:ascii="Times New Roman" w:hAnsi="Times New Roman" w:cs="Times New Roman"/>
                <w:sz w:val="20"/>
                <w:szCs w:val="20"/>
              </w:rPr>
              <w:t>16</w:t>
            </w:r>
            <w:r w:rsidRPr="008814F8">
              <w:rPr>
                <w:rFonts w:ascii="Times New Roman" w:hAnsi="Times New Roman" w:cs="Times New Roman"/>
                <w:sz w:val="20"/>
                <w:szCs w:val="20"/>
              </w:rPr>
              <w:t xml:space="preserve"> </w:t>
            </w:r>
            <w:r>
              <w:rPr>
                <w:rFonts w:ascii="Times New Roman" w:hAnsi="Times New Roman" w:cs="Times New Roman"/>
                <w:sz w:val="20"/>
                <w:szCs w:val="20"/>
              </w:rPr>
              <w:t>to</w:t>
            </w:r>
            <w:r w:rsidRPr="008814F8">
              <w:rPr>
                <w:rFonts w:ascii="Times New Roman" w:hAnsi="Times New Roman" w:cs="Times New Roman"/>
                <w:sz w:val="20"/>
                <w:szCs w:val="20"/>
              </w:rPr>
              <w:t xml:space="preserve"> 20</w:t>
            </w:r>
            <w:r>
              <w:rPr>
                <w:rFonts w:ascii="Times New Roman" w:hAnsi="Times New Roman" w:cs="Times New Roman"/>
                <w:sz w:val="20"/>
                <w:szCs w:val="20"/>
              </w:rPr>
              <w:t>19</w:t>
            </w:r>
            <w:r w:rsidRPr="008814F8">
              <w:rPr>
                <w:rFonts w:ascii="Times New Roman" w:hAnsi="Times New Roman" w:cs="Times New Roman"/>
                <w:sz w:val="20"/>
                <w:szCs w:val="20"/>
              </w:rPr>
              <w:t xml:space="preserve"> (in this case in 20</w:t>
            </w:r>
            <w:r>
              <w:rPr>
                <w:rFonts w:ascii="Times New Roman" w:hAnsi="Times New Roman" w:cs="Times New Roman"/>
                <w:sz w:val="20"/>
                <w:szCs w:val="20"/>
              </w:rPr>
              <w:t>16</w:t>
            </w:r>
            <w:r w:rsidRPr="008814F8">
              <w:rPr>
                <w:rFonts w:ascii="Times New Roman" w:hAnsi="Times New Roman" w:cs="Times New Roman"/>
                <w:sz w:val="20"/>
                <w:szCs w:val="20"/>
              </w:rPr>
              <w:t>), Company G must report for Chemical X.</w:t>
            </w:r>
          </w:p>
        </w:tc>
      </w:tr>
      <w:tr w:rsidRPr="008814F8" w:rsidR="00DE1F90" w:rsidTr="00B641A6" w14:paraId="017608A5" w14:textId="77777777">
        <w:trPr>
          <w:trHeight w:val="3147" w:hRule="exact"/>
        </w:trPr>
        <w:tc>
          <w:tcPr>
            <w:tcW w:w="5050" w:type="dxa"/>
            <w:tcBorders>
              <w:top w:val="single" w:color="auto" w:sz="6" w:space="0"/>
              <w:left w:val="double" w:color="auto" w:sz="2" w:space="0"/>
              <w:bottom w:val="double" w:color="auto" w:sz="4" w:space="0"/>
              <w:right w:val="single" w:color="auto" w:sz="5" w:space="0"/>
            </w:tcBorders>
            <w:shd w:val="clear" w:color="auto" w:fill="auto"/>
          </w:tcPr>
          <w:p w:rsidRPr="008814F8" w:rsidR="00DE1F90" w:rsidP="00B641A6" w:rsidRDefault="00DE1F90" w14:paraId="4C3E07A5" w14:textId="0C09FF16">
            <w:pPr>
              <w:pStyle w:val="Default"/>
              <w:spacing w:before="40" w:after="40"/>
              <w:ind w:left="90"/>
              <w:rPr>
                <w:rFonts w:ascii="Times New Roman" w:hAnsi="Times New Roman" w:cs="Times New Roman"/>
                <w:sz w:val="20"/>
                <w:szCs w:val="20"/>
              </w:rPr>
            </w:pPr>
            <w:r w:rsidRPr="008814F8">
              <w:rPr>
                <w:rFonts w:ascii="Times New Roman" w:hAnsi="Times New Roman" w:cs="Times New Roman"/>
                <w:sz w:val="20"/>
                <w:szCs w:val="20"/>
              </w:rPr>
              <w:t xml:space="preserve">Site 9 is owned by Company H and manufactures Chemical X. </w:t>
            </w:r>
            <w:r w:rsidRPr="008814F8">
              <w:rPr>
                <w:rFonts w:ascii="Times New Roman" w:hAnsi="Times New Roman" w:cs="Times New Roman"/>
                <w:bCs/>
                <w:sz w:val="20"/>
                <w:szCs w:val="20"/>
              </w:rPr>
              <w:t>Chemical X has been subject for several years to a TSCA section 4 test rule which sunsets on May 1, 20</w:t>
            </w:r>
            <w:r>
              <w:rPr>
                <w:rFonts w:ascii="Times New Roman" w:hAnsi="Times New Roman" w:cs="Times New Roman"/>
                <w:bCs/>
                <w:sz w:val="20"/>
                <w:szCs w:val="20"/>
              </w:rPr>
              <w:t>20</w:t>
            </w:r>
            <w:r w:rsidRPr="008814F8">
              <w:rPr>
                <w:rFonts w:ascii="Times New Roman" w:hAnsi="Times New Roman" w:cs="Times New Roman"/>
                <w:bCs/>
                <w:sz w:val="20"/>
                <w:szCs w:val="20"/>
              </w:rPr>
              <w:t xml:space="preserve">. Company H, whose total annual sales </w:t>
            </w:r>
            <w:r>
              <w:rPr>
                <w:rFonts w:ascii="Times New Roman" w:hAnsi="Times New Roman" w:cs="Times New Roman"/>
                <w:bCs/>
                <w:sz w:val="20"/>
                <w:szCs w:val="20"/>
              </w:rPr>
              <w:t xml:space="preserve">were </w:t>
            </w:r>
            <w:r w:rsidRPr="008814F8">
              <w:rPr>
                <w:rFonts w:ascii="Times New Roman" w:hAnsi="Times New Roman" w:cs="Times New Roman"/>
                <w:bCs/>
                <w:sz w:val="20"/>
                <w:szCs w:val="20"/>
              </w:rPr>
              <w:t>$</w:t>
            </w:r>
            <w:r>
              <w:rPr>
                <w:rFonts w:ascii="Times New Roman" w:hAnsi="Times New Roman" w:cs="Times New Roman"/>
                <w:bCs/>
                <w:sz w:val="20"/>
                <w:szCs w:val="20"/>
              </w:rPr>
              <w:t>9</w:t>
            </w:r>
            <w:r w:rsidRPr="008814F8">
              <w:rPr>
                <w:rFonts w:ascii="Times New Roman" w:hAnsi="Times New Roman" w:cs="Times New Roman"/>
                <w:bCs/>
                <w:sz w:val="20"/>
                <w:szCs w:val="20"/>
              </w:rPr>
              <w:t xml:space="preserve"> million</w:t>
            </w:r>
            <w:r>
              <w:rPr>
                <w:rFonts w:ascii="Times New Roman" w:hAnsi="Times New Roman" w:cs="Times New Roman"/>
                <w:bCs/>
                <w:sz w:val="20"/>
                <w:szCs w:val="20"/>
              </w:rPr>
              <w:t xml:space="preserve"> in 2019</w:t>
            </w:r>
            <w:r w:rsidRPr="008814F8">
              <w:rPr>
                <w:rFonts w:ascii="Times New Roman" w:hAnsi="Times New Roman" w:cs="Times New Roman"/>
                <w:bCs/>
                <w:sz w:val="20"/>
                <w:szCs w:val="20"/>
              </w:rPr>
              <w:t>, has manufactured Chemical X in annual amounts above 25,000 lb from 20</w:t>
            </w:r>
            <w:r>
              <w:rPr>
                <w:rFonts w:ascii="Times New Roman" w:hAnsi="Times New Roman" w:cs="Times New Roman"/>
                <w:bCs/>
                <w:sz w:val="20"/>
                <w:szCs w:val="20"/>
              </w:rPr>
              <w:t>16</w:t>
            </w:r>
            <w:r w:rsidRPr="008814F8">
              <w:rPr>
                <w:rFonts w:ascii="Times New Roman" w:hAnsi="Times New Roman" w:cs="Times New Roman"/>
                <w:bCs/>
                <w:sz w:val="20"/>
                <w:szCs w:val="20"/>
              </w:rPr>
              <w:t>-20</w:t>
            </w:r>
            <w:r>
              <w:rPr>
                <w:rFonts w:ascii="Times New Roman" w:hAnsi="Times New Roman" w:cs="Times New Roman"/>
                <w:bCs/>
                <w:sz w:val="20"/>
                <w:szCs w:val="20"/>
              </w:rPr>
              <w:t>19</w:t>
            </w:r>
            <w:r w:rsidRPr="008814F8">
              <w:rPr>
                <w:rFonts w:ascii="Times New Roman" w:hAnsi="Times New Roman" w:cs="Times New Roman"/>
                <w:bCs/>
                <w:sz w:val="20"/>
                <w:szCs w:val="20"/>
              </w:rPr>
              <w:t xml:space="preserve">. </w:t>
            </w:r>
            <w:r>
              <w:rPr>
                <w:rFonts w:ascii="Times New Roman" w:hAnsi="Times New Roman" w:cs="Times New Roman"/>
                <w:bCs/>
                <w:sz w:val="20"/>
                <w:szCs w:val="20"/>
              </w:rPr>
              <w:t>June 1, 2020 was the start of the 2020 submission period.</w:t>
            </w:r>
          </w:p>
          <w:p w:rsidRPr="008814F8" w:rsidR="00DE1F90" w:rsidP="00B641A6" w:rsidRDefault="00DE1F90" w14:paraId="02B81CE9" w14:textId="77777777">
            <w:pPr>
              <w:pStyle w:val="Default"/>
              <w:spacing w:before="40" w:after="40"/>
              <w:ind w:left="90"/>
              <w:rPr>
                <w:rFonts w:ascii="Times New Roman" w:hAnsi="Times New Roman" w:cs="Times New Roman"/>
                <w:bCs/>
                <w:sz w:val="20"/>
                <w:szCs w:val="20"/>
              </w:rPr>
            </w:pPr>
          </w:p>
        </w:tc>
        <w:tc>
          <w:tcPr>
            <w:tcW w:w="4924" w:type="dxa"/>
            <w:tcBorders>
              <w:top w:val="single" w:color="auto" w:sz="6" w:space="0"/>
              <w:left w:val="single" w:color="auto" w:sz="5" w:space="0"/>
              <w:bottom w:val="double" w:color="auto" w:sz="4" w:space="0"/>
              <w:right w:val="double" w:color="auto" w:sz="2" w:space="0"/>
            </w:tcBorders>
            <w:shd w:val="clear" w:color="auto" w:fill="auto"/>
          </w:tcPr>
          <w:p w:rsidRPr="008814F8" w:rsidR="00DE1F90" w:rsidP="00B641A6" w:rsidRDefault="00DE1F90" w14:paraId="6C39D38F" w14:textId="6668E151">
            <w:pPr>
              <w:pStyle w:val="Default"/>
              <w:spacing w:before="40" w:after="40"/>
              <w:ind w:left="80"/>
              <w:rPr>
                <w:rFonts w:ascii="Times New Roman" w:hAnsi="Times New Roman" w:cs="Times New Roman"/>
                <w:sz w:val="20"/>
                <w:szCs w:val="20"/>
              </w:rPr>
            </w:pPr>
            <w:r w:rsidRPr="008814F8">
              <w:rPr>
                <w:rFonts w:ascii="Times New Roman" w:hAnsi="Times New Roman" w:cs="Times New Roman"/>
                <w:sz w:val="20"/>
                <w:szCs w:val="20"/>
              </w:rPr>
              <w:t xml:space="preserve">Company H is not required to report for Chemical X. Although Chemical X </w:t>
            </w:r>
            <w:r w:rsidRPr="008814F8">
              <w:rPr>
                <w:rFonts w:ascii="Times New Roman" w:hAnsi="Times New Roman" w:cs="Times New Roman"/>
                <w:i/>
                <w:iCs/>
                <w:sz w:val="20"/>
                <w:szCs w:val="20"/>
              </w:rPr>
              <w:t xml:space="preserve">was </w:t>
            </w:r>
            <w:r w:rsidRPr="008814F8">
              <w:rPr>
                <w:rFonts w:ascii="Times New Roman" w:hAnsi="Times New Roman" w:cs="Times New Roman"/>
                <w:sz w:val="20"/>
                <w:szCs w:val="20"/>
              </w:rPr>
              <w:t>the subject of a TSCA section 4 test rule (which could have eliminated the ability to apply the small manufacturer exemption to manufacture of Chemical X), June 1, 20</w:t>
            </w:r>
            <w:r>
              <w:rPr>
                <w:rFonts w:ascii="Times New Roman" w:hAnsi="Times New Roman" w:cs="Times New Roman"/>
                <w:sz w:val="20"/>
                <w:szCs w:val="20"/>
              </w:rPr>
              <w:t>20</w:t>
            </w:r>
            <w:r w:rsidRPr="008814F8">
              <w:rPr>
                <w:rFonts w:ascii="Times New Roman" w:hAnsi="Times New Roman" w:cs="Times New Roman"/>
                <w:sz w:val="20"/>
                <w:szCs w:val="20"/>
              </w:rPr>
              <w:t xml:space="preserve"> is after the sunset date. As of June 1, 20</w:t>
            </w:r>
            <w:r>
              <w:rPr>
                <w:rFonts w:ascii="Times New Roman" w:hAnsi="Times New Roman" w:cs="Times New Roman"/>
                <w:sz w:val="20"/>
                <w:szCs w:val="20"/>
              </w:rPr>
              <w:t>20</w:t>
            </w:r>
            <w:r w:rsidRPr="008814F8">
              <w:rPr>
                <w:rFonts w:ascii="Times New Roman" w:hAnsi="Times New Roman" w:cs="Times New Roman"/>
                <w:sz w:val="20"/>
                <w:szCs w:val="20"/>
              </w:rPr>
              <w:t>, Chemical X is no longer the subject of a TSCA section 4 test rule. Therefore, Company H, with total annual sales less than $</w:t>
            </w:r>
            <w:r>
              <w:rPr>
                <w:rFonts w:ascii="Times New Roman" w:hAnsi="Times New Roman"/>
                <w:sz w:val="20"/>
                <w:szCs w:val="20"/>
              </w:rPr>
              <w:t>12</w:t>
            </w:r>
            <w:r w:rsidRPr="008814F8">
              <w:rPr>
                <w:rFonts w:ascii="Times New Roman" w:hAnsi="Times New Roman" w:cs="Times New Roman"/>
                <w:sz w:val="20"/>
                <w:szCs w:val="20"/>
              </w:rPr>
              <w:t xml:space="preserve"> million</w:t>
            </w:r>
            <w:r>
              <w:rPr>
                <w:rFonts w:ascii="Times New Roman" w:hAnsi="Times New Roman" w:cs="Times New Roman"/>
                <w:sz w:val="20"/>
                <w:szCs w:val="20"/>
              </w:rPr>
              <w:t xml:space="preserve"> in 2019</w:t>
            </w:r>
            <w:r w:rsidRPr="008814F8">
              <w:rPr>
                <w:rFonts w:ascii="Times New Roman" w:hAnsi="Times New Roman" w:cs="Times New Roman"/>
                <w:sz w:val="20"/>
                <w:szCs w:val="20"/>
              </w:rPr>
              <w:t>, would be eligible to apply the small manufacturer exemption to its manufacture of Chemical X.</w:t>
            </w:r>
            <w:r>
              <w:rPr>
                <w:rFonts w:ascii="Times New Roman" w:hAnsi="Times New Roman" w:cs="Times New Roman"/>
                <w:sz w:val="20"/>
                <w:szCs w:val="20"/>
              </w:rPr>
              <w:br/>
            </w:r>
          </w:p>
        </w:tc>
      </w:tr>
      <w:tr w:rsidRPr="008814F8" w:rsidR="00DE1F90" w:rsidTr="00B641A6" w14:paraId="14BF948A" w14:textId="77777777">
        <w:trPr>
          <w:trHeight w:val="1641" w:hRule="exact"/>
        </w:trPr>
        <w:tc>
          <w:tcPr>
            <w:tcW w:w="5050" w:type="dxa"/>
            <w:tcBorders>
              <w:top w:val="double" w:color="auto" w:sz="4" w:space="0"/>
              <w:left w:val="double" w:color="auto" w:sz="2" w:space="0"/>
              <w:bottom w:val="single" w:color="auto" w:sz="6" w:space="0"/>
              <w:right w:val="single" w:color="auto" w:sz="6" w:space="0"/>
            </w:tcBorders>
            <w:shd w:val="clear" w:color="auto" w:fill="auto"/>
          </w:tcPr>
          <w:p w:rsidRPr="00FC0380" w:rsidR="00DE1F90" w:rsidP="00B641A6" w:rsidRDefault="00DE1F90" w14:paraId="28365784"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t>Municipal utility 1 is owned by a US city containing a population of 39,250. This utility produces 57,000 lb of Chemical X in 2016 and approximately the same amount in years 2017 through 2019.</w:t>
            </w:r>
          </w:p>
          <w:p w:rsidRPr="008814F8" w:rsidR="00DE1F90" w:rsidP="00B641A6" w:rsidRDefault="00DE1F90" w14:paraId="47C837EC" w14:textId="77777777">
            <w:pPr>
              <w:pStyle w:val="Default"/>
              <w:spacing w:before="40" w:after="40"/>
              <w:ind w:left="80"/>
              <w:rPr>
                <w:rFonts w:ascii="Times New Roman" w:hAnsi="Times New Roman" w:cs="Times New Roman"/>
                <w:sz w:val="20"/>
                <w:szCs w:val="20"/>
              </w:rPr>
            </w:pPr>
          </w:p>
        </w:tc>
        <w:tc>
          <w:tcPr>
            <w:tcW w:w="4924" w:type="dxa"/>
            <w:tcBorders>
              <w:top w:val="double" w:color="auto" w:sz="4" w:space="0"/>
              <w:left w:val="single" w:color="auto" w:sz="6" w:space="0"/>
              <w:bottom w:val="single" w:color="auto" w:sz="6" w:space="0"/>
              <w:right w:val="double" w:color="auto" w:sz="2" w:space="0"/>
            </w:tcBorders>
            <w:shd w:val="clear" w:color="auto" w:fill="auto"/>
          </w:tcPr>
          <w:p w:rsidRPr="00FC0380" w:rsidR="00DE1F90" w:rsidP="00B641A6" w:rsidRDefault="00DE1F90" w14:paraId="67163D53"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t>Municipal utility 1 is not required to report under CDR, because it is owned by a US city with a population that does not exceed 50,000, and therefore qualifies for the small government exemption.</w:t>
            </w:r>
          </w:p>
          <w:p w:rsidRPr="008814F8" w:rsidR="00DE1F90" w:rsidP="00B641A6" w:rsidRDefault="00DE1F90" w14:paraId="5B3B808D" w14:textId="77777777">
            <w:pPr>
              <w:pStyle w:val="Default"/>
              <w:spacing w:before="40" w:after="40"/>
              <w:ind w:left="80"/>
              <w:rPr>
                <w:rFonts w:ascii="Times New Roman" w:hAnsi="Times New Roman" w:cs="Times New Roman"/>
                <w:sz w:val="20"/>
                <w:szCs w:val="20"/>
              </w:rPr>
            </w:pPr>
          </w:p>
        </w:tc>
      </w:tr>
      <w:tr w:rsidRPr="008814F8" w:rsidR="00DE1F90" w:rsidTr="00B641A6" w14:paraId="0DB17F03" w14:textId="77777777">
        <w:trPr>
          <w:trHeight w:val="2193" w:hRule="exact"/>
        </w:trPr>
        <w:tc>
          <w:tcPr>
            <w:tcW w:w="5050" w:type="dxa"/>
            <w:tcBorders>
              <w:top w:val="single" w:color="auto" w:sz="6" w:space="0"/>
              <w:left w:val="double" w:color="auto" w:sz="2" w:space="0"/>
              <w:bottom w:val="single" w:color="auto" w:sz="6" w:space="0"/>
              <w:right w:val="single" w:color="auto" w:sz="6" w:space="0"/>
            </w:tcBorders>
            <w:shd w:val="clear" w:color="auto" w:fill="auto"/>
          </w:tcPr>
          <w:p w:rsidRPr="00FC0380" w:rsidR="00DE1F90" w:rsidP="00B641A6" w:rsidRDefault="00DE1F90" w14:paraId="14B23A84"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lastRenderedPageBreak/>
              <w:t xml:space="preserve">Public utility district 1 is owned by a US county containing three separate townships, in 2016, one containing a population of 8,300, the second containing a population of 33,600, and the third containing 10,850. The county had a total population of 52,750 in 2016. The population fluctuates in each township through </w:t>
            </w:r>
            <w:proofErr w:type="gramStart"/>
            <w:r w:rsidRPr="00FC0380">
              <w:rPr>
                <w:rFonts w:ascii="Times New Roman" w:hAnsi="Times New Roman" w:cs="Times New Roman"/>
                <w:sz w:val="20"/>
                <w:szCs w:val="20"/>
              </w:rPr>
              <w:t>2019, but</w:t>
            </w:r>
            <w:proofErr w:type="gramEnd"/>
            <w:r w:rsidRPr="00FC0380">
              <w:rPr>
                <w:rFonts w:ascii="Times New Roman" w:hAnsi="Times New Roman" w:cs="Times New Roman"/>
                <w:sz w:val="20"/>
                <w:szCs w:val="20"/>
              </w:rPr>
              <w:t xml:space="preserve"> does not drop below 50,000 total in any single year.</w:t>
            </w:r>
          </w:p>
          <w:p w:rsidRPr="00FC0380" w:rsidR="00DE1F90" w:rsidP="00B641A6" w:rsidRDefault="00DE1F90" w14:paraId="147B9F44" w14:textId="77777777">
            <w:pPr>
              <w:pStyle w:val="Default"/>
              <w:spacing w:before="40" w:after="40"/>
              <w:ind w:left="80"/>
              <w:rPr>
                <w:rFonts w:ascii="Times New Roman" w:hAnsi="Times New Roman" w:cs="Times New Roman"/>
                <w:sz w:val="20"/>
                <w:szCs w:val="20"/>
              </w:rPr>
            </w:pPr>
          </w:p>
        </w:tc>
        <w:tc>
          <w:tcPr>
            <w:tcW w:w="4924" w:type="dxa"/>
            <w:tcBorders>
              <w:top w:val="single" w:color="auto" w:sz="6" w:space="0"/>
              <w:left w:val="single" w:color="auto" w:sz="6" w:space="0"/>
              <w:bottom w:val="single" w:color="auto" w:sz="6" w:space="0"/>
              <w:right w:val="double" w:color="auto" w:sz="2" w:space="0"/>
            </w:tcBorders>
            <w:shd w:val="clear" w:color="auto" w:fill="auto"/>
          </w:tcPr>
          <w:p w:rsidRPr="00FC0380" w:rsidR="00DE1F90" w:rsidP="00B641A6" w:rsidRDefault="00DE1F90" w14:paraId="6599A7DA"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t>Public utility district 1 is required to report for any chemicals meeting the reporting requirements. Based on its 2019 population, it does not qualify for the small government exemption as its population is greater than 50,000.</w:t>
            </w:r>
          </w:p>
          <w:p w:rsidRPr="00FC0380" w:rsidR="00DE1F90" w:rsidP="00B641A6" w:rsidRDefault="00DE1F90" w14:paraId="52C94038" w14:textId="77777777">
            <w:pPr>
              <w:pStyle w:val="Default"/>
              <w:spacing w:before="40" w:after="40"/>
              <w:ind w:left="80"/>
              <w:rPr>
                <w:rFonts w:ascii="Times New Roman" w:hAnsi="Times New Roman" w:cs="Times New Roman"/>
                <w:sz w:val="20"/>
                <w:szCs w:val="20"/>
              </w:rPr>
            </w:pPr>
          </w:p>
        </w:tc>
      </w:tr>
      <w:tr w:rsidRPr="008814F8" w:rsidR="00DE1F90" w:rsidTr="00B641A6" w14:paraId="32B20A5C" w14:textId="77777777">
        <w:trPr>
          <w:trHeight w:val="2877" w:hRule="exact"/>
        </w:trPr>
        <w:tc>
          <w:tcPr>
            <w:tcW w:w="5050" w:type="dxa"/>
            <w:tcBorders>
              <w:top w:val="single" w:color="auto" w:sz="6" w:space="0"/>
              <w:left w:val="double" w:color="auto" w:sz="2" w:space="0"/>
              <w:bottom w:val="double" w:color="auto" w:sz="2" w:space="0"/>
              <w:right w:val="single" w:color="auto" w:sz="6" w:space="0"/>
            </w:tcBorders>
            <w:shd w:val="clear" w:color="auto" w:fill="auto"/>
          </w:tcPr>
          <w:p w:rsidRPr="00FC0380" w:rsidR="00DE1F90" w:rsidP="00B641A6" w:rsidRDefault="00DE1F90" w14:paraId="6D624152"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t xml:space="preserve">Public utility district 2 is owned by a US county containing three separate townships, in 2016 and 2017, one containing a population of 26,550, the second containing a population of 6,400, and the third containing 12,700 (total of 45,650 for the county). In 2018, a fourth township containing a population of 8,900 is added to the county, raising the total population that the utility district services to 54,550. The population fluctuates in each township through </w:t>
            </w:r>
            <w:proofErr w:type="gramStart"/>
            <w:r w:rsidRPr="00FC0380">
              <w:rPr>
                <w:rFonts w:ascii="Times New Roman" w:hAnsi="Times New Roman" w:cs="Times New Roman"/>
                <w:sz w:val="20"/>
                <w:szCs w:val="20"/>
              </w:rPr>
              <w:t>2019, but</w:t>
            </w:r>
            <w:proofErr w:type="gramEnd"/>
            <w:r w:rsidRPr="00FC0380">
              <w:rPr>
                <w:rFonts w:ascii="Times New Roman" w:hAnsi="Times New Roman" w:cs="Times New Roman"/>
                <w:sz w:val="20"/>
                <w:szCs w:val="20"/>
              </w:rPr>
              <w:t xml:space="preserve"> does not drop below 50,000 total.</w:t>
            </w:r>
          </w:p>
          <w:p w:rsidRPr="00FC0380" w:rsidR="00DE1F90" w:rsidP="00B641A6" w:rsidRDefault="00DE1F90" w14:paraId="6D70DF92" w14:textId="77777777">
            <w:pPr>
              <w:pStyle w:val="Default"/>
              <w:spacing w:before="40" w:after="40"/>
              <w:ind w:left="80"/>
              <w:rPr>
                <w:rFonts w:ascii="Times New Roman" w:hAnsi="Times New Roman" w:cs="Times New Roman"/>
                <w:sz w:val="20"/>
                <w:szCs w:val="20"/>
              </w:rPr>
            </w:pPr>
          </w:p>
        </w:tc>
        <w:tc>
          <w:tcPr>
            <w:tcW w:w="4924" w:type="dxa"/>
            <w:tcBorders>
              <w:top w:val="single" w:color="auto" w:sz="6" w:space="0"/>
              <w:left w:val="single" w:color="auto" w:sz="6" w:space="0"/>
              <w:bottom w:val="double" w:color="auto" w:sz="2" w:space="0"/>
              <w:right w:val="double" w:color="auto" w:sz="2" w:space="0"/>
            </w:tcBorders>
            <w:shd w:val="clear" w:color="auto" w:fill="auto"/>
          </w:tcPr>
          <w:p w:rsidRPr="00FC0380" w:rsidR="00DE1F90" w:rsidP="00B641A6" w:rsidRDefault="00DE1F90" w14:paraId="1E3DDCC0" w14:textId="77777777">
            <w:pPr>
              <w:pStyle w:val="Default"/>
              <w:spacing w:before="40" w:after="40"/>
              <w:ind w:left="80"/>
              <w:rPr>
                <w:rFonts w:ascii="Times New Roman" w:hAnsi="Times New Roman" w:cs="Times New Roman"/>
                <w:sz w:val="20"/>
                <w:szCs w:val="20"/>
              </w:rPr>
            </w:pPr>
            <w:r w:rsidRPr="00FC0380">
              <w:rPr>
                <w:rFonts w:ascii="Times New Roman" w:hAnsi="Times New Roman" w:cs="Times New Roman"/>
                <w:sz w:val="20"/>
                <w:szCs w:val="20"/>
              </w:rPr>
              <w:t xml:space="preserve">Public utility district 2 is required to report for any chemicals meeting the reporting requirements. Although it would have qualified for the small government exemption in 2016 and 2017, its population grew and exceeded the </w:t>
            </w:r>
            <w:proofErr w:type="gramStart"/>
            <w:r w:rsidRPr="00FC0380">
              <w:rPr>
                <w:rFonts w:ascii="Times New Roman" w:hAnsi="Times New Roman" w:cs="Times New Roman"/>
                <w:sz w:val="20"/>
                <w:szCs w:val="20"/>
              </w:rPr>
              <w:t>50,000 population</w:t>
            </w:r>
            <w:proofErr w:type="gramEnd"/>
            <w:r w:rsidRPr="00FC0380">
              <w:rPr>
                <w:rFonts w:ascii="Times New Roman" w:hAnsi="Times New Roman" w:cs="Times New Roman"/>
                <w:sz w:val="20"/>
                <w:szCs w:val="20"/>
              </w:rPr>
              <w:t xml:space="preserve"> threshold for 2019, the principal reporting year. The public utility is required to consider reporting based on the annual production volume during each years of the reporting cycle (2016-2019).</w:t>
            </w:r>
          </w:p>
          <w:p w:rsidRPr="00FC0380" w:rsidR="00DE1F90" w:rsidP="00B641A6" w:rsidRDefault="00DE1F90" w14:paraId="464A7D34" w14:textId="77777777">
            <w:pPr>
              <w:pStyle w:val="Default"/>
              <w:spacing w:before="40" w:after="40"/>
              <w:ind w:left="80"/>
              <w:rPr>
                <w:rFonts w:ascii="Times New Roman" w:hAnsi="Times New Roman" w:cs="Times New Roman"/>
                <w:sz w:val="20"/>
                <w:szCs w:val="20"/>
              </w:rPr>
            </w:pPr>
          </w:p>
        </w:tc>
      </w:tr>
    </w:tbl>
    <w:p w:rsidRPr="00DE1F90" w:rsidR="00DE1F90" w:rsidP="00DE1F90" w:rsidRDefault="00DE1F90" w14:paraId="35869C23" w14:textId="77777777">
      <w:pPr>
        <w:pStyle w:val="NoSpacing"/>
      </w:pPr>
    </w:p>
    <w:sectPr w:rsidRPr="00DE1F90" w:rsidR="00DE1F90" w:rsidSect="002B34A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8678" w14:textId="77777777" w:rsidR="00255C4B" w:rsidRDefault="00255C4B" w:rsidP="002B34A0">
      <w:r>
        <w:separator/>
      </w:r>
    </w:p>
  </w:endnote>
  <w:endnote w:type="continuationSeparator" w:id="0">
    <w:p w14:paraId="1B1C25E6" w14:textId="77777777" w:rsidR="00255C4B" w:rsidRDefault="00255C4B" w:rsidP="002B34A0">
      <w:r>
        <w:continuationSeparator/>
      </w:r>
    </w:p>
  </w:endnote>
  <w:endnote w:type="continuationNotice" w:id="1">
    <w:p w14:paraId="28EB1A56" w14:textId="77777777" w:rsidR="00255C4B" w:rsidRDefault="0025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532341"/>
      <w:docPartObj>
        <w:docPartGallery w:val="Page Numbers (Bottom of Page)"/>
        <w:docPartUnique/>
      </w:docPartObj>
    </w:sdtPr>
    <w:sdtEndPr/>
    <w:sdtContent>
      <w:sdt>
        <w:sdtPr>
          <w:id w:val="1975485321"/>
          <w:docPartObj>
            <w:docPartGallery w:val="Page Numbers (Top of Page)"/>
            <w:docPartUnique/>
          </w:docPartObj>
        </w:sdtPr>
        <w:sdtEndPr/>
        <w:sdtContent>
          <w:p w14:paraId="2411BCD7" w14:textId="5A6A26B3" w:rsidR="00B641A6" w:rsidRDefault="00B641A6" w:rsidP="00C05573">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Pr>
                <w:noProof/>
                <w:sz w:val="20"/>
                <w:szCs w:val="20"/>
              </w:rPr>
              <w:t>23</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Pr>
                <w:noProof/>
                <w:sz w:val="20"/>
                <w:szCs w:val="20"/>
              </w:rPr>
              <w:t>33</w:t>
            </w:r>
            <w:r w:rsidRPr="002B34A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8908" w14:textId="77777777" w:rsidR="00255C4B" w:rsidRDefault="00255C4B" w:rsidP="002B34A0">
      <w:r>
        <w:separator/>
      </w:r>
    </w:p>
  </w:footnote>
  <w:footnote w:type="continuationSeparator" w:id="0">
    <w:p w14:paraId="4807CE19" w14:textId="77777777" w:rsidR="00255C4B" w:rsidRDefault="00255C4B" w:rsidP="002B34A0">
      <w:r>
        <w:continuationSeparator/>
      </w:r>
    </w:p>
  </w:footnote>
  <w:footnote w:type="continuationNotice" w:id="1">
    <w:p w14:paraId="6920CF5D" w14:textId="77777777" w:rsidR="00255C4B" w:rsidRDefault="00255C4B"/>
  </w:footnote>
  <w:footnote w:id="2">
    <w:p w14:paraId="45FD40A5" w14:textId="59F77A82" w:rsidR="00B641A6" w:rsidRDefault="00B641A6">
      <w:pPr>
        <w:pStyle w:val="FootnoteText"/>
      </w:pPr>
      <w:r>
        <w:rPr>
          <w:rStyle w:val="FootnoteReference"/>
        </w:rPr>
        <w:footnoteRef/>
      </w:r>
      <w:r>
        <w:t xml:space="preserve"> </w:t>
      </w:r>
      <w:r w:rsidRPr="00437C1A">
        <w:t>The TSCA Inventory is a listing of chemical substances manufactured, imported, and processed for commercial purposes in the United States.</w:t>
      </w:r>
    </w:p>
  </w:footnote>
  <w:footnote w:id="3">
    <w:p w14:paraId="38E46C5F" w14:textId="7E534797" w:rsidR="00B641A6" w:rsidRPr="00CF357D" w:rsidRDefault="00B641A6" w:rsidP="004236CD">
      <w:pPr>
        <w:pStyle w:val="FootnoteText"/>
        <w:rPr>
          <w:rFonts w:ascii="Arial" w:hAnsi="Arial" w:cs="Arial"/>
        </w:rPr>
      </w:pPr>
      <w:r w:rsidRPr="00CF357D">
        <w:rPr>
          <w:rStyle w:val="FootnoteReference"/>
          <w:rFonts w:ascii="Arial" w:hAnsi="Arial" w:cs="Arial"/>
          <w:vertAlign w:val="superscript"/>
        </w:rPr>
        <w:footnoteRef/>
      </w:r>
      <w:r w:rsidRPr="00CF357D">
        <w:rPr>
          <w:rFonts w:ascii="Arial" w:hAnsi="Arial" w:cs="Arial"/>
        </w:rPr>
        <w:t xml:space="preserve"> </w:t>
      </w:r>
      <w:r w:rsidRPr="004277FB">
        <w:rPr>
          <w:rFonts w:ascii="Arial" w:hAnsi="Arial" w:cs="Arial"/>
        </w:rPr>
        <w:t>Note that SBA also found that its initial employment-based size standard at 500 employees adopted at its inception in 1953 was not necessarily the best way to capture the size of businesses in industries outside of manufacturing, and consequently also developed a revenue-based standard, later going on to expand the number of size standards—setting them at different levels according to NAICS codes (SBA, 2009). In a recent update to this methodology, SBA states, “SBA generally prefers receipts as a measure of business size because it measures the value of total output of a business concern and can be easily verified using business tax returns and financial records. The Small Business Act provides that the size of manufacturing firms be based on the number of employees and size of services firms based on average annual receipts. Accordingly, SBA primarily uses the number of employees for manufacturing industries and average annual receipts for services industries.” (SBA, 2019; pp. 9-10).  Note also that the TSCA regulated universe defines manufacturers to include importers, whereas SBA’s regulated universe pertains only to domestic manufacturers.</w:t>
      </w:r>
    </w:p>
  </w:footnote>
  <w:footnote w:id="4">
    <w:p w14:paraId="72133E90" w14:textId="77777777" w:rsidR="00B641A6" w:rsidRPr="005911FB" w:rsidRDefault="00B641A6" w:rsidP="005911FB">
      <w:pPr>
        <w:pStyle w:val="FootnoteText"/>
        <w:rPr>
          <w:rFonts w:ascii="Arial" w:hAnsi="Arial" w:cs="Arial"/>
        </w:rPr>
      </w:pPr>
      <w:r w:rsidRPr="005911FB">
        <w:rPr>
          <w:rStyle w:val="FootnoteReference"/>
          <w:rFonts w:ascii="Arial" w:hAnsi="Arial" w:cs="Arial"/>
          <w:vertAlign w:val="superscript"/>
        </w:rPr>
        <w:footnoteRef/>
      </w:r>
      <w:r w:rsidRPr="005911FB">
        <w:rPr>
          <w:rFonts w:ascii="Arial" w:hAnsi="Arial" w:cs="Arial"/>
        </w:rPr>
        <w:t xml:space="preserve"> Quality control activities performed by program staff involve comparative analysis of the data received to identify if there are any unexpected anomalies or inconsistencies of the data, such as between sites with the same parent companies, followed by outreach to the reporting companies to obtain corrections or confirmation that reported information is correct.</w:t>
      </w:r>
    </w:p>
  </w:footnote>
  <w:footnote w:id="5">
    <w:p w14:paraId="7DA9CF76" w14:textId="77777777" w:rsidR="00B641A6" w:rsidRPr="00A860B7" w:rsidRDefault="00B641A6" w:rsidP="00BD4AF1">
      <w:pPr>
        <w:pStyle w:val="FootnoteText"/>
        <w:spacing w:after="0"/>
        <w:rPr>
          <w:rFonts w:ascii="Arial" w:hAnsi="Arial" w:cs="Arial"/>
        </w:rPr>
      </w:pPr>
      <w:r w:rsidRPr="00A860B7">
        <w:rPr>
          <w:rStyle w:val="FootnoteReference"/>
          <w:rFonts w:ascii="Arial" w:hAnsi="Arial" w:cs="Arial"/>
          <w:vertAlign w:val="superscript"/>
        </w:rPr>
        <w:footnoteRef/>
      </w:r>
      <w:r w:rsidRPr="00A860B7">
        <w:rPr>
          <w:rFonts w:ascii="Arial" w:hAnsi="Arial" w:cs="Arial"/>
          <w:vertAlign w:val="superscript"/>
        </w:rPr>
        <w:t xml:space="preserve"> </w:t>
      </w:r>
      <w:r w:rsidRPr="00A860B7">
        <w:rPr>
          <w:rFonts w:ascii="Arial" w:hAnsi="Arial" w:cs="Arial"/>
        </w:rPr>
        <w:t>The reporting threshold is lower (2,500 lb) for chemical substances that are the subject of certain TSCA actions (see 40 CFR 711.8(b)), including:</w:t>
      </w:r>
    </w:p>
    <w:p w14:paraId="7688D93A" w14:textId="77777777" w:rsidR="00B641A6" w:rsidRPr="00A860B7" w:rsidRDefault="00B641A6" w:rsidP="00BD4AF1">
      <w:pPr>
        <w:pStyle w:val="FootnoteText"/>
        <w:numPr>
          <w:ilvl w:val="0"/>
          <w:numId w:val="31"/>
        </w:numPr>
        <w:spacing w:after="0"/>
        <w:ind w:left="720"/>
        <w:rPr>
          <w:rFonts w:ascii="Arial" w:hAnsi="Arial" w:cs="Arial"/>
        </w:rPr>
      </w:pPr>
      <w:r w:rsidRPr="00A860B7">
        <w:rPr>
          <w:rFonts w:ascii="Arial" w:hAnsi="Arial" w:cs="Arial"/>
        </w:rPr>
        <w:t>A rule proposed or promulgated under TSCA sections 5(a)(2), 5(b)(4), or 6;</w:t>
      </w:r>
    </w:p>
    <w:p w14:paraId="7B026D8B" w14:textId="77777777" w:rsidR="00B641A6" w:rsidRPr="00A860B7" w:rsidRDefault="00B641A6" w:rsidP="00BD4AF1">
      <w:pPr>
        <w:pStyle w:val="FootnoteText"/>
        <w:numPr>
          <w:ilvl w:val="0"/>
          <w:numId w:val="31"/>
        </w:numPr>
        <w:spacing w:after="0"/>
        <w:ind w:left="720"/>
        <w:rPr>
          <w:rFonts w:ascii="Arial" w:hAnsi="Arial" w:cs="Arial"/>
        </w:rPr>
      </w:pPr>
      <w:r w:rsidRPr="00A860B7">
        <w:rPr>
          <w:rFonts w:ascii="Arial" w:hAnsi="Arial" w:cs="Arial"/>
        </w:rPr>
        <w:t>An order issued under TSCA sections 5(e) or 5(f); or</w:t>
      </w:r>
    </w:p>
    <w:p w14:paraId="273167DB" w14:textId="77777777" w:rsidR="00B641A6" w:rsidRPr="00A860B7" w:rsidRDefault="00B641A6" w:rsidP="00BD4AF1">
      <w:pPr>
        <w:pStyle w:val="FootnoteText"/>
        <w:numPr>
          <w:ilvl w:val="0"/>
          <w:numId w:val="31"/>
        </w:numPr>
        <w:spacing w:after="0"/>
        <w:ind w:left="720"/>
        <w:rPr>
          <w:rFonts w:ascii="Arial" w:hAnsi="Arial" w:cs="Arial"/>
        </w:rPr>
      </w:pPr>
      <w:r w:rsidRPr="00A860B7">
        <w:rPr>
          <w:rFonts w:ascii="Arial" w:hAnsi="Arial" w:cs="Arial"/>
        </w:rPr>
        <w:t>Relief that has been granted under a civil action under TSCA sections 5 or 7.</w:t>
      </w:r>
    </w:p>
  </w:footnote>
  <w:footnote w:id="6">
    <w:p w14:paraId="2D6A07DD" w14:textId="77777777" w:rsidR="00B641A6" w:rsidRPr="00A860B7" w:rsidRDefault="00B641A6" w:rsidP="004909CD">
      <w:pPr>
        <w:pStyle w:val="FootnoteText"/>
        <w:rPr>
          <w:rFonts w:ascii="Arial" w:hAnsi="Arial" w:cs="Arial"/>
        </w:rPr>
      </w:pPr>
      <w:r w:rsidRPr="00A860B7">
        <w:rPr>
          <w:rStyle w:val="FootnoteReference"/>
          <w:rFonts w:ascii="Arial" w:hAnsi="Arial" w:cs="Arial"/>
          <w:vertAlign w:val="superscript"/>
        </w:rPr>
        <w:footnoteRef/>
      </w:r>
      <w:r w:rsidRPr="00A860B7">
        <w:rPr>
          <w:rFonts w:ascii="Arial" w:hAnsi="Arial" w:cs="Arial"/>
        </w:rPr>
        <w:t xml:space="preserve"> Note that some results in this analysis are presented on a one-year basis. The annual estimates are simply the four-year estimates divided by four. EPA acknowledges that activities may be spread unevenly across the four years. However, for purposes of burden and cost tracking, a constant annual burden and cost is a useful standardized metric for this and other analyses. </w:t>
      </w:r>
    </w:p>
  </w:footnote>
  <w:footnote w:id="7">
    <w:p w14:paraId="57BC71D1" w14:textId="77777777" w:rsidR="00B641A6" w:rsidRPr="00A860B7" w:rsidRDefault="00B641A6" w:rsidP="004909CD">
      <w:pPr>
        <w:pStyle w:val="FootnoteText"/>
        <w:rPr>
          <w:rFonts w:ascii="Arial" w:hAnsi="Arial" w:cs="Arial"/>
        </w:rPr>
      </w:pPr>
      <w:r w:rsidRPr="00A860B7">
        <w:rPr>
          <w:rStyle w:val="FootnoteReference"/>
          <w:rFonts w:ascii="Arial" w:hAnsi="Arial" w:cs="Arial"/>
          <w:vertAlign w:val="superscript"/>
        </w:rPr>
        <w:footnoteRef/>
      </w:r>
      <w:r w:rsidRPr="00A860B7">
        <w:rPr>
          <w:rFonts w:ascii="Arial" w:hAnsi="Arial" w:cs="Arial"/>
          <w:vertAlign w:val="superscript"/>
        </w:rPr>
        <w:t xml:space="preserve"> </w:t>
      </w:r>
      <w:r w:rsidRPr="00A860B7">
        <w:rPr>
          <w:rFonts w:ascii="Arial" w:hAnsi="Arial" w:cs="Arial"/>
        </w:rPr>
        <w:t xml:space="preserve">The economic analysis defines its baseline as the predicted 2020 CDR conditions using the 2016 CDR (EPA, 2018a). </w:t>
      </w:r>
      <w:r w:rsidRPr="00A860B7">
        <w:rPr>
          <w:rFonts w:ascii="Arial" w:eastAsia="Times New Roman" w:hAnsi="Arial" w:cs="Arial"/>
          <w:szCs w:val="18"/>
        </w:rPr>
        <w:t>The 2016 CDR is considered an appropriate baseline data source without adjustment for two reasons: (1) in the history of CDR development, the information from the 2016 CDR is the most complete, covering a comparable four-year period; and (2) upon review of year-to-year counts for chemicals, sites, and chemical reports there is high variance from year to year without a noteworthy trend upward or downward in counts.</w:t>
      </w:r>
    </w:p>
  </w:footnote>
  <w:footnote w:id="8">
    <w:p w14:paraId="0A565C5B" w14:textId="5EEB374C" w:rsidR="00B641A6" w:rsidRPr="00943C28" w:rsidRDefault="00B641A6" w:rsidP="00B268F9">
      <w:pPr>
        <w:pStyle w:val="FootnoteText"/>
        <w:rPr>
          <w:rFonts w:ascii="Arial" w:hAnsi="Arial" w:cs="Arial"/>
        </w:rPr>
      </w:pPr>
      <w:r w:rsidRPr="00943C28">
        <w:rPr>
          <w:rStyle w:val="FootnoteReference"/>
          <w:rFonts w:ascii="Arial" w:hAnsi="Arial" w:cs="Arial"/>
          <w:vertAlign w:val="superscript"/>
        </w:rPr>
        <w:footnoteRef/>
      </w:r>
      <w:r w:rsidRPr="00943C28">
        <w:rPr>
          <w:rFonts w:ascii="Arial" w:hAnsi="Arial" w:cs="Arial"/>
          <w:vertAlign w:val="superscript"/>
        </w:rPr>
        <w:t xml:space="preserve"> </w:t>
      </w:r>
      <w:r w:rsidRPr="00943C28">
        <w:rPr>
          <w:rFonts w:ascii="Arial" w:hAnsi="Arial" w:cs="Arial"/>
        </w:rPr>
        <w:t>These standards apply to all TSCA section 8(a) rules, including CDR, unless a different standard is identified in the regulatory text of a particular rule.</w:t>
      </w:r>
    </w:p>
  </w:footnote>
  <w:footnote w:id="9">
    <w:p w14:paraId="365A0076" w14:textId="77777777" w:rsidR="00B641A6" w:rsidRPr="002B6E34" w:rsidRDefault="00B641A6" w:rsidP="009563A2">
      <w:pPr>
        <w:pStyle w:val="FootnoteText"/>
        <w:rPr>
          <w:rFonts w:ascii="Arial" w:hAnsi="Arial" w:cs="Arial"/>
        </w:rPr>
      </w:pPr>
      <w:r w:rsidRPr="002B6E34">
        <w:rPr>
          <w:rStyle w:val="FootnoteReference"/>
          <w:rFonts w:ascii="Arial" w:hAnsi="Arial" w:cs="Arial"/>
          <w:vertAlign w:val="superscript"/>
        </w:rPr>
        <w:footnoteRef/>
      </w:r>
      <w:r w:rsidRPr="002B6E34">
        <w:rPr>
          <w:rFonts w:ascii="Arial" w:hAnsi="Arial" w:cs="Arial"/>
          <w:vertAlign w:val="superscript"/>
        </w:rPr>
        <w:t xml:space="preserve"> </w:t>
      </w:r>
      <w:r w:rsidRPr="002B6E34">
        <w:rPr>
          <w:rFonts w:ascii="Arial" w:hAnsi="Arial" w:cs="Arial"/>
        </w:rPr>
        <w:t>The number of chemicals per site changes by about -0.0</w:t>
      </w:r>
      <w:r>
        <w:rPr>
          <w:rFonts w:ascii="Arial" w:hAnsi="Arial" w:cs="Arial"/>
        </w:rPr>
        <w:t>5</w:t>
      </w:r>
      <w:r w:rsidRPr="002B6E34">
        <w:rPr>
          <w:rFonts w:ascii="Arial" w:hAnsi="Arial" w:cs="Arial"/>
        </w:rPr>
        <w:t xml:space="preserve"> chemicals per site. The </w:t>
      </w:r>
      <w:r>
        <w:rPr>
          <w:rFonts w:ascii="Arial" w:hAnsi="Arial" w:cs="Arial"/>
        </w:rPr>
        <w:t>percent</w:t>
      </w:r>
      <w:r w:rsidRPr="002B6E34">
        <w:rPr>
          <w:rFonts w:ascii="Arial" w:hAnsi="Arial" w:cs="Arial"/>
        </w:rPr>
        <w:t xml:space="preserve"> partial reports changes by +0.3%. The estimate for</w:t>
      </w:r>
      <w:r>
        <w:rPr>
          <w:rFonts w:ascii="Arial" w:hAnsi="Arial" w:cs="Arial"/>
        </w:rPr>
        <w:t xml:space="preserve"> percent</w:t>
      </w:r>
      <w:r w:rsidRPr="002B6E34">
        <w:rPr>
          <w:rFonts w:ascii="Arial" w:hAnsi="Arial" w:cs="Arial"/>
        </w:rPr>
        <w:t xml:space="preserve"> of sites as new reporters does not change. </w:t>
      </w:r>
    </w:p>
  </w:footnote>
  <w:footnote w:id="10">
    <w:p w14:paraId="35D08602" w14:textId="77777777" w:rsidR="00B641A6" w:rsidRDefault="00B641A6" w:rsidP="009563A2">
      <w:pPr>
        <w:pStyle w:val="FootnoteText"/>
      </w:pPr>
      <w:r w:rsidRPr="002B6E34">
        <w:rPr>
          <w:rStyle w:val="FootnoteReference"/>
          <w:rFonts w:ascii="Arial" w:hAnsi="Arial" w:cs="Arial"/>
          <w:vertAlign w:val="superscript"/>
        </w:rPr>
        <w:footnoteRef/>
      </w:r>
      <w:r w:rsidRPr="002B6E34">
        <w:rPr>
          <w:rFonts w:ascii="Arial" w:hAnsi="Arial" w:cs="Arial"/>
        </w:rPr>
        <w:t xml:space="preserve"> Under the final rule, overall burden for the CDR collection of information is estimated to average 13</w:t>
      </w:r>
      <w:r>
        <w:rPr>
          <w:rFonts w:ascii="Arial" w:hAnsi="Arial" w:cs="Arial"/>
        </w:rPr>
        <w:t>3</w:t>
      </w:r>
      <w:r w:rsidRPr="002B6E34">
        <w:rPr>
          <w:rFonts w:ascii="Arial" w:hAnsi="Arial" w:cs="Arial"/>
        </w:rPr>
        <w:t>.</w:t>
      </w:r>
      <w:r>
        <w:rPr>
          <w:rFonts w:ascii="Arial" w:hAnsi="Arial" w:cs="Arial"/>
        </w:rPr>
        <w:t>05</w:t>
      </w:r>
      <w:r w:rsidRPr="002B6E34">
        <w:rPr>
          <w:rFonts w:ascii="Arial" w:hAnsi="Arial" w:cs="Arial"/>
        </w:rPr>
        <w:t xml:space="preserve"> hours per year for the average multi-chemical submission of 7.4</w:t>
      </w:r>
      <w:r>
        <w:rPr>
          <w:rFonts w:ascii="Arial" w:hAnsi="Arial" w:cs="Arial"/>
        </w:rPr>
        <w:t>5</w:t>
      </w:r>
      <w:r w:rsidRPr="002B6E34">
        <w:rPr>
          <w:rFonts w:ascii="Arial" w:hAnsi="Arial" w:cs="Arial"/>
        </w:rPr>
        <w:t xml:space="preserve"> chemicals per site with </w:t>
      </w:r>
      <w:r>
        <w:rPr>
          <w:rFonts w:ascii="Arial" w:hAnsi="Arial" w:cs="Arial"/>
        </w:rPr>
        <w:t>15</w:t>
      </w:r>
      <w:r w:rsidRPr="002B6E34">
        <w:rPr>
          <w:rFonts w:ascii="Arial" w:hAnsi="Arial" w:cs="Arial"/>
        </w:rPr>
        <w:t>.</w:t>
      </w:r>
      <w:r>
        <w:rPr>
          <w:rFonts w:ascii="Arial" w:hAnsi="Arial" w:cs="Arial"/>
        </w:rPr>
        <w:t>71</w:t>
      </w:r>
      <w:r w:rsidRPr="002B6E34">
        <w:rPr>
          <w:rFonts w:ascii="Arial" w:hAnsi="Arial" w:cs="Arial"/>
        </w:rPr>
        <w:t>% of reports consisting of partial reports and 15% of sites as new reporters.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DA75" w14:textId="5916B710" w:rsidR="00B641A6" w:rsidRDefault="00B641A6" w:rsidP="00B80EA2">
    <w:pPr>
      <w:jc w:val="right"/>
    </w:pPr>
    <w:r>
      <w:t>June 4,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4A0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C0D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607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2A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CE63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3C61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2272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8" w15:restartNumberingAfterBreak="0">
    <w:nsid w:val="FFFFFF88"/>
    <w:multiLevelType w:val="singleLevel"/>
    <w:tmpl w:val="43FA5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A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1BB0C35"/>
    <w:multiLevelType w:val="hybridMultilevel"/>
    <w:tmpl w:val="F8E28AC8"/>
    <w:lvl w:ilvl="0" w:tplc="2C6ED1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FD1EBC"/>
    <w:multiLevelType w:val="multilevel"/>
    <w:tmpl w:val="770684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suff w:val="space"/>
      <w:lvlText w:val="Appendix %7."/>
      <w:lvlJc w:val="left"/>
      <w:pPr>
        <w:ind w:left="0" w:firstLine="0"/>
      </w:pPr>
      <w:rPr>
        <w:rFonts w:ascii="Arial" w:hAnsi="Arial" w:hint="default"/>
        <w:b/>
        <w:i w:val="0"/>
        <w:sz w:val="2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92673"/>
    <w:multiLevelType w:val="hybridMultilevel"/>
    <w:tmpl w:val="69FE9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8642C"/>
    <w:multiLevelType w:val="hybridMultilevel"/>
    <w:tmpl w:val="725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946344"/>
    <w:multiLevelType w:val="multilevel"/>
    <w:tmpl w:val="EEAE08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pStyle w:val="Heading7"/>
      <w:suff w:val="space"/>
      <w:lvlText w:val="Appendix %7."/>
      <w:lvlJc w:val="left"/>
      <w:pPr>
        <w:ind w:left="9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CD6A66"/>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3E4E9B"/>
    <w:multiLevelType w:val="hybridMultilevel"/>
    <w:tmpl w:val="CA026D66"/>
    <w:lvl w:ilvl="0" w:tplc="9DA2F6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0C826BC"/>
    <w:multiLevelType w:val="multilevel"/>
    <w:tmpl w:val="2720684C"/>
    <w:numStyleLink w:val="ListNumber1"/>
  </w:abstractNum>
  <w:abstractNum w:abstractNumId="28" w15:restartNumberingAfterBreak="0">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CAF3C84"/>
    <w:multiLevelType w:val="hybridMultilevel"/>
    <w:tmpl w:val="194E2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8A417B"/>
    <w:multiLevelType w:val="hybridMultilevel"/>
    <w:tmpl w:val="CEEE00A2"/>
    <w:lvl w:ilvl="0" w:tplc="009E0F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E2EC8"/>
    <w:multiLevelType w:val="hybridMultilevel"/>
    <w:tmpl w:val="B47EDA22"/>
    <w:lvl w:ilvl="0" w:tplc="2C6ED1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D25E5D"/>
    <w:multiLevelType w:val="hybridMultilevel"/>
    <w:tmpl w:val="689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1795D"/>
    <w:multiLevelType w:val="hybridMultilevel"/>
    <w:tmpl w:val="832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4714349"/>
    <w:multiLevelType w:val="hybridMultilevel"/>
    <w:tmpl w:val="AA0AC63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552E03FD"/>
    <w:multiLevelType w:val="hybridMultilevel"/>
    <w:tmpl w:val="69F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D75402"/>
    <w:multiLevelType w:val="hybridMultilevel"/>
    <w:tmpl w:val="53BE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C34F5"/>
    <w:multiLevelType w:val="multilevel"/>
    <w:tmpl w:val="2720684C"/>
    <w:styleLink w:val="ListNumber1"/>
    <w:lvl w:ilvl="0">
      <w:start w:val="1"/>
      <w:numFmt w:val="decimal"/>
      <w:lvlText w:val="%1)"/>
      <w:lvlJc w:val="left"/>
      <w:pPr>
        <w:ind w:left="108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1" w15:restartNumberingAfterBreak="0">
    <w:nsid w:val="61594CCD"/>
    <w:multiLevelType w:val="hybridMultilevel"/>
    <w:tmpl w:val="8F74E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6366440"/>
    <w:multiLevelType w:val="hybridMultilevel"/>
    <w:tmpl w:val="5454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C7080"/>
    <w:multiLevelType w:val="hybridMultilevel"/>
    <w:tmpl w:val="5C7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C3C6C55"/>
    <w:multiLevelType w:val="multilevel"/>
    <w:tmpl w:val="F19443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suff w:val="space"/>
      <w:lvlText w:val="Appendix %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18"/>
  </w:num>
  <w:num w:numId="4">
    <w:abstractNumId w:val="42"/>
  </w:num>
  <w:num w:numId="5">
    <w:abstractNumId w:val="45"/>
  </w:num>
  <w:num w:numId="6">
    <w:abstractNumId w:val="31"/>
  </w:num>
  <w:num w:numId="7">
    <w:abstractNumId w:val="47"/>
  </w:num>
  <w:num w:numId="8">
    <w:abstractNumId w:val="30"/>
  </w:num>
  <w:num w:numId="9">
    <w:abstractNumId w:val="49"/>
  </w:num>
  <w:num w:numId="10">
    <w:abstractNumId w:val="24"/>
  </w:num>
  <w:num w:numId="11">
    <w:abstractNumId w:val="23"/>
  </w:num>
  <w:num w:numId="12">
    <w:abstractNumId w:val="17"/>
  </w:num>
  <w:num w:numId="13">
    <w:abstractNumId w:val="25"/>
  </w:num>
  <w:num w:numId="14">
    <w:abstractNumId w:val="46"/>
  </w:num>
  <w:num w:numId="15">
    <w:abstractNumId w:val="29"/>
  </w:num>
  <w:num w:numId="16">
    <w:abstractNumId w:val="33"/>
  </w:num>
  <w:num w:numId="17">
    <w:abstractNumId w:val="28"/>
  </w:num>
  <w:num w:numId="18">
    <w:abstractNumId w:val="1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6"/>
  </w:num>
  <w:num w:numId="20">
    <w:abstractNumId w:val="34"/>
  </w:num>
  <w:num w:numId="21">
    <w:abstractNumId w:val="15"/>
  </w:num>
  <w:num w:numId="22">
    <w:abstractNumId w:val="22"/>
  </w:num>
  <w:num w:numId="23">
    <w:abstractNumId w:val="27"/>
  </w:num>
  <w:num w:numId="24">
    <w:abstractNumId w:val="40"/>
  </w:num>
  <w:num w:numId="25">
    <w:abstractNumId w:val="44"/>
  </w:num>
  <w:num w:numId="26">
    <w:abstractNumId w:val="9"/>
  </w:num>
  <w:num w:numId="27">
    <w:abstractNumId w:val="35"/>
  </w:num>
  <w:num w:numId="28">
    <w:abstractNumId w:val="36"/>
  </w:num>
  <w:num w:numId="29">
    <w:abstractNumId w:val="20"/>
  </w:num>
  <w:num w:numId="30">
    <w:abstractNumId w:val="38"/>
  </w:num>
  <w:num w:numId="31">
    <w:abstractNumId w:val="41"/>
  </w:num>
  <w:num w:numId="32">
    <w:abstractNumId w:val="37"/>
  </w:num>
  <w:num w:numId="33">
    <w:abstractNumId w:val="39"/>
  </w:num>
  <w:num w:numId="34">
    <w:abstractNumId w:val="19"/>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 w:numId="44">
    <w:abstractNumId w:val="50"/>
  </w:num>
  <w:num w:numId="45">
    <w:abstractNumId w:val="21"/>
  </w:num>
  <w:num w:numId="46">
    <w:abstractNumId w:val="48"/>
  </w:num>
  <w:num w:numId="4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3C59"/>
    <w:rsid w:val="00003EFE"/>
    <w:rsid w:val="00005662"/>
    <w:rsid w:val="000069E3"/>
    <w:rsid w:val="00006D24"/>
    <w:rsid w:val="00010617"/>
    <w:rsid w:val="00012C7C"/>
    <w:rsid w:val="00013174"/>
    <w:rsid w:val="0001558A"/>
    <w:rsid w:val="0002070E"/>
    <w:rsid w:val="00020D31"/>
    <w:rsid w:val="00021F8D"/>
    <w:rsid w:val="0002255B"/>
    <w:rsid w:val="000244E2"/>
    <w:rsid w:val="00025468"/>
    <w:rsid w:val="00025CEE"/>
    <w:rsid w:val="00032FBE"/>
    <w:rsid w:val="00035C5E"/>
    <w:rsid w:val="00037F9D"/>
    <w:rsid w:val="000441D5"/>
    <w:rsid w:val="0005175E"/>
    <w:rsid w:val="000525A8"/>
    <w:rsid w:val="000530F2"/>
    <w:rsid w:val="00053361"/>
    <w:rsid w:val="00053D9D"/>
    <w:rsid w:val="00055451"/>
    <w:rsid w:val="00062326"/>
    <w:rsid w:val="00070ACE"/>
    <w:rsid w:val="00070BCF"/>
    <w:rsid w:val="00071069"/>
    <w:rsid w:val="00071571"/>
    <w:rsid w:val="000718FF"/>
    <w:rsid w:val="000729C2"/>
    <w:rsid w:val="00077591"/>
    <w:rsid w:val="00077910"/>
    <w:rsid w:val="0008007A"/>
    <w:rsid w:val="00080514"/>
    <w:rsid w:val="000836DB"/>
    <w:rsid w:val="00086F52"/>
    <w:rsid w:val="00096E80"/>
    <w:rsid w:val="00097B26"/>
    <w:rsid w:val="000A02BA"/>
    <w:rsid w:val="000A16DB"/>
    <w:rsid w:val="000A185F"/>
    <w:rsid w:val="000A22C8"/>
    <w:rsid w:val="000A2F92"/>
    <w:rsid w:val="000A409C"/>
    <w:rsid w:val="000A522E"/>
    <w:rsid w:val="000A59EC"/>
    <w:rsid w:val="000B24B3"/>
    <w:rsid w:val="000B424E"/>
    <w:rsid w:val="000B457C"/>
    <w:rsid w:val="000C3813"/>
    <w:rsid w:val="000C412C"/>
    <w:rsid w:val="000D0374"/>
    <w:rsid w:val="000D1990"/>
    <w:rsid w:val="000D3066"/>
    <w:rsid w:val="000D48D4"/>
    <w:rsid w:val="000D5722"/>
    <w:rsid w:val="000D590F"/>
    <w:rsid w:val="000E19FB"/>
    <w:rsid w:val="000E1C35"/>
    <w:rsid w:val="000E6006"/>
    <w:rsid w:val="000E7B38"/>
    <w:rsid w:val="000F0C52"/>
    <w:rsid w:val="000F1C77"/>
    <w:rsid w:val="00102480"/>
    <w:rsid w:val="00103F89"/>
    <w:rsid w:val="00105F59"/>
    <w:rsid w:val="00106FA4"/>
    <w:rsid w:val="00110EB7"/>
    <w:rsid w:val="0011790C"/>
    <w:rsid w:val="001203BA"/>
    <w:rsid w:val="00121CD3"/>
    <w:rsid w:val="00125B5B"/>
    <w:rsid w:val="00125ED2"/>
    <w:rsid w:val="00126EAC"/>
    <w:rsid w:val="00136D8F"/>
    <w:rsid w:val="001417FF"/>
    <w:rsid w:val="001430EB"/>
    <w:rsid w:val="001462BA"/>
    <w:rsid w:val="00147646"/>
    <w:rsid w:val="00150020"/>
    <w:rsid w:val="0015477E"/>
    <w:rsid w:val="0015601E"/>
    <w:rsid w:val="001568F9"/>
    <w:rsid w:val="001606AF"/>
    <w:rsid w:val="001635AE"/>
    <w:rsid w:val="00165581"/>
    <w:rsid w:val="001656B8"/>
    <w:rsid w:val="0016777D"/>
    <w:rsid w:val="001713C6"/>
    <w:rsid w:val="00171625"/>
    <w:rsid w:val="00171D01"/>
    <w:rsid w:val="00173F47"/>
    <w:rsid w:val="0017447C"/>
    <w:rsid w:val="00176015"/>
    <w:rsid w:val="00176685"/>
    <w:rsid w:val="00176A48"/>
    <w:rsid w:val="0018203B"/>
    <w:rsid w:val="0018440A"/>
    <w:rsid w:val="00185866"/>
    <w:rsid w:val="00190BE2"/>
    <w:rsid w:val="00191899"/>
    <w:rsid w:val="00192DF6"/>
    <w:rsid w:val="0019305C"/>
    <w:rsid w:val="0019470B"/>
    <w:rsid w:val="001A11AE"/>
    <w:rsid w:val="001A2515"/>
    <w:rsid w:val="001A42FB"/>
    <w:rsid w:val="001B009E"/>
    <w:rsid w:val="001B0660"/>
    <w:rsid w:val="001B1831"/>
    <w:rsid w:val="001B2710"/>
    <w:rsid w:val="001B2877"/>
    <w:rsid w:val="001B5EDB"/>
    <w:rsid w:val="001B756B"/>
    <w:rsid w:val="001C3BC2"/>
    <w:rsid w:val="001C4A80"/>
    <w:rsid w:val="001D2438"/>
    <w:rsid w:val="001D3125"/>
    <w:rsid w:val="001D3543"/>
    <w:rsid w:val="001D41E1"/>
    <w:rsid w:val="001D65BA"/>
    <w:rsid w:val="001D6B47"/>
    <w:rsid w:val="001E01CF"/>
    <w:rsid w:val="001E06E3"/>
    <w:rsid w:val="001E28DD"/>
    <w:rsid w:val="001E3095"/>
    <w:rsid w:val="001E51C3"/>
    <w:rsid w:val="001E6980"/>
    <w:rsid w:val="001E7129"/>
    <w:rsid w:val="001E7A72"/>
    <w:rsid w:val="001F069B"/>
    <w:rsid w:val="001F2B45"/>
    <w:rsid w:val="001F54B5"/>
    <w:rsid w:val="00200219"/>
    <w:rsid w:val="00200EAC"/>
    <w:rsid w:val="002011E3"/>
    <w:rsid w:val="00204C29"/>
    <w:rsid w:val="00206BE2"/>
    <w:rsid w:val="00207D17"/>
    <w:rsid w:val="00212595"/>
    <w:rsid w:val="00215F6B"/>
    <w:rsid w:val="0022191B"/>
    <w:rsid w:val="00221DA7"/>
    <w:rsid w:val="0022238F"/>
    <w:rsid w:val="00224980"/>
    <w:rsid w:val="002321AA"/>
    <w:rsid w:val="00234D5E"/>
    <w:rsid w:val="00234DFF"/>
    <w:rsid w:val="00236B2C"/>
    <w:rsid w:val="002406C5"/>
    <w:rsid w:val="002437C5"/>
    <w:rsid w:val="00244C57"/>
    <w:rsid w:val="00245442"/>
    <w:rsid w:val="00246363"/>
    <w:rsid w:val="00247F31"/>
    <w:rsid w:val="00250322"/>
    <w:rsid w:val="002529E5"/>
    <w:rsid w:val="00252BE8"/>
    <w:rsid w:val="00253C9C"/>
    <w:rsid w:val="00255288"/>
    <w:rsid w:val="00255C4B"/>
    <w:rsid w:val="00260275"/>
    <w:rsid w:val="0026241D"/>
    <w:rsid w:val="0026385E"/>
    <w:rsid w:val="00266850"/>
    <w:rsid w:val="00270944"/>
    <w:rsid w:val="002719CF"/>
    <w:rsid w:val="00271A92"/>
    <w:rsid w:val="00280301"/>
    <w:rsid w:val="00282443"/>
    <w:rsid w:val="002840C6"/>
    <w:rsid w:val="00284B0F"/>
    <w:rsid w:val="00286682"/>
    <w:rsid w:val="002917A2"/>
    <w:rsid w:val="002939B0"/>
    <w:rsid w:val="00294C0D"/>
    <w:rsid w:val="002951E5"/>
    <w:rsid w:val="00295A23"/>
    <w:rsid w:val="00296D25"/>
    <w:rsid w:val="00296ED8"/>
    <w:rsid w:val="002A0BEE"/>
    <w:rsid w:val="002A13C4"/>
    <w:rsid w:val="002A22F0"/>
    <w:rsid w:val="002B34A0"/>
    <w:rsid w:val="002B6E34"/>
    <w:rsid w:val="002B7797"/>
    <w:rsid w:val="002C109D"/>
    <w:rsid w:val="002C395B"/>
    <w:rsid w:val="002C5DC6"/>
    <w:rsid w:val="002C66D1"/>
    <w:rsid w:val="002D00BA"/>
    <w:rsid w:val="002D04A7"/>
    <w:rsid w:val="002D0FCC"/>
    <w:rsid w:val="002D2665"/>
    <w:rsid w:val="002D2F1D"/>
    <w:rsid w:val="002D3008"/>
    <w:rsid w:val="002D371B"/>
    <w:rsid w:val="002E0400"/>
    <w:rsid w:val="002E2995"/>
    <w:rsid w:val="002E3969"/>
    <w:rsid w:val="002E51C6"/>
    <w:rsid w:val="002E58DE"/>
    <w:rsid w:val="002F0194"/>
    <w:rsid w:val="002F01B9"/>
    <w:rsid w:val="002F5B60"/>
    <w:rsid w:val="002F5C6B"/>
    <w:rsid w:val="00300831"/>
    <w:rsid w:val="00300F0C"/>
    <w:rsid w:val="00301205"/>
    <w:rsid w:val="00304F9B"/>
    <w:rsid w:val="00306F16"/>
    <w:rsid w:val="00310CD3"/>
    <w:rsid w:val="003173DB"/>
    <w:rsid w:val="0032236E"/>
    <w:rsid w:val="00322E24"/>
    <w:rsid w:val="0032425B"/>
    <w:rsid w:val="00324F8B"/>
    <w:rsid w:val="00325669"/>
    <w:rsid w:val="00325EF8"/>
    <w:rsid w:val="00326BA2"/>
    <w:rsid w:val="00326ED2"/>
    <w:rsid w:val="00327C07"/>
    <w:rsid w:val="00327C9E"/>
    <w:rsid w:val="00327CF3"/>
    <w:rsid w:val="00330422"/>
    <w:rsid w:val="00334223"/>
    <w:rsid w:val="00334380"/>
    <w:rsid w:val="0033540C"/>
    <w:rsid w:val="00335E66"/>
    <w:rsid w:val="0033668C"/>
    <w:rsid w:val="00342637"/>
    <w:rsid w:val="0034411C"/>
    <w:rsid w:val="00344479"/>
    <w:rsid w:val="0034717C"/>
    <w:rsid w:val="00352760"/>
    <w:rsid w:val="0035280E"/>
    <w:rsid w:val="003552E0"/>
    <w:rsid w:val="00355DA6"/>
    <w:rsid w:val="00356731"/>
    <w:rsid w:val="00357E8D"/>
    <w:rsid w:val="00360250"/>
    <w:rsid w:val="0036061B"/>
    <w:rsid w:val="00360761"/>
    <w:rsid w:val="0036340C"/>
    <w:rsid w:val="0036430D"/>
    <w:rsid w:val="00364D69"/>
    <w:rsid w:val="003679F9"/>
    <w:rsid w:val="00371C40"/>
    <w:rsid w:val="003750C6"/>
    <w:rsid w:val="00380D74"/>
    <w:rsid w:val="00383EDA"/>
    <w:rsid w:val="0038412E"/>
    <w:rsid w:val="00384664"/>
    <w:rsid w:val="00385470"/>
    <w:rsid w:val="00387BE7"/>
    <w:rsid w:val="00387F20"/>
    <w:rsid w:val="003928A8"/>
    <w:rsid w:val="003948C6"/>
    <w:rsid w:val="00394B95"/>
    <w:rsid w:val="00395811"/>
    <w:rsid w:val="00396F7B"/>
    <w:rsid w:val="003A1E25"/>
    <w:rsid w:val="003A268B"/>
    <w:rsid w:val="003A2D1D"/>
    <w:rsid w:val="003A5E99"/>
    <w:rsid w:val="003A7FD9"/>
    <w:rsid w:val="003B1154"/>
    <w:rsid w:val="003B47C8"/>
    <w:rsid w:val="003C08F2"/>
    <w:rsid w:val="003C148D"/>
    <w:rsid w:val="003C26C1"/>
    <w:rsid w:val="003C30C1"/>
    <w:rsid w:val="003C459C"/>
    <w:rsid w:val="003C76C7"/>
    <w:rsid w:val="003D08A0"/>
    <w:rsid w:val="003D180B"/>
    <w:rsid w:val="003D2F08"/>
    <w:rsid w:val="003E14CD"/>
    <w:rsid w:val="003E39A7"/>
    <w:rsid w:val="003E41D1"/>
    <w:rsid w:val="003E570D"/>
    <w:rsid w:val="003E5FC3"/>
    <w:rsid w:val="003E6143"/>
    <w:rsid w:val="003E75A8"/>
    <w:rsid w:val="003F0A07"/>
    <w:rsid w:val="003F1086"/>
    <w:rsid w:val="003F2C31"/>
    <w:rsid w:val="00403449"/>
    <w:rsid w:val="00403F39"/>
    <w:rsid w:val="00406130"/>
    <w:rsid w:val="0040617C"/>
    <w:rsid w:val="00411F9B"/>
    <w:rsid w:val="004124F7"/>
    <w:rsid w:val="00412D81"/>
    <w:rsid w:val="00413204"/>
    <w:rsid w:val="00416D2C"/>
    <w:rsid w:val="004236AE"/>
    <w:rsid w:val="004236CD"/>
    <w:rsid w:val="00423A88"/>
    <w:rsid w:val="004277FB"/>
    <w:rsid w:val="00430D9C"/>
    <w:rsid w:val="00431919"/>
    <w:rsid w:val="00432458"/>
    <w:rsid w:val="0043426C"/>
    <w:rsid w:val="00437482"/>
    <w:rsid w:val="00441F7E"/>
    <w:rsid w:val="00446129"/>
    <w:rsid w:val="00446301"/>
    <w:rsid w:val="00454450"/>
    <w:rsid w:val="00456D44"/>
    <w:rsid w:val="0045734C"/>
    <w:rsid w:val="0046257F"/>
    <w:rsid w:val="00462B1A"/>
    <w:rsid w:val="00476F7F"/>
    <w:rsid w:val="0047703D"/>
    <w:rsid w:val="004775FB"/>
    <w:rsid w:val="004807CC"/>
    <w:rsid w:val="00480FFC"/>
    <w:rsid w:val="0048229D"/>
    <w:rsid w:val="00482568"/>
    <w:rsid w:val="004842E9"/>
    <w:rsid w:val="004842FD"/>
    <w:rsid w:val="00484B2B"/>
    <w:rsid w:val="004909CD"/>
    <w:rsid w:val="00495876"/>
    <w:rsid w:val="00497DF7"/>
    <w:rsid w:val="004A19D1"/>
    <w:rsid w:val="004A239F"/>
    <w:rsid w:val="004A492D"/>
    <w:rsid w:val="004A72BE"/>
    <w:rsid w:val="004B3889"/>
    <w:rsid w:val="004B7815"/>
    <w:rsid w:val="004B7F5C"/>
    <w:rsid w:val="004C096D"/>
    <w:rsid w:val="004C2D2F"/>
    <w:rsid w:val="004C7770"/>
    <w:rsid w:val="004E1DF2"/>
    <w:rsid w:val="004E2306"/>
    <w:rsid w:val="004E2AB1"/>
    <w:rsid w:val="004E341A"/>
    <w:rsid w:val="004E401C"/>
    <w:rsid w:val="004E4981"/>
    <w:rsid w:val="004E4AA3"/>
    <w:rsid w:val="004E61F0"/>
    <w:rsid w:val="004E7767"/>
    <w:rsid w:val="004F4446"/>
    <w:rsid w:val="004F60BD"/>
    <w:rsid w:val="00500E2E"/>
    <w:rsid w:val="005017EF"/>
    <w:rsid w:val="00501DF2"/>
    <w:rsid w:val="00503C49"/>
    <w:rsid w:val="0050524A"/>
    <w:rsid w:val="0051135E"/>
    <w:rsid w:val="005114D3"/>
    <w:rsid w:val="0051161C"/>
    <w:rsid w:val="00512823"/>
    <w:rsid w:val="00517886"/>
    <w:rsid w:val="00517968"/>
    <w:rsid w:val="00517CCF"/>
    <w:rsid w:val="005250DD"/>
    <w:rsid w:val="0053065B"/>
    <w:rsid w:val="00532AEF"/>
    <w:rsid w:val="00532B03"/>
    <w:rsid w:val="005357E6"/>
    <w:rsid w:val="00536EBE"/>
    <w:rsid w:val="00537DD1"/>
    <w:rsid w:val="00541D82"/>
    <w:rsid w:val="00544CF7"/>
    <w:rsid w:val="005466BD"/>
    <w:rsid w:val="005508AE"/>
    <w:rsid w:val="00551D71"/>
    <w:rsid w:val="00551F16"/>
    <w:rsid w:val="00556801"/>
    <w:rsid w:val="00556AFD"/>
    <w:rsid w:val="00556CC3"/>
    <w:rsid w:val="005616A1"/>
    <w:rsid w:val="005666FA"/>
    <w:rsid w:val="00570FC3"/>
    <w:rsid w:val="00574388"/>
    <w:rsid w:val="00574A56"/>
    <w:rsid w:val="00575F41"/>
    <w:rsid w:val="0058263D"/>
    <w:rsid w:val="00583837"/>
    <w:rsid w:val="00584807"/>
    <w:rsid w:val="00585780"/>
    <w:rsid w:val="00590B23"/>
    <w:rsid w:val="005911FB"/>
    <w:rsid w:val="005914B3"/>
    <w:rsid w:val="00594E48"/>
    <w:rsid w:val="005A132E"/>
    <w:rsid w:val="005A1E50"/>
    <w:rsid w:val="005A20D2"/>
    <w:rsid w:val="005A30AA"/>
    <w:rsid w:val="005A31BA"/>
    <w:rsid w:val="005A411B"/>
    <w:rsid w:val="005A566C"/>
    <w:rsid w:val="005A75BB"/>
    <w:rsid w:val="005A7AEA"/>
    <w:rsid w:val="005A7FDB"/>
    <w:rsid w:val="005B0214"/>
    <w:rsid w:val="005B0C89"/>
    <w:rsid w:val="005B139B"/>
    <w:rsid w:val="005B1B1E"/>
    <w:rsid w:val="005B1BE2"/>
    <w:rsid w:val="005B4F77"/>
    <w:rsid w:val="005C15EB"/>
    <w:rsid w:val="005C3F21"/>
    <w:rsid w:val="005C72EA"/>
    <w:rsid w:val="005D0A77"/>
    <w:rsid w:val="005D283C"/>
    <w:rsid w:val="005D3611"/>
    <w:rsid w:val="005D3A19"/>
    <w:rsid w:val="005D7BD1"/>
    <w:rsid w:val="005E7D3F"/>
    <w:rsid w:val="005F1980"/>
    <w:rsid w:val="005F3AC7"/>
    <w:rsid w:val="005F405B"/>
    <w:rsid w:val="005F5767"/>
    <w:rsid w:val="005F7651"/>
    <w:rsid w:val="00600C89"/>
    <w:rsid w:val="00605066"/>
    <w:rsid w:val="00605607"/>
    <w:rsid w:val="0061240D"/>
    <w:rsid w:val="00614C2F"/>
    <w:rsid w:val="00616749"/>
    <w:rsid w:val="0062172B"/>
    <w:rsid w:val="00623383"/>
    <w:rsid w:val="00623DFF"/>
    <w:rsid w:val="00624051"/>
    <w:rsid w:val="006253F1"/>
    <w:rsid w:val="00635995"/>
    <w:rsid w:val="00637AAC"/>
    <w:rsid w:val="006407F8"/>
    <w:rsid w:val="00640E29"/>
    <w:rsid w:val="00641732"/>
    <w:rsid w:val="00641D49"/>
    <w:rsid w:val="00642744"/>
    <w:rsid w:val="0064488E"/>
    <w:rsid w:val="0064799A"/>
    <w:rsid w:val="00654445"/>
    <w:rsid w:val="00654E8E"/>
    <w:rsid w:val="0065660F"/>
    <w:rsid w:val="00656F70"/>
    <w:rsid w:val="00660CEA"/>
    <w:rsid w:val="00662811"/>
    <w:rsid w:val="00663B30"/>
    <w:rsid w:val="006656F3"/>
    <w:rsid w:val="006670D8"/>
    <w:rsid w:val="00667805"/>
    <w:rsid w:val="00671988"/>
    <w:rsid w:val="00672040"/>
    <w:rsid w:val="00673434"/>
    <w:rsid w:val="00675BAE"/>
    <w:rsid w:val="00680F94"/>
    <w:rsid w:val="0068224E"/>
    <w:rsid w:val="00682FA1"/>
    <w:rsid w:val="0068315F"/>
    <w:rsid w:val="00686836"/>
    <w:rsid w:val="00690CBF"/>
    <w:rsid w:val="00692379"/>
    <w:rsid w:val="00693369"/>
    <w:rsid w:val="0069338C"/>
    <w:rsid w:val="00693608"/>
    <w:rsid w:val="00694FCA"/>
    <w:rsid w:val="00696C3C"/>
    <w:rsid w:val="006A3133"/>
    <w:rsid w:val="006A4CF9"/>
    <w:rsid w:val="006A6522"/>
    <w:rsid w:val="006B0CC4"/>
    <w:rsid w:val="006B4509"/>
    <w:rsid w:val="006B51CE"/>
    <w:rsid w:val="006C0719"/>
    <w:rsid w:val="006C162C"/>
    <w:rsid w:val="006C3584"/>
    <w:rsid w:val="006C7C07"/>
    <w:rsid w:val="006D33FB"/>
    <w:rsid w:val="006D7B41"/>
    <w:rsid w:val="006E10DE"/>
    <w:rsid w:val="006E1DE9"/>
    <w:rsid w:val="006E3357"/>
    <w:rsid w:val="006F0D6F"/>
    <w:rsid w:val="006F6524"/>
    <w:rsid w:val="00700612"/>
    <w:rsid w:val="00702929"/>
    <w:rsid w:val="00707599"/>
    <w:rsid w:val="00712820"/>
    <w:rsid w:val="00713CD7"/>
    <w:rsid w:val="0071795F"/>
    <w:rsid w:val="00721F73"/>
    <w:rsid w:val="00722434"/>
    <w:rsid w:val="0072395E"/>
    <w:rsid w:val="00724348"/>
    <w:rsid w:val="007249E7"/>
    <w:rsid w:val="00727AD1"/>
    <w:rsid w:val="00731F56"/>
    <w:rsid w:val="00733163"/>
    <w:rsid w:val="00735492"/>
    <w:rsid w:val="00735A14"/>
    <w:rsid w:val="007363B2"/>
    <w:rsid w:val="00736998"/>
    <w:rsid w:val="007374D4"/>
    <w:rsid w:val="007375F8"/>
    <w:rsid w:val="00745BD5"/>
    <w:rsid w:val="0075081D"/>
    <w:rsid w:val="00752548"/>
    <w:rsid w:val="00752A62"/>
    <w:rsid w:val="00753000"/>
    <w:rsid w:val="00761599"/>
    <w:rsid w:val="0076331C"/>
    <w:rsid w:val="00766A13"/>
    <w:rsid w:val="00767352"/>
    <w:rsid w:val="0077117D"/>
    <w:rsid w:val="00774041"/>
    <w:rsid w:val="00774C61"/>
    <w:rsid w:val="007756F8"/>
    <w:rsid w:val="00776D34"/>
    <w:rsid w:val="00781B88"/>
    <w:rsid w:val="0078224E"/>
    <w:rsid w:val="007919E5"/>
    <w:rsid w:val="00792DDB"/>
    <w:rsid w:val="00793390"/>
    <w:rsid w:val="00795716"/>
    <w:rsid w:val="00796AA3"/>
    <w:rsid w:val="007A0FCD"/>
    <w:rsid w:val="007A62B7"/>
    <w:rsid w:val="007A7EB2"/>
    <w:rsid w:val="007B0356"/>
    <w:rsid w:val="007B075C"/>
    <w:rsid w:val="007B08F5"/>
    <w:rsid w:val="007B299E"/>
    <w:rsid w:val="007B621D"/>
    <w:rsid w:val="007B77B3"/>
    <w:rsid w:val="007C12EF"/>
    <w:rsid w:val="007D36AF"/>
    <w:rsid w:val="007E190C"/>
    <w:rsid w:val="007E2C76"/>
    <w:rsid w:val="007E3DA7"/>
    <w:rsid w:val="007E702F"/>
    <w:rsid w:val="007F3A74"/>
    <w:rsid w:val="007F4564"/>
    <w:rsid w:val="007F50C4"/>
    <w:rsid w:val="007F5223"/>
    <w:rsid w:val="007F5774"/>
    <w:rsid w:val="007F773B"/>
    <w:rsid w:val="00800041"/>
    <w:rsid w:val="00802F02"/>
    <w:rsid w:val="0080337B"/>
    <w:rsid w:val="00806752"/>
    <w:rsid w:val="008179EF"/>
    <w:rsid w:val="00820169"/>
    <w:rsid w:val="008226B6"/>
    <w:rsid w:val="00822D03"/>
    <w:rsid w:val="00835A3D"/>
    <w:rsid w:val="008410E7"/>
    <w:rsid w:val="008427A3"/>
    <w:rsid w:val="00842AA6"/>
    <w:rsid w:val="00842C8C"/>
    <w:rsid w:val="00843F2F"/>
    <w:rsid w:val="008444CB"/>
    <w:rsid w:val="00844D1C"/>
    <w:rsid w:val="00847766"/>
    <w:rsid w:val="008506F8"/>
    <w:rsid w:val="00852CB1"/>
    <w:rsid w:val="00853B7A"/>
    <w:rsid w:val="00855CAA"/>
    <w:rsid w:val="008569D9"/>
    <w:rsid w:val="00857C49"/>
    <w:rsid w:val="00860228"/>
    <w:rsid w:val="008648B5"/>
    <w:rsid w:val="00865AE8"/>
    <w:rsid w:val="008660C5"/>
    <w:rsid w:val="008665D4"/>
    <w:rsid w:val="008675BB"/>
    <w:rsid w:val="00874232"/>
    <w:rsid w:val="0087637A"/>
    <w:rsid w:val="008763E7"/>
    <w:rsid w:val="008766FD"/>
    <w:rsid w:val="00880280"/>
    <w:rsid w:val="00880F72"/>
    <w:rsid w:val="008828B9"/>
    <w:rsid w:val="00884766"/>
    <w:rsid w:val="0088633C"/>
    <w:rsid w:val="008874EF"/>
    <w:rsid w:val="00893482"/>
    <w:rsid w:val="0089356F"/>
    <w:rsid w:val="0089537C"/>
    <w:rsid w:val="008A096A"/>
    <w:rsid w:val="008A4614"/>
    <w:rsid w:val="008A7A7D"/>
    <w:rsid w:val="008A7FA9"/>
    <w:rsid w:val="008B2652"/>
    <w:rsid w:val="008B4785"/>
    <w:rsid w:val="008B7176"/>
    <w:rsid w:val="008C550D"/>
    <w:rsid w:val="008C67DD"/>
    <w:rsid w:val="008D05ED"/>
    <w:rsid w:val="008D26A9"/>
    <w:rsid w:val="008D2A4F"/>
    <w:rsid w:val="008D400F"/>
    <w:rsid w:val="008D6158"/>
    <w:rsid w:val="008D7033"/>
    <w:rsid w:val="008E2771"/>
    <w:rsid w:val="008E3649"/>
    <w:rsid w:val="008E3797"/>
    <w:rsid w:val="008E4044"/>
    <w:rsid w:val="008E4D1D"/>
    <w:rsid w:val="008E63B5"/>
    <w:rsid w:val="008E6C60"/>
    <w:rsid w:val="008E7323"/>
    <w:rsid w:val="008F0E7C"/>
    <w:rsid w:val="008F2224"/>
    <w:rsid w:val="008F3996"/>
    <w:rsid w:val="008F3BA5"/>
    <w:rsid w:val="008F3DD7"/>
    <w:rsid w:val="008F4003"/>
    <w:rsid w:val="008F733B"/>
    <w:rsid w:val="00901041"/>
    <w:rsid w:val="00902078"/>
    <w:rsid w:val="00904514"/>
    <w:rsid w:val="009103F9"/>
    <w:rsid w:val="0091244B"/>
    <w:rsid w:val="009141DD"/>
    <w:rsid w:val="00915887"/>
    <w:rsid w:val="00915CA6"/>
    <w:rsid w:val="00916BA4"/>
    <w:rsid w:val="0091773D"/>
    <w:rsid w:val="0092058C"/>
    <w:rsid w:val="00930BD3"/>
    <w:rsid w:val="00930FCC"/>
    <w:rsid w:val="009377D8"/>
    <w:rsid w:val="00937A15"/>
    <w:rsid w:val="00941034"/>
    <w:rsid w:val="00942996"/>
    <w:rsid w:val="00942BAB"/>
    <w:rsid w:val="00943756"/>
    <w:rsid w:val="00943C28"/>
    <w:rsid w:val="00944D8B"/>
    <w:rsid w:val="00952831"/>
    <w:rsid w:val="00955C62"/>
    <w:rsid w:val="00955DE2"/>
    <w:rsid w:val="009563A2"/>
    <w:rsid w:val="00956FF7"/>
    <w:rsid w:val="0095717E"/>
    <w:rsid w:val="00957718"/>
    <w:rsid w:val="00957E5C"/>
    <w:rsid w:val="00961018"/>
    <w:rsid w:val="00962225"/>
    <w:rsid w:val="00963C71"/>
    <w:rsid w:val="00964D28"/>
    <w:rsid w:val="0096786C"/>
    <w:rsid w:val="0096792C"/>
    <w:rsid w:val="00967CD5"/>
    <w:rsid w:val="009745A8"/>
    <w:rsid w:val="009746B0"/>
    <w:rsid w:val="00975B75"/>
    <w:rsid w:val="009779DE"/>
    <w:rsid w:val="00982F11"/>
    <w:rsid w:val="009837C4"/>
    <w:rsid w:val="00983F5B"/>
    <w:rsid w:val="00984C87"/>
    <w:rsid w:val="0098584B"/>
    <w:rsid w:val="00990D16"/>
    <w:rsid w:val="009913C5"/>
    <w:rsid w:val="009920C4"/>
    <w:rsid w:val="009920E1"/>
    <w:rsid w:val="0099272F"/>
    <w:rsid w:val="00992C0C"/>
    <w:rsid w:val="00995019"/>
    <w:rsid w:val="0099589F"/>
    <w:rsid w:val="0099705C"/>
    <w:rsid w:val="009A521D"/>
    <w:rsid w:val="009A7344"/>
    <w:rsid w:val="009B060F"/>
    <w:rsid w:val="009B24C2"/>
    <w:rsid w:val="009B6B48"/>
    <w:rsid w:val="009C196B"/>
    <w:rsid w:val="009C4CAC"/>
    <w:rsid w:val="009C4CF6"/>
    <w:rsid w:val="009C6692"/>
    <w:rsid w:val="009C6F48"/>
    <w:rsid w:val="009D10DE"/>
    <w:rsid w:val="009D1478"/>
    <w:rsid w:val="009D16EA"/>
    <w:rsid w:val="009D1DD4"/>
    <w:rsid w:val="009D2E1D"/>
    <w:rsid w:val="009D3FC5"/>
    <w:rsid w:val="009D497D"/>
    <w:rsid w:val="009D58CD"/>
    <w:rsid w:val="009D77E6"/>
    <w:rsid w:val="009D7EC7"/>
    <w:rsid w:val="009E6C42"/>
    <w:rsid w:val="009F2CAE"/>
    <w:rsid w:val="009F3077"/>
    <w:rsid w:val="009F5C14"/>
    <w:rsid w:val="00A009CD"/>
    <w:rsid w:val="00A01C73"/>
    <w:rsid w:val="00A05BD4"/>
    <w:rsid w:val="00A0641E"/>
    <w:rsid w:val="00A06EB0"/>
    <w:rsid w:val="00A07236"/>
    <w:rsid w:val="00A12976"/>
    <w:rsid w:val="00A131BF"/>
    <w:rsid w:val="00A1513C"/>
    <w:rsid w:val="00A20CE9"/>
    <w:rsid w:val="00A22510"/>
    <w:rsid w:val="00A26B77"/>
    <w:rsid w:val="00A31915"/>
    <w:rsid w:val="00A3196D"/>
    <w:rsid w:val="00A322C3"/>
    <w:rsid w:val="00A327E9"/>
    <w:rsid w:val="00A328FD"/>
    <w:rsid w:val="00A350B5"/>
    <w:rsid w:val="00A367CB"/>
    <w:rsid w:val="00A40383"/>
    <w:rsid w:val="00A412C0"/>
    <w:rsid w:val="00A4169D"/>
    <w:rsid w:val="00A42D89"/>
    <w:rsid w:val="00A446D1"/>
    <w:rsid w:val="00A46202"/>
    <w:rsid w:val="00A468E2"/>
    <w:rsid w:val="00A5122C"/>
    <w:rsid w:val="00A5188E"/>
    <w:rsid w:val="00A5495D"/>
    <w:rsid w:val="00A57D08"/>
    <w:rsid w:val="00A63AA3"/>
    <w:rsid w:val="00A66927"/>
    <w:rsid w:val="00A7399A"/>
    <w:rsid w:val="00A77123"/>
    <w:rsid w:val="00A82C34"/>
    <w:rsid w:val="00A83055"/>
    <w:rsid w:val="00A84026"/>
    <w:rsid w:val="00A8605A"/>
    <w:rsid w:val="00A860B7"/>
    <w:rsid w:val="00A93298"/>
    <w:rsid w:val="00A961F0"/>
    <w:rsid w:val="00A968E8"/>
    <w:rsid w:val="00A96B5E"/>
    <w:rsid w:val="00AA1D5F"/>
    <w:rsid w:val="00AA6F17"/>
    <w:rsid w:val="00AA777E"/>
    <w:rsid w:val="00AA7D6E"/>
    <w:rsid w:val="00AB0AA4"/>
    <w:rsid w:val="00AB1434"/>
    <w:rsid w:val="00AB22ED"/>
    <w:rsid w:val="00AB5075"/>
    <w:rsid w:val="00AB5C53"/>
    <w:rsid w:val="00AB7601"/>
    <w:rsid w:val="00AC0031"/>
    <w:rsid w:val="00AC0B0F"/>
    <w:rsid w:val="00AC2D0F"/>
    <w:rsid w:val="00AC4696"/>
    <w:rsid w:val="00AC71EB"/>
    <w:rsid w:val="00AC7911"/>
    <w:rsid w:val="00AD169E"/>
    <w:rsid w:val="00AD51AC"/>
    <w:rsid w:val="00AD70A9"/>
    <w:rsid w:val="00AD763F"/>
    <w:rsid w:val="00AE34A0"/>
    <w:rsid w:val="00AE3BE9"/>
    <w:rsid w:val="00AE4E19"/>
    <w:rsid w:val="00AE5001"/>
    <w:rsid w:val="00AE5D54"/>
    <w:rsid w:val="00AE6026"/>
    <w:rsid w:val="00AF0948"/>
    <w:rsid w:val="00AF4CFB"/>
    <w:rsid w:val="00AF6C59"/>
    <w:rsid w:val="00B000BC"/>
    <w:rsid w:val="00B0057B"/>
    <w:rsid w:val="00B025D6"/>
    <w:rsid w:val="00B04EB7"/>
    <w:rsid w:val="00B12414"/>
    <w:rsid w:val="00B14234"/>
    <w:rsid w:val="00B1466B"/>
    <w:rsid w:val="00B14BF0"/>
    <w:rsid w:val="00B2037A"/>
    <w:rsid w:val="00B268F9"/>
    <w:rsid w:val="00B26B2F"/>
    <w:rsid w:val="00B30057"/>
    <w:rsid w:val="00B302C6"/>
    <w:rsid w:val="00B30804"/>
    <w:rsid w:val="00B30C7C"/>
    <w:rsid w:val="00B35FC9"/>
    <w:rsid w:val="00B40059"/>
    <w:rsid w:val="00B43A02"/>
    <w:rsid w:val="00B44A00"/>
    <w:rsid w:val="00B4755C"/>
    <w:rsid w:val="00B51EFC"/>
    <w:rsid w:val="00B52306"/>
    <w:rsid w:val="00B55D88"/>
    <w:rsid w:val="00B5767E"/>
    <w:rsid w:val="00B60B34"/>
    <w:rsid w:val="00B628D9"/>
    <w:rsid w:val="00B63384"/>
    <w:rsid w:val="00B641A6"/>
    <w:rsid w:val="00B6613E"/>
    <w:rsid w:val="00B71800"/>
    <w:rsid w:val="00B7315B"/>
    <w:rsid w:val="00B737CA"/>
    <w:rsid w:val="00B7437D"/>
    <w:rsid w:val="00B75F79"/>
    <w:rsid w:val="00B80EA2"/>
    <w:rsid w:val="00B80F41"/>
    <w:rsid w:val="00B8508E"/>
    <w:rsid w:val="00BA0426"/>
    <w:rsid w:val="00BA1CD4"/>
    <w:rsid w:val="00BA318E"/>
    <w:rsid w:val="00BA362E"/>
    <w:rsid w:val="00BA4529"/>
    <w:rsid w:val="00BA5E1D"/>
    <w:rsid w:val="00BB0BA7"/>
    <w:rsid w:val="00BB41F6"/>
    <w:rsid w:val="00BC2963"/>
    <w:rsid w:val="00BC4C5F"/>
    <w:rsid w:val="00BD15C9"/>
    <w:rsid w:val="00BD1D8D"/>
    <w:rsid w:val="00BD46DF"/>
    <w:rsid w:val="00BD4AF1"/>
    <w:rsid w:val="00BD5CAA"/>
    <w:rsid w:val="00BD6CBA"/>
    <w:rsid w:val="00BD757F"/>
    <w:rsid w:val="00BE066E"/>
    <w:rsid w:val="00BE3201"/>
    <w:rsid w:val="00BE4EF3"/>
    <w:rsid w:val="00BE5369"/>
    <w:rsid w:val="00BE5F80"/>
    <w:rsid w:val="00BF03AD"/>
    <w:rsid w:val="00BF1A35"/>
    <w:rsid w:val="00C001AC"/>
    <w:rsid w:val="00C0354B"/>
    <w:rsid w:val="00C045C1"/>
    <w:rsid w:val="00C05573"/>
    <w:rsid w:val="00C06E7A"/>
    <w:rsid w:val="00C11E60"/>
    <w:rsid w:val="00C13773"/>
    <w:rsid w:val="00C2660B"/>
    <w:rsid w:val="00C267CB"/>
    <w:rsid w:val="00C26EDA"/>
    <w:rsid w:val="00C31803"/>
    <w:rsid w:val="00C32E01"/>
    <w:rsid w:val="00C35E29"/>
    <w:rsid w:val="00C44E9B"/>
    <w:rsid w:val="00C519BC"/>
    <w:rsid w:val="00C534EC"/>
    <w:rsid w:val="00C54579"/>
    <w:rsid w:val="00C56B00"/>
    <w:rsid w:val="00C6198C"/>
    <w:rsid w:val="00C61E87"/>
    <w:rsid w:val="00C62016"/>
    <w:rsid w:val="00C622B8"/>
    <w:rsid w:val="00C62F93"/>
    <w:rsid w:val="00C63425"/>
    <w:rsid w:val="00C656B4"/>
    <w:rsid w:val="00C6615B"/>
    <w:rsid w:val="00C662CD"/>
    <w:rsid w:val="00C7037B"/>
    <w:rsid w:val="00C74E75"/>
    <w:rsid w:val="00C76F17"/>
    <w:rsid w:val="00C82F00"/>
    <w:rsid w:val="00C844C1"/>
    <w:rsid w:val="00C85ED0"/>
    <w:rsid w:val="00C85F64"/>
    <w:rsid w:val="00C87480"/>
    <w:rsid w:val="00C87678"/>
    <w:rsid w:val="00C8772F"/>
    <w:rsid w:val="00C90618"/>
    <w:rsid w:val="00C935A8"/>
    <w:rsid w:val="00C944E8"/>
    <w:rsid w:val="00C96EA5"/>
    <w:rsid w:val="00CA4D5A"/>
    <w:rsid w:val="00CA5AA1"/>
    <w:rsid w:val="00CB29D5"/>
    <w:rsid w:val="00CC1E69"/>
    <w:rsid w:val="00CC2874"/>
    <w:rsid w:val="00CC3895"/>
    <w:rsid w:val="00CD0975"/>
    <w:rsid w:val="00CD1CF1"/>
    <w:rsid w:val="00CD3D52"/>
    <w:rsid w:val="00CD435F"/>
    <w:rsid w:val="00CD5980"/>
    <w:rsid w:val="00CD5A48"/>
    <w:rsid w:val="00CE12C8"/>
    <w:rsid w:val="00CE293D"/>
    <w:rsid w:val="00CE46D1"/>
    <w:rsid w:val="00CF1F3F"/>
    <w:rsid w:val="00CF357D"/>
    <w:rsid w:val="00CF4847"/>
    <w:rsid w:val="00CF6413"/>
    <w:rsid w:val="00CF6747"/>
    <w:rsid w:val="00D027EA"/>
    <w:rsid w:val="00D036B4"/>
    <w:rsid w:val="00D049C2"/>
    <w:rsid w:val="00D15DBB"/>
    <w:rsid w:val="00D21819"/>
    <w:rsid w:val="00D24E7A"/>
    <w:rsid w:val="00D2572E"/>
    <w:rsid w:val="00D32072"/>
    <w:rsid w:val="00D33DD6"/>
    <w:rsid w:val="00D358D9"/>
    <w:rsid w:val="00D3733D"/>
    <w:rsid w:val="00D421B9"/>
    <w:rsid w:val="00D4574B"/>
    <w:rsid w:val="00D45A5D"/>
    <w:rsid w:val="00D4779C"/>
    <w:rsid w:val="00D47E21"/>
    <w:rsid w:val="00D5015E"/>
    <w:rsid w:val="00D54B26"/>
    <w:rsid w:val="00D5765B"/>
    <w:rsid w:val="00D63126"/>
    <w:rsid w:val="00D651D2"/>
    <w:rsid w:val="00D672FE"/>
    <w:rsid w:val="00D70814"/>
    <w:rsid w:val="00D71846"/>
    <w:rsid w:val="00D74614"/>
    <w:rsid w:val="00D75590"/>
    <w:rsid w:val="00D759F1"/>
    <w:rsid w:val="00D761EC"/>
    <w:rsid w:val="00D83F2E"/>
    <w:rsid w:val="00D8631D"/>
    <w:rsid w:val="00D86DF5"/>
    <w:rsid w:val="00D86E30"/>
    <w:rsid w:val="00D91C83"/>
    <w:rsid w:val="00D925CE"/>
    <w:rsid w:val="00D95B40"/>
    <w:rsid w:val="00DA15FA"/>
    <w:rsid w:val="00DA1962"/>
    <w:rsid w:val="00DA1A9D"/>
    <w:rsid w:val="00DA3E3F"/>
    <w:rsid w:val="00DA47BE"/>
    <w:rsid w:val="00DA4D51"/>
    <w:rsid w:val="00DA51C7"/>
    <w:rsid w:val="00DB17AB"/>
    <w:rsid w:val="00DB65B3"/>
    <w:rsid w:val="00DB6898"/>
    <w:rsid w:val="00DB7F57"/>
    <w:rsid w:val="00DC1437"/>
    <w:rsid w:val="00DC2121"/>
    <w:rsid w:val="00DC27D5"/>
    <w:rsid w:val="00DC2E81"/>
    <w:rsid w:val="00DC68F6"/>
    <w:rsid w:val="00DD34F1"/>
    <w:rsid w:val="00DD5D7D"/>
    <w:rsid w:val="00DD66CB"/>
    <w:rsid w:val="00DD7B30"/>
    <w:rsid w:val="00DE0FEF"/>
    <w:rsid w:val="00DE1813"/>
    <w:rsid w:val="00DE183A"/>
    <w:rsid w:val="00DE1A49"/>
    <w:rsid w:val="00DE1F90"/>
    <w:rsid w:val="00DE3EB7"/>
    <w:rsid w:val="00DE6404"/>
    <w:rsid w:val="00DF7131"/>
    <w:rsid w:val="00DF7905"/>
    <w:rsid w:val="00E01C78"/>
    <w:rsid w:val="00E07EAA"/>
    <w:rsid w:val="00E1095D"/>
    <w:rsid w:val="00E23AFA"/>
    <w:rsid w:val="00E24AB5"/>
    <w:rsid w:val="00E25D46"/>
    <w:rsid w:val="00E27801"/>
    <w:rsid w:val="00E33A13"/>
    <w:rsid w:val="00E3587D"/>
    <w:rsid w:val="00E36526"/>
    <w:rsid w:val="00E37C0D"/>
    <w:rsid w:val="00E40B93"/>
    <w:rsid w:val="00E41A4C"/>
    <w:rsid w:val="00E47D4F"/>
    <w:rsid w:val="00E50CF3"/>
    <w:rsid w:val="00E51904"/>
    <w:rsid w:val="00E55447"/>
    <w:rsid w:val="00E60A3C"/>
    <w:rsid w:val="00E62F2E"/>
    <w:rsid w:val="00E63236"/>
    <w:rsid w:val="00E643DA"/>
    <w:rsid w:val="00E650C2"/>
    <w:rsid w:val="00E65DB2"/>
    <w:rsid w:val="00E66F51"/>
    <w:rsid w:val="00E67053"/>
    <w:rsid w:val="00E67B3B"/>
    <w:rsid w:val="00E706C3"/>
    <w:rsid w:val="00E734AC"/>
    <w:rsid w:val="00E73CDA"/>
    <w:rsid w:val="00E7591A"/>
    <w:rsid w:val="00E76508"/>
    <w:rsid w:val="00E8306D"/>
    <w:rsid w:val="00E844EB"/>
    <w:rsid w:val="00E8468E"/>
    <w:rsid w:val="00E94DDB"/>
    <w:rsid w:val="00E96905"/>
    <w:rsid w:val="00E971AF"/>
    <w:rsid w:val="00E97505"/>
    <w:rsid w:val="00E97943"/>
    <w:rsid w:val="00E97E4F"/>
    <w:rsid w:val="00EA0942"/>
    <w:rsid w:val="00EA260A"/>
    <w:rsid w:val="00EA2C44"/>
    <w:rsid w:val="00EA45B3"/>
    <w:rsid w:val="00EA48E5"/>
    <w:rsid w:val="00EA7743"/>
    <w:rsid w:val="00EB3B66"/>
    <w:rsid w:val="00EB5256"/>
    <w:rsid w:val="00EB5B12"/>
    <w:rsid w:val="00EB62F7"/>
    <w:rsid w:val="00EB6556"/>
    <w:rsid w:val="00EB6901"/>
    <w:rsid w:val="00EC075F"/>
    <w:rsid w:val="00EC0BDA"/>
    <w:rsid w:val="00EC0D20"/>
    <w:rsid w:val="00EC2628"/>
    <w:rsid w:val="00EC3C02"/>
    <w:rsid w:val="00EC5C0D"/>
    <w:rsid w:val="00ED23D1"/>
    <w:rsid w:val="00ED38D8"/>
    <w:rsid w:val="00ED48B9"/>
    <w:rsid w:val="00ED4B4E"/>
    <w:rsid w:val="00EE104C"/>
    <w:rsid w:val="00EE6696"/>
    <w:rsid w:val="00EF0A34"/>
    <w:rsid w:val="00EF0B41"/>
    <w:rsid w:val="00EF45B5"/>
    <w:rsid w:val="00EF6BA2"/>
    <w:rsid w:val="00F0035E"/>
    <w:rsid w:val="00F01D17"/>
    <w:rsid w:val="00F03904"/>
    <w:rsid w:val="00F06837"/>
    <w:rsid w:val="00F06B4C"/>
    <w:rsid w:val="00F07228"/>
    <w:rsid w:val="00F11847"/>
    <w:rsid w:val="00F1407C"/>
    <w:rsid w:val="00F1637F"/>
    <w:rsid w:val="00F178CB"/>
    <w:rsid w:val="00F20628"/>
    <w:rsid w:val="00F21399"/>
    <w:rsid w:val="00F22AFD"/>
    <w:rsid w:val="00F24D66"/>
    <w:rsid w:val="00F31976"/>
    <w:rsid w:val="00F31B27"/>
    <w:rsid w:val="00F3427A"/>
    <w:rsid w:val="00F3647A"/>
    <w:rsid w:val="00F36AEF"/>
    <w:rsid w:val="00F40219"/>
    <w:rsid w:val="00F42B5F"/>
    <w:rsid w:val="00F44411"/>
    <w:rsid w:val="00F471D2"/>
    <w:rsid w:val="00F51B52"/>
    <w:rsid w:val="00F54C80"/>
    <w:rsid w:val="00F5691D"/>
    <w:rsid w:val="00F61FC3"/>
    <w:rsid w:val="00F62DC3"/>
    <w:rsid w:val="00F64D94"/>
    <w:rsid w:val="00F65E1C"/>
    <w:rsid w:val="00F67307"/>
    <w:rsid w:val="00F748A8"/>
    <w:rsid w:val="00F825E6"/>
    <w:rsid w:val="00F854A7"/>
    <w:rsid w:val="00F87915"/>
    <w:rsid w:val="00F90D38"/>
    <w:rsid w:val="00F93707"/>
    <w:rsid w:val="00F93AFF"/>
    <w:rsid w:val="00F96D76"/>
    <w:rsid w:val="00FA3C69"/>
    <w:rsid w:val="00FA4B3F"/>
    <w:rsid w:val="00FA4C5C"/>
    <w:rsid w:val="00FA6BBA"/>
    <w:rsid w:val="00FA7FE3"/>
    <w:rsid w:val="00FB077A"/>
    <w:rsid w:val="00FB0FC4"/>
    <w:rsid w:val="00FB1C04"/>
    <w:rsid w:val="00FB6C44"/>
    <w:rsid w:val="00FC0380"/>
    <w:rsid w:val="00FC6D19"/>
    <w:rsid w:val="00FC7E4D"/>
    <w:rsid w:val="00FD5AA7"/>
    <w:rsid w:val="00FD6177"/>
    <w:rsid w:val="00FD6EC1"/>
    <w:rsid w:val="00FE1363"/>
    <w:rsid w:val="00FE308E"/>
    <w:rsid w:val="00FE4621"/>
    <w:rsid w:val="00FE6240"/>
    <w:rsid w:val="00FE7F37"/>
    <w:rsid w:val="00FF362D"/>
    <w:rsid w:val="00FF6973"/>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B2C1"/>
  <w15:docId w15:val="{DC3C9181-3FD2-44C5-BEF8-785CCB88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5A132E"/>
    <w:pPr>
      <w:widowControl w:val="0"/>
      <w:spacing w:line="240" w:lineRule="auto"/>
    </w:pPr>
    <w:rPr>
      <w:rFonts w:ascii="Arial" w:hAnsi="Arial"/>
      <w:sz w:val="24"/>
    </w:rPr>
  </w:style>
  <w:style w:type="paragraph" w:styleId="Heading1">
    <w:name w:val="heading 1"/>
    <w:basedOn w:val="Normal"/>
    <w:next w:val="Normal"/>
    <w:link w:val="Heading1Char"/>
    <w:uiPriority w:val="9"/>
    <w:qFormat/>
    <w:rsid w:val="00BD4AF1"/>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969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outlineLvl w:val="2"/>
    </w:pPr>
    <w:rPr>
      <w:rFonts w:eastAsia="Times New Roman" w:cs="Times New Roman"/>
      <w:i/>
      <w:i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Reference"/>
    <w:next w:val="Normal"/>
    <w:link w:val="Heading7Char"/>
    <w:uiPriority w:val="9"/>
    <w:unhideWhenUsed/>
    <w:qFormat/>
    <w:rsid w:val="00820169"/>
    <w:pPr>
      <w:numPr>
        <w:ilvl w:val="6"/>
        <w:numId w:val="45"/>
      </w:numPr>
      <w:spacing w:after="240"/>
      <w:ind w:left="0"/>
      <w:outlineLvl w:val="6"/>
    </w:pPr>
    <w:rPr>
      <w:rFonts w:ascii="Arial" w:hAnsi="Arial" w:cs="Arial"/>
      <w:b/>
      <w:sz w:val="28"/>
      <w:szCs w:val="28"/>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uiPriority w:val="9"/>
    <w:rsid w:val="00BD4AF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96905"/>
    <w:rPr>
      <w:rFonts w:ascii="Arial" w:eastAsia="Times New Roman" w:hAnsi="Arial" w:cs="Times New Roman"/>
      <w:i/>
      <w:i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rsid w:val="00820169"/>
    <w:rPr>
      <w:rFonts w:ascii="Arial" w:hAnsi="Arial" w:cs="Arial"/>
      <w:b/>
      <w:color w:val="000000"/>
      <w:sz w:val="28"/>
      <w:szCs w:val="28"/>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Char, Char, Char4"/>
    <w:basedOn w:val="Normal"/>
    <w:link w:val="FootnoteTextChar"/>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unhideWhenUsed/>
    <w:qFormat/>
    <w:rsid w:val="003928A8"/>
    <w:pPr>
      <w:keepNext/>
    </w:pPr>
    <w:rPr>
      <w:rFonts w:eastAsiaTheme="minorEastAsia"/>
      <w:b/>
      <w:bCs/>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942996"/>
    <w:pPr>
      <w:tabs>
        <w:tab w:val="left" w:pos="720"/>
        <w:tab w:val="right" w:leader="dot" w:pos="10080"/>
      </w:tabs>
      <w:spacing w:after="100"/>
    </w:pPr>
    <w:rPr>
      <w:noProof/>
    </w:r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713CD7"/>
    <w:pPr>
      <w:spacing w:after="100"/>
      <w:ind w:left="1440"/>
    </w:pPr>
    <w:rPr>
      <w:i/>
    </w:r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numbering" w:customStyle="1" w:styleId="ListNumber1">
    <w:name w:val="List Number_1"/>
    <w:uiPriority w:val="99"/>
    <w:rsid w:val="00693608"/>
    <w:pPr>
      <w:numPr>
        <w:numId w:val="24"/>
      </w:numPr>
    </w:pPr>
  </w:style>
  <w:style w:type="paragraph" w:customStyle="1" w:styleId="BodyTextNoIndent">
    <w:name w:val="Body Text No Indent"/>
    <w:basedOn w:val="BodyText"/>
    <w:qFormat/>
    <w:rsid w:val="00395811"/>
    <w:pPr>
      <w:spacing w:after="240"/>
      <w:ind w:firstLine="720"/>
    </w:pPr>
    <w:rPr>
      <w:rFonts w:ascii="Times New Roman" w:eastAsia="Times New Roman" w:hAnsi="Times New Roman" w:cs="Times New Roman"/>
      <w:szCs w:val="24"/>
      <w:lang w:bidi="ar-SA"/>
    </w:rPr>
  </w:style>
  <w:style w:type="paragraph" w:styleId="ListBullet">
    <w:name w:val="List Bullet"/>
    <w:basedOn w:val="Normal"/>
    <w:uiPriority w:val="99"/>
    <w:unhideWhenUsed/>
    <w:rsid w:val="00EB5256"/>
    <w:pPr>
      <w:numPr>
        <w:numId w:val="26"/>
      </w:numPr>
      <w:contextualSpacing/>
    </w:pPr>
  </w:style>
  <w:style w:type="paragraph" w:customStyle="1" w:styleId="Footnotetables">
    <w:name w:val="Footnote_tables"/>
    <w:qFormat/>
    <w:rsid w:val="00967CD5"/>
    <w:pPr>
      <w:spacing w:before="60" w:after="0" w:line="240" w:lineRule="auto"/>
      <w:ind w:left="360" w:hanging="360"/>
    </w:pPr>
    <w:rPr>
      <w:rFonts w:ascii="Arial Narrow" w:hAnsi="Arial Narrow"/>
      <w:sz w:val="18"/>
      <w:szCs w:val="20"/>
    </w:rPr>
  </w:style>
  <w:style w:type="paragraph" w:customStyle="1" w:styleId="Reference">
    <w:name w:val="Reference"/>
    <w:basedOn w:val="Normal"/>
    <w:qFormat/>
    <w:rsid w:val="008F0E7C"/>
    <w:pPr>
      <w:autoSpaceDE w:val="0"/>
      <w:autoSpaceDN w:val="0"/>
      <w:adjustRightInd w:val="0"/>
      <w:spacing w:after="120"/>
      <w:ind w:left="360" w:hanging="360"/>
    </w:pPr>
    <w:rPr>
      <w:rFonts w:ascii="Times New Roman" w:hAnsi="Times New Roman"/>
      <w:color w:val="000000"/>
      <w:sz w:val="22"/>
      <w:szCs w:val="24"/>
    </w:rPr>
  </w:style>
  <w:style w:type="paragraph" w:styleId="TableofFigures">
    <w:name w:val="table of figures"/>
    <w:basedOn w:val="Normal"/>
    <w:next w:val="Normal"/>
    <w:uiPriority w:val="99"/>
    <w:unhideWhenUsed/>
    <w:rsid w:val="00D15DBB"/>
  </w:style>
  <w:style w:type="paragraph" w:customStyle="1" w:styleId="Sources">
    <w:name w:val="Sources"/>
    <w:rsid w:val="00357E8D"/>
    <w:pPr>
      <w:spacing w:after="240" w:line="240" w:lineRule="auto"/>
      <w:ind w:left="72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24141916">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31442512">
      <w:bodyDiv w:val="1"/>
      <w:marLeft w:val="0"/>
      <w:marRight w:val="0"/>
      <w:marTop w:val="0"/>
      <w:marBottom w:val="0"/>
      <w:divBdr>
        <w:top w:val="none" w:sz="0" w:space="0" w:color="auto"/>
        <w:left w:val="none" w:sz="0" w:space="0" w:color="auto"/>
        <w:bottom w:val="none" w:sz="0" w:space="0" w:color="auto"/>
        <w:right w:val="none" w:sz="0" w:space="0" w:color="auto"/>
      </w:divBdr>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663356505">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71265965">
      <w:bodyDiv w:val="1"/>
      <w:marLeft w:val="0"/>
      <w:marRight w:val="0"/>
      <w:marTop w:val="0"/>
      <w:marBottom w:val="0"/>
      <w:divBdr>
        <w:top w:val="none" w:sz="0" w:space="0" w:color="auto"/>
        <w:left w:val="none" w:sz="0" w:space="0" w:color="auto"/>
        <w:bottom w:val="none" w:sz="0" w:space="0" w:color="auto"/>
        <w:right w:val="none" w:sz="0" w:space="0" w:color="auto"/>
      </w:divBdr>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003239071">
      <w:bodyDiv w:val="1"/>
      <w:marLeft w:val="0"/>
      <w:marRight w:val="0"/>
      <w:marTop w:val="0"/>
      <w:marBottom w:val="0"/>
      <w:divBdr>
        <w:top w:val="none" w:sz="0" w:space="0" w:color="auto"/>
        <w:left w:val="none" w:sz="0" w:space="0" w:color="auto"/>
        <w:bottom w:val="none" w:sz="0" w:space="0" w:color="auto"/>
        <w:right w:val="none" w:sz="0" w:space="0" w:color="auto"/>
      </w:divBdr>
    </w:div>
    <w:div w:id="1030423734">
      <w:bodyDiv w:val="1"/>
      <w:marLeft w:val="0"/>
      <w:marRight w:val="0"/>
      <w:marTop w:val="0"/>
      <w:marBottom w:val="0"/>
      <w:divBdr>
        <w:top w:val="none" w:sz="0" w:space="0" w:color="auto"/>
        <w:left w:val="none" w:sz="0" w:space="0" w:color="auto"/>
        <w:bottom w:val="none" w:sz="0" w:space="0" w:color="auto"/>
        <w:right w:val="none" w:sz="0" w:space="0" w:color="auto"/>
      </w:divBdr>
    </w:div>
    <w:div w:id="1267738055">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74759535">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529566483">
      <w:bodyDiv w:val="1"/>
      <w:marLeft w:val="0"/>
      <w:marRight w:val="0"/>
      <w:marTop w:val="0"/>
      <w:marBottom w:val="0"/>
      <w:divBdr>
        <w:top w:val="none" w:sz="0" w:space="0" w:color="auto"/>
        <w:left w:val="none" w:sz="0" w:space="0" w:color="auto"/>
        <w:bottom w:val="none" w:sz="0" w:space="0" w:color="auto"/>
        <w:right w:val="none" w:sz="0" w:space="0" w:color="auto"/>
      </w:divBdr>
    </w:div>
    <w:div w:id="1549486075">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58728699">
      <w:bodyDiv w:val="1"/>
      <w:marLeft w:val="0"/>
      <w:marRight w:val="0"/>
      <w:marTop w:val="0"/>
      <w:marBottom w:val="0"/>
      <w:divBdr>
        <w:top w:val="none" w:sz="0" w:space="0" w:color="auto"/>
        <w:left w:val="none" w:sz="0" w:space="0" w:color="auto"/>
        <w:bottom w:val="none" w:sz="0" w:space="0" w:color="auto"/>
        <w:right w:val="none" w:sz="0" w:space="0" w:color="auto"/>
      </w:divBdr>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1966814269">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DRweb@epa.gov" TargetMode="External"/><Relationship Id="rId18" Type="http://schemas.openxmlformats.org/officeDocument/2006/relationships/hyperlink" Target="https://www.opm.gov/policy-data-oversight/pay-leave/salaries-wages/salary-tables/18Tables/html/DCB_h.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epa.gov/dockets" TargetMode="External"/><Relationship Id="rId17" Type="http://schemas.openxmlformats.org/officeDocument/2006/relationships/hyperlink" Target="mailto:oira_submission@omb.eop.gov"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sba.gov/document/support--size-standards-methodology-white-pap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gulations.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ba.gov/document/support--size-standards-methodology-white-pap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1&amp;SID=67b7f8b06cce47cf338b3b52057016a4&amp;ty=HTML&amp;h=L&amp;n=5y3.0.2.3.9&amp;r=PA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2020-01-08T13:56:01+00:00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f15e4d92-675c-4df7-a5c5-11f59c7da362">
      <UserInfo>
        <DisplayName>Sharkey, Susan</DisplayName>
        <AccountId>1734</AccountId>
        <AccountType/>
      </UserInfo>
      <UserInfo>
        <DisplayName>Lloyd, Tyler</DisplayName>
        <AccountId>2652</AccountId>
        <AccountType/>
      </UserInfo>
      <UserInfo>
        <DisplayName>Brown, Judith</DisplayName>
        <AccountId>2867</AccountId>
        <AccountType/>
      </UserInfo>
    </SharedWithUsers>
    <Records_x0020_Date xmlns="f15e4d92-675c-4df7-a5c5-11f59c7da362" xsi:nil="true"/>
    <Records_x0020_Status xmlns="f15e4d92-675c-4df7-a5c5-11f59c7da362">Pending</Records_x0020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8807-F34B-4ED5-8BB4-7F655434CCF1}">
  <ds:schemaRefs>
    <ds:schemaRef ds:uri="http://schemas.microsoft.com/sharepoint/v3/contenttype/forms"/>
  </ds:schemaRefs>
</ds:datastoreItem>
</file>

<file path=customXml/itemProps2.xml><?xml version="1.0" encoding="utf-8"?>
<ds:datastoreItem xmlns:ds="http://schemas.openxmlformats.org/officeDocument/2006/customXml" ds:itemID="{E538C083-E0F8-469D-9D9F-BC249DE540F2}">
  <ds:schemaRefs>
    <ds:schemaRef ds:uri="Microsoft.SharePoint.Taxonomy.ContentTypeSync"/>
  </ds:schemaRefs>
</ds:datastoreItem>
</file>

<file path=customXml/itemProps3.xml><?xml version="1.0" encoding="utf-8"?>
<ds:datastoreItem xmlns:ds="http://schemas.openxmlformats.org/officeDocument/2006/customXml" ds:itemID="{325CC891-9D8B-4968-9147-C590A1D5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C3D0E-55CB-4E8D-B2D0-39B92EE26D3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15e4d92-675c-4df7-a5c5-11f59c7da362"/>
  </ds:schemaRefs>
</ds:datastoreItem>
</file>

<file path=customXml/itemProps5.xml><?xml version="1.0" encoding="utf-8"?>
<ds:datastoreItem xmlns:ds="http://schemas.openxmlformats.org/officeDocument/2006/customXml" ds:itemID="{F1B3967C-2FAC-4A6D-A63D-4C6D796C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12679</Words>
  <Characters>72274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Hofmann</dc:creator>
  <cp:lastModifiedBy>Eric Schultz</cp:lastModifiedBy>
  <cp:revision>2</cp:revision>
  <cp:lastPrinted>2020-01-03T14:33:00Z</cp:lastPrinted>
  <dcterms:created xsi:type="dcterms:W3CDTF">2020-06-24T18:36:00Z</dcterms:created>
  <dcterms:modified xsi:type="dcterms:W3CDTF">2020-06-24T18:36:00Z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