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6782" w:rsidR="005645B8" w:rsidP="007A01E7" w:rsidRDefault="005645B8" w14:paraId="6D881B66" w14:textId="645396D7">
      <w:pPr>
        <w:pStyle w:val="Title"/>
        <w:rPr>
          <w:rFonts w:ascii="Times New Roman" w:hAnsi="Times New Roman" w:cs="Times New Roman"/>
        </w:rPr>
      </w:pPr>
      <w:bookmarkStart w:name="_Toc49148152" w:id="0"/>
      <w:r w:rsidRPr="00676782">
        <w:rPr>
          <w:rFonts w:ascii="Times New Roman" w:hAnsi="Times New Roman" w:cs="Times New Roman"/>
        </w:rPr>
        <w:t>Supporting Statement for a</w:t>
      </w:r>
      <w:r w:rsidRPr="00676782" w:rsidR="009505AD">
        <w:rPr>
          <w:rFonts w:ascii="Times New Roman" w:hAnsi="Times New Roman" w:cs="Times New Roman"/>
        </w:rPr>
        <w:t>n</w:t>
      </w:r>
      <w:r w:rsidRPr="00676782">
        <w:rPr>
          <w:rFonts w:ascii="Times New Roman" w:hAnsi="Times New Roman" w:cs="Times New Roman"/>
        </w:rPr>
        <w:t xml:space="preserve"> Information Collection Request (ICR) </w:t>
      </w:r>
    </w:p>
    <w:p w:rsidRPr="00676782" w:rsidR="005645B8" w:rsidP="007A01E7" w:rsidRDefault="005645B8" w14:paraId="19900C7F" w14:textId="48571761">
      <w:pPr>
        <w:pStyle w:val="Title"/>
        <w:rPr>
          <w:rFonts w:ascii="Times New Roman" w:hAnsi="Times New Roman" w:cs="Times New Roman"/>
        </w:rPr>
      </w:pPr>
      <w:r w:rsidRPr="00676782">
        <w:rPr>
          <w:rFonts w:ascii="Times New Roman" w:hAnsi="Times New Roman" w:cs="Times New Roman"/>
        </w:rPr>
        <w:t>Under the Paperwork Reduction Act (PRA)</w:t>
      </w:r>
    </w:p>
    <w:p w:rsidRPr="00676782" w:rsidR="005645B8" w:rsidP="007A01E7" w:rsidRDefault="005645B8" w14:paraId="0BF5219B" w14:textId="77777777">
      <w:pPr>
        <w:pStyle w:val="Heading1"/>
        <w:rPr>
          <w:rFonts w:ascii="Times New Roman" w:hAnsi="Times New Roman" w:cs="Times New Roman"/>
        </w:rPr>
      </w:pPr>
      <w:r w:rsidRPr="00676782">
        <w:rPr>
          <w:rFonts w:ascii="Times New Roman" w:hAnsi="Times New Roman" w:cs="Times New Roman"/>
        </w:rPr>
        <w:t>EXECUTIVE SUMMARY</w:t>
      </w:r>
      <w:bookmarkEnd w:id="0"/>
    </w:p>
    <w:p w:rsidRPr="00676782" w:rsidR="005645B8" w:rsidP="002059F4" w:rsidRDefault="005645B8" w14:paraId="5616E8D6" w14:textId="03BDFD68">
      <w:pPr>
        <w:pStyle w:val="Heading3"/>
        <w:numPr>
          <w:ilvl w:val="0"/>
          <w:numId w:val="0"/>
        </w:numPr>
        <w:rPr>
          <w:rFonts w:ascii="Times New Roman" w:hAnsi="Times New Roman"/>
        </w:rPr>
      </w:pPr>
      <w:bookmarkStart w:name="_Toc49148153" w:id="1"/>
      <w:r w:rsidRPr="00676782">
        <w:rPr>
          <w:rFonts w:ascii="Times New Roman" w:hAnsi="Times New Roman"/>
        </w:rPr>
        <w:t>Identification of the Information Collection – Title and Numbers</w:t>
      </w:r>
      <w:bookmarkEnd w:id="1"/>
    </w:p>
    <w:p w:rsidRPr="00676782" w:rsidR="005645B8" w:rsidP="00467E3A" w:rsidRDefault="005645B8" w14:paraId="47EF360E" w14:textId="44A26C95">
      <w:pPr>
        <w:pStyle w:val="NoSpacing"/>
        <w:spacing w:after="120"/>
        <w:ind w:left="720"/>
        <w:rPr>
          <w:rFonts w:ascii="Times New Roman" w:hAnsi="Times New Roman" w:cs="Times New Roman"/>
          <w:sz w:val="24"/>
          <w:szCs w:val="24"/>
        </w:rPr>
      </w:pPr>
      <w:r w:rsidRPr="00676782">
        <w:rPr>
          <w:rFonts w:ascii="Times New Roman" w:hAnsi="Times New Roman" w:cs="Times New Roman"/>
          <w:b/>
          <w:sz w:val="24"/>
          <w:szCs w:val="24"/>
        </w:rPr>
        <w:t xml:space="preserve">Title: </w:t>
      </w:r>
      <w:bookmarkStart w:name="_Hlk74056741" w:id="2"/>
      <w:r w:rsidRPr="00676782" w:rsidR="00FA1F22">
        <w:rPr>
          <w:rFonts w:ascii="Times New Roman" w:hAnsi="Times New Roman" w:cs="Times New Roman"/>
          <w:bCs/>
          <w:sz w:val="24"/>
          <w:szCs w:val="24"/>
        </w:rPr>
        <w:t>Recordkeeping and Reporting Requirements for Allegations of Significant Adverse Reactions to Human Health or the Environment</w:t>
      </w:r>
      <w:bookmarkEnd w:id="2"/>
    </w:p>
    <w:p w:rsidRPr="00676782" w:rsidR="009505AD" w:rsidP="005645B8" w:rsidRDefault="005645B8" w14:paraId="1968D082" w14:textId="04F00D84">
      <w:pPr>
        <w:pStyle w:val="NoSpacing"/>
        <w:spacing w:after="120"/>
        <w:rPr>
          <w:rFonts w:ascii="Times New Roman" w:hAnsi="Times New Roman" w:cs="Times New Roman"/>
          <w:sz w:val="24"/>
          <w:szCs w:val="24"/>
        </w:rPr>
      </w:pPr>
      <w:r w:rsidRPr="00676782">
        <w:rPr>
          <w:rFonts w:ascii="Times New Roman" w:hAnsi="Times New Roman" w:cs="Times New Roman"/>
          <w:sz w:val="24"/>
          <w:szCs w:val="24"/>
        </w:rPr>
        <w:tab/>
      </w:r>
      <w:r w:rsidRPr="00676782" w:rsidR="009505AD">
        <w:rPr>
          <w:rFonts w:ascii="Times New Roman" w:hAnsi="Times New Roman" w:cs="Times New Roman"/>
          <w:b/>
          <w:bCs/>
          <w:sz w:val="24"/>
          <w:szCs w:val="24"/>
        </w:rPr>
        <w:t xml:space="preserve">EPA </w:t>
      </w:r>
      <w:r w:rsidRPr="00676782">
        <w:rPr>
          <w:rFonts w:ascii="Times New Roman" w:hAnsi="Times New Roman" w:cs="Times New Roman"/>
          <w:b/>
          <w:bCs/>
          <w:sz w:val="24"/>
          <w:szCs w:val="24"/>
        </w:rPr>
        <w:t>ICR N</w:t>
      </w:r>
      <w:r w:rsidRPr="00676782" w:rsidR="009505AD">
        <w:rPr>
          <w:rFonts w:ascii="Times New Roman" w:hAnsi="Times New Roman" w:cs="Times New Roman"/>
          <w:b/>
          <w:bCs/>
          <w:sz w:val="24"/>
          <w:szCs w:val="24"/>
        </w:rPr>
        <w:t>o.</w:t>
      </w:r>
      <w:r w:rsidRPr="00676782">
        <w:rPr>
          <w:rFonts w:ascii="Times New Roman" w:hAnsi="Times New Roman" w:cs="Times New Roman"/>
          <w:b/>
          <w:bCs/>
          <w:sz w:val="24"/>
          <w:szCs w:val="24"/>
        </w:rPr>
        <w:t>:</w:t>
      </w:r>
      <w:r w:rsidRPr="00676782">
        <w:rPr>
          <w:rFonts w:ascii="Times New Roman" w:hAnsi="Times New Roman" w:cs="Times New Roman"/>
          <w:b/>
          <w:sz w:val="24"/>
          <w:szCs w:val="24"/>
        </w:rPr>
        <w:t xml:space="preserve"> </w:t>
      </w:r>
      <w:r w:rsidRPr="00676782" w:rsidR="005B60C2">
        <w:rPr>
          <w:rFonts w:ascii="Times New Roman" w:hAnsi="Times New Roman" w:cs="Times New Roman"/>
          <w:sz w:val="24"/>
          <w:szCs w:val="24"/>
        </w:rPr>
        <w:t>1031.12</w:t>
      </w:r>
    </w:p>
    <w:p w:rsidRPr="00676782" w:rsidR="005645B8" w:rsidP="005645B8" w:rsidRDefault="009505AD" w14:paraId="3EF98889" w14:textId="4E3900A5">
      <w:pPr>
        <w:pStyle w:val="NoSpacing"/>
        <w:spacing w:after="120"/>
        <w:rPr>
          <w:rFonts w:ascii="Times New Roman" w:hAnsi="Times New Roman" w:cs="Times New Roman"/>
          <w:sz w:val="24"/>
          <w:szCs w:val="24"/>
        </w:rPr>
      </w:pPr>
      <w:r w:rsidRPr="00676782">
        <w:rPr>
          <w:rFonts w:ascii="Times New Roman" w:hAnsi="Times New Roman" w:cs="Times New Roman"/>
          <w:sz w:val="24"/>
          <w:szCs w:val="24"/>
        </w:rPr>
        <w:tab/>
      </w:r>
      <w:r w:rsidRPr="00676782" w:rsidR="005645B8">
        <w:rPr>
          <w:rFonts w:ascii="Times New Roman" w:hAnsi="Times New Roman" w:cs="Times New Roman"/>
          <w:b/>
          <w:bCs/>
          <w:sz w:val="24"/>
          <w:szCs w:val="24"/>
        </w:rPr>
        <w:t>OMB Control No.:</w:t>
      </w:r>
      <w:r w:rsidRPr="00676782" w:rsidR="005645B8">
        <w:rPr>
          <w:rFonts w:ascii="Times New Roman" w:hAnsi="Times New Roman" w:cs="Times New Roman"/>
          <w:sz w:val="24"/>
          <w:szCs w:val="24"/>
        </w:rPr>
        <w:t xml:space="preserve"> </w:t>
      </w:r>
      <w:r w:rsidRPr="00676782" w:rsidR="005B60C2">
        <w:rPr>
          <w:rFonts w:ascii="Times New Roman" w:hAnsi="Times New Roman" w:cs="Times New Roman"/>
          <w:sz w:val="24"/>
          <w:szCs w:val="24"/>
        </w:rPr>
        <w:t>2070-0017</w:t>
      </w:r>
    </w:p>
    <w:p w:rsidRPr="00676782" w:rsidR="005645B8" w:rsidP="005645B8" w:rsidRDefault="005645B8" w14:paraId="05F7B442" w14:textId="57A99083">
      <w:pPr>
        <w:pStyle w:val="NoSpacing"/>
        <w:spacing w:after="120"/>
        <w:rPr>
          <w:rFonts w:ascii="Times New Roman" w:hAnsi="Times New Roman" w:cs="Times New Roman"/>
          <w:sz w:val="24"/>
          <w:szCs w:val="24"/>
        </w:rPr>
      </w:pPr>
      <w:r w:rsidRPr="00676782">
        <w:rPr>
          <w:rFonts w:ascii="Times New Roman" w:hAnsi="Times New Roman" w:cs="Times New Roman"/>
          <w:sz w:val="24"/>
          <w:szCs w:val="24"/>
        </w:rPr>
        <w:tab/>
      </w:r>
      <w:r w:rsidRPr="00676782">
        <w:rPr>
          <w:rFonts w:ascii="Times New Roman" w:hAnsi="Times New Roman" w:cs="Times New Roman"/>
          <w:b/>
          <w:sz w:val="24"/>
          <w:szCs w:val="24"/>
        </w:rPr>
        <w:t xml:space="preserve">Docket ID No.: </w:t>
      </w:r>
      <w:bookmarkStart w:name="_Hlk74056686" w:id="3"/>
      <w:r w:rsidRPr="00676782">
        <w:rPr>
          <w:rFonts w:ascii="Times New Roman" w:hAnsi="Times New Roman" w:cs="Times New Roman"/>
          <w:sz w:val="24"/>
          <w:szCs w:val="24"/>
        </w:rPr>
        <w:t>EPA-HQ-</w:t>
      </w:r>
      <w:r w:rsidRPr="00676782" w:rsidR="005B60C2">
        <w:rPr>
          <w:rFonts w:ascii="Times New Roman" w:hAnsi="Times New Roman" w:cs="Times New Roman"/>
          <w:sz w:val="24"/>
          <w:szCs w:val="24"/>
        </w:rPr>
        <w:t>OPPT-2015-0688</w:t>
      </w:r>
      <w:bookmarkEnd w:id="3"/>
    </w:p>
    <w:p w:rsidRPr="00676782" w:rsidR="005645B8" w:rsidP="002059F4" w:rsidRDefault="005645B8" w14:paraId="6A1E128E" w14:textId="352364C1">
      <w:pPr>
        <w:pStyle w:val="Heading3"/>
        <w:numPr>
          <w:ilvl w:val="0"/>
          <w:numId w:val="0"/>
        </w:numPr>
        <w:rPr>
          <w:rFonts w:ascii="Times New Roman" w:hAnsi="Times New Roman"/>
        </w:rPr>
      </w:pPr>
      <w:bookmarkStart w:name="_Toc49148156" w:id="4"/>
      <w:r w:rsidRPr="00676782">
        <w:rPr>
          <w:rFonts w:ascii="Times New Roman" w:hAnsi="Times New Roman"/>
        </w:rPr>
        <w:t>Abstract</w:t>
      </w:r>
      <w:bookmarkEnd w:id="4"/>
    </w:p>
    <w:p w:rsidRPr="00676782" w:rsidR="005B60C2" w:rsidP="005B60C2" w:rsidRDefault="005B60C2" w14:paraId="300D022F" w14:textId="665C116C">
      <w:pPr>
        <w:rPr>
          <w:rFonts w:ascii="Times New Roman" w:hAnsi="Times New Roman" w:cs="Times New Roman"/>
        </w:rPr>
      </w:pPr>
      <w:bookmarkStart w:name="_Hlk74058405" w:id="5"/>
      <w:r w:rsidRPr="00676782">
        <w:rPr>
          <w:rFonts w:ascii="Times New Roman" w:hAnsi="Times New Roman" w:cs="Times New Roman"/>
        </w:rPr>
        <w:t>Section 8(c) of the Toxic Substances Control Act (TSCA), 15 U.S.C. 2607(c), requires that “any person who manufactures (including imports), processes, or distributes in commerce any chemical substance or mixture” must keep “records of significant adverse reactions to health or the environment, as determined by the Administrator by rule, alleged to have been caused by the substance or mixture.” TSCA section 8(c) requires that allegations of adverse reactions to the health of employees be kept for thirty years, and all other allegations be kept for five years.</w:t>
      </w:r>
    </w:p>
    <w:p w:rsidRPr="00676782" w:rsidR="005B60C2" w:rsidP="005B60C2" w:rsidRDefault="005B60C2" w14:paraId="664DBC40" w14:textId="64B5C740">
      <w:pPr>
        <w:rPr>
          <w:rFonts w:ascii="Times New Roman" w:hAnsi="Times New Roman" w:cs="Times New Roman"/>
        </w:rPr>
      </w:pPr>
      <w:r w:rsidRPr="00676782">
        <w:rPr>
          <w:rFonts w:ascii="Times New Roman" w:hAnsi="Times New Roman" w:cs="Times New Roman"/>
        </w:rPr>
        <w:t>EPA promulgated 40 CFR 717, “Allegations that Chemical Substances Cause Significant Adverse Reactions to Health or the Environment; Subpart A -- Recordkeeping and Reporting,” on August 22, 1983 (48 FR 38178). This rule became effective on November 21, 1983.  The rule requires manufacturers (including importers) and processors of chemical substances and mixtures to keep records of “significant adverse reactions” alleged to have been caused by such substances or mixtures.  The rule also prescribes the conditions under which a firm must submit or make the records available to a duly designated representative of the Administrator.</w:t>
      </w:r>
    </w:p>
    <w:bookmarkEnd w:id="5"/>
    <w:p w:rsidRPr="00676782" w:rsidR="007A01E7" w:rsidP="002059F4" w:rsidRDefault="007A01E7" w14:paraId="61F105B4" w14:textId="2984CA32">
      <w:pPr>
        <w:pStyle w:val="Heading3"/>
        <w:numPr>
          <w:ilvl w:val="0"/>
          <w:numId w:val="0"/>
        </w:numPr>
        <w:rPr>
          <w:rFonts w:ascii="Times New Roman" w:hAnsi="Times New Roman"/>
        </w:rPr>
      </w:pPr>
      <w:r w:rsidRPr="00676782">
        <w:rPr>
          <w:rFonts w:ascii="Times New Roman" w:hAnsi="Times New Roman"/>
        </w:rPr>
        <w:t>Summary Total Burden and Costs</w:t>
      </w:r>
    </w:p>
    <w:tbl>
      <w:tblPr>
        <w:tblStyle w:val="TableGrid"/>
        <w:tblW w:w="0" w:type="auto"/>
        <w:tblLook w:val="04A0" w:firstRow="1" w:lastRow="0" w:firstColumn="1" w:lastColumn="0" w:noHBand="0" w:noVBand="1"/>
      </w:tblPr>
      <w:tblGrid>
        <w:gridCol w:w="3116"/>
        <w:gridCol w:w="3117"/>
        <w:gridCol w:w="3117"/>
      </w:tblGrid>
      <w:tr w:rsidRPr="00676782" w:rsidR="00E91639" w:rsidTr="00E91639" w14:paraId="2BA51C5D" w14:textId="64631394">
        <w:tc>
          <w:tcPr>
            <w:tcW w:w="3116" w:type="dxa"/>
          </w:tcPr>
          <w:p w:rsidRPr="00676782" w:rsidR="00E91639" w:rsidP="002059F4" w:rsidRDefault="00E91639" w14:paraId="677E9AA4" w14:textId="77777777">
            <w:pPr>
              <w:pStyle w:val="Heading1"/>
              <w:outlineLvl w:val="0"/>
              <w:rPr>
                <w:rFonts w:ascii="Times New Roman" w:hAnsi="Times New Roman" w:cs="Times New Roman"/>
                <w:sz w:val="24"/>
                <w:szCs w:val="24"/>
              </w:rPr>
            </w:pPr>
          </w:p>
        </w:tc>
        <w:tc>
          <w:tcPr>
            <w:tcW w:w="3117" w:type="dxa"/>
          </w:tcPr>
          <w:p w:rsidRPr="00676782" w:rsidR="00E91639" w:rsidP="002059F4" w:rsidRDefault="00E91639" w14:paraId="7EFF852D" w14:textId="663E92C2">
            <w:pPr>
              <w:pStyle w:val="Heading1"/>
              <w:outlineLvl w:val="0"/>
              <w:rPr>
                <w:rFonts w:ascii="Times New Roman" w:hAnsi="Times New Roman" w:cs="Times New Roman"/>
                <w:sz w:val="24"/>
                <w:szCs w:val="24"/>
              </w:rPr>
            </w:pPr>
            <w:r w:rsidRPr="00676782">
              <w:rPr>
                <w:rFonts w:ascii="Times New Roman" w:hAnsi="Times New Roman" w:cs="Times New Roman"/>
                <w:sz w:val="22"/>
                <w:szCs w:val="22"/>
              </w:rPr>
              <w:t>Annual Burden hours</w:t>
            </w:r>
          </w:p>
        </w:tc>
        <w:tc>
          <w:tcPr>
            <w:tcW w:w="3117" w:type="dxa"/>
          </w:tcPr>
          <w:p w:rsidRPr="00676782" w:rsidR="00E91639" w:rsidP="002059F4" w:rsidRDefault="00E91639" w14:paraId="47F2F87F" w14:textId="1F7B1325">
            <w:pPr>
              <w:pStyle w:val="Heading1"/>
              <w:outlineLvl w:val="0"/>
              <w:rPr>
                <w:rFonts w:ascii="Times New Roman" w:hAnsi="Times New Roman" w:cs="Times New Roman"/>
                <w:sz w:val="24"/>
                <w:szCs w:val="24"/>
              </w:rPr>
            </w:pPr>
            <w:r w:rsidRPr="00676782">
              <w:rPr>
                <w:rFonts w:ascii="Times New Roman" w:hAnsi="Times New Roman" w:cs="Times New Roman"/>
                <w:sz w:val="22"/>
                <w:szCs w:val="22"/>
              </w:rPr>
              <w:t>Annual costs</w:t>
            </w:r>
          </w:p>
        </w:tc>
      </w:tr>
      <w:tr w:rsidRPr="00676782" w:rsidR="00DD4208" w:rsidTr="007F7E00" w14:paraId="224A17F6" w14:textId="296F5765">
        <w:tc>
          <w:tcPr>
            <w:tcW w:w="3116" w:type="dxa"/>
          </w:tcPr>
          <w:p w:rsidRPr="00676782" w:rsidR="00DD4208" w:rsidP="00DD4208" w:rsidRDefault="00DD4208" w14:paraId="783DEFED" w14:textId="0713D833">
            <w:pPr>
              <w:pStyle w:val="Heading1"/>
              <w:outlineLvl w:val="0"/>
              <w:rPr>
                <w:rFonts w:ascii="Times New Roman" w:hAnsi="Times New Roman" w:cs="Times New Roman"/>
                <w:sz w:val="22"/>
                <w:szCs w:val="22"/>
              </w:rPr>
            </w:pPr>
            <w:r w:rsidRPr="00676782">
              <w:rPr>
                <w:rFonts w:ascii="Times New Roman" w:hAnsi="Times New Roman" w:cs="Times New Roman"/>
                <w:sz w:val="22"/>
                <w:szCs w:val="22"/>
              </w:rPr>
              <w:t>Respondents</w:t>
            </w:r>
          </w:p>
        </w:tc>
        <w:tc>
          <w:tcPr>
            <w:tcW w:w="3117" w:type="dxa"/>
            <w:tcBorders>
              <w:top w:val="single" w:color="auto" w:sz="4" w:space="0"/>
              <w:left w:val="single" w:color="auto" w:sz="4" w:space="0"/>
              <w:bottom w:val="double" w:color="000000" w:sz="6" w:space="0"/>
              <w:right w:val="single" w:color="auto" w:sz="4" w:space="0"/>
            </w:tcBorders>
            <w:vAlign w:val="center"/>
          </w:tcPr>
          <w:p w:rsidRPr="00676782" w:rsidR="00DD4208" w:rsidP="00DD4208" w:rsidRDefault="00D07777" w14:paraId="7B2A569F" w14:textId="751EE90A">
            <w:pPr>
              <w:pStyle w:val="Heading1"/>
              <w:outlineLvl w:val="0"/>
              <w:rPr>
                <w:rFonts w:ascii="Times New Roman" w:hAnsi="Times New Roman" w:cs="Times New Roman"/>
                <w:sz w:val="24"/>
                <w:szCs w:val="24"/>
              </w:rPr>
            </w:pPr>
            <w:r w:rsidRPr="00D07777">
              <w:rPr>
                <w:rFonts w:ascii="Times New Roman" w:hAnsi="Times New Roman" w:cs="Times New Roman"/>
                <w:b w:val="0"/>
                <w:bCs w:val="0"/>
                <w:color w:val="000000"/>
                <w:sz w:val="22"/>
              </w:rPr>
              <w:t>25,527</w:t>
            </w:r>
          </w:p>
        </w:tc>
        <w:tc>
          <w:tcPr>
            <w:tcW w:w="3117" w:type="dxa"/>
            <w:tcBorders>
              <w:top w:val="single" w:color="auto" w:sz="4" w:space="0"/>
              <w:left w:val="single" w:color="auto" w:sz="4" w:space="0"/>
              <w:bottom w:val="double" w:color="000000" w:sz="6" w:space="0"/>
              <w:right w:val="double" w:color="000000" w:sz="6" w:space="0"/>
            </w:tcBorders>
            <w:vAlign w:val="center"/>
          </w:tcPr>
          <w:p w:rsidRPr="00676782" w:rsidR="00DD4208" w:rsidP="00DD4208" w:rsidRDefault="00B30DE4" w14:paraId="2F7884F3" w14:textId="368642B6">
            <w:pPr>
              <w:pStyle w:val="Heading1"/>
              <w:outlineLvl w:val="0"/>
              <w:rPr>
                <w:rFonts w:ascii="Times New Roman" w:hAnsi="Times New Roman" w:cs="Times New Roman"/>
                <w:sz w:val="24"/>
                <w:szCs w:val="24"/>
              </w:rPr>
            </w:pPr>
            <w:r w:rsidRPr="00676782">
              <w:rPr>
                <w:rFonts w:ascii="Times New Roman" w:hAnsi="Times New Roman" w:cs="Times New Roman"/>
                <w:b w:val="0"/>
                <w:bCs w:val="0"/>
                <w:color w:val="000000"/>
                <w:sz w:val="22"/>
              </w:rPr>
              <w:t>$</w:t>
            </w:r>
            <w:r w:rsidRPr="00676782" w:rsidR="0043778D">
              <w:rPr>
                <w:rFonts w:ascii="Times New Roman" w:hAnsi="Times New Roman" w:cs="Times New Roman"/>
                <w:b w:val="0"/>
                <w:bCs w:val="0"/>
                <w:color w:val="000000"/>
                <w:sz w:val="22"/>
              </w:rPr>
              <w:t>4,788,895</w:t>
            </w:r>
          </w:p>
        </w:tc>
      </w:tr>
      <w:tr w:rsidRPr="00676782" w:rsidR="00DD4208" w:rsidTr="007F7E00" w14:paraId="385D078A" w14:textId="0D14BEF9">
        <w:tc>
          <w:tcPr>
            <w:tcW w:w="3116" w:type="dxa"/>
          </w:tcPr>
          <w:p w:rsidRPr="00676782" w:rsidR="00DD4208" w:rsidP="00DD4208" w:rsidRDefault="00DD4208" w14:paraId="0F85F822" w14:textId="0076447C">
            <w:pPr>
              <w:pStyle w:val="Heading1"/>
              <w:outlineLvl w:val="0"/>
              <w:rPr>
                <w:rFonts w:ascii="Times New Roman" w:hAnsi="Times New Roman" w:cs="Times New Roman"/>
                <w:sz w:val="22"/>
                <w:szCs w:val="22"/>
              </w:rPr>
            </w:pPr>
            <w:r w:rsidRPr="00676782">
              <w:rPr>
                <w:rFonts w:ascii="Times New Roman" w:hAnsi="Times New Roman" w:cs="Times New Roman"/>
                <w:sz w:val="22"/>
                <w:szCs w:val="22"/>
              </w:rPr>
              <w:t>agengy</w:t>
            </w:r>
          </w:p>
        </w:tc>
        <w:tc>
          <w:tcPr>
            <w:tcW w:w="3117" w:type="dxa"/>
            <w:tcBorders>
              <w:top w:val="single" w:color="000000" w:sz="8" w:space="0"/>
              <w:left w:val="single" w:color="000000" w:sz="8" w:space="0"/>
              <w:bottom w:val="double" w:color="000000" w:sz="6" w:space="0"/>
              <w:right w:val="nil"/>
            </w:tcBorders>
            <w:shd w:val="clear" w:color="auto" w:fill="auto"/>
            <w:vAlign w:val="center"/>
          </w:tcPr>
          <w:p w:rsidRPr="00676782" w:rsidR="00DD4208" w:rsidP="00DD4208" w:rsidRDefault="0043778D" w14:paraId="218CF9EF" w14:textId="57B9FF0E">
            <w:pPr>
              <w:pStyle w:val="Heading1"/>
              <w:outlineLvl w:val="0"/>
              <w:rPr>
                <w:rFonts w:ascii="Times New Roman" w:hAnsi="Times New Roman" w:cs="Times New Roman"/>
                <w:sz w:val="24"/>
                <w:szCs w:val="24"/>
              </w:rPr>
            </w:pPr>
            <w:r w:rsidRPr="00676782">
              <w:rPr>
                <w:rFonts w:ascii="Times New Roman" w:hAnsi="Times New Roman" w:cs="Times New Roman"/>
                <w:b w:val="0"/>
                <w:bCs w:val="0"/>
                <w:color w:val="000000"/>
                <w:sz w:val="22"/>
              </w:rPr>
              <w:t>1,258</w:t>
            </w:r>
          </w:p>
        </w:tc>
        <w:tc>
          <w:tcPr>
            <w:tcW w:w="3117" w:type="dxa"/>
            <w:tcBorders>
              <w:top w:val="single" w:color="000000" w:sz="8" w:space="0"/>
              <w:left w:val="single" w:color="000000" w:sz="8" w:space="0"/>
              <w:bottom w:val="double" w:color="000000" w:sz="6" w:space="0"/>
              <w:right w:val="double" w:color="000000" w:sz="6" w:space="0"/>
            </w:tcBorders>
            <w:shd w:val="clear" w:color="auto" w:fill="auto"/>
            <w:vAlign w:val="center"/>
          </w:tcPr>
          <w:p w:rsidRPr="00676782" w:rsidR="00DD4208" w:rsidP="00DD4208" w:rsidRDefault="00B30DE4" w14:paraId="6FEF1937" w14:textId="1E29507E">
            <w:pPr>
              <w:pStyle w:val="Heading1"/>
              <w:outlineLvl w:val="0"/>
              <w:rPr>
                <w:rFonts w:ascii="Times New Roman" w:hAnsi="Times New Roman" w:cs="Times New Roman"/>
                <w:sz w:val="24"/>
                <w:szCs w:val="24"/>
              </w:rPr>
            </w:pPr>
            <w:r w:rsidRPr="00676782">
              <w:rPr>
                <w:rFonts w:ascii="Times New Roman" w:hAnsi="Times New Roman" w:cs="Times New Roman"/>
                <w:b w:val="0"/>
                <w:bCs w:val="0"/>
                <w:color w:val="000000"/>
                <w:sz w:val="22"/>
              </w:rPr>
              <w:t>$</w:t>
            </w:r>
            <w:r w:rsidRPr="00676782" w:rsidR="0043778D">
              <w:rPr>
                <w:rFonts w:ascii="Times New Roman" w:hAnsi="Times New Roman" w:cs="Times New Roman"/>
                <w:b w:val="0"/>
                <w:bCs w:val="0"/>
                <w:color w:val="000000"/>
                <w:sz w:val="22"/>
              </w:rPr>
              <w:t>90,208</w:t>
            </w:r>
          </w:p>
        </w:tc>
      </w:tr>
    </w:tbl>
    <w:p w:rsidRPr="00676782" w:rsidR="00B262D4" w:rsidP="002059F4" w:rsidRDefault="003041B0" w14:paraId="526A56DE" w14:textId="2E96F2D1">
      <w:pPr>
        <w:pStyle w:val="Heading1"/>
        <w:rPr>
          <w:rFonts w:ascii="Times New Roman" w:hAnsi="Times New Roman" w:cs="Times New Roman"/>
        </w:rPr>
      </w:pPr>
      <w:r w:rsidRPr="00676782">
        <w:rPr>
          <w:rFonts w:ascii="Times New Roman" w:hAnsi="Times New Roman" w:cs="Times New Roman"/>
        </w:rPr>
        <w:t>Supporting Statement</w:t>
      </w:r>
    </w:p>
    <w:p w:rsidRPr="00676782" w:rsidR="00897D7E" w:rsidP="00E91639" w:rsidRDefault="00B1352E" w14:paraId="163FE936" w14:textId="49B09A89">
      <w:pPr>
        <w:pStyle w:val="Heading2"/>
        <w:tabs>
          <w:tab w:val="left" w:pos="810"/>
        </w:tabs>
        <w:ind w:left="450" w:hanging="270"/>
        <w:rPr>
          <w:rFonts w:ascii="Times New Roman" w:hAnsi="Times New Roman" w:cs="Times New Roman"/>
        </w:rPr>
      </w:pPr>
      <w:bookmarkStart w:name="_Toc49148160" w:id="6"/>
      <w:r w:rsidRPr="00676782">
        <w:rPr>
          <w:rFonts w:ascii="Times New Roman" w:hAnsi="Times New Roman" w:cs="Times New Roman"/>
        </w:rPr>
        <w:t xml:space="preserve">Explain the circumstances that make the collection of information necessary. Identify any legal or administrative requirements that necessitate the collection. Attach a copy </w:t>
      </w:r>
      <w:r w:rsidRPr="00676782">
        <w:rPr>
          <w:rFonts w:ascii="Times New Roman" w:hAnsi="Times New Roman" w:cs="Times New Roman"/>
        </w:rPr>
        <w:lastRenderedPageBreak/>
        <w:t>of the appropriate section of each statute and regulation mandating or authorizing the collection of information.</w:t>
      </w:r>
    </w:p>
    <w:p w:rsidRPr="00676782" w:rsidR="007F7E00" w:rsidP="007F7E00" w:rsidRDefault="007F7E00" w14:paraId="171E6BCC" w14:textId="277AE004">
      <w:pPr>
        <w:rPr>
          <w:rFonts w:ascii="Times New Roman" w:hAnsi="Times New Roman" w:cs="Times New Roman"/>
        </w:rPr>
      </w:pPr>
      <w:r w:rsidRPr="00676782">
        <w:rPr>
          <w:rFonts w:ascii="Times New Roman" w:hAnsi="Times New Roman" w:cs="Times New Roman"/>
        </w:rPr>
        <w:t xml:space="preserve">The recordkeeping and reporting activities associated with this collection of information are required by statute (Attachment 1). The TSCA section 8(c) reporting and recordkeeping requirements are of central importance in the administration of TSCA section 8 as a whole.  Without the ability to administer these paperwork requirements, EPA would not be able to meet its obligation under TSCA.  </w:t>
      </w:r>
    </w:p>
    <w:p w:rsidRPr="00676782" w:rsidR="007F7E00" w:rsidP="007F7E00" w:rsidRDefault="007F7E00" w14:paraId="051A41BC" w14:textId="239CE21C">
      <w:pPr>
        <w:rPr>
          <w:rFonts w:ascii="Times New Roman" w:hAnsi="Times New Roman" w:cs="Times New Roman"/>
        </w:rPr>
      </w:pPr>
      <w:r w:rsidRPr="00676782">
        <w:rPr>
          <w:rFonts w:ascii="Times New Roman" w:hAnsi="Times New Roman" w:cs="Times New Roman"/>
        </w:rPr>
        <w:t>Since the statute does not contain an automatic reporting provision, EPA must either inspect company files or require reporting of records that relate to specific substances of concern in order to obtain and use information about allegations of significant adverse reactions.  EPA’s authority to inspect and require such reporting is codified in 40 CFR 717.17 (Attachment 2).  EPA will review relevant TSCA section 8(c) records in connection with its TSCA chemical assessment activities.</w:t>
      </w:r>
    </w:p>
    <w:p w:rsidRPr="00676782" w:rsidR="007F7E00" w:rsidP="005B60C2" w:rsidRDefault="007F7E00" w14:paraId="32DB0368" w14:textId="76B0A014">
      <w:pPr>
        <w:rPr>
          <w:rFonts w:ascii="Times New Roman" w:hAnsi="Times New Roman" w:cs="Times New Roman"/>
        </w:rPr>
      </w:pPr>
      <w:r w:rsidRPr="00676782">
        <w:rPr>
          <w:rFonts w:ascii="Times New Roman" w:hAnsi="Times New Roman" w:cs="Times New Roman"/>
        </w:rPr>
        <w:t xml:space="preserve">All studies submitted to EPA will be verified and the contents of the submissions recorded and inspected for the inclusion of confidential business information.  Copies of the documents will then be prepared for inclusion in EPA’s public docket and distributed, as appropriate and based on the associated chemical identity, to program offices at EPA and/or to other federal agencies for scientific analysis. A coding form will be completed to capture certain descriptive information such as identity, document control number, confidentiality indicator, document title, document date, receipt date and chemical identity. </w:t>
      </w:r>
      <w:r w:rsidRPr="00676782" w:rsidR="001341DE">
        <w:rPr>
          <w:rFonts w:ascii="Times New Roman" w:hAnsi="Times New Roman" w:cs="Times New Roman"/>
        </w:rPr>
        <w:t xml:space="preserve"> </w:t>
      </w:r>
    </w:p>
    <w:p w:rsidRPr="00676782" w:rsidR="00E91639" w:rsidP="00E91639" w:rsidRDefault="00E91639" w14:paraId="3B63F352" w14:textId="77777777">
      <w:pPr>
        <w:pStyle w:val="Heading2"/>
        <w:ind w:left="360"/>
        <w:rPr>
          <w:rFonts w:ascii="Times New Roman" w:hAnsi="Times New Roman" w:cs="Times New Roman"/>
        </w:rPr>
      </w:pPr>
      <w:r w:rsidRPr="00676782">
        <w:rPr>
          <w:rFonts w:ascii="Times New Roman" w:hAnsi="Times New Roman" w:cs="Times New Roman"/>
        </w:rPr>
        <w:t>Indicate how, by whom, and for what purpose the information is to be used.  Except for a new collection, indicate the actual use the Agency has made of the information received from the current collection</w:t>
      </w:r>
    </w:p>
    <w:p w:rsidRPr="00676782" w:rsidR="00E91639" w:rsidP="00E91639" w:rsidRDefault="00E91639" w14:paraId="2C408FAD" w14:textId="77777777">
      <w:pPr>
        <w:rPr>
          <w:rFonts w:ascii="Times New Roman" w:hAnsi="Times New Roman" w:cs="Times New Roman"/>
        </w:rPr>
      </w:pPr>
      <w:r w:rsidRPr="00676782">
        <w:rPr>
          <w:rFonts w:ascii="Times New Roman" w:hAnsi="Times New Roman" w:cs="Times New Roman"/>
        </w:rPr>
        <w:t>By using the TSCA section 8(c) reporting authority, EPA can examine such records whenever a chemical is discovered to present possible risks to human health or the environment. Information contained in the TSCA section 8(c) allegation records will have several uses.  The information collected will be used on a case-specific basis to evaluate suspected adverse health or environmental effects of a chemical substance or mixture already under assessment by EPA's Office of Pollution Prevention and Toxics (OPPT).  Most of these substances will be “existing” chemicals, e.g., chemicals for test rule consideration, substances that are the subjects of TSCA section 8(e) notices of substantial risk, or substances or mixtures brought to the attention of OPPT by other EPA programs, other government agencies, industry, or the public.  However, TSCA section 8(c) reports also may be required on “new” chemicals as one means of monitoring for any suspected or potential hazards identified during the premanufacture notification (PMN) review period.</w:t>
      </w:r>
    </w:p>
    <w:p w:rsidRPr="00676782" w:rsidR="005B60C2" w:rsidP="00377C64" w:rsidRDefault="00E91639" w14:paraId="52DB67BC" w14:textId="7A392048">
      <w:pPr>
        <w:rPr>
          <w:rFonts w:ascii="Times New Roman" w:hAnsi="Times New Roman" w:cs="Times New Roman"/>
        </w:rPr>
      </w:pPr>
      <w:r w:rsidRPr="00676782">
        <w:rPr>
          <w:rFonts w:ascii="Times New Roman" w:hAnsi="Times New Roman" w:cs="Times New Roman"/>
        </w:rPr>
        <w:t xml:space="preserve">On a case-specific basis, requiring reporting of TSCA section 8(c) records will also serve as a discovery function.  It will help identify trends of adverse effects across the industry that may not </w:t>
      </w:r>
      <w:r w:rsidRPr="00676782">
        <w:rPr>
          <w:rFonts w:ascii="Times New Roman" w:hAnsi="Times New Roman" w:cs="Times New Roman"/>
        </w:rPr>
        <w:lastRenderedPageBreak/>
        <w:t>be apparent to any one company.  It will also serve as a long-term trend identification function because of the 5-year and 30-year recordkeeping feature of the statute.</w:t>
      </w:r>
    </w:p>
    <w:p w:rsidRPr="00676782" w:rsidR="005B60C2" w:rsidP="005B60C2" w:rsidRDefault="005B60C2" w14:paraId="73320234" w14:textId="0FCAECEC">
      <w:pPr>
        <w:rPr>
          <w:rFonts w:ascii="Times New Roman" w:hAnsi="Times New Roman" w:cs="Times New Roman"/>
        </w:rPr>
      </w:pPr>
      <w:r w:rsidRPr="00676782">
        <w:rPr>
          <w:rFonts w:ascii="Times New Roman" w:hAnsi="Times New Roman" w:cs="Times New Roman"/>
        </w:rPr>
        <w:t xml:space="preserve">The recordkeeping and reporting activities associated with this collection of information are required by statute.  The TSCA section 8(c) reporting and recordkeeping requirements are of central importance in the administration of TSCA section 8 as a whole.  Without the ability to administer these paperwork requirements, EPA would not be able to meet its obligation under TSCA.  </w:t>
      </w:r>
    </w:p>
    <w:p w:rsidRPr="00676782" w:rsidR="000D5E31" w:rsidP="00377C64" w:rsidRDefault="00E91639" w14:paraId="44CE1C5B" w14:textId="76CB8E6D">
      <w:pPr>
        <w:pStyle w:val="Heading2"/>
        <w:ind w:left="360"/>
        <w:rPr>
          <w:rFonts w:ascii="Times New Roman" w:hAnsi="Times New Roman" w:cs="Times New Roman"/>
        </w:rPr>
      </w:pPr>
      <w:r w:rsidRPr="00676782">
        <w:rPr>
          <w:rFonts w:ascii="Times New Roman" w:hAnsi="Times New Roman" w:cs="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6"/>
    </w:p>
    <w:p w:rsidRPr="00676782" w:rsidR="00391E9E" w:rsidP="00391E9E" w:rsidRDefault="00391E9E" w14:paraId="2BD3BFD0" w14:textId="7C9858E6">
      <w:pPr>
        <w:numPr>
          <w:ilvl w:val="12"/>
          <w:numId w:val="0"/>
        </w:numPr>
        <w:rPr>
          <w:rFonts w:ascii="Times New Roman" w:hAnsi="Times New Roman" w:cs="Times New Roman"/>
        </w:rPr>
      </w:pPr>
      <w:r w:rsidRPr="00676782">
        <w:rPr>
          <w:rFonts w:ascii="Times New Roman" w:hAnsi="Times New Roman" w:cs="Times New Roman"/>
        </w:rPr>
        <w:t>EPA has not identified</w:t>
      </w:r>
      <w:r w:rsidRPr="00676782" w:rsidDel="00BA4CF1">
        <w:rPr>
          <w:rFonts w:ascii="Times New Roman" w:hAnsi="Times New Roman" w:cs="Times New Roman"/>
        </w:rPr>
        <w:t xml:space="preserve"> </w:t>
      </w:r>
      <w:r w:rsidRPr="00676782">
        <w:rPr>
          <w:rFonts w:ascii="Times New Roman" w:hAnsi="Times New Roman" w:cs="Times New Roman"/>
        </w:rPr>
        <w:t xml:space="preserve">a more efficient, less </w:t>
      </w:r>
      <w:proofErr w:type="gramStart"/>
      <w:r w:rsidRPr="00676782">
        <w:rPr>
          <w:rFonts w:ascii="Times New Roman" w:hAnsi="Times New Roman" w:cs="Times New Roman"/>
        </w:rPr>
        <w:t>expensive</w:t>
      </w:r>
      <w:proofErr w:type="gramEnd"/>
      <w:r w:rsidRPr="00676782">
        <w:rPr>
          <w:rFonts w:ascii="Times New Roman" w:hAnsi="Times New Roman" w:cs="Times New Roman"/>
        </w:rPr>
        <w:t xml:space="preserve"> or more flexible means of obtaining the required data. At present there is no new technology applicable to the collection of this information that would minimize the collection burden.</w:t>
      </w:r>
    </w:p>
    <w:p w:rsidRPr="00676782" w:rsidR="00391E9E" w:rsidP="00391E9E" w:rsidRDefault="00391E9E" w14:paraId="757254EB" w14:textId="7B975B60">
      <w:pPr>
        <w:numPr>
          <w:ilvl w:val="12"/>
          <w:numId w:val="0"/>
        </w:numPr>
        <w:rPr>
          <w:rFonts w:ascii="Times New Roman" w:hAnsi="Times New Roman" w:cs="Times New Roman"/>
        </w:rPr>
      </w:pPr>
      <w:r w:rsidRPr="00676782">
        <w:rPr>
          <w:rFonts w:ascii="Times New Roman" w:hAnsi="Times New Roman" w:cs="Times New Roman"/>
        </w:rPr>
        <w:t>Any reporting requirements will have a minimum reporting schedule of forty-five days as outlined in the regulation. Neither the rule nor EPA requires the use of any particular methodology or technology for the retention or transmittal of TSCA section 8(c) records.</w:t>
      </w:r>
    </w:p>
    <w:p w:rsidRPr="00676782" w:rsidR="00391E9E" w:rsidP="00391E9E" w:rsidRDefault="00391E9E" w14:paraId="74A502DA" w14:textId="78995A66">
      <w:pPr>
        <w:numPr>
          <w:ilvl w:val="12"/>
          <w:numId w:val="0"/>
        </w:numPr>
        <w:rPr>
          <w:rFonts w:ascii="Times New Roman" w:hAnsi="Times New Roman" w:cs="Times New Roman"/>
        </w:rPr>
      </w:pPr>
      <w:r w:rsidRPr="00676782">
        <w:rPr>
          <w:rFonts w:ascii="Times New Roman" w:hAnsi="Times New Roman" w:cs="Times New Roman"/>
        </w:rPr>
        <w:t>To aid persons subject to this information collection, OPPT has set up a TSCA Hotline that provides information regarding TSCA section 8(c) reporting as well as other regulatory information. When Hotline staff members are unable to answer questions regarding TSCA section 8(c), the questions are referred to OPPT/CCD staff for appropriate resolution.</w:t>
      </w:r>
    </w:p>
    <w:p w:rsidRPr="00676782" w:rsidR="000D5E31" w:rsidP="00391E9E" w:rsidRDefault="00377C64" w14:paraId="3222B018" w14:textId="4C036CB5">
      <w:pPr>
        <w:pStyle w:val="Heading2"/>
        <w:numPr>
          <w:ilvl w:val="0"/>
          <w:numId w:val="0"/>
        </w:numPr>
        <w:ind w:left="360" w:hanging="360"/>
        <w:rPr>
          <w:rFonts w:ascii="Times New Roman" w:hAnsi="Times New Roman" w:cs="Times New Roman"/>
        </w:rPr>
      </w:pPr>
      <w:r w:rsidRPr="00676782">
        <w:rPr>
          <w:rFonts w:ascii="Times New Roman" w:hAnsi="Times New Roman" w:cs="Times New Roman"/>
        </w:rPr>
        <w:t>4</w:t>
      </w:r>
      <w:r w:rsidRPr="00676782" w:rsidR="00391E9E">
        <w:rPr>
          <w:rFonts w:ascii="Times New Roman" w:hAnsi="Times New Roman" w:cs="Times New Roman"/>
        </w:rPr>
        <w:t xml:space="preserve">.  </w:t>
      </w:r>
      <w:r w:rsidRPr="00676782" w:rsidR="003041B0">
        <w:rPr>
          <w:rFonts w:ascii="Times New Roman" w:hAnsi="Times New Roman" w:cs="Times New Roman"/>
        </w:rPr>
        <w:t>D</w:t>
      </w:r>
      <w:r w:rsidRPr="00676782" w:rsidR="000D5E31">
        <w:rPr>
          <w:rFonts w:ascii="Times New Roman" w:hAnsi="Times New Roman" w:cs="Times New Roman"/>
        </w:rPr>
        <w:t>escribe efforts to identify duplication.</w:t>
      </w:r>
      <w:r w:rsidRPr="00676782" w:rsidR="0093316B">
        <w:rPr>
          <w:rFonts w:ascii="Times New Roman" w:hAnsi="Times New Roman" w:cs="Times New Roman"/>
        </w:rPr>
        <w:t xml:space="preserve"> Show specifically why any similar information already available cannot be used or modified for use for the purposes described in Item 2 above.</w:t>
      </w:r>
    </w:p>
    <w:p w:rsidRPr="00676782" w:rsidR="00391E9E" w:rsidP="00391E9E" w:rsidRDefault="00391E9E" w14:paraId="523DA57B" w14:textId="1B8E50FA">
      <w:pPr>
        <w:rPr>
          <w:rFonts w:ascii="Times New Roman" w:hAnsi="Times New Roman" w:cs="Times New Roman"/>
        </w:rPr>
      </w:pPr>
      <w:r w:rsidRPr="00676782">
        <w:rPr>
          <w:rFonts w:ascii="Times New Roman" w:hAnsi="Times New Roman" w:cs="Times New Roman"/>
        </w:rPr>
        <w:t xml:space="preserve">Information recorded and reported on alleged adverse effects on health or the environment is specific for compliance with the TSCA section 8(c) rule. Records required to be maintained under this rule include records of consumer allegations of personal injury or harm to health, reports of occupational disease or injury, and reports or complaints of injury to the environment submitted to the manufacturer, processor, or distributor in commerce from any source. Allegation means a statement, made without formal proof or regard for evidence, that a chemical substance or mixture has caused a significant adverse reaction to health or the environment. TSCA section 8(c) requires that allegations of adverse reactions to the health of employees be kept for 30 years, and all other relevant allegations be kept for 5 years.  </w:t>
      </w:r>
    </w:p>
    <w:p w:rsidRPr="00676782" w:rsidR="00391E9E" w:rsidP="00391E9E" w:rsidRDefault="00391E9E" w14:paraId="25F024E5" w14:textId="572E4FAC">
      <w:pPr>
        <w:rPr>
          <w:rFonts w:ascii="Times New Roman" w:hAnsi="Times New Roman" w:cs="Times New Roman"/>
        </w:rPr>
      </w:pPr>
      <w:r w:rsidRPr="00676782">
        <w:rPr>
          <w:rFonts w:ascii="Times New Roman" w:hAnsi="Times New Roman" w:cs="Times New Roman"/>
        </w:rPr>
        <w:t xml:space="preserve">No other EPA programs or other agencies/departments that require this specific set of information on alleged adverse effects to be recorded and maintained for this retention period nor </w:t>
      </w:r>
      <w:r w:rsidRPr="00676782">
        <w:rPr>
          <w:rFonts w:ascii="Times New Roman" w:hAnsi="Times New Roman" w:cs="Times New Roman"/>
        </w:rPr>
        <w:lastRenderedPageBreak/>
        <w:t>does any other government program have direct authority to access such information. If any records or reports relating to the allegation are required by another agency, then copies of those records or reports must be maintained in the TSCA section 8(c) allegation record. For example, if an employee allegation results in a requirement for the firm to record the case on Occupational Safety and Health Administration (OSHA) Form 301, or equivalent form, which must be maintained by the firm for only 5 years (see 29 CFR part 1904 for recording and reporting requirements for occupational injuries and illnesses under the Occupational Safety and Health Act of 1970), then a copy of that OSHA record must be included in the allegation record.</w:t>
      </w:r>
    </w:p>
    <w:p w:rsidRPr="00676782" w:rsidR="000D5E31" w:rsidP="00391E9E" w:rsidRDefault="00377C64" w14:paraId="318B9393" w14:textId="3418B6B7">
      <w:pPr>
        <w:pStyle w:val="Heading2"/>
        <w:numPr>
          <w:ilvl w:val="0"/>
          <w:numId w:val="0"/>
        </w:numPr>
        <w:ind w:left="-180" w:firstLine="90"/>
        <w:rPr>
          <w:rFonts w:ascii="Times New Roman" w:hAnsi="Times New Roman" w:cs="Times New Roman"/>
        </w:rPr>
      </w:pPr>
      <w:r w:rsidRPr="00676782">
        <w:rPr>
          <w:rFonts w:ascii="Times New Roman" w:hAnsi="Times New Roman" w:cs="Times New Roman"/>
        </w:rPr>
        <w:t>5</w:t>
      </w:r>
      <w:r w:rsidRPr="00676782" w:rsidR="00391E9E">
        <w:rPr>
          <w:rFonts w:ascii="Times New Roman" w:hAnsi="Times New Roman" w:cs="Times New Roman"/>
        </w:rPr>
        <w:t xml:space="preserve">. </w:t>
      </w:r>
      <w:r w:rsidRPr="00676782" w:rsidR="000D5E31">
        <w:rPr>
          <w:rFonts w:ascii="Times New Roman" w:hAnsi="Times New Roman" w:cs="Times New Roman"/>
        </w:rPr>
        <w:t>If the collection of information impacts small businesses or other small entities, describe the methods used to minimize burden.</w:t>
      </w:r>
    </w:p>
    <w:p w:rsidRPr="00676782" w:rsidR="00391E9E" w:rsidP="00391E9E" w:rsidRDefault="00391E9E" w14:paraId="6C25B03D" w14:textId="77777777">
      <w:pPr>
        <w:numPr>
          <w:ilvl w:val="12"/>
          <w:numId w:val="0"/>
        </w:numPr>
        <w:rPr>
          <w:rFonts w:ascii="Times New Roman" w:hAnsi="Times New Roman" w:cs="Times New Roman"/>
        </w:rPr>
      </w:pPr>
      <w:r w:rsidRPr="00676782">
        <w:rPr>
          <w:rFonts w:ascii="Times New Roman" w:hAnsi="Times New Roman" w:cs="Times New Roman"/>
        </w:rPr>
        <w:t>Unlike TSCA section 8(a), Congress did not include a specific exemption of small businesses in TSCA section 8(c).  This rule does not exempt small manufacturers (including importers) or processors of chemicals from its provisions.  This is due to EPA’s belief that workers, plant neighbors and consumers may be adversely affected by products, emissions, etc., produced or created by firms of all sizes.</w:t>
      </w:r>
    </w:p>
    <w:p w:rsidRPr="00676782" w:rsidR="00391E9E" w:rsidP="00391E9E" w:rsidRDefault="00391E9E" w14:paraId="309C1058" w14:textId="5636D297">
      <w:pPr>
        <w:numPr>
          <w:ilvl w:val="12"/>
          <w:numId w:val="0"/>
        </w:numPr>
        <w:rPr>
          <w:rFonts w:ascii="Times New Roman" w:hAnsi="Times New Roman" w:cs="Times New Roman"/>
        </w:rPr>
      </w:pPr>
      <w:r w:rsidRPr="00676782">
        <w:rPr>
          <w:rFonts w:ascii="Times New Roman" w:hAnsi="Times New Roman" w:cs="Times New Roman"/>
        </w:rPr>
        <w:t>However, the TSCA section 8(c) rule was written to concentrate the recordkeeping and reporting burdens on those firms generally associated with the mainstream chemical industry.  EPA specifically eliminated most distributors and effectively limits the number of processors subject to the rule.  By doing so, EPA has eliminated a large number of small businesses from the purview of the rule without compromising its objectives.</w:t>
      </w:r>
    </w:p>
    <w:p w:rsidRPr="00676782" w:rsidR="00897D7E" w:rsidP="00391E9E" w:rsidRDefault="00377C64" w14:paraId="5F088A3E" w14:textId="61903EB8">
      <w:pPr>
        <w:pStyle w:val="Heading2"/>
        <w:numPr>
          <w:ilvl w:val="0"/>
          <w:numId w:val="0"/>
        </w:numPr>
        <w:ind w:left="360" w:hanging="450"/>
        <w:rPr>
          <w:rFonts w:ascii="Times New Roman" w:hAnsi="Times New Roman" w:cs="Times New Roman"/>
        </w:rPr>
      </w:pPr>
      <w:r w:rsidRPr="00676782">
        <w:rPr>
          <w:rFonts w:ascii="Times New Roman" w:hAnsi="Times New Roman" w:cs="Times New Roman"/>
        </w:rPr>
        <w:t>6</w:t>
      </w:r>
      <w:r w:rsidRPr="00676782" w:rsidR="00391E9E">
        <w:rPr>
          <w:rFonts w:ascii="Times New Roman" w:hAnsi="Times New Roman" w:cs="Times New Roman"/>
        </w:rPr>
        <w:t xml:space="preserve">. </w:t>
      </w:r>
      <w:r w:rsidRPr="00676782" w:rsidR="00BE461C">
        <w:rPr>
          <w:rFonts w:ascii="Times New Roman" w:hAnsi="Times New Roman" w:cs="Times New Roman"/>
        </w:rPr>
        <w:t>Describe the consequence to Federal program or policy activities if the collection is not conducted or is conducted less frequently, as well as any technical or legal obstacles to reducing burden.</w:t>
      </w:r>
    </w:p>
    <w:p w:rsidRPr="00676782" w:rsidR="00391E9E" w:rsidP="00391E9E" w:rsidRDefault="00391E9E" w14:paraId="0FEB3E45" w14:textId="69FFD55D">
      <w:pPr>
        <w:numPr>
          <w:ilvl w:val="12"/>
          <w:numId w:val="33"/>
        </w:numPr>
        <w:rPr>
          <w:rFonts w:ascii="Times New Roman" w:hAnsi="Times New Roman" w:cs="Times New Roman"/>
        </w:rPr>
      </w:pPr>
      <w:r w:rsidRPr="00676782">
        <w:rPr>
          <w:rFonts w:ascii="Times New Roman" w:hAnsi="Times New Roman" w:cs="Times New Roman"/>
        </w:rPr>
        <w:t>Currently, EPA uses its authority to collect information pursuant to the TSCA section 8(c) rule sparingly. Currently, EPA anticipates issuing infrequent requests (less than 2 per year) for TSCA section 8(c) reporting.  However, reporting requests may occur more frequently because individual notices or letters containing such TSCA section 8(c) requests may be clustered in the same year.  The information will be collected on a case-specific basis to evaluate suspected adverse health or environmental effects of a chemical substance or mixture already under assessment by OPPT or when a chemical not under assessment by OPPT is discovered to present possible risks to human health or the environment.  For example, chemical disasters are obviously unpredictable and OPPT must reserve the capability to require records submission on an as-needed basis in order to gather relevant information related to such matters.  TSCA section 8(c) allegation records are part of such related information.</w:t>
      </w:r>
    </w:p>
    <w:p w:rsidRPr="00676782" w:rsidR="0093316B" w:rsidP="00391E9E" w:rsidRDefault="00377C64" w14:paraId="6B8F0DD0" w14:textId="56B64946">
      <w:pPr>
        <w:pStyle w:val="Heading2"/>
        <w:numPr>
          <w:ilvl w:val="0"/>
          <w:numId w:val="0"/>
        </w:numPr>
        <w:ind w:left="360"/>
        <w:rPr>
          <w:rFonts w:ascii="Times New Roman" w:hAnsi="Times New Roman" w:cs="Times New Roman"/>
        </w:rPr>
      </w:pPr>
      <w:r w:rsidRPr="00676782">
        <w:rPr>
          <w:rFonts w:ascii="Times New Roman" w:hAnsi="Times New Roman" w:cs="Times New Roman"/>
        </w:rPr>
        <w:t>7</w:t>
      </w:r>
      <w:r w:rsidRPr="00676782" w:rsidR="00391E9E">
        <w:rPr>
          <w:rFonts w:ascii="Times New Roman" w:hAnsi="Times New Roman" w:cs="Times New Roman"/>
        </w:rPr>
        <w:t xml:space="preserve">. </w:t>
      </w:r>
      <w:r w:rsidRPr="00676782" w:rsidR="009A7738">
        <w:rPr>
          <w:rFonts w:ascii="Times New Roman" w:hAnsi="Times New Roman" w:cs="Times New Roman"/>
        </w:rPr>
        <w:t>Explain any special circumstances that require the collection to be conducted in a manner</w:t>
      </w:r>
      <w:r w:rsidRPr="00676782" w:rsidR="0093316B">
        <w:rPr>
          <w:rFonts w:ascii="Times New Roman" w:hAnsi="Times New Roman" w:cs="Times New Roman"/>
        </w:rPr>
        <w:t xml:space="preserve">: </w:t>
      </w:r>
    </w:p>
    <w:p w:rsidRPr="00676782" w:rsidR="0093316B" w:rsidP="0093316B" w:rsidRDefault="0093316B" w14:paraId="6A11E7D6" w14:textId="77777777">
      <w:pPr>
        <w:pStyle w:val="Heading3"/>
        <w:rPr>
          <w:rFonts w:ascii="Times New Roman" w:hAnsi="Times New Roman"/>
        </w:rPr>
      </w:pPr>
      <w:r w:rsidRPr="00676782">
        <w:rPr>
          <w:rFonts w:ascii="Times New Roman" w:hAnsi="Times New Roman"/>
        </w:rPr>
        <w:lastRenderedPageBreak/>
        <w:t xml:space="preserve">requiring respondents to report information to the agency more often than </w:t>
      </w:r>
      <w:proofErr w:type="gramStart"/>
      <w:r w:rsidRPr="00676782">
        <w:rPr>
          <w:rFonts w:ascii="Times New Roman" w:hAnsi="Times New Roman"/>
        </w:rPr>
        <w:t>quarterly;</w:t>
      </w:r>
      <w:proofErr w:type="gramEnd"/>
      <w:r w:rsidRPr="00676782">
        <w:rPr>
          <w:rFonts w:ascii="Times New Roman" w:hAnsi="Times New Roman"/>
        </w:rPr>
        <w:t xml:space="preserve"> </w:t>
      </w:r>
    </w:p>
    <w:p w:rsidRPr="00676782" w:rsidR="0093316B" w:rsidP="0093316B" w:rsidRDefault="0093316B" w14:paraId="4BF7DF92" w14:textId="77777777">
      <w:pPr>
        <w:pStyle w:val="Heading3"/>
        <w:rPr>
          <w:rFonts w:ascii="Times New Roman" w:hAnsi="Times New Roman"/>
        </w:rPr>
      </w:pPr>
      <w:r w:rsidRPr="00676782">
        <w:rPr>
          <w:rFonts w:ascii="Times New Roman" w:hAnsi="Times New Roman"/>
        </w:rPr>
        <w:t xml:space="preserve">requiring respondents to prepare a written response to a collection of information in fewer than 30 days after receipt of </w:t>
      </w:r>
      <w:proofErr w:type="gramStart"/>
      <w:r w:rsidRPr="00676782">
        <w:rPr>
          <w:rFonts w:ascii="Times New Roman" w:hAnsi="Times New Roman"/>
        </w:rPr>
        <w:t>it;</w:t>
      </w:r>
      <w:proofErr w:type="gramEnd"/>
      <w:r w:rsidRPr="00676782">
        <w:rPr>
          <w:rFonts w:ascii="Times New Roman" w:hAnsi="Times New Roman"/>
        </w:rPr>
        <w:t xml:space="preserve"> </w:t>
      </w:r>
    </w:p>
    <w:p w:rsidRPr="00676782" w:rsidR="0093316B" w:rsidP="0093316B" w:rsidRDefault="0093316B" w14:paraId="7F48D447" w14:textId="77777777">
      <w:pPr>
        <w:pStyle w:val="Heading3"/>
        <w:rPr>
          <w:rFonts w:ascii="Times New Roman" w:hAnsi="Times New Roman"/>
        </w:rPr>
      </w:pPr>
      <w:r w:rsidRPr="00676782">
        <w:rPr>
          <w:rFonts w:ascii="Times New Roman" w:hAnsi="Times New Roman"/>
        </w:rPr>
        <w:t xml:space="preserve">requiring respondents to submit more than an original and two copies of any </w:t>
      </w:r>
      <w:proofErr w:type="gramStart"/>
      <w:r w:rsidRPr="00676782">
        <w:rPr>
          <w:rFonts w:ascii="Times New Roman" w:hAnsi="Times New Roman"/>
        </w:rPr>
        <w:t>document;</w:t>
      </w:r>
      <w:proofErr w:type="gramEnd"/>
      <w:r w:rsidRPr="00676782">
        <w:rPr>
          <w:rFonts w:ascii="Times New Roman" w:hAnsi="Times New Roman"/>
        </w:rPr>
        <w:t xml:space="preserve"> </w:t>
      </w:r>
    </w:p>
    <w:p w:rsidRPr="00676782" w:rsidR="0093316B" w:rsidP="0093316B" w:rsidRDefault="0093316B" w14:paraId="2804ABBE" w14:textId="77777777">
      <w:pPr>
        <w:pStyle w:val="Heading3"/>
        <w:rPr>
          <w:rFonts w:ascii="Times New Roman" w:hAnsi="Times New Roman"/>
        </w:rPr>
      </w:pPr>
      <w:r w:rsidRPr="00676782">
        <w:rPr>
          <w:rFonts w:ascii="Times New Roman" w:hAnsi="Times New Roman"/>
        </w:rPr>
        <w:t xml:space="preserve">requiring respondents to retain records, other than health, medical, government contract, grant-in-aid, or tax records, for more than three </w:t>
      </w:r>
      <w:proofErr w:type="gramStart"/>
      <w:r w:rsidRPr="00676782">
        <w:rPr>
          <w:rFonts w:ascii="Times New Roman" w:hAnsi="Times New Roman"/>
        </w:rPr>
        <w:t>years;</w:t>
      </w:r>
      <w:proofErr w:type="gramEnd"/>
      <w:r w:rsidRPr="00676782">
        <w:rPr>
          <w:rFonts w:ascii="Times New Roman" w:hAnsi="Times New Roman"/>
        </w:rPr>
        <w:t xml:space="preserve"> </w:t>
      </w:r>
    </w:p>
    <w:p w:rsidRPr="00676782" w:rsidR="0093316B" w:rsidP="0093316B" w:rsidRDefault="0093316B" w14:paraId="563D6CEB" w14:textId="77777777">
      <w:pPr>
        <w:pStyle w:val="Heading3"/>
        <w:rPr>
          <w:rFonts w:ascii="Times New Roman" w:hAnsi="Times New Roman"/>
        </w:rPr>
      </w:pPr>
      <w:r w:rsidRPr="00676782">
        <w:rPr>
          <w:rFonts w:ascii="Times New Roman" w:hAnsi="Times New Roman"/>
        </w:rPr>
        <w:t xml:space="preserve">in connection with a statistical survey, that is not designed to produce valid and reliable results that can be generalized to the universe of </w:t>
      </w:r>
      <w:proofErr w:type="gramStart"/>
      <w:r w:rsidRPr="00676782">
        <w:rPr>
          <w:rFonts w:ascii="Times New Roman" w:hAnsi="Times New Roman"/>
        </w:rPr>
        <w:t>study;</w:t>
      </w:r>
      <w:proofErr w:type="gramEnd"/>
    </w:p>
    <w:p w:rsidRPr="00676782" w:rsidR="0093316B" w:rsidP="0093316B" w:rsidRDefault="0093316B" w14:paraId="0D88457F" w14:textId="77777777">
      <w:pPr>
        <w:pStyle w:val="Heading3"/>
        <w:rPr>
          <w:rFonts w:ascii="Times New Roman" w:hAnsi="Times New Roman"/>
        </w:rPr>
      </w:pPr>
      <w:r w:rsidRPr="00676782">
        <w:rPr>
          <w:rFonts w:ascii="Times New Roman" w:hAnsi="Times New Roman"/>
        </w:rPr>
        <w:t xml:space="preserve">requiring the use of a statistical data classification that has not been reviewed and approved by </w:t>
      </w:r>
      <w:proofErr w:type="gramStart"/>
      <w:r w:rsidRPr="00676782">
        <w:rPr>
          <w:rFonts w:ascii="Times New Roman" w:hAnsi="Times New Roman"/>
        </w:rPr>
        <w:t>OMB;</w:t>
      </w:r>
      <w:proofErr w:type="gramEnd"/>
      <w:r w:rsidRPr="00676782">
        <w:rPr>
          <w:rFonts w:ascii="Times New Roman" w:hAnsi="Times New Roman"/>
        </w:rPr>
        <w:t xml:space="preserve"> </w:t>
      </w:r>
    </w:p>
    <w:p w:rsidRPr="00676782" w:rsidR="0093316B" w:rsidP="0093316B" w:rsidRDefault="0093316B" w14:paraId="3FDECF9C" w14:textId="3201AC98">
      <w:pPr>
        <w:pStyle w:val="Heading3"/>
        <w:rPr>
          <w:rFonts w:ascii="Times New Roman" w:hAnsi="Times New Roman"/>
        </w:rPr>
      </w:pPr>
      <w:r w:rsidRPr="00676782">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76782" w:rsidR="0093316B" w:rsidP="0093316B" w:rsidRDefault="0093316B" w14:paraId="61CF6F88" w14:textId="6C9B1619">
      <w:pPr>
        <w:pStyle w:val="Heading3"/>
        <w:rPr>
          <w:rFonts w:ascii="Times New Roman" w:hAnsi="Times New Roman"/>
        </w:rPr>
      </w:pPr>
      <w:r w:rsidRPr="00676782">
        <w:rPr>
          <w:rFonts w:ascii="Times New Roman" w:hAnsi="Times New Roman"/>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676782" w:rsidR="007F7E00" w:rsidP="007F7E00" w:rsidRDefault="007F7E00" w14:paraId="09CA3C16" w14:textId="10794AC5">
      <w:pPr>
        <w:rPr>
          <w:rFonts w:ascii="Times New Roman" w:hAnsi="Times New Roman" w:cs="Times New Roman"/>
        </w:rPr>
      </w:pPr>
      <w:r w:rsidRPr="00676782">
        <w:rPr>
          <w:rFonts w:ascii="Times New Roman" w:hAnsi="Times New Roman" w:cs="Times New Roman"/>
        </w:rPr>
        <w:t>The record retention provisions of TSCA section 8(c) and 40 CFR part 717 exceed the Paperwork Reduction Guidelines (5 CFR 1320.6) in that they require respondents to maintain records other than health, medical, or tax records, for more than three years.  TSCA section 8(c) authorizes EPA to require persons (i.e., manufacturers (including importers), processors, or distributors) to maintain records of adverse reactions to the health of employees for a period of 30 years from the date such reactions were first reported or known to the person maintaining the record.  Any other record of such adverse reactions (e.g., to the environment, non-employees) is required to be retained for a period of 5 years. 40 CFR part 717 incorporates these record retention provisions authorized by TSCA.</w:t>
      </w:r>
    </w:p>
    <w:p w:rsidRPr="00676782" w:rsidR="00E00E93" w:rsidP="006F41C6" w:rsidRDefault="00377C64" w14:paraId="0102AF12" w14:textId="6B2F1F22">
      <w:pPr>
        <w:pStyle w:val="Heading2"/>
        <w:numPr>
          <w:ilvl w:val="0"/>
          <w:numId w:val="0"/>
        </w:numPr>
        <w:ind w:left="360"/>
        <w:rPr>
          <w:rFonts w:ascii="Times New Roman" w:hAnsi="Times New Roman" w:cs="Times New Roman"/>
        </w:rPr>
      </w:pPr>
      <w:r w:rsidRPr="00676782">
        <w:rPr>
          <w:rFonts w:ascii="Times New Roman" w:hAnsi="Times New Roman" w:cs="Times New Roman"/>
        </w:rPr>
        <w:t>8</w:t>
      </w:r>
      <w:r w:rsidRPr="00676782" w:rsidR="006F41C6">
        <w:rPr>
          <w:rFonts w:ascii="Times New Roman" w:hAnsi="Times New Roman" w:cs="Times New Roman"/>
        </w:rPr>
        <w:t xml:space="preserve">. </w:t>
      </w:r>
      <w:r w:rsidRPr="00676782" w:rsidR="009A7738">
        <w:rPr>
          <w:rFonts w:ascii="Times New Roman" w:hAnsi="Times New Roman" w:cs="Times New Roman"/>
        </w:rPr>
        <w:t xml:space="preserve">If applicable, provide a copy and identify the date and page number of </w:t>
      </w:r>
      <w:proofErr w:type="gramStart"/>
      <w:r w:rsidRPr="00676782" w:rsidR="009A7738">
        <w:rPr>
          <w:rFonts w:ascii="Times New Roman" w:hAnsi="Times New Roman" w:cs="Times New Roman"/>
        </w:rPr>
        <w:t>publication</w:t>
      </w:r>
      <w:proofErr w:type="gramEnd"/>
      <w:r w:rsidRPr="00676782" w:rsidR="009A7738">
        <w:rPr>
          <w:rFonts w:ascii="Times New Roman" w:hAnsi="Times New Roman" w:cs="Times New Roman"/>
        </w:rPr>
        <w:t xml:space="preserve"> in the Federal Register of the agency’s notice, required by 5</w:t>
      </w:r>
      <w:r w:rsidRPr="00676782" w:rsidR="002059F4">
        <w:rPr>
          <w:rFonts w:ascii="Times New Roman" w:hAnsi="Times New Roman" w:cs="Times New Roman"/>
        </w:rPr>
        <w:t xml:space="preserve"> </w:t>
      </w:r>
      <w:r w:rsidRPr="00676782" w:rsidR="009A7738">
        <w:rPr>
          <w:rFonts w:ascii="Times New Roman" w:hAnsi="Times New Roman" w:cs="Times New Roman"/>
        </w:rPr>
        <w:t xml:space="preserve">CFR </w:t>
      </w:r>
      <w:r w:rsidRPr="00676782" w:rsidR="002059F4">
        <w:rPr>
          <w:rFonts w:ascii="Times New Roman" w:hAnsi="Times New Roman" w:cs="Times New Roman"/>
        </w:rPr>
        <w:t>1</w:t>
      </w:r>
      <w:r w:rsidRPr="00676782" w:rsidR="009A7738">
        <w:rPr>
          <w:rFonts w:ascii="Times New Roman" w:hAnsi="Times New Roman" w:cs="Times New Roman"/>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Pr="00676782" w:rsidR="009A7738" w:rsidP="00E00E93" w:rsidRDefault="009A7738" w14:paraId="4DF9935E" w14:textId="04B2BCAD">
      <w:pPr>
        <w:pStyle w:val="Heading2"/>
        <w:numPr>
          <w:ilvl w:val="0"/>
          <w:numId w:val="0"/>
        </w:numPr>
        <w:ind w:left="360"/>
        <w:rPr>
          <w:rFonts w:ascii="Times New Roman" w:hAnsi="Times New Roman" w:cs="Times New Roman"/>
        </w:rPr>
      </w:pPr>
      <w:r w:rsidRPr="00676782">
        <w:rPr>
          <w:rFonts w:ascii="Times New Roman" w:hAnsi="Times New Roman" w:cs="Times New Roman"/>
        </w:rPr>
        <w:t xml:space="preserve">Describe efforts to consult with persons outside </w:t>
      </w:r>
      <w:r w:rsidRPr="00676782" w:rsidR="002059F4">
        <w:rPr>
          <w:rFonts w:ascii="Times New Roman" w:hAnsi="Times New Roman" w:cs="Times New Roman"/>
        </w:rPr>
        <w:t>EPA</w:t>
      </w:r>
      <w:r w:rsidRPr="00676782">
        <w:rPr>
          <w:rFonts w:ascii="Times New Roman" w:hAnsi="Times New Roman" w:cs="Times New Roman"/>
        </w:rPr>
        <w:t xml:space="preserve"> to obtain their views on the availability of data, frequency of collection, the clarity of instructions and recordkeeping, disclosure, or reporting format (if any), and on the data elements to be recorded, disclosed, or report</w:t>
      </w:r>
      <w:r w:rsidRPr="00676782" w:rsidR="00E00E93">
        <w:rPr>
          <w:rFonts w:ascii="Times New Roman" w:hAnsi="Times New Roman" w:cs="Times New Roman"/>
        </w:rPr>
        <w:t>ed</w:t>
      </w:r>
      <w:r w:rsidRPr="00676782">
        <w:rPr>
          <w:rFonts w:ascii="Times New Roman" w:hAnsi="Times New Roman" w:cs="Times New Roman"/>
        </w:rPr>
        <w:t>.</w:t>
      </w:r>
    </w:p>
    <w:p w:rsidRPr="00676782" w:rsidR="00E00E93" w:rsidP="00E00E93" w:rsidRDefault="00E00E93" w14:paraId="57FCDACA" w14:textId="4EC0A96B">
      <w:pPr>
        <w:pStyle w:val="Heading2"/>
        <w:numPr>
          <w:ilvl w:val="0"/>
          <w:numId w:val="0"/>
        </w:numPr>
        <w:ind w:left="360"/>
        <w:rPr>
          <w:rFonts w:ascii="Times New Roman" w:hAnsi="Times New Roman" w:cs="Times New Roman"/>
        </w:rPr>
      </w:pPr>
      <w:r w:rsidRPr="00676782">
        <w:rPr>
          <w:rFonts w:ascii="Times New Roman" w:hAnsi="Times New Roman" w:cs="Times New Roman"/>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76782" w:rsidR="00847B9B" w:rsidP="00847B9B" w:rsidRDefault="007F7E00" w14:paraId="7A7B908B" w14:textId="3334E8DE">
      <w:pPr>
        <w:pStyle w:val="NoSpacing"/>
        <w:rPr>
          <w:rFonts w:ascii="Times New Roman" w:hAnsi="Times New Roman" w:cs="Times New Roman"/>
          <w:sz w:val="24"/>
          <w:szCs w:val="24"/>
        </w:rPr>
      </w:pPr>
      <w:r w:rsidRPr="00676782">
        <w:rPr>
          <w:rFonts w:ascii="Times New Roman" w:hAnsi="Times New Roman" w:cs="Times New Roman"/>
          <w:sz w:val="24"/>
          <w:szCs w:val="24"/>
          <w:lang w:bidi="en-US"/>
        </w:rPr>
        <w:t xml:space="preserve">On </w:t>
      </w:r>
      <w:r w:rsidRPr="00676782" w:rsidR="00B30DE4">
        <w:rPr>
          <w:rFonts w:ascii="Times New Roman" w:hAnsi="Times New Roman" w:cs="Times New Roman"/>
          <w:sz w:val="24"/>
          <w:szCs w:val="24"/>
          <w:lang w:bidi="en-US"/>
        </w:rPr>
        <w:t>March 29</w:t>
      </w:r>
      <w:r w:rsidRPr="00676782">
        <w:rPr>
          <w:rFonts w:ascii="Times New Roman" w:hAnsi="Times New Roman" w:cs="Times New Roman"/>
          <w:sz w:val="24"/>
          <w:szCs w:val="24"/>
          <w:lang w:bidi="en-US"/>
        </w:rPr>
        <w:t>, 2021, the Agency published a Federal Register notice requesting comment on the information collection under TSCA section 8(c) (</w:t>
      </w:r>
      <w:r w:rsidRPr="00676782" w:rsidR="00B30DE4">
        <w:rPr>
          <w:rFonts w:ascii="Times New Roman" w:hAnsi="Times New Roman" w:cs="Times New Roman"/>
          <w:sz w:val="24"/>
          <w:szCs w:val="24"/>
          <w:lang w:bidi="en-US"/>
        </w:rPr>
        <w:t>86</w:t>
      </w:r>
      <w:r w:rsidRPr="00676782">
        <w:rPr>
          <w:rFonts w:ascii="Times New Roman" w:hAnsi="Times New Roman" w:cs="Times New Roman"/>
          <w:sz w:val="24"/>
          <w:szCs w:val="24"/>
          <w:lang w:bidi="en-US"/>
        </w:rPr>
        <w:t xml:space="preserve"> FR</w:t>
      </w:r>
      <w:r w:rsidRPr="00676782" w:rsidR="00B30DE4">
        <w:rPr>
          <w:rFonts w:ascii="Times New Roman" w:hAnsi="Times New Roman" w:cs="Times New Roman"/>
          <w:sz w:val="24"/>
          <w:szCs w:val="24"/>
          <w:lang w:bidi="en-US"/>
        </w:rPr>
        <w:t>16347</w:t>
      </w:r>
      <w:r w:rsidRPr="00676782">
        <w:rPr>
          <w:rFonts w:ascii="Times New Roman" w:hAnsi="Times New Roman" w:cs="Times New Roman"/>
          <w:sz w:val="24"/>
          <w:szCs w:val="24"/>
          <w:lang w:bidi="en-US"/>
        </w:rPr>
        <w:t>).</w:t>
      </w:r>
      <w:r w:rsidRPr="00676782" w:rsidR="00847B9B">
        <w:rPr>
          <w:rFonts w:ascii="Times New Roman" w:hAnsi="Times New Roman" w:cs="Times New Roman"/>
          <w:sz w:val="24"/>
          <w:szCs w:val="24"/>
          <w:lang w:bidi="en-US"/>
        </w:rPr>
        <w:t xml:space="preserve"> </w:t>
      </w:r>
      <w:r w:rsidRPr="00676782" w:rsidR="00847B9B">
        <w:rPr>
          <w:rFonts w:ascii="Times New Roman" w:hAnsi="Times New Roman" w:cs="Times New Roman"/>
          <w:sz w:val="24"/>
          <w:szCs w:val="24"/>
        </w:rPr>
        <w:t xml:space="preserve">Additionally, EPA submitted questions to several interested </w:t>
      </w:r>
      <w:r w:rsidRPr="00676782" w:rsidR="008B1EBC">
        <w:rPr>
          <w:rFonts w:ascii="Times New Roman" w:hAnsi="Times New Roman" w:cs="Times New Roman"/>
          <w:sz w:val="24"/>
          <w:szCs w:val="24"/>
        </w:rPr>
        <w:t xml:space="preserve">entities </w:t>
      </w:r>
      <w:r w:rsidRPr="00676782" w:rsidR="00847B9B">
        <w:rPr>
          <w:rFonts w:ascii="Times New Roman" w:hAnsi="Times New Roman" w:cs="Times New Roman"/>
          <w:sz w:val="24"/>
          <w:szCs w:val="24"/>
        </w:rPr>
        <w:t xml:space="preserve">via e-mail </w:t>
      </w:r>
      <w:r w:rsidRPr="00676782" w:rsidR="008B1EBC">
        <w:rPr>
          <w:rFonts w:ascii="Times New Roman" w:hAnsi="Times New Roman" w:cs="Times New Roman"/>
          <w:sz w:val="24"/>
          <w:szCs w:val="24"/>
        </w:rPr>
        <w:t>(</w:t>
      </w:r>
      <w:r w:rsidRPr="00676782" w:rsidR="00847B9B">
        <w:rPr>
          <w:rFonts w:ascii="Times New Roman" w:hAnsi="Times New Roman" w:cs="Times New Roman"/>
          <w:sz w:val="24"/>
          <w:szCs w:val="24"/>
        </w:rPr>
        <w:t xml:space="preserve">Attachment </w:t>
      </w:r>
      <w:r w:rsidRPr="00676782" w:rsidR="0029627A">
        <w:rPr>
          <w:rFonts w:ascii="Times New Roman" w:hAnsi="Times New Roman" w:cs="Times New Roman"/>
          <w:sz w:val="24"/>
          <w:szCs w:val="24"/>
        </w:rPr>
        <w:t>3</w:t>
      </w:r>
      <w:r w:rsidRPr="00676782" w:rsidR="008B1EBC">
        <w:rPr>
          <w:rFonts w:ascii="Times New Roman" w:hAnsi="Times New Roman" w:cs="Times New Roman"/>
          <w:sz w:val="24"/>
          <w:szCs w:val="24"/>
        </w:rPr>
        <w:t>)</w:t>
      </w:r>
      <w:r w:rsidRPr="00676782" w:rsidR="00847B9B">
        <w:rPr>
          <w:rFonts w:ascii="Times New Roman" w:hAnsi="Times New Roman" w:cs="Times New Roman"/>
          <w:sz w:val="24"/>
          <w:szCs w:val="24"/>
        </w:rPr>
        <w:t xml:space="preserve">. The entities contacted were: </w:t>
      </w:r>
    </w:p>
    <w:p w:rsidRPr="00676782" w:rsidR="00847B9B" w:rsidP="008B1EBC" w:rsidRDefault="00847B9B" w14:paraId="56B56A51" w14:textId="77777777">
      <w:pPr>
        <w:pStyle w:val="NoSpacing"/>
        <w:rPr>
          <w:rFonts w:ascii="Times New Roman" w:hAnsi="Times New Roman" w:cs="Times New Roman"/>
          <w:szCs w:val="24"/>
        </w:rPr>
      </w:pPr>
    </w:p>
    <w:p w:rsidRPr="00676782" w:rsidR="00847B9B" w:rsidP="008B1EBC" w:rsidRDefault="00E04F62" w14:paraId="6CFF3284" w14:textId="0FAC93DD">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American Chemistry Council</w:t>
      </w:r>
    </w:p>
    <w:p w:rsidRPr="00676782" w:rsidR="00847B9B" w:rsidP="008B1EBC" w:rsidRDefault="00E04F62" w14:paraId="22AABF65" w14:textId="1FD586F6">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SOCMA</w:t>
      </w:r>
    </w:p>
    <w:p w:rsidRPr="00676782" w:rsidR="00847B9B" w:rsidP="008B1EBC" w:rsidRDefault="00E04F62" w14:paraId="5EBB5A92" w14:textId="2FB8E944">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DuPont USA</w:t>
      </w:r>
    </w:p>
    <w:p w:rsidRPr="00676782" w:rsidR="00847B9B" w:rsidP="008B1EBC" w:rsidRDefault="00E04F62" w14:paraId="1DD7F759" w14:textId="0E8CA2F3">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American Petroleum Institute</w:t>
      </w:r>
    </w:p>
    <w:p w:rsidRPr="00676782" w:rsidR="00847B9B" w:rsidP="008B1EBC" w:rsidRDefault="00E04F62" w14:paraId="64D25D4D" w14:textId="7E556A0A">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Vermont Law School</w:t>
      </w:r>
    </w:p>
    <w:p w:rsidRPr="00676782" w:rsidR="00847B9B" w:rsidP="008B1EBC" w:rsidRDefault="00E04F62" w14:paraId="0E9047E7" w14:textId="08EC27F1">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Asthma &amp; Allergy Foundation of America</w:t>
      </w:r>
    </w:p>
    <w:p w:rsidRPr="00676782" w:rsidR="00847B9B" w:rsidP="008B1EBC" w:rsidRDefault="00E04F62" w14:paraId="59571DA1" w14:textId="2BB9E716">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Lewis &amp; Clark College</w:t>
      </w:r>
    </w:p>
    <w:p w:rsidRPr="00676782" w:rsidR="00847B9B" w:rsidP="008B1EBC" w:rsidRDefault="00E04F62" w14:paraId="4D9C6D13" w14:textId="710265CC">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Environmental Working Group</w:t>
      </w:r>
    </w:p>
    <w:p w:rsidRPr="00676782" w:rsidR="00E04F62" w:rsidP="008B1EBC" w:rsidRDefault="00E04F62" w14:paraId="5C9B85C1" w14:textId="77777777">
      <w:pPr>
        <w:pStyle w:val="ListParagraph"/>
        <w:numPr>
          <w:ilvl w:val="1"/>
          <w:numId w:val="33"/>
        </w:numPr>
        <w:spacing w:after="0"/>
        <w:rPr>
          <w:rFonts w:ascii="Times New Roman" w:hAnsi="Times New Roman" w:cs="Times New Roman"/>
          <w:lang w:bidi="en-US"/>
        </w:rPr>
      </w:pPr>
      <w:r w:rsidRPr="00676782">
        <w:rPr>
          <w:rFonts w:ascii="Times New Roman" w:hAnsi="Times New Roman" w:cs="Times New Roman"/>
          <w:lang w:bidi="en-US"/>
        </w:rPr>
        <w:t>Natural Resources Defense Council</w:t>
      </w:r>
    </w:p>
    <w:p w:rsidRPr="00676782" w:rsidR="00D059ED" w:rsidP="00391E9E" w:rsidRDefault="00D059ED" w14:paraId="18FFE255" w14:textId="77777777">
      <w:pPr>
        <w:rPr>
          <w:rFonts w:ascii="Times New Roman" w:hAnsi="Times New Roman" w:cs="Times New Roman"/>
        </w:rPr>
      </w:pPr>
    </w:p>
    <w:p w:rsidRPr="00676782" w:rsidR="008B1EBC" w:rsidP="00391E9E" w:rsidRDefault="00847B9B" w14:paraId="5A19A9B4" w14:textId="13E02533">
      <w:pPr>
        <w:rPr>
          <w:rFonts w:ascii="Times New Roman" w:hAnsi="Times New Roman" w:cs="Times New Roman"/>
        </w:rPr>
      </w:pPr>
      <w:r w:rsidRPr="00676782">
        <w:rPr>
          <w:rFonts w:ascii="Times New Roman" w:hAnsi="Times New Roman" w:cs="Times New Roman"/>
        </w:rPr>
        <w:t xml:space="preserve">EPA received </w:t>
      </w:r>
      <w:r w:rsidRPr="00676782" w:rsidR="008B1EBC">
        <w:rPr>
          <w:rFonts w:ascii="Times New Roman" w:hAnsi="Times New Roman" w:cs="Times New Roman"/>
        </w:rPr>
        <w:t xml:space="preserve">one response </w:t>
      </w:r>
      <w:r w:rsidRPr="00676782">
        <w:rPr>
          <w:rFonts w:ascii="Times New Roman" w:hAnsi="Times New Roman" w:cs="Times New Roman"/>
        </w:rPr>
        <w:t xml:space="preserve">to its solicitation for consultations </w:t>
      </w:r>
      <w:r w:rsidRPr="00676782" w:rsidR="008B1EBC">
        <w:rPr>
          <w:rFonts w:ascii="Times New Roman" w:hAnsi="Times New Roman" w:cs="Times New Roman"/>
        </w:rPr>
        <w:t>and two comments in response to the Federal Register notice on this information collection. One of the comments received in response to the Federal Notice was not related to this information collection request. The other comment—from the Earthjustice, Environmental Defense Fund, Environmental Working Group and Natural Resources Defense Council—was identical to the one response</w:t>
      </w:r>
      <w:r w:rsidRPr="00676782" w:rsidR="00CE7539">
        <w:rPr>
          <w:rFonts w:ascii="Times New Roman" w:hAnsi="Times New Roman" w:cs="Times New Roman"/>
        </w:rPr>
        <w:t xml:space="preserve"> EPA </w:t>
      </w:r>
      <w:r w:rsidRPr="00676782" w:rsidR="008B1EBC">
        <w:rPr>
          <w:rFonts w:ascii="Times New Roman" w:hAnsi="Times New Roman" w:cs="Times New Roman"/>
        </w:rPr>
        <w:t>received to its consultation solicitation</w:t>
      </w:r>
      <w:r w:rsidRPr="00676782" w:rsidR="00CE7539">
        <w:rPr>
          <w:rFonts w:ascii="Times New Roman" w:hAnsi="Times New Roman" w:cs="Times New Roman"/>
        </w:rPr>
        <w:t xml:space="preserve">. </w:t>
      </w:r>
    </w:p>
    <w:p w:rsidRPr="00676782" w:rsidR="00847B9B" w:rsidP="00391E9E" w:rsidRDefault="008B1EBC" w14:paraId="45BB1F39" w14:textId="211EB728">
      <w:pPr>
        <w:rPr>
          <w:rFonts w:ascii="Times New Roman" w:hAnsi="Times New Roman" w:cs="Times New Roman"/>
        </w:rPr>
      </w:pPr>
      <w:r w:rsidRPr="00676782">
        <w:rPr>
          <w:rFonts w:ascii="Times New Roman" w:hAnsi="Times New Roman" w:cs="Times New Roman"/>
        </w:rPr>
        <w:t xml:space="preserve">This sole comment </w:t>
      </w:r>
      <w:r w:rsidRPr="00676782" w:rsidR="0029627A">
        <w:rPr>
          <w:rFonts w:ascii="Times New Roman" w:hAnsi="Times New Roman" w:cs="Times New Roman"/>
        </w:rPr>
        <w:t>request</w:t>
      </w:r>
      <w:r w:rsidRPr="00676782">
        <w:rPr>
          <w:rFonts w:ascii="Times New Roman" w:hAnsi="Times New Roman" w:cs="Times New Roman"/>
        </w:rPr>
        <w:t xml:space="preserve">s that </w:t>
      </w:r>
      <w:r w:rsidRPr="00676782" w:rsidR="00811F48">
        <w:rPr>
          <w:rFonts w:ascii="Times New Roman" w:hAnsi="Times New Roman" w:cs="Times New Roman"/>
        </w:rPr>
        <w:t xml:space="preserve">EPA make greater use of its Section 8(c) data collection authority, and to issue requests for 8(c) reports covering </w:t>
      </w:r>
      <w:r w:rsidRPr="00676782" w:rsidR="0029627A">
        <w:rPr>
          <w:rFonts w:ascii="Times New Roman" w:hAnsi="Times New Roman" w:cs="Times New Roman"/>
        </w:rPr>
        <w:t>all chemicals currently undergoing TSCA risk evaluations and all chemicals for which EPA is developing risk management rules. In addition</w:t>
      </w:r>
      <w:r w:rsidRPr="00676782">
        <w:rPr>
          <w:rFonts w:ascii="Times New Roman" w:hAnsi="Times New Roman" w:cs="Times New Roman"/>
        </w:rPr>
        <w:t>,</w:t>
      </w:r>
      <w:r w:rsidRPr="00676782" w:rsidR="0029627A">
        <w:rPr>
          <w:rFonts w:ascii="Times New Roman" w:hAnsi="Times New Roman" w:cs="Times New Roman"/>
        </w:rPr>
        <w:t xml:space="preserve"> </w:t>
      </w:r>
      <w:r w:rsidRPr="00676782">
        <w:rPr>
          <w:rFonts w:ascii="Times New Roman" w:hAnsi="Times New Roman" w:cs="Times New Roman"/>
        </w:rPr>
        <w:t xml:space="preserve">the comment requests that EPA issue requests for </w:t>
      </w:r>
      <w:r w:rsidRPr="00676782" w:rsidR="0029627A">
        <w:rPr>
          <w:rFonts w:ascii="Times New Roman" w:hAnsi="Times New Roman" w:cs="Times New Roman"/>
        </w:rPr>
        <w:t xml:space="preserve">all chemicals that are identified as candidates or proposed for a “high priority” designation in the future and PFAS chemicals. </w:t>
      </w:r>
    </w:p>
    <w:p w:rsidRPr="00676782" w:rsidR="001A30E9" w:rsidP="00391E9E" w:rsidRDefault="001A30E9" w14:paraId="1D4C7417" w14:textId="1ECCCDF2">
      <w:pPr>
        <w:rPr>
          <w:rFonts w:ascii="Times New Roman" w:hAnsi="Times New Roman" w:eastAsia="Times New Roman" w:cs="Times New Roman"/>
        </w:rPr>
      </w:pPr>
      <w:r w:rsidRPr="00676782">
        <w:rPr>
          <w:rFonts w:ascii="Times New Roman" w:hAnsi="Times New Roman" w:eastAsia="Times New Roman" w:cs="Times New Roman"/>
        </w:rPr>
        <w:t>EPA appreciates the feedback on the TSCA 8</w:t>
      </w:r>
      <w:r w:rsidRPr="00676782" w:rsidR="008B1EBC">
        <w:rPr>
          <w:rFonts w:ascii="Times New Roman" w:hAnsi="Times New Roman" w:eastAsia="Times New Roman" w:cs="Times New Roman"/>
        </w:rPr>
        <w:t>(</w:t>
      </w:r>
      <w:r w:rsidRPr="00676782">
        <w:rPr>
          <w:rFonts w:ascii="Times New Roman" w:hAnsi="Times New Roman" w:eastAsia="Times New Roman" w:cs="Times New Roman"/>
        </w:rPr>
        <w:t>c</w:t>
      </w:r>
      <w:r w:rsidRPr="00676782" w:rsidR="008B1EBC">
        <w:rPr>
          <w:rFonts w:ascii="Times New Roman" w:hAnsi="Times New Roman" w:eastAsia="Times New Roman" w:cs="Times New Roman"/>
        </w:rPr>
        <w:t>)</w:t>
      </w:r>
      <w:r w:rsidRPr="00676782">
        <w:rPr>
          <w:rFonts w:ascii="Times New Roman" w:hAnsi="Times New Roman" w:eastAsia="Times New Roman" w:cs="Times New Roman"/>
        </w:rPr>
        <w:t xml:space="preserve"> statutory authority. EPA is considering </w:t>
      </w:r>
      <w:r w:rsidRPr="00676782" w:rsidR="004A7A18">
        <w:rPr>
          <w:rFonts w:ascii="Times New Roman" w:hAnsi="Times New Roman" w:eastAsia="Times New Roman" w:cs="Times New Roman"/>
        </w:rPr>
        <w:t xml:space="preserve">increased use of the 8(c) authority </w:t>
      </w:r>
      <w:r w:rsidRPr="00676782" w:rsidR="00E31DF6">
        <w:rPr>
          <w:rFonts w:ascii="Times New Roman" w:hAnsi="Times New Roman" w:eastAsia="Times New Roman" w:cs="Times New Roman"/>
        </w:rPr>
        <w:t xml:space="preserve">as </w:t>
      </w:r>
      <w:r w:rsidRPr="00676782" w:rsidR="00AC25D2">
        <w:rPr>
          <w:rFonts w:ascii="Times New Roman" w:hAnsi="Times New Roman" w:eastAsia="Times New Roman" w:cs="Times New Roman"/>
        </w:rPr>
        <w:t xml:space="preserve">part of its overall effort to </w:t>
      </w:r>
      <w:r w:rsidRPr="00676782">
        <w:rPr>
          <w:rFonts w:ascii="Times New Roman" w:hAnsi="Times New Roman" w:eastAsia="Times New Roman" w:cs="Times New Roman"/>
        </w:rPr>
        <w:t xml:space="preserve">make greater use of its data collection authorities under TSCA and </w:t>
      </w:r>
      <w:r w:rsidRPr="00676782" w:rsidR="00AC25D2">
        <w:rPr>
          <w:rFonts w:ascii="Times New Roman" w:hAnsi="Times New Roman" w:eastAsia="Times New Roman" w:cs="Times New Roman"/>
        </w:rPr>
        <w:t xml:space="preserve">has updated the supporting statement for this ICR to reflect such increased use. </w:t>
      </w:r>
    </w:p>
    <w:p w:rsidRPr="00676782" w:rsidR="00811F48" w:rsidP="00391E9E" w:rsidRDefault="00811F48" w14:paraId="1D5B1551" w14:textId="4975D75D">
      <w:pPr>
        <w:rPr>
          <w:rFonts w:ascii="Times New Roman" w:hAnsi="Times New Roman" w:cs="Times New Roman"/>
          <w:lang w:bidi="en-US"/>
        </w:rPr>
      </w:pPr>
      <w:r w:rsidRPr="00676782">
        <w:rPr>
          <w:rFonts w:ascii="Times New Roman" w:hAnsi="Times New Roman" w:cs="Times New Roman"/>
        </w:rPr>
        <w:t xml:space="preserve">A copy of EPA’s consultation </w:t>
      </w:r>
      <w:r w:rsidRPr="00676782" w:rsidR="005F6E2E">
        <w:rPr>
          <w:rFonts w:ascii="Times New Roman" w:hAnsi="Times New Roman" w:cs="Times New Roman"/>
        </w:rPr>
        <w:t xml:space="preserve">with </w:t>
      </w:r>
      <w:r w:rsidRPr="00676782">
        <w:rPr>
          <w:rFonts w:ascii="Times New Roman" w:hAnsi="Times New Roman" w:cs="Times New Roman"/>
        </w:rPr>
        <w:t>the above potential respondents</w:t>
      </w:r>
      <w:r w:rsidRPr="00676782" w:rsidR="00196FEE">
        <w:rPr>
          <w:rFonts w:ascii="Times New Roman" w:hAnsi="Times New Roman" w:cs="Times New Roman"/>
        </w:rPr>
        <w:t xml:space="preserve"> is available as </w:t>
      </w:r>
      <w:r w:rsidRPr="00676782">
        <w:rPr>
          <w:rFonts w:ascii="Times New Roman" w:hAnsi="Times New Roman" w:cs="Times New Roman"/>
        </w:rPr>
        <w:t xml:space="preserve">Attachment 3 and </w:t>
      </w:r>
      <w:r w:rsidRPr="00676782" w:rsidR="00196FEE">
        <w:rPr>
          <w:rFonts w:ascii="Times New Roman" w:hAnsi="Times New Roman" w:cs="Times New Roman"/>
        </w:rPr>
        <w:t xml:space="preserve">is </w:t>
      </w:r>
      <w:r w:rsidRPr="00676782">
        <w:rPr>
          <w:rFonts w:ascii="Times New Roman" w:hAnsi="Times New Roman" w:cs="Times New Roman"/>
        </w:rPr>
        <w:t>available in the docket.</w:t>
      </w:r>
    </w:p>
    <w:p w:rsidRPr="00676782" w:rsidR="009A7738" w:rsidP="006F41C6" w:rsidRDefault="00377C64" w14:paraId="68CD10BA" w14:textId="0C36A79D">
      <w:pPr>
        <w:pStyle w:val="Heading2"/>
        <w:numPr>
          <w:ilvl w:val="0"/>
          <w:numId w:val="0"/>
        </w:numPr>
        <w:ind w:left="360"/>
        <w:rPr>
          <w:rFonts w:ascii="Times New Roman" w:hAnsi="Times New Roman" w:cs="Times New Roman"/>
        </w:rPr>
      </w:pPr>
      <w:r w:rsidRPr="00676782">
        <w:rPr>
          <w:rFonts w:ascii="Times New Roman" w:hAnsi="Times New Roman" w:cs="Times New Roman"/>
        </w:rPr>
        <w:t>9</w:t>
      </w:r>
      <w:r w:rsidRPr="00676782" w:rsidR="006F41C6">
        <w:rPr>
          <w:rFonts w:ascii="Times New Roman" w:hAnsi="Times New Roman" w:cs="Times New Roman"/>
        </w:rPr>
        <w:t xml:space="preserve">. </w:t>
      </w:r>
      <w:r w:rsidRPr="00676782" w:rsidR="009A7738">
        <w:rPr>
          <w:rFonts w:ascii="Times New Roman" w:hAnsi="Times New Roman" w:cs="Times New Roman"/>
        </w:rPr>
        <w:t>Explain any decision to provide any payment or gift to respondents, other than remuneration of contractors or grantees.</w:t>
      </w:r>
    </w:p>
    <w:p w:rsidRPr="00676782" w:rsidR="00391E9E" w:rsidP="00391E9E" w:rsidRDefault="00391E9E" w14:paraId="77525521" w14:textId="304079E5">
      <w:pPr>
        <w:rPr>
          <w:rFonts w:ascii="Times New Roman" w:hAnsi="Times New Roman" w:cs="Times New Roman"/>
          <w:lang w:bidi="en-US"/>
        </w:rPr>
      </w:pPr>
      <w:r w:rsidRPr="00676782">
        <w:rPr>
          <w:rFonts w:ascii="Times New Roman" w:hAnsi="Times New Roman" w:cs="Times New Roman"/>
          <w:lang w:bidi="en-US"/>
        </w:rPr>
        <w:lastRenderedPageBreak/>
        <w:t xml:space="preserve">Not applicable. </w:t>
      </w:r>
    </w:p>
    <w:p w:rsidRPr="00676782" w:rsidR="009A7738" w:rsidP="006F41C6" w:rsidRDefault="006F41C6" w14:paraId="1E0798B2" w14:textId="632A8C77">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0</w:t>
      </w:r>
      <w:r w:rsidRPr="00676782">
        <w:rPr>
          <w:rFonts w:ascii="Times New Roman" w:hAnsi="Times New Roman" w:cs="Times New Roman"/>
        </w:rPr>
        <w:t xml:space="preserve">. </w:t>
      </w:r>
      <w:r w:rsidRPr="00676782" w:rsidR="009A7738">
        <w:rPr>
          <w:rFonts w:ascii="Times New Roman" w:hAnsi="Times New Roman" w:cs="Times New Roman"/>
        </w:rPr>
        <w:t>Describe any assurance of confidentiality provided to respondents and the basis for the assurance in statute, regulation, or agency policy.</w:t>
      </w:r>
      <w:r w:rsidRPr="00676782" w:rsidR="00E00E93">
        <w:rPr>
          <w:rFonts w:ascii="Times New Roman" w:hAnsi="Times New Roman" w:cs="Times New Roman"/>
        </w:rPr>
        <w:t xml:space="preserve"> If the collection requires a systems of records notice (SORN) or privacy impact assessment (PIA), those should be cited and described here.</w:t>
      </w:r>
    </w:p>
    <w:p w:rsidRPr="00676782" w:rsidR="00391E9E" w:rsidP="00391E9E" w:rsidRDefault="00391E9E" w14:paraId="3D2DB419" w14:textId="4E94CC35">
      <w:pPr>
        <w:rPr>
          <w:rFonts w:ascii="Times New Roman" w:hAnsi="Times New Roman" w:cs="Times New Roman"/>
          <w:lang w:bidi="en-US"/>
        </w:rPr>
      </w:pPr>
      <w:r w:rsidRPr="00676782">
        <w:rPr>
          <w:rFonts w:ascii="Times New Roman" w:hAnsi="Times New Roman" w:cs="Times New Roman"/>
        </w:rPr>
        <w:t>Respondents may assert a claim of business confidentiality with respect to all or part of an allegation submission.  Such submissions will be handled in accordance with the provisions at 40 CFR Part 2.</w:t>
      </w:r>
    </w:p>
    <w:p w:rsidRPr="00676782" w:rsidR="00575DC0" w:rsidP="006F41C6" w:rsidRDefault="006F41C6" w14:paraId="675D5854" w14:textId="3E3AB478">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1</w:t>
      </w:r>
      <w:r w:rsidRPr="00676782">
        <w:rPr>
          <w:rFonts w:ascii="Times New Roman" w:hAnsi="Times New Roman" w:cs="Times New Roman"/>
        </w:rPr>
        <w:t xml:space="preserve">. </w:t>
      </w:r>
      <w:r w:rsidRPr="00676782" w:rsidR="009A7738">
        <w:rPr>
          <w:rFonts w:ascii="Times New Roman" w:hAnsi="Times New Roman" w:cs="Times New Roman"/>
        </w:rPr>
        <w:t xml:space="preserve">Provide additional justification for any questions of a sensitive nature, </w:t>
      </w:r>
      <w:r w:rsidRPr="00676782" w:rsidR="00575DC0">
        <w:rPr>
          <w:rFonts w:ascii="Times New Roman" w:hAnsi="Times New Roman" w:cs="Times New Roman"/>
        </w:rPr>
        <w:t>such as sexual behavior and attitudes, religious beliefs, and other</w:t>
      </w:r>
      <w:r w:rsidRPr="00676782" w:rsidR="009A7738">
        <w:rPr>
          <w:rFonts w:ascii="Times New Roman" w:hAnsi="Times New Roman" w:cs="Times New Roman"/>
        </w:rPr>
        <w:t xml:space="preserve"> matters that are commonly considered private.</w:t>
      </w:r>
      <w:r w:rsidRPr="00676782" w:rsidR="00E00E93">
        <w:rPr>
          <w:rFonts w:ascii="Times New Roman" w:hAnsi="Times New Roman" w:cs="Times New Roman"/>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76782" w:rsidR="00391E9E" w:rsidP="00391E9E" w:rsidRDefault="00391E9E" w14:paraId="78DB836C" w14:textId="2E8DF70A">
      <w:pPr>
        <w:rPr>
          <w:rFonts w:ascii="Times New Roman" w:hAnsi="Times New Roman" w:cs="Times New Roman"/>
          <w:lang w:bidi="en-US"/>
        </w:rPr>
      </w:pPr>
      <w:r w:rsidRPr="00676782">
        <w:rPr>
          <w:rFonts w:ascii="Times New Roman" w:hAnsi="Times New Roman" w:cs="Times New Roman"/>
          <w:lang w:bidi="en-US"/>
        </w:rPr>
        <w:t xml:space="preserve">Not applicable. </w:t>
      </w:r>
      <w:r w:rsidRPr="00676782">
        <w:rPr>
          <w:rFonts w:ascii="Times New Roman" w:hAnsi="Times New Roman" w:cs="Times New Roman"/>
        </w:rPr>
        <w:t>The information does not include responses to questions of a sensitive nature.</w:t>
      </w:r>
    </w:p>
    <w:p w:rsidRPr="00676782" w:rsidR="00E00E93" w:rsidP="006F41C6" w:rsidRDefault="006F41C6" w14:paraId="29AD7DEB" w14:textId="066EBA12">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2</w:t>
      </w:r>
      <w:r w:rsidRPr="00676782">
        <w:rPr>
          <w:rFonts w:ascii="Times New Roman" w:hAnsi="Times New Roman" w:cs="Times New Roman"/>
        </w:rPr>
        <w:t xml:space="preserve">. </w:t>
      </w:r>
      <w:r w:rsidRPr="00676782" w:rsidR="00294EAC">
        <w:rPr>
          <w:rFonts w:ascii="Times New Roman" w:hAnsi="Times New Roman" w:cs="Times New Roman"/>
        </w:rPr>
        <w:t>Provide estimates of the hour burden of the collection of information.</w:t>
      </w:r>
      <w:r w:rsidRPr="00676782" w:rsidR="00E00E93">
        <w:rPr>
          <w:rFonts w:ascii="Times New Roman" w:hAnsi="Times New Roman" w:cs="Times New Roman"/>
        </w:rPr>
        <w:t xml:space="preserve"> The statement should: </w:t>
      </w:r>
    </w:p>
    <w:p w:rsidRPr="00676782" w:rsidR="00E00E93" w:rsidP="00E00E93" w:rsidRDefault="00E00E93" w14:paraId="7FC47722" w14:textId="77777777">
      <w:pPr>
        <w:pStyle w:val="Heading3"/>
        <w:numPr>
          <w:ilvl w:val="0"/>
          <w:numId w:val="36"/>
        </w:numPr>
        <w:rPr>
          <w:rFonts w:ascii="Times New Roman" w:hAnsi="Times New Roman"/>
        </w:rPr>
      </w:pPr>
      <w:r w:rsidRPr="00676782">
        <w:rPr>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76782" w:rsidR="00E00E93" w:rsidP="00E00E93" w:rsidRDefault="00E00E93" w14:paraId="2F1B6098" w14:textId="77777777">
      <w:pPr>
        <w:pStyle w:val="Heading3"/>
        <w:rPr>
          <w:rFonts w:ascii="Times New Roman" w:hAnsi="Times New Roman"/>
        </w:rPr>
      </w:pPr>
      <w:r w:rsidRPr="00676782">
        <w:rPr>
          <w:rFonts w:ascii="Times New Roman" w:hAnsi="Times New Roman"/>
        </w:rPr>
        <w:t xml:space="preserve">If this request for approval covers more than one form, provide separate hour burden estimates for each </w:t>
      </w:r>
      <w:proofErr w:type="gramStart"/>
      <w:r w:rsidRPr="00676782">
        <w:rPr>
          <w:rFonts w:ascii="Times New Roman" w:hAnsi="Times New Roman"/>
        </w:rPr>
        <w:t>form</w:t>
      </w:r>
      <w:proofErr w:type="gramEnd"/>
      <w:r w:rsidRPr="00676782">
        <w:rPr>
          <w:rFonts w:ascii="Times New Roman" w:hAnsi="Times New Roman"/>
        </w:rPr>
        <w:t xml:space="preserve"> and aggregate the hour burdens. </w:t>
      </w:r>
    </w:p>
    <w:p w:rsidRPr="00676782" w:rsidR="00294EAC" w:rsidP="00E00E93" w:rsidRDefault="00E00E93" w14:paraId="2E905BB2" w14:textId="74269F15">
      <w:pPr>
        <w:pStyle w:val="Heading3"/>
        <w:rPr>
          <w:rFonts w:ascii="Times New Roman" w:hAnsi="Times New Roman"/>
        </w:rPr>
      </w:pPr>
      <w:r w:rsidRPr="00676782">
        <w:rPr>
          <w:rFonts w:ascii="Times New Roman" w:hAnsi="Times New Roman"/>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676782" w:rsidR="00F422EC" w:rsidP="00F422EC" w:rsidRDefault="00F422EC" w14:paraId="08B1D07C" w14:textId="556E961D">
      <w:pPr>
        <w:rPr>
          <w:rFonts w:ascii="Times New Roman" w:hAnsi="Times New Roman" w:cs="Times New Roman"/>
        </w:rPr>
      </w:pPr>
      <w:r w:rsidRPr="00676782">
        <w:rPr>
          <w:rFonts w:ascii="Times New Roman" w:hAnsi="Times New Roman" w:cs="Times New Roman"/>
        </w:rPr>
        <w:t>Respondents affected by this collection activity are mainly NAICS categories 325 and 32411 (</w:t>
      </w:r>
      <w:r w:rsidRPr="00676782">
        <w:rPr>
          <w:rFonts w:ascii="Times New Roman" w:hAnsi="Times New Roman" w:cs="Times New Roman"/>
          <w:i/>
          <w:iCs/>
        </w:rPr>
        <w:t>Chemicals and Allied Products Manufacturers</w:t>
      </w:r>
      <w:r w:rsidRPr="00676782">
        <w:rPr>
          <w:rFonts w:ascii="Times New Roman" w:hAnsi="Times New Roman" w:cs="Times New Roman"/>
        </w:rPr>
        <w:t xml:space="preserve"> and </w:t>
      </w:r>
      <w:r w:rsidRPr="00676782">
        <w:rPr>
          <w:rFonts w:ascii="Times New Roman" w:hAnsi="Times New Roman" w:cs="Times New Roman"/>
          <w:i/>
          <w:iCs/>
        </w:rPr>
        <w:t>Petroleum Refining</w:t>
      </w:r>
      <w:r w:rsidRPr="00676782">
        <w:rPr>
          <w:rFonts w:ascii="Times New Roman" w:hAnsi="Times New Roman" w:cs="Times New Roman"/>
        </w:rPr>
        <w:t>, respectively).</w:t>
      </w:r>
    </w:p>
    <w:p w:rsidRPr="00676782" w:rsidR="00F422EC" w:rsidP="00F422EC" w:rsidRDefault="00F422EC" w14:paraId="224C4E0C" w14:textId="77777777">
      <w:pPr>
        <w:numPr>
          <w:ilvl w:val="12"/>
          <w:numId w:val="0"/>
        </w:numPr>
        <w:rPr>
          <w:rFonts w:ascii="Times New Roman" w:hAnsi="Times New Roman" w:cs="Times New Roman"/>
        </w:rPr>
      </w:pPr>
      <w:r w:rsidRPr="00676782">
        <w:rPr>
          <w:rFonts w:ascii="Times New Roman" w:hAnsi="Times New Roman" w:cs="Times New Roman"/>
        </w:rPr>
        <w:t>Records maintained pursuant to 40 CFR Part 717 must consist of the following:</w:t>
      </w:r>
    </w:p>
    <w:p w:rsidRPr="00676782" w:rsidR="00F422EC" w:rsidP="00F422EC" w:rsidRDefault="00F422EC" w14:paraId="645AE139" w14:textId="77777777">
      <w:pPr>
        <w:numPr>
          <w:ilvl w:val="12"/>
          <w:numId w:val="0"/>
        </w:numPr>
        <w:rPr>
          <w:rFonts w:ascii="Times New Roman" w:hAnsi="Times New Roman" w:cs="Times New Roman"/>
        </w:rPr>
      </w:pPr>
      <w:r w:rsidRPr="00676782">
        <w:rPr>
          <w:rFonts w:ascii="Times New Roman" w:hAnsi="Times New Roman" w:cs="Times New Roman"/>
        </w:rPr>
        <w:tab/>
        <w:t>a. The original allegation as received.</w:t>
      </w:r>
    </w:p>
    <w:p w:rsidRPr="00676782" w:rsidR="00F422EC" w:rsidP="00F422EC" w:rsidRDefault="00F422EC" w14:paraId="0D7F30C3" w14:textId="77777777">
      <w:pPr>
        <w:numPr>
          <w:ilvl w:val="12"/>
          <w:numId w:val="0"/>
        </w:numPr>
        <w:ind w:left="720"/>
        <w:rPr>
          <w:rFonts w:ascii="Times New Roman" w:hAnsi="Times New Roman" w:cs="Times New Roman"/>
        </w:rPr>
      </w:pPr>
      <w:r w:rsidRPr="00676782">
        <w:rPr>
          <w:rFonts w:ascii="Times New Roman" w:hAnsi="Times New Roman" w:cs="Times New Roman"/>
        </w:rPr>
        <w:lastRenderedPageBreak/>
        <w:t>b. An abstract of the allegation and other pertinent information as follows:</w:t>
      </w:r>
    </w:p>
    <w:p w:rsidRPr="00676782" w:rsidR="00F422EC" w:rsidP="00F422EC" w:rsidRDefault="00F422EC" w14:paraId="637E4F47" w14:textId="77777777">
      <w:pPr>
        <w:numPr>
          <w:ilvl w:val="12"/>
          <w:numId w:val="0"/>
        </w:numPr>
        <w:ind w:left="1440" w:hanging="360"/>
        <w:rPr>
          <w:rFonts w:ascii="Times New Roman" w:hAnsi="Times New Roman" w:cs="Times New Roman"/>
        </w:rPr>
      </w:pPr>
      <w:r w:rsidRPr="00676782">
        <w:rPr>
          <w:rFonts w:ascii="Times New Roman" w:hAnsi="Times New Roman" w:cs="Times New Roman"/>
        </w:rPr>
        <w:t>1.  The name and address of the plant site that received the allegation.</w:t>
      </w:r>
    </w:p>
    <w:p w:rsidRPr="00676782" w:rsidR="00F422EC" w:rsidP="00F422EC" w:rsidRDefault="00F422EC" w14:paraId="7FB43799" w14:textId="77777777">
      <w:pPr>
        <w:numPr>
          <w:ilvl w:val="12"/>
          <w:numId w:val="0"/>
        </w:numPr>
        <w:ind w:left="1440" w:hanging="360"/>
        <w:rPr>
          <w:rFonts w:ascii="Times New Roman" w:hAnsi="Times New Roman" w:cs="Times New Roman"/>
        </w:rPr>
      </w:pPr>
      <w:r w:rsidRPr="00676782">
        <w:rPr>
          <w:rFonts w:ascii="Times New Roman" w:hAnsi="Times New Roman" w:cs="Times New Roman"/>
        </w:rPr>
        <w:t>2.  The date the allegation was received at that site.</w:t>
      </w:r>
    </w:p>
    <w:p w:rsidRPr="00676782" w:rsidR="00F422EC" w:rsidP="00F422EC" w:rsidRDefault="00F422EC" w14:paraId="3FC5DC7F" w14:textId="77777777">
      <w:pPr>
        <w:numPr>
          <w:ilvl w:val="12"/>
          <w:numId w:val="0"/>
        </w:numPr>
        <w:ind w:left="1440" w:hanging="360"/>
        <w:rPr>
          <w:rFonts w:ascii="Times New Roman" w:hAnsi="Times New Roman" w:cs="Times New Roman"/>
        </w:rPr>
      </w:pPr>
      <w:r w:rsidRPr="00676782">
        <w:rPr>
          <w:rFonts w:ascii="Times New Roman" w:hAnsi="Times New Roman" w:cs="Times New Roman"/>
        </w:rPr>
        <w:t>3.  The implicated substance, mixture, article, company process or operation, or site discharge.</w:t>
      </w:r>
    </w:p>
    <w:p w:rsidRPr="00676782" w:rsidR="00F422EC" w:rsidP="00F422EC" w:rsidRDefault="00F422EC" w14:paraId="24A8CDFA" w14:textId="77777777">
      <w:pPr>
        <w:numPr>
          <w:ilvl w:val="12"/>
          <w:numId w:val="0"/>
        </w:numPr>
        <w:ind w:left="1440" w:hanging="360"/>
        <w:rPr>
          <w:rFonts w:ascii="Times New Roman" w:hAnsi="Times New Roman" w:cs="Times New Roman"/>
        </w:rPr>
      </w:pPr>
      <w:r w:rsidRPr="00676782">
        <w:rPr>
          <w:rFonts w:ascii="Times New Roman" w:hAnsi="Times New Roman" w:cs="Times New Roman"/>
        </w:rPr>
        <w:t>4.  A description of the alleger (e.g., employee, neighbor), including age and sex, if ascertainable.</w:t>
      </w:r>
    </w:p>
    <w:p w:rsidRPr="00676782" w:rsidR="00F422EC" w:rsidP="00F422EC" w:rsidRDefault="00F422EC" w14:paraId="7AF2C17D" w14:textId="77777777">
      <w:pPr>
        <w:numPr>
          <w:ilvl w:val="12"/>
          <w:numId w:val="0"/>
        </w:numPr>
        <w:tabs>
          <w:tab w:val="left" w:pos="720"/>
          <w:tab w:val="left" w:pos="1440"/>
        </w:tabs>
        <w:ind w:left="1440" w:hanging="360"/>
        <w:rPr>
          <w:rFonts w:ascii="Times New Roman" w:hAnsi="Times New Roman" w:cs="Times New Roman"/>
        </w:rPr>
      </w:pPr>
      <w:r w:rsidRPr="00676782">
        <w:rPr>
          <w:rFonts w:ascii="Times New Roman" w:hAnsi="Times New Roman" w:cs="Times New Roman"/>
        </w:rPr>
        <w:t>5.  A description of the health effects, including explanation of how the effects became known and the route of exposure, if explained in the allegation.</w:t>
      </w:r>
    </w:p>
    <w:p w:rsidRPr="00676782" w:rsidR="00F422EC" w:rsidP="00F422EC" w:rsidRDefault="00F422EC" w14:paraId="4DF5D82A" w14:textId="77777777">
      <w:pPr>
        <w:numPr>
          <w:ilvl w:val="12"/>
          <w:numId w:val="0"/>
        </w:numPr>
        <w:tabs>
          <w:tab w:val="left" w:pos="720"/>
          <w:tab w:val="left" w:pos="1080"/>
        </w:tabs>
        <w:ind w:left="1080" w:hanging="1080"/>
        <w:rPr>
          <w:rFonts w:ascii="Times New Roman" w:hAnsi="Times New Roman" w:cs="Times New Roman"/>
        </w:rPr>
      </w:pPr>
      <w:r w:rsidRPr="00676782">
        <w:rPr>
          <w:rFonts w:ascii="Times New Roman" w:hAnsi="Times New Roman" w:cs="Times New Roman"/>
        </w:rPr>
        <w:tab/>
        <w:t>c. The results of any self-initiated investigation with respect to an allegation.  EPA does not require such investigation under the TSCA section 8(c) rule.)</w:t>
      </w:r>
    </w:p>
    <w:p w:rsidRPr="00676782" w:rsidR="00F422EC" w:rsidP="00F422EC" w:rsidRDefault="00F422EC" w14:paraId="6B72918E" w14:textId="77777777">
      <w:pPr>
        <w:numPr>
          <w:ilvl w:val="12"/>
          <w:numId w:val="0"/>
        </w:numPr>
        <w:tabs>
          <w:tab w:val="left" w:pos="720"/>
        </w:tabs>
        <w:ind w:left="990" w:hanging="990"/>
        <w:rPr>
          <w:rFonts w:ascii="Times New Roman" w:hAnsi="Times New Roman" w:cs="Times New Roman"/>
        </w:rPr>
      </w:pPr>
      <w:r w:rsidRPr="00676782">
        <w:rPr>
          <w:rFonts w:ascii="Times New Roman" w:hAnsi="Times New Roman" w:cs="Times New Roman"/>
        </w:rPr>
        <w:tab/>
        <w:t>d. Copies of any further required records relating to the allegation (e.g., records required under OSHA).</w:t>
      </w:r>
    </w:p>
    <w:p w:rsidRPr="00676782" w:rsidR="00F422EC" w:rsidP="00F422EC" w:rsidRDefault="00F422EC" w14:paraId="2546EDAC" w14:textId="1EF5F1F8">
      <w:pPr>
        <w:numPr>
          <w:ilvl w:val="12"/>
          <w:numId w:val="0"/>
        </w:numPr>
        <w:rPr>
          <w:rFonts w:ascii="Times New Roman" w:hAnsi="Times New Roman" w:cs="Times New Roman"/>
        </w:rPr>
      </w:pPr>
      <w:r w:rsidRPr="00676782">
        <w:rPr>
          <w:rFonts w:ascii="Times New Roman" w:hAnsi="Times New Roman" w:cs="Times New Roman"/>
        </w:rPr>
        <w:t xml:space="preserve">Each person who is required to keep records under this part must submit copies of those records to EPA as required by the Administrator or appropriate designee. EPA will notify those responsible for reporting by letter or will announce any such requirements by notice in the </w:t>
      </w:r>
      <w:r w:rsidRPr="00676782">
        <w:rPr>
          <w:rFonts w:ascii="Times New Roman" w:hAnsi="Times New Roman" w:cs="Times New Roman"/>
          <w:b/>
          <w:bCs/>
        </w:rPr>
        <w:t>Federal Register</w:t>
      </w:r>
      <w:r w:rsidRPr="00676782">
        <w:rPr>
          <w:rFonts w:ascii="Times New Roman" w:hAnsi="Times New Roman" w:cs="Times New Roman"/>
        </w:rPr>
        <w:t>.</w:t>
      </w:r>
    </w:p>
    <w:p w:rsidRPr="00676782" w:rsidR="00F422EC" w:rsidP="00F422EC" w:rsidRDefault="00F422EC" w14:paraId="6EE3CCCC" w14:textId="54B42B82">
      <w:pPr>
        <w:numPr>
          <w:ilvl w:val="12"/>
          <w:numId w:val="0"/>
        </w:numPr>
        <w:rPr>
          <w:rFonts w:ascii="Times New Roman" w:hAnsi="Times New Roman" w:cs="Times New Roman"/>
        </w:rPr>
      </w:pPr>
      <w:r w:rsidRPr="00676782">
        <w:rPr>
          <w:rFonts w:ascii="Times New Roman" w:hAnsi="Times New Roman" w:cs="Times New Roman"/>
        </w:rPr>
        <w:t>Respondents must do two things: (1) maintain records of allegations of significant adverse reactions, and (2) submit copies of these allegation records when required by EPA. Entities subject to the rule must record significant reactions alleged to have been caused by substances or mixtures that they manufacture, import, or process.  These firms must establish a recordkeeping system for such allegations and monitor incoming complaints to determine if they meet the criteria for filing. Allegations that are filed must be retained for 30 years if they are employee-related and for 5 years for all other types/sources of allegations.</w:t>
      </w:r>
    </w:p>
    <w:p w:rsidRPr="00676782" w:rsidR="00F422EC" w:rsidP="00F422EC" w:rsidRDefault="00F422EC" w14:paraId="3434A865" w14:textId="41C6803A">
      <w:pPr>
        <w:numPr>
          <w:ilvl w:val="12"/>
          <w:numId w:val="0"/>
        </w:numPr>
        <w:rPr>
          <w:rFonts w:ascii="Times New Roman" w:hAnsi="Times New Roman" w:cs="Times New Roman"/>
        </w:rPr>
      </w:pPr>
      <w:r w:rsidRPr="00676782">
        <w:rPr>
          <w:rFonts w:ascii="Times New Roman" w:hAnsi="Times New Roman" w:cs="Times New Roman"/>
        </w:rPr>
        <w:t xml:space="preserve">Firms subject to the rule must keep their TSCA section 8(c) records at company headquarters or at a site central to their chemical operations.  A multi-site company will usually require the responsible official at the individual plant site to forward potentially recordable TSCA section 8(c) allegations to a designated TSCA coordinator at their operations headquarters. Depending on the size of the company, such allegations will be reviewed by a committee to determine if the allegations relate to the company’s product, operations, or discharges. If so, the effects cited in the allegation are compared against the rule’s definition and examples of “significant adverse reaction.”  If the allegation meets this test, it is recorded. The actual allegation record is to be comprised of an abstract of the allegation along with a record of any company-initiated investigation and other pertinent documents. The rule does not require further investigation. EPA </w:t>
      </w:r>
      <w:r w:rsidRPr="00676782">
        <w:rPr>
          <w:rFonts w:ascii="Times New Roman" w:hAnsi="Times New Roman" w:cs="Times New Roman"/>
        </w:rPr>
        <w:lastRenderedPageBreak/>
        <w:t>requires that allegations be filed so that they may be readily retrievable by the alleged “cause” of the reaction. EPA does not, however, require a specific form under this rule.</w:t>
      </w:r>
    </w:p>
    <w:p w:rsidRPr="00676782" w:rsidR="00F422EC" w:rsidP="00F422EC" w:rsidRDefault="00F422EC" w14:paraId="0E81BD6A" w14:textId="181D2649">
      <w:pPr>
        <w:numPr>
          <w:ilvl w:val="12"/>
          <w:numId w:val="0"/>
        </w:numPr>
        <w:rPr>
          <w:rFonts w:ascii="Times New Roman" w:hAnsi="Times New Roman" w:cs="Times New Roman"/>
        </w:rPr>
      </w:pPr>
      <w:r w:rsidRPr="00676782">
        <w:rPr>
          <w:rFonts w:ascii="Times New Roman" w:hAnsi="Times New Roman" w:cs="Times New Roman"/>
        </w:rPr>
        <w:t xml:space="preserve">Firms subject to this rule must maintain an awareness of their reporting requirements.  A reporting requirement will take the form of a letter directed to selected respondents or it will be a notice in the </w:t>
      </w:r>
      <w:r w:rsidRPr="00676782">
        <w:rPr>
          <w:rFonts w:ascii="Times New Roman" w:hAnsi="Times New Roman" w:cs="Times New Roman"/>
          <w:b/>
          <w:bCs/>
        </w:rPr>
        <w:t>Federal Register</w:t>
      </w:r>
      <w:r w:rsidRPr="00676782">
        <w:rPr>
          <w:rFonts w:ascii="Times New Roman" w:hAnsi="Times New Roman" w:cs="Times New Roman"/>
        </w:rPr>
        <w:t xml:space="preserve">. Respondents are responsible for monitoring the </w:t>
      </w:r>
      <w:r w:rsidRPr="00676782">
        <w:rPr>
          <w:rFonts w:ascii="Times New Roman" w:hAnsi="Times New Roman" w:cs="Times New Roman"/>
          <w:b/>
          <w:bCs/>
        </w:rPr>
        <w:t>Federal Register</w:t>
      </w:r>
      <w:r w:rsidRPr="00676782">
        <w:rPr>
          <w:rFonts w:ascii="Times New Roman" w:hAnsi="Times New Roman" w:cs="Times New Roman"/>
        </w:rPr>
        <w:t xml:space="preserve"> for such notices. Whenever feasible, EPA will also notify those companies that can be identified with the production, importation or processing of a substance or mixture in question. Respondents then must determine if they manufacture or process the chemical substance or mixture. If so, they must conduct a search of their TSCA section 8(c) files to determine if there are any relevant records of significant adverse reactions alleged to have been caused by the substance or mixture.  If such records are present, they must make a photocopy of those records and mail it with a cover letter to EPA. The company should note that they have submitted such records to EPA so that future duplicative reporting will not occur.</w:t>
      </w:r>
    </w:p>
    <w:p w:rsidRPr="00676782" w:rsidR="006F41C6" w:rsidP="006F41C6" w:rsidRDefault="006F41C6" w14:paraId="70FC4764" w14:textId="31528242">
      <w:pPr>
        <w:numPr>
          <w:ilvl w:val="12"/>
          <w:numId w:val="0"/>
        </w:numPr>
        <w:rPr>
          <w:rFonts w:ascii="Times New Roman" w:hAnsi="Times New Roman" w:cs="Times New Roman"/>
        </w:rPr>
      </w:pPr>
      <w:r w:rsidRPr="00676782">
        <w:rPr>
          <w:rFonts w:ascii="Times New Roman" w:hAnsi="Times New Roman" w:cs="Times New Roman"/>
        </w:rPr>
        <w:t xml:space="preserve">This section presents the estimates of the industry burden hours and costs associated with TSCA section 8(c) activities. The specific action required to comply with a TSCA section 8(c) reporting are assumed to include review of the </w:t>
      </w:r>
      <w:r w:rsidRPr="00676782">
        <w:rPr>
          <w:rFonts w:ascii="Times New Roman" w:hAnsi="Times New Roman" w:cs="Times New Roman"/>
          <w:b/>
          <w:bCs/>
        </w:rPr>
        <w:t>Federal Register</w:t>
      </w:r>
      <w:r w:rsidRPr="00676782">
        <w:rPr>
          <w:rFonts w:ascii="Times New Roman" w:hAnsi="Times New Roman" w:cs="Times New Roman"/>
        </w:rPr>
        <w:t xml:space="preserve"> for notices regarding specific chemicals, recording pertinent information on allegations and storing such records, and reporting allegations to EPA when required. Table 1 below, contains a cross-walk between the required activities and the related information collections.</w:t>
      </w:r>
    </w:p>
    <w:p w:rsidRPr="00676782" w:rsidR="006F41C6" w:rsidP="006F41C6" w:rsidRDefault="006F41C6" w14:paraId="194BC150" w14:textId="77777777">
      <w:pPr>
        <w:rPr>
          <w:rFonts w:ascii="Times New Roman" w:hAnsi="Times New Roman" w:cs="Times New Roman"/>
        </w:rPr>
      </w:pPr>
      <w:r w:rsidRPr="00676782">
        <w:rPr>
          <w:rFonts w:ascii="Times New Roman" w:hAnsi="Times New Roman" w:cs="Times New Roman"/>
        </w:rPr>
        <w:t>Table 1: Cross-Walk between Industry Activities and Related Information Collections (ICs)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2"/>
        <w:gridCol w:w="4493"/>
        <w:gridCol w:w="2965"/>
      </w:tblGrid>
      <w:tr w:rsidRPr="00676782" w:rsidR="006F41C6" w:rsidTr="00E91639" w14:paraId="1354191B" w14:textId="77777777">
        <w:trPr>
          <w:tblHeader/>
        </w:trPr>
        <w:tc>
          <w:tcPr>
            <w:tcW w:w="1892" w:type="dxa"/>
            <w:shd w:val="clear" w:color="auto" w:fill="D9D9D9" w:themeFill="background1" w:themeFillShade="D9"/>
          </w:tcPr>
          <w:p w:rsidRPr="00676782" w:rsidR="006F41C6" w:rsidP="00E91639" w:rsidRDefault="006F41C6" w14:paraId="0A43E8D1" w14:textId="77777777">
            <w:pPr>
              <w:spacing w:after="0"/>
              <w:rPr>
                <w:rFonts w:ascii="Times New Roman" w:hAnsi="Times New Roman" w:cs="Times New Roman"/>
                <w:b/>
                <w:bCs/>
              </w:rPr>
            </w:pPr>
            <w:r w:rsidRPr="00676782">
              <w:rPr>
                <w:rFonts w:ascii="Times New Roman" w:hAnsi="Times New Roman" w:cs="Times New Roman"/>
                <w:b/>
                <w:bCs/>
              </w:rPr>
              <w:t>Activity</w:t>
            </w:r>
          </w:p>
        </w:tc>
        <w:tc>
          <w:tcPr>
            <w:tcW w:w="4493" w:type="dxa"/>
            <w:shd w:val="clear" w:color="auto" w:fill="D9D9D9" w:themeFill="background1" w:themeFillShade="D9"/>
          </w:tcPr>
          <w:p w:rsidRPr="00676782" w:rsidR="006F41C6" w:rsidP="00E91639" w:rsidRDefault="006F41C6" w14:paraId="6A4749BA" w14:textId="77777777">
            <w:pPr>
              <w:spacing w:after="0"/>
              <w:rPr>
                <w:rFonts w:ascii="Times New Roman" w:hAnsi="Times New Roman" w:cs="Times New Roman"/>
                <w:b/>
                <w:bCs/>
              </w:rPr>
            </w:pPr>
            <w:r w:rsidRPr="00676782">
              <w:rPr>
                <w:rFonts w:ascii="Times New Roman" w:hAnsi="Times New Roman" w:cs="Times New Roman"/>
                <w:b/>
                <w:bCs/>
              </w:rPr>
              <w:t>Description</w:t>
            </w:r>
          </w:p>
        </w:tc>
        <w:tc>
          <w:tcPr>
            <w:tcW w:w="2965" w:type="dxa"/>
            <w:shd w:val="clear" w:color="auto" w:fill="D9D9D9" w:themeFill="background1" w:themeFillShade="D9"/>
          </w:tcPr>
          <w:p w:rsidRPr="00676782" w:rsidR="006F41C6" w:rsidP="00E91639" w:rsidRDefault="006F41C6" w14:paraId="4BE4606D" w14:textId="77777777">
            <w:pPr>
              <w:spacing w:after="0"/>
              <w:rPr>
                <w:rFonts w:ascii="Times New Roman" w:hAnsi="Times New Roman" w:cs="Times New Roman"/>
                <w:b/>
                <w:bCs/>
              </w:rPr>
            </w:pPr>
            <w:r w:rsidRPr="00676782">
              <w:rPr>
                <w:rFonts w:ascii="Times New Roman" w:hAnsi="Times New Roman" w:cs="Times New Roman"/>
                <w:b/>
                <w:bCs/>
              </w:rPr>
              <w:t>Related IC(s)</w:t>
            </w:r>
          </w:p>
        </w:tc>
      </w:tr>
      <w:tr w:rsidRPr="00676782" w:rsidR="006F41C6" w:rsidTr="00E91639" w14:paraId="37377FBD" w14:textId="77777777">
        <w:tc>
          <w:tcPr>
            <w:tcW w:w="1892" w:type="dxa"/>
          </w:tcPr>
          <w:p w:rsidRPr="00676782" w:rsidR="006F41C6" w:rsidP="00E91639" w:rsidRDefault="006F41C6" w14:paraId="1C53DCAE" w14:textId="77777777">
            <w:pPr>
              <w:spacing w:after="40"/>
              <w:rPr>
                <w:rFonts w:ascii="Times New Roman" w:hAnsi="Times New Roman" w:cs="Times New Roman"/>
                <w:sz w:val="22"/>
                <w:szCs w:val="20"/>
              </w:rPr>
            </w:pPr>
            <w:r w:rsidRPr="00676782">
              <w:rPr>
                <w:rFonts w:ascii="Times New Roman" w:hAnsi="Times New Roman" w:cs="Times New Roman"/>
                <w:b/>
                <w:bCs/>
                <w:sz w:val="22"/>
                <w:szCs w:val="20"/>
              </w:rPr>
              <w:t>Recordkeeping</w:t>
            </w:r>
          </w:p>
        </w:tc>
        <w:tc>
          <w:tcPr>
            <w:tcW w:w="4493" w:type="dxa"/>
          </w:tcPr>
          <w:p w:rsidRPr="00676782" w:rsidR="006F41C6" w:rsidP="00E91639" w:rsidRDefault="006F41C6" w14:paraId="5845B7B5" w14:textId="77777777">
            <w:pPr>
              <w:spacing w:after="40"/>
              <w:rPr>
                <w:rFonts w:ascii="Times New Roman" w:hAnsi="Times New Roman" w:cs="Times New Roman"/>
                <w:sz w:val="22"/>
                <w:szCs w:val="20"/>
              </w:rPr>
            </w:pPr>
            <w:r w:rsidRPr="00676782">
              <w:rPr>
                <w:rFonts w:ascii="Times New Roman" w:hAnsi="Times New Roman" w:cs="Times New Roman"/>
                <w:sz w:val="22"/>
                <w:szCs w:val="20"/>
              </w:rPr>
              <w:t xml:space="preserve">Manufacturers, importers and processors of chemical substances or mixtures are required to maintain records of significant adverse reactions to health or the environment that are alleged to be caused by the substance or mixture, or alleged to be associated with its manufacture, processing, or distribution. Allegations that must be recorded include any statement of belief made by any person regarding a link between a particular company’s product, process or emission and a significant adverse health or environmental effect. </w:t>
            </w:r>
          </w:p>
        </w:tc>
        <w:tc>
          <w:tcPr>
            <w:tcW w:w="2965" w:type="dxa"/>
          </w:tcPr>
          <w:p w:rsidRPr="00676782" w:rsidR="006F41C6" w:rsidP="00E91639" w:rsidRDefault="006F41C6" w14:paraId="05A572F3" w14:textId="77777777">
            <w:pPr>
              <w:spacing w:after="40"/>
              <w:rPr>
                <w:rFonts w:ascii="Times New Roman" w:hAnsi="Times New Roman" w:cs="Times New Roman"/>
                <w:sz w:val="22"/>
                <w:szCs w:val="20"/>
              </w:rPr>
            </w:pPr>
            <w:r w:rsidRPr="00676782">
              <w:rPr>
                <w:rFonts w:ascii="Times New Roman" w:hAnsi="Times New Roman" w:cs="Times New Roman"/>
                <w:sz w:val="22"/>
                <w:szCs w:val="20"/>
              </w:rPr>
              <w:t>Prepare and maintain records</w:t>
            </w:r>
          </w:p>
        </w:tc>
      </w:tr>
      <w:tr w:rsidRPr="00676782" w:rsidR="006F41C6" w:rsidTr="00E91639" w14:paraId="37AEC5C8" w14:textId="77777777">
        <w:tc>
          <w:tcPr>
            <w:tcW w:w="1892" w:type="dxa"/>
          </w:tcPr>
          <w:p w:rsidRPr="00676782" w:rsidR="006F41C6" w:rsidP="00E91639" w:rsidRDefault="006F41C6" w14:paraId="672C369F" w14:textId="77777777">
            <w:pPr>
              <w:spacing w:after="40"/>
              <w:rPr>
                <w:rFonts w:ascii="Times New Roman" w:hAnsi="Times New Roman" w:cs="Times New Roman"/>
                <w:sz w:val="22"/>
                <w:u w:val="single"/>
              </w:rPr>
            </w:pPr>
            <w:r w:rsidRPr="00676782">
              <w:rPr>
                <w:rFonts w:ascii="Times New Roman" w:hAnsi="Times New Roman" w:cs="Times New Roman"/>
                <w:b/>
                <w:bCs/>
                <w:sz w:val="22"/>
                <w:szCs w:val="20"/>
              </w:rPr>
              <w:t>Reporting</w:t>
            </w:r>
          </w:p>
        </w:tc>
        <w:tc>
          <w:tcPr>
            <w:tcW w:w="4493" w:type="dxa"/>
          </w:tcPr>
          <w:p w:rsidRPr="00676782" w:rsidR="006F41C6" w:rsidP="00E91639" w:rsidRDefault="006F41C6" w14:paraId="26385E1C" w14:textId="77777777">
            <w:pPr>
              <w:spacing w:after="40"/>
              <w:rPr>
                <w:rFonts w:ascii="Times New Roman" w:hAnsi="Times New Roman" w:cs="Times New Roman"/>
                <w:sz w:val="22"/>
                <w:szCs w:val="20"/>
              </w:rPr>
            </w:pPr>
            <w:r w:rsidRPr="00676782">
              <w:rPr>
                <w:rFonts w:ascii="Times New Roman" w:hAnsi="Times New Roman" w:cs="Times New Roman"/>
                <w:sz w:val="22"/>
                <w:szCs w:val="20"/>
              </w:rPr>
              <w:t xml:space="preserve">If EPA has requested TSCA 8(c) records via a </w:t>
            </w:r>
            <w:r w:rsidRPr="00676782">
              <w:rPr>
                <w:rFonts w:ascii="Times New Roman" w:hAnsi="Times New Roman" w:cs="Times New Roman"/>
                <w:b/>
                <w:bCs/>
                <w:sz w:val="22"/>
                <w:szCs w:val="20"/>
              </w:rPr>
              <w:t>Federal Register</w:t>
            </w:r>
            <w:r w:rsidRPr="00676782">
              <w:rPr>
                <w:rFonts w:ascii="Times New Roman" w:hAnsi="Times New Roman" w:cs="Times New Roman"/>
                <w:sz w:val="22"/>
                <w:szCs w:val="20"/>
              </w:rPr>
              <w:t xml:space="preserve"> notice or letter, respondents must find and submit the relevant data. They must also need to prepare and submit a transmittal letter and other explanatory material to accompany the allegation records. </w:t>
            </w:r>
          </w:p>
        </w:tc>
        <w:tc>
          <w:tcPr>
            <w:tcW w:w="2965" w:type="dxa"/>
          </w:tcPr>
          <w:p w:rsidRPr="00676782" w:rsidR="006F41C6" w:rsidP="00E91639" w:rsidRDefault="006F41C6" w14:paraId="5B7F24AC" w14:textId="77777777">
            <w:pPr>
              <w:spacing w:after="40"/>
              <w:rPr>
                <w:rFonts w:ascii="Times New Roman" w:hAnsi="Times New Roman" w:cs="Times New Roman"/>
                <w:sz w:val="22"/>
                <w:szCs w:val="20"/>
              </w:rPr>
            </w:pPr>
            <w:r w:rsidRPr="00676782">
              <w:rPr>
                <w:rFonts w:ascii="Times New Roman" w:hAnsi="Times New Roman" w:cs="Times New Roman"/>
                <w:sz w:val="22"/>
                <w:szCs w:val="20"/>
              </w:rPr>
              <w:t xml:space="preserve">Prepare and submit records, a transmittal letter, and other relevant materials to EPA  </w:t>
            </w:r>
          </w:p>
        </w:tc>
      </w:tr>
      <w:tr w:rsidRPr="00676782" w:rsidR="006F41C6" w:rsidTr="00E91639" w14:paraId="64C6F06F" w14:textId="77777777">
        <w:tc>
          <w:tcPr>
            <w:tcW w:w="1892" w:type="dxa"/>
          </w:tcPr>
          <w:p w:rsidRPr="00676782" w:rsidR="006F41C6" w:rsidP="00E91639" w:rsidRDefault="006F41C6" w14:paraId="46E667B1" w14:textId="77777777">
            <w:pPr>
              <w:spacing w:after="40"/>
              <w:rPr>
                <w:rFonts w:ascii="Times New Roman" w:hAnsi="Times New Roman" w:cs="Times New Roman"/>
                <w:b/>
                <w:bCs/>
                <w:sz w:val="22"/>
                <w:szCs w:val="20"/>
              </w:rPr>
            </w:pPr>
            <w:r w:rsidRPr="00676782">
              <w:rPr>
                <w:rFonts w:ascii="Times New Roman" w:hAnsi="Times New Roman" w:cs="Times New Roman"/>
                <w:b/>
                <w:sz w:val="22"/>
              </w:rPr>
              <w:lastRenderedPageBreak/>
              <w:t>Federal Register notice review</w:t>
            </w:r>
          </w:p>
        </w:tc>
        <w:tc>
          <w:tcPr>
            <w:tcW w:w="4493" w:type="dxa"/>
          </w:tcPr>
          <w:p w:rsidRPr="00676782" w:rsidR="006F41C6" w:rsidP="00E91639" w:rsidRDefault="006F41C6" w14:paraId="1024C992" w14:textId="77777777">
            <w:pPr>
              <w:spacing w:after="40"/>
              <w:rPr>
                <w:rFonts w:ascii="Times New Roman" w:hAnsi="Times New Roman" w:cs="Times New Roman"/>
                <w:sz w:val="22"/>
                <w:szCs w:val="20"/>
              </w:rPr>
            </w:pPr>
            <w:r w:rsidRPr="00676782">
              <w:rPr>
                <w:rFonts w:ascii="Times New Roman" w:hAnsi="Times New Roman" w:cs="Times New Roman"/>
                <w:sz w:val="22"/>
                <w:szCs w:val="20"/>
              </w:rPr>
              <w:t xml:space="preserve">Manufacturers, importers and processors of chemical substances or mixtures will need to review each </w:t>
            </w:r>
            <w:r w:rsidRPr="00676782">
              <w:rPr>
                <w:rFonts w:ascii="Times New Roman" w:hAnsi="Times New Roman" w:cs="Times New Roman"/>
                <w:b/>
                <w:bCs/>
                <w:sz w:val="22"/>
                <w:szCs w:val="20"/>
              </w:rPr>
              <w:t>Federal Register</w:t>
            </w:r>
            <w:r w:rsidRPr="00676782">
              <w:rPr>
                <w:rFonts w:ascii="Times New Roman" w:hAnsi="Times New Roman" w:cs="Times New Roman"/>
                <w:sz w:val="22"/>
                <w:szCs w:val="20"/>
              </w:rPr>
              <w:t xml:space="preserve"> notice to see if EPA has requested any TSCA 8(c) record</w:t>
            </w:r>
          </w:p>
        </w:tc>
        <w:tc>
          <w:tcPr>
            <w:tcW w:w="2965" w:type="dxa"/>
          </w:tcPr>
          <w:p w:rsidRPr="00676782" w:rsidR="006F41C6" w:rsidP="00E91639" w:rsidRDefault="006F41C6" w14:paraId="6E559877" w14:textId="77777777">
            <w:pPr>
              <w:spacing w:after="40"/>
              <w:rPr>
                <w:rFonts w:ascii="Times New Roman" w:hAnsi="Times New Roman" w:cs="Times New Roman"/>
                <w:sz w:val="22"/>
                <w:szCs w:val="20"/>
              </w:rPr>
            </w:pPr>
            <w:r w:rsidRPr="00676782">
              <w:rPr>
                <w:rFonts w:ascii="Times New Roman" w:hAnsi="Times New Roman" w:cs="Times New Roman"/>
                <w:sz w:val="22"/>
                <w:szCs w:val="20"/>
              </w:rPr>
              <w:t xml:space="preserve">Review </w:t>
            </w:r>
            <w:r w:rsidRPr="00676782">
              <w:rPr>
                <w:rFonts w:ascii="Times New Roman" w:hAnsi="Times New Roman" w:cs="Times New Roman"/>
                <w:b/>
                <w:bCs/>
                <w:sz w:val="22"/>
                <w:szCs w:val="20"/>
              </w:rPr>
              <w:t>Federal Register</w:t>
            </w:r>
            <w:r w:rsidRPr="00676782">
              <w:rPr>
                <w:rFonts w:ascii="Times New Roman" w:hAnsi="Times New Roman" w:cs="Times New Roman"/>
                <w:sz w:val="22"/>
                <w:szCs w:val="20"/>
              </w:rPr>
              <w:t xml:space="preserve"> </w:t>
            </w:r>
          </w:p>
        </w:tc>
      </w:tr>
    </w:tbl>
    <w:p w:rsidRPr="00676782" w:rsidR="006F41C6" w:rsidP="006F41C6" w:rsidRDefault="006F41C6" w14:paraId="4F3AC1A5" w14:textId="77777777">
      <w:pPr>
        <w:numPr>
          <w:ilvl w:val="12"/>
          <w:numId w:val="0"/>
        </w:numPr>
        <w:rPr>
          <w:rFonts w:ascii="Times New Roman" w:hAnsi="Times New Roman" w:cs="Times New Roman"/>
        </w:rPr>
      </w:pPr>
    </w:p>
    <w:p w:rsidRPr="00676782" w:rsidR="006F41C6" w:rsidP="006F41C6" w:rsidRDefault="006F41C6" w14:paraId="6767F856" w14:textId="2237BC2D">
      <w:pPr>
        <w:numPr>
          <w:ilvl w:val="12"/>
          <w:numId w:val="0"/>
        </w:numPr>
        <w:rPr>
          <w:rFonts w:ascii="Times New Roman" w:hAnsi="Times New Roman" w:cs="Times New Roman"/>
        </w:rPr>
      </w:pPr>
      <w:r w:rsidRPr="00676782">
        <w:rPr>
          <w:rFonts w:ascii="Times New Roman" w:hAnsi="Times New Roman" w:cs="Times New Roman"/>
        </w:rPr>
        <w:t>The steps required to estimate burden associated with the activities of (1) maintaining records of significant adverse effects, and (2) submitting copies of allegation records when required by EPA, include estimating the number of affected firms and employees, the number of allegations, and number of reports requested by EPA.  Unit estimates of burden for the various activities are also required.  These unit estimates are then coupled with the number of allegations, reports, and Federal Register notice reviews to develop total burden estimates for the industry reporting community.</w:t>
      </w:r>
    </w:p>
    <w:p w:rsidRPr="00676782" w:rsidR="006F41C6" w:rsidP="006F41C6" w:rsidRDefault="006F41C6" w14:paraId="1AAEF84D" w14:textId="5A09232C">
      <w:pPr>
        <w:numPr>
          <w:ilvl w:val="12"/>
          <w:numId w:val="0"/>
        </w:numPr>
        <w:rPr>
          <w:rFonts w:ascii="Times New Roman" w:hAnsi="Times New Roman" w:cs="Times New Roman"/>
        </w:rPr>
      </w:pPr>
      <w:r w:rsidRPr="00676782">
        <w:rPr>
          <w:rFonts w:ascii="Times New Roman" w:hAnsi="Times New Roman" w:cs="Times New Roman"/>
        </w:rPr>
        <w:t>Estimates of costs require estimation of wage rates for personnel who are expected to participate in TSCA section 8(c) activities.  These, coupled with the burden hours associated with the various tasks, provide the bases for industry cost estimates.</w:t>
      </w:r>
    </w:p>
    <w:p w:rsidRPr="00676782" w:rsidR="006F41C6" w:rsidP="006F41C6" w:rsidRDefault="006F41C6" w14:paraId="355BC3FA" w14:textId="6E3632B2">
      <w:pPr>
        <w:rPr>
          <w:rFonts w:ascii="Times New Roman" w:hAnsi="Times New Roman" w:cs="Times New Roman"/>
        </w:rPr>
      </w:pPr>
      <w:r w:rsidRPr="00676782">
        <w:rPr>
          <w:rFonts w:ascii="Times New Roman" w:hAnsi="Times New Roman" w:cs="Times New Roman"/>
        </w:rPr>
        <w:t xml:space="preserve">As in the previous TSCA section 8(c) ICR burden analysis, EPA utilizes Census’ </w:t>
      </w:r>
      <w:r w:rsidRPr="00676782">
        <w:rPr>
          <w:rFonts w:ascii="Times New Roman" w:hAnsi="Times New Roman" w:cs="Times New Roman"/>
          <w:i/>
        </w:rPr>
        <w:t>County Business Patterns</w:t>
      </w:r>
      <w:r w:rsidRPr="00676782">
        <w:rPr>
          <w:rFonts w:ascii="Times New Roman" w:hAnsi="Times New Roman" w:cs="Times New Roman"/>
        </w:rPr>
        <w:t xml:space="preserve"> database to determine numbers of firms/plants and their employment. The analysis entails computing the average number of employees per firm.</w:t>
      </w:r>
      <w:r w:rsidRPr="00676782">
        <w:rPr>
          <w:rStyle w:val="FootnoteReference"/>
          <w:rFonts w:ascii="Times New Roman" w:hAnsi="Times New Roman" w:cs="Times New Roman"/>
        </w:rPr>
        <w:footnoteReference w:id="2"/>
      </w:r>
    </w:p>
    <w:p w:rsidRPr="00676782" w:rsidR="006F41C6" w:rsidP="006F41C6" w:rsidRDefault="006F41C6" w14:paraId="1C7A0C50" w14:textId="7BA889E8">
      <w:pPr>
        <w:numPr>
          <w:ilvl w:val="12"/>
          <w:numId w:val="0"/>
        </w:numPr>
        <w:rPr>
          <w:rFonts w:ascii="Times New Roman" w:hAnsi="Times New Roman" w:cs="Times New Roman"/>
        </w:rPr>
      </w:pPr>
      <w:r w:rsidRPr="00676782">
        <w:rPr>
          <w:rFonts w:ascii="Times New Roman" w:hAnsi="Times New Roman" w:cs="Times New Roman"/>
        </w:rPr>
        <w:t xml:space="preserve">The first step is to gather information on the number of firms and employees from the Bureau of the Census’s </w:t>
      </w:r>
      <w:r w:rsidRPr="00676782">
        <w:rPr>
          <w:rFonts w:ascii="Times New Roman" w:hAnsi="Times New Roman" w:cs="Times New Roman"/>
          <w:i/>
          <w:iCs/>
        </w:rPr>
        <w:t>County Business Patterns</w:t>
      </w:r>
      <w:r w:rsidRPr="00676782">
        <w:rPr>
          <w:rFonts w:ascii="Times New Roman" w:hAnsi="Times New Roman" w:cs="Times New Roman"/>
        </w:rPr>
        <w:t xml:space="preserve"> for NAICS code 325 (Chemical and Allied Products) and NAICS code 32411 (Petroleum Refining and Related Industries).  EPA chose those NAICS codes to define the firms that manufacture (including import) and process chemical substances. The most recent dataset available is from 201</w:t>
      </w:r>
      <w:r w:rsidRPr="00676782" w:rsidR="00FF09F1">
        <w:rPr>
          <w:rFonts w:ascii="Times New Roman" w:hAnsi="Times New Roman" w:cs="Times New Roman"/>
        </w:rPr>
        <w:t>9</w:t>
      </w:r>
      <w:r w:rsidRPr="00676782">
        <w:rPr>
          <w:rFonts w:ascii="Times New Roman" w:hAnsi="Times New Roman" w:cs="Times New Roman"/>
        </w:rPr>
        <w:t xml:space="preserve">.  </w:t>
      </w:r>
    </w:p>
    <w:p w:rsidRPr="00676782" w:rsidR="006F41C6" w:rsidP="006F41C6" w:rsidRDefault="006F41C6" w14:paraId="39CDBEF4" w14:textId="268F4204">
      <w:pPr>
        <w:numPr>
          <w:ilvl w:val="12"/>
          <w:numId w:val="0"/>
        </w:numPr>
        <w:rPr>
          <w:rFonts w:ascii="Times New Roman" w:hAnsi="Times New Roman" w:cs="Times New Roman"/>
        </w:rPr>
      </w:pPr>
      <w:r w:rsidRPr="00676782">
        <w:rPr>
          <w:rFonts w:ascii="Times New Roman" w:hAnsi="Times New Roman" w:cs="Times New Roman"/>
        </w:rPr>
        <w:t xml:space="preserve">The number of employees per firms is calculated using employment figures from </w:t>
      </w:r>
      <w:r w:rsidRPr="00676782">
        <w:rPr>
          <w:rFonts w:ascii="Times New Roman" w:hAnsi="Times New Roman" w:cs="Times New Roman"/>
          <w:i/>
          <w:iCs/>
        </w:rPr>
        <w:t xml:space="preserve">County Business Patterns </w:t>
      </w:r>
      <w:r w:rsidRPr="00676782">
        <w:rPr>
          <w:rFonts w:ascii="Times New Roman" w:hAnsi="Times New Roman" w:cs="Times New Roman"/>
        </w:rPr>
        <w:t xml:space="preserve">for those firms that fall under NAICS 325 or NAICS 32411.  Data from </w:t>
      </w:r>
      <w:r w:rsidRPr="00676782">
        <w:rPr>
          <w:rFonts w:ascii="Times New Roman" w:hAnsi="Times New Roman" w:cs="Times New Roman"/>
          <w:i/>
          <w:iCs/>
        </w:rPr>
        <w:t>County Business Patterns</w:t>
      </w:r>
      <w:r w:rsidRPr="00676782">
        <w:rPr>
          <w:rFonts w:ascii="Times New Roman" w:hAnsi="Times New Roman" w:cs="Times New Roman"/>
        </w:rPr>
        <w:t xml:space="preserve"> show that compared to the previous ICR renewal, the number of and employees decreased, resulting in about a </w:t>
      </w:r>
      <w:r w:rsidRPr="00676782" w:rsidR="00FF09F1">
        <w:rPr>
          <w:rFonts w:ascii="Times New Roman" w:hAnsi="Times New Roman" w:cs="Times New Roman"/>
        </w:rPr>
        <w:t>3</w:t>
      </w:r>
      <w:r w:rsidRPr="00676782">
        <w:rPr>
          <w:rFonts w:ascii="Times New Roman" w:hAnsi="Times New Roman" w:cs="Times New Roman"/>
        </w:rPr>
        <w:t xml:space="preserve">% </w:t>
      </w:r>
      <w:r w:rsidRPr="00676782" w:rsidR="00FF09F1">
        <w:rPr>
          <w:rFonts w:ascii="Times New Roman" w:hAnsi="Times New Roman" w:cs="Times New Roman"/>
        </w:rPr>
        <w:t xml:space="preserve">increase in </w:t>
      </w:r>
      <w:r w:rsidRPr="00676782">
        <w:rPr>
          <w:rFonts w:ascii="Times New Roman" w:hAnsi="Times New Roman" w:cs="Times New Roman"/>
        </w:rPr>
        <w:t xml:space="preserve"> the number of firms, and a </w:t>
      </w:r>
      <w:r w:rsidRPr="00676782" w:rsidR="00FF09F1">
        <w:rPr>
          <w:rFonts w:ascii="Times New Roman" w:hAnsi="Times New Roman" w:cs="Times New Roman"/>
        </w:rPr>
        <w:t>10</w:t>
      </w:r>
      <w:r w:rsidRPr="00676782">
        <w:rPr>
          <w:rFonts w:ascii="Times New Roman" w:hAnsi="Times New Roman" w:cs="Times New Roman"/>
        </w:rPr>
        <w:t xml:space="preserve">% </w:t>
      </w:r>
      <w:r w:rsidRPr="00676782" w:rsidR="00FF09F1">
        <w:rPr>
          <w:rFonts w:ascii="Times New Roman" w:hAnsi="Times New Roman" w:cs="Times New Roman"/>
        </w:rPr>
        <w:t>in</w:t>
      </w:r>
      <w:r w:rsidRPr="00676782">
        <w:rPr>
          <w:rFonts w:ascii="Times New Roman" w:hAnsi="Times New Roman" w:cs="Times New Roman"/>
        </w:rPr>
        <w:t xml:space="preserve">crease in the number of employees, and a  </w:t>
      </w:r>
      <w:r w:rsidRPr="00676782" w:rsidR="00FF09F1">
        <w:rPr>
          <w:rFonts w:ascii="Times New Roman" w:hAnsi="Times New Roman" w:cs="Times New Roman"/>
        </w:rPr>
        <w:t>7</w:t>
      </w:r>
      <w:r w:rsidRPr="00676782">
        <w:rPr>
          <w:rFonts w:ascii="Times New Roman" w:hAnsi="Times New Roman" w:cs="Times New Roman"/>
        </w:rPr>
        <w:t xml:space="preserve">% </w:t>
      </w:r>
      <w:r w:rsidRPr="00676782" w:rsidR="00FF09F1">
        <w:rPr>
          <w:rFonts w:ascii="Times New Roman" w:hAnsi="Times New Roman" w:cs="Times New Roman"/>
        </w:rPr>
        <w:t>in</w:t>
      </w:r>
      <w:r w:rsidRPr="00676782">
        <w:rPr>
          <w:rFonts w:ascii="Times New Roman" w:hAnsi="Times New Roman" w:cs="Times New Roman"/>
        </w:rPr>
        <w:t>crease in average number of employees per firm. Current estimates using</w:t>
      </w:r>
      <w:r w:rsidRPr="00676782" w:rsidR="00331766">
        <w:rPr>
          <w:rFonts w:ascii="Times New Roman" w:hAnsi="Times New Roman" w:cs="Times New Roman"/>
        </w:rPr>
        <w:t xml:space="preserve"> </w:t>
      </w:r>
      <w:r w:rsidRPr="00676782">
        <w:rPr>
          <w:rFonts w:ascii="Times New Roman" w:hAnsi="Times New Roman" w:cs="Times New Roman"/>
        </w:rPr>
        <w:t>201</w:t>
      </w:r>
      <w:r w:rsidRPr="00676782" w:rsidR="00FF09F1">
        <w:rPr>
          <w:rFonts w:ascii="Times New Roman" w:hAnsi="Times New Roman" w:cs="Times New Roman"/>
        </w:rPr>
        <w:t>9</w:t>
      </w:r>
      <w:r w:rsidRPr="00676782">
        <w:rPr>
          <w:rFonts w:ascii="Times New Roman" w:hAnsi="Times New Roman" w:cs="Times New Roman"/>
        </w:rPr>
        <w:t xml:space="preserve"> Census data are provided in Table 2.</w:t>
      </w:r>
    </w:p>
    <w:p w:rsidRPr="00676782" w:rsidR="006F41C6" w:rsidP="006F41C6" w:rsidRDefault="006F41C6" w14:paraId="25235EF3" w14:textId="60E45C5B">
      <w:pPr>
        <w:rPr>
          <w:rFonts w:ascii="Times New Roman" w:hAnsi="Times New Roman" w:cs="Times New Roman"/>
        </w:rPr>
      </w:pPr>
      <w:r w:rsidRPr="00676782">
        <w:rPr>
          <w:rFonts w:ascii="Times New Roman" w:hAnsi="Times New Roman" w:cs="Times New Roman"/>
        </w:rPr>
        <w:t>Table 2.  Numbers of Firms and Employees for NAICS 325 and 32411, for 201</w:t>
      </w:r>
      <w:r w:rsidRPr="00676782" w:rsidR="00FF09F1">
        <w:rPr>
          <w:rFonts w:ascii="Times New Roman" w:hAnsi="Times New Roman" w:cs="Times New Roman"/>
        </w:rPr>
        <w:t>9</w:t>
      </w:r>
    </w:p>
    <w:tbl>
      <w:tblPr>
        <w:tblW w:w="0" w:type="auto"/>
        <w:tblInd w:w="-15" w:type="dxa"/>
        <w:tblLayout w:type="fixed"/>
        <w:tblLook w:val="0000" w:firstRow="0" w:lastRow="0" w:firstColumn="0" w:lastColumn="0" w:noHBand="0" w:noVBand="0"/>
      </w:tblPr>
      <w:tblGrid>
        <w:gridCol w:w="2430"/>
        <w:gridCol w:w="3150"/>
        <w:gridCol w:w="3795"/>
      </w:tblGrid>
      <w:tr w:rsidRPr="00676782" w:rsidR="006F41C6" w:rsidTr="00E91639" w14:paraId="7A5FC3C4" w14:textId="77777777">
        <w:tc>
          <w:tcPr>
            <w:tcW w:w="2430" w:type="dxa"/>
            <w:tcBorders>
              <w:top w:val="double" w:color="auto" w:sz="4" w:space="0"/>
              <w:left w:val="double" w:color="auto" w:sz="4" w:space="0"/>
              <w:bottom w:val="single" w:color="auto" w:sz="4" w:space="0"/>
              <w:right w:val="single" w:color="auto" w:sz="4" w:space="0"/>
            </w:tcBorders>
            <w:shd w:val="clear" w:color="auto" w:fill="D9D9D9" w:themeFill="background1" w:themeFillShade="D9"/>
          </w:tcPr>
          <w:p w:rsidRPr="00676782" w:rsidR="006F41C6" w:rsidP="00E91639" w:rsidRDefault="006F41C6" w14:paraId="58FE4E9E" w14:textId="77777777">
            <w:pPr>
              <w:numPr>
                <w:ilvl w:val="12"/>
                <w:numId w:val="0"/>
              </w:numPr>
              <w:spacing w:before="81" w:after="28"/>
              <w:jc w:val="center"/>
              <w:rPr>
                <w:rFonts w:ascii="Times New Roman" w:hAnsi="Times New Roman" w:cs="Times New Roman"/>
                <w:sz w:val="22"/>
              </w:rPr>
            </w:pPr>
            <w:r w:rsidRPr="00676782">
              <w:rPr>
                <w:rFonts w:ascii="Times New Roman" w:hAnsi="Times New Roman" w:cs="Times New Roman"/>
                <w:b/>
                <w:bCs/>
                <w:sz w:val="22"/>
              </w:rPr>
              <w:lastRenderedPageBreak/>
              <w:t>Number of Firms*</w:t>
            </w:r>
          </w:p>
        </w:tc>
        <w:tc>
          <w:tcPr>
            <w:tcW w:w="3150" w:type="dxa"/>
            <w:tcBorders>
              <w:top w:val="double" w:color="auto" w:sz="4" w:space="0"/>
              <w:left w:val="single" w:color="auto" w:sz="4" w:space="0"/>
              <w:bottom w:val="single" w:color="auto" w:sz="4" w:space="0"/>
              <w:right w:val="single" w:color="auto" w:sz="4" w:space="0"/>
            </w:tcBorders>
            <w:shd w:val="clear" w:color="auto" w:fill="D9D9D9" w:themeFill="background1" w:themeFillShade="D9"/>
          </w:tcPr>
          <w:p w:rsidRPr="00676782" w:rsidR="006F41C6" w:rsidP="00E91639" w:rsidRDefault="006F41C6" w14:paraId="2F1AE209" w14:textId="77777777">
            <w:pPr>
              <w:numPr>
                <w:ilvl w:val="12"/>
                <w:numId w:val="0"/>
              </w:numPr>
              <w:spacing w:before="81" w:after="28"/>
              <w:jc w:val="center"/>
              <w:rPr>
                <w:rFonts w:ascii="Times New Roman" w:hAnsi="Times New Roman" w:cs="Times New Roman"/>
                <w:sz w:val="22"/>
              </w:rPr>
            </w:pPr>
            <w:r w:rsidRPr="00676782">
              <w:rPr>
                <w:rFonts w:ascii="Times New Roman" w:hAnsi="Times New Roman" w:cs="Times New Roman"/>
                <w:b/>
                <w:bCs/>
                <w:sz w:val="22"/>
              </w:rPr>
              <w:t>Total Number of Employees*</w:t>
            </w:r>
          </w:p>
        </w:tc>
        <w:tc>
          <w:tcPr>
            <w:tcW w:w="3795" w:type="dxa"/>
            <w:tcBorders>
              <w:top w:val="double" w:color="auto" w:sz="4" w:space="0"/>
              <w:left w:val="single" w:color="auto" w:sz="4" w:space="0"/>
              <w:bottom w:val="single" w:color="auto" w:sz="4" w:space="0"/>
              <w:right w:val="double" w:color="auto" w:sz="4" w:space="0"/>
            </w:tcBorders>
            <w:shd w:val="clear" w:color="auto" w:fill="D9D9D9" w:themeFill="background1" w:themeFillShade="D9"/>
          </w:tcPr>
          <w:p w:rsidRPr="00676782" w:rsidR="006F41C6" w:rsidP="00E91639" w:rsidRDefault="006F41C6" w14:paraId="355E368E" w14:textId="77777777">
            <w:pPr>
              <w:numPr>
                <w:ilvl w:val="12"/>
                <w:numId w:val="0"/>
              </w:numPr>
              <w:spacing w:before="81" w:after="28"/>
              <w:jc w:val="center"/>
              <w:rPr>
                <w:rFonts w:ascii="Times New Roman" w:hAnsi="Times New Roman" w:cs="Times New Roman"/>
                <w:sz w:val="20"/>
                <w:szCs w:val="20"/>
              </w:rPr>
            </w:pPr>
            <w:r w:rsidRPr="00676782">
              <w:rPr>
                <w:rFonts w:ascii="Times New Roman" w:hAnsi="Times New Roman" w:cs="Times New Roman"/>
                <w:b/>
                <w:bCs/>
                <w:sz w:val="20"/>
                <w:szCs w:val="20"/>
              </w:rPr>
              <w:t>Average Number of Employees per Firm</w:t>
            </w:r>
          </w:p>
        </w:tc>
      </w:tr>
      <w:tr w:rsidRPr="00676782" w:rsidR="006F41C6" w:rsidTr="00E91639" w14:paraId="6B153D16" w14:textId="77777777">
        <w:tc>
          <w:tcPr>
            <w:tcW w:w="2430" w:type="dxa"/>
            <w:tcBorders>
              <w:top w:val="single" w:color="auto" w:sz="4" w:space="0"/>
              <w:left w:val="double" w:color="auto" w:sz="4" w:space="0"/>
              <w:bottom w:val="single" w:color="auto" w:sz="4" w:space="0"/>
              <w:right w:val="single" w:color="auto" w:sz="4" w:space="0"/>
            </w:tcBorders>
            <w:vAlign w:val="center"/>
          </w:tcPr>
          <w:p w:rsidRPr="00676782" w:rsidR="006F41C6" w:rsidP="00E91639" w:rsidRDefault="00FF09F1" w14:paraId="46E642C5" w14:textId="33B80526">
            <w:pPr>
              <w:numPr>
                <w:ilvl w:val="12"/>
                <w:numId w:val="0"/>
              </w:numPr>
              <w:spacing w:before="81" w:after="28"/>
              <w:jc w:val="center"/>
              <w:rPr>
                <w:rFonts w:ascii="Times New Roman" w:hAnsi="Times New Roman" w:cs="Times New Roman"/>
                <w:sz w:val="22"/>
              </w:rPr>
            </w:pPr>
            <w:r w:rsidRPr="00676782">
              <w:rPr>
                <w:rFonts w:ascii="Times New Roman" w:hAnsi="Times New Roman" w:cs="Times New Roman"/>
                <w:bCs/>
                <w:color w:val="000000"/>
                <w:sz w:val="22"/>
              </w:rPr>
              <w:t>13,557</w:t>
            </w:r>
          </w:p>
        </w:tc>
        <w:tc>
          <w:tcPr>
            <w:tcW w:w="3150" w:type="dxa"/>
            <w:tcBorders>
              <w:top w:val="single" w:color="auto" w:sz="4" w:space="0"/>
              <w:left w:val="single" w:color="auto" w:sz="4" w:space="0"/>
              <w:bottom w:val="single" w:color="auto" w:sz="4" w:space="0"/>
              <w:right w:val="single" w:color="auto" w:sz="4" w:space="0"/>
            </w:tcBorders>
            <w:vAlign w:val="center"/>
          </w:tcPr>
          <w:p w:rsidRPr="00676782" w:rsidR="006F41C6" w:rsidP="00E91639" w:rsidRDefault="00FF09F1" w14:paraId="0A9C501E" w14:textId="5F71089D">
            <w:pPr>
              <w:numPr>
                <w:ilvl w:val="12"/>
                <w:numId w:val="0"/>
              </w:numPr>
              <w:spacing w:before="81" w:after="28"/>
              <w:jc w:val="center"/>
              <w:rPr>
                <w:rFonts w:ascii="Times New Roman" w:hAnsi="Times New Roman" w:cs="Times New Roman"/>
                <w:sz w:val="22"/>
              </w:rPr>
            </w:pPr>
            <w:r w:rsidRPr="00676782">
              <w:rPr>
                <w:rFonts w:ascii="Times New Roman" w:hAnsi="Times New Roman" w:cs="Times New Roman"/>
                <w:sz w:val="22"/>
              </w:rPr>
              <w:t>881,563</w:t>
            </w:r>
          </w:p>
        </w:tc>
        <w:tc>
          <w:tcPr>
            <w:tcW w:w="3795" w:type="dxa"/>
            <w:tcBorders>
              <w:top w:val="single" w:color="auto" w:sz="4" w:space="0"/>
              <w:left w:val="single" w:color="auto" w:sz="4" w:space="0"/>
              <w:bottom w:val="single" w:color="auto" w:sz="4" w:space="0"/>
              <w:right w:val="double" w:color="auto" w:sz="4" w:space="0"/>
            </w:tcBorders>
            <w:vAlign w:val="center"/>
          </w:tcPr>
          <w:p w:rsidRPr="00676782" w:rsidR="006F41C6" w:rsidP="00E91639" w:rsidRDefault="006F41C6" w14:paraId="29BA4C7E" w14:textId="5BBC9978">
            <w:pPr>
              <w:numPr>
                <w:ilvl w:val="12"/>
                <w:numId w:val="0"/>
              </w:numPr>
              <w:spacing w:before="81" w:after="28"/>
              <w:jc w:val="center"/>
              <w:rPr>
                <w:rFonts w:ascii="Times New Roman" w:hAnsi="Times New Roman" w:cs="Times New Roman"/>
                <w:sz w:val="20"/>
                <w:szCs w:val="20"/>
              </w:rPr>
            </w:pPr>
            <w:r w:rsidRPr="00676782">
              <w:rPr>
                <w:rFonts w:ascii="Times New Roman" w:hAnsi="Times New Roman" w:cs="Times New Roman"/>
                <w:bCs/>
                <w:color w:val="000000"/>
              </w:rPr>
              <w:t>6</w:t>
            </w:r>
            <w:r w:rsidRPr="00676782" w:rsidR="00FF09F1">
              <w:rPr>
                <w:rFonts w:ascii="Times New Roman" w:hAnsi="Times New Roman" w:cs="Times New Roman"/>
                <w:bCs/>
                <w:color w:val="000000"/>
              </w:rPr>
              <w:t>5</w:t>
            </w:r>
          </w:p>
        </w:tc>
      </w:tr>
      <w:tr w:rsidRPr="00676782" w:rsidR="006F41C6" w:rsidTr="00E91639" w14:paraId="1CEAB1E4" w14:textId="77777777">
        <w:tc>
          <w:tcPr>
            <w:tcW w:w="9375" w:type="dxa"/>
            <w:gridSpan w:val="3"/>
            <w:tcBorders>
              <w:top w:val="single" w:color="auto" w:sz="4" w:space="0"/>
              <w:left w:val="double" w:color="auto" w:sz="4" w:space="0"/>
              <w:bottom w:val="double" w:color="auto" w:sz="4" w:space="0"/>
              <w:right w:val="double" w:color="auto" w:sz="4" w:space="0"/>
            </w:tcBorders>
          </w:tcPr>
          <w:p w:rsidRPr="00676782" w:rsidR="006F41C6" w:rsidP="00E91639" w:rsidRDefault="006F41C6" w14:paraId="28D5617D" w14:textId="77777777">
            <w:pPr>
              <w:numPr>
                <w:ilvl w:val="12"/>
                <w:numId w:val="0"/>
              </w:numPr>
              <w:spacing w:before="81" w:after="28"/>
              <w:rPr>
                <w:rFonts w:ascii="Times New Roman" w:hAnsi="Times New Roman" w:cs="Times New Roman"/>
                <w:bCs/>
                <w:sz w:val="20"/>
              </w:rPr>
            </w:pPr>
            <w:r w:rsidRPr="00676782">
              <w:rPr>
                <w:rFonts w:ascii="Times New Roman" w:hAnsi="Times New Roman" w:cs="Times New Roman"/>
                <w:bCs/>
                <w:sz w:val="20"/>
              </w:rPr>
              <w:t>* Excludes most government employees, railroad employees, and self-employed persons.</w:t>
            </w:r>
          </w:p>
          <w:p w:rsidRPr="00676782" w:rsidR="006F41C6" w:rsidP="00E91639" w:rsidRDefault="006F41C6" w14:paraId="1D09D2DA" w14:textId="77777777">
            <w:pPr>
              <w:numPr>
                <w:ilvl w:val="12"/>
                <w:numId w:val="0"/>
              </w:numPr>
              <w:spacing w:before="81" w:after="28"/>
              <w:rPr>
                <w:rFonts w:ascii="Times New Roman" w:hAnsi="Times New Roman" w:cs="Times New Roman"/>
                <w:sz w:val="22"/>
              </w:rPr>
            </w:pPr>
            <w:r w:rsidRPr="00676782">
              <w:rPr>
                <w:rFonts w:ascii="Times New Roman" w:hAnsi="Times New Roman" w:cs="Times New Roman"/>
                <w:bCs/>
                <w:sz w:val="20"/>
              </w:rPr>
              <w:t xml:space="preserve">Source: US Census Bureau. </w:t>
            </w:r>
            <w:r w:rsidRPr="00676782">
              <w:rPr>
                <w:rFonts w:ascii="Times New Roman" w:hAnsi="Times New Roman" w:cs="Times New Roman"/>
                <w:bCs/>
                <w:i/>
                <w:sz w:val="20"/>
              </w:rPr>
              <w:t>2013 County Business Patterns.</w:t>
            </w:r>
            <w:r w:rsidRPr="00676782">
              <w:rPr>
                <w:rFonts w:ascii="Times New Roman" w:hAnsi="Times New Roman" w:cs="Times New Roman"/>
                <w:bCs/>
                <w:sz w:val="20"/>
              </w:rPr>
              <w:t xml:space="preserve"> </w:t>
            </w:r>
            <w:r w:rsidRPr="00676782">
              <w:rPr>
                <w:rFonts w:ascii="Times New Roman" w:hAnsi="Times New Roman" w:cs="Times New Roman"/>
                <w:sz w:val="20"/>
              </w:rPr>
              <w:t>Release Date: April 2015.</w:t>
            </w:r>
          </w:p>
        </w:tc>
      </w:tr>
    </w:tbl>
    <w:p w:rsidRPr="00676782" w:rsidR="006F41C6" w:rsidP="006F41C6" w:rsidRDefault="006F41C6" w14:paraId="0C9EBFE5" w14:textId="77777777">
      <w:pPr>
        <w:rPr>
          <w:rFonts w:ascii="Times New Roman" w:hAnsi="Times New Roman" w:cs="Times New Roman"/>
        </w:rPr>
      </w:pPr>
    </w:p>
    <w:p w:rsidRPr="00676782" w:rsidR="006F41C6" w:rsidP="006F41C6" w:rsidRDefault="006F41C6" w14:paraId="78C2D878" w14:textId="22BB6572">
      <w:pPr>
        <w:numPr>
          <w:ilvl w:val="12"/>
          <w:numId w:val="0"/>
        </w:numPr>
        <w:rPr>
          <w:rFonts w:ascii="Times New Roman" w:hAnsi="Times New Roman" w:cs="Times New Roman"/>
        </w:rPr>
      </w:pPr>
      <w:r w:rsidRPr="00676782">
        <w:rPr>
          <w:rFonts w:ascii="Times New Roman" w:hAnsi="Times New Roman" w:cs="Times New Roman"/>
        </w:rPr>
        <w:t xml:space="preserve">The total number of allegations is based upon the average number of employees per firm and the number of firms, multiplied by a standard annual allegation rate per firm. </w:t>
      </w:r>
    </w:p>
    <w:p w:rsidRPr="00676782" w:rsidR="006F41C6" w:rsidP="006F41C6" w:rsidRDefault="006F41C6" w14:paraId="65F76FE6" w14:textId="35AA4079">
      <w:pPr>
        <w:numPr>
          <w:ilvl w:val="12"/>
          <w:numId w:val="0"/>
        </w:numPr>
        <w:rPr>
          <w:rFonts w:ascii="Times New Roman" w:hAnsi="Times New Roman" w:cs="Times New Roman"/>
        </w:rPr>
      </w:pPr>
      <w:r w:rsidRPr="00676782">
        <w:rPr>
          <w:rFonts w:ascii="Times New Roman" w:hAnsi="Times New Roman" w:cs="Times New Roman"/>
        </w:rPr>
        <w:t>The Agency received numerous public comments following the issuance of the initial TSCA section 8(c) proposal, including many comments about the Agency’s estimate of the number of allegations.  In response to these comments, EPA contacted a number of firms to develop a consensus estimate.  According to the 1983 ICR, the consensus opinion of the firms contacted is that recordable TSCA section 8(c) allegations are likely to be made by 0.5 percent of the employees at an average firm. Additionally, and per the 1983 ICR, EPA assumes that the rate of allegations made by the general public would be about one-third the employee allegation rate.  Based on the average number of employees per firm, the estimated annual number of allegations per firm is presented below in Table 3.  The total number of allegations is calculated by multiplying the total number of firms (13,160) by the average annual number of allegations per firm (.4</w:t>
      </w:r>
      <w:r w:rsidRPr="00676782" w:rsidR="00957D7E">
        <w:rPr>
          <w:rFonts w:ascii="Times New Roman" w:hAnsi="Times New Roman" w:cs="Times New Roman"/>
        </w:rPr>
        <w:t>4</w:t>
      </w:r>
      <w:r w:rsidRPr="00676782">
        <w:rPr>
          <w:rFonts w:ascii="Times New Roman" w:hAnsi="Times New Roman" w:cs="Times New Roman"/>
        </w:rPr>
        <w:t>), for a total of 5,527 allegations per year.</w:t>
      </w:r>
    </w:p>
    <w:p w:rsidRPr="00676782" w:rsidR="006F41C6" w:rsidP="006F41C6" w:rsidRDefault="006F41C6" w14:paraId="608CB194" w14:textId="77777777">
      <w:pPr>
        <w:rPr>
          <w:rFonts w:ascii="Times New Roman" w:hAnsi="Times New Roman" w:cs="Times New Roman"/>
        </w:rPr>
      </w:pPr>
      <w:r w:rsidRPr="00676782">
        <w:rPr>
          <w:rFonts w:ascii="Times New Roman" w:hAnsi="Times New Roman" w:cs="Times New Roman"/>
        </w:rPr>
        <w:t>Table 3.  Estimated Total Number of Allegations per Year for 2016-2020</w:t>
      </w:r>
    </w:p>
    <w:tbl>
      <w:tblPr>
        <w:tblW w:w="0" w:type="auto"/>
        <w:tblInd w:w="62" w:type="dxa"/>
        <w:tblLayout w:type="fixed"/>
        <w:tblCellMar>
          <w:left w:w="62" w:type="dxa"/>
          <w:right w:w="62" w:type="dxa"/>
        </w:tblCellMar>
        <w:tblLook w:val="0000" w:firstRow="0" w:lastRow="0" w:firstColumn="0" w:lastColumn="0" w:noHBand="0" w:noVBand="0"/>
      </w:tblPr>
      <w:tblGrid>
        <w:gridCol w:w="1440"/>
        <w:gridCol w:w="1800"/>
        <w:gridCol w:w="1890"/>
        <w:gridCol w:w="900"/>
        <w:gridCol w:w="1710"/>
        <w:gridCol w:w="1620"/>
      </w:tblGrid>
      <w:tr w:rsidRPr="00676782" w:rsidR="006F41C6" w:rsidTr="00E91639" w14:paraId="303E520B" w14:textId="77777777">
        <w:trPr>
          <w:cantSplit/>
        </w:trPr>
        <w:tc>
          <w:tcPr>
            <w:tcW w:w="1440" w:type="dxa"/>
            <w:vMerge w:val="restart"/>
            <w:tcBorders>
              <w:top w:val="double" w:color="000000" w:sz="8" w:space="0"/>
              <w:left w:val="double" w:color="000000" w:sz="8" w:space="0"/>
              <w:bottom w:val="nil"/>
              <w:right w:val="nil"/>
            </w:tcBorders>
            <w:shd w:val="clear" w:color="auto" w:fill="D9D9D9" w:themeFill="background1" w:themeFillShade="D9"/>
          </w:tcPr>
          <w:p w:rsidRPr="00676782" w:rsidR="006F41C6" w:rsidP="00E91639" w:rsidRDefault="006F41C6" w14:paraId="1085719B" w14:textId="77777777">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b/>
                <w:bCs/>
                <w:sz w:val="22"/>
                <w:szCs w:val="20"/>
              </w:rPr>
              <w:t>Firms</w:t>
            </w:r>
          </w:p>
        </w:tc>
        <w:tc>
          <w:tcPr>
            <w:tcW w:w="1800" w:type="dxa"/>
            <w:vMerge w:val="restart"/>
            <w:tcBorders>
              <w:top w:val="double" w:color="000000" w:sz="8" w:space="0"/>
              <w:left w:val="single" w:color="000000" w:sz="6" w:space="0"/>
              <w:bottom w:val="nil"/>
              <w:right w:val="nil"/>
            </w:tcBorders>
            <w:shd w:val="clear" w:color="auto" w:fill="D9D9D9" w:themeFill="background1" w:themeFillShade="D9"/>
          </w:tcPr>
          <w:p w:rsidRPr="00676782" w:rsidR="006F41C6" w:rsidP="00E91639" w:rsidRDefault="006F41C6" w14:paraId="6A63FDEE" w14:textId="77777777">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b/>
                <w:bCs/>
                <w:sz w:val="22"/>
                <w:szCs w:val="20"/>
              </w:rPr>
              <w:t>Avg. Number of Employees</w:t>
            </w:r>
          </w:p>
        </w:tc>
        <w:tc>
          <w:tcPr>
            <w:tcW w:w="4500" w:type="dxa"/>
            <w:gridSpan w:val="3"/>
            <w:tcBorders>
              <w:top w:val="double" w:color="000000" w:sz="8" w:space="0"/>
              <w:left w:val="single" w:color="000000" w:sz="6" w:space="0"/>
              <w:bottom w:val="nil"/>
              <w:right w:val="nil"/>
            </w:tcBorders>
            <w:shd w:val="clear" w:color="auto" w:fill="D9D9D9" w:themeFill="background1" w:themeFillShade="D9"/>
          </w:tcPr>
          <w:p w:rsidRPr="00676782" w:rsidR="006F41C6" w:rsidP="00E91639" w:rsidRDefault="006F41C6" w14:paraId="19117D43" w14:textId="77777777">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b/>
                <w:bCs/>
                <w:sz w:val="22"/>
                <w:szCs w:val="20"/>
              </w:rPr>
              <w:t>Average Annual # of Allegations per Firm</w:t>
            </w:r>
          </w:p>
        </w:tc>
        <w:tc>
          <w:tcPr>
            <w:tcW w:w="1620" w:type="dxa"/>
            <w:vMerge w:val="restart"/>
            <w:tcBorders>
              <w:top w:val="double" w:color="000000" w:sz="8" w:space="0"/>
              <w:left w:val="single" w:color="000000" w:sz="6" w:space="0"/>
              <w:bottom w:val="nil"/>
              <w:right w:val="double" w:color="000000" w:sz="8" w:space="0"/>
            </w:tcBorders>
            <w:shd w:val="clear" w:color="auto" w:fill="D9D9D9" w:themeFill="background1" w:themeFillShade="D9"/>
          </w:tcPr>
          <w:p w:rsidRPr="00676782" w:rsidR="006F41C6" w:rsidP="00E91639" w:rsidRDefault="006F41C6" w14:paraId="4EFF3919" w14:textId="77777777">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b/>
                <w:bCs/>
                <w:sz w:val="22"/>
                <w:szCs w:val="20"/>
              </w:rPr>
              <w:t>Total Allegations</w:t>
            </w:r>
          </w:p>
        </w:tc>
      </w:tr>
      <w:tr w:rsidRPr="00676782" w:rsidR="006F41C6" w:rsidTr="00E91639" w14:paraId="48036051" w14:textId="77777777">
        <w:trPr>
          <w:cantSplit/>
        </w:trPr>
        <w:tc>
          <w:tcPr>
            <w:tcW w:w="1440" w:type="dxa"/>
            <w:vMerge/>
            <w:tcBorders>
              <w:top w:val="double" w:color="000000" w:sz="8" w:space="0"/>
              <w:left w:val="double" w:color="000000" w:sz="8" w:space="0"/>
              <w:bottom w:val="nil"/>
              <w:right w:val="nil"/>
            </w:tcBorders>
          </w:tcPr>
          <w:p w:rsidRPr="00676782" w:rsidR="006F41C6" w:rsidP="00E91639" w:rsidRDefault="006F41C6" w14:paraId="61DE414B" w14:textId="77777777">
            <w:pPr>
              <w:numPr>
                <w:ilvl w:val="12"/>
                <w:numId w:val="0"/>
              </w:numPr>
              <w:spacing w:before="74" w:after="38"/>
              <w:jc w:val="center"/>
              <w:rPr>
                <w:rFonts w:ascii="Times New Roman" w:hAnsi="Times New Roman" w:cs="Times New Roman"/>
                <w:sz w:val="22"/>
                <w:szCs w:val="20"/>
              </w:rPr>
            </w:pPr>
          </w:p>
        </w:tc>
        <w:tc>
          <w:tcPr>
            <w:tcW w:w="1800" w:type="dxa"/>
            <w:vMerge/>
            <w:tcBorders>
              <w:top w:val="double" w:color="000000" w:sz="8" w:space="0"/>
              <w:left w:val="single" w:color="000000" w:sz="6" w:space="0"/>
              <w:bottom w:val="nil"/>
              <w:right w:val="nil"/>
            </w:tcBorders>
          </w:tcPr>
          <w:p w:rsidRPr="00676782" w:rsidR="006F41C6" w:rsidP="00E91639" w:rsidRDefault="006F41C6" w14:paraId="267BB729" w14:textId="77777777">
            <w:pPr>
              <w:numPr>
                <w:ilvl w:val="12"/>
                <w:numId w:val="0"/>
              </w:numPr>
              <w:spacing w:before="74" w:after="38"/>
              <w:jc w:val="center"/>
              <w:rPr>
                <w:rFonts w:ascii="Times New Roman" w:hAnsi="Times New Roman" w:cs="Times New Roman"/>
                <w:sz w:val="22"/>
                <w:szCs w:val="20"/>
              </w:rPr>
            </w:pPr>
          </w:p>
        </w:tc>
        <w:tc>
          <w:tcPr>
            <w:tcW w:w="1890" w:type="dxa"/>
            <w:tcBorders>
              <w:top w:val="single" w:color="000000" w:sz="6" w:space="0"/>
              <w:left w:val="single" w:color="000000" w:sz="6" w:space="0"/>
              <w:bottom w:val="nil"/>
              <w:right w:val="nil"/>
            </w:tcBorders>
            <w:shd w:val="clear" w:color="auto" w:fill="D9D9D9" w:themeFill="background1" w:themeFillShade="D9"/>
          </w:tcPr>
          <w:p w:rsidRPr="00676782" w:rsidR="006F41C6" w:rsidP="00E91639" w:rsidRDefault="006F41C6" w14:paraId="732E5C5C" w14:textId="77777777">
            <w:pPr>
              <w:numPr>
                <w:ilvl w:val="12"/>
                <w:numId w:val="0"/>
              </w:numPr>
              <w:spacing w:before="20" w:after="20"/>
              <w:jc w:val="center"/>
              <w:rPr>
                <w:rFonts w:ascii="Times New Roman" w:hAnsi="Times New Roman" w:cs="Times New Roman"/>
                <w:sz w:val="22"/>
                <w:szCs w:val="20"/>
              </w:rPr>
            </w:pPr>
            <w:r w:rsidRPr="00676782">
              <w:rPr>
                <w:rFonts w:ascii="Times New Roman" w:hAnsi="Times New Roman" w:cs="Times New Roman"/>
                <w:b/>
                <w:bCs/>
                <w:sz w:val="22"/>
                <w:szCs w:val="20"/>
              </w:rPr>
              <w:t>Employee</w:t>
            </w:r>
          </w:p>
        </w:tc>
        <w:tc>
          <w:tcPr>
            <w:tcW w:w="900" w:type="dxa"/>
            <w:tcBorders>
              <w:top w:val="single" w:color="000000" w:sz="6" w:space="0"/>
              <w:left w:val="single" w:color="000000" w:sz="6" w:space="0"/>
              <w:bottom w:val="nil"/>
              <w:right w:val="nil"/>
            </w:tcBorders>
            <w:shd w:val="clear" w:color="auto" w:fill="D9D9D9" w:themeFill="background1" w:themeFillShade="D9"/>
          </w:tcPr>
          <w:p w:rsidRPr="00676782" w:rsidR="006F41C6" w:rsidP="00E91639" w:rsidRDefault="006F41C6" w14:paraId="549A25AA" w14:textId="77777777">
            <w:pPr>
              <w:numPr>
                <w:ilvl w:val="12"/>
                <w:numId w:val="0"/>
              </w:numPr>
              <w:spacing w:before="20" w:after="20"/>
              <w:jc w:val="center"/>
              <w:rPr>
                <w:rFonts w:ascii="Times New Roman" w:hAnsi="Times New Roman" w:cs="Times New Roman"/>
                <w:sz w:val="22"/>
                <w:szCs w:val="20"/>
              </w:rPr>
            </w:pPr>
            <w:r w:rsidRPr="00676782">
              <w:rPr>
                <w:rFonts w:ascii="Times New Roman" w:hAnsi="Times New Roman" w:cs="Times New Roman"/>
                <w:b/>
                <w:bCs/>
                <w:sz w:val="22"/>
                <w:szCs w:val="20"/>
              </w:rPr>
              <w:t>Public</w:t>
            </w:r>
          </w:p>
        </w:tc>
        <w:tc>
          <w:tcPr>
            <w:tcW w:w="1710" w:type="dxa"/>
            <w:tcBorders>
              <w:top w:val="single" w:color="000000" w:sz="6" w:space="0"/>
              <w:left w:val="single" w:color="000000" w:sz="6" w:space="0"/>
              <w:bottom w:val="nil"/>
              <w:right w:val="nil"/>
            </w:tcBorders>
            <w:shd w:val="clear" w:color="auto" w:fill="D9D9D9" w:themeFill="background1" w:themeFillShade="D9"/>
          </w:tcPr>
          <w:p w:rsidRPr="00676782" w:rsidR="006F41C6" w:rsidP="00E91639" w:rsidRDefault="006F41C6" w14:paraId="38A3C87E" w14:textId="77777777">
            <w:pPr>
              <w:numPr>
                <w:ilvl w:val="12"/>
                <w:numId w:val="0"/>
              </w:numPr>
              <w:spacing w:before="20" w:after="20"/>
              <w:jc w:val="center"/>
              <w:rPr>
                <w:rFonts w:ascii="Times New Roman" w:hAnsi="Times New Roman" w:cs="Times New Roman"/>
                <w:sz w:val="22"/>
                <w:szCs w:val="20"/>
              </w:rPr>
            </w:pPr>
            <w:r w:rsidRPr="00676782">
              <w:rPr>
                <w:rFonts w:ascii="Times New Roman" w:hAnsi="Times New Roman" w:cs="Times New Roman"/>
                <w:b/>
                <w:bCs/>
                <w:sz w:val="22"/>
                <w:szCs w:val="20"/>
              </w:rPr>
              <w:t>Total</w:t>
            </w:r>
          </w:p>
        </w:tc>
        <w:tc>
          <w:tcPr>
            <w:tcW w:w="1620" w:type="dxa"/>
            <w:vMerge/>
            <w:tcBorders>
              <w:top w:val="double" w:color="000000" w:sz="8" w:space="0"/>
              <w:left w:val="single" w:color="000000" w:sz="6" w:space="0"/>
              <w:bottom w:val="nil"/>
              <w:right w:val="double" w:color="000000" w:sz="8" w:space="0"/>
            </w:tcBorders>
          </w:tcPr>
          <w:p w:rsidRPr="00676782" w:rsidR="006F41C6" w:rsidP="00E91639" w:rsidRDefault="006F41C6" w14:paraId="7E4F6C87" w14:textId="77777777">
            <w:pPr>
              <w:numPr>
                <w:ilvl w:val="12"/>
                <w:numId w:val="0"/>
              </w:numPr>
              <w:spacing w:before="74" w:after="38"/>
              <w:jc w:val="center"/>
              <w:rPr>
                <w:rFonts w:ascii="Times New Roman" w:hAnsi="Times New Roman" w:cs="Times New Roman"/>
                <w:sz w:val="22"/>
                <w:szCs w:val="20"/>
              </w:rPr>
            </w:pPr>
          </w:p>
        </w:tc>
      </w:tr>
      <w:tr w:rsidRPr="00676782" w:rsidR="006F41C6" w:rsidTr="00E91639" w14:paraId="4CDD7442" w14:textId="77777777">
        <w:trPr>
          <w:cantSplit/>
        </w:trPr>
        <w:tc>
          <w:tcPr>
            <w:tcW w:w="1440" w:type="dxa"/>
            <w:tcBorders>
              <w:top w:val="single" w:color="000000" w:sz="6" w:space="0"/>
              <w:left w:val="double" w:color="000000" w:sz="8" w:space="0"/>
              <w:bottom w:val="double" w:color="000000" w:sz="8" w:space="0"/>
              <w:right w:val="nil"/>
            </w:tcBorders>
            <w:vAlign w:val="bottom"/>
          </w:tcPr>
          <w:p w:rsidRPr="00676782" w:rsidR="006F41C6" w:rsidP="00E91639" w:rsidRDefault="00957D7E" w14:paraId="4492E535" w14:textId="5F78283D">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13,557</w:t>
            </w:r>
          </w:p>
        </w:tc>
        <w:tc>
          <w:tcPr>
            <w:tcW w:w="1800" w:type="dxa"/>
            <w:tcBorders>
              <w:top w:val="single" w:color="000000" w:sz="6" w:space="0"/>
              <w:left w:val="single" w:color="000000" w:sz="6" w:space="0"/>
              <w:bottom w:val="double" w:color="000000" w:sz="8" w:space="0"/>
              <w:right w:val="nil"/>
            </w:tcBorders>
            <w:vAlign w:val="bottom"/>
          </w:tcPr>
          <w:p w:rsidRPr="00676782" w:rsidR="006F41C6" w:rsidP="00E91639" w:rsidRDefault="00957D7E" w14:paraId="526FFDAA" w14:textId="1FAC948A">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65</w:t>
            </w:r>
          </w:p>
        </w:tc>
        <w:tc>
          <w:tcPr>
            <w:tcW w:w="1890" w:type="dxa"/>
            <w:tcBorders>
              <w:top w:val="single" w:color="000000" w:sz="6" w:space="0"/>
              <w:left w:val="single" w:color="000000" w:sz="6" w:space="0"/>
              <w:bottom w:val="double" w:color="000000" w:sz="8" w:space="0"/>
              <w:right w:val="nil"/>
            </w:tcBorders>
            <w:vAlign w:val="bottom"/>
          </w:tcPr>
          <w:p w:rsidRPr="00676782" w:rsidR="006F41C6" w:rsidP="00E91639" w:rsidRDefault="006F41C6" w14:paraId="2D6353AD" w14:textId="3ACB2695">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0.3</w:t>
            </w:r>
            <w:r w:rsidRPr="00676782" w:rsidR="00957D7E">
              <w:rPr>
                <w:rFonts w:ascii="Times New Roman" w:hAnsi="Times New Roman" w:cs="Times New Roman"/>
                <w:color w:val="000000"/>
                <w:sz w:val="22"/>
                <w:szCs w:val="20"/>
              </w:rPr>
              <w:t>3</w:t>
            </w:r>
          </w:p>
        </w:tc>
        <w:tc>
          <w:tcPr>
            <w:tcW w:w="900" w:type="dxa"/>
            <w:tcBorders>
              <w:top w:val="single" w:color="000000" w:sz="6" w:space="0"/>
              <w:left w:val="single" w:color="000000" w:sz="6" w:space="0"/>
              <w:bottom w:val="double" w:color="000000" w:sz="8" w:space="0"/>
              <w:right w:val="nil"/>
            </w:tcBorders>
            <w:vAlign w:val="bottom"/>
          </w:tcPr>
          <w:p w:rsidRPr="00676782" w:rsidR="006F41C6" w:rsidP="00E91639" w:rsidRDefault="006F41C6" w14:paraId="568DE36C" w14:textId="3A715862">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0.1</w:t>
            </w:r>
            <w:r w:rsidRPr="00676782" w:rsidR="00957D7E">
              <w:rPr>
                <w:rFonts w:ascii="Times New Roman" w:hAnsi="Times New Roman" w:cs="Times New Roman"/>
                <w:color w:val="000000"/>
                <w:sz w:val="22"/>
                <w:szCs w:val="20"/>
              </w:rPr>
              <w:t>1</w:t>
            </w:r>
          </w:p>
        </w:tc>
        <w:tc>
          <w:tcPr>
            <w:tcW w:w="1710" w:type="dxa"/>
            <w:tcBorders>
              <w:top w:val="single" w:color="000000" w:sz="6" w:space="0"/>
              <w:left w:val="single" w:color="000000" w:sz="6" w:space="0"/>
              <w:bottom w:val="double" w:color="000000" w:sz="8" w:space="0"/>
              <w:right w:val="nil"/>
            </w:tcBorders>
            <w:vAlign w:val="bottom"/>
          </w:tcPr>
          <w:p w:rsidRPr="00676782" w:rsidR="006F41C6" w:rsidP="00E91639" w:rsidRDefault="006F41C6" w14:paraId="1C5A7C54" w14:textId="1E9401AA">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0.4</w:t>
            </w:r>
            <w:r w:rsidRPr="00676782" w:rsidR="00957D7E">
              <w:rPr>
                <w:rFonts w:ascii="Times New Roman" w:hAnsi="Times New Roman" w:cs="Times New Roman"/>
                <w:color w:val="000000"/>
                <w:sz w:val="22"/>
                <w:szCs w:val="20"/>
              </w:rPr>
              <w:t>4</w:t>
            </w:r>
          </w:p>
        </w:tc>
        <w:tc>
          <w:tcPr>
            <w:tcW w:w="1620" w:type="dxa"/>
            <w:tcBorders>
              <w:top w:val="single" w:color="000000" w:sz="6" w:space="0"/>
              <w:left w:val="single" w:color="000000" w:sz="6" w:space="0"/>
              <w:bottom w:val="double" w:color="000000" w:sz="8" w:space="0"/>
              <w:right w:val="double" w:color="000000" w:sz="8" w:space="0"/>
            </w:tcBorders>
            <w:vAlign w:val="bottom"/>
          </w:tcPr>
          <w:p w:rsidRPr="00676782" w:rsidR="006F41C6" w:rsidP="00E91639" w:rsidRDefault="006F41C6" w14:paraId="5660710A" w14:textId="2F10A0F0">
            <w:pPr>
              <w:numPr>
                <w:ilvl w:val="12"/>
                <w:numId w:val="0"/>
              </w:numPr>
              <w:spacing w:before="74" w:after="38"/>
              <w:jc w:val="center"/>
              <w:rPr>
                <w:rFonts w:ascii="Times New Roman" w:hAnsi="Times New Roman" w:cs="Times New Roman"/>
                <w:sz w:val="22"/>
                <w:szCs w:val="20"/>
              </w:rPr>
            </w:pPr>
            <w:r w:rsidRPr="00676782">
              <w:rPr>
                <w:rFonts w:ascii="Times New Roman" w:hAnsi="Times New Roman" w:cs="Times New Roman"/>
                <w:color w:val="000000"/>
                <w:sz w:val="22"/>
                <w:szCs w:val="20"/>
              </w:rPr>
              <w:t>5,</w:t>
            </w:r>
            <w:r w:rsidRPr="00676782" w:rsidR="00957D7E">
              <w:rPr>
                <w:rFonts w:ascii="Times New Roman" w:hAnsi="Times New Roman" w:cs="Times New Roman"/>
                <w:color w:val="000000"/>
                <w:sz w:val="22"/>
                <w:szCs w:val="20"/>
              </w:rPr>
              <w:t>965</w:t>
            </w:r>
          </w:p>
        </w:tc>
      </w:tr>
    </w:tbl>
    <w:p w:rsidRPr="00676782" w:rsidR="006F41C6" w:rsidP="006F41C6" w:rsidRDefault="006F41C6" w14:paraId="74E86FAB" w14:textId="77777777">
      <w:pPr>
        <w:rPr>
          <w:rFonts w:ascii="Times New Roman" w:hAnsi="Times New Roman" w:cs="Times New Roman"/>
        </w:rPr>
      </w:pPr>
    </w:p>
    <w:p w:rsidRPr="00676782" w:rsidR="006F41C6" w:rsidP="006F41C6" w:rsidRDefault="006F41C6" w14:paraId="7C8F1057" w14:textId="5EABA55F">
      <w:pPr>
        <w:rPr>
          <w:rFonts w:ascii="Times New Roman" w:hAnsi="Times New Roman" w:cs="Times New Roman"/>
        </w:rPr>
      </w:pPr>
      <w:r w:rsidRPr="00676782">
        <w:rPr>
          <w:rFonts w:ascii="Times New Roman" w:hAnsi="Times New Roman" w:cs="Times New Roman"/>
        </w:rPr>
        <w:t>EPA’s long-term experience shows that only a very limited amount of reporting has been required under TSCA section 8(c)</w:t>
      </w:r>
      <w:r w:rsidRPr="00676782" w:rsidR="00094875">
        <w:rPr>
          <w:rFonts w:ascii="Times New Roman" w:hAnsi="Times New Roman" w:cs="Times New Roman"/>
        </w:rPr>
        <w:t>.</w:t>
      </w:r>
      <w:r w:rsidRPr="00676782">
        <w:rPr>
          <w:rFonts w:ascii="Times New Roman" w:hAnsi="Times New Roman" w:cs="Times New Roman"/>
        </w:rPr>
        <w:t xml:space="preserve"> To date, only two reporting notices have been issued under TSCA section 8(c)</w:t>
      </w:r>
      <w:r w:rsidRPr="00676782">
        <w:rPr>
          <w:rStyle w:val="FootnoteReference"/>
          <w:rFonts w:ascii="Times New Roman" w:hAnsi="Times New Roman" w:cs="Times New Roman"/>
        </w:rPr>
        <w:footnoteReference w:id="3"/>
      </w:r>
      <w:r w:rsidRPr="00676782">
        <w:rPr>
          <w:rFonts w:ascii="Times New Roman" w:hAnsi="Times New Roman" w:cs="Times New Roman"/>
        </w:rPr>
        <w:t xml:space="preserve"> and these two notices covered two chemicals and two chemical categories.  A total of 31 reports</w:t>
      </w:r>
      <w:r w:rsidRPr="00676782">
        <w:rPr>
          <w:rStyle w:val="FootnoteReference"/>
          <w:rFonts w:ascii="Times New Roman" w:hAnsi="Times New Roman" w:cs="Times New Roman"/>
        </w:rPr>
        <w:footnoteReference w:id="4"/>
      </w:r>
      <w:r w:rsidRPr="00676782">
        <w:rPr>
          <w:rFonts w:ascii="Times New Roman" w:hAnsi="Times New Roman" w:cs="Times New Roman"/>
          <w:vertAlign w:val="superscript"/>
        </w:rPr>
        <w:t>,</w:t>
      </w:r>
      <w:r w:rsidRPr="00676782">
        <w:rPr>
          <w:rStyle w:val="FootnoteReference"/>
          <w:rFonts w:ascii="Times New Roman" w:hAnsi="Times New Roman" w:cs="Times New Roman"/>
        </w:rPr>
        <w:footnoteReference w:id="5"/>
      </w:r>
      <w:r w:rsidRPr="00676782">
        <w:rPr>
          <w:rFonts w:ascii="Times New Roman" w:hAnsi="Times New Roman" w:cs="Times New Roman"/>
        </w:rPr>
        <w:t xml:space="preserve"> have been received under TSCA section 8(c), an average of approximately 16 reports per notice. This represents an average of only about 1.1 reports per </w:t>
      </w:r>
      <w:r w:rsidRPr="00676782">
        <w:rPr>
          <w:rFonts w:ascii="Times New Roman" w:hAnsi="Times New Roman" w:cs="Times New Roman"/>
        </w:rPr>
        <w:lastRenderedPageBreak/>
        <w:t>year since the rule was promulgated in 1983.</w:t>
      </w:r>
      <w:r w:rsidRPr="00676782">
        <w:rPr>
          <w:rStyle w:val="FootnoteReference"/>
          <w:rFonts w:ascii="Times New Roman" w:hAnsi="Times New Roman" w:cs="Times New Roman"/>
        </w:rPr>
        <w:footnoteReference w:id="6"/>
      </w:r>
      <w:r w:rsidRPr="00676782">
        <w:rPr>
          <w:rFonts w:ascii="Times New Roman" w:hAnsi="Times New Roman" w:cs="Times New Roman"/>
        </w:rPr>
        <w:t xml:space="preserve"> </w:t>
      </w:r>
      <w:r w:rsidRPr="00676782" w:rsidR="00094875">
        <w:rPr>
          <w:rFonts w:ascii="Times New Roman" w:hAnsi="Times New Roman" w:cs="Times New Roman"/>
        </w:rPr>
        <w:t>However, with the reauthorization of TSCA and the new mandates under section 6 pursuant to the Lautenberg Chemical Safety Act</w:t>
      </w:r>
      <w:r w:rsidRPr="00676782" w:rsidR="007D1F57">
        <w:rPr>
          <w:rFonts w:ascii="Times New Roman" w:hAnsi="Times New Roman" w:cs="Times New Roman"/>
        </w:rPr>
        <w:t xml:space="preserve"> (LCSA)</w:t>
      </w:r>
      <w:r w:rsidRPr="00676782" w:rsidR="00094875">
        <w:rPr>
          <w:rFonts w:ascii="Times New Roman" w:hAnsi="Times New Roman" w:cs="Times New Roman"/>
        </w:rPr>
        <w:t xml:space="preserve">, EPA sees potential for collecting 8(c) reports to inform prioritization and possibly risk evaluation activities. </w:t>
      </w:r>
      <w:r w:rsidRPr="00676782">
        <w:rPr>
          <w:rFonts w:ascii="Times New Roman" w:hAnsi="Times New Roman" w:cs="Times New Roman"/>
        </w:rPr>
        <w:t xml:space="preserve">EPA expects to issue </w:t>
      </w:r>
      <w:r w:rsidRPr="00676782" w:rsidR="00094875">
        <w:rPr>
          <w:rFonts w:ascii="Times New Roman" w:hAnsi="Times New Roman" w:cs="Times New Roman"/>
        </w:rPr>
        <w:t xml:space="preserve">ten </w:t>
      </w:r>
      <w:r w:rsidRPr="00676782">
        <w:rPr>
          <w:rFonts w:ascii="Times New Roman" w:hAnsi="Times New Roman" w:cs="Times New Roman"/>
        </w:rPr>
        <w:t>notice</w:t>
      </w:r>
      <w:r w:rsidRPr="00676782" w:rsidR="00094875">
        <w:rPr>
          <w:rFonts w:ascii="Times New Roman" w:hAnsi="Times New Roman" w:cs="Times New Roman"/>
        </w:rPr>
        <w:t>s</w:t>
      </w:r>
      <w:r w:rsidRPr="00676782">
        <w:rPr>
          <w:rFonts w:ascii="Times New Roman" w:hAnsi="Times New Roman" w:cs="Times New Roman"/>
        </w:rPr>
        <w:t xml:space="preserve"> per year during the three</w:t>
      </w:r>
      <w:r w:rsidRPr="00676782" w:rsidR="00FA523E">
        <w:rPr>
          <w:rFonts w:ascii="Times New Roman" w:hAnsi="Times New Roman" w:cs="Times New Roman"/>
        </w:rPr>
        <w:t>-</w:t>
      </w:r>
      <w:r w:rsidRPr="00676782">
        <w:rPr>
          <w:rFonts w:ascii="Times New Roman" w:hAnsi="Times New Roman" w:cs="Times New Roman"/>
        </w:rPr>
        <w:t>year ICR collection period, and therefore, in light of past experience, EPA anticipates that it may receive 16</w:t>
      </w:r>
      <w:r w:rsidRPr="00676782" w:rsidR="00094875">
        <w:rPr>
          <w:rFonts w:ascii="Times New Roman" w:hAnsi="Times New Roman" w:cs="Times New Roman"/>
        </w:rPr>
        <w:t>0</w:t>
      </w:r>
      <w:r w:rsidRPr="00676782">
        <w:rPr>
          <w:rFonts w:ascii="Times New Roman" w:hAnsi="Times New Roman" w:cs="Times New Roman"/>
        </w:rPr>
        <w:t xml:space="preserve"> reports annually.</w:t>
      </w:r>
    </w:p>
    <w:p w:rsidRPr="00676782" w:rsidR="00B04B5F" w:rsidP="00B04B5F" w:rsidRDefault="00B04B5F" w14:paraId="4F7DF6A8" w14:textId="77777777">
      <w:pPr>
        <w:numPr>
          <w:ilvl w:val="12"/>
          <w:numId w:val="0"/>
        </w:numPr>
        <w:rPr>
          <w:rFonts w:ascii="Times New Roman" w:hAnsi="Times New Roman" w:cs="Times New Roman"/>
          <w:i/>
        </w:rPr>
      </w:pPr>
      <w:r w:rsidRPr="00676782">
        <w:rPr>
          <w:rFonts w:ascii="Times New Roman" w:hAnsi="Times New Roman" w:cs="Times New Roman"/>
        </w:rPr>
        <w:t xml:space="preserve">Loaded wage rates for technical, managerial, and clerical personnel are derived using a standard methodology for the TSCA-regulated community. Wage rate data are obtained from the regularly updated Bureau of Labor Statistics (BLS) </w:t>
      </w:r>
      <w:r w:rsidRPr="00676782">
        <w:rPr>
          <w:rFonts w:ascii="Times New Roman" w:hAnsi="Times New Roman" w:cs="Times New Roman"/>
          <w:i/>
        </w:rPr>
        <w:t>Employer Costs for Employee Compensation Supplementary Tables.</w:t>
      </w:r>
    </w:p>
    <w:p w:rsidRPr="00676782" w:rsidR="00B04B5F" w:rsidP="00B04B5F" w:rsidRDefault="00B04B5F" w14:paraId="2E6C6A0B" w14:textId="2BFAEA49">
      <w:pPr>
        <w:rPr>
          <w:rFonts w:ascii="Times New Roman" w:hAnsi="Times New Roman" w:cs="Times New Roman"/>
        </w:rPr>
      </w:pPr>
      <w:r w:rsidRPr="00676782">
        <w:rPr>
          <w:rFonts w:ascii="Times New Roman" w:hAnsi="Times New Roman" w:cs="Times New Roman"/>
        </w:rPr>
        <w:t xml:space="preserve">Wages and fringe benefits for managerial, professional/technical, and clerical labor are taken from the BLS </w:t>
      </w:r>
      <w:r w:rsidRPr="00676782">
        <w:rPr>
          <w:rFonts w:ascii="Times New Roman" w:hAnsi="Times New Roman" w:cs="Times New Roman"/>
          <w:i/>
          <w:iCs/>
        </w:rPr>
        <w:t xml:space="preserve">Employer Costs for Employee Compensation </w:t>
      </w:r>
      <w:r w:rsidRPr="00676782">
        <w:rPr>
          <w:rFonts w:ascii="Times New Roman" w:hAnsi="Times New Roman" w:cs="Times New Roman"/>
        </w:rPr>
        <w:t xml:space="preserve">(ECEC) data for </w:t>
      </w:r>
      <w:r w:rsidRPr="00676782" w:rsidR="009F423A">
        <w:rPr>
          <w:rFonts w:ascii="Times New Roman" w:hAnsi="Times New Roman" w:cs="Times New Roman"/>
        </w:rPr>
        <w:t>December</w:t>
      </w:r>
      <w:r w:rsidRPr="00676782">
        <w:rPr>
          <w:rFonts w:ascii="Times New Roman" w:hAnsi="Times New Roman" w:cs="Times New Roman"/>
        </w:rPr>
        <w:t xml:space="preserve"> 2020, for manufacturing industries.</w:t>
      </w:r>
      <w:r w:rsidRPr="00676782">
        <w:rPr>
          <w:rStyle w:val="FootnoteReference"/>
          <w:rFonts w:ascii="Times New Roman" w:hAnsi="Times New Roman" w:cs="Times New Roman"/>
        </w:rPr>
        <w:footnoteReference w:id="7"/>
      </w:r>
      <w:r w:rsidRPr="00676782">
        <w:rPr>
          <w:rFonts w:ascii="Times New Roman" w:hAnsi="Times New Roman" w:cs="Times New Roman"/>
        </w:rPr>
        <w:t xml:space="preserve"> The cost of fringe benefits (paid leave, insurance and other items) specific to each labor category is taken from the same BLS series. </w:t>
      </w:r>
    </w:p>
    <w:p w:rsidRPr="00676782" w:rsidR="00B04B5F" w:rsidP="00B04B5F" w:rsidRDefault="00B04B5F" w14:paraId="102CE7C3" w14:textId="77777777">
      <w:pPr>
        <w:numPr>
          <w:ilvl w:val="12"/>
          <w:numId w:val="0"/>
        </w:numPr>
        <w:rPr>
          <w:rFonts w:ascii="Times New Roman" w:hAnsi="Times New Roman" w:cs="Times New Roman"/>
        </w:rPr>
      </w:pPr>
      <w:r w:rsidRPr="00676782">
        <w:rPr>
          <w:rFonts w:ascii="Times New Roman" w:hAnsi="Times New Roman" w:cs="Times New Roman"/>
        </w:rPr>
        <w:t>An additional loading factor of 17 percent is applied to wages to account for overhead.  This approach is consistent with OPPT practice, as established in economic analyses for two major rulemakings.</w:t>
      </w:r>
      <w:r w:rsidRPr="00676782">
        <w:rPr>
          <w:rStyle w:val="FootnoteReference"/>
          <w:rFonts w:ascii="Times New Roman" w:hAnsi="Times New Roman" w:cs="Times New Roman"/>
        </w:rPr>
        <w:footnoteReference w:id="8"/>
      </w:r>
      <w:r w:rsidRPr="00676782">
        <w:rPr>
          <w:rFonts w:ascii="Times New Roman" w:hAnsi="Times New Roman" w:cs="Times New Roman"/>
        </w:rPr>
        <w:t xml:space="preserve"> See Table 4 below for calculation details.</w:t>
      </w:r>
    </w:p>
    <w:p w:rsidRPr="00676782" w:rsidR="00B04B5F" w:rsidP="00B04B5F" w:rsidRDefault="00B04B5F" w14:paraId="25C3ED6C" w14:textId="77777777">
      <w:pPr>
        <w:rPr>
          <w:rFonts w:ascii="Times New Roman" w:hAnsi="Times New Roman" w:cs="Times New Roman"/>
        </w:rPr>
      </w:pPr>
      <w:r w:rsidRPr="00676782">
        <w:rPr>
          <w:rFonts w:ascii="Times New Roman" w:hAnsi="Times New Roman" w:cs="Times New Roman"/>
        </w:rPr>
        <w:t>Table 4: Industry Wage Rates</w:t>
      </w:r>
    </w:p>
    <w:tbl>
      <w:tblPr>
        <w:tblW w:w="9985" w:type="dxa"/>
        <w:tblLayout w:type="fixed"/>
        <w:tblLook w:val="04A0" w:firstRow="1" w:lastRow="0" w:firstColumn="1" w:lastColumn="0" w:noHBand="0" w:noVBand="1"/>
      </w:tblPr>
      <w:tblGrid>
        <w:gridCol w:w="2494"/>
        <w:gridCol w:w="1252"/>
        <w:gridCol w:w="1649"/>
        <w:gridCol w:w="1440"/>
        <w:gridCol w:w="2070"/>
        <w:gridCol w:w="1080"/>
      </w:tblGrid>
      <w:tr w:rsidRPr="00676782" w:rsidR="00B04B5F" w:rsidTr="00E91639" w14:paraId="03031A5F" w14:textId="77777777">
        <w:trPr>
          <w:trHeight w:val="611"/>
          <w:tblHeader/>
        </w:trPr>
        <w:tc>
          <w:tcPr>
            <w:tcW w:w="2494"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687809F2"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Labor Type</w:t>
            </w:r>
          </w:p>
        </w:tc>
        <w:tc>
          <w:tcPr>
            <w:tcW w:w="125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60226E37"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Wage</w:t>
            </w:r>
          </w:p>
        </w:tc>
        <w:tc>
          <w:tcPr>
            <w:tcW w:w="164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23EB2400"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Fringes as % Wage</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0ED0DCAF"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 xml:space="preserve">Over-head % wage </w:t>
            </w:r>
            <w:r w:rsidRPr="00676782">
              <w:rPr>
                <w:rFonts w:ascii="Times New Roman" w:hAnsi="Times New Roman" w:cs="Times New Roman"/>
                <w:b/>
                <w:bCs/>
                <w:sz w:val="22"/>
                <w:vertAlign w:val="superscript"/>
              </w:rPr>
              <w:t>a</w:t>
            </w:r>
          </w:p>
        </w:tc>
        <w:tc>
          <w:tcPr>
            <w:tcW w:w="207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7DAEE064"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 xml:space="preserve">Fringe + Overhead Factor </w:t>
            </w:r>
            <w:r w:rsidRPr="00676782">
              <w:rPr>
                <w:rFonts w:ascii="Times New Roman" w:hAnsi="Times New Roman" w:cs="Times New Roman"/>
                <w:b/>
                <w:bCs/>
                <w:sz w:val="22"/>
                <w:vertAlign w:val="superscript"/>
              </w:rPr>
              <w:t>b</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38E34CB9"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 xml:space="preserve">Loaded Wages </w:t>
            </w:r>
            <w:r w:rsidRPr="00676782">
              <w:rPr>
                <w:rFonts w:ascii="Times New Roman" w:hAnsi="Times New Roman" w:cs="Times New Roman"/>
                <w:b/>
                <w:bCs/>
                <w:sz w:val="22"/>
                <w:vertAlign w:val="superscript"/>
              </w:rPr>
              <w:t>c</w:t>
            </w:r>
          </w:p>
        </w:tc>
      </w:tr>
      <w:tr w:rsidRPr="00676782" w:rsidR="00B04B5F" w:rsidTr="00E91639" w14:paraId="0FFFE51A" w14:textId="77777777">
        <w:trPr>
          <w:trHeight w:val="305"/>
          <w:tblHeader/>
        </w:trPr>
        <w:tc>
          <w:tcPr>
            <w:tcW w:w="249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76782" w:rsidR="00B04B5F" w:rsidP="00E91639" w:rsidRDefault="00B04B5F" w14:paraId="291754BA" w14:textId="77777777">
            <w:pPr>
              <w:spacing w:after="0"/>
              <w:jc w:val="center"/>
              <w:rPr>
                <w:rFonts w:ascii="Times New Roman" w:hAnsi="Times New Roman" w:cs="Times New Roman"/>
                <w:b/>
                <w:bCs/>
                <w:sz w:val="22"/>
              </w:rPr>
            </w:pPr>
          </w:p>
        </w:tc>
        <w:tc>
          <w:tcPr>
            <w:tcW w:w="1252" w:type="dxa"/>
            <w:tcBorders>
              <w:top w:val="nil"/>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7F1A2F79" w14:textId="77777777">
            <w:pPr>
              <w:spacing w:after="0"/>
              <w:jc w:val="center"/>
              <w:rPr>
                <w:rFonts w:ascii="Times New Roman" w:hAnsi="Times New Roman" w:cs="Times New Roman"/>
                <w:b/>
                <w:bCs/>
                <w:sz w:val="18"/>
                <w:szCs w:val="18"/>
              </w:rPr>
            </w:pPr>
            <w:r w:rsidRPr="00676782">
              <w:rPr>
                <w:rFonts w:ascii="Times New Roman" w:hAnsi="Times New Roman" w:cs="Times New Roman"/>
                <w:b/>
                <w:bCs/>
                <w:sz w:val="18"/>
                <w:szCs w:val="18"/>
              </w:rPr>
              <w:t>(a)</w:t>
            </w:r>
          </w:p>
        </w:tc>
        <w:tc>
          <w:tcPr>
            <w:tcW w:w="1649" w:type="dxa"/>
            <w:tcBorders>
              <w:top w:val="nil"/>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2A9C25E0" w14:textId="77777777">
            <w:pPr>
              <w:spacing w:after="0"/>
              <w:jc w:val="center"/>
              <w:rPr>
                <w:rFonts w:ascii="Times New Roman" w:hAnsi="Times New Roman" w:cs="Times New Roman"/>
                <w:b/>
                <w:bCs/>
                <w:sz w:val="18"/>
                <w:szCs w:val="18"/>
              </w:rPr>
            </w:pPr>
            <w:r w:rsidRPr="00676782">
              <w:rPr>
                <w:rFonts w:ascii="Times New Roman" w:hAnsi="Times New Roman" w:cs="Times New Roman"/>
                <w:b/>
                <w:bCs/>
                <w:sz w:val="18"/>
                <w:szCs w:val="18"/>
              </w:rPr>
              <w:t>(b)</w:t>
            </w:r>
          </w:p>
        </w:tc>
        <w:tc>
          <w:tcPr>
            <w:tcW w:w="1440" w:type="dxa"/>
            <w:tcBorders>
              <w:top w:val="nil"/>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4365D206" w14:textId="77777777">
            <w:pPr>
              <w:spacing w:after="0"/>
              <w:jc w:val="center"/>
              <w:rPr>
                <w:rFonts w:ascii="Times New Roman" w:hAnsi="Times New Roman" w:cs="Times New Roman"/>
                <w:b/>
                <w:bCs/>
                <w:sz w:val="18"/>
                <w:szCs w:val="18"/>
              </w:rPr>
            </w:pPr>
            <w:r w:rsidRPr="00676782">
              <w:rPr>
                <w:rFonts w:ascii="Times New Roman" w:hAnsi="Times New Roman" w:cs="Times New Roman"/>
                <w:b/>
                <w:bCs/>
                <w:sz w:val="18"/>
                <w:szCs w:val="18"/>
              </w:rPr>
              <w:t>(c)</w:t>
            </w:r>
          </w:p>
        </w:tc>
        <w:tc>
          <w:tcPr>
            <w:tcW w:w="2070" w:type="dxa"/>
            <w:tcBorders>
              <w:top w:val="nil"/>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34370D3E" w14:textId="77777777">
            <w:pPr>
              <w:spacing w:after="0"/>
              <w:jc w:val="center"/>
              <w:rPr>
                <w:rFonts w:ascii="Times New Roman" w:hAnsi="Times New Roman" w:cs="Times New Roman"/>
                <w:b/>
                <w:bCs/>
                <w:sz w:val="18"/>
                <w:szCs w:val="18"/>
              </w:rPr>
            </w:pPr>
            <w:r w:rsidRPr="00676782">
              <w:rPr>
                <w:rFonts w:ascii="Times New Roman" w:hAnsi="Times New Roman" w:cs="Times New Roman"/>
                <w:b/>
                <w:bCs/>
                <w:sz w:val="18"/>
                <w:szCs w:val="18"/>
              </w:rPr>
              <w:t>(d)=(b)+(c)+1</w:t>
            </w:r>
          </w:p>
        </w:tc>
        <w:tc>
          <w:tcPr>
            <w:tcW w:w="1080" w:type="dxa"/>
            <w:tcBorders>
              <w:top w:val="nil"/>
              <w:left w:val="nil"/>
              <w:bottom w:val="single" w:color="auto" w:sz="4" w:space="0"/>
              <w:right w:val="single" w:color="auto" w:sz="4" w:space="0"/>
            </w:tcBorders>
            <w:shd w:val="clear" w:color="auto" w:fill="D9D9D9" w:themeFill="background1" w:themeFillShade="D9"/>
            <w:vAlign w:val="center"/>
            <w:hideMark/>
          </w:tcPr>
          <w:p w:rsidRPr="00676782" w:rsidR="00B04B5F" w:rsidP="00E91639" w:rsidRDefault="00B04B5F" w14:paraId="3F03CDED" w14:textId="77777777">
            <w:pPr>
              <w:spacing w:after="0"/>
              <w:jc w:val="center"/>
              <w:rPr>
                <w:rFonts w:ascii="Times New Roman" w:hAnsi="Times New Roman" w:cs="Times New Roman"/>
                <w:b/>
                <w:bCs/>
                <w:sz w:val="18"/>
                <w:szCs w:val="18"/>
              </w:rPr>
            </w:pPr>
            <w:r w:rsidRPr="00676782">
              <w:rPr>
                <w:rFonts w:ascii="Times New Roman" w:hAnsi="Times New Roman" w:cs="Times New Roman"/>
                <w:b/>
                <w:bCs/>
                <w:sz w:val="18"/>
                <w:szCs w:val="18"/>
              </w:rPr>
              <w:t>(a)×(d)</w:t>
            </w:r>
          </w:p>
        </w:tc>
      </w:tr>
      <w:tr w:rsidRPr="00676782" w:rsidR="00B04B5F" w:rsidTr="00E91639" w14:paraId="6FD3898F" w14:textId="77777777">
        <w:trPr>
          <w:trHeight w:val="350"/>
        </w:trPr>
        <w:tc>
          <w:tcPr>
            <w:tcW w:w="2494" w:type="dxa"/>
            <w:tcBorders>
              <w:top w:val="nil"/>
              <w:left w:val="single" w:color="auto" w:sz="4" w:space="0"/>
              <w:bottom w:val="single" w:color="auto" w:sz="4" w:space="0"/>
              <w:right w:val="single" w:color="auto" w:sz="4" w:space="0"/>
            </w:tcBorders>
            <w:vAlign w:val="center"/>
            <w:hideMark/>
          </w:tcPr>
          <w:p w:rsidRPr="00676782" w:rsidR="00B04B5F" w:rsidP="00E91639" w:rsidRDefault="00B04B5F" w14:paraId="6704CE6A"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rPr>
              <w:t>Professional / Technical</w:t>
            </w:r>
          </w:p>
        </w:tc>
        <w:tc>
          <w:tcPr>
            <w:tcW w:w="1252" w:type="dxa"/>
            <w:tcBorders>
              <w:top w:val="nil"/>
              <w:left w:val="nil"/>
              <w:bottom w:val="single" w:color="auto" w:sz="4" w:space="0"/>
              <w:right w:val="single" w:color="auto" w:sz="4" w:space="0"/>
            </w:tcBorders>
            <w:vAlign w:val="center"/>
            <w:hideMark/>
          </w:tcPr>
          <w:p w:rsidRPr="00676782" w:rsidR="00B04B5F" w:rsidP="00E91639" w:rsidRDefault="00B04B5F" w14:paraId="3E6FACA6" w14:textId="53FAB6DA">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$4</w:t>
            </w:r>
            <w:r w:rsidRPr="00676782" w:rsidR="009F423A">
              <w:rPr>
                <w:rFonts w:ascii="Times New Roman" w:hAnsi="Times New Roman" w:cs="Times New Roman"/>
                <w:color w:val="000000"/>
                <w:sz w:val="22"/>
              </w:rPr>
              <w:t>4.63</w:t>
            </w:r>
          </w:p>
        </w:tc>
        <w:tc>
          <w:tcPr>
            <w:tcW w:w="1649" w:type="dxa"/>
            <w:tcBorders>
              <w:top w:val="nil"/>
              <w:left w:val="nil"/>
              <w:bottom w:val="single" w:color="auto" w:sz="4" w:space="0"/>
              <w:right w:val="single" w:color="auto" w:sz="4" w:space="0"/>
            </w:tcBorders>
            <w:vAlign w:val="center"/>
            <w:hideMark/>
          </w:tcPr>
          <w:p w:rsidRPr="00676782" w:rsidR="00B04B5F" w:rsidP="00E91639" w:rsidRDefault="00B04B5F" w14:paraId="5D3F249C" w14:textId="77777777">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50%</w:t>
            </w:r>
          </w:p>
        </w:tc>
        <w:tc>
          <w:tcPr>
            <w:tcW w:w="1440" w:type="dxa"/>
            <w:tcBorders>
              <w:top w:val="nil"/>
              <w:left w:val="nil"/>
              <w:bottom w:val="single" w:color="auto" w:sz="4" w:space="0"/>
              <w:right w:val="single" w:color="auto" w:sz="4" w:space="0"/>
            </w:tcBorders>
            <w:vAlign w:val="center"/>
            <w:hideMark/>
          </w:tcPr>
          <w:p w:rsidRPr="00676782" w:rsidR="00B04B5F" w:rsidP="00E91639" w:rsidRDefault="00B04B5F" w14:paraId="5A6C5960" w14:textId="77777777">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17%</w:t>
            </w:r>
          </w:p>
        </w:tc>
        <w:tc>
          <w:tcPr>
            <w:tcW w:w="2070" w:type="dxa"/>
            <w:tcBorders>
              <w:top w:val="nil"/>
              <w:left w:val="nil"/>
              <w:bottom w:val="single" w:color="auto" w:sz="4" w:space="0"/>
              <w:right w:val="single" w:color="auto" w:sz="4" w:space="0"/>
            </w:tcBorders>
            <w:vAlign w:val="center"/>
            <w:hideMark/>
          </w:tcPr>
          <w:p w:rsidRPr="00676782" w:rsidR="00B04B5F" w:rsidP="00E91639" w:rsidRDefault="00B04B5F" w14:paraId="09AD9683" w14:textId="77777777">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1.67</w:t>
            </w:r>
          </w:p>
        </w:tc>
        <w:tc>
          <w:tcPr>
            <w:tcW w:w="1080" w:type="dxa"/>
            <w:tcBorders>
              <w:top w:val="nil"/>
              <w:left w:val="nil"/>
              <w:bottom w:val="single" w:color="auto" w:sz="4" w:space="0"/>
              <w:right w:val="single" w:color="auto" w:sz="4" w:space="0"/>
            </w:tcBorders>
            <w:vAlign w:val="center"/>
            <w:hideMark/>
          </w:tcPr>
          <w:p w:rsidRPr="00676782" w:rsidR="00B04B5F" w:rsidP="00E91639" w:rsidRDefault="00B04B5F" w14:paraId="6373E2E0" w14:textId="5445BC36">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w:t>
            </w:r>
            <w:r w:rsidRPr="00676782" w:rsidR="009F423A">
              <w:rPr>
                <w:rFonts w:ascii="Times New Roman" w:hAnsi="Times New Roman" w:cs="Times New Roman"/>
                <w:color w:val="000000"/>
                <w:sz w:val="22"/>
              </w:rPr>
              <w:t>74.53</w:t>
            </w:r>
          </w:p>
        </w:tc>
      </w:tr>
      <w:tr w:rsidRPr="00676782" w:rsidR="00B04B5F" w:rsidTr="00E91639" w14:paraId="38734175" w14:textId="77777777">
        <w:trPr>
          <w:trHeight w:val="350"/>
        </w:trPr>
        <w:tc>
          <w:tcPr>
            <w:tcW w:w="2494" w:type="dxa"/>
            <w:tcBorders>
              <w:top w:val="nil"/>
              <w:left w:val="single" w:color="auto" w:sz="4" w:space="0"/>
              <w:bottom w:val="single" w:color="auto" w:sz="4" w:space="0"/>
              <w:right w:val="single" w:color="auto" w:sz="4" w:space="0"/>
            </w:tcBorders>
            <w:vAlign w:val="center"/>
            <w:hideMark/>
          </w:tcPr>
          <w:p w:rsidRPr="00676782" w:rsidR="00B04B5F" w:rsidP="00E91639" w:rsidRDefault="00B04B5F" w14:paraId="21511927"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rPr>
              <w:t>Managerial</w:t>
            </w:r>
          </w:p>
        </w:tc>
        <w:tc>
          <w:tcPr>
            <w:tcW w:w="1252" w:type="dxa"/>
            <w:tcBorders>
              <w:top w:val="nil"/>
              <w:left w:val="nil"/>
              <w:bottom w:val="single" w:color="auto" w:sz="4" w:space="0"/>
              <w:right w:val="single" w:color="auto" w:sz="4" w:space="0"/>
            </w:tcBorders>
            <w:vAlign w:val="center"/>
            <w:hideMark/>
          </w:tcPr>
          <w:p w:rsidRPr="00676782" w:rsidR="00B04B5F" w:rsidP="00E91639" w:rsidRDefault="00B04B5F" w14:paraId="3F3EBDB7" w14:textId="1252367E">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$5</w:t>
            </w:r>
            <w:r w:rsidRPr="00676782" w:rsidR="009F423A">
              <w:rPr>
                <w:rFonts w:ascii="Times New Roman" w:hAnsi="Times New Roman" w:cs="Times New Roman"/>
                <w:color w:val="000000"/>
                <w:sz w:val="22"/>
              </w:rPr>
              <w:t>4.32</w:t>
            </w:r>
          </w:p>
        </w:tc>
        <w:tc>
          <w:tcPr>
            <w:tcW w:w="1649" w:type="dxa"/>
            <w:tcBorders>
              <w:top w:val="nil"/>
              <w:left w:val="nil"/>
              <w:bottom w:val="single" w:color="auto" w:sz="4" w:space="0"/>
              <w:right w:val="single" w:color="auto" w:sz="4" w:space="0"/>
            </w:tcBorders>
            <w:vAlign w:val="center"/>
            <w:hideMark/>
          </w:tcPr>
          <w:p w:rsidRPr="00676782" w:rsidR="00B04B5F" w:rsidP="00E91639" w:rsidRDefault="00B04B5F" w14:paraId="6500F96F" w14:textId="77012F33">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4</w:t>
            </w:r>
            <w:r w:rsidRPr="00676782" w:rsidR="009F423A">
              <w:rPr>
                <w:rFonts w:ascii="Times New Roman" w:hAnsi="Times New Roman" w:cs="Times New Roman"/>
                <w:color w:val="000000"/>
                <w:sz w:val="22"/>
              </w:rPr>
              <w:t>5</w:t>
            </w:r>
            <w:r w:rsidRPr="00676782">
              <w:rPr>
                <w:rFonts w:ascii="Times New Roman" w:hAnsi="Times New Roman" w:cs="Times New Roman"/>
                <w:color w:val="000000"/>
                <w:sz w:val="22"/>
              </w:rPr>
              <w:t>%</w:t>
            </w:r>
          </w:p>
        </w:tc>
        <w:tc>
          <w:tcPr>
            <w:tcW w:w="1440" w:type="dxa"/>
            <w:tcBorders>
              <w:top w:val="nil"/>
              <w:left w:val="nil"/>
              <w:bottom w:val="single" w:color="auto" w:sz="4" w:space="0"/>
              <w:right w:val="single" w:color="auto" w:sz="4" w:space="0"/>
            </w:tcBorders>
            <w:vAlign w:val="center"/>
            <w:hideMark/>
          </w:tcPr>
          <w:p w:rsidRPr="00676782" w:rsidR="00B04B5F" w:rsidP="00E91639" w:rsidRDefault="00B04B5F" w14:paraId="716DFD00" w14:textId="77777777">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17%</w:t>
            </w:r>
          </w:p>
        </w:tc>
        <w:tc>
          <w:tcPr>
            <w:tcW w:w="2070" w:type="dxa"/>
            <w:tcBorders>
              <w:top w:val="nil"/>
              <w:left w:val="nil"/>
              <w:bottom w:val="single" w:color="auto" w:sz="4" w:space="0"/>
              <w:right w:val="single" w:color="auto" w:sz="4" w:space="0"/>
            </w:tcBorders>
            <w:vAlign w:val="center"/>
            <w:hideMark/>
          </w:tcPr>
          <w:p w:rsidRPr="00676782" w:rsidR="00B04B5F" w:rsidP="00E91639" w:rsidRDefault="00B04B5F" w14:paraId="238FD580" w14:textId="037CB6E9">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1.6</w:t>
            </w:r>
            <w:r w:rsidRPr="00676782" w:rsidR="009F423A">
              <w:rPr>
                <w:rFonts w:ascii="Times New Roman" w:hAnsi="Times New Roman" w:cs="Times New Roman"/>
                <w:color w:val="000000"/>
                <w:sz w:val="22"/>
              </w:rPr>
              <w:t>2</w:t>
            </w:r>
          </w:p>
        </w:tc>
        <w:tc>
          <w:tcPr>
            <w:tcW w:w="1080" w:type="dxa"/>
            <w:tcBorders>
              <w:top w:val="nil"/>
              <w:left w:val="nil"/>
              <w:bottom w:val="single" w:color="auto" w:sz="4" w:space="0"/>
              <w:right w:val="single" w:color="auto" w:sz="4" w:space="0"/>
            </w:tcBorders>
            <w:vAlign w:val="center"/>
            <w:hideMark/>
          </w:tcPr>
          <w:p w:rsidRPr="00676782" w:rsidR="00B04B5F" w:rsidP="00E91639" w:rsidRDefault="00B04B5F" w14:paraId="5FFE4393" w14:textId="6281B407">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w:t>
            </w:r>
            <w:r w:rsidRPr="00676782" w:rsidR="009F423A">
              <w:rPr>
                <w:rFonts w:ascii="Times New Roman" w:hAnsi="Times New Roman" w:cs="Times New Roman"/>
                <w:color w:val="000000"/>
                <w:sz w:val="22"/>
              </w:rPr>
              <w:t>88.00</w:t>
            </w:r>
          </w:p>
        </w:tc>
      </w:tr>
      <w:tr w:rsidRPr="00676782" w:rsidR="00B04B5F" w:rsidTr="00E91639" w14:paraId="27470209" w14:textId="77777777">
        <w:trPr>
          <w:trHeight w:val="440"/>
        </w:trPr>
        <w:tc>
          <w:tcPr>
            <w:tcW w:w="2494" w:type="dxa"/>
            <w:tcBorders>
              <w:top w:val="nil"/>
              <w:left w:val="single" w:color="auto" w:sz="4" w:space="0"/>
              <w:bottom w:val="single" w:color="auto" w:sz="4" w:space="0"/>
              <w:right w:val="single" w:color="auto" w:sz="4" w:space="0"/>
            </w:tcBorders>
            <w:vAlign w:val="center"/>
            <w:hideMark/>
          </w:tcPr>
          <w:p w:rsidRPr="00676782" w:rsidR="00B04B5F" w:rsidP="00E91639" w:rsidRDefault="009F423A" w14:paraId="38A3044A" w14:textId="24E450E7">
            <w:pPr>
              <w:spacing w:after="0"/>
              <w:rPr>
                <w:rFonts w:ascii="Times New Roman" w:hAnsi="Times New Roman" w:cs="Times New Roman"/>
                <w:color w:val="000000"/>
                <w:sz w:val="22"/>
              </w:rPr>
            </w:pPr>
            <w:r w:rsidRPr="00676782">
              <w:rPr>
                <w:rFonts w:ascii="Times New Roman" w:hAnsi="Times New Roman" w:cs="Times New Roman"/>
                <w:color w:val="000000"/>
                <w:sz w:val="22"/>
              </w:rPr>
              <w:t>Office and administrative support</w:t>
            </w:r>
          </w:p>
        </w:tc>
        <w:tc>
          <w:tcPr>
            <w:tcW w:w="1252" w:type="dxa"/>
            <w:tcBorders>
              <w:top w:val="nil"/>
              <w:left w:val="nil"/>
              <w:bottom w:val="single" w:color="auto" w:sz="4" w:space="0"/>
              <w:right w:val="single" w:color="auto" w:sz="4" w:space="0"/>
            </w:tcBorders>
            <w:vAlign w:val="center"/>
            <w:hideMark/>
          </w:tcPr>
          <w:p w:rsidRPr="00676782" w:rsidR="00B04B5F" w:rsidP="00E91639" w:rsidRDefault="00B04B5F" w14:paraId="60E85C1A" w14:textId="66007805">
            <w:pPr>
              <w:spacing w:after="0"/>
              <w:rPr>
                <w:rFonts w:ascii="Times New Roman" w:hAnsi="Times New Roman" w:cs="Times New Roman"/>
                <w:color w:val="000000"/>
                <w:sz w:val="22"/>
              </w:rPr>
            </w:pPr>
            <w:r w:rsidRPr="00676782">
              <w:rPr>
                <w:rFonts w:ascii="Times New Roman" w:hAnsi="Times New Roman" w:cs="Times New Roman"/>
                <w:color w:val="000000"/>
                <w:sz w:val="22"/>
              </w:rPr>
              <w:t>$20.</w:t>
            </w:r>
            <w:r w:rsidRPr="00676782" w:rsidR="009F423A">
              <w:rPr>
                <w:rFonts w:ascii="Times New Roman" w:hAnsi="Times New Roman" w:cs="Times New Roman"/>
                <w:color w:val="000000"/>
                <w:sz w:val="22"/>
              </w:rPr>
              <w:t>86</w:t>
            </w:r>
            <w:r w:rsidRPr="00676782">
              <w:rPr>
                <w:rFonts w:ascii="Times New Roman" w:hAnsi="Times New Roman" w:cs="Times New Roman"/>
                <w:color w:val="000000"/>
                <w:sz w:val="22"/>
              </w:rPr>
              <w:t xml:space="preserve"> </w:t>
            </w:r>
          </w:p>
        </w:tc>
        <w:tc>
          <w:tcPr>
            <w:tcW w:w="1649" w:type="dxa"/>
            <w:tcBorders>
              <w:top w:val="nil"/>
              <w:left w:val="nil"/>
              <w:bottom w:val="single" w:color="auto" w:sz="4" w:space="0"/>
              <w:right w:val="single" w:color="auto" w:sz="4" w:space="0"/>
            </w:tcBorders>
            <w:vAlign w:val="center"/>
            <w:hideMark/>
          </w:tcPr>
          <w:p w:rsidRPr="00676782" w:rsidR="00B04B5F" w:rsidP="00E91639" w:rsidRDefault="00B04B5F" w14:paraId="4D224DC0"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rPr>
              <w:t>46%</w:t>
            </w:r>
          </w:p>
        </w:tc>
        <w:tc>
          <w:tcPr>
            <w:tcW w:w="1440" w:type="dxa"/>
            <w:tcBorders>
              <w:top w:val="nil"/>
              <w:left w:val="nil"/>
              <w:bottom w:val="single" w:color="auto" w:sz="4" w:space="0"/>
              <w:right w:val="single" w:color="auto" w:sz="4" w:space="0"/>
            </w:tcBorders>
            <w:vAlign w:val="center"/>
            <w:hideMark/>
          </w:tcPr>
          <w:p w:rsidRPr="00676782" w:rsidR="00B04B5F" w:rsidP="00E91639" w:rsidRDefault="00B04B5F" w14:paraId="380DA5B4"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rPr>
              <w:t>17%</w:t>
            </w:r>
          </w:p>
        </w:tc>
        <w:tc>
          <w:tcPr>
            <w:tcW w:w="2070" w:type="dxa"/>
            <w:tcBorders>
              <w:top w:val="nil"/>
              <w:left w:val="nil"/>
              <w:bottom w:val="single" w:color="auto" w:sz="4" w:space="0"/>
              <w:right w:val="single" w:color="auto" w:sz="4" w:space="0"/>
            </w:tcBorders>
            <w:vAlign w:val="center"/>
            <w:hideMark/>
          </w:tcPr>
          <w:p w:rsidRPr="00676782" w:rsidR="00B04B5F" w:rsidP="00E91639" w:rsidRDefault="00B04B5F" w14:paraId="7E9AB3E4"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rPr>
              <w:t>1.63</w:t>
            </w:r>
          </w:p>
        </w:tc>
        <w:tc>
          <w:tcPr>
            <w:tcW w:w="1080" w:type="dxa"/>
            <w:tcBorders>
              <w:top w:val="nil"/>
              <w:left w:val="nil"/>
              <w:bottom w:val="single" w:color="auto" w:sz="4" w:space="0"/>
              <w:right w:val="single" w:color="auto" w:sz="4" w:space="0"/>
            </w:tcBorders>
            <w:vAlign w:val="center"/>
            <w:hideMark/>
          </w:tcPr>
          <w:p w:rsidRPr="00676782" w:rsidR="00B04B5F" w:rsidP="00E91639" w:rsidRDefault="00B04B5F" w14:paraId="0FF4394D" w14:textId="3B094A4F">
            <w:pPr>
              <w:spacing w:after="0"/>
              <w:rPr>
                <w:rFonts w:ascii="Times New Roman" w:hAnsi="Times New Roman" w:cs="Times New Roman"/>
                <w:color w:val="000000"/>
                <w:sz w:val="22"/>
              </w:rPr>
            </w:pPr>
            <w:r w:rsidRPr="00676782">
              <w:rPr>
                <w:rFonts w:ascii="Times New Roman" w:hAnsi="Times New Roman" w:cs="Times New Roman"/>
                <w:color w:val="000000"/>
                <w:sz w:val="22"/>
              </w:rPr>
              <w:t>$3</w:t>
            </w:r>
            <w:r w:rsidRPr="00676782" w:rsidR="009F423A">
              <w:rPr>
                <w:rFonts w:ascii="Times New Roman" w:hAnsi="Times New Roman" w:cs="Times New Roman"/>
                <w:color w:val="000000"/>
                <w:sz w:val="22"/>
              </w:rPr>
              <w:t>4.00</w:t>
            </w:r>
            <w:r w:rsidRPr="00676782">
              <w:rPr>
                <w:rFonts w:ascii="Times New Roman" w:hAnsi="Times New Roman" w:cs="Times New Roman"/>
                <w:color w:val="000000"/>
                <w:sz w:val="22"/>
              </w:rPr>
              <w:t xml:space="preserve"> </w:t>
            </w:r>
          </w:p>
        </w:tc>
      </w:tr>
      <w:tr w:rsidRPr="00676782" w:rsidR="00B04B5F" w:rsidTr="00E91639" w14:paraId="24573A16" w14:textId="77777777">
        <w:trPr>
          <w:trHeight w:val="1200"/>
        </w:trPr>
        <w:tc>
          <w:tcPr>
            <w:tcW w:w="9985" w:type="dxa"/>
            <w:gridSpan w:val="6"/>
            <w:tcBorders>
              <w:top w:val="single" w:color="auto" w:sz="4" w:space="0"/>
              <w:left w:val="single" w:color="auto" w:sz="4" w:space="0"/>
              <w:bottom w:val="single" w:color="auto" w:sz="4" w:space="0"/>
              <w:right w:val="single" w:color="auto" w:sz="4" w:space="0"/>
            </w:tcBorders>
          </w:tcPr>
          <w:p w:rsidRPr="00676782" w:rsidR="00B04B5F" w:rsidP="00E91639" w:rsidRDefault="00B04B5F" w14:paraId="6A25DC8C" w14:textId="77777777">
            <w:pPr>
              <w:spacing w:after="0"/>
              <w:rPr>
                <w:rFonts w:ascii="Times New Roman" w:hAnsi="Times New Roman" w:cs="Times New Roman"/>
                <w:color w:val="000000"/>
                <w:sz w:val="22"/>
                <w:u w:val="single"/>
              </w:rPr>
            </w:pPr>
            <w:r w:rsidRPr="00676782">
              <w:rPr>
                <w:rFonts w:ascii="Times New Roman" w:hAnsi="Times New Roman" w:cs="Times New Roman"/>
                <w:color w:val="000000"/>
                <w:sz w:val="22"/>
                <w:u w:val="single"/>
              </w:rPr>
              <w:lastRenderedPageBreak/>
              <w:t>Footnotes:</w:t>
            </w:r>
          </w:p>
          <w:p w:rsidRPr="00676782" w:rsidR="00B04B5F" w:rsidP="00E91639" w:rsidRDefault="00B04B5F" w14:paraId="498AD96D"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vertAlign w:val="superscript"/>
              </w:rPr>
              <w:t>a</w:t>
            </w:r>
            <w:r w:rsidRPr="00676782">
              <w:rPr>
                <w:rFonts w:ascii="Times New Roman" w:hAnsi="Times New Roman" w:cs="Times New Roman"/>
                <w:color w:val="000000"/>
                <w:sz w:val="22"/>
              </w:rPr>
              <w:t xml:space="preserve"> An overhead rate of 17% is used based on assumptions in Wage Rates for Economic Analysis of the Toxics Release Inventory Program (Rice, 2002), and the Revised Economic Analysis for the Amended Inventory Update Rule: Final Report (U.S. EPA, 2001).</w:t>
            </w:r>
          </w:p>
          <w:p w:rsidRPr="00676782" w:rsidR="00B04B5F" w:rsidP="00E91639" w:rsidRDefault="00B04B5F" w14:paraId="6EC3FA05"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vertAlign w:val="superscript"/>
              </w:rPr>
              <w:t>b</w:t>
            </w:r>
            <w:r w:rsidRPr="00676782">
              <w:rPr>
                <w:rFonts w:ascii="Times New Roman" w:hAnsi="Times New Roman" w:cs="Times New Roman"/>
                <w:color w:val="000000"/>
                <w:sz w:val="22"/>
              </w:rPr>
              <w:t xml:space="preserve"> The inflation factor of “1” in the formula for calculating the fringe + overhead factor means wage data are not escalated to reflect inflation.</w:t>
            </w:r>
          </w:p>
          <w:p w:rsidRPr="00676782" w:rsidR="00B04B5F" w:rsidP="00E91639" w:rsidRDefault="00B04B5F" w14:paraId="6F5B8055" w14:textId="77777777">
            <w:pPr>
              <w:spacing w:after="0"/>
              <w:rPr>
                <w:rFonts w:ascii="Times New Roman" w:hAnsi="Times New Roman" w:cs="Times New Roman"/>
                <w:color w:val="000000"/>
                <w:sz w:val="22"/>
              </w:rPr>
            </w:pPr>
            <w:r w:rsidRPr="00676782">
              <w:rPr>
                <w:rFonts w:ascii="Times New Roman" w:hAnsi="Times New Roman" w:cs="Times New Roman"/>
                <w:color w:val="000000"/>
                <w:sz w:val="22"/>
                <w:vertAlign w:val="superscript"/>
              </w:rPr>
              <w:t>c</w:t>
            </w:r>
            <w:r w:rsidRPr="00676782">
              <w:rPr>
                <w:rFonts w:ascii="Times New Roman" w:hAnsi="Times New Roman" w:cs="Times New Roman"/>
                <w:color w:val="000000"/>
                <w:sz w:val="22"/>
              </w:rPr>
              <w:t xml:space="preserve"> Wage data are rounded to the closest cent in this analysis.</w:t>
            </w:r>
          </w:p>
        </w:tc>
      </w:tr>
    </w:tbl>
    <w:p w:rsidRPr="00676782" w:rsidR="00B04B5F" w:rsidP="006F41C6" w:rsidRDefault="00B04B5F" w14:paraId="6779857E" w14:textId="77777777">
      <w:pPr>
        <w:rPr>
          <w:rFonts w:ascii="Times New Roman" w:hAnsi="Times New Roman" w:cs="Times New Roman"/>
        </w:rPr>
      </w:pPr>
    </w:p>
    <w:p w:rsidRPr="00676782" w:rsidR="007F3A69" w:rsidP="006F41C6" w:rsidRDefault="006F41C6" w14:paraId="13966A39" w14:textId="4C0877BE">
      <w:pPr>
        <w:pStyle w:val="Heading2"/>
        <w:numPr>
          <w:ilvl w:val="0"/>
          <w:numId w:val="0"/>
        </w:numPr>
        <w:ind w:left="360"/>
        <w:rPr>
          <w:rFonts w:ascii="Times New Roman" w:hAnsi="Times New Roman" w:cs="Times New Roman"/>
        </w:rPr>
      </w:pPr>
      <w:bookmarkStart w:name="_Toc49148207" w:id="7"/>
      <w:r w:rsidRPr="00676782">
        <w:rPr>
          <w:rFonts w:ascii="Times New Roman" w:hAnsi="Times New Roman" w:cs="Times New Roman"/>
        </w:rPr>
        <w:t>1</w:t>
      </w:r>
      <w:r w:rsidRPr="00676782" w:rsidR="00377C64">
        <w:rPr>
          <w:rFonts w:ascii="Times New Roman" w:hAnsi="Times New Roman" w:cs="Times New Roman"/>
        </w:rPr>
        <w:t>3</w:t>
      </w:r>
      <w:r w:rsidRPr="00676782">
        <w:rPr>
          <w:rFonts w:ascii="Times New Roman" w:hAnsi="Times New Roman" w:cs="Times New Roman"/>
        </w:rPr>
        <w:t xml:space="preserve">. </w:t>
      </w:r>
      <w:r w:rsidRPr="00676782" w:rsidR="004C3EE4">
        <w:rPr>
          <w:rFonts w:ascii="Times New Roman" w:hAnsi="Times New Roman" w:cs="Times New Roman"/>
        </w:rPr>
        <w:t>Provide an estimate for the total annual cost burden to respondents or recordkeepers resulting from the collection of information.</w:t>
      </w:r>
      <w:r w:rsidRPr="00676782" w:rsidR="007F3A69">
        <w:rPr>
          <w:rFonts w:ascii="Times New Roman" w:hAnsi="Times New Roman" w:cs="Times New Roman"/>
        </w:rPr>
        <w:t xml:space="preserve"> (Do not include the cost of any hour burden already reflected on the burden worksheet).</w:t>
      </w:r>
    </w:p>
    <w:p w:rsidRPr="00676782" w:rsidR="007F3A69" w:rsidP="007F3A69" w:rsidRDefault="007F3A69" w14:paraId="0C75D53E" w14:textId="77777777">
      <w:pPr>
        <w:pStyle w:val="Heading3"/>
        <w:numPr>
          <w:ilvl w:val="0"/>
          <w:numId w:val="37"/>
        </w:numPr>
        <w:rPr>
          <w:rFonts w:ascii="Times New Roman" w:hAnsi="Times New Roman"/>
        </w:rPr>
      </w:pPr>
      <w:r w:rsidRPr="00676782">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76782">
        <w:rPr>
          <w:rFonts w:ascii="Times New Roman" w:hAnsi="Times New Roman"/>
        </w:rPr>
        <w:t>take into account</w:t>
      </w:r>
      <w:proofErr w:type="gramEnd"/>
      <w:r w:rsidRPr="00676782">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676782">
        <w:rPr>
          <w:rFonts w:ascii="Times New Roman" w:hAnsi="Times New Roman"/>
        </w:rPr>
        <w:t>drilling</w:t>
      </w:r>
      <w:proofErr w:type="gramEnd"/>
      <w:r w:rsidRPr="00676782">
        <w:rPr>
          <w:rFonts w:ascii="Times New Roman" w:hAnsi="Times New Roman"/>
        </w:rPr>
        <w:t xml:space="preserve"> and testing equipment; and record storage facilities.</w:t>
      </w:r>
    </w:p>
    <w:p w:rsidRPr="00676782" w:rsidR="007F3A69" w:rsidP="007F3A69" w:rsidRDefault="007F3A69" w14:paraId="1F825868" w14:textId="77777777">
      <w:pPr>
        <w:pStyle w:val="Heading3"/>
        <w:rPr>
          <w:rFonts w:ascii="Times New Roman" w:hAnsi="Times New Roman"/>
        </w:rPr>
      </w:pPr>
      <w:r w:rsidRPr="00676782">
        <w:rPr>
          <w:rFonts w:ascii="Times New Roman" w:hAnsi="Times New Roman"/>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76782" w:rsidR="007F3A69" w:rsidP="007F3A69" w:rsidRDefault="007F3A69" w14:paraId="6686600D" w14:textId="1410E10B">
      <w:pPr>
        <w:pStyle w:val="Heading3"/>
        <w:rPr>
          <w:rFonts w:ascii="Times New Roman" w:hAnsi="Times New Roman"/>
        </w:rPr>
      </w:pPr>
      <w:r w:rsidRPr="00676782">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76782" w:rsidR="00B04B5F" w:rsidP="00B04B5F" w:rsidRDefault="00B04B5F" w14:paraId="4A186705" w14:textId="7B9CAD2E">
      <w:pPr>
        <w:numPr>
          <w:ilvl w:val="12"/>
          <w:numId w:val="0"/>
        </w:numPr>
        <w:rPr>
          <w:rFonts w:ascii="Times New Roman" w:hAnsi="Times New Roman" w:cs="Times New Roman"/>
        </w:rPr>
      </w:pPr>
      <w:r w:rsidRPr="00676782">
        <w:rPr>
          <w:rFonts w:ascii="Times New Roman" w:hAnsi="Times New Roman" w:cs="Times New Roman"/>
        </w:rPr>
        <w:t>Based on the original TSCA section 8(c) analysis, EPA estimates that a firm’s TSCA section 8(c) coordinator will spend 2 to 3 hours to determine the status of an allegation.</w:t>
      </w:r>
      <w:r w:rsidRPr="00676782">
        <w:rPr>
          <w:rStyle w:val="FootnoteReference"/>
          <w:rFonts w:ascii="Times New Roman" w:hAnsi="Times New Roman" w:cs="Times New Roman"/>
        </w:rPr>
        <w:footnoteReference w:id="9"/>
      </w:r>
      <w:r w:rsidRPr="00676782">
        <w:rPr>
          <w:rFonts w:ascii="Times New Roman" w:hAnsi="Times New Roman" w:cs="Times New Roman"/>
        </w:rPr>
        <w:t xml:space="preserve"> For the purposes of </w:t>
      </w:r>
      <w:r w:rsidRPr="00676782">
        <w:rPr>
          <w:rFonts w:ascii="Times New Roman" w:hAnsi="Times New Roman" w:cs="Times New Roman"/>
        </w:rPr>
        <w:lastRenderedPageBreak/>
        <w:t xml:space="preserve">this analysis, it is assumed that 3 hours are needed.  This level of effort will occur for all allegations received.  If the allegation is found to be recordable, the coordinator completes a form, has it typed, and checks it for accuracy.  This requires 0.5 hours of clerical time and an additional 0.5 hours of managerial time.  Assuming that all allegations are recordable, a total of 4 hours are expended per allegation (3.5 hours managerial plus 0.5 hours clerical).  Storage costs for the allegations are believed to be negligible. The unit cost per allegation is $308.27. </w:t>
      </w:r>
    </w:p>
    <w:p w:rsidRPr="00676782" w:rsidR="00B04B5F" w:rsidP="00B04B5F" w:rsidRDefault="00B04B5F" w14:paraId="00229A23" w14:textId="129CCFD9">
      <w:pPr>
        <w:rPr>
          <w:rFonts w:ascii="Times New Roman" w:hAnsi="Times New Roman" w:cs="Times New Roman"/>
        </w:rPr>
      </w:pPr>
      <w:r w:rsidRPr="00676782">
        <w:rPr>
          <w:rFonts w:ascii="Times New Roman" w:hAnsi="Times New Roman" w:cs="Times New Roman"/>
        </w:rPr>
        <w:t xml:space="preserve">Based on the original TSCA section 8(c) analysis, EPA estimates that a management level company official will spend one hour reviewing the </w:t>
      </w:r>
      <w:r w:rsidRPr="00676782">
        <w:rPr>
          <w:rFonts w:ascii="Times New Roman" w:hAnsi="Times New Roman" w:cs="Times New Roman"/>
          <w:b/>
          <w:bCs/>
        </w:rPr>
        <w:t>Federal Register</w:t>
      </w:r>
      <w:r w:rsidRPr="00676782">
        <w:rPr>
          <w:rFonts w:ascii="Times New Roman" w:hAnsi="Times New Roman" w:cs="Times New Roman"/>
        </w:rPr>
        <w:t xml:space="preserve"> notice or letter from EPA to determine whether the company manufactures (including imports) or processes substances subject to the reporting requirement.</w:t>
      </w:r>
    </w:p>
    <w:p w:rsidRPr="00676782" w:rsidR="00B04B5F" w:rsidP="00B04B5F" w:rsidRDefault="00B04B5F" w14:paraId="4A7FD401" w14:textId="24DE7A25">
      <w:pPr>
        <w:numPr>
          <w:ilvl w:val="12"/>
          <w:numId w:val="0"/>
        </w:numPr>
        <w:rPr>
          <w:rFonts w:ascii="Times New Roman" w:hAnsi="Times New Roman" w:cs="Times New Roman"/>
        </w:rPr>
      </w:pPr>
      <w:r w:rsidRPr="00676782">
        <w:rPr>
          <w:rFonts w:ascii="Times New Roman" w:hAnsi="Times New Roman" w:cs="Times New Roman"/>
        </w:rPr>
        <w:t>Technical personnel would then spend an estimated two hours conducting a search of the company’s TSCA section 8(c) files for any relevant allegation records.  Once the file search is complete, EPA estimates that a managerial employee would spend two hours preparing a transmittal letter and other explanatory material to accompany the allegation records.  An upper-level management official would spend an additional two hours reviewing these materials.  One hour of clerical labor would be required to prepare and mail the response.  A total of eight hours is expended per report (five managerial hours, two technical hours and one clerical hour). The unit cost for reporting, per report, is $605.53.</w:t>
      </w:r>
    </w:p>
    <w:p w:rsidRPr="00676782" w:rsidR="00B04B5F" w:rsidP="00B04B5F" w:rsidRDefault="00B04B5F" w14:paraId="69DC9A59" w14:textId="74E2FC90">
      <w:pPr>
        <w:numPr>
          <w:ilvl w:val="12"/>
          <w:numId w:val="0"/>
        </w:numPr>
        <w:rPr>
          <w:rFonts w:ascii="Times New Roman" w:hAnsi="Times New Roman" w:cs="Times New Roman"/>
        </w:rPr>
      </w:pPr>
      <w:r w:rsidRPr="00676782">
        <w:rPr>
          <w:rFonts w:ascii="Times New Roman" w:hAnsi="Times New Roman" w:cs="Times New Roman"/>
        </w:rPr>
        <w:t xml:space="preserve">Based on the original TSCA section 8(c) analysis, EPA estimates that 0.25 hour of managerial labor would be required to review each </w:t>
      </w:r>
      <w:r w:rsidRPr="00676782">
        <w:rPr>
          <w:rFonts w:ascii="Times New Roman" w:hAnsi="Times New Roman" w:cs="Times New Roman"/>
          <w:b/>
          <w:bCs/>
        </w:rPr>
        <w:t>Federal Register</w:t>
      </w:r>
      <w:r w:rsidRPr="00676782">
        <w:rPr>
          <w:rFonts w:ascii="Times New Roman" w:hAnsi="Times New Roman" w:cs="Times New Roman"/>
        </w:rPr>
        <w:t xml:space="preserve"> notice (see Table 4).  The unit cost for </w:t>
      </w:r>
      <w:r w:rsidRPr="00676782">
        <w:rPr>
          <w:rFonts w:ascii="Times New Roman" w:hAnsi="Times New Roman" w:cs="Times New Roman"/>
          <w:b/>
          <w:bCs/>
        </w:rPr>
        <w:t xml:space="preserve">Federal Register </w:t>
      </w:r>
      <w:r w:rsidRPr="00676782">
        <w:rPr>
          <w:rFonts w:ascii="Times New Roman" w:hAnsi="Times New Roman" w:cs="Times New Roman"/>
        </w:rPr>
        <w:t>notice review is $20.82.</w:t>
      </w:r>
    </w:p>
    <w:p w:rsidRPr="00676782" w:rsidR="00B04B5F" w:rsidP="00B04B5F" w:rsidRDefault="00B04B5F" w14:paraId="3B470502" w14:textId="77777777">
      <w:pPr>
        <w:rPr>
          <w:rFonts w:ascii="Times New Roman" w:hAnsi="Times New Roman" w:cs="Times New Roman"/>
        </w:rPr>
      </w:pPr>
      <w:r w:rsidRPr="00676782">
        <w:rPr>
          <w:rFonts w:ascii="Times New Roman" w:hAnsi="Times New Roman" w:cs="Times New Roman"/>
        </w:rPr>
        <w:t>Table 5.  Summary Unit Respondent Burden and Cost Estimates</w:t>
      </w:r>
    </w:p>
    <w:tbl>
      <w:tblPr>
        <w:tblW w:w="9995" w:type="dxa"/>
        <w:tblInd w:w="62" w:type="dxa"/>
        <w:tblBorders>
          <w:top w:val="double" w:color="000000" w:sz="6" w:space="0"/>
          <w:left w:val="double" w:color="000000" w:sz="6" w:space="0"/>
          <w:bottom w:val="double" w:color="000000" w:sz="6" w:space="0"/>
          <w:right w:val="double" w:color="000000" w:sz="6" w:space="0"/>
          <w:insideH w:val="single" w:color="000000" w:sz="8" w:space="0"/>
          <w:insideV w:val="single" w:color="000000" w:sz="8" w:space="0"/>
        </w:tblBorders>
        <w:tblLayout w:type="fixed"/>
        <w:tblCellMar>
          <w:left w:w="62" w:type="dxa"/>
          <w:right w:w="62" w:type="dxa"/>
        </w:tblCellMar>
        <w:tblLook w:val="0000" w:firstRow="0" w:lastRow="0" w:firstColumn="0" w:lastColumn="0" w:noHBand="0" w:noVBand="0"/>
      </w:tblPr>
      <w:tblGrid>
        <w:gridCol w:w="2165"/>
        <w:gridCol w:w="900"/>
        <w:gridCol w:w="1080"/>
        <w:gridCol w:w="900"/>
        <w:gridCol w:w="1170"/>
        <w:gridCol w:w="900"/>
        <w:gridCol w:w="1170"/>
        <w:gridCol w:w="720"/>
        <w:gridCol w:w="990"/>
      </w:tblGrid>
      <w:tr w:rsidRPr="00676782" w:rsidR="00B04B5F" w:rsidTr="00E91639" w14:paraId="0723A5CB" w14:textId="77777777">
        <w:trPr>
          <w:trHeight w:val="63"/>
        </w:trPr>
        <w:tc>
          <w:tcPr>
            <w:tcW w:w="2165" w:type="dxa"/>
            <w:vMerge w:val="restart"/>
            <w:shd w:val="clear" w:color="auto" w:fill="D9D9D9" w:themeFill="background1" w:themeFillShade="D9"/>
            <w:vAlign w:val="center"/>
          </w:tcPr>
          <w:p w:rsidRPr="00676782" w:rsidR="00B04B5F" w:rsidP="00E91639" w:rsidRDefault="00B04B5F" w14:paraId="2E97E582"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Activity</w:t>
            </w:r>
          </w:p>
        </w:tc>
        <w:tc>
          <w:tcPr>
            <w:tcW w:w="1980" w:type="dxa"/>
            <w:gridSpan w:val="2"/>
            <w:shd w:val="clear" w:color="auto" w:fill="D9D9D9" w:themeFill="background1" w:themeFillShade="D9"/>
            <w:vAlign w:val="center"/>
          </w:tcPr>
          <w:p w:rsidRPr="00676782" w:rsidR="00B04B5F" w:rsidP="00E91639" w:rsidRDefault="00B04B5F" w14:paraId="144C8685"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Clerical</w:t>
            </w:r>
          </w:p>
        </w:tc>
        <w:tc>
          <w:tcPr>
            <w:tcW w:w="2070" w:type="dxa"/>
            <w:gridSpan w:val="2"/>
            <w:shd w:val="clear" w:color="auto" w:fill="D9D9D9" w:themeFill="background1" w:themeFillShade="D9"/>
            <w:vAlign w:val="center"/>
          </w:tcPr>
          <w:p w:rsidRPr="00676782" w:rsidR="00B04B5F" w:rsidP="00E91639" w:rsidRDefault="00B04B5F" w14:paraId="56D14B12"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Technical</w:t>
            </w:r>
          </w:p>
        </w:tc>
        <w:tc>
          <w:tcPr>
            <w:tcW w:w="2070" w:type="dxa"/>
            <w:gridSpan w:val="2"/>
            <w:shd w:val="clear" w:color="auto" w:fill="D9D9D9" w:themeFill="background1" w:themeFillShade="D9"/>
            <w:vAlign w:val="center"/>
          </w:tcPr>
          <w:p w:rsidRPr="00676782" w:rsidR="00B04B5F" w:rsidP="00E91639" w:rsidRDefault="00B04B5F" w14:paraId="3639D891"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Managerial</w:t>
            </w:r>
          </w:p>
        </w:tc>
        <w:tc>
          <w:tcPr>
            <w:tcW w:w="1710" w:type="dxa"/>
            <w:gridSpan w:val="2"/>
            <w:shd w:val="clear" w:color="auto" w:fill="D9D9D9" w:themeFill="background1" w:themeFillShade="D9"/>
            <w:vAlign w:val="center"/>
          </w:tcPr>
          <w:p w:rsidRPr="00676782" w:rsidR="00B04B5F" w:rsidP="00E91639" w:rsidRDefault="00B04B5F" w14:paraId="64360326"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Total</w:t>
            </w:r>
          </w:p>
        </w:tc>
      </w:tr>
      <w:tr w:rsidRPr="00676782" w:rsidR="00B04B5F" w:rsidTr="00E91639" w14:paraId="3AF20A99" w14:textId="77777777">
        <w:trPr>
          <w:trHeight w:val="70"/>
        </w:trPr>
        <w:tc>
          <w:tcPr>
            <w:tcW w:w="2165" w:type="dxa"/>
            <w:vMerge/>
            <w:shd w:val="clear" w:color="auto" w:fill="D9D9D9" w:themeFill="background1" w:themeFillShade="D9"/>
            <w:vAlign w:val="center"/>
          </w:tcPr>
          <w:p w:rsidRPr="00676782" w:rsidR="00B04B5F" w:rsidP="00E91639" w:rsidRDefault="00B04B5F" w14:paraId="7D9C202E" w14:textId="77777777">
            <w:pPr>
              <w:keepNext/>
              <w:keepLines/>
              <w:numPr>
                <w:ilvl w:val="12"/>
                <w:numId w:val="0"/>
              </w:numPr>
              <w:spacing w:after="0"/>
              <w:rPr>
                <w:rFonts w:ascii="Times New Roman" w:hAnsi="Times New Roman" w:cs="Times New Roman"/>
                <w:sz w:val="22"/>
              </w:rPr>
            </w:pPr>
          </w:p>
        </w:tc>
        <w:tc>
          <w:tcPr>
            <w:tcW w:w="900" w:type="dxa"/>
            <w:shd w:val="clear" w:color="auto" w:fill="D9D9D9" w:themeFill="background1" w:themeFillShade="D9"/>
            <w:vAlign w:val="center"/>
          </w:tcPr>
          <w:p w:rsidRPr="00676782" w:rsidR="00B04B5F" w:rsidP="00E91639" w:rsidRDefault="00B04B5F" w14:paraId="698B70D5" w14:textId="77777777">
            <w:pPr>
              <w:keepNext/>
              <w:keepLines/>
              <w:numPr>
                <w:ilvl w:val="12"/>
                <w:numId w:val="0"/>
              </w:numPr>
              <w:spacing w:after="0"/>
              <w:jc w:val="center"/>
              <w:rPr>
                <w:rFonts w:ascii="Times New Roman" w:hAnsi="Times New Roman" w:cs="Times New Roman"/>
                <w:sz w:val="22"/>
              </w:rPr>
            </w:pPr>
            <w:r w:rsidRPr="00676782">
              <w:rPr>
                <w:rFonts w:ascii="Times New Roman" w:hAnsi="Times New Roman" w:cs="Times New Roman"/>
                <w:b/>
                <w:sz w:val="22"/>
              </w:rPr>
              <w:t>Hours</w:t>
            </w:r>
          </w:p>
        </w:tc>
        <w:tc>
          <w:tcPr>
            <w:tcW w:w="1080" w:type="dxa"/>
            <w:shd w:val="clear" w:color="auto" w:fill="D9D9D9" w:themeFill="background1" w:themeFillShade="D9"/>
            <w:vAlign w:val="center"/>
          </w:tcPr>
          <w:p w:rsidRPr="00676782" w:rsidR="00B04B5F" w:rsidP="00E91639" w:rsidRDefault="00B04B5F" w14:paraId="2574796A"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w:t>
            </w:r>
          </w:p>
          <w:p w:rsidRPr="00676782" w:rsidR="00B04B5F" w:rsidP="00E91639" w:rsidRDefault="00B04B5F" w14:paraId="0062AFC7"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($2020)</w:t>
            </w:r>
          </w:p>
        </w:tc>
        <w:tc>
          <w:tcPr>
            <w:tcW w:w="900" w:type="dxa"/>
            <w:shd w:val="clear" w:color="auto" w:fill="D9D9D9" w:themeFill="background1" w:themeFillShade="D9"/>
            <w:vAlign w:val="center"/>
          </w:tcPr>
          <w:p w:rsidRPr="00676782" w:rsidR="00B04B5F" w:rsidP="00E91639" w:rsidRDefault="00B04B5F" w14:paraId="64FE17B8" w14:textId="77777777">
            <w:pPr>
              <w:keepNext/>
              <w:keepLines/>
              <w:numPr>
                <w:ilvl w:val="12"/>
                <w:numId w:val="0"/>
              </w:numPr>
              <w:spacing w:after="0"/>
              <w:jc w:val="center"/>
              <w:rPr>
                <w:rFonts w:ascii="Times New Roman" w:hAnsi="Times New Roman" w:cs="Times New Roman"/>
                <w:sz w:val="22"/>
              </w:rPr>
            </w:pPr>
            <w:r w:rsidRPr="00676782">
              <w:rPr>
                <w:rFonts w:ascii="Times New Roman" w:hAnsi="Times New Roman" w:cs="Times New Roman"/>
                <w:b/>
                <w:sz w:val="22"/>
              </w:rPr>
              <w:t>Hours</w:t>
            </w:r>
          </w:p>
        </w:tc>
        <w:tc>
          <w:tcPr>
            <w:tcW w:w="1170" w:type="dxa"/>
            <w:shd w:val="clear" w:color="auto" w:fill="D9D9D9" w:themeFill="background1" w:themeFillShade="D9"/>
            <w:vAlign w:val="center"/>
          </w:tcPr>
          <w:p w:rsidRPr="00676782" w:rsidR="00B04B5F" w:rsidP="00E91639" w:rsidRDefault="00B04B5F" w14:paraId="02E0D10E"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w:t>
            </w:r>
          </w:p>
          <w:p w:rsidRPr="00676782" w:rsidR="00B04B5F" w:rsidP="00E91639" w:rsidRDefault="00B04B5F" w14:paraId="05C0B478"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($2020)</w:t>
            </w:r>
          </w:p>
        </w:tc>
        <w:tc>
          <w:tcPr>
            <w:tcW w:w="900" w:type="dxa"/>
            <w:shd w:val="clear" w:color="auto" w:fill="D9D9D9" w:themeFill="background1" w:themeFillShade="D9"/>
            <w:vAlign w:val="center"/>
          </w:tcPr>
          <w:p w:rsidRPr="00676782" w:rsidR="00B04B5F" w:rsidP="00E91639" w:rsidRDefault="00B04B5F" w14:paraId="4CD823C8" w14:textId="77777777">
            <w:pPr>
              <w:keepNext/>
              <w:keepLines/>
              <w:numPr>
                <w:ilvl w:val="12"/>
                <w:numId w:val="0"/>
              </w:numPr>
              <w:spacing w:after="0"/>
              <w:jc w:val="center"/>
              <w:rPr>
                <w:rFonts w:ascii="Times New Roman" w:hAnsi="Times New Roman" w:cs="Times New Roman"/>
                <w:sz w:val="22"/>
              </w:rPr>
            </w:pPr>
            <w:r w:rsidRPr="00676782">
              <w:rPr>
                <w:rFonts w:ascii="Times New Roman" w:hAnsi="Times New Roman" w:cs="Times New Roman"/>
                <w:b/>
                <w:sz w:val="22"/>
              </w:rPr>
              <w:t>Hours</w:t>
            </w:r>
          </w:p>
        </w:tc>
        <w:tc>
          <w:tcPr>
            <w:tcW w:w="1170" w:type="dxa"/>
            <w:shd w:val="clear" w:color="auto" w:fill="D9D9D9" w:themeFill="background1" w:themeFillShade="D9"/>
            <w:vAlign w:val="center"/>
          </w:tcPr>
          <w:p w:rsidRPr="00676782" w:rsidR="00B04B5F" w:rsidP="00E91639" w:rsidRDefault="00B04B5F" w14:paraId="1AE1855E"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w:t>
            </w:r>
          </w:p>
          <w:p w:rsidRPr="00676782" w:rsidR="00B04B5F" w:rsidP="00E91639" w:rsidRDefault="00B04B5F" w14:paraId="58C629E9"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($2020)</w:t>
            </w:r>
          </w:p>
        </w:tc>
        <w:tc>
          <w:tcPr>
            <w:tcW w:w="720" w:type="dxa"/>
            <w:shd w:val="clear" w:color="auto" w:fill="D9D9D9" w:themeFill="background1" w:themeFillShade="D9"/>
            <w:vAlign w:val="center"/>
          </w:tcPr>
          <w:p w:rsidRPr="00676782" w:rsidR="00B04B5F" w:rsidP="00E91639" w:rsidRDefault="00B04B5F" w14:paraId="4542A36A" w14:textId="77777777">
            <w:pPr>
              <w:keepNext/>
              <w:keepLines/>
              <w:numPr>
                <w:ilvl w:val="12"/>
                <w:numId w:val="0"/>
              </w:numPr>
              <w:spacing w:after="0"/>
              <w:jc w:val="center"/>
              <w:rPr>
                <w:rFonts w:ascii="Times New Roman" w:hAnsi="Times New Roman" w:cs="Times New Roman"/>
                <w:sz w:val="22"/>
              </w:rPr>
            </w:pPr>
            <w:r w:rsidRPr="00676782">
              <w:rPr>
                <w:rFonts w:ascii="Times New Roman" w:hAnsi="Times New Roman" w:cs="Times New Roman"/>
                <w:b/>
                <w:sz w:val="22"/>
              </w:rPr>
              <w:t>Hours</w:t>
            </w:r>
          </w:p>
        </w:tc>
        <w:tc>
          <w:tcPr>
            <w:tcW w:w="990" w:type="dxa"/>
            <w:shd w:val="clear" w:color="auto" w:fill="D9D9D9" w:themeFill="background1" w:themeFillShade="D9"/>
            <w:vAlign w:val="center"/>
          </w:tcPr>
          <w:p w:rsidRPr="00676782" w:rsidR="00B04B5F" w:rsidP="00E91639" w:rsidRDefault="00B04B5F" w14:paraId="2883F632" w14:textId="77777777">
            <w:pPr>
              <w:keepNext/>
              <w:keepLines/>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w:t>
            </w:r>
          </w:p>
          <w:p w:rsidRPr="00676782" w:rsidR="00B04B5F" w:rsidP="00E91639" w:rsidRDefault="00B04B5F" w14:paraId="6988AA16" w14:textId="77777777">
            <w:pPr>
              <w:keepNext/>
              <w:keepLines/>
              <w:numPr>
                <w:ilvl w:val="12"/>
                <w:numId w:val="0"/>
              </w:numPr>
              <w:spacing w:after="0"/>
              <w:jc w:val="center"/>
              <w:rPr>
                <w:rFonts w:ascii="Times New Roman" w:hAnsi="Times New Roman" w:cs="Times New Roman"/>
                <w:sz w:val="22"/>
              </w:rPr>
            </w:pPr>
            <w:r w:rsidRPr="00676782">
              <w:rPr>
                <w:rFonts w:ascii="Times New Roman" w:hAnsi="Times New Roman" w:cs="Times New Roman"/>
                <w:b/>
                <w:sz w:val="22"/>
              </w:rPr>
              <w:t xml:space="preserve">($2020) </w:t>
            </w:r>
          </w:p>
        </w:tc>
      </w:tr>
      <w:tr w:rsidRPr="00676782" w:rsidR="00B04B5F" w:rsidTr="00E91639" w14:paraId="71274736" w14:textId="77777777">
        <w:tc>
          <w:tcPr>
            <w:tcW w:w="2165" w:type="dxa"/>
            <w:vAlign w:val="center"/>
          </w:tcPr>
          <w:p w:rsidRPr="00676782" w:rsidR="00B04B5F" w:rsidP="00E91639" w:rsidRDefault="00B04B5F" w14:paraId="728D6C0A" w14:textId="77777777">
            <w:pPr>
              <w:keepNext/>
              <w:keepLines/>
              <w:numPr>
                <w:ilvl w:val="12"/>
                <w:numId w:val="0"/>
              </w:numPr>
              <w:spacing w:after="0"/>
              <w:rPr>
                <w:rFonts w:ascii="Times New Roman" w:hAnsi="Times New Roman" w:cs="Times New Roman"/>
                <w:sz w:val="22"/>
              </w:rPr>
            </w:pPr>
            <w:r w:rsidRPr="00676782">
              <w:rPr>
                <w:rFonts w:ascii="Times New Roman" w:hAnsi="Times New Roman" w:cs="Times New Roman"/>
                <w:sz w:val="22"/>
              </w:rPr>
              <w:t>Recordkeeping, per allegation</w:t>
            </w:r>
          </w:p>
        </w:tc>
        <w:tc>
          <w:tcPr>
            <w:tcW w:w="900" w:type="dxa"/>
            <w:vAlign w:val="center"/>
          </w:tcPr>
          <w:p w:rsidRPr="00676782" w:rsidR="00B04B5F" w:rsidP="00E91639" w:rsidRDefault="00B04B5F" w14:paraId="3676C161"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0.5</w:t>
            </w:r>
          </w:p>
        </w:tc>
        <w:tc>
          <w:tcPr>
            <w:tcW w:w="1080" w:type="dxa"/>
            <w:vAlign w:val="center"/>
          </w:tcPr>
          <w:p w:rsidRPr="00676782" w:rsidR="00B04B5F" w:rsidP="00E91639" w:rsidRDefault="00B04B5F" w14:paraId="04E588EC" w14:textId="6E74812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$1</w:t>
            </w:r>
            <w:r w:rsidRPr="00676782" w:rsidR="007F1AB5">
              <w:rPr>
                <w:rFonts w:ascii="Times New Roman" w:hAnsi="Times New Roman" w:cs="Times New Roman"/>
                <w:color w:val="000000"/>
                <w:sz w:val="22"/>
                <w:szCs w:val="20"/>
              </w:rPr>
              <w:t>7.00</w:t>
            </w:r>
          </w:p>
        </w:tc>
        <w:tc>
          <w:tcPr>
            <w:tcW w:w="900" w:type="dxa"/>
            <w:vAlign w:val="center"/>
          </w:tcPr>
          <w:p w:rsidRPr="00676782" w:rsidR="00B04B5F" w:rsidP="00E91639" w:rsidRDefault="00B04B5F" w14:paraId="74C281AD"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w:t>
            </w:r>
          </w:p>
        </w:tc>
        <w:tc>
          <w:tcPr>
            <w:tcW w:w="1170" w:type="dxa"/>
            <w:vAlign w:val="center"/>
          </w:tcPr>
          <w:p w:rsidRPr="00676782" w:rsidR="00B04B5F" w:rsidP="00E91639" w:rsidRDefault="00B04B5F" w14:paraId="64F5AFAC"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$0.00</w:t>
            </w:r>
          </w:p>
        </w:tc>
        <w:tc>
          <w:tcPr>
            <w:tcW w:w="900" w:type="dxa"/>
            <w:vAlign w:val="center"/>
          </w:tcPr>
          <w:p w:rsidRPr="00676782" w:rsidR="00B04B5F" w:rsidP="00E91639" w:rsidRDefault="00B04B5F" w14:paraId="406153FE"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3.5</w:t>
            </w:r>
          </w:p>
        </w:tc>
        <w:tc>
          <w:tcPr>
            <w:tcW w:w="1170" w:type="dxa"/>
            <w:vAlign w:val="center"/>
          </w:tcPr>
          <w:p w:rsidRPr="00676782" w:rsidR="00B04B5F" w:rsidP="00E91639" w:rsidRDefault="00B04B5F" w14:paraId="70E0106F" w14:textId="068BA7D0">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w:t>
            </w:r>
            <w:r w:rsidRPr="00676782" w:rsidR="00DA0B56">
              <w:rPr>
                <w:rFonts w:ascii="Times New Roman" w:hAnsi="Times New Roman" w:cs="Times New Roman"/>
                <w:color w:val="000000"/>
                <w:sz w:val="22"/>
                <w:szCs w:val="20"/>
              </w:rPr>
              <w:t>308.00</w:t>
            </w:r>
          </w:p>
        </w:tc>
        <w:tc>
          <w:tcPr>
            <w:tcW w:w="720" w:type="dxa"/>
            <w:vAlign w:val="center"/>
          </w:tcPr>
          <w:p w:rsidRPr="00676782" w:rsidR="00B04B5F" w:rsidP="00E91639" w:rsidRDefault="00B04B5F" w14:paraId="5EE3785F" w14:textId="77777777">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4</w:t>
            </w:r>
          </w:p>
        </w:tc>
        <w:tc>
          <w:tcPr>
            <w:tcW w:w="990" w:type="dxa"/>
            <w:vAlign w:val="center"/>
          </w:tcPr>
          <w:p w:rsidRPr="00676782" w:rsidR="00B04B5F" w:rsidP="00E91639" w:rsidRDefault="00B04B5F" w14:paraId="578DACB4" w14:textId="36B186BE">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$3</w:t>
            </w:r>
            <w:r w:rsidRPr="00676782" w:rsidR="00DA0B56">
              <w:rPr>
                <w:rFonts w:ascii="Times New Roman" w:hAnsi="Times New Roman" w:cs="Times New Roman"/>
                <w:b/>
                <w:color w:val="000000"/>
                <w:sz w:val="22"/>
                <w:szCs w:val="20"/>
              </w:rPr>
              <w:t>25.00</w:t>
            </w:r>
            <w:r w:rsidRPr="00676782">
              <w:rPr>
                <w:rFonts w:ascii="Times New Roman" w:hAnsi="Times New Roman" w:cs="Times New Roman"/>
                <w:b/>
                <w:color w:val="000000"/>
                <w:sz w:val="22"/>
                <w:szCs w:val="20"/>
              </w:rPr>
              <w:t xml:space="preserve"> </w:t>
            </w:r>
          </w:p>
        </w:tc>
      </w:tr>
      <w:tr w:rsidRPr="00676782" w:rsidR="00B04B5F" w:rsidTr="00E91639" w14:paraId="3A9329F9" w14:textId="77777777">
        <w:trPr>
          <w:trHeight w:val="322"/>
        </w:trPr>
        <w:tc>
          <w:tcPr>
            <w:tcW w:w="2165" w:type="dxa"/>
            <w:vAlign w:val="center"/>
          </w:tcPr>
          <w:p w:rsidRPr="00676782" w:rsidR="00B04B5F" w:rsidP="00E91639" w:rsidRDefault="00B04B5F" w14:paraId="0AE3C9F2" w14:textId="77777777">
            <w:pPr>
              <w:keepNext/>
              <w:keepLines/>
              <w:numPr>
                <w:ilvl w:val="12"/>
                <w:numId w:val="0"/>
              </w:numPr>
              <w:spacing w:after="0"/>
              <w:rPr>
                <w:rFonts w:ascii="Times New Roman" w:hAnsi="Times New Roman" w:cs="Times New Roman"/>
                <w:sz w:val="22"/>
              </w:rPr>
            </w:pPr>
            <w:r w:rsidRPr="00676782">
              <w:rPr>
                <w:rFonts w:ascii="Times New Roman" w:hAnsi="Times New Roman" w:cs="Times New Roman"/>
                <w:sz w:val="22"/>
              </w:rPr>
              <w:t>Reporting, per report</w:t>
            </w:r>
          </w:p>
        </w:tc>
        <w:tc>
          <w:tcPr>
            <w:tcW w:w="900" w:type="dxa"/>
            <w:vAlign w:val="center"/>
          </w:tcPr>
          <w:p w:rsidRPr="00676782" w:rsidR="00B04B5F" w:rsidP="00E91639" w:rsidRDefault="00B04B5F" w14:paraId="5FC70EF8"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1</w:t>
            </w:r>
          </w:p>
        </w:tc>
        <w:tc>
          <w:tcPr>
            <w:tcW w:w="1080" w:type="dxa"/>
            <w:vAlign w:val="center"/>
          </w:tcPr>
          <w:p w:rsidRPr="00676782" w:rsidR="00B04B5F" w:rsidP="00E91639" w:rsidRDefault="00B04B5F" w14:paraId="729639ED" w14:textId="538AF8FE">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$3</w:t>
            </w:r>
            <w:r w:rsidRPr="00676782" w:rsidR="007F1AB5">
              <w:rPr>
                <w:rFonts w:ascii="Times New Roman" w:hAnsi="Times New Roman" w:cs="Times New Roman"/>
                <w:color w:val="000000"/>
                <w:sz w:val="22"/>
                <w:szCs w:val="20"/>
              </w:rPr>
              <w:t>4.00</w:t>
            </w:r>
          </w:p>
        </w:tc>
        <w:tc>
          <w:tcPr>
            <w:tcW w:w="900" w:type="dxa"/>
            <w:vAlign w:val="center"/>
          </w:tcPr>
          <w:p w:rsidRPr="00676782" w:rsidR="00B04B5F" w:rsidP="00E91639" w:rsidRDefault="00B04B5F" w14:paraId="08392047"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2</w:t>
            </w:r>
          </w:p>
        </w:tc>
        <w:tc>
          <w:tcPr>
            <w:tcW w:w="1170" w:type="dxa"/>
            <w:vAlign w:val="center"/>
          </w:tcPr>
          <w:p w:rsidRPr="00676782" w:rsidR="00B04B5F" w:rsidP="00E91639" w:rsidRDefault="00B04B5F" w14:paraId="1297FBEB" w14:textId="157F1D8A">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$1</w:t>
            </w:r>
            <w:r w:rsidRPr="00676782" w:rsidR="007F1AB5">
              <w:rPr>
                <w:rFonts w:ascii="Times New Roman" w:hAnsi="Times New Roman" w:cs="Times New Roman"/>
                <w:color w:val="000000"/>
                <w:sz w:val="22"/>
                <w:szCs w:val="20"/>
              </w:rPr>
              <w:t>49.06</w:t>
            </w:r>
          </w:p>
        </w:tc>
        <w:tc>
          <w:tcPr>
            <w:tcW w:w="900" w:type="dxa"/>
            <w:vAlign w:val="center"/>
          </w:tcPr>
          <w:p w:rsidRPr="00676782" w:rsidR="00B04B5F" w:rsidP="00E91639" w:rsidRDefault="00B04B5F" w14:paraId="6BA81BB8"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5</w:t>
            </w:r>
          </w:p>
        </w:tc>
        <w:tc>
          <w:tcPr>
            <w:tcW w:w="1170" w:type="dxa"/>
            <w:vAlign w:val="center"/>
          </w:tcPr>
          <w:p w:rsidRPr="00676782" w:rsidR="00B04B5F" w:rsidP="00E91639" w:rsidRDefault="00B04B5F" w14:paraId="2B3C4846" w14:textId="489CF4E0">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w:t>
            </w:r>
            <w:r w:rsidRPr="00676782" w:rsidR="00DA0B56">
              <w:rPr>
                <w:rFonts w:ascii="Times New Roman" w:hAnsi="Times New Roman" w:cs="Times New Roman"/>
                <w:color w:val="000000"/>
                <w:sz w:val="22"/>
                <w:szCs w:val="20"/>
              </w:rPr>
              <w:t>440.00</w:t>
            </w:r>
          </w:p>
        </w:tc>
        <w:tc>
          <w:tcPr>
            <w:tcW w:w="720" w:type="dxa"/>
            <w:vAlign w:val="center"/>
          </w:tcPr>
          <w:p w:rsidRPr="00676782" w:rsidR="00B04B5F" w:rsidP="00E91639" w:rsidRDefault="00B04B5F" w14:paraId="42AD6498" w14:textId="77777777">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8</w:t>
            </w:r>
          </w:p>
        </w:tc>
        <w:tc>
          <w:tcPr>
            <w:tcW w:w="990" w:type="dxa"/>
            <w:vAlign w:val="center"/>
          </w:tcPr>
          <w:p w:rsidRPr="00676782" w:rsidR="00B04B5F" w:rsidP="00E91639" w:rsidRDefault="00B04B5F" w14:paraId="10F8F9C8" w14:textId="486B02A0">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$60</w:t>
            </w:r>
            <w:r w:rsidRPr="00676782" w:rsidR="00DA0B56">
              <w:rPr>
                <w:rFonts w:ascii="Times New Roman" w:hAnsi="Times New Roman" w:cs="Times New Roman"/>
                <w:b/>
                <w:color w:val="000000"/>
                <w:sz w:val="22"/>
                <w:szCs w:val="20"/>
              </w:rPr>
              <w:t>6.06</w:t>
            </w:r>
            <w:r w:rsidRPr="00676782">
              <w:rPr>
                <w:rFonts w:ascii="Times New Roman" w:hAnsi="Times New Roman" w:cs="Times New Roman"/>
                <w:b/>
                <w:color w:val="000000"/>
                <w:sz w:val="22"/>
                <w:szCs w:val="20"/>
              </w:rPr>
              <w:t xml:space="preserve"> </w:t>
            </w:r>
          </w:p>
        </w:tc>
      </w:tr>
      <w:tr w:rsidRPr="00676782" w:rsidR="00B04B5F" w:rsidTr="00E91639" w14:paraId="73D70249" w14:textId="77777777">
        <w:trPr>
          <w:trHeight w:val="673"/>
        </w:trPr>
        <w:tc>
          <w:tcPr>
            <w:tcW w:w="2165" w:type="dxa"/>
            <w:vAlign w:val="center"/>
          </w:tcPr>
          <w:p w:rsidRPr="00676782" w:rsidR="00B04B5F" w:rsidP="00E91639" w:rsidRDefault="00B04B5F" w14:paraId="3ABE17C3" w14:textId="77777777">
            <w:pPr>
              <w:keepNext/>
              <w:keepLines/>
              <w:numPr>
                <w:ilvl w:val="12"/>
                <w:numId w:val="0"/>
              </w:numPr>
              <w:spacing w:after="0"/>
              <w:rPr>
                <w:rFonts w:ascii="Times New Roman" w:hAnsi="Times New Roman" w:cs="Times New Roman"/>
                <w:sz w:val="22"/>
              </w:rPr>
            </w:pPr>
            <w:r w:rsidRPr="00676782">
              <w:rPr>
                <w:rFonts w:ascii="Times New Roman" w:hAnsi="Times New Roman" w:cs="Times New Roman"/>
                <w:sz w:val="22"/>
                <w:u w:val="single"/>
              </w:rPr>
              <w:t>Federal Register</w:t>
            </w:r>
            <w:r w:rsidRPr="00676782">
              <w:rPr>
                <w:rFonts w:ascii="Times New Roman" w:hAnsi="Times New Roman" w:cs="Times New Roman"/>
                <w:sz w:val="22"/>
              </w:rPr>
              <w:t xml:space="preserve"> notice review, per notice</w:t>
            </w:r>
          </w:p>
        </w:tc>
        <w:tc>
          <w:tcPr>
            <w:tcW w:w="900" w:type="dxa"/>
            <w:vAlign w:val="center"/>
          </w:tcPr>
          <w:p w:rsidRPr="00676782" w:rsidR="00B04B5F" w:rsidP="00E91639" w:rsidRDefault="00B04B5F" w14:paraId="29A279AB"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w:t>
            </w:r>
          </w:p>
        </w:tc>
        <w:tc>
          <w:tcPr>
            <w:tcW w:w="1080" w:type="dxa"/>
            <w:vAlign w:val="center"/>
          </w:tcPr>
          <w:p w:rsidRPr="00676782" w:rsidR="00B04B5F" w:rsidP="00E91639" w:rsidRDefault="00B04B5F" w14:paraId="59226930"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$0.00</w:t>
            </w:r>
          </w:p>
        </w:tc>
        <w:tc>
          <w:tcPr>
            <w:tcW w:w="900" w:type="dxa"/>
            <w:vAlign w:val="center"/>
          </w:tcPr>
          <w:p w:rsidRPr="00676782" w:rsidR="00B04B5F" w:rsidP="00E91639" w:rsidRDefault="00B04B5F" w14:paraId="182A4F00"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w:t>
            </w:r>
          </w:p>
        </w:tc>
        <w:tc>
          <w:tcPr>
            <w:tcW w:w="1170" w:type="dxa"/>
            <w:vAlign w:val="center"/>
          </w:tcPr>
          <w:p w:rsidRPr="00676782" w:rsidR="00B04B5F" w:rsidP="00E91639" w:rsidRDefault="00B04B5F" w14:paraId="2A257071"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$0.00</w:t>
            </w:r>
          </w:p>
        </w:tc>
        <w:tc>
          <w:tcPr>
            <w:tcW w:w="900" w:type="dxa"/>
            <w:vAlign w:val="center"/>
          </w:tcPr>
          <w:p w:rsidRPr="00676782" w:rsidR="00B04B5F" w:rsidP="00E91639" w:rsidRDefault="00B04B5F" w14:paraId="795776CA" w14:textId="77777777">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0.25</w:t>
            </w:r>
          </w:p>
        </w:tc>
        <w:tc>
          <w:tcPr>
            <w:tcW w:w="1170" w:type="dxa"/>
            <w:vAlign w:val="center"/>
          </w:tcPr>
          <w:p w:rsidRPr="00676782" w:rsidR="00B04B5F" w:rsidP="00E91639" w:rsidRDefault="00B04B5F" w14:paraId="2B75181F" w14:textId="4C509861">
            <w:pPr>
              <w:keepNext/>
              <w:keepLines/>
              <w:spacing w:after="0"/>
              <w:jc w:val="center"/>
              <w:rPr>
                <w:rFonts w:ascii="Times New Roman" w:hAnsi="Times New Roman" w:cs="Times New Roman"/>
                <w:sz w:val="22"/>
              </w:rPr>
            </w:pPr>
            <w:r w:rsidRPr="00676782">
              <w:rPr>
                <w:rFonts w:ascii="Times New Roman" w:hAnsi="Times New Roman" w:cs="Times New Roman"/>
                <w:color w:val="000000"/>
                <w:sz w:val="22"/>
                <w:szCs w:val="20"/>
              </w:rPr>
              <w:t>$</w:t>
            </w:r>
            <w:r w:rsidRPr="00676782" w:rsidR="00DA0B56">
              <w:rPr>
                <w:rFonts w:ascii="Times New Roman" w:hAnsi="Times New Roman" w:cs="Times New Roman"/>
                <w:color w:val="000000"/>
                <w:sz w:val="22"/>
                <w:szCs w:val="20"/>
              </w:rPr>
              <w:t>22.00</w:t>
            </w:r>
          </w:p>
        </w:tc>
        <w:tc>
          <w:tcPr>
            <w:tcW w:w="720" w:type="dxa"/>
            <w:vAlign w:val="center"/>
          </w:tcPr>
          <w:p w:rsidRPr="00676782" w:rsidR="00B04B5F" w:rsidP="00E91639" w:rsidRDefault="00B04B5F" w14:paraId="462B371A" w14:textId="77777777">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0.25</w:t>
            </w:r>
          </w:p>
        </w:tc>
        <w:tc>
          <w:tcPr>
            <w:tcW w:w="990" w:type="dxa"/>
            <w:vAlign w:val="center"/>
          </w:tcPr>
          <w:p w:rsidRPr="00676782" w:rsidR="00B04B5F" w:rsidP="00E91639" w:rsidRDefault="00B04B5F" w14:paraId="02EDB21F" w14:textId="4AF29C6D">
            <w:pPr>
              <w:keepNext/>
              <w:keepLines/>
              <w:spacing w:after="0"/>
              <w:jc w:val="center"/>
              <w:rPr>
                <w:rFonts w:ascii="Times New Roman" w:hAnsi="Times New Roman" w:cs="Times New Roman"/>
                <w:b/>
                <w:sz w:val="22"/>
              </w:rPr>
            </w:pPr>
            <w:r w:rsidRPr="00676782">
              <w:rPr>
                <w:rFonts w:ascii="Times New Roman" w:hAnsi="Times New Roman" w:cs="Times New Roman"/>
                <w:b/>
                <w:color w:val="000000"/>
                <w:sz w:val="22"/>
                <w:szCs w:val="20"/>
              </w:rPr>
              <w:t>$2</w:t>
            </w:r>
            <w:r w:rsidRPr="00676782" w:rsidR="00DA0B56">
              <w:rPr>
                <w:rFonts w:ascii="Times New Roman" w:hAnsi="Times New Roman" w:cs="Times New Roman"/>
                <w:b/>
                <w:color w:val="000000"/>
                <w:sz w:val="22"/>
                <w:szCs w:val="20"/>
              </w:rPr>
              <w:t>2.00</w:t>
            </w:r>
            <w:r w:rsidRPr="00676782">
              <w:rPr>
                <w:rFonts w:ascii="Times New Roman" w:hAnsi="Times New Roman" w:cs="Times New Roman"/>
                <w:b/>
                <w:color w:val="000000"/>
                <w:sz w:val="22"/>
                <w:szCs w:val="20"/>
              </w:rPr>
              <w:t xml:space="preserve"> </w:t>
            </w:r>
          </w:p>
        </w:tc>
      </w:tr>
      <w:tr w:rsidRPr="00676782" w:rsidR="00B04B5F" w:rsidTr="00E91639" w14:paraId="1735350E" w14:textId="77777777">
        <w:trPr>
          <w:trHeight w:val="673"/>
        </w:trPr>
        <w:tc>
          <w:tcPr>
            <w:tcW w:w="2165" w:type="dxa"/>
            <w:vAlign w:val="center"/>
          </w:tcPr>
          <w:p w:rsidRPr="00676782" w:rsidR="00B04B5F" w:rsidP="00E91639" w:rsidRDefault="00B04B5F" w14:paraId="1A7F9F1D" w14:textId="77777777">
            <w:pPr>
              <w:keepNext/>
              <w:keepLines/>
              <w:numPr>
                <w:ilvl w:val="12"/>
                <w:numId w:val="0"/>
              </w:numPr>
              <w:spacing w:after="0"/>
              <w:rPr>
                <w:rFonts w:ascii="Times New Roman" w:hAnsi="Times New Roman" w:cs="Times New Roman"/>
                <w:b/>
                <w:bCs/>
                <w:sz w:val="22"/>
              </w:rPr>
            </w:pPr>
            <w:r w:rsidRPr="00676782">
              <w:rPr>
                <w:rFonts w:ascii="Times New Roman" w:hAnsi="Times New Roman" w:cs="Times New Roman"/>
                <w:b/>
                <w:bCs/>
                <w:sz w:val="22"/>
              </w:rPr>
              <w:t>Unit totals</w:t>
            </w:r>
          </w:p>
        </w:tc>
        <w:tc>
          <w:tcPr>
            <w:tcW w:w="900" w:type="dxa"/>
            <w:vAlign w:val="center"/>
          </w:tcPr>
          <w:p w:rsidRPr="00676782" w:rsidR="00B04B5F" w:rsidP="00E91639" w:rsidRDefault="00B04B5F" w14:paraId="2D07D801" w14:textId="77777777">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1.5</w:t>
            </w:r>
          </w:p>
        </w:tc>
        <w:tc>
          <w:tcPr>
            <w:tcW w:w="1080" w:type="dxa"/>
            <w:vAlign w:val="center"/>
          </w:tcPr>
          <w:p w:rsidRPr="00676782" w:rsidR="00B04B5F" w:rsidP="00E91639" w:rsidRDefault="00B04B5F" w14:paraId="20F6683F" w14:textId="5867DD9C">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$5</w:t>
            </w:r>
            <w:r w:rsidRPr="00676782" w:rsidR="007F1AB5">
              <w:rPr>
                <w:rFonts w:ascii="Times New Roman" w:hAnsi="Times New Roman" w:cs="Times New Roman"/>
                <w:color w:val="000000"/>
                <w:sz w:val="22"/>
                <w:szCs w:val="20"/>
              </w:rPr>
              <w:t>1.00</w:t>
            </w:r>
          </w:p>
        </w:tc>
        <w:tc>
          <w:tcPr>
            <w:tcW w:w="900" w:type="dxa"/>
            <w:vAlign w:val="center"/>
          </w:tcPr>
          <w:p w:rsidRPr="00676782" w:rsidR="00B04B5F" w:rsidP="00E91639" w:rsidRDefault="00B04B5F" w14:paraId="2809F01C" w14:textId="77777777">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2</w:t>
            </w:r>
          </w:p>
        </w:tc>
        <w:tc>
          <w:tcPr>
            <w:tcW w:w="1170" w:type="dxa"/>
            <w:vAlign w:val="center"/>
          </w:tcPr>
          <w:p w:rsidRPr="00676782" w:rsidR="00B04B5F" w:rsidP="00E91639" w:rsidRDefault="00B04B5F" w14:paraId="204D36FE" w14:textId="23AD859C">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w:t>
            </w:r>
            <w:r w:rsidRPr="00676782" w:rsidR="00DA0B56">
              <w:rPr>
                <w:rFonts w:ascii="Times New Roman" w:hAnsi="Times New Roman" w:cs="Times New Roman"/>
                <w:color w:val="000000"/>
                <w:sz w:val="22"/>
                <w:szCs w:val="20"/>
              </w:rPr>
              <w:t>149.06</w:t>
            </w:r>
          </w:p>
        </w:tc>
        <w:tc>
          <w:tcPr>
            <w:tcW w:w="900" w:type="dxa"/>
            <w:vAlign w:val="center"/>
          </w:tcPr>
          <w:p w:rsidRPr="00676782" w:rsidR="00B04B5F" w:rsidP="00E91639" w:rsidRDefault="00B04B5F" w14:paraId="4D43796D" w14:textId="77777777">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4,25</w:t>
            </w:r>
          </w:p>
        </w:tc>
        <w:tc>
          <w:tcPr>
            <w:tcW w:w="1170" w:type="dxa"/>
            <w:vAlign w:val="center"/>
          </w:tcPr>
          <w:p w:rsidRPr="00676782" w:rsidR="00B04B5F" w:rsidP="00E91639" w:rsidRDefault="00B04B5F" w14:paraId="30962B8E" w14:textId="52EB86A4">
            <w:pPr>
              <w:keepNext/>
              <w:keepLines/>
              <w:spacing w:after="0"/>
              <w:jc w:val="center"/>
              <w:rPr>
                <w:rFonts w:ascii="Times New Roman" w:hAnsi="Times New Roman" w:cs="Times New Roman"/>
                <w:color w:val="000000"/>
                <w:sz w:val="22"/>
                <w:szCs w:val="20"/>
              </w:rPr>
            </w:pPr>
            <w:r w:rsidRPr="00676782">
              <w:rPr>
                <w:rFonts w:ascii="Times New Roman" w:hAnsi="Times New Roman" w:cs="Times New Roman"/>
                <w:color w:val="000000"/>
                <w:sz w:val="22"/>
                <w:szCs w:val="20"/>
              </w:rPr>
              <w:t>$7</w:t>
            </w:r>
            <w:r w:rsidRPr="00676782" w:rsidR="00DA0B56">
              <w:rPr>
                <w:rFonts w:ascii="Times New Roman" w:hAnsi="Times New Roman" w:cs="Times New Roman"/>
                <w:color w:val="000000"/>
                <w:sz w:val="22"/>
                <w:szCs w:val="20"/>
              </w:rPr>
              <w:t>70.00</w:t>
            </w:r>
          </w:p>
        </w:tc>
        <w:tc>
          <w:tcPr>
            <w:tcW w:w="720" w:type="dxa"/>
            <w:vAlign w:val="center"/>
          </w:tcPr>
          <w:p w:rsidRPr="00676782" w:rsidR="00B04B5F" w:rsidP="00E91639" w:rsidRDefault="00B04B5F" w14:paraId="0C11C214" w14:textId="77777777">
            <w:pPr>
              <w:keepNext/>
              <w:keepLines/>
              <w:spacing w:after="0"/>
              <w:jc w:val="center"/>
              <w:rPr>
                <w:rFonts w:ascii="Times New Roman" w:hAnsi="Times New Roman" w:cs="Times New Roman"/>
                <w:b/>
                <w:color w:val="000000"/>
                <w:sz w:val="22"/>
                <w:szCs w:val="20"/>
              </w:rPr>
            </w:pPr>
            <w:r w:rsidRPr="00676782">
              <w:rPr>
                <w:rFonts w:ascii="Times New Roman" w:hAnsi="Times New Roman" w:cs="Times New Roman"/>
                <w:b/>
                <w:color w:val="000000"/>
                <w:sz w:val="22"/>
                <w:szCs w:val="20"/>
              </w:rPr>
              <w:t>12.25</w:t>
            </w:r>
          </w:p>
        </w:tc>
        <w:tc>
          <w:tcPr>
            <w:tcW w:w="990" w:type="dxa"/>
            <w:vAlign w:val="center"/>
          </w:tcPr>
          <w:p w:rsidRPr="00676782" w:rsidR="00B04B5F" w:rsidP="00E91639" w:rsidRDefault="00B04B5F" w14:paraId="204F246D" w14:textId="30991AAB">
            <w:pPr>
              <w:keepNext/>
              <w:keepLines/>
              <w:spacing w:after="0"/>
              <w:jc w:val="center"/>
              <w:rPr>
                <w:rFonts w:ascii="Times New Roman" w:hAnsi="Times New Roman" w:cs="Times New Roman"/>
                <w:b/>
                <w:color w:val="000000"/>
                <w:sz w:val="22"/>
                <w:szCs w:val="20"/>
              </w:rPr>
            </w:pPr>
            <w:r w:rsidRPr="00676782">
              <w:rPr>
                <w:rFonts w:ascii="Times New Roman" w:hAnsi="Times New Roman" w:cs="Times New Roman"/>
                <w:b/>
                <w:color w:val="000000"/>
                <w:sz w:val="22"/>
                <w:szCs w:val="20"/>
              </w:rPr>
              <w:t>$9</w:t>
            </w:r>
            <w:r w:rsidRPr="00676782" w:rsidR="00DE1BBD">
              <w:rPr>
                <w:rFonts w:ascii="Times New Roman" w:hAnsi="Times New Roman" w:cs="Times New Roman"/>
                <w:b/>
                <w:color w:val="000000"/>
                <w:sz w:val="22"/>
                <w:szCs w:val="20"/>
              </w:rPr>
              <w:t>53.06</w:t>
            </w:r>
          </w:p>
        </w:tc>
      </w:tr>
    </w:tbl>
    <w:p w:rsidRPr="00676782" w:rsidR="00B04B5F" w:rsidP="00B04B5F" w:rsidRDefault="00B04B5F" w14:paraId="11CA4868" w14:textId="77777777">
      <w:pPr>
        <w:numPr>
          <w:ilvl w:val="12"/>
          <w:numId w:val="0"/>
        </w:numPr>
        <w:rPr>
          <w:rFonts w:ascii="Times New Roman" w:hAnsi="Times New Roman" w:cs="Times New Roman"/>
        </w:rPr>
      </w:pPr>
    </w:p>
    <w:p w:rsidRPr="00676782" w:rsidR="00B04B5F" w:rsidP="00B04B5F" w:rsidRDefault="00B04B5F" w14:paraId="42FAE5EE" w14:textId="77777777">
      <w:pPr>
        <w:rPr>
          <w:rFonts w:ascii="Times New Roman" w:hAnsi="Times New Roman" w:cs="Times New Roman"/>
        </w:rPr>
      </w:pPr>
      <w:r w:rsidRPr="00676782">
        <w:rPr>
          <w:rFonts w:ascii="Times New Roman" w:hAnsi="Times New Roman" w:cs="Times New Roman"/>
        </w:rPr>
        <w:t>Table 6. Summary of Total Annual Respondent Burden and Cost</w:t>
      </w:r>
    </w:p>
    <w:tbl>
      <w:tblPr>
        <w:tblW w:w="10080" w:type="dxa"/>
        <w:tblInd w:w="-23" w:type="dxa"/>
        <w:tblLayout w:type="fixed"/>
        <w:tblLook w:val="04A0" w:firstRow="1" w:lastRow="0" w:firstColumn="1" w:lastColumn="0" w:noHBand="0" w:noVBand="1"/>
      </w:tblPr>
      <w:tblGrid>
        <w:gridCol w:w="1800"/>
        <w:gridCol w:w="990"/>
        <w:gridCol w:w="1080"/>
        <w:gridCol w:w="1083"/>
        <w:gridCol w:w="1746"/>
        <w:gridCol w:w="1014"/>
        <w:gridCol w:w="1044"/>
        <w:gridCol w:w="1323"/>
      </w:tblGrid>
      <w:tr w:rsidRPr="00676782" w:rsidR="00B04B5F" w:rsidTr="0020497A" w14:paraId="700AAB4A" w14:textId="77777777">
        <w:trPr>
          <w:cantSplit/>
          <w:trHeight w:val="885"/>
        </w:trPr>
        <w:tc>
          <w:tcPr>
            <w:tcW w:w="1800" w:type="dxa"/>
            <w:tcBorders>
              <w:top w:val="double" w:color="auto" w:sz="4" w:space="0"/>
              <w:left w:val="double" w:color="000000" w:sz="6" w:space="0"/>
              <w:bottom w:val="single" w:color="000000" w:sz="8" w:space="0"/>
              <w:right w:val="nil"/>
            </w:tcBorders>
            <w:shd w:val="clear" w:color="auto" w:fill="D9D9D9" w:themeFill="background1" w:themeFillShade="D9"/>
            <w:vAlign w:val="center"/>
            <w:hideMark/>
          </w:tcPr>
          <w:p w:rsidRPr="00676782" w:rsidR="00B04B5F" w:rsidP="00E91639" w:rsidRDefault="00B04B5F" w14:paraId="2E53C629"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lastRenderedPageBreak/>
              <w:t>Activity</w:t>
            </w:r>
          </w:p>
        </w:tc>
        <w:tc>
          <w:tcPr>
            <w:tcW w:w="990" w:type="dxa"/>
            <w:tcBorders>
              <w:top w:val="double" w:color="auto" w:sz="4" w:space="0"/>
              <w:left w:val="single" w:color="000000" w:sz="8" w:space="0"/>
              <w:bottom w:val="nil"/>
              <w:right w:val="nil"/>
            </w:tcBorders>
            <w:shd w:val="clear" w:color="auto" w:fill="D9D9D9" w:themeFill="background1" w:themeFillShade="D9"/>
            <w:vAlign w:val="center"/>
            <w:hideMark/>
          </w:tcPr>
          <w:p w:rsidRPr="00676782" w:rsidR="00B04B5F" w:rsidP="00E91639" w:rsidRDefault="00B04B5F" w14:paraId="5EE5DF8B"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Unit Burden Hours</w:t>
            </w:r>
          </w:p>
        </w:tc>
        <w:tc>
          <w:tcPr>
            <w:tcW w:w="1080" w:type="dxa"/>
            <w:tcBorders>
              <w:top w:val="double" w:color="auto" w:sz="4" w:space="0"/>
              <w:left w:val="single" w:color="000000" w:sz="8" w:space="0"/>
              <w:bottom w:val="nil"/>
              <w:right w:val="single" w:color="000000" w:sz="8" w:space="0"/>
            </w:tcBorders>
            <w:shd w:val="clear" w:color="auto" w:fill="D9D9D9" w:themeFill="background1" w:themeFillShade="D9"/>
            <w:vAlign w:val="center"/>
            <w:hideMark/>
          </w:tcPr>
          <w:p w:rsidRPr="00676782" w:rsidR="00B04B5F" w:rsidP="00E91639" w:rsidRDefault="00B04B5F" w14:paraId="33BDD0BB"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Unit Cost</w:t>
            </w:r>
          </w:p>
        </w:tc>
        <w:tc>
          <w:tcPr>
            <w:tcW w:w="2829" w:type="dxa"/>
            <w:gridSpan w:val="2"/>
            <w:tcBorders>
              <w:top w:val="double" w:color="000000" w:sz="6" w:space="0"/>
              <w:left w:val="single" w:color="000000" w:sz="8" w:space="0"/>
              <w:bottom w:val="single" w:color="auto" w:sz="4" w:space="0"/>
              <w:right w:val="single" w:color="000000" w:sz="8" w:space="0"/>
            </w:tcBorders>
            <w:shd w:val="clear" w:color="auto" w:fill="D9D9D9" w:themeFill="background1" w:themeFillShade="D9"/>
            <w:noWrap/>
            <w:vAlign w:val="center"/>
            <w:hideMark/>
          </w:tcPr>
          <w:p w:rsidRPr="00676782" w:rsidR="00B04B5F" w:rsidP="00E91639" w:rsidRDefault="00B04B5F" w14:paraId="13FD6BBB"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Applicable # and Unit</w:t>
            </w:r>
          </w:p>
        </w:tc>
        <w:tc>
          <w:tcPr>
            <w:tcW w:w="1014" w:type="dxa"/>
            <w:tcBorders>
              <w:top w:val="double" w:color="000000" w:sz="6" w:space="0"/>
              <w:left w:val="nil"/>
              <w:bottom w:val="single" w:color="000000" w:sz="8" w:space="0"/>
              <w:right w:val="single" w:color="000000" w:sz="8" w:space="0"/>
            </w:tcBorders>
            <w:shd w:val="clear" w:color="auto" w:fill="D9D9D9" w:themeFill="background1" w:themeFillShade="D9"/>
            <w:noWrap/>
            <w:vAlign w:val="center"/>
            <w:hideMark/>
          </w:tcPr>
          <w:p w:rsidRPr="00676782" w:rsidR="00B04B5F" w:rsidP="00E91639" w:rsidRDefault="00B04B5F" w14:paraId="7C1A9795"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 Firms</w:t>
            </w:r>
          </w:p>
        </w:tc>
        <w:tc>
          <w:tcPr>
            <w:tcW w:w="1044" w:type="dxa"/>
            <w:tcBorders>
              <w:top w:val="double" w:color="000000" w:sz="6" w:space="0"/>
              <w:left w:val="nil"/>
              <w:bottom w:val="single" w:color="000000" w:sz="8" w:space="0"/>
              <w:right w:val="single" w:color="000000" w:sz="8" w:space="0"/>
            </w:tcBorders>
            <w:shd w:val="clear" w:color="auto" w:fill="D9D9D9" w:themeFill="background1" w:themeFillShade="D9"/>
            <w:vAlign w:val="center"/>
            <w:hideMark/>
          </w:tcPr>
          <w:p w:rsidRPr="00676782" w:rsidR="00B04B5F" w:rsidP="00E91639" w:rsidRDefault="00B04B5F" w14:paraId="2336273E" w14:textId="77777777">
            <w:pPr>
              <w:spacing w:after="0"/>
              <w:jc w:val="center"/>
              <w:rPr>
                <w:rFonts w:ascii="Times New Roman" w:hAnsi="Times New Roman" w:cs="Times New Roman"/>
                <w:b/>
                <w:bCs/>
                <w:sz w:val="22"/>
              </w:rPr>
            </w:pPr>
            <w:proofErr w:type="spellStart"/>
            <w:r w:rsidRPr="00676782">
              <w:rPr>
                <w:rFonts w:ascii="Times New Roman" w:hAnsi="Times New Roman" w:cs="Times New Roman"/>
                <w:b/>
                <w:bCs/>
                <w:sz w:val="22"/>
              </w:rPr>
              <w:t>BurdenHours</w:t>
            </w:r>
            <w:proofErr w:type="spellEnd"/>
          </w:p>
        </w:tc>
        <w:tc>
          <w:tcPr>
            <w:tcW w:w="1323" w:type="dxa"/>
            <w:tcBorders>
              <w:top w:val="double" w:color="000000" w:sz="6" w:space="0"/>
              <w:left w:val="nil"/>
              <w:bottom w:val="single" w:color="000000" w:sz="8" w:space="0"/>
              <w:right w:val="double" w:color="000000" w:sz="6" w:space="0"/>
            </w:tcBorders>
            <w:shd w:val="clear" w:color="auto" w:fill="D9D9D9" w:themeFill="background1" w:themeFillShade="D9"/>
            <w:noWrap/>
            <w:vAlign w:val="center"/>
            <w:hideMark/>
          </w:tcPr>
          <w:p w:rsidRPr="00676782" w:rsidR="00B04B5F" w:rsidP="00E91639" w:rsidRDefault="00B04B5F" w14:paraId="6F8C2F97"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Cost</w:t>
            </w:r>
          </w:p>
        </w:tc>
      </w:tr>
      <w:tr w:rsidRPr="00676782" w:rsidR="00B04B5F" w:rsidTr="0020497A" w14:paraId="0647C9B7" w14:textId="77777777">
        <w:trPr>
          <w:cantSplit/>
          <w:trHeight w:val="315"/>
        </w:trPr>
        <w:tc>
          <w:tcPr>
            <w:tcW w:w="1800"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645A2466" w14:textId="77777777">
            <w:pPr>
              <w:spacing w:after="0"/>
              <w:jc w:val="center"/>
              <w:rPr>
                <w:rFonts w:ascii="Times New Roman" w:hAnsi="Times New Roman" w:cs="Times New Roman"/>
                <w:sz w:val="22"/>
              </w:rPr>
            </w:pPr>
            <w:r w:rsidRPr="00676782">
              <w:rPr>
                <w:rFonts w:ascii="Times New Roman" w:hAnsi="Times New Roman" w:cs="Times New Roman"/>
                <w:sz w:val="22"/>
              </w:rPr>
              <w:t>Recordkeeping, per allegation</w:t>
            </w:r>
          </w:p>
        </w:tc>
        <w:tc>
          <w:tcPr>
            <w:tcW w:w="99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71335A42" w14:textId="77777777">
            <w:pPr>
              <w:spacing w:after="0"/>
              <w:jc w:val="center"/>
              <w:rPr>
                <w:rFonts w:ascii="Times New Roman" w:hAnsi="Times New Roman" w:cs="Times New Roman"/>
                <w:sz w:val="22"/>
              </w:rPr>
            </w:pPr>
            <w:r w:rsidRPr="00676782">
              <w:rPr>
                <w:rFonts w:ascii="Times New Roman" w:hAnsi="Times New Roman" w:cs="Times New Roman"/>
                <w:sz w:val="22"/>
              </w:rPr>
              <w:t>4</w:t>
            </w:r>
          </w:p>
        </w:tc>
        <w:tc>
          <w:tcPr>
            <w:tcW w:w="1080" w:type="dxa"/>
            <w:tcBorders>
              <w:top w:val="single" w:color="000000" w:sz="8" w:space="0"/>
              <w:left w:val="single" w:color="000000" w:sz="8" w:space="0"/>
              <w:bottom w:val="nil"/>
              <w:right w:val="single" w:color="000000" w:sz="8" w:space="0"/>
            </w:tcBorders>
            <w:shd w:val="clear" w:color="auto" w:fill="auto"/>
            <w:vAlign w:val="center"/>
            <w:hideMark/>
          </w:tcPr>
          <w:p w:rsidRPr="00676782" w:rsidR="00B04B5F" w:rsidP="00E91639" w:rsidRDefault="00B04B5F" w14:paraId="5A1A83D2" w14:textId="7CA0EAD5">
            <w:pPr>
              <w:spacing w:after="0"/>
              <w:jc w:val="center"/>
              <w:rPr>
                <w:rFonts w:ascii="Times New Roman" w:hAnsi="Times New Roman" w:cs="Times New Roman"/>
                <w:sz w:val="22"/>
              </w:rPr>
            </w:pPr>
            <w:r w:rsidRPr="00676782">
              <w:rPr>
                <w:rFonts w:ascii="Times New Roman" w:hAnsi="Times New Roman" w:cs="Times New Roman"/>
                <w:color w:val="000000"/>
                <w:sz w:val="22"/>
              </w:rPr>
              <w:t>$3</w:t>
            </w:r>
            <w:r w:rsidRPr="00676782" w:rsidR="00DE1BBD">
              <w:rPr>
                <w:rFonts w:ascii="Times New Roman" w:hAnsi="Times New Roman" w:cs="Times New Roman"/>
                <w:color w:val="000000"/>
                <w:sz w:val="22"/>
              </w:rPr>
              <w:t>25.00</w:t>
            </w:r>
          </w:p>
        </w:tc>
        <w:tc>
          <w:tcPr>
            <w:tcW w:w="1083" w:type="dxa"/>
            <w:tcBorders>
              <w:top w:val="single" w:color="000000" w:sz="8" w:space="0"/>
              <w:left w:val="nil"/>
              <w:bottom w:val="single" w:color="auto" w:sz="4" w:space="0"/>
              <w:right w:val="single" w:color="auto" w:sz="4" w:space="0"/>
            </w:tcBorders>
            <w:shd w:val="clear" w:color="auto" w:fill="auto"/>
            <w:noWrap/>
            <w:vAlign w:val="center"/>
            <w:hideMark/>
          </w:tcPr>
          <w:p w:rsidRPr="00676782" w:rsidR="00B04B5F" w:rsidP="00E91639" w:rsidRDefault="00B04B5F" w14:paraId="463FF438" w14:textId="77777777">
            <w:pPr>
              <w:spacing w:after="0"/>
              <w:jc w:val="center"/>
              <w:rPr>
                <w:rFonts w:ascii="Times New Roman" w:hAnsi="Times New Roman" w:cs="Times New Roman"/>
                <w:sz w:val="22"/>
              </w:rPr>
            </w:pPr>
            <w:r w:rsidRPr="00676782">
              <w:rPr>
                <w:rFonts w:ascii="Times New Roman" w:hAnsi="Times New Roman" w:cs="Times New Roman"/>
                <w:color w:val="000000"/>
                <w:sz w:val="22"/>
              </w:rPr>
              <w:t>5,527</w:t>
            </w:r>
          </w:p>
        </w:tc>
        <w:tc>
          <w:tcPr>
            <w:tcW w:w="1746" w:type="dxa"/>
            <w:tcBorders>
              <w:top w:val="single" w:color="000000" w:sz="8" w:space="0"/>
              <w:left w:val="single" w:color="auto" w:sz="4" w:space="0"/>
              <w:bottom w:val="single" w:color="auto" w:sz="4" w:space="0"/>
              <w:right w:val="nil"/>
            </w:tcBorders>
            <w:shd w:val="clear" w:color="auto" w:fill="auto"/>
            <w:noWrap/>
            <w:vAlign w:val="center"/>
            <w:hideMark/>
          </w:tcPr>
          <w:p w:rsidRPr="00676782" w:rsidR="00B04B5F" w:rsidP="00E91639" w:rsidRDefault="00B04B5F" w14:paraId="1E88D586" w14:textId="77777777">
            <w:pPr>
              <w:spacing w:after="0"/>
              <w:jc w:val="center"/>
              <w:rPr>
                <w:rFonts w:ascii="Times New Roman" w:hAnsi="Times New Roman" w:cs="Times New Roman"/>
                <w:sz w:val="22"/>
              </w:rPr>
            </w:pPr>
            <w:r w:rsidRPr="00676782">
              <w:rPr>
                <w:rFonts w:ascii="Times New Roman" w:hAnsi="Times New Roman" w:cs="Times New Roman"/>
                <w:sz w:val="22"/>
              </w:rPr>
              <w:t>Allegations per year</w:t>
            </w:r>
          </w:p>
        </w:tc>
        <w:tc>
          <w:tcPr>
            <w:tcW w:w="1014" w:type="dxa"/>
            <w:tcBorders>
              <w:top w:val="single" w:color="000000" w:sz="8" w:space="0"/>
              <w:left w:val="single" w:color="000000" w:sz="8" w:space="0"/>
              <w:bottom w:val="single" w:color="auto" w:sz="4" w:space="0"/>
              <w:right w:val="single" w:color="000000" w:sz="8" w:space="0"/>
            </w:tcBorders>
            <w:shd w:val="clear" w:color="auto" w:fill="auto"/>
            <w:noWrap/>
            <w:vAlign w:val="center"/>
            <w:hideMark/>
          </w:tcPr>
          <w:p w:rsidRPr="00676782" w:rsidR="00B04B5F" w:rsidP="00E91639" w:rsidRDefault="00B04B5F" w14:paraId="02742C9B" w14:textId="77777777">
            <w:pPr>
              <w:spacing w:after="0"/>
              <w:jc w:val="center"/>
              <w:rPr>
                <w:rFonts w:ascii="Times New Roman" w:hAnsi="Times New Roman" w:cs="Times New Roman"/>
                <w:sz w:val="22"/>
              </w:rPr>
            </w:pPr>
            <w:r w:rsidRPr="00676782">
              <w:rPr>
                <w:rFonts w:ascii="Times New Roman" w:hAnsi="Times New Roman" w:cs="Times New Roman"/>
                <w:sz w:val="22"/>
              </w:rPr>
              <w:t>N/A</w:t>
            </w:r>
          </w:p>
        </w:tc>
        <w:tc>
          <w:tcPr>
            <w:tcW w:w="1044" w:type="dxa"/>
            <w:tcBorders>
              <w:top w:val="single" w:color="000000" w:sz="8" w:space="0"/>
              <w:left w:val="nil"/>
              <w:bottom w:val="single" w:color="auto" w:sz="4" w:space="0"/>
              <w:right w:val="single" w:color="000000" w:sz="8" w:space="0"/>
            </w:tcBorders>
            <w:shd w:val="clear" w:color="auto" w:fill="auto"/>
            <w:noWrap/>
            <w:vAlign w:val="center"/>
            <w:hideMark/>
          </w:tcPr>
          <w:p w:rsidRPr="00676782" w:rsidR="00B04B5F" w:rsidP="00E91639" w:rsidRDefault="00B04B5F" w14:paraId="3DDFEF41" w14:textId="77777777">
            <w:pPr>
              <w:spacing w:after="0"/>
              <w:jc w:val="center"/>
              <w:rPr>
                <w:rFonts w:ascii="Times New Roman" w:hAnsi="Times New Roman" w:cs="Times New Roman"/>
                <w:sz w:val="22"/>
              </w:rPr>
            </w:pPr>
            <w:r w:rsidRPr="00676782">
              <w:rPr>
                <w:rFonts w:ascii="Times New Roman" w:hAnsi="Times New Roman" w:cs="Times New Roman"/>
                <w:color w:val="000000"/>
                <w:sz w:val="22"/>
              </w:rPr>
              <w:t>22,109</w:t>
            </w:r>
          </w:p>
        </w:tc>
        <w:tc>
          <w:tcPr>
            <w:tcW w:w="1323" w:type="dxa"/>
            <w:tcBorders>
              <w:top w:val="single" w:color="000000" w:sz="8" w:space="0"/>
              <w:left w:val="nil"/>
              <w:bottom w:val="single" w:color="auto" w:sz="4" w:space="0"/>
              <w:right w:val="double" w:color="000000" w:sz="6" w:space="0"/>
            </w:tcBorders>
            <w:shd w:val="clear" w:color="auto" w:fill="auto"/>
            <w:noWrap/>
            <w:vAlign w:val="center"/>
            <w:hideMark/>
          </w:tcPr>
          <w:p w:rsidRPr="00676782" w:rsidR="00B04B5F" w:rsidP="00E91639" w:rsidRDefault="00B04B5F" w14:paraId="52EA6C41" w14:textId="445DEFFB">
            <w:pPr>
              <w:spacing w:after="0"/>
              <w:jc w:val="center"/>
              <w:rPr>
                <w:rFonts w:ascii="Times New Roman" w:hAnsi="Times New Roman" w:cs="Times New Roman"/>
                <w:sz w:val="22"/>
              </w:rPr>
            </w:pPr>
            <w:r w:rsidRPr="00676782">
              <w:rPr>
                <w:rFonts w:ascii="Times New Roman" w:hAnsi="Times New Roman" w:cs="Times New Roman"/>
                <w:color w:val="000000"/>
                <w:sz w:val="22"/>
              </w:rPr>
              <w:t>$1,7</w:t>
            </w:r>
            <w:r w:rsidRPr="00676782" w:rsidR="008B0530">
              <w:rPr>
                <w:rFonts w:ascii="Times New Roman" w:hAnsi="Times New Roman" w:cs="Times New Roman"/>
                <w:color w:val="000000"/>
                <w:sz w:val="22"/>
              </w:rPr>
              <w:t>96,725</w:t>
            </w:r>
          </w:p>
        </w:tc>
      </w:tr>
      <w:tr w:rsidRPr="00676782" w:rsidR="00B04B5F" w:rsidTr="0020497A" w14:paraId="30215E41" w14:textId="77777777">
        <w:trPr>
          <w:cantSplit/>
          <w:trHeight w:val="315"/>
        </w:trPr>
        <w:tc>
          <w:tcPr>
            <w:tcW w:w="1800"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0B122BA1" w14:textId="77777777">
            <w:pPr>
              <w:spacing w:after="0"/>
              <w:jc w:val="center"/>
              <w:rPr>
                <w:rFonts w:ascii="Times New Roman" w:hAnsi="Times New Roman" w:cs="Times New Roman"/>
                <w:sz w:val="22"/>
              </w:rPr>
            </w:pPr>
            <w:r w:rsidRPr="00676782">
              <w:rPr>
                <w:rFonts w:ascii="Times New Roman" w:hAnsi="Times New Roman" w:cs="Times New Roman"/>
                <w:sz w:val="22"/>
              </w:rPr>
              <w:t>Reporting, per report</w:t>
            </w:r>
          </w:p>
        </w:tc>
        <w:tc>
          <w:tcPr>
            <w:tcW w:w="99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5320712A" w14:textId="77777777">
            <w:pPr>
              <w:spacing w:after="0"/>
              <w:jc w:val="center"/>
              <w:rPr>
                <w:rFonts w:ascii="Times New Roman" w:hAnsi="Times New Roman" w:cs="Times New Roman"/>
                <w:sz w:val="22"/>
              </w:rPr>
            </w:pPr>
            <w:r w:rsidRPr="00676782">
              <w:rPr>
                <w:rFonts w:ascii="Times New Roman" w:hAnsi="Times New Roman" w:cs="Times New Roman"/>
                <w:sz w:val="22"/>
              </w:rPr>
              <w:t>8</w:t>
            </w:r>
          </w:p>
        </w:tc>
        <w:tc>
          <w:tcPr>
            <w:tcW w:w="1080" w:type="dxa"/>
            <w:tcBorders>
              <w:top w:val="single" w:color="000000" w:sz="8" w:space="0"/>
              <w:left w:val="single" w:color="000000" w:sz="8" w:space="0"/>
              <w:bottom w:val="nil"/>
              <w:right w:val="single" w:color="000000" w:sz="8" w:space="0"/>
            </w:tcBorders>
            <w:shd w:val="clear" w:color="auto" w:fill="auto"/>
            <w:vAlign w:val="center"/>
            <w:hideMark/>
          </w:tcPr>
          <w:p w:rsidRPr="00676782" w:rsidR="00B04B5F" w:rsidP="00E91639" w:rsidRDefault="00B04B5F" w14:paraId="1EA24282" w14:textId="62CC3ABC">
            <w:pPr>
              <w:spacing w:after="0"/>
              <w:jc w:val="center"/>
              <w:rPr>
                <w:rFonts w:ascii="Times New Roman" w:hAnsi="Times New Roman" w:cs="Times New Roman"/>
                <w:sz w:val="22"/>
              </w:rPr>
            </w:pPr>
            <w:r w:rsidRPr="00676782">
              <w:rPr>
                <w:rFonts w:ascii="Times New Roman" w:hAnsi="Times New Roman" w:cs="Times New Roman"/>
                <w:color w:val="000000"/>
                <w:sz w:val="22"/>
              </w:rPr>
              <w:t>$60</w:t>
            </w:r>
            <w:r w:rsidRPr="00676782" w:rsidR="00DE1BBD">
              <w:rPr>
                <w:rFonts w:ascii="Times New Roman" w:hAnsi="Times New Roman" w:cs="Times New Roman"/>
                <w:color w:val="000000"/>
                <w:sz w:val="22"/>
              </w:rPr>
              <w:t>6.06</w:t>
            </w:r>
          </w:p>
        </w:tc>
        <w:tc>
          <w:tcPr>
            <w:tcW w:w="1083" w:type="dxa"/>
            <w:tcBorders>
              <w:top w:val="single" w:color="auto" w:sz="4" w:space="0"/>
              <w:left w:val="nil"/>
              <w:bottom w:val="single" w:color="auto" w:sz="4" w:space="0"/>
              <w:right w:val="single" w:color="auto" w:sz="4" w:space="0"/>
            </w:tcBorders>
            <w:shd w:val="clear" w:color="auto" w:fill="auto"/>
            <w:noWrap/>
            <w:vAlign w:val="center"/>
            <w:hideMark/>
          </w:tcPr>
          <w:p w:rsidRPr="00676782" w:rsidR="00B04B5F" w:rsidP="00E91639" w:rsidRDefault="00B04B5F" w14:paraId="51DE3E6E" w14:textId="2A1BA61E">
            <w:pPr>
              <w:spacing w:after="0"/>
              <w:jc w:val="center"/>
              <w:rPr>
                <w:rFonts w:ascii="Times New Roman" w:hAnsi="Times New Roman" w:cs="Times New Roman"/>
                <w:sz w:val="22"/>
              </w:rPr>
            </w:pPr>
            <w:r w:rsidRPr="00676782">
              <w:rPr>
                <w:rFonts w:ascii="Times New Roman" w:hAnsi="Times New Roman" w:cs="Times New Roman"/>
                <w:color w:val="000000"/>
                <w:sz w:val="22"/>
              </w:rPr>
              <w:t>16</w:t>
            </w:r>
            <w:r w:rsidRPr="00676782" w:rsidR="008F4FFF">
              <w:rPr>
                <w:rFonts w:ascii="Times New Roman" w:hAnsi="Times New Roman" w:cs="Times New Roman"/>
                <w:color w:val="000000"/>
                <w:sz w:val="22"/>
              </w:rPr>
              <w:t>0</w:t>
            </w:r>
          </w:p>
        </w:tc>
        <w:tc>
          <w:tcPr>
            <w:tcW w:w="1746" w:type="dxa"/>
            <w:tcBorders>
              <w:top w:val="single" w:color="auto" w:sz="4" w:space="0"/>
              <w:left w:val="single" w:color="auto" w:sz="4" w:space="0"/>
              <w:bottom w:val="single" w:color="auto" w:sz="4" w:space="0"/>
              <w:right w:val="nil"/>
            </w:tcBorders>
            <w:shd w:val="clear" w:color="auto" w:fill="auto"/>
            <w:noWrap/>
            <w:vAlign w:val="center"/>
            <w:hideMark/>
          </w:tcPr>
          <w:p w:rsidRPr="00676782" w:rsidR="00B04B5F" w:rsidP="00E91639" w:rsidRDefault="00B04B5F" w14:paraId="560DED8F" w14:textId="77777777">
            <w:pPr>
              <w:spacing w:after="0"/>
              <w:jc w:val="center"/>
              <w:rPr>
                <w:rFonts w:ascii="Times New Roman" w:hAnsi="Times New Roman" w:cs="Times New Roman"/>
                <w:sz w:val="22"/>
              </w:rPr>
            </w:pPr>
            <w:r w:rsidRPr="00676782">
              <w:rPr>
                <w:rFonts w:ascii="Times New Roman" w:hAnsi="Times New Roman" w:cs="Times New Roman"/>
                <w:sz w:val="22"/>
              </w:rPr>
              <w:t>Reports per year</w:t>
            </w:r>
          </w:p>
        </w:tc>
        <w:tc>
          <w:tcPr>
            <w:tcW w:w="1014" w:type="dxa"/>
            <w:tcBorders>
              <w:top w:val="single" w:color="auto" w:sz="4" w:space="0"/>
              <w:left w:val="single" w:color="000000" w:sz="8" w:space="0"/>
              <w:bottom w:val="single" w:color="auto" w:sz="4" w:space="0"/>
              <w:right w:val="single" w:color="000000" w:sz="8" w:space="0"/>
            </w:tcBorders>
            <w:shd w:val="clear" w:color="auto" w:fill="auto"/>
            <w:noWrap/>
            <w:vAlign w:val="center"/>
            <w:hideMark/>
          </w:tcPr>
          <w:p w:rsidRPr="00676782" w:rsidR="00B04B5F" w:rsidP="00E91639" w:rsidRDefault="00B04B5F" w14:paraId="6F5F5A7E" w14:textId="77777777">
            <w:pPr>
              <w:spacing w:after="0"/>
              <w:jc w:val="center"/>
              <w:rPr>
                <w:rFonts w:ascii="Times New Roman" w:hAnsi="Times New Roman" w:cs="Times New Roman"/>
                <w:sz w:val="22"/>
              </w:rPr>
            </w:pPr>
            <w:r w:rsidRPr="00676782">
              <w:rPr>
                <w:rFonts w:ascii="Times New Roman" w:hAnsi="Times New Roman" w:cs="Times New Roman"/>
                <w:sz w:val="22"/>
              </w:rPr>
              <w:t>N/A</w:t>
            </w:r>
          </w:p>
        </w:tc>
        <w:tc>
          <w:tcPr>
            <w:tcW w:w="1044" w:type="dxa"/>
            <w:tcBorders>
              <w:top w:val="single" w:color="auto" w:sz="4" w:space="0"/>
              <w:left w:val="nil"/>
              <w:bottom w:val="single" w:color="auto" w:sz="4" w:space="0"/>
              <w:right w:val="single" w:color="000000" w:sz="8" w:space="0"/>
            </w:tcBorders>
            <w:shd w:val="clear" w:color="auto" w:fill="auto"/>
            <w:noWrap/>
            <w:vAlign w:val="center"/>
            <w:hideMark/>
          </w:tcPr>
          <w:p w:rsidRPr="00676782" w:rsidR="00B04B5F" w:rsidP="00E91639" w:rsidRDefault="00B04B5F" w14:paraId="381F81EB" w14:textId="44CA16E7">
            <w:pPr>
              <w:spacing w:after="0"/>
              <w:jc w:val="center"/>
              <w:rPr>
                <w:rFonts w:ascii="Times New Roman" w:hAnsi="Times New Roman" w:cs="Times New Roman"/>
                <w:sz w:val="22"/>
              </w:rPr>
            </w:pPr>
            <w:r w:rsidRPr="00676782">
              <w:rPr>
                <w:rFonts w:ascii="Times New Roman" w:hAnsi="Times New Roman" w:cs="Times New Roman"/>
                <w:color w:val="000000"/>
                <w:sz w:val="22"/>
              </w:rPr>
              <w:t>128</w:t>
            </w:r>
          </w:p>
        </w:tc>
        <w:tc>
          <w:tcPr>
            <w:tcW w:w="1323" w:type="dxa"/>
            <w:tcBorders>
              <w:top w:val="single" w:color="auto" w:sz="4" w:space="0"/>
              <w:left w:val="nil"/>
              <w:bottom w:val="single" w:color="auto" w:sz="4" w:space="0"/>
              <w:right w:val="double" w:color="000000" w:sz="6" w:space="0"/>
            </w:tcBorders>
            <w:shd w:val="clear" w:color="auto" w:fill="auto"/>
            <w:noWrap/>
            <w:vAlign w:val="center"/>
            <w:hideMark/>
          </w:tcPr>
          <w:p w:rsidRPr="00676782" w:rsidR="00B04B5F" w:rsidP="00E91639" w:rsidRDefault="00B04B5F" w14:paraId="2BC7EED0" w14:textId="5A8E9851">
            <w:pPr>
              <w:spacing w:after="0"/>
              <w:jc w:val="center"/>
              <w:rPr>
                <w:rFonts w:ascii="Times New Roman" w:hAnsi="Times New Roman" w:cs="Times New Roman"/>
                <w:sz w:val="22"/>
              </w:rPr>
            </w:pPr>
            <w:r w:rsidRPr="00676782">
              <w:rPr>
                <w:rFonts w:ascii="Times New Roman" w:hAnsi="Times New Roman" w:cs="Times New Roman"/>
                <w:color w:val="000000"/>
                <w:sz w:val="22"/>
              </w:rPr>
              <w:t>$96</w:t>
            </w:r>
            <w:r w:rsidRPr="00676782" w:rsidR="008F4FFF">
              <w:rPr>
                <w:rFonts w:ascii="Times New Roman" w:hAnsi="Times New Roman" w:cs="Times New Roman"/>
                <w:color w:val="000000"/>
                <w:sz w:val="22"/>
              </w:rPr>
              <w:t>,</w:t>
            </w:r>
            <w:r w:rsidRPr="00676782" w:rsidR="008B0530">
              <w:rPr>
                <w:rFonts w:ascii="Times New Roman" w:hAnsi="Times New Roman" w:cs="Times New Roman"/>
                <w:color w:val="000000"/>
                <w:sz w:val="22"/>
              </w:rPr>
              <w:t>97</w:t>
            </w:r>
            <w:r w:rsidRPr="00676782" w:rsidR="008F4FFF">
              <w:rPr>
                <w:rFonts w:ascii="Times New Roman" w:hAnsi="Times New Roman" w:cs="Times New Roman"/>
                <w:color w:val="000000"/>
                <w:sz w:val="22"/>
              </w:rPr>
              <w:t>0</w:t>
            </w:r>
          </w:p>
        </w:tc>
      </w:tr>
      <w:tr w:rsidRPr="00676782" w:rsidR="00B04B5F" w:rsidTr="0020497A" w14:paraId="69ADB7C5" w14:textId="77777777">
        <w:trPr>
          <w:cantSplit/>
          <w:trHeight w:val="637"/>
        </w:trPr>
        <w:tc>
          <w:tcPr>
            <w:tcW w:w="1800"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0B29C267" w14:textId="77777777">
            <w:pPr>
              <w:spacing w:after="0"/>
              <w:jc w:val="center"/>
              <w:rPr>
                <w:rFonts w:ascii="Times New Roman" w:hAnsi="Times New Roman" w:cs="Times New Roman"/>
                <w:sz w:val="22"/>
                <w:u w:val="single"/>
              </w:rPr>
            </w:pPr>
            <w:r w:rsidRPr="00676782">
              <w:rPr>
                <w:rFonts w:ascii="Times New Roman" w:hAnsi="Times New Roman" w:cs="Times New Roman"/>
                <w:sz w:val="22"/>
              </w:rPr>
              <w:t>Federal Register Notice review, per Notice</w:t>
            </w:r>
          </w:p>
        </w:tc>
        <w:tc>
          <w:tcPr>
            <w:tcW w:w="99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5C139447" w14:textId="77777777">
            <w:pPr>
              <w:spacing w:after="0"/>
              <w:jc w:val="center"/>
              <w:rPr>
                <w:rFonts w:ascii="Times New Roman" w:hAnsi="Times New Roman" w:cs="Times New Roman"/>
                <w:sz w:val="22"/>
              </w:rPr>
            </w:pPr>
            <w:r w:rsidRPr="00676782">
              <w:rPr>
                <w:rFonts w:ascii="Times New Roman" w:hAnsi="Times New Roman" w:cs="Times New Roman"/>
                <w:sz w:val="22"/>
              </w:rPr>
              <w:t>0.25</w:t>
            </w:r>
          </w:p>
        </w:tc>
        <w:tc>
          <w:tcPr>
            <w:tcW w:w="1080" w:type="dxa"/>
            <w:tcBorders>
              <w:top w:val="single" w:color="000000" w:sz="8" w:space="0"/>
              <w:left w:val="single" w:color="000000" w:sz="8" w:space="0"/>
              <w:bottom w:val="nil"/>
              <w:right w:val="single" w:color="000000" w:sz="8" w:space="0"/>
            </w:tcBorders>
            <w:shd w:val="clear" w:color="auto" w:fill="auto"/>
            <w:vAlign w:val="center"/>
            <w:hideMark/>
          </w:tcPr>
          <w:p w:rsidRPr="00676782" w:rsidR="00B04B5F" w:rsidP="00E91639" w:rsidRDefault="00B04B5F" w14:paraId="762C3DBC" w14:textId="333EB7E4">
            <w:pPr>
              <w:spacing w:after="0"/>
              <w:jc w:val="center"/>
              <w:rPr>
                <w:rFonts w:ascii="Times New Roman" w:hAnsi="Times New Roman" w:cs="Times New Roman"/>
                <w:sz w:val="22"/>
              </w:rPr>
            </w:pPr>
            <w:r w:rsidRPr="00676782">
              <w:rPr>
                <w:rFonts w:ascii="Times New Roman" w:hAnsi="Times New Roman" w:cs="Times New Roman"/>
                <w:color w:val="000000"/>
                <w:sz w:val="22"/>
              </w:rPr>
              <w:t>$2</w:t>
            </w:r>
            <w:r w:rsidRPr="00676782" w:rsidR="00DE1BBD">
              <w:rPr>
                <w:rFonts w:ascii="Times New Roman" w:hAnsi="Times New Roman" w:cs="Times New Roman"/>
                <w:color w:val="000000"/>
                <w:sz w:val="22"/>
              </w:rPr>
              <w:t>2.00</w:t>
            </w:r>
          </w:p>
        </w:tc>
        <w:tc>
          <w:tcPr>
            <w:tcW w:w="1083" w:type="dxa"/>
            <w:tcBorders>
              <w:top w:val="single" w:color="auto" w:sz="4" w:space="0"/>
              <w:left w:val="nil"/>
              <w:bottom w:val="nil"/>
              <w:right w:val="single" w:color="auto" w:sz="4" w:space="0"/>
            </w:tcBorders>
            <w:shd w:val="clear" w:color="auto" w:fill="auto"/>
            <w:noWrap/>
            <w:vAlign w:val="center"/>
            <w:hideMark/>
          </w:tcPr>
          <w:p w:rsidRPr="00676782" w:rsidR="00B04B5F" w:rsidP="00E91639" w:rsidRDefault="00B04B5F" w14:paraId="1A493C40" w14:textId="54BB19B1">
            <w:pPr>
              <w:spacing w:after="0"/>
              <w:jc w:val="center"/>
              <w:rPr>
                <w:rFonts w:ascii="Times New Roman" w:hAnsi="Times New Roman" w:cs="Times New Roman"/>
                <w:sz w:val="22"/>
              </w:rPr>
            </w:pPr>
            <w:r w:rsidRPr="00676782">
              <w:rPr>
                <w:rFonts w:ascii="Times New Roman" w:hAnsi="Times New Roman" w:cs="Times New Roman"/>
                <w:color w:val="000000"/>
                <w:sz w:val="22"/>
              </w:rPr>
              <w:t>1</w:t>
            </w:r>
            <w:r w:rsidRPr="00676782" w:rsidR="008F4FFF">
              <w:rPr>
                <w:rFonts w:ascii="Times New Roman" w:hAnsi="Times New Roman" w:cs="Times New Roman"/>
                <w:color w:val="000000"/>
                <w:sz w:val="22"/>
              </w:rPr>
              <w:t>0</w:t>
            </w:r>
          </w:p>
        </w:tc>
        <w:tc>
          <w:tcPr>
            <w:tcW w:w="1746" w:type="dxa"/>
            <w:tcBorders>
              <w:top w:val="single" w:color="auto" w:sz="4" w:space="0"/>
              <w:left w:val="single" w:color="auto" w:sz="4" w:space="0"/>
              <w:bottom w:val="nil"/>
              <w:right w:val="nil"/>
            </w:tcBorders>
            <w:shd w:val="clear" w:color="auto" w:fill="auto"/>
            <w:noWrap/>
            <w:vAlign w:val="center"/>
            <w:hideMark/>
          </w:tcPr>
          <w:p w:rsidRPr="00676782" w:rsidR="00B04B5F" w:rsidP="00E91639" w:rsidRDefault="00B04B5F" w14:paraId="06992CE9" w14:textId="77777777">
            <w:pPr>
              <w:spacing w:after="0"/>
              <w:jc w:val="center"/>
              <w:rPr>
                <w:rFonts w:ascii="Times New Roman" w:hAnsi="Times New Roman" w:cs="Times New Roman"/>
                <w:sz w:val="22"/>
              </w:rPr>
            </w:pPr>
            <w:r w:rsidRPr="00676782">
              <w:rPr>
                <w:rFonts w:ascii="Times New Roman" w:hAnsi="Times New Roman" w:cs="Times New Roman"/>
                <w:sz w:val="22"/>
              </w:rPr>
              <w:t>Notices per year per firm</w:t>
            </w:r>
          </w:p>
        </w:tc>
        <w:tc>
          <w:tcPr>
            <w:tcW w:w="1014" w:type="dxa"/>
            <w:tcBorders>
              <w:top w:val="single" w:color="auto" w:sz="4" w:space="0"/>
              <w:left w:val="single" w:color="000000" w:sz="8" w:space="0"/>
              <w:bottom w:val="nil"/>
              <w:right w:val="single" w:color="000000" w:sz="8" w:space="0"/>
            </w:tcBorders>
            <w:shd w:val="clear" w:color="auto" w:fill="auto"/>
            <w:noWrap/>
            <w:vAlign w:val="center"/>
            <w:hideMark/>
          </w:tcPr>
          <w:p w:rsidRPr="00676782" w:rsidR="00B04B5F" w:rsidP="00E91639" w:rsidRDefault="00B04B5F" w14:paraId="3D5C88F6" w14:textId="77777777">
            <w:pPr>
              <w:spacing w:after="0"/>
              <w:jc w:val="center"/>
              <w:rPr>
                <w:rFonts w:ascii="Times New Roman" w:hAnsi="Times New Roman" w:cs="Times New Roman"/>
                <w:sz w:val="22"/>
              </w:rPr>
            </w:pPr>
            <w:r w:rsidRPr="00676782">
              <w:rPr>
                <w:rFonts w:ascii="Times New Roman" w:hAnsi="Times New Roman" w:cs="Times New Roman"/>
                <w:sz w:val="22"/>
              </w:rPr>
              <w:t>13,</w:t>
            </w:r>
            <w:r w:rsidRPr="00676782" w:rsidDel="00647969">
              <w:rPr>
                <w:rFonts w:ascii="Times New Roman" w:hAnsi="Times New Roman" w:cs="Times New Roman"/>
                <w:sz w:val="22"/>
              </w:rPr>
              <w:t xml:space="preserve"> </w:t>
            </w:r>
            <w:r w:rsidRPr="00676782">
              <w:rPr>
                <w:rFonts w:ascii="Times New Roman" w:hAnsi="Times New Roman" w:cs="Times New Roman"/>
                <w:sz w:val="22"/>
              </w:rPr>
              <w:t>160</w:t>
            </w:r>
          </w:p>
        </w:tc>
        <w:tc>
          <w:tcPr>
            <w:tcW w:w="1044" w:type="dxa"/>
            <w:tcBorders>
              <w:top w:val="single" w:color="auto" w:sz="4" w:space="0"/>
              <w:left w:val="nil"/>
              <w:bottom w:val="nil"/>
              <w:right w:val="single" w:color="000000" w:sz="8" w:space="0"/>
            </w:tcBorders>
            <w:shd w:val="clear" w:color="auto" w:fill="auto"/>
            <w:noWrap/>
            <w:vAlign w:val="center"/>
            <w:hideMark/>
          </w:tcPr>
          <w:p w:rsidRPr="00676782" w:rsidR="00B04B5F" w:rsidP="00E91639" w:rsidRDefault="00B04B5F" w14:paraId="21FF268D" w14:textId="101624C5">
            <w:pPr>
              <w:spacing w:after="0"/>
              <w:jc w:val="center"/>
              <w:rPr>
                <w:rFonts w:ascii="Times New Roman" w:hAnsi="Times New Roman" w:cs="Times New Roman"/>
                <w:sz w:val="22"/>
              </w:rPr>
            </w:pPr>
            <w:r w:rsidRPr="00676782">
              <w:rPr>
                <w:rFonts w:ascii="Times New Roman" w:hAnsi="Times New Roman" w:cs="Times New Roman"/>
                <w:color w:val="000000"/>
                <w:sz w:val="22"/>
              </w:rPr>
              <w:t>3</w:t>
            </w:r>
            <w:r w:rsidR="006B12D3">
              <w:rPr>
                <w:rFonts w:ascii="Times New Roman" w:hAnsi="Times New Roman" w:cs="Times New Roman"/>
                <w:color w:val="000000"/>
                <w:sz w:val="22"/>
              </w:rPr>
              <w:t>,</w:t>
            </w:r>
            <w:r w:rsidRPr="00676782">
              <w:rPr>
                <w:rFonts w:ascii="Times New Roman" w:hAnsi="Times New Roman" w:cs="Times New Roman"/>
                <w:color w:val="000000"/>
                <w:sz w:val="22"/>
              </w:rPr>
              <w:t>29</w:t>
            </w:r>
            <w:r w:rsidRPr="00676782" w:rsidR="008F4FFF">
              <w:rPr>
                <w:rFonts w:ascii="Times New Roman" w:hAnsi="Times New Roman" w:cs="Times New Roman"/>
                <w:color w:val="000000"/>
                <w:sz w:val="22"/>
              </w:rPr>
              <w:t>0</w:t>
            </w:r>
          </w:p>
        </w:tc>
        <w:tc>
          <w:tcPr>
            <w:tcW w:w="1323" w:type="dxa"/>
            <w:tcBorders>
              <w:top w:val="single" w:color="auto" w:sz="4" w:space="0"/>
              <w:left w:val="nil"/>
              <w:bottom w:val="nil"/>
              <w:right w:val="double" w:color="000000" w:sz="6" w:space="0"/>
            </w:tcBorders>
            <w:shd w:val="clear" w:color="auto" w:fill="auto"/>
            <w:noWrap/>
            <w:vAlign w:val="center"/>
            <w:hideMark/>
          </w:tcPr>
          <w:p w:rsidRPr="00676782" w:rsidR="00B04B5F" w:rsidP="00E91639" w:rsidRDefault="00B04B5F" w14:paraId="5476B940" w14:textId="750533E9">
            <w:pPr>
              <w:spacing w:after="0"/>
              <w:jc w:val="center"/>
              <w:rPr>
                <w:rFonts w:ascii="Times New Roman" w:hAnsi="Times New Roman" w:cs="Times New Roman"/>
                <w:sz w:val="22"/>
              </w:rPr>
            </w:pPr>
            <w:r w:rsidRPr="00676782">
              <w:rPr>
                <w:rFonts w:ascii="Times New Roman" w:hAnsi="Times New Roman" w:cs="Times New Roman"/>
                <w:color w:val="000000"/>
                <w:sz w:val="22"/>
              </w:rPr>
              <w:t>$2</w:t>
            </w:r>
            <w:r w:rsidRPr="00676782" w:rsidR="008F4FFF">
              <w:rPr>
                <w:rFonts w:ascii="Times New Roman" w:hAnsi="Times New Roman" w:cs="Times New Roman"/>
                <w:color w:val="000000"/>
                <w:sz w:val="22"/>
              </w:rPr>
              <w:t>,</w:t>
            </w:r>
            <w:r w:rsidRPr="00676782" w:rsidR="008B0530">
              <w:rPr>
                <w:rFonts w:ascii="Times New Roman" w:hAnsi="Times New Roman" w:cs="Times New Roman"/>
                <w:color w:val="000000"/>
                <w:sz w:val="22"/>
              </w:rPr>
              <w:t>895</w:t>
            </w:r>
            <w:r w:rsidRPr="00676782" w:rsidR="008F4FFF">
              <w:rPr>
                <w:rFonts w:ascii="Times New Roman" w:hAnsi="Times New Roman" w:cs="Times New Roman"/>
                <w:color w:val="000000"/>
                <w:sz w:val="22"/>
              </w:rPr>
              <w:t>,</w:t>
            </w:r>
            <w:r w:rsidRPr="00676782" w:rsidR="008B0530">
              <w:rPr>
                <w:rFonts w:ascii="Times New Roman" w:hAnsi="Times New Roman" w:cs="Times New Roman"/>
                <w:color w:val="000000"/>
                <w:sz w:val="22"/>
              </w:rPr>
              <w:t>20</w:t>
            </w:r>
            <w:r w:rsidRPr="00676782" w:rsidR="008F4FFF">
              <w:rPr>
                <w:rFonts w:ascii="Times New Roman" w:hAnsi="Times New Roman" w:cs="Times New Roman"/>
                <w:color w:val="000000"/>
                <w:sz w:val="22"/>
              </w:rPr>
              <w:t>0</w:t>
            </w:r>
          </w:p>
        </w:tc>
      </w:tr>
      <w:tr w:rsidRPr="00676782" w:rsidR="00B04B5F" w:rsidTr="0020497A" w14:paraId="5792B38F" w14:textId="77777777">
        <w:trPr>
          <w:cantSplit/>
          <w:trHeight w:val="315"/>
        </w:trPr>
        <w:tc>
          <w:tcPr>
            <w:tcW w:w="7713" w:type="dxa"/>
            <w:gridSpan w:val="6"/>
            <w:tcBorders>
              <w:top w:val="single" w:color="000000" w:sz="8" w:space="0"/>
              <w:left w:val="double" w:color="000000" w:sz="6" w:space="0"/>
              <w:bottom w:val="double" w:color="000000" w:sz="6" w:space="0"/>
              <w:right w:val="nil"/>
            </w:tcBorders>
            <w:shd w:val="clear" w:color="auto" w:fill="auto"/>
            <w:vAlign w:val="center"/>
            <w:hideMark/>
          </w:tcPr>
          <w:p w:rsidRPr="00676782" w:rsidR="00B04B5F" w:rsidP="00E91639" w:rsidRDefault="00B04B5F" w14:paraId="486FF382"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Total Burden/Cost</w:t>
            </w:r>
          </w:p>
        </w:tc>
        <w:tc>
          <w:tcPr>
            <w:tcW w:w="1044" w:type="dxa"/>
            <w:tcBorders>
              <w:top w:val="single" w:color="000000" w:sz="8" w:space="0"/>
              <w:left w:val="single" w:color="000000" w:sz="8" w:space="0"/>
              <w:bottom w:val="double" w:color="000000" w:sz="6" w:space="0"/>
              <w:right w:val="single" w:color="000000" w:sz="8" w:space="0"/>
            </w:tcBorders>
            <w:shd w:val="clear" w:color="auto" w:fill="auto"/>
            <w:noWrap/>
            <w:vAlign w:val="center"/>
            <w:hideMark/>
          </w:tcPr>
          <w:p w:rsidRPr="00676782" w:rsidR="00B04B5F" w:rsidP="00E91639" w:rsidRDefault="006B12D3" w14:paraId="09DD8E22" w14:textId="691EC337">
            <w:pPr>
              <w:spacing w:after="0"/>
              <w:jc w:val="center"/>
              <w:rPr>
                <w:rFonts w:ascii="Times New Roman" w:hAnsi="Times New Roman" w:cs="Times New Roman"/>
                <w:b/>
                <w:bCs/>
                <w:sz w:val="22"/>
              </w:rPr>
            </w:pPr>
            <w:r>
              <w:rPr>
                <w:rFonts w:ascii="Times New Roman" w:hAnsi="Times New Roman" w:cs="Times New Roman"/>
                <w:b/>
                <w:bCs/>
                <w:color w:val="000000"/>
                <w:sz w:val="22"/>
              </w:rPr>
              <w:t>25</w:t>
            </w:r>
            <w:r w:rsidRPr="00676782" w:rsidR="0038595D">
              <w:rPr>
                <w:rFonts w:ascii="Times New Roman" w:hAnsi="Times New Roman" w:cs="Times New Roman"/>
                <w:b/>
                <w:bCs/>
                <w:color w:val="000000"/>
                <w:sz w:val="22"/>
              </w:rPr>
              <w:t>,</w:t>
            </w:r>
            <w:r>
              <w:rPr>
                <w:rFonts w:ascii="Times New Roman" w:hAnsi="Times New Roman" w:cs="Times New Roman"/>
                <w:b/>
                <w:bCs/>
                <w:color w:val="000000"/>
                <w:sz w:val="22"/>
              </w:rPr>
              <w:t>527</w:t>
            </w:r>
          </w:p>
        </w:tc>
        <w:tc>
          <w:tcPr>
            <w:tcW w:w="1323" w:type="dxa"/>
            <w:tcBorders>
              <w:top w:val="single" w:color="000000" w:sz="8" w:space="0"/>
              <w:left w:val="nil"/>
              <w:bottom w:val="double" w:color="000000" w:sz="6" w:space="0"/>
              <w:right w:val="double" w:color="000000" w:sz="6" w:space="0"/>
            </w:tcBorders>
            <w:shd w:val="clear" w:color="auto" w:fill="auto"/>
            <w:noWrap/>
            <w:vAlign w:val="center"/>
            <w:hideMark/>
          </w:tcPr>
          <w:p w:rsidRPr="00676782" w:rsidR="00B04B5F" w:rsidP="00E91639" w:rsidRDefault="00B04B5F" w14:paraId="13A261E8" w14:textId="5A8C6058">
            <w:pPr>
              <w:spacing w:after="0"/>
              <w:jc w:val="center"/>
              <w:rPr>
                <w:rFonts w:ascii="Times New Roman" w:hAnsi="Times New Roman" w:cs="Times New Roman"/>
                <w:b/>
                <w:bCs/>
                <w:sz w:val="22"/>
              </w:rPr>
            </w:pPr>
            <w:r w:rsidRPr="00676782">
              <w:rPr>
                <w:rFonts w:ascii="Times New Roman" w:hAnsi="Times New Roman" w:cs="Times New Roman"/>
                <w:b/>
                <w:bCs/>
                <w:color w:val="000000"/>
                <w:sz w:val="22"/>
              </w:rPr>
              <w:t>$</w:t>
            </w:r>
            <w:r w:rsidRPr="00676782" w:rsidR="0038595D">
              <w:rPr>
                <w:rFonts w:ascii="Times New Roman" w:hAnsi="Times New Roman" w:cs="Times New Roman"/>
                <w:b/>
                <w:bCs/>
                <w:color w:val="000000"/>
                <w:sz w:val="22"/>
              </w:rPr>
              <w:t>4,788,895</w:t>
            </w:r>
          </w:p>
        </w:tc>
      </w:tr>
    </w:tbl>
    <w:p w:rsidRPr="00676782" w:rsidR="00B04B5F" w:rsidP="00B04B5F" w:rsidRDefault="00B04B5F" w14:paraId="272334B6" w14:textId="77777777">
      <w:pPr>
        <w:numPr>
          <w:ilvl w:val="12"/>
          <w:numId w:val="0"/>
        </w:numPr>
        <w:rPr>
          <w:rFonts w:ascii="Times New Roman" w:hAnsi="Times New Roman" w:cs="Times New Roman"/>
        </w:rPr>
      </w:pPr>
    </w:p>
    <w:p w:rsidRPr="00676782" w:rsidR="00B04B5F" w:rsidP="00B04B5F" w:rsidRDefault="00B04B5F" w14:paraId="29CF14F2" w14:textId="76800352">
      <w:pPr>
        <w:numPr>
          <w:ilvl w:val="12"/>
          <w:numId w:val="0"/>
        </w:numPr>
        <w:rPr>
          <w:rFonts w:ascii="Times New Roman" w:hAnsi="Times New Roman" w:cs="Times New Roman"/>
        </w:rPr>
      </w:pPr>
      <w:r w:rsidRPr="00676782">
        <w:rPr>
          <w:rFonts w:ascii="Times New Roman" w:hAnsi="Times New Roman" w:cs="Times New Roman"/>
        </w:rPr>
        <w:t>The unit burden for recordkeeping is multiplied by the total number of allegations.  Total annual recordkeeping burden is 22,109 hours. The unit cost for recordkeeping of $3</w:t>
      </w:r>
      <w:r w:rsidRPr="00676782" w:rsidR="008B0530">
        <w:rPr>
          <w:rFonts w:ascii="Times New Roman" w:hAnsi="Times New Roman" w:cs="Times New Roman"/>
        </w:rPr>
        <w:t>25.00</w:t>
      </w:r>
      <w:r w:rsidRPr="00676782">
        <w:rPr>
          <w:rFonts w:ascii="Times New Roman" w:hAnsi="Times New Roman" w:cs="Times New Roman"/>
        </w:rPr>
        <w:t xml:space="preserve"> is multiplied by the average annual number of allegations per year (5,527) and the total annual recordkeeping cost is $1,7</w:t>
      </w:r>
      <w:r w:rsidRPr="00676782" w:rsidR="008B0530">
        <w:rPr>
          <w:rFonts w:ascii="Times New Roman" w:hAnsi="Times New Roman" w:cs="Times New Roman"/>
        </w:rPr>
        <w:t>96,725</w:t>
      </w:r>
      <w:r w:rsidRPr="00676782">
        <w:rPr>
          <w:rFonts w:ascii="Times New Roman" w:hAnsi="Times New Roman" w:cs="Times New Roman"/>
        </w:rPr>
        <w:t xml:space="preserve">.  </w:t>
      </w:r>
    </w:p>
    <w:p w:rsidRPr="00676782" w:rsidR="00B04B5F" w:rsidP="00B04B5F" w:rsidRDefault="00B04B5F" w14:paraId="6506792D" w14:textId="5C484BB7">
      <w:pPr>
        <w:numPr>
          <w:ilvl w:val="12"/>
          <w:numId w:val="0"/>
        </w:numPr>
        <w:rPr>
          <w:rFonts w:ascii="Times New Roman" w:hAnsi="Times New Roman" w:cs="Times New Roman"/>
        </w:rPr>
      </w:pPr>
      <w:r w:rsidRPr="00676782">
        <w:rPr>
          <w:rFonts w:ascii="Times New Roman" w:hAnsi="Times New Roman" w:cs="Times New Roman"/>
        </w:rPr>
        <w:t xml:space="preserve">Despite the infrequency with which the Agency actually publishes TSCA section 8(c) notices, EPA conservatively assumes that 16 TSCA section 8(c) reports will be submitted annually, in response to the publication of a single, assumed TSCA section 8(c) notice per year. The estimated number of 16 annual responses is based on the 31 reports received in response to the two TSCA section 8(c) notices published in the 27–year history of the rule.  The estimated annual reporting burden hour is 16 reports x 8 hours per report (from Unit Reporting Burden and Costs), or 128 hours. The cost of submitting these reports is determined by multiplying the annual number of reports by the unit reporting cost </w:t>
      </w:r>
      <w:r w:rsidRPr="00676782" w:rsidR="0079734E">
        <w:rPr>
          <w:rFonts w:ascii="Times New Roman" w:hAnsi="Times New Roman" w:cs="Times New Roman"/>
        </w:rPr>
        <w:t xml:space="preserve">(16 x </w:t>
      </w:r>
      <w:r w:rsidRPr="00676782">
        <w:rPr>
          <w:rFonts w:ascii="Times New Roman" w:hAnsi="Times New Roman" w:cs="Times New Roman"/>
        </w:rPr>
        <w:t>$60</w:t>
      </w:r>
      <w:r w:rsidRPr="00676782" w:rsidR="008B0530">
        <w:rPr>
          <w:rFonts w:ascii="Times New Roman" w:hAnsi="Times New Roman" w:cs="Times New Roman"/>
        </w:rPr>
        <w:t>6.06</w:t>
      </w:r>
      <w:r w:rsidRPr="00676782" w:rsidR="0079734E">
        <w:rPr>
          <w:rFonts w:ascii="Times New Roman" w:hAnsi="Times New Roman" w:cs="Times New Roman"/>
        </w:rPr>
        <w:t>)</w:t>
      </w:r>
      <w:r w:rsidRPr="00676782">
        <w:rPr>
          <w:rFonts w:ascii="Times New Roman" w:hAnsi="Times New Roman" w:cs="Times New Roman"/>
        </w:rPr>
        <w:t>. The estimated total annual reporting cost is $9</w:t>
      </w:r>
      <w:r w:rsidRPr="00676782" w:rsidR="0079734E">
        <w:rPr>
          <w:rFonts w:ascii="Times New Roman" w:hAnsi="Times New Roman" w:cs="Times New Roman"/>
        </w:rPr>
        <w:t>,</w:t>
      </w:r>
      <w:r w:rsidRPr="00676782">
        <w:rPr>
          <w:rFonts w:ascii="Times New Roman" w:hAnsi="Times New Roman" w:cs="Times New Roman"/>
        </w:rPr>
        <w:t>6</w:t>
      </w:r>
      <w:r w:rsidRPr="00676782" w:rsidR="0079734E">
        <w:rPr>
          <w:rFonts w:ascii="Times New Roman" w:hAnsi="Times New Roman" w:cs="Times New Roman"/>
        </w:rPr>
        <w:t>97</w:t>
      </w:r>
      <w:r w:rsidRPr="00676782">
        <w:rPr>
          <w:rFonts w:ascii="Times New Roman" w:hAnsi="Times New Roman" w:cs="Times New Roman"/>
        </w:rPr>
        <w:t>.</w:t>
      </w:r>
    </w:p>
    <w:p w:rsidRPr="00676782" w:rsidR="00B04B5F" w:rsidP="00B04B5F" w:rsidRDefault="00B04B5F" w14:paraId="3B824CB8" w14:textId="3C85695C">
      <w:pPr>
        <w:numPr>
          <w:ilvl w:val="12"/>
          <w:numId w:val="0"/>
        </w:numPr>
        <w:rPr>
          <w:rFonts w:ascii="Times New Roman" w:hAnsi="Times New Roman" w:cs="Times New Roman"/>
          <w:sz w:val="20"/>
          <w:szCs w:val="20"/>
        </w:rPr>
      </w:pPr>
      <w:r w:rsidRPr="00676782">
        <w:rPr>
          <w:rFonts w:ascii="Times New Roman" w:hAnsi="Times New Roman" w:cs="Times New Roman"/>
        </w:rPr>
        <w:t xml:space="preserve">Historically, the Agency has published an average of only 0.08 notices each year since 1983, as EPA has published only two notices to date. In light of that history, EPA conservatively assumes that it will publish a single, TSCA section 8(c) notice each year. Given this assumption, an estimated unit burden of 0.25 hours per notice, and an estimated 13,160 firms that will read the </w:t>
      </w:r>
      <w:r w:rsidRPr="00676782">
        <w:rPr>
          <w:rFonts w:ascii="Times New Roman" w:hAnsi="Times New Roman" w:cs="Times New Roman"/>
          <w:b/>
          <w:bCs/>
        </w:rPr>
        <w:t>Federal Register</w:t>
      </w:r>
      <w:r w:rsidRPr="00676782">
        <w:rPr>
          <w:rFonts w:ascii="Times New Roman" w:hAnsi="Times New Roman" w:cs="Times New Roman"/>
        </w:rPr>
        <w:t xml:space="preserve"> notice to determine compliance obligations, the estimated annual industry burden is </w:t>
      </w:r>
      <w:r w:rsidRPr="00676782" w:rsidR="00B57DD9">
        <w:rPr>
          <w:rFonts w:ascii="Times New Roman" w:hAnsi="Times New Roman" w:cs="Times New Roman"/>
        </w:rPr>
        <w:t>3</w:t>
      </w:r>
      <w:r w:rsidRPr="00676782" w:rsidR="00F80DB3">
        <w:rPr>
          <w:rFonts w:ascii="Times New Roman" w:hAnsi="Times New Roman" w:cs="Times New Roman"/>
        </w:rPr>
        <w:t>,</w:t>
      </w:r>
      <w:r w:rsidRPr="00676782" w:rsidR="00B57DD9">
        <w:rPr>
          <w:rFonts w:ascii="Times New Roman" w:hAnsi="Times New Roman" w:cs="Times New Roman"/>
        </w:rPr>
        <w:t>290</w:t>
      </w:r>
      <w:r w:rsidRPr="00676782">
        <w:rPr>
          <w:rFonts w:ascii="Times New Roman" w:hAnsi="Times New Roman" w:cs="Times New Roman"/>
        </w:rPr>
        <w:t xml:space="preserve"> hours</w:t>
      </w:r>
      <w:r w:rsidRPr="00676782" w:rsidR="0079734E">
        <w:rPr>
          <w:rFonts w:ascii="Times New Roman" w:hAnsi="Times New Roman" w:cs="Times New Roman"/>
        </w:rPr>
        <w:t xml:space="preserve"> (0.25 x 13,160)</w:t>
      </w:r>
      <w:r w:rsidRPr="00676782">
        <w:rPr>
          <w:rFonts w:ascii="Times New Roman" w:hAnsi="Times New Roman" w:cs="Times New Roman"/>
        </w:rPr>
        <w:t xml:space="preserve">.  The estimated annual cost to industry of reviewing the </w:t>
      </w:r>
      <w:r w:rsidRPr="00676782">
        <w:rPr>
          <w:rFonts w:ascii="Times New Roman" w:hAnsi="Times New Roman" w:cs="Times New Roman"/>
          <w:b/>
          <w:bCs/>
        </w:rPr>
        <w:t>Federal Register</w:t>
      </w:r>
      <w:r w:rsidRPr="00676782">
        <w:rPr>
          <w:rFonts w:ascii="Times New Roman" w:hAnsi="Times New Roman" w:cs="Times New Roman"/>
        </w:rPr>
        <w:t xml:space="preserve"> notices is estimated using the unit cost for </w:t>
      </w:r>
      <w:r w:rsidRPr="00676782">
        <w:rPr>
          <w:rFonts w:ascii="Times New Roman" w:hAnsi="Times New Roman" w:cs="Times New Roman"/>
          <w:b/>
          <w:bCs/>
        </w:rPr>
        <w:t>Federal Register</w:t>
      </w:r>
      <w:r w:rsidRPr="00676782">
        <w:rPr>
          <w:rFonts w:ascii="Times New Roman" w:hAnsi="Times New Roman" w:cs="Times New Roman"/>
        </w:rPr>
        <w:t xml:space="preserve"> review at $2</w:t>
      </w:r>
      <w:r w:rsidRPr="00676782" w:rsidR="008B0530">
        <w:rPr>
          <w:rFonts w:ascii="Times New Roman" w:hAnsi="Times New Roman" w:cs="Times New Roman"/>
        </w:rPr>
        <w:t>2.00</w:t>
      </w:r>
      <w:r w:rsidRPr="00676782">
        <w:rPr>
          <w:rFonts w:ascii="Times New Roman" w:hAnsi="Times New Roman" w:cs="Times New Roman"/>
        </w:rPr>
        <w:t xml:space="preserve"> and multiplying by 13,160 firms reading 1</w:t>
      </w:r>
      <w:r w:rsidRPr="00676782" w:rsidR="0038595D">
        <w:rPr>
          <w:rFonts w:ascii="Times New Roman" w:hAnsi="Times New Roman" w:cs="Times New Roman"/>
        </w:rPr>
        <w:t>0</w:t>
      </w:r>
      <w:r w:rsidRPr="00676782">
        <w:rPr>
          <w:rFonts w:ascii="Times New Roman" w:hAnsi="Times New Roman" w:cs="Times New Roman"/>
        </w:rPr>
        <w:t xml:space="preserve"> notice per year to obtain $2</w:t>
      </w:r>
      <w:r w:rsidRPr="00676782" w:rsidR="00B57DD9">
        <w:rPr>
          <w:rFonts w:ascii="Times New Roman" w:hAnsi="Times New Roman" w:cs="Times New Roman"/>
        </w:rPr>
        <w:t>,</w:t>
      </w:r>
      <w:r w:rsidRPr="00676782" w:rsidR="008B0530">
        <w:rPr>
          <w:rFonts w:ascii="Times New Roman" w:hAnsi="Times New Roman" w:cs="Times New Roman"/>
        </w:rPr>
        <w:t>89</w:t>
      </w:r>
      <w:r w:rsidRPr="00676782" w:rsidR="00B57DD9">
        <w:rPr>
          <w:rFonts w:ascii="Times New Roman" w:hAnsi="Times New Roman" w:cs="Times New Roman"/>
        </w:rPr>
        <w:t>5,200</w:t>
      </w:r>
      <w:r w:rsidRPr="00676782" w:rsidR="0079734E">
        <w:rPr>
          <w:rFonts w:ascii="Times New Roman" w:hAnsi="Times New Roman" w:cs="Times New Roman"/>
        </w:rPr>
        <w:t xml:space="preserve"> ($22 x (13,160 x 10))</w:t>
      </w:r>
      <w:r w:rsidRPr="00676782">
        <w:rPr>
          <w:rFonts w:ascii="Times New Roman" w:hAnsi="Times New Roman" w:cs="Times New Roman"/>
        </w:rPr>
        <w:t>.</w:t>
      </w:r>
    </w:p>
    <w:p w:rsidRPr="00676782" w:rsidR="00B04B5F" w:rsidP="00B04B5F" w:rsidRDefault="00B04B5F" w14:paraId="1975C5AB" w14:textId="3D024933">
      <w:pPr>
        <w:numPr>
          <w:ilvl w:val="12"/>
          <w:numId w:val="0"/>
        </w:numPr>
        <w:rPr>
          <w:rFonts w:ascii="Times New Roman" w:hAnsi="Times New Roman" w:cs="Times New Roman"/>
        </w:rPr>
      </w:pPr>
      <w:r w:rsidRPr="00676782">
        <w:rPr>
          <w:rFonts w:ascii="Times New Roman" w:hAnsi="Times New Roman" w:cs="Times New Roman"/>
        </w:rPr>
        <w:t xml:space="preserve">The total </w:t>
      </w:r>
      <w:r w:rsidRPr="00676782" w:rsidR="0079734E">
        <w:rPr>
          <w:rFonts w:ascii="Times New Roman" w:hAnsi="Times New Roman" w:cs="Times New Roman"/>
        </w:rPr>
        <w:t xml:space="preserve">paperwork </w:t>
      </w:r>
      <w:r w:rsidRPr="00676782">
        <w:rPr>
          <w:rFonts w:ascii="Times New Roman" w:hAnsi="Times New Roman" w:cs="Times New Roman"/>
        </w:rPr>
        <w:t xml:space="preserve">burden on the regulated community imposed by TSCA section 8(c) is the sum of the three components identified above (recordkeeping, reporting, and </w:t>
      </w:r>
      <w:r w:rsidRPr="00676782">
        <w:rPr>
          <w:rFonts w:ascii="Times New Roman" w:hAnsi="Times New Roman" w:cs="Times New Roman"/>
          <w:b/>
          <w:bCs/>
        </w:rPr>
        <w:t>Federal Register</w:t>
      </w:r>
      <w:r w:rsidRPr="00676782">
        <w:rPr>
          <w:rFonts w:ascii="Times New Roman" w:hAnsi="Times New Roman" w:cs="Times New Roman"/>
        </w:rPr>
        <w:t xml:space="preserve"> notice review) and estimated at </w:t>
      </w:r>
      <w:r w:rsidRPr="00676782" w:rsidR="00665E81">
        <w:rPr>
          <w:rFonts w:ascii="Times New Roman" w:hAnsi="Times New Roman" w:cs="Times New Roman"/>
        </w:rPr>
        <w:t>25,527</w:t>
      </w:r>
      <w:r w:rsidRPr="00676782">
        <w:rPr>
          <w:rFonts w:ascii="Times New Roman" w:hAnsi="Times New Roman" w:cs="Times New Roman"/>
        </w:rPr>
        <w:t xml:space="preserve"> hours annually with an associated annual cost of $</w:t>
      </w:r>
      <w:r w:rsidRPr="00676782" w:rsidR="0038595D">
        <w:rPr>
          <w:rFonts w:ascii="Times New Roman" w:hAnsi="Times New Roman" w:cs="Times New Roman"/>
        </w:rPr>
        <w:t>4,7</w:t>
      </w:r>
      <w:r w:rsidRPr="00676782" w:rsidR="00665E81">
        <w:rPr>
          <w:rFonts w:ascii="Times New Roman" w:hAnsi="Times New Roman" w:cs="Times New Roman"/>
        </w:rPr>
        <w:t>01,622</w:t>
      </w:r>
      <w:r w:rsidRPr="00676782">
        <w:rPr>
          <w:rFonts w:ascii="Times New Roman" w:hAnsi="Times New Roman" w:cs="Times New Roman"/>
        </w:rPr>
        <w:t xml:space="preserve">. These </w:t>
      </w:r>
      <w:r w:rsidRPr="00676782" w:rsidR="0079734E">
        <w:rPr>
          <w:rFonts w:ascii="Times New Roman" w:hAnsi="Times New Roman" w:cs="Times New Roman"/>
        </w:rPr>
        <w:t>totals</w:t>
      </w:r>
      <w:r w:rsidRPr="00676782">
        <w:rPr>
          <w:rFonts w:ascii="Times New Roman" w:hAnsi="Times New Roman" w:cs="Times New Roman"/>
        </w:rPr>
        <w:t xml:space="preserve">, shown in </w:t>
      </w:r>
      <w:r w:rsidRPr="00676782" w:rsidR="00665E81">
        <w:rPr>
          <w:rFonts w:ascii="Times New Roman" w:hAnsi="Times New Roman" w:cs="Times New Roman"/>
        </w:rPr>
        <w:t>T</w:t>
      </w:r>
      <w:r w:rsidRPr="00676782">
        <w:rPr>
          <w:rFonts w:ascii="Times New Roman" w:hAnsi="Times New Roman" w:cs="Times New Roman"/>
        </w:rPr>
        <w:t xml:space="preserve">able </w:t>
      </w:r>
      <w:r w:rsidRPr="00676782" w:rsidR="0079734E">
        <w:rPr>
          <w:rFonts w:ascii="Times New Roman" w:hAnsi="Times New Roman" w:cs="Times New Roman"/>
        </w:rPr>
        <w:t>7</w:t>
      </w:r>
      <w:r w:rsidRPr="00676782">
        <w:rPr>
          <w:rFonts w:ascii="Times New Roman" w:hAnsi="Times New Roman" w:cs="Times New Roman"/>
        </w:rPr>
        <w:t xml:space="preserve">, </w:t>
      </w:r>
      <w:r w:rsidRPr="00676782" w:rsidR="0079734E">
        <w:rPr>
          <w:rFonts w:ascii="Times New Roman" w:hAnsi="Times New Roman" w:cs="Times New Roman"/>
        </w:rPr>
        <w:t xml:space="preserve">is </w:t>
      </w:r>
      <w:r w:rsidRPr="00676782" w:rsidR="00665E81">
        <w:rPr>
          <w:rFonts w:ascii="Times New Roman" w:hAnsi="Times New Roman" w:cs="Times New Roman"/>
        </w:rPr>
        <w:t xml:space="preserve">the </w:t>
      </w:r>
      <w:r w:rsidRPr="00676782" w:rsidR="0079734E">
        <w:rPr>
          <w:rFonts w:ascii="Times New Roman" w:hAnsi="Times New Roman" w:cs="Times New Roman"/>
        </w:rPr>
        <w:t xml:space="preserve">estimated </w:t>
      </w:r>
      <w:r w:rsidRPr="00676782" w:rsidR="00665E81">
        <w:rPr>
          <w:rFonts w:ascii="Times New Roman" w:hAnsi="Times New Roman" w:cs="Times New Roman"/>
        </w:rPr>
        <w:t xml:space="preserve">annual burden and burden costs </w:t>
      </w:r>
      <w:r w:rsidRPr="00676782" w:rsidR="0079734E">
        <w:rPr>
          <w:rFonts w:ascii="Times New Roman" w:hAnsi="Times New Roman" w:cs="Times New Roman"/>
        </w:rPr>
        <w:t xml:space="preserve">for </w:t>
      </w:r>
      <w:r w:rsidRPr="00676782">
        <w:rPr>
          <w:rFonts w:ascii="Times New Roman" w:hAnsi="Times New Roman" w:cs="Times New Roman"/>
        </w:rPr>
        <w:lastRenderedPageBreak/>
        <w:t>each of the three years covered by this ICR.</w:t>
      </w:r>
      <w:r w:rsidRPr="00676782" w:rsidR="00665E81">
        <w:rPr>
          <w:rFonts w:ascii="Times New Roman" w:hAnsi="Times New Roman" w:cs="Times New Roman"/>
        </w:rPr>
        <w:t xml:space="preserve"> There are no separate or additional costs associated with maintenance and operations (i.e., non-burden costs)</w:t>
      </w:r>
    </w:p>
    <w:p w:rsidRPr="00676782" w:rsidR="00B04B5F" w:rsidP="00B04B5F" w:rsidRDefault="00B04B5F" w14:paraId="562CFFCB" w14:textId="77777777">
      <w:pPr>
        <w:rPr>
          <w:rFonts w:ascii="Times New Roman" w:hAnsi="Times New Roman" w:cs="Times New Roman"/>
        </w:rPr>
      </w:pPr>
      <w:r w:rsidRPr="00676782">
        <w:rPr>
          <w:rFonts w:ascii="Times New Roman" w:hAnsi="Times New Roman" w:cs="Times New Roman"/>
        </w:rPr>
        <w:t>Table 7. Overall Total Industry Burden and Cost</w:t>
      </w:r>
    </w:p>
    <w:tbl>
      <w:tblPr>
        <w:tblW w:w="10080" w:type="dxa"/>
        <w:tblInd w:w="-23" w:type="dxa"/>
        <w:tblLook w:val="0000" w:firstRow="0" w:lastRow="0" w:firstColumn="0" w:lastColumn="0" w:noHBand="0" w:noVBand="0"/>
      </w:tblPr>
      <w:tblGrid>
        <w:gridCol w:w="2520"/>
        <w:gridCol w:w="1800"/>
        <w:gridCol w:w="1620"/>
        <w:gridCol w:w="2070"/>
        <w:gridCol w:w="2070"/>
      </w:tblGrid>
      <w:tr w:rsidRPr="00676782" w:rsidR="00B04B5F" w:rsidTr="00E91639" w14:paraId="45DB2341" w14:textId="77777777">
        <w:trPr>
          <w:cantSplit/>
          <w:trHeight w:val="657"/>
        </w:trPr>
        <w:tc>
          <w:tcPr>
            <w:tcW w:w="2520" w:type="dxa"/>
            <w:tcBorders>
              <w:top w:val="double" w:color="000000" w:sz="6" w:space="0"/>
              <w:left w:val="double" w:color="000000" w:sz="6" w:space="0"/>
              <w:bottom w:val="single" w:color="auto" w:sz="4" w:space="0"/>
              <w:right w:val="single" w:color="auto" w:sz="4" w:space="0"/>
            </w:tcBorders>
            <w:shd w:val="clear" w:color="auto" w:fill="D9D9D9" w:themeFill="background1" w:themeFillShade="D9"/>
            <w:vAlign w:val="center"/>
          </w:tcPr>
          <w:p w:rsidRPr="00676782" w:rsidR="00B04B5F" w:rsidP="00E91639" w:rsidRDefault="00B04B5F" w14:paraId="175E0450" w14:textId="77777777">
            <w:pPr>
              <w:keepNext/>
              <w:spacing w:after="0"/>
              <w:jc w:val="center"/>
              <w:rPr>
                <w:rFonts w:ascii="Times New Roman" w:hAnsi="Times New Roman" w:cs="Times New Roman"/>
                <w:b/>
                <w:bCs/>
                <w:sz w:val="22"/>
              </w:rPr>
            </w:pPr>
            <w:r w:rsidRPr="00676782">
              <w:rPr>
                <w:rFonts w:ascii="Times New Roman" w:hAnsi="Times New Roman" w:cs="Times New Roman"/>
                <w:b/>
                <w:bCs/>
                <w:sz w:val="22"/>
              </w:rPr>
              <w:t>Collection Activity</w:t>
            </w:r>
          </w:p>
        </w:tc>
        <w:tc>
          <w:tcPr>
            <w:tcW w:w="1800" w:type="dxa"/>
            <w:tcBorders>
              <w:top w:val="double" w:color="000000" w:sz="6" w:space="0"/>
              <w:left w:val="single" w:color="auto" w:sz="4" w:space="0"/>
              <w:bottom w:val="single" w:color="auto" w:sz="4" w:space="0"/>
              <w:right w:val="single" w:color="auto" w:sz="4" w:space="0"/>
            </w:tcBorders>
            <w:shd w:val="clear" w:color="auto" w:fill="D9D9D9" w:themeFill="background1" w:themeFillShade="D9"/>
            <w:vAlign w:val="center"/>
          </w:tcPr>
          <w:p w:rsidRPr="00676782" w:rsidR="00B04B5F" w:rsidP="00E91639" w:rsidRDefault="00B04B5F" w14:paraId="0CD82451" w14:textId="1BBF077D">
            <w:pPr>
              <w:keepNext/>
              <w:spacing w:after="0"/>
              <w:jc w:val="center"/>
              <w:rPr>
                <w:rFonts w:ascii="Times New Roman" w:hAnsi="Times New Roman" w:cs="Times New Roman"/>
                <w:b/>
                <w:bCs/>
                <w:sz w:val="22"/>
              </w:rPr>
            </w:pPr>
          </w:p>
        </w:tc>
        <w:tc>
          <w:tcPr>
            <w:tcW w:w="1620" w:type="dxa"/>
            <w:tcBorders>
              <w:top w:val="double" w:color="000000" w:sz="6" w:space="0"/>
              <w:left w:val="single" w:color="auto" w:sz="4" w:space="0"/>
              <w:bottom w:val="single" w:color="auto" w:sz="4" w:space="0"/>
              <w:right w:val="single" w:color="auto" w:sz="4" w:space="0"/>
            </w:tcBorders>
            <w:shd w:val="clear" w:color="auto" w:fill="D9D9D9" w:themeFill="background1" w:themeFillShade="D9"/>
            <w:vAlign w:val="center"/>
          </w:tcPr>
          <w:p w:rsidRPr="00676782" w:rsidR="00B04B5F" w:rsidP="00E91639" w:rsidRDefault="00B04B5F" w14:paraId="5AF5F431" w14:textId="77777777">
            <w:pPr>
              <w:keepNext/>
              <w:spacing w:after="0"/>
              <w:jc w:val="center"/>
              <w:rPr>
                <w:rFonts w:ascii="Times New Roman" w:hAnsi="Times New Roman" w:cs="Times New Roman"/>
                <w:b/>
                <w:bCs/>
                <w:sz w:val="22"/>
              </w:rPr>
            </w:pPr>
            <w:r w:rsidRPr="00676782">
              <w:rPr>
                <w:rFonts w:ascii="Times New Roman" w:hAnsi="Times New Roman" w:cs="Times New Roman"/>
                <w:b/>
                <w:bCs/>
                <w:sz w:val="22"/>
              </w:rPr>
              <w:t>Number of Responses</w:t>
            </w:r>
          </w:p>
        </w:tc>
        <w:tc>
          <w:tcPr>
            <w:tcW w:w="2070" w:type="dxa"/>
            <w:tcBorders>
              <w:top w:val="double" w:color="000000" w:sz="6" w:space="0"/>
              <w:left w:val="single" w:color="auto" w:sz="4" w:space="0"/>
              <w:bottom w:val="single" w:color="auto" w:sz="4" w:space="0"/>
              <w:right w:val="single" w:color="auto" w:sz="4" w:space="0"/>
            </w:tcBorders>
            <w:shd w:val="clear" w:color="auto" w:fill="D9D9D9" w:themeFill="background1" w:themeFillShade="D9"/>
            <w:vAlign w:val="center"/>
          </w:tcPr>
          <w:p w:rsidRPr="00676782" w:rsidR="00B04B5F" w:rsidP="00E91639" w:rsidRDefault="00B04B5F" w14:paraId="28A5E18E" w14:textId="0A8F17B6">
            <w:pPr>
              <w:keepNext/>
              <w:spacing w:after="0"/>
              <w:jc w:val="center"/>
              <w:rPr>
                <w:rFonts w:ascii="Times New Roman" w:hAnsi="Times New Roman" w:cs="Times New Roman"/>
                <w:b/>
                <w:bCs/>
                <w:sz w:val="22"/>
              </w:rPr>
            </w:pPr>
            <w:r w:rsidRPr="00676782">
              <w:rPr>
                <w:rFonts w:ascii="Times New Roman" w:hAnsi="Times New Roman" w:cs="Times New Roman"/>
                <w:b/>
                <w:bCs/>
                <w:sz w:val="22"/>
              </w:rPr>
              <w:t>Total Annual Burden Hours</w:t>
            </w:r>
          </w:p>
        </w:tc>
        <w:tc>
          <w:tcPr>
            <w:tcW w:w="2070" w:type="dxa"/>
            <w:tcBorders>
              <w:top w:val="double" w:color="000000" w:sz="6" w:space="0"/>
              <w:left w:val="single" w:color="auto" w:sz="4" w:space="0"/>
              <w:bottom w:val="single" w:color="auto" w:sz="4" w:space="0"/>
              <w:right w:val="double" w:color="000000" w:sz="6" w:space="0"/>
            </w:tcBorders>
            <w:shd w:val="clear" w:color="auto" w:fill="D9D9D9" w:themeFill="background1" w:themeFillShade="D9"/>
            <w:vAlign w:val="center"/>
          </w:tcPr>
          <w:p w:rsidRPr="00676782" w:rsidR="00B04B5F" w:rsidP="00E91639" w:rsidRDefault="00B04B5F" w14:paraId="7ECAD1AF" w14:textId="4620300E">
            <w:pPr>
              <w:keepNext/>
              <w:spacing w:after="0"/>
              <w:jc w:val="center"/>
              <w:rPr>
                <w:rFonts w:ascii="Times New Roman" w:hAnsi="Times New Roman" w:cs="Times New Roman"/>
                <w:b/>
                <w:bCs/>
                <w:sz w:val="22"/>
              </w:rPr>
            </w:pPr>
            <w:r w:rsidRPr="00676782">
              <w:rPr>
                <w:rFonts w:ascii="Times New Roman" w:hAnsi="Times New Roman" w:cs="Times New Roman"/>
                <w:b/>
                <w:bCs/>
                <w:sz w:val="22"/>
              </w:rPr>
              <w:t xml:space="preserve">Total Annual </w:t>
            </w:r>
            <w:r w:rsidRPr="00676782" w:rsidR="00665E81">
              <w:rPr>
                <w:rFonts w:ascii="Times New Roman" w:hAnsi="Times New Roman" w:cs="Times New Roman"/>
                <w:b/>
                <w:bCs/>
                <w:sz w:val="22"/>
              </w:rPr>
              <w:t xml:space="preserve">Burden </w:t>
            </w:r>
            <w:r w:rsidRPr="00676782">
              <w:rPr>
                <w:rFonts w:ascii="Times New Roman" w:hAnsi="Times New Roman" w:cs="Times New Roman"/>
                <w:b/>
                <w:bCs/>
                <w:sz w:val="22"/>
              </w:rPr>
              <w:t>Cost</w:t>
            </w:r>
          </w:p>
        </w:tc>
      </w:tr>
      <w:tr w:rsidRPr="00676782" w:rsidR="00B04B5F" w:rsidTr="00E91639" w14:paraId="5EF7C59A" w14:textId="77777777">
        <w:trPr>
          <w:cantSplit/>
          <w:trHeight w:val="330"/>
        </w:trPr>
        <w:tc>
          <w:tcPr>
            <w:tcW w:w="2520" w:type="dxa"/>
            <w:tcBorders>
              <w:top w:val="single" w:color="auto" w:sz="4" w:space="0"/>
              <w:left w:val="double" w:color="000000" w:sz="6" w:space="0"/>
              <w:bottom w:val="single" w:color="auto" w:sz="4" w:space="0"/>
              <w:right w:val="single" w:color="auto" w:sz="4" w:space="0"/>
            </w:tcBorders>
            <w:vAlign w:val="center"/>
          </w:tcPr>
          <w:p w:rsidRPr="00676782" w:rsidR="00B04B5F" w:rsidP="00E91639" w:rsidRDefault="00B04B5F" w14:paraId="02E4580C" w14:textId="77777777">
            <w:pPr>
              <w:keepNext/>
              <w:spacing w:after="0"/>
              <w:jc w:val="center"/>
              <w:rPr>
                <w:rFonts w:ascii="Times New Roman" w:hAnsi="Times New Roman" w:cs="Times New Roman"/>
                <w:sz w:val="22"/>
              </w:rPr>
            </w:pPr>
            <w:r w:rsidRPr="00676782">
              <w:rPr>
                <w:rFonts w:ascii="Times New Roman" w:hAnsi="Times New Roman" w:cs="Times New Roman"/>
                <w:sz w:val="22"/>
              </w:rPr>
              <w:t>Recordkeeping</w:t>
            </w:r>
          </w:p>
        </w:tc>
        <w:tc>
          <w:tcPr>
            <w:tcW w:w="1800" w:type="dxa"/>
            <w:tcBorders>
              <w:top w:val="single" w:color="auto" w:sz="4" w:space="0"/>
              <w:left w:val="single" w:color="auto" w:sz="4" w:space="0"/>
              <w:bottom w:val="single" w:color="auto" w:sz="4" w:space="0"/>
              <w:right w:val="single" w:color="auto" w:sz="4" w:space="0"/>
            </w:tcBorders>
            <w:vAlign w:val="center"/>
          </w:tcPr>
          <w:p w:rsidRPr="00676782" w:rsidR="00B04B5F" w:rsidP="00E91639" w:rsidRDefault="00B04B5F" w14:paraId="0D127943" w14:textId="2E8D57AB">
            <w:pPr>
              <w:keepNext/>
              <w:spacing w:after="0"/>
              <w:jc w:val="center"/>
              <w:rPr>
                <w:rFonts w:ascii="Times New Roman" w:hAnsi="Times New Roman" w:cs="Times New Roman"/>
                <w:sz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676782" w:rsidR="00B04B5F" w:rsidP="0020497A" w:rsidRDefault="00B04B5F" w14:paraId="18C2BBF6" w14:textId="77777777">
            <w:pPr>
              <w:keepNext/>
              <w:spacing w:after="0"/>
              <w:ind w:right="318"/>
              <w:jc w:val="center"/>
              <w:rPr>
                <w:rFonts w:ascii="Times New Roman" w:hAnsi="Times New Roman" w:cs="Times New Roman"/>
                <w:color w:val="000000"/>
                <w:sz w:val="22"/>
              </w:rPr>
            </w:pPr>
            <w:r w:rsidRPr="00676782">
              <w:rPr>
                <w:rFonts w:ascii="Times New Roman" w:hAnsi="Times New Roman" w:cs="Times New Roman"/>
                <w:color w:val="000000"/>
                <w:sz w:val="22"/>
              </w:rPr>
              <w:t>13,160</w:t>
            </w:r>
          </w:p>
        </w:tc>
        <w:tc>
          <w:tcPr>
            <w:tcW w:w="2070" w:type="dxa"/>
            <w:tcBorders>
              <w:top w:val="single" w:color="auto" w:sz="4" w:space="0"/>
              <w:left w:val="single" w:color="auto" w:sz="4" w:space="0"/>
              <w:bottom w:val="single" w:color="auto" w:sz="4" w:space="0"/>
              <w:right w:val="single" w:color="auto" w:sz="4" w:space="0"/>
            </w:tcBorders>
            <w:vAlign w:val="center"/>
          </w:tcPr>
          <w:p w:rsidRPr="00676782" w:rsidR="00B04B5F" w:rsidP="00665E81" w:rsidRDefault="00B04B5F" w14:paraId="01B194D1" w14:textId="79C5FD85">
            <w:pPr>
              <w:keepNext/>
              <w:spacing w:after="0"/>
              <w:jc w:val="center"/>
              <w:rPr>
                <w:rFonts w:ascii="Times New Roman" w:hAnsi="Times New Roman" w:cs="Times New Roman"/>
                <w:sz w:val="22"/>
              </w:rPr>
            </w:pPr>
            <w:r w:rsidRPr="00676782">
              <w:rPr>
                <w:rFonts w:ascii="Times New Roman" w:hAnsi="Times New Roman" w:cs="Times New Roman"/>
                <w:color w:val="000000"/>
                <w:sz w:val="22"/>
              </w:rPr>
              <w:t>22,109</w:t>
            </w:r>
          </w:p>
        </w:tc>
        <w:tc>
          <w:tcPr>
            <w:tcW w:w="2070" w:type="dxa"/>
            <w:tcBorders>
              <w:top w:val="single" w:color="auto" w:sz="4" w:space="0"/>
              <w:left w:val="single" w:color="auto" w:sz="4" w:space="0"/>
              <w:bottom w:val="single" w:color="auto" w:sz="4" w:space="0"/>
              <w:right w:val="double" w:color="000000" w:sz="6" w:space="0"/>
            </w:tcBorders>
            <w:vAlign w:val="center"/>
          </w:tcPr>
          <w:p w:rsidRPr="00676782" w:rsidR="00B04B5F" w:rsidP="0020497A" w:rsidRDefault="00B04B5F" w14:paraId="14A6D2F5" w14:textId="0241B1AA">
            <w:pPr>
              <w:keepNext/>
              <w:spacing w:after="0"/>
              <w:ind w:right="162"/>
              <w:jc w:val="right"/>
              <w:rPr>
                <w:rFonts w:ascii="Times New Roman" w:hAnsi="Times New Roman" w:cs="Times New Roman"/>
                <w:sz w:val="22"/>
              </w:rPr>
            </w:pPr>
            <w:r w:rsidRPr="00676782">
              <w:rPr>
                <w:rFonts w:ascii="Times New Roman" w:hAnsi="Times New Roman" w:cs="Times New Roman"/>
                <w:color w:val="000000"/>
                <w:sz w:val="22"/>
              </w:rPr>
              <w:t>$1</w:t>
            </w:r>
            <w:r w:rsidRPr="00676782" w:rsidR="008B0530">
              <w:rPr>
                <w:rFonts w:ascii="Times New Roman" w:hAnsi="Times New Roman" w:cs="Times New Roman"/>
                <w:color w:val="000000"/>
                <w:sz w:val="22"/>
              </w:rPr>
              <w:t>,</w:t>
            </w:r>
            <w:r w:rsidRPr="00676782">
              <w:rPr>
                <w:rFonts w:ascii="Times New Roman" w:hAnsi="Times New Roman" w:cs="Times New Roman"/>
                <w:color w:val="000000"/>
                <w:sz w:val="22"/>
              </w:rPr>
              <w:t>7</w:t>
            </w:r>
            <w:r w:rsidRPr="00676782" w:rsidR="008B0530">
              <w:rPr>
                <w:rFonts w:ascii="Times New Roman" w:hAnsi="Times New Roman" w:cs="Times New Roman"/>
                <w:color w:val="000000"/>
                <w:sz w:val="22"/>
              </w:rPr>
              <w:t>96,725</w:t>
            </w:r>
            <w:r w:rsidRPr="00676782">
              <w:rPr>
                <w:rFonts w:ascii="Times New Roman" w:hAnsi="Times New Roman" w:cs="Times New Roman"/>
                <w:color w:val="000000"/>
                <w:sz w:val="22"/>
              </w:rPr>
              <w:t xml:space="preserve"> </w:t>
            </w:r>
          </w:p>
        </w:tc>
      </w:tr>
      <w:tr w:rsidRPr="00676782" w:rsidR="00B04B5F" w:rsidTr="00E91639" w14:paraId="27E5EC25" w14:textId="77777777">
        <w:trPr>
          <w:cantSplit/>
          <w:trHeight w:val="330"/>
        </w:trPr>
        <w:tc>
          <w:tcPr>
            <w:tcW w:w="2520" w:type="dxa"/>
            <w:tcBorders>
              <w:top w:val="single" w:color="auto" w:sz="4" w:space="0"/>
              <w:left w:val="double" w:color="000000" w:sz="6" w:space="0"/>
              <w:bottom w:val="single" w:color="auto" w:sz="4" w:space="0"/>
              <w:right w:val="single" w:color="auto" w:sz="4" w:space="0"/>
            </w:tcBorders>
            <w:vAlign w:val="center"/>
          </w:tcPr>
          <w:p w:rsidRPr="00676782" w:rsidR="00B04B5F" w:rsidP="00E91639" w:rsidRDefault="00B04B5F" w14:paraId="62648DCE" w14:textId="77777777">
            <w:pPr>
              <w:keepNext/>
              <w:spacing w:after="0"/>
              <w:jc w:val="center"/>
              <w:rPr>
                <w:rFonts w:ascii="Times New Roman" w:hAnsi="Times New Roman" w:cs="Times New Roman"/>
                <w:sz w:val="22"/>
              </w:rPr>
            </w:pPr>
            <w:r w:rsidRPr="00676782">
              <w:rPr>
                <w:rFonts w:ascii="Times New Roman" w:hAnsi="Times New Roman" w:cs="Times New Roman"/>
                <w:sz w:val="22"/>
              </w:rPr>
              <w:t>Reporting</w:t>
            </w:r>
          </w:p>
        </w:tc>
        <w:tc>
          <w:tcPr>
            <w:tcW w:w="1800" w:type="dxa"/>
            <w:tcBorders>
              <w:top w:val="single" w:color="auto" w:sz="4" w:space="0"/>
              <w:left w:val="single" w:color="auto" w:sz="4" w:space="0"/>
              <w:bottom w:val="single" w:color="auto" w:sz="4" w:space="0"/>
              <w:right w:val="single" w:color="auto" w:sz="4" w:space="0"/>
            </w:tcBorders>
            <w:vAlign w:val="center"/>
          </w:tcPr>
          <w:p w:rsidRPr="00676782" w:rsidR="00B04B5F" w:rsidP="00E91639" w:rsidRDefault="00B04B5F" w14:paraId="46A10CB9" w14:textId="09877B09">
            <w:pPr>
              <w:keepNext/>
              <w:spacing w:after="0"/>
              <w:jc w:val="center"/>
              <w:rPr>
                <w:rFonts w:ascii="Times New Roman" w:hAnsi="Times New Roman" w:cs="Times New Roman"/>
                <w:sz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676782" w:rsidR="00B04B5F" w:rsidP="0020497A" w:rsidRDefault="00B04B5F" w14:paraId="2B71FCD6" w14:textId="4C93508A">
            <w:pPr>
              <w:keepNext/>
              <w:spacing w:after="0"/>
              <w:ind w:right="318"/>
              <w:jc w:val="center"/>
              <w:rPr>
                <w:rFonts w:ascii="Times New Roman" w:hAnsi="Times New Roman" w:cs="Times New Roman"/>
                <w:color w:val="000000"/>
                <w:sz w:val="22"/>
              </w:rPr>
            </w:pPr>
            <w:r w:rsidRPr="00676782">
              <w:rPr>
                <w:rFonts w:ascii="Times New Roman" w:hAnsi="Times New Roman" w:cs="Times New Roman"/>
                <w:color w:val="000000"/>
                <w:sz w:val="22"/>
              </w:rPr>
              <w:t>16</w:t>
            </w:r>
          </w:p>
        </w:tc>
        <w:tc>
          <w:tcPr>
            <w:tcW w:w="2070" w:type="dxa"/>
            <w:tcBorders>
              <w:top w:val="single" w:color="auto" w:sz="4" w:space="0"/>
              <w:left w:val="single" w:color="auto" w:sz="4" w:space="0"/>
              <w:bottom w:val="single" w:color="auto" w:sz="4" w:space="0"/>
              <w:right w:val="single" w:color="auto" w:sz="4" w:space="0"/>
            </w:tcBorders>
            <w:vAlign w:val="center"/>
          </w:tcPr>
          <w:p w:rsidRPr="00676782" w:rsidR="00B04B5F" w:rsidP="0020497A" w:rsidRDefault="00B04B5F" w14:paraId="4EFD593C" w14:textId="437362E9">
            <w:pPr>
              <w:keepNext/>
              <w:spacing w:after="0"/>
              <w:ind w:right="306"/>
              <w:jc w:val="right"/>
              <w:rPr>
                <w:rFonts w:ascii="Times New Roman" w:hAnsi="Times New Roman" w:cs="Times New Roman"/>
                <w:sz w:val="22"/>
              </w:rPr>
            </w:pPr>
            <w:r w:rsidRPr="00676782">
              <w:rPr>
                <w:rFonts w:ascii="Times New Roman" w:hAnsi="Times New Roman" w:cs="Times New Roman"/>
                <w:color w:val="000000"/>
                <w:sz w:val="22"/>
              </w:rPr>
              <w:t>128</w:t>
            </w:r>
          </w:p>
        </w:tc>
        <w:tc>
          <w:tcPr>
            <w:tcW w:w="2070" w:type="dxa"/>
            <w:tcBorders>
              <w:top w:val="single" w:color="auto" w:sz="4" w:space="0"/>
              <w:left w:val="single" w:color="auto" w:sz="4" w:space="0"/>
              <w:bottom w:val="single" w:color="auto" w:sz="4" w:space="0"/>
              <w:right w:val="double" w:color="000000" w:sz="6" w:space="0"/>
            </w:tcBorders>
            <w:vAlign w:val="center"/>
          </w:tcPr>
          <w:p w:rsidRPr="00676782" w:rsidR="00B04B5F" w:rsidP="0020497A" w:rsidRDefault="00B04B5F" w14:paraId="6855352D" w14:textId="03A78195">
            <w:pPr>
              <w:keepNext/>
              <w:spacing w:after="0"/>
              <w:ind w:right="162"/>
              <w:jc w:val="right"/>
              <w:rPr>
                <w:rFonts w:ascii="Times New Roman" w:hAnsi="Times New Roman" w:cs="Times New Roman"/>
                <w:sz w:val="22"/>
              </w:rPr>
            </w:pPr>
            <w:r w:rsidRPr="00676782">
              <w:rPr>
                <w:rFonts w:ascii="Times New Roman" w:hAnsi="Times New Roman" w:cs="Times New Roman"/>
                <w:color w:val="000000"/>
                <w:sz w:val="22"/>
              </w:rPr>
              <w:t>$96</w:t>
            </w:r>
            <w:r w:rsidR="00A03FDF">
              <w:rPr>
                <w:rFonts w:ascii="Times New Roman" w:hAnsi="Times New Roman" w:cs="Times New Roman"/>
                <w:color w:val="000000"/>
                <w:sz w:val="22"/>
              </w:rPr>
              <w:t>,</w:t>
            </w:r>
            <w:r w:rsidRPr="00676782" w:rsidR="008B0530">
              <w:rPr>
                <w:rFonts w:ascii="Times New Roman" w:hAnsi="Times New Roman" w:cs="Times New Roman"/>
                <w:color w:val="000000"/>
                <w:sz w:val="22"/>
              </w:rPr>
              <w:t>97</w:t>
            </w:r>
            <w:r w:rsidR="00A03FDF">
              <w:rPr>
                <w:rFonts w:ascii="Times New Roman" w:hAnsi="Times New Roman" w:cs="Times New Roman"/>
                <w:color w:val="000000"/>
                <w:sz w:val="22"/>
              </w:rPr>
              <w:t>0</w:t>
            </w:r>
            <w:r w:rsidRPr="00676782">
              <w:rPr>
                <w:rFonts w:ascii="Times New Roman" w:hAnsi="Times New Roman" w:cs="Times New Roman"/>
                <w:color w:val="000000"/>
                <w:sz w:val="22"/>
              </w:rPr>
              <w:t xml:space="preserve"> </w:t>
            </w:r>
          </w:p>
        </w:tc>
      </w:tr>
      <w:tr w:rsidRPr="00676782" w:rsidR="00B04B5F" w:rsidTr="00E91639" w14:paraId="0B2E2517" w14:textId="77777777">
        <w:trPr>
          <w:cantSplit/>
          <w:trHeight w:val="360"/>
        </w:trPr>
        <w:tc>
          <w:tcPr>
            <w:tcW w:w="2520" w:type="dxa"/>
            <w:tcBorders>
              <w:top w:val="single" w:color="auto" w:sz="4" w:space="0"/>
              <w:left w:val="double" w:color="000000" w:sz="6" w:space="0"/>
              <w:bottom w:val="single" w:color="auto" w:sz="4" w:space="0"/>
              <w:right w:val="single" w:color="auto" w:sz="4" w:space="0"/>
            </w:tcBorders>
            <w:vAlign w:val="center"/>
          </w:tcPr>
          <w:p w:rsidRPr="00676782" w:rsidR="00B04B5F" w:rsidP="00E91639" w:rsidRDefault="00B04B5F" w14:paraId="3AA11764" w14:textId="215C6AFB">
            <w:pPr>
              <w:keepNext/>
              <w:spacing w:after="0"/>
              <w:jc w:val="center"/>
              <w:rPr>
                <w:rFonts w:ascii="Times New Roman" w:hAnsi="Times New Roman" w:cs="Times New Roman"/>
                <w:sz w:val="22"/>
                <w:u w:val="single"/>
              </w:rPr>
            </w:pPr>
            <w:r w:rsidRPr="00676782">
              <w:rPr>
                <w:rFonts w:ascii="Times New Roman" w:hAnsi="Times New Roman" w:cs="Times New Roman"/>
                <w:b/>
                <w:bCs/>
                <w:sz w:val="22"/>
              </w:rPr>
              <w:t>Federal Register</w:t>
            </w:r>
            <w:r w:rsidRPr="00676782">
              <w:rPr>
                <w:rFonts w:ascii="Times New Roman" w:hAnsi="Times New Roman" w:cs="Times New Roman"/>
                <w:sz w:val="22"/>
              </w:rPr>
              <w:t xml:space="preserve"> Review</w:t>
            </w:r>
            <w:r w:rsidRPr="00676782" w:rsidR="00F80DB3">
              <w:rPr>
                <w:rFonts w:ascii="Times New Roman" w:hAnsi="Times New Roman" w:cs="Times New Roman"/>
                <w:sz w:val="22"/>
              </w:rPr>
              <w:t xml:space="preserve"> </w:t>
            </w:r>
            <w:r w:rsidRPr="00676782" w:rsidR="00F80DB3">
              <w:rPr>
                <w:rFonts w:ascii="Times New Roman" w:hAnsi="Times New Roman" w:cs="Times New Roman"/>
                <w:sz w:val="22"/>
                <w:vertAlign w:val="superscript"/>
              </w:rPr>
              <w:t>1</w:t>
            </w:r>
          </w:p>
        </w:tc>
        <w:tc>
          <w:tcPr>
            <w:tcW w:w="1800" w:type="dxa"/>
            <w:tcBorders>
              <w:top w:val="single" w:color="auto" w:sz="4" w:space="0"/>
              <w:left w:val="single" w:color="auto" w:sz="4" w:space="0"/>
              <w:bottom w:val="single" w:color="auto" w:sz="4" w:space="0"/>
              <w:right w:val="single" w:color="auto" w:sz="4" w:space="0"/>
            </w:tcBorders>
            <w:vAlign w:val="center"/>
          </w:tcPr>
          <w:p w:rsidRPr="00676782" w:rsidR="00B04B5F" w:rsidP="00E91639" w:rsidRDefault="00B04B5F" w14:paraId="510B29E6" w14:textId="2734B3B8">
            <w:pPr>
              <w:keepNext/>
              <w:spacing w:after="0"/>
              <w:jc w:val="center"/>
              <w:rPr>
                <w:rFonts w:ascii="Times New Roman" w:hAnsi="Times New Roman" w:cs="Times New Roman"/>
                <w:sz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676782" w:rsidR="00B04B5F" w:rsidP="0020497A" w:rsidRDefault="00B04B5F" w14:paraId="34533CD7" w14:textId="35E19832">
            <w:pPr>
              <w:keepNext/>
              <w:spacing w:after="0"/>
              <w:ind w:right="318"/>
              <w:jc w:val="center"/>
              <w:rPr>
                <w:rFonts w:ascii="Times New Roman" w:hAnsi="Times New Roman" w:cs="Times New Roman"/>
                <w:color w:val="000000"/>
                <w:sz w:val="22"/>
              </w:rPr>
            </w:pPr>
            <w:r w:rsidRPr="00676782">
              <w:rPr>
                <w:rFonts w:ascii="Times New Roman" w:hAnsi="Times New Roman" w:cs="Times New Roman"/>
                <w:color w:val="000000"/>
                <w:sz w:val="22"/>
              </w:rPr>
              <w:t>13</w:t>
            </w:r>
            <w:r w:rsidRPr="00676782" w:rsidR="00382387">
              <w:rPr>
                <w:rFonts w:ascii="Times New Roman" w:hAnsi="Times New Roman" w:cs="Times New Roman"/>
                <w:color w:val="000000"/>
                <w:sz w:val="22"/>
              </w:rPr>
              <w:t>,</w:t>
            </w:r>
            <w:r w:rsidRPr="00676782">
              <w:rPr>
                <w:rFonts w:ascii="Times New Roman" w:hAnsi="Times New Roman" w:cs="Times New Roman"/>
                <w:color w:val="000000"/>
                <w:sz w:val="22"/>
              </w:rPr>
              <w:t>16</w:t>
            </w:r>
            <w:r w:rsidRPr="00676782" w:rsidR="0038595D">
              <w:rPr>
                <w:rFonts w:ascii="Times New Roman" w:hAnsi="Times New Roman" w:cs="Times New Roman"/>
                <w:color w:val="000000"/>
                <w:sz w:val="22"/>
              </w:rPr>
              <w:t>0</w:t>
            </w:r>
          </w:p>
        </w:tc>
        <w:tc>
          <w:tcPr>
            <w:tcW w:w="2070" w:type="dxa"/>
            <w:tcBorders>
              <w:top w:val="single" w:color="auto" w:sz="4" w:space="0"/>
              <w:left w:val="single" w:color="auto" w:sz="4" w:space="0"/>
              <w:bottom w:val="single" w:color="auto" w:sz="4" w:space="0"/>
              <w:right w:val="single" w:color="auto" w:sz="4" w:space="0"/>
            </w:tcBorders>
            <w:vAlign w:val="center"/>
          </w:tcPr>
          <w:p w:rsidRPr="00676782" w:rsidR="00B04B5F" w:rsidP="0020497A" w:rsidRDefault="00B04B5F" w14:paraId="7851C73D" w14:textId="3971CCB1">
            <w:pPr>
              <w:keepNext/>
              <w:spacing w:after="0"/>
              <w:ind w:right="306"/>
              <w:jc w:val="right"/>
              <w:rPr>
                <w:rFonts w:ascii="Times New Roman" w:hAnsi="Times New Roman" w:cs="Times New Roman"/>
                <w:sz w:val="22"/>
              </w:rPr>
            </w:pPr>
            <w:r w:rsidRPr="00676782">
              <w:rPr>
                <w:rFonts w:ascii="Times New Roman" w:hAnsi="Times New Roman" w:cs="Times New Roman"/>
                <w:color w:val="000000"/>
                <w:sz w:val="22"/>
              </w:rPr>
              <w:t xml:space="preserve"> 3</w:t>
            </w:r>
            <w:r w:rsidRPr="00676782" w:rsidR="00665E81">
              <w:rPr>
                <w:rFonts w:ascii="Times New Roman" w:hAnsi="Times New Roman" w:cs="Times New Roman"/>
                <w:color w:val="000000"/>
                <w:sz w:val="22"/>
              </w:rPr>
              <w:t>,</w:t>
            </w:r>
            <w:r w:rsidRPr="00676782">
              <w:rPr>
                <w:rFonts w:ascii="Times New Roman" w:hAnsi="Times New Roman" w:cs="Times New Roman"/>
                <w:color w:val="000000"/>
                <w:sz w:val="22"/>
              </w:rPr>
              <w:t>290</w:t>
            </w:r>
          </w:p>
        </w:tc>
        <w:tc>
          <w:tcPr>
            <w:tcW w:w="2070" w:type="dxa"/>
            <w:tcBorders>
              <w:top w:val="single" w:color="auto" w:sz="4" w:space="0"/>
              <w:left w:val="single" w:color="auto" w:sz="4" w:space="0"/>
              <w:bottom w:val="single" w:color="auto" w:sz="4" w:space="0"/>
              <w:right w:val="double" w:color="000000" w:sz="6" w:space="0"/>
            </w:tcBorders>
            <w:vAlign w:val="center"/>
          </w:tcPr>
          <w:p w:rsidRPr="00676782" w:rsidR="00B04B5F" w:rsidP="0020497A" w:rsidRDefault="00B04B5F" w14:paraId="745565C5" w14:textId="58AD6F78">
            <w:pPr>
              <w:keepNext/>
              <w:spacing w:after="0"/>
              <w:ind w:right="162"/>
              <w:jc w:val="right"/>
              <w:rPr>
                <w:rFonts w:ascii="Times New Roman" w:hAnsi="Times New Roman" w:cs="Times New Roman"/>
                <w:sz w:val="22"/>
              </w:rPr>
            </w:pPr>
            <w:r w:rsidRPr="00676782">
              <w:rPr>
                <w:rFonts w:ascii="Times New Roman" w:hAnsi="Times New Roman" w:cs="Times New Roman"/>
                <w:color w:val="000000"/>
                <w:sz w:val="22"/>
              </w:rPr>
              <w:t xml:space="preserve">   $</w:t>
            </w:r>
            <w:r w:rsidRPr="00676782" w:rsidR="008B0530">
              <w:rPr>
                <w:rFonts w:ascii="Times New Roman" w:hAnsi="Times New Roman" w:cs="Times New Roman"/>
                <w:color w:val="000000"/>
                <w:sz w:val="22"/>
              </w:rPr>
              <w:t>2</w:t>
            </w:r>
            <w:r w:rsidRPr="00676782" w:rsidR="0038595D">
              <w:rPr>
                <w:rFonts w:ascii="Times New Roman" w:hAnsi="Times New Roman" w:cs="Times New Roman"/>
                <w:color w:val="000000"/>
                <w:sz w:val="22"/>
              </w:rPr>
              <w:t>,</w:t>
            </w:r>
            <w:r w:rsidRPr="00676782" w:rsidR="008B0530">
              <w:rPr>
                <w:rFonts w:ascii="Times New Roman" w:hAnsi="Times New Roman" w:cs="Times New Roman"/>
                <w:color w:val="000000"/>
                <w:sz w:val="22"/>
              </w:rPr>
              <w:t>895</w:t>
            </w:r>
            <w:r w:rsidRPr="00676782" w:rsidR="0038595D">
              <w:rPr>
                <w:rFonts w:ascii="Times New Roman" w:hAnsi="Times New Roman" w:cs="Times New Roman"/>
                <w:color w:val="000000"/>
                <w:sz w:val="22"/>
              </w:rPr>
              <w:t>,</w:t>
            </w:r>
            <w:r w:rsidRPr="00676782" w:rsidR="008B0530">
              <w:rPr>
                <w:rFonts w:ascii="Times New Roman" w:hAnsi="Times New Roman" w:cs="Times New Roman"/>
                <w:color w:val="000000"/>
                <w:sz w:val="22"/>
              </w:rPr>
              <w:t>20</w:t>
            </w:r>
            <w:r w:rsidRPr="00676782" w:rsidR="0038595D">
              <w:rPr>
                <w:rFonts w:ascii="Times New Roman" w:hAnsi="Times New Roman" w:cs="Times New Roman"/>
                <w:color w:val="000000"/>
                <w:sz w:val="22"/>
              </w:rPr>
              <w:t>0</w:t>
            </w:r>
            <w:r w:rsidRPr="00676782">
              <w:rPr>
                <w:rFonts w:ascii="Times New Roman" w:hAnsi="Times New Roman" w:cs="Times New Roman"/>
                <w:color w:val="000000"/>
                <w:sz w:val="22"/>
              </w:rPr>
              <w:t xml:space="preserve"> </w:t>
            </w:r>
          </w:p>
        </w:tc>
      </w:tr>
      <w:tr w:rsidRPr="00676782" w:rsidR="00B04B5F" w:rsidTr="00E91639" w14:paraId="11749004" w14:textId="77777777">
        <w:trPr>
          <w:cantSplit/>
          <w:trHeight w:val="330"/>
        </w:trPr>
        <w:tc>
          <w:tcPr>
            <w:tcW w:w="2520" w:type="dxa"/>
            <w:tcBorders>
              <w:top w:val="single" w:color="auto" w:sz="4" w:space="0"/>
              <w:left w:val="double" w:color="000000" w:sz="6" w:space="0"/>
              <w:bottom w:val="double" w:color="000000" w:sz="6" w:space="0"/>
              <w:right w:val="single" w:color="auto" w:sz="4" w:space="0"/>
            </w:tcBorders>
            <w:vAlign w:val="center"/>
          </w:tcPr>
          <w:p w:rsidRPr="00676782" w:rsidR="00B04B5F" w:rsidP="00E91639" w:rsidRDefault="00B04B5F" w14:paraId="045193D7" w14:textId="77777777">
            <w:pPr>
              <w:keepNext/>
              <w:spacing w:after="0"/>
              <w:jc w:val="center"/>
              <w:rPr>
                <w:rFonts w:ascii="Times New Roman" w:hAnsi="Times New Roman" w:cs="Times New Roman"/>
                <w:b/>
                <w:bCs/>
                <w:sz w:val="22"/>
              </w:rPr>
            </w:pPr>
            <w:r w:rsidRPr="00676782">
              <w:rPr>
                <w:rFonts w:ascii="Times New Roman" w:hAnsi="Times New Roman" w:cs="Times New Roman"/>
                <w:b/>
                <w:bCs/>
                <w:sz w:val="22"/>
              </w:rPr>
              <w:t>Total/Overall</w:t>
            </w:r>
          </w:p>
        </w:tc>
        <w:tc>
          <w:tcPr>
            <w:tcW w:w="1800" w:type="dxa"/>
            <w:tcBorders>
              <w:top w:val="single" w:color="auto" w:sz="4" w:space="0"/>
              <w:left w:val="single" w:color="auto" w:sz="4" w:space="0"/>
              <w:bottom w:val="double" w:color="000000" w:sz="6" w:space="0"/>
              <w:right w:val="single" w:color="auto" w:sz="4" w:space="0"/>
            </w:tcBorders>
            <w:vAlign w:val="center"/>
          </w:tcPr>
          <w:p w:rsidRPr="00676782" w:rsidR="00B04B5F" w:rsidP="00E91639" w:rsidRDefault="00B04B5F" w14:paraId="48A14039" w14:textId="5DC67698">
            <w:pPr>
              <w:keepNext/>
              <w:spacing w:after="0"/>
              <w:jc w:val="center"/>
              <w:rPr>
                <w:rFonts w:ascii="Times New Roman" w:hAnsi="Times New Roman" w:cs="Times New Roman"/>
                <w:b/>
                <w:bCs/>
                <w:sz w:val="22"/>
                <w:highlight w:val="yellow"/>
              </w:rPr>
            </w:pPr>
          </w:p>
        </w:tc>
        <w:tc>
          <w:tcPr>
            <w:tcW w:w="1620" w:type="dxa"/>
            <w:tcBorders>
              <w:top w:val="single" w:color="auto" w:sz="4" w:space="0"/>
              <w:left w:val="single" w:color="auto" w:sz="4" w:space="0"/>
              <w:bottom w:val="double" w:color="000000" w:sz="6" w:space="0"/>
              <w:right w:val="single" w:color="auto" w:sz="4" w:space="0"/>
            </w:tcBorders>
            <w:vAlign w:val="center"/>
          </w:tcPr>
          <w:p w:rsidRPr="00676782" w:rsidR="00B04B5F" w:rsidP="0020497A" w:rsidRDefault="00B04B5F" w14:paraId="6D29AF7C" w14:textId="77777777">
            <w:pPr>
              <w:keepNext/>
              <w:spacing w:after="0"/>
              <w:ind w:right="318"/>
              <w:jc w:val="center"/>
              <w:rPr>
                <w:rFonts w:ascii="Times New Roman" w:hAnsi="Times New Roman" w:cs="Times New Roman"/>
                <w:b/>
                <w:bCs/>
                <w:color w:val="000000"/>
                <w:sz w:val="22"/>
                <w:highlight w:val="yellow"/>
              </w:rPr>
            </w:pPr>
            <w:r w:rsidRPr="00676782">
              <w:rPr>
                <w:rFonts w:ascii="Times New Roman" w:hAnsi="Times New Roman" w:cs="Times New Roman"/>
                <w:b/>
                <w:bCs/>
                <w:color w:val="000000"/>
                <w:sz w:val="22"/>
              </w:rPr>
              <w:t>26,336</w:t>
            </w:r>
          </w:p>
        </w:tc>
        <w:tc>
          <w:tcPr>
            <w:tcW w:w="2070" w:type="dxa"/>
            <w:tcBorders>
              <w:top w:val="single" w:color="auto" w:sz="4" w:space="0"/>
              <w:left w:val="single" w:color="auto" w:sz="4" w:space="0"/>
              <w:bottom w:val="double" w:color="000000" w:sz="6" w:space="0"/>
              <w:right w:val="single" w:color="auto" w:sz="4" w:space="0"/>
            </w:tcBorders>
            <w:vAlign w:val="center"/>
          </w:tcPr>
          <w:p w:rsidRPr="00676782" w:rsidR="00B04B5F" w:rsidP="0020497A" w:rsidRDefault="00665E81" w14:paraId="733E0DA6" w14:textId="21C08C52">
            <w:pPr>
              <w:keepNext/>
              <w:spacing w:after="0"/>
              <w:ind w:right="306"/>
              <w:jc w:val="right"/>
              <w:rPr>
                <w:rFonts w:ascii="Times New Roman" w:hAnsi="Times New Roman" w:cs="Times New Roman"/>
                <w:b/>
                <w:bCs/>
                <w:sz w:val="22"/>
                <w:highlight w:val="yellow"/>
              </w:rPr>
            </w:pPr>
            <w:r w:rsidRPr="00676782">
              <w:rPr>
                <w:rFonts w:ascii="Times New Roman" w:hAnsi="Times New Roman" w:cs="Times New Roman"/>
                <w:b/>
                <w:bCs/>
                <w:color w:val="000000"/>
                <w:sz w:val="22"/>
              </w:rPr>
              <w:t>25,527</w:t>
            </w:r>
          </w:p>
        </w:tc>
        <w:tc>
          <w:tcPr>
            <w:tcW w:w="2070" w:type="dxa"/>
            <w:tcBorders>
              <w:top w:val="single" w:color="auto" w:sz="4" w:space="0"/>
              <w:left w:val="single" w:color="auto" w:sz="4" w:space="0"/>
              <w:bottom w:val="double" w:color="000000" w:sz="6" w:space="0"/>
              <w:right w:val="double" w:color="000000" w:sz="6" w:space="0"/>
            </w:tcBorders>
            <w:vAlign w:val="center"/>
          </w:tcPr>
          <w:p w:rsidRPr="00676782" w:rsidR="00B04B5F" w:rsidP="0020497A" w:rsidRDefault="00B04B5F" w14:paraId="2E9E7ED5" w14:textId="350295FC">
            <w:pPr>
              <w:keepNext/>
              <w:spacing w:after="0"/>
              <w:ind w:right="162"/>
              <w:jc w:val="right"/>
              <w:rPr>
                <w:rFonts w:ascii="Times New Roman" w:hAnsi="Times New Roman" w:cs="Times New Roman"/>
                <w:b/>
                <w:bCs/>
                <w:sz w:val="22"/>
              </w:rPr>
            </w:pPr>
            <w:bookmarkStart w:name="_Hlk74062996" w:id="8"/>
            <w:r w:rsidRPr="00676782">
              <w:rPr>
                <w:rFonts w:ascii="Times New Roman" w:hAnsi="Times New Roman" w:cs="Times New Roman"/>
                <w:b/>
                <w:bCs/>
                <w:color w:val="000000"/>
                <w:sz w:val="22"/>
              </w:rPr>
              <w:t>$</w:t>
            </w:r>
            <w:bookmarkStart w:name="_Hlk58338999" w:id="9"/>
            <w:r w:rsidRPr="00676782" w:rsidR="0038595D">
              <w:rPr>
                <w:rFonts w:ascii="Times New Roman" w:hAnsi="Times New Roman" w:cs="Times New Roman"/>
                <w:b/>
                <w:bCs/>
                <w:color w:val="000000"/>
                <w:sz w:val="22"/>
              </w:rPr>
              <w:t>4,7</w:t>
            </w:r>
            <w:bookmarkEnd w:id="8"/>
            <w:bookmarkEnd w:id="9"/>
            <w:r w:rsidR="00A03FDF">
              <w:rPr>
                <w:rFonts w:ascii="Times New Roman" w:hAnsi="Times New Roman" w:cs="Times New Roman"/>
                <w:b/>
                <w:bCs/>
                <w:color w:val="000000"/>
                <w:sz w:val="22"/>
              </w:rPr>
              <w:t>88</w:t>
            </w:r>
            <w:r w:rsidRPr="00676782" w:rsidR="00665E81">
              <w:rPr>
                <w:rFonts w:ascii="Times New Roman" w:hAnsi="Times New Roman" w:cs="Times New Roman"/>
                <w:b/>
                <w:bCs/>
                <w:color w:val="000000"/>
                <w:sz w:val="22"/>
              </w:rPr>
              <w:t>,</w:t>
            </w:r>
            <w:r w:rsidR="00A03FDF">
              <w:rPr>
                <w:rFonts w:ascii="Times New Roman" w:hAnsi="Times New Roman" w:cs="Times New Roman"/>
                <w:b/>
                <w:bCs/>
                <w:color w:val="000000"/>
                <w:sz w:val="22"/>
              </w:rPr>
              <w:t>895</w:t>
            </w:r>
          </w:p>
        </w:tc>
      </w:tr>
    </w:tbl>
    <w:p w:rsidRPr="00676782" w:rsidR="00B04B5F" w:rsidP="00B04B5F" w:rsidRDefault="00F80DB3" w14:paraId="1664E044" w14:textId="18E92668">
      <w:pPr>
        <w:rPr>
          <w:rFonts w:ascii="Times New Roman" w:hAnsi="Times New Roman" w:cs="Times New Roman"/>
        </w:rPr>
      </w:pPr>
      <w:r w:rsidRPr="00676782">
        <w:rPr>
          <w:rFonts w:ascii="Times New Roman" w:hAnsi="Times New Roman" w:cs="Times New Roman"/>
          <w:vertAlign w:val="superscript"/>
        </w:rPr>
        <w:t xml:space="preserve">1 </w:t>
      </w:r>
      <w:r w:rsidRPr="00676782">
        <w:rPr>
          <w:rFonts w:ascii="Times New Roman" w:hAnsi="Times New Roman" w:cs="Times New Roman"/>
        </w:rPr>
        <w:t>Compliance Determination</w:t>
      </w:r>
    </w:p>
    <w:p w:rsidRPr="00676782" w:rsidR="00B04B5F" w:rsidP="00B04B5F" w:rsidRDefault="00B04B5F" w14:paraId="1D80ACD9" w14:textId="13282237">
      <w:pPr>
        <w:rPr>
          <w:rFonts w:ascii="Times New Roman" w:hAnsi="Times New Roman" w:cs="Times New Roman"/>
        </w:rPr>
      </w:pPr>
      <w:r w:rsidRPr="00676782">
        <w:rPr>
          <w:rFonts w:ascii="Times New Roman" w:hAnsi="Times New Roman" w:cs="Times New Roman"/>
        </w:rPr>
        <w:t>Table 8 presents the average annual cost and burden per respondent. On average each firm will spend a total of 1.94 hours and $1</w:t>
      </w:r>
      <w:r w:rsidRPr="00676782" w:rsidR="00F10D1A">
        <w:rPr>
          <w:rFonts w:ascii="Times New Roman" w:hAnsi="Times New Roman" w:cs="Times New Roman"/>
        </w:rPr>
        <w:t>58.53</w:t>
      </w:r>
      <w:r w:rsidRPr="00676782">
        <w:rPr>
          <w:rFonts w:ascii="Times New Roman" w:hAnsi="Times New Roman" w:cs="Times New Roman"/>
        </w:rPr>
        <w:t xml:space="preserve"> annually to complete TSCA 8(c) information collection activities.</w:t>
      </w:r>
    </w:p>
    <w:p w:rsidRPr="00676782" w:rsidR="00B04B5F" w:rsidP="00B04B5F" w:rsidRDefault="00B04B5F" w14:paraId="6C73C0AB" w14:textId="77777777">
      <w:pPr>
        <w:rPr>
          <w:rFonts w:ascii="Times New Roman" w:hAnsi="Times New Roman" w:cs="Times New Roman"/>
        </w:rPr>
      </w:pPr>
      <w:r w:rsidRPr="00676782">
        <w:rPr>
          <w:rFonts w:ascii="Times New Roman" w:hAnsi="Times New Roman" w:cs="Times New Roman"/>
        </w:rPr>
        <w:t>Table 8.  Average Annual Cost and Burden per Respondent</w:t>
      </w:r>
    </w:p>
    <w:tbl>
      <w:tblPr>
        <w:tblStyle w:val="TableGrid"/>
        <w:tblW w:w="0" w:type="auto"/>
        <w:tblInd w:w="-15" w:type="dxa"/>
        <w:tblLook w:val="04A0" w:firstRow="1" w:lastRow="0" w:firstColumn="1" w:lastColumn="0" w:noHBand="0" w:noVBand="1"/>
      </w:tblPr>
      <w:tblGrid>
        <w:gridCol w:w="2327"/>
        <w:gridCol w:w="1604"/>
        <w:gridCol w:w="1478"/>
        <w:gridCol w:w="1997"/>
        <w:gridCol w:w="1939"/>
      </w:tblGrid>
      <w:tr w:rsidRPr="00676782" w:rsidR="00B04B5F" w:rsidTr="00E91639" w14:paraId="325DAEE8" w14:textId="77777777">
        <w:trPr>
          <w:trHeight w:val="331"/>
        </w:trPr>
        <w:tc>
          <w:tcPr>
            <w:tcW w:w="2610" w:type="dxa"/>
            <w:tcBorders>
              <w:top w:val="double" w:color="auto" w:sz="4" w:space="0"/>
              <w:left w:val="double" w:color="auto" w:sz="4" w:space="0"/>
            </w:tcBorders>
            <w:shd w:val="clear" w:color="auto" w:fill="D9D9D9" w:themeFill="background1" w:themeFillShade="D9"/>
            <w:vAlign w:val="center"/>
          </w:tcPr>
          <w:p w:rsidRPr="00676782" w:rsidR="00B04B5F" w:rsidP="00E91639" w:rsidRDefault="00B04B5F" w14:paraId="2FB35709"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Activity</w:t>
            </w:r>
          </w:p>
        </w:tc>
        <w:tc>
          <w:tcPr>
            <w:tcW w:w="1705" w:type="dxa"/>
            <w:tcBorders>
              <w:top w:val="double" w:color="auto" w:sz="4" w:space="0"/>
            </w:tcBorders>
            <w:shd w:val="clear" w:color="auto" w:fill="D9D9D9" w:themeFill="background1" w:themeFillShade="D9"/>
            <w:vAlign w:val="center"/>
          </w:tcPr>
          <w:p w:rsidRPr="00676782" w:rsidR="00B04B5F" w:rsidP="00E91639" w:rsidRDefault="00B04B5F" w14:paraId="0E1EB1F0"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Hours/</w:t>
            </w:r>
          </w:p>
          <w:p w:rsidRPr="00676782" w:rsidR="00B04B5F" w:rsidP="00E91639" w:rsidRDefault="00B04B5F" w14:paraId="4A9D0A78"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Respondent</w:t>
            </w:r>
          </w:p>
        </w:tc>
        <w:tc>
          <w:tcPr>
            <w:tcW w:w="1618" w:type="dxa"/>
            <w:tcBorders>
              <w:top w:val="double" w:color="auto" w:sz="4" w:space="0"/>
            </w:tcBorders>
            <w:shd w:val="clear" w:color="auto" w:fill="D9D9D9" w:themeFill="background1" w:themeFillShade="D9"/>
            <w:vAlign w:val="center"/>
          </w:tcPr>
          <w:p w:rsidRPr="00676782" w:rsidR="00B04B5F" w:rsidP="00E91639" w:rsidRDefault="00B04B5F" w14:paraId="05A785F9"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Hours/</w:t>
            </w:r>
          </w:p>
          <w:p w:rsidRPr="00676782" w:rsidR="00B04B5F" w:rsidP="00E91639" w:rsidRDefault="00B04B5F" w14:paraId="06CB55E9"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Response</w:t>
            </w:r>
          </w:p>
        </w:tc>
        <w:tc>
          <w:tcPr>
            <w:tcW w:w="2063" w:type="dxa"/>
            <w:tcBorders>
              <w:top w:val="double" w:color="auto" w:sz="4" w:space="0"/>
            </w:tcBorders>
            <w:shd w:val="clear" w:color="auto" w:fill="D9D9D9" w:themeFill="background1" w:themeFillShade="D9"/>
            <w:vAlign w:val="center"/>
          </w:tcPr>
          <w:p w:rsidRPr="00676782" w:rsidR="00B04B5F" w:rsidP="00E91639" w:rsidRDefault="00B04B5F" w14:paraId="41AB84D1"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Cost/Respondent</w:t>
            </w:r>
          </w:p>
        </w:tc>
        <w:tc>
          <w:tcPr>
            <w:tcW w:w="2069" w:type="dxa"/>
            <w:tcBorders>
              <w:top w:val="double" w:color="auto" w:sz="4" w:space="0"/>
              <w:right w:val="double" w:color="auto" w:sz="4" w:space="0"/>
            </w:tcBorders>
            <w:shd w:val="clear" w:color="auto" w:fill="D9D9D9" w:themeFill="background1" w:themeFillShade="D9"/>
            <w:vAlign w:val="center"/>
          </w:tcPr>
          <w:p w:rsidRPr="00676782" w:rsidR="00B04B5F" w:rsidP="00E91639" w:rsidRDefault="00B04B5F" w14:paraId="6C13101A" w14:textId="77777777">
            <w:pPr>
              <w:keepNext/>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Cost/Response</w:t>
            </w:r>
          </w:p>
        </w:tc>
      </w:tr>
      <w:tr w:rsidRPr="00676782" w:rsidR="00B04B5F" w:rsidTr="00E91639" w14:paraId="64E95A76" w14:textId="77777777">
        <w:trPr>
          <w:trHeight w:val="331"/>
        </w:trPr>
        <w:tc>
          <w:tcPr>
            <w:tcW w:w="2610" w:type="dxa"/>
            <w:tcBorders>
              <w:left w:val="double" w:color="auto" w:sz="4" w:space="0"/>
            </w:tcBorders>
            <w:vAlign w:val="center"/>
          </w:tcPr>
          <w:p w:rsidRPr="00676782" w:rsidR="00B04B5F" w:rsidP="00E91639" w:rsidRDefault="00B04B5F" w14:paraId="4F0BBEB1" w14:textId="77777777">
            <w:pPr>
              <w:keepNext/>
              <w:numPr>
                <w:ilvl w:val="12"/>
                <w:numId w:val="0"/>
              </w:numPr>
              <w:spacing w:after="0"/>
              <w:jc w:val="center"/>
              <w:rPr>
                <w:rFonts w:ascii="Times New Roman" w:hAnsi="Times New Roman" w:cs="Times New Roman"/>
                <w:sz w:val="22"/>
                <w:vertAlign w:val="superscript"/>
              </w:rPr>
            </w:pPr>
            <w:r w:rsidRPr="00676782">
              <w:rPr>
                <w:rFonts w:ascii="Times New Roman" w:hAnsi="Times New Roman" w:cs="Times New Roman"/>
                <w:sz w:val="22"/>
              </w:rPr>
              <w:t xml:space="preserve">Recordkeeping </w:t>
            </w:r>
            <w:r w:rsidRPr="00676782">
              <w:rPr>
                <w:rFonts w:ascii="Times New Roman" w:hAnsi="Times New Roman" w:cs="Times New Roman"/>
                <w:sz w:val="22"/>
                <w:vertAlign w:val="superscript"/>
              </w:rPr>
              <w:t>a</w:t>
            </w:r>
          </w:p>
        </w:tc>
        <w:tc>
          <w:tcPr>
            <w:tcW w:w="1705" w:type="dxa"/>
            <w:vAlign w:val="center"/>
          </w:tcPr>
          <w:p w:rsidRPr="00676782" w:rsidR="00B04B5F" w:rsidP="00E91639" w:rsidRDefault="00B04B5F" w14:paraId="109F5FED" w14:textId="77777777">
            <w:pPr>
              <w:keepNext/>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1.68</w:t>
            </w:r>
          </w:p>
        </w:tc>
        <w:tc>
          <w:tcPr>
            <w:tcW w:w="1618" w:type="dxa"/>
            <w:vAlign w:val="center"/>
          </w:tcPr>
          <w:p w:rsidRPr="00676782" w:rsidR="00B04B5F" w:rsidP="00E91639" w:rsidRDefault="00B04B5F" w14:paraId="4D2FAF7C" w14:textId="77777777">
            <w:pPr>
              <w:keepNext/>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1.68</w:t>
            </w:r>
          </w:p>
        </w:tc>
        <w:tc>
          <w:tcPr>
            <w:tcW w:w="2063" w:type="dxa"/>
            <w:vAlign w:val="center"/>
          </w:tcPr>
          <w:p w:rsidRPr="00676782" w:rsidR="00B04B5F" w:rsidP="00E91639" w:rsidRDefault="00B04B5F" w14:paraId="396BFE37" w14:textId="05B54F5B">
            <w:pPr>
              <w:keepNext/>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w:t>
            </w:r>
            <w:r w:rsidRPr="00676782" w:rsidR="000723BC">
              <w:rPr>
                <w:rFonts w:ascii="Times New Roman" w:hAnsi="Times New Roman" w:cs="Times New Roman"/>
                <w:sz w:val="22"/>
              </w:rPr>
              <w:t>36.52</w:t>
            </w:r>
          </w:p>
        </w:tc>
        <w:tc>
          <w:tcPr>
            <w:tcW w:w="2069" w:type="dxa"/>
            <w:tcBorders>
              <w:right w:val="double" w:color="auto" w:sz="4" w:space="0"/>
            </w:tcBorders>
            <w:vAlign w:val="center"/>
          </w:tcPr>
          <w:p w:rsidRPr="00676782" w:rsidR="00B04B5F" w:rsidP="00E91639" w:rsidRDefault="00B04B5F" w14:paraId="7F045978" w14:textId="17B21274">
            <w:pPr>
              <w:keepNext/>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w:t>
            </w:r>
            <w:r w:rsidRPr="00676782" w:rsidR="00F10D1A">
              <w:rPr>
                <w:rFonts w:ascii="Times New Roman" w:hAnsi="Times New Roman" w:cs="Times New Roman"/>
                <w:sz w:val="22"/>
              </w:rPr>
              <w:t>36.52</w:t>
            </w:r>
          </w:p>
        </w:tc>
      </w:tr>
      <w:tr w:rsidRPr="00676782" w:rsidR="00B04B5F" w:rsidTr="00E91639" w14:paraId="27B28018" w14:textId="77777777">
        <w:trPr>
          <w:trHeight w:val="331"/>
        </w:trPr>
        <w:tc>
          <w:tcPr>
            <w:tcW w:w="2610" w:type="dxa"/>
            <w:tcBorders>
              <w:left w:val="double" w:color="auto" w:sz="4" w:space="0"/>
            </w:tcBorders>
            <w:vAlign w:val="center"/>
          </w:tcPr>
          <w:p w:rsidRPr="00676782" w:rsidR="00B04B5F" w:rsidP="00E91639" w:rsidRDefault="00B04B5F" w14:paraId="67404319" w14:textId="77777777">
            <w:pPr>
              <w:numPr>
                <w:ilvl w:val="12"/>
                <w:numId w:val="0"/>
              </w:numPr>
              <w:spacing w:after="0"/>
              <w:jc w:val="center"/>
              <w:rPr>
                <w:rFonts w:ascii="Times New Roman" w:hAnsi="Times New Roman" w:cs="Times New Roman"/>
                <w:sz w:val="22"/>
                <w:vertAlign w:val="superscript"/>
              </w:rPr>
            </w:pPr>
            <w:r w:rsidRPr="00676782">
              <w:rPr>
                <w:rFonts w:ascii="Times New Roman" w:hAnsi="Times New Roman" w:cs="Times New Roman"/>
                <w:sz w:val="22"/>
              </w:rPr>
              <w:t xml:space="preserve">Reporting </w:t>
            </w:r>
            <w:r w:rsidRPr="00676782">
              <w:rPr>
                <w:rFonts w:ascii="Times New Roman" w:hAnsi="Times New Roman" w:cs="Times New Roman"/>
                <w:sz w:val="22"/>
                <w:vertAlign w:val="superscript"/>
              </w:rPr>
              <w:t>b</w:t>
            </w:r>
          </w:p>
        </w:tc>
        <w:tc>
          <w:tcPr>
            <w:tcW w:w="1705" w:type="dxa"/>
            <w:vAlign w:val="center"/>
          </w:tcPr>
          <w:p w:rsidRPr="00676782" w:rsidR="00B04B5F" w:rsidP="00E91639" w:rsidRDefault="00B04B5F" w14:paraId="275AF4F1"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8.00</w:t>
            </w:r>
          </w:p>
        </w:tc>
        <w:tc>
          <w:tcPr>
            <w:tcW w:w="1618" w:type="dxa"/>
            <w:vAlign w:val="center"/>
          </w:tcPr>
          <w:p w:rsidRPr="00676782" w:rsidR="00B04B5F" w:rsidP="00E91639" w:rsidRDefault="00B04B5F" w14:paraId="677399BD"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8.00</w:t>
            </w:r>
          </w:p>
        </w:tc>
        <w:tc>
          <w:tcPr>
            <w:tcW w:w="2063" w:type="dxa"/>
            <w:vAlign w:val="center"/>
          </w:tcPr>
          <w:p w:rsidRPr="00676782" w:rsidR="00B04B5F" w:rsidP="00E91639" w:rsidRDefault="00B04B5F" w14:paraId="58DDDFD8" w14:textId="257AAF0E">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$60</w:t>
            </w:r>
            <w:r w:rsidRPr="00676782" w:rsidR="000723BC">
              <w:rPr>
                <w:rFonts w:ascii="Times New Roman" w:hAnsi="Times New Roman" w:cs="Times New Roman"/>
                <w:sz w:val="22"/>
              </w:rPr>
              <w:t>6.06</w:t>
            </w:r>
          </w:p>
        </w:tc>
        <w:tc>
          <w:tcPr>
            <w:tcW w:w="2069" w:type="dxa"/>
            <w:tcBorders>
              <w:right w:val="double" w:color="auto" w:sz="4" w:space="0"/>
            </w:tcBorders>
            <w:vAlign w:val="center"/>
          </w:tcPr>
          <w:p w:rsidRPr="00676782" w:rsidR="00B04B5F" w:rsidP="00E91639" w:rsidRDefault="00B04B5F" w14:paraId="52E148CB" w14:textId="6E9A676D">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$60</w:t>
            </w:r>
            <w:r w:rsidRPr="00676782" w:rsidR="000723BC">
              <w:rPr>
                <w:rFonts w:ascii="Times New Roman" w:hAnsi="Times New Roman" w:cs="Times New Roman"/>
                <w:sz w:val="22"/>
              </w:rPr>
              <w:t>6.06</w:t>
            </w:r>
          </w:p>
        </w:tc>
      </w:tr>
      <w:tr w:rsidRPr="00676782" w:rsidR="00B04B5F" w:rsidTr="00E91639" w14:paraId="3D3D020C" w14:textId="77777777">
        <w:trPr>
          <w:trHeight w:val="331"/>
        </w:trPr>
        <w:tc>
          <w:tcPr>
            <w:tcW w:w="2610" w:type="dxa"/>
            <w:tcBorders>
              <w:left w:val="double" w:color="auto" w:sz="4" w:space="0"/>
            </w:tcBorders>
            <w:vAlign w:val="center"/>
          </w:tcPr>
          <w:p w:rsidRPr="00676782" w:rsidR="00B04B5F" w:rsidP="00E91639" w:rsidRDefault="00B04B5F" w14:paraId="05E8E539" w14:textId="77777777">
            <w:pPr>
              <w:numPr>
                <w:ilvl w:val="12"/>
                <w:numId w:val="0"/>
              </w:numPr>
              <w:spacing w:after="0"/>
              <w:jc w:val="center"/>
              <w:rPr>
                <w:rFonts w:ascii="Times New Roman" w:hAnsi="Times New Roman" w:cs="Times New Roman"/>
                <w:sz w:val="22"/>
                <w:vertAlign w:val="superscript"/>
              </w:rPr>
            </w:pPr>
            <w:r w:rsidRPr="00676782">
              <w:rPr>
                <w:rFonts w:ascii="Times New Roman" w:hAnsi="Times New Roman" w:cs="Times New Roman"/>
                <w:b/>
                <w:bCs/>
                <w:sz w:val="22"/>
              </w:rPr>
              <w:t>Federal Register</w:t>
            </w:r>
            <w:r w:rsidRPr="00676782">
              <w:rPr>
                <w:rFonts w:ascii="Times New Roman" w:hAnsi="Times New Roman" w:cs="Times New Roman"/>
                <w:sz w:val="22"/>
              </w:rPr>
              <w:t xml:space="preserve"> review </w:t>
            </w:r>
            <w:r w:rsidRPr="00676782">
              <w:rPr>
                <w:rFonts w:ascii="Times New Roman" w:hAnsi="Times New Roman" w:cs="Times New Roman"/>
                <w:sz w:val="22"/>
                <w:vertAlign w:val="superscript"/>
              </w:rPr>
              <w:t>c</w:t>
            </w:r>
          </w:p>
        </w:tc>
        <w:tc>
          <w:tcPr>
            <w:tcW w:w="1705" w:type="dxa"/>
            <w:vAlign w:val="center"/>
          </w:tcPr>
          <w:p w:rsidRPr="00676782" w:rsidR="00B04B5F" w:rsidP="00E91639" w:rsidRDefault="00B04B5F" w14:paraId="52AE80A4"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0.25</w:t>
            </w:r>
          </w:p>
        </w:tc>
        <w:tc>
          <w:tcPr>
            <w:tcW w:w="1618" w:type="dxa"/>
            <w:vAlign w:val="center"/>
          </w:tcPr>
          <w:p w:rsidRPr="00676782" w:rsidR="00B04B5F" w:rsidP="00E91639" w:rsidRDefault="00B04B5F" w14:paraId="0B89F19E"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0.25</w:t>
            </w:r>
          </w:p>
        </w:tc>
        <w:tc>
          <w:tcPr>
            <w:tcW w:w="2063" w:type="dxa"/>
            <w:vAlign w:val="center"/>
          </w:tcPr>
          <w:p w:rsidRPr="00676782" w:rsidR="00B04B5F" w:rsidP="00E91639" w:rsidRDefault="00B04B5F" w14:paraId="4606EC4D" w14:textId="347EBB68">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 xml:space="preserve">  $2</w:t>
            </w:r>
            <w:r w:rsidRPr="00676782" w:rsidR="000723BC">
              <w:rPr>
                <w:rFonts w:ascii="Times New Roman" w:hAnsi="Times New Roman" w:cs="Times New Roman"/>
                <w:sz w:val="22"/>
              </w:rPr>
              <w:t>2.00</w:t>
            </w:r>
          </w:p>
        </w:tc>
        <w:tc>
          <w:tcPr>
            <w:tcW w:w="2069" w:type="dxa"/>
            <w:tcBorders>
              <w:right w:val="double" w:color="auto" w:sz="4" w:space="0"/>
            </w:tcBorders>
            <w:vAlign w:val="center"/>
          </w:tcPr>
          <w:p w:rsidRPr="00676782" w:rsidR="00B04B5F" w:rsidP="00E91639" w:rsidRDefault="00B04B5F" w14:paraId="12A41EC4" w14:textId="7CE8538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 xml:space="preserve">  $2</w:t>
            </w:r>
            <w:r w:rsidRPr="00676782" w:rsidR="000723BC">
              <w:rPr>
                <w:rFonts w:ascii="Times New Roman" w:hAnsi="Times New Roman" w:cs="Times New Roman"/>
                <w:sz w:val="22"/>
              </w:rPr>
              <w:t>2.00</w:t>
            </w:r>
          </w:p>
        </w:tc>
      </w:tr>
      <w:tr w:rsidRPr="00676782" w:rsidR="00B04B5F" w:rsidTr="00E91639" w14:paraId="245C848C" w14:textId="77777777">
        <w:trPr>
          <w:trHeight w:val="331"/>
        </w:trPr>
        <w:tc>
          <w:tcPr>
            <w:tcW w:w="2610" w:type="dxa"/>
            <w:tcBorders>
              <w:left w:val="double" w:color="auto" w:sz="4" w:space="0"/>
            </w:tcBorders>
            <w:vAlign w:val="center"/>
          </w:tcPr>
          <w:p w:rsidRPr="00676782" w:rsidR="00B04B5F" w:rsidP="00E91639" w:rsidRDefault="00B04B5F" w14:paraId="68844CB7" w14:textId="77777777">
            <w:pPr>
              <w:numPr>
                <w:ilvl w:val="12"/>
                <w:numId w:val="0"/>
              </w:numPr>
              <w:spacing w:after="0"/>
              <w:jc w:val="center"/>
              <w:rPr>
                <w:rFonts w:ascii="Times New Roman" w:hAnsi="Times New Roman" w:cs="Times New Roman"/>
                <w:b/>
                <w:sz w:val="22"/>
              </w:rPr>
            </w:pPr>
            <w:r w:rsidRPr="00676782">
              <w:rPr>
                <w:rFonts w:ascii="Times New Roman" w:hAnsi="Times New Roman" w:cs="Times New Roman"/>
                <w:b/>
                <w:sz w:val="22"/>
              </w:rPr>
              <w:t>Average</w:t>
            </w:r>
          </w:p>
        </w:tc>
        <w:tc>
          <w:tcPr>
            <w:tcW w:w="1705" w:type="dxa"/>
            <w:vAlign w:val="center"/>
          </w:tcPr>
          <w:p w:rsidRPr="00676782" w:rsidR="00B04B5F" w:rsidP="00E91639" w:rsidRDefault="00B04B5F" w14:paraId="367FF7D3"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1.94</w:t>
            </w:r>
          </w:p>
        </w:tc>
        <w:tc>
          <w:tcPr>
            <w:tcW w:w="1618" w:type="dxa"/>
            <w:vAlign w:val="center"/>
          </w:tcPr>
          <w:p w:rsidRPr="00676782" w:rsidR="00B04B5F" w:rsidP="00E91639" w:rsidRDefault="00B04B5F" w14:paraId="66533058" w14:textId="77777777">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0.97</w:t>
            </w:r>
          </w:p>
        </w:tc>
        <w:tc>
          <w:tcPr>
            <w:tcW w:w="2063" w:type="dxa"/>
            <w:vAlign w:val="center"/>
          </w:tcPr>
          <w:p w:rsidRPr="00676782" w:rsidR="00B04B5F" w:rsidP="00E91639" w:rsidRDefault="00B04B5F" w14:paraId="20727FE1" w14:textId="77D95E92">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$15</w:t>
            </w:r>
            <w:r w:rsidRPr="00676782" w:rsidR="000723BC">
              <w:rPr>
                <w:rFonts w:ascii="Times New Roman" w:hAnsi="Times New Roman" w:cs="Times New Roman"/>
                <w:sz w:val="22"/>
              </w:rPr>
              <w:t>8.53</w:t>
            </w:r>
            <w:r w:rsidRPr="00676782">
              <w:rPr>
                <w:rFonts w:ascii="Times New Roman" w:hAnsi="Times New Roman" w:cs="Times New Roman"/>
                <w:sz w:val="22"/>
              </w:rPr>
              <w:t>.02</w:t>
            </w:r>
          </w:p>
        </w:tc>
        <w:tc>
          <w:tcPr>
            <w:tcW w:w="2069" w:type="dxa"/>
            <w:tcBorders>
              <w:right w:val="double" w:color="auto" w:sz="4" w:space="0"/>
            </w:tcBorders>
            <w:vAlign w:val="center"/>
          </w:tcPr>
          <w:p w:rsidRPr="00676782" w:rsidR="00B04B5F" w:rsidP="00E91639" w:rsidRDefault="00B04B5F" w14:paraId="63A0A165" w14:textId="690E030B">
            <w:pPr>
              <w:numPr>
                <w:ilvl w:val="12"/>
                <w:numId w:val="0"/>
              </w:numPr>
              <w:spacing w:after="0"/>
              <w:jc w:val="center"/>
              <w:rPr>
                <w:rFonts w:ascii="Times New Roman" w:hAnsi="Times New Roman" w:cs="Times New Roman"/>
                <w:sz w:val="22"/>
              </w:rPr>
            </w:pPr>
            <w:r w:rsidRPr="00676782">
              <w:rPr>
                <w:rFonts w:ascii="Times New Roman" w:hAnsi="Times New Roman" w:cs="Times New Roman"/>
                <w:sz w:val="22"/>
              </w:rPr>
              <w:t xml:space="preserve">  $</w:t>
            </w:r>
            <w:r w:rsidRPr="00676782" w:rsidR="00F10D1A">
              <w:rPr>
                <w:rFonts w:ascii="Times New Roman" w:hAnsi="Times New Roman" w:cs="Times New Roman"/>
                <w:sz w:val="22"/>
              </w:rPr>
              <w:t>81.87</w:t>
            </w:r>
          </w:p>
        </w:tc>
      </w:tr>
      <w:tr w:rsidRPr="00676782" w:rsidR="00B04B5F" w:rsidTr="00E91639" w14:paraId="2560C329" w14:textId="77777777">
        <w:tc>
          <w:tcPr>
            <w:tcW w:w="10065" w:type="dxa"/>
            <w:gridSpan w:val="5"/>
            <w:tcBorders>
              <w:left w:val="double" w:color="auto" w:sz="4" w:space="0"/>
              <w:bottom w:val="double" w:color="auto" w:sz="4" w:space="0"/>
              <w:right w:val="double" w:color="auto" w:sz="4" w:space="0"/>
            </w:tcBorders>
          </w:tcPr>
          <w:p w:rsidRPr="00676782" w:rsidR="00B04B5F" w:rsidP="00E91639" w:rsidRDefault="00B04B5F" w14:paraId="0C55B512" w14:textId="77777777">
            <w:pPr>
              <w:numPr>
                <w:ilvl w:val="12"/>
                <w:numId w:val="0"/>
              </w:numPr>
              <w:spacing w:after="0"/>
              <w:rPr>
                <w:rFonts w:ascii="Times New Roman" w:hAnsi="Times New Roman" w:cs="Times New Roman"/>
                <w:sz w:val="20"/>
                <w:szCs w:val="20"/>
                <w:u w:val="single"/>
              </w:rPr>
            </w:pPr>
            <w:r w:rsidRPr="00676782">
              <w:rPr>
                <w:rFonts w:ascii="Times New Roman" w:hAnsi="Times New Roman" w:cs="Times New Roman"/>
                <w:sz w:val="20"/>
                <w:szCs w:val="20"/>
                <w:u w:val="single"/>
              </w:rPr>
              <w:t xml:space="preserve">Notes: </w:t>
            </w:r>
          </w:p>
          <w:p w:rsidRPr="00676782" w:rsidR="00B04B5F" w:rsidP="00E91639" w:rsidRDefault="00B04B5F" w14:paraId="4F102E95" w14:textId="77777777">
            <w:pPr>
              <w:numPr>
                <w:ilvl w:val="12"/>
                <w:numId w:val="0"/>
              </w:numPr>
              <w:spacing w:after="0"/>
              <w:rPr>
                <w:rFonts w:ascii="Times New Roman" w:hAnsi="Times New Roman" w:cs="Times New Roman"/>
                <w:sz w:val="20"/>
                <w:szCs w:val="20"/>
              </w:rPr>
            </w:pPr>
            <w:r w:rsidRPr="00676782">
              <w:rPr>
                <w:rFonts w:ascii="Times New Roman" w:hAnsi="Times New Roman" w:cs="Times New Roman"/>
                <w:sz w:val="20"/>
                <w:szCs w:val="20"/>
                <w:vertAlign w:val="superscript"/>
              </w:rPr>
              <w:t xml:space="preserve">a </w:t>
            </w:r>
            <w:r w:rsidRPr="00676782">
              <w:rPr>
                <w:rFonts w:ascii="Times New Roman" w:hAnsi="Times New Roman" w:cs="Times New Roman"/>
                <w:sz w:val="20"/>
                <w:szCs w:val="20"/>
              </w:rPr>
              <w:t>Calculated as the average cost (or hourly burden) per allegation times the average number of allegations per year.</w:t>
            </w:r>
          </w:p>
          <w:p w:rsidRPr="00676782" w:rsidR="00B04B5F" w:rsidP="00E91639" w:rsidRDefault="00B04B5F" w14:paraId="3AD7E910" w14:textId="798DBCF5">
            <w:pPr>
              <w:numPr>
                <w:ilvl w:val="12"/>
                <w:numId w:val="0"/>
              </w:numPr>
              <w:spacing w:after="0"/>
              <w:rPr>
                <w:rFonts w:ascii="Times New Roman" w:hAnsi="Times New Roman" w:cs="Times New Roman"/>
                <w:sz w:val="20"/>
                <w:szCs w:val="20"/>
              </w:rPr>
            </w:pPr>
            <w:r w:rsidRPr="00676782">
              <w:rPr>
                <w:rFonts w:ascii="Times New Roman" w:hAnsi="Times New Roman" w:cs="Times New Roman"/>
                <w:sz w:val="20"/>
                <w:szCs w:val="20"/>
                <w:vertAlign w:val="superscript"/>
              </w:rPr>
              <w:t xml:space="preserve">b </w:t>
            </w:r>
            <w:r w:rsidRPr="00676782">
              <w:rPr>
                <w:rFonts w:ascii="Times New Roman" w:hAnsi="Times New Roman" w:cs="Times New Roman"/>
                <w:sz w:val="20"/>
                <w:szCs w:val="20"/>
              </w:rPr>
              <w:t>Calculated as the total industry reporting costs (or total burden) divided by the total number of firms.</w:t>
            </w:r>
          </w:p>
          <w:p w:rsidRPr="00676782" w:rsidR="00B04B5F" w:rsidP="00E91639" w:rsidRDefault="00B04B5F" w14:paraId="0814E9FA" w14:textId="77777777">
            <w:pPr>
              <w:numPr>
                <w:ilvl w:val="12"/>
                <w:numId w:val="0"/>
              </w:numPr>
              <w:spacing w:after="0"/>
              <w:rPr>
                <w:rFonts w:ascii="Times New Roman" w:hAnsi="Times New Roman" w:cs="Times New Roman"/>
                <w:sz w:val="20"/>
                <w:szCs w:val="20"/>
              </w:rPr>
            </w:pPr>
            <w:r w:rsidRPr="00676782">
              <w:rPr>
                <w:rFonts w:ascii="Times New Roman" w:hAnsi="Times New Roman" w:cs="Times New Roman"/>
                <w:sz w:val="20"/>
                <w:szCs w:val="20"/>
                <w:vertAlign w:val="superscript"/>
              </w:rPr>
              <w:t xml:space="preserve">c </w:t>
            </w:r>
            <w:r w:rsidRPr="00676782">
              <w:rPr>
                <w:rFonts w:ascii="Times New Roman" w:hAnsi="Times New Roman" w:cs="Times New Roman"/>
                <w:sz w:val="20"/>
                <w:szCs w:val="20"/>
              </w:rPr>
              <w:t>Calculated as the total industry review costs (or total burden) divided by the total number of firms.</w:t>
            </w:r>
          </w:p>
        </w:tc>
      </w:tr>
    </w:tbl>
    <w:p w:rsidRPr="00676782" w:rsidR="006F41C6" w:rsidP="006F41C6" w:rsidRDefault="006F41C6" w14:paraId="66962874" w14:textId="77777777">
      <w:pPr>
        <w:rPr>
          <w:rFonts w:ascii="Times New Roman" w:hAnsi="Times New Roman" w:cs="Times New Roman"/>
        </w:rPr>
      </w:pPr>
    </w:p>
    <w:bookmarkEnd w:id="7"/>
    <w:p w:rsidRPr="00676782" w:rsidR="003D09E2" w:rsidP="006F41C6" w:rsidRDefault="006F41C6" w14:paraId="391F5A09" w14:textId="59F0C585">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4</w:t>
      </w:r>
      <w:r w:rsidRPr="00676782">
        <w:rPr>
          <w:rFonts w:ascii="Times New Roman" w:hAnsi="Times New Roman" w:cs="Times New Roman"/>
        </w:rPr>
        <w:t xml:space="preserve">. </w:t>
      </w:r>
      <w:r w:rsidRPr="00676782" w:rsidR="003D09E2">
        <w:rPr>
          <w:rFonts w:ascii="Times New Roman" w:hAnsi="Times New Roman" w:cs="Times New Roman"/>
        </w:rPr>
        <w:t>Provide estimates of annualized cost to the Federal government.</w:t>
      </w:r>
      <w:r w:rsidRPr="00676782" w:rsidR="007F3A69">
        <w:rPr>
          <w:rFonts w:ascii="Times New Roman" w:hAnsi="Times New Roman" w:cs="Times New Roman"/>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676782" w:rsidR="00B04B5F" w:rsidP="00B04B5F" w:rsidRDefault="00B04B5F" w14:paraId="5D098883" w14:textId="41636E17">
      <w:pPr>
        <w:rPr>
          <w:rFonts w:ascii="Times New Roman" w:hAnsi="Times New Roman" w:cs="Times New Roman"/>
        </w:rPr>
      </w:pPr>
      <w:r w:rsidRPr="00676782">
        <w:rPr>
          <w:rFonts w:ascii="Times New Roman" w:hAnsi="Times New Roman" w:cs="Times New Roman"/>
        </w:rPr>
        <w:t>The total annual cost to EPA for TSCA section 8(c) for each of the three years covered by this ICR is estimated to be $</w:t>
      </w:r>
      <w:r w:rsidRPr="00676782" w:rsidR="0043778D">
        <w:rPr>
          <w:rFonts w:ascii="Times New Roman" w:hAnsi="Times New Roman" w:cs="Times New Roman"/>
          <w:bCs/>
          <w:color w:val="000000"/>
        </w:rPr>
        <w:t>90,208</w:t>
      </w:r>
      <w:r w:rsidRPr="00676782">
        <w:rPr>
          <w:rFonts w:ascii="Times New Roman" w:hAnsi="Times New Roman" w:cs="Times New Roman"/>
        </w:rPr>
        <w:t>.  This figure is based on activities identified in the 1986 and 1989 ICRs.  Costs are estimated based on wages and salaries in 2020 GS-schedule for the Washington-</w:t>
      </w:r>
      <w:r w:rsidRPr="00676782">
        <w:rPr>
          <w:rFonts w:ascii="Times New Roman" w:hAnsi="Times New Roman" w:cs="Times New Roman"/>
        </w:rPr>
        <w:lastRenderedPageBreak/>
        <w:t xml:space="preserve">Baltimore-Northern Virginia Locality Pay Area, for GS-15, Step 1, GS-13, Step 1, and GS-12, Step 1 employees.  Wages include an additional 60 percent loading rate to account for overhead and benefits. </w:t>
      </w:r>
    </w:p>
    <w:p w:rsidRPr="00676782" w:rsidR="00B04B5F" w:rsidP="00B04B5F" w:rsidRDefault="00B04B5F" w14:paraId="51C6E60D" w14:textId="1F3E2284">
      <w:pPr>
        <w:keepNext/>
        <w:numPr>
          <w:ilvl w:val="12"/>
          <w:numId w:val="0"/>
        </w:numPr>
        <w:spacing w:after="60"/>
        <w:rPr>
          <w:rFonts w:ascii="Times New Roman" w:hAnsi="Times New Roman" w:cs="Times New Roman"/>
        </w:rPr>
      </w:pPr>
      <w:r w:rsidRPr="00676782">
        <w:rPr>
          <w:rFonts w:ascii="Times New Roman" w:hAnsi="Times New Roman" w:cs="Times New Roman"/>
        </w:rPr>
        <w:t xml:space="preserve">Annual costs to EPA associated with the recordkeeping portion of the rule include general administration of the rule, education and outreach activities, and compliance monitoring.  Costs associated with reporting involve preparation of reporting notices, </w:t>
      </w:r>
      <w:r w:rsidRPr="00676782">
        <w:rPr>
          <w:rFonts w:ascii="Times New Roman" w:hAnsi="Times New Roman" w:cs="Times New Roman"/>
          <w:b/>
          <w:bCs/>
        </w:rPr>
        <w:t>Federal Register</w:t>
      </w:r>
      <w:r w:rsidRPr="00676782">
        <w:rPr>
          <w:rFonts w:ascii="Times New Roman" w:hAnsi="Times New Roman" w:cs="Times New Roman"/>
        </w:rPr>
        <w:t xml:space="preserve"> printing costs, document control, and document review.  Annual costs to EPA are derived based on an analysis of the cost of performing these various activities.  The various factors that contribute to EPA costs include:</w:t>
      </w:r>
    </w:p>
    <w:p w:rsidRPr="00676782" w:rsidR="00B04B5F" w:rsidP="00B04B5F" w:rsidRDefault="00B04B5F" w14:paraId="5674601B" w14:textId="77777777">
      <w:pPr>
        <w:pStyle w:val="Level1"/>
        <w:numPr>
          <w:ilvl w:val="0"/>
          <w:numId w:val="42"/>
        </w:numPr>
        <w:tabs>
          <w:tab w:val="left" w:pos="720"/>
        </w:tabs>
        <w:spacing w:after="120"/>
        <w:jc w:val="left"/>
      </w:pPr>
      <w:r w:rsidRPr="00676782">
        <w:t>Each year, general administration of the rule involves approximately one-tenth of a staff specialist’s time plus approximately one week’s time each for two management personnel at the branch, division and OPPT Office Director’s level.</w:t>
      </w:r>
    </w:p>
    <w:p w:rsidRPr="00676782" w:rsidR="00B04B5F" w:rsidP="00B04B5F" w:rsidRDefault="00B04B5F" w14:paraId="4997CE6A" w14:textId="77777777">
      <w:pPr>
        <w:pStyle w:val="Level1"/>
        <w:numPr>
          <w:ilvl w:val="0"/>
          <w:numId w:val="42"/>
        </w:numPr>
        <w:tabs>
          <w:tab w:val="left" w:pos="720"/>
        </w:tabs>
        <w:spacing w:after="120"/>
        <w:jc w:val="left"/>
      </w:pPr>
      <w:r w:rsidRPr="00676782">
        <w:t>Education and outreach activities will include ongoing rule support.</w:t>
      </w:r>
    </w:p>
    <w:p w:rsidRPr="00676782" w:rsidR="00B04B5F" w:rsidP="00B04B5F" w:rsidRDefault="00B04B5F" w14:paraId="5FD693D8" w14:textId="77777777">
      <w:pPr>
        <w:pStyle w:val="Level1"/>
        <w:numPr>
          <w:ilvl w:val="0"/>
          <w:numId w:val="42"/>
        </w:numPr>
        <w:tabs>
          <w:tab w:val="left" w:pos="720"/>
        </w:tabs>
        <w:spacing w:after="120"/>
        <w:jc w:val="left"/>
      </w:pPr>
      <w:r w:rsidRPr="00676782">
        <w:t>Compliance monitoring costs primarily involve the costs of the TSCA section 8(c) portion of inspection carried out by regional personnel and other administrative costs for headquarters personnel to target and review results of such inspections.</w:t>
      </w:r>
    </w:p>
    <w:p w:rsidRPr="00676782" w:rsidR="00B04B5F" w:rsidP="00B04B5F" w:rsidRDefault="00B04B5F" w14:paraId="45F2AF6B" w14:textId="77777777">
      <w:pPr>
        <w:pStyle w:val="Level1"/>
        <w:numPr>
          <w:ilvl w:val="0"/>
          <w:numId w:val="42"/>
        </w:numPr>
        <w:tabs>
          <w:tab w:val="left" w:pos="720"/>
        </w:tabs>
        <w:spacing w:after="120"/>
        <w:jc w:val="left"/>
      </w:pPr>
      <w:r w:rsidRPr="00676782">
        <w:t xml:space="preserve">To date, a total of only 31 reports have been received.  Based on historical data, over the life of the rule an average of only 0.08 notices have been issued per year and an average of only 1.3 reports received.  EPA expects that reporting activity under TSCA section 8(c) will remain at low levels during the period covered by this ICR renewal.  EPA costs associated with reporting have been adjusted to reflect this large decrease in the level of expected activity.  Labor involved in developing the reporting notices will require decision meetings and either the development of letters, separate </w:t>
      </w:r>
      <w:r w:rsidRPr="00676782">
        <w:rPr>
          <w:b/>
          <w:bCs/>
        </w:rPr>
        <w:t>Federal Register</w:t>
      </w:r>
      <w:r w:rsidRPr="00676782">
        <w:t xml:space="preserve"> notices, or the insertion of boilerplate segments in other rule preambles.</w:t>
      </w:r>
    </w:p>
    <w:p w:rsidRPr="00676782" w:rsidR="00B04B5F" w:rsidP="00B04B5F" w:rsidRDefault="00B04B5F" w14:paraId="0A406F92" w14:textId="77777777">
      <w:pPr>
        <w:pStyle w:val="Level1"/>
        <w:numPr>
          <w:ilvl w:val="0"/>
          <w:numId w:val="42"/>
        </w:numPr>
        <w:tabs>
          <w:tab w:val="left" w:pos="720"/>
        </w:tabs>
        <w:spacing w:after="120"/>
        <w:jc w:val="left"/>
      </w:pPr>
      <w:r w:rsidRPr="00676782">
        <w:t>Time will be required to process submissions based upon reporting requirements and to review them for confidentiality considerations.</w:t>
      </w:r>
    </w:p>
    <w:p w:rsidRPr="00676782" w:rsidR="00B04B5F" w:rsidP="00B04B5F" w:rsidRDefault="00B04B5F" w14:paraId="6504E364" w14:textId="77777777">
      <w:pPr>
        <w:pStyle w:val="Level1"/>
        <w:numPr>
          <w:ilvl w:val="0"/>
          <w:numId w:val="42"/>
        </w:numPr>
        <w:tabs>
          <w:tab w:val="left" w:pos="720"/>
        </w:tabs>
        <w:spacing w:after="240"/>
        <w:jc w:val="left"/>
      </w:pPr>
      <w:r w:rsidRPr="00676782">
        <w:t xml:space="preserve">The </w:t>
      </w:r>
      <w:r w:rsidRPr="00676782">
        <w:rPr>
          <w:b/>
          <w:bCs/>
        </w:rPr>
        <w:t>Federal Register</w:t>
      </w:r>
      <w:r w:rsidRPr="00676782">
        <w:t xml:space="preserve"> notices will be reviewed by the office directly requesting the information as well as by OPPT.</w:t>
      </w:r>
    </w:p>
    <w:p w:rsidRPr="00676782" w:rsidR="00B04B5F" w:rsidP="00B04B5F" w:rsidRDefault="00B04B5F" w14:paraId="07946BBE" w14:textId="77777777">
      <w:pPr>
        <w:rPr>
          <w:rFonts w:ascii="Times New Roman" w:hAnsi="Times New Roman" w:cs="Times New Roman"/>
        </w:rPr>
      </w:pPr>
      <w:r w:rsidRPr="00676782">
        <w:rPr>
          <w:rFonts w:ascii="Times New Roman" w:hAnsi="Times New Roman" w:cs="Times New Roman"/>
        </w:rPr>
        <w:t>Table 9.  Annual Burden and Cost to the Federal Government</w:t>
      </w:r>
    </w:p>
    <w:tbl>
      <w:tblPr>
        <w:tblW w:w="9875" w:type="dxa"/>
        <w:tblInd w:w="92" w:type="dxa"/>
        <w:tblLook w:val="04A0" w:firstRow="1" w:lastRow="0" w:firstColumn="1" w:lastColumn="0" w:noHBand="0" w:noVBand="1"/>
      </w:tblPr>
      <w:tblGrid>
        <w:gridCol w:w="3665"/>
        <w:gridCol w:w="1980"/>
        <w:gridCol w:w="1800"/>
        <w:gridCol w:w="1170"/>
        <w:gridCol w:w="1260"/>
      </w:tblGrid>
      <w:tr w:rsidRPr="00676782" w:rsidR="00B04B5F" w:rsidTr="00E91639" w14:paraId="6C6AC076" w14:textId="77777777">
        <w:trPr>
          <w:trHeight w:val="345"/>
        </w:trPr>
        <w:tc>
          <w:tcPr>
            <w:tcW w:w="3665" w:type="dxa"/>
            <w:tcBorders>
              <w:top w:val="double" w:color="000000" w:sz="6" w:space="0"/>
              <w:left w:val="double" w:color="000000" w:sz="6" w:space="0"/>
              <w:bottom w:val="nil"/>
              <w:right w:val="nil"/>
            </w:tcBorders>
            <w:shd w:val="clear" w:color="auto" w:fill="D9D9D9" w:themeFill="background1" w:themeFillShade="D9"/>
            <w:vAlign w:val="center"/>
            <w:hideMark/>
          </w:tcPr>
          <w:p w:rsidRPr="00676782" w:rsidR="00B04B5F" w:rsidP="00E91639" w:rsidRDefault="00B04B5F" w14:paraId="63F60787"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Activity</w:t>
            </w:r>
          </w:p>
        </w:tc>
        <w:tc>
          <w:tcPr>
            <w:tcW w:w="1980" w:type="dxa"/>
            <w:tcBorders>
              <w:top w:val="double" w:color="000000" w:sz="6" w:space="0"/>
              <w:left w:val="single" w:color="000000" w:sz="8" w:space="0"/>
              <w:bottom w:val="nil"/>
              <w:right w:val="single" w:color="000000" w:sz="8" w:space="0"/>
            </w:tcBorders>
            <w:shd w:val="clear" w:color="auto" w:fill="D9D9D9" w:themeFill="background1" w:themeFillShade="D9"/>
            <w:vAlign w:val="center"/>
          </w:tcPr>
          <w:p w:rsidRPr="00676782" w:rsidR="00B04B5F" w:rsidP="00E91639" w:rsidRDefault="00B04B5F" w14:paraId="708BA606"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GS-Level</w:t>
            </w:r>
          </w:p>
        </w:tc>
        <w:tc>
          <w:tcPr>
            <w:tcW w:w="1800" w:type="dxa"/>
            <w:tcBorders>
              <w:top w:val="double" w:color="000000" w:sz="6" w:space="0"/>
              <w:left w:val="single" w:color="000000" w:sz="8" w:space="0"/>
              <w:bottom w:val="nil"/>
              <w:right w:val="nil"/>
            </w:tcBorders>
            <w:shd w:val="clear" w:color="auto" w:fill="D9D9D9" w:themeFill="background1" w:themeFillShade="D9"/>
            <w:vAlign w:val="center"/>
            <w:hideMark/>
          </w:tcPr>
          <w:p w:rsidRPr="00676782" w:rsidR="00B04B5F" w:rsidP="00E91639" w:rsidRDefault="00B04B5F" w14:paraId="386D282B"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Loaded Hourly Wage ($2020)</w:t>
            </w:r>
          </w:p>
        </w:tc>
        <w:tc>
          <w:tcPr>
            <w:tcW w:w="1170" w:type="dxa"/>
            <w:tcBorders>
              <w:top w:val="double" w:color="000000" w:sz="6" w:space="0"/>
              <w:left w:val="single" w:color="000000" w:sz="8" w:space="0"/>
              <w:bottom w:val="nil"/>
              <w:right w:val="nil"/>
            </w:tcBorders>
            <w:shd w:val="clear" w:color="auto" w:fill="D9D9D9" w:themeFill="background1" w:themeFillShade="D9"/>
            <w:vAlign w:val="center"/>
            <w:hideMark/>
          </w:tcPr>
          <w:p w:rsidRPr="00676782" w:rsidR="00B04B5F" w:rsidP="00E91639" w:rsidRDefault="00B04B5F" w14:paraId="4EAADA5A"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Burden Hours</w:t>
            </w:r>
          </w:p>
        </w:tc>
        <w:tc>
          <w:tcPr>
            <w:tcW w:w="1260" w:type="dxa"/>
            <w:tcBorders>
              <w:top w:val="double" w:color="000000" w:sz="6" w:space="0"/>
              <w:left w:val="single" w:color="000000" w:sz="8" w:space="0"/>
              <w:bottom w:val="nil"/>
              <w:right w:val="double" w:color="000000" w:sz="6" w:space="0"/>
            </w:tcBorders>
            <w:shd w:val="clear" w:color="auto" w:fill="D9D9D9" w:themeFill="background1" w:themeFillShade="D9"/>
            <w:vAlign w:val="center"/>
            <w:hideMark/>
          </w:tcPr>
          <w:p w:rsidRPr="00676782" w:rsidR="00B04B5F" w:rsidP="00E91639" w:rsidRDefault="00B04B5F" w14:paraId="0B879BA5" w14:textId="77777777">
            <w:pPr>
              <w:spacing w:after="0"/>
              <w:jc w:val="center"/>
              <w:rPr>
                <w:rFonts w:ascii="Times New Roman" w:hAnsi="Times New Roman" w:cs="Times New Roman"/>
                <w:b/>
                <w:bCs/>
                <w:sz w:val="22"/>
              </w:rPr>
            </w:pPr>
            <w:r w:rsidRPr="00676782">
              <w:rPr>
                <w:rFonts w:ascii="Times New Roman" w:hAnsi="Times New Roman" w:cs="Times New Roman"/>
                <w:b/>
                <w:bCs/>
                <w:sz w:val="22"/>
              </w:rPr>
              <w:t>Annual Cost</w:t>
            </w:r>
          </w:p>
        </w:tc>
      </w:tr>
      <w:tr w:rsidRPr="00676782" w:rsidR="00B04B5F" w:rsidTr="00E91639" w14:paraId="194DE70A" w14:textId="77777777">
        <w:trPr>
          <w:trHeight w:val="223"/>
        </w:trPr>
        <w:tc>
          <w:tcPr>
            <w:tcW w:w="3665" w:type="dxa"/>
            <w:vMerge w:val="restart"/>
            <w:tcBorders>
              <w:top w:val="single" w:color="000000" w:sz="8" w:space="0"/>
              <w:left w:val="double" w:color="000000" w:sz="6" w:space="0"/>
              <w:right w:val="nil"/>
            </w:tcBorders>
            <w:shd w:val="clear" w:color="auto" w:fill="auto"/>
            <w:vAlign w:val="center"/>
            <w:hideMark/>
          </w:tcPr>
          <w:p w:rsidRPr="00676782" w:rsidR="00B04B5F" w:rsidP="00E91639" w:rsidRDefault="00B04B5F" w14:paraId="56665F8F" w14:textId="77777777">
            <w:pPr>
              <w:spacing w:after="0"/>
              <w:rPr>
                <w:rFonts w:ascii="Times New Roman" w:hAnsi="Times New Roman" w:cs="Times New Roman"/>
                <w:sz w:val="22"/>
              </w:rPr>
            </w:pPr>
            <w:r w:rsidRPr="00676782">
              <w:rPr>
                <w:rFonts w:ascii="Times New Roman" w:hAnsi="Times New Roman" w:cs="Times New Roman"/>
                <w:sz w:val="22"/>
              </w:rPr>
              <w:t>Administrative maintenance</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306CD1FC" w14:textId="77777777">
            <w:pPr>
              <w:spacing w:after="0"/>
              <w:jc w:val="center"/>
              <w:rPr>
                <w:rFonts w:ascii="Times New Roman" w:hAnsi="Times New Roman" w:cs="Times New Roman"/>
                <w:sz w:val="22"/>
              </w:rPr>
            </w:pPr>
            <w:r w:rsidRPr="00676782">
              <w:rPr>
                <w:rFonts w:ascii="Times New Roman" w:hAnsi="Times New Roman" w:cs="Times New Roman"/>
                <w:sz w:val="22"/>
              </w:rPr>
              <w:t>GS-13,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59C06CA3" w14:textId="01018DA2">
            <w:pPr>
              <w:spacing w:after="0"/>
              <w:jc w:val="center"/>
              <w:rPr>
                <w:rFonts w:ascii="Times New Roman" w:hAnsi="Times New Roman" w:cs="Times New Roman"/>
                <w:sz w:val="22"/>
              </w:rPr>
            </w:pPr>
            <w:r w:rsidRPr="00676782">
              <w:rPr>
                <w:rFonts w:ascii="Times New Roman" w:hAnsi="Times New Roman" w:cs="Times New Roman"/>
                <w:sz w:val="22"/>
              </w:rPr>
              <w:t>$7</w:t>
            </w:r>
            <w:r w:rsidRPr="00676782" w:rsidR="00122815">
              <w:rPr>
                <w:rFonts w:ascii="Times New Roman" w:hAnsi="Times New Roman" w:cs="Times New Roman"/>
                <w:sz w:val="22"/>
              </w:rPr>
              <w:t>9.49</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46149CFB" w14:textId="77777777">
            <w:pPr>
              <w:spacing w:after="0"/>
              <w:jc w:val="center"/>
              <w:rPr>
                <w:rFonts w:ascii="Times New Roman" w:hAnsi="Times New Roman" w:cs="Times New Roman"/>
                <w:sz w:val="22"/>
              </w:rPr>
            </w:pPr>
            <w:r w:rsidRPr="00676782">
              <w:rPr>
                <w:rFonts w:ascii="Times New Roman" w:hAnsi="Times New Roman" w:cs="Times New Roman"/>
                <w:sz w:val="22"/>
              </w:rPr>
              <w:t>208</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1FD71503" w14:textId="33A33BF2">
            <w:pPr>
              <w:spacing w:after="0"/>
              <w:jc w:val="center"/>
              <w:rPr>
                <w:rFonts w:ascii="Times New Roman" w:hAnsi="Times New Roman" w:cs="Times New Roman"/>
                <w:sz w:val="22"/>
              </w:rPr>
            </w:pPr>
            <w:r w:rsidRPr="00676782">
              <w:rPr>
                <w:rFonts w:ascii="Times New Roman" w:hAnsi="Times New Roman" w:cs="Times New Roman"/>
                <w:color w:val="000000"/>
                <w:sz w:val="22"/>
              </w:rPr>
              <w:t>$16,</w:t>
            </w:r>
            <w:r w:rsidRPr="00676782" w:rsidR="00122815">
              <w:rPr>
                <w:rFonts w:ascii="Times New Roman" w:hAnsi="Times New Roman" w:cs="Times New Roman"/>
                <w:color w:val="000000"/>
                <w:sz w:val="22"/>
              </w:rPr>
              <w:t>534</w:t>
            </w:r>
          </w:p>
        </w:tc>
      </w:tr>
      <w:tr w:rsidRPr="00676782" w:rsidR="00B04B5F" w:rsidTr="00E91639" w14:paraId="7EF19646" w14:textId="77777777">
        <w:trPr>
          <w:trHeight w:val="268"/>
        </w:trPr>
        <w:tc>
          <w:tcPr>
            <w:tcW w:w="3665" w:type="dxa"/>
            <w:vMerge/>
            <w:tcBorders>
              <w:left w:val="double" w:color="000000" w:sz="6" w:space="0"/>
              <w:right w:val="nil"/>
            </w:tcBorders>
            <w:shd w:val="clear" w:color="auto" w:fill="auto"/>
            <w:vAlign w:val="center"/>
          </w:tcPr>
          <w:p w:rsidRPr="00676782" w:rsidR="00B04B5F" w:rsidP="00E91639" w:rsidRDefault="00B04B5F" w14:paraId="5CA52108" w14:textId="77777777">
            <w:pPr>
              <w:spacing w:after="0"/>
              <w:rPr>
                <w:rFonts w:ascii="Times New Roman" w:hAnsi="Times New Roman" w:cs="Times New Roman"/>
                <w:sz w:val="22"/>
              </w:rPr>
            </w:pP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45F104CD" w14:textId="77777777">
            <w:pPr>
              <w:spacing w:after="0"/>
              <w:jc w:val="center"/>
              <w:rPr>
                <w:rFonts w:ascii="Times New Roman" w:hAnsi="Times New Roman" w:cs="Times New Roman"/>
                <w:sz w:val="22"/>
              </w:rPr>
            </w:pPr>
            <w:r w:rsidRPr="00676782">
              <w:rPr>
                <w:rFonts w:ascii="Times New Roman" w:hAnsi="Times New Roman" w:cs="Times New Roman"/>
                <w:sz w:val="22"/>
              </w:rPr>
              <w:t>GS-15, Step 1</w:t>
            </w:r>
          </w:p>
        </w:tc>
        <w:tc>
          <w:tcPr>
            <w:tcW w:w="1800" w:type="dxa"/>
            <w:tcBorders>
              <w:top w:val="single" w:color="000000" w:sz="8" w:space="0"/>
              <w:left w:val="single" w:color="000000" w:sz="8" w:space="0"/>
              <w:bottom w:val="nil"/>
              <w:right w:val="nil"/>
            </w:tcBorders>
            <w:shd w:val="clear" w:color="auto" w:fill="auto"/>
            <w:vAlign w:val="center"/>
          </w:tcPr>
          <w:p w:rsidRPr="00676782" w:rsidR="00B04B5F" w:rsidP="00E91639" w:rsidRDefault="00B04B5F" w14:paraId="4A51FE98" w14:textId="183F8052">
            <w:pPr>
              <w:spacing w:after="0"/>
              <w:jc w:val="center"/>
              <w:rPr>
                <w:rFonts w:ascii="Times New Roman" w:hAnsi="Times New Roman" w:cs="Times New Roman"/>
                <w:sz w:val="22"/>
              </w:rPr>
            </w:pPr>
            <w:r w:rsidRPr="00676782">
              <w:rPr>
                <w:rFonts w:ascii="Times New Roman" w:hAnsi="Times New Roman" w:cs="Times New Roman"/>
                <w:sz w:val="22"/>
              </w:rPr>
              <w:t>$1</w:t>
            </w:r>
            <w:r w:rsidRPr="00676782" w:rsidR="00122815">
              <w:rPr>
                <w:rFonts w:ascii="Times New Roman" w:hAnsi="Times New Roman" w:cs="Times New Roman"/>
                <w:sz w:val="22"/>
              </w:rPr>
              <w:t>10.50</w:t>
            </w:r>
          </w:p>
        </w:tc>
        <w:tc>
          <w:tcPr>
            <w:tcW w:w="1170" w:type="dxa"/>
            <w:tcBorders>
              <w:top w:val="single" w:color="000000" w:sz="8" w:space="0"/>
              <w:left w:val="single" w:color="000000" w:sz="8" w:space="0"/>
              <w:bottom w:val="nil"/>
              <w:right w:val="nil"/>
            </w:tcBorders>
            <w:shd w:val="clear" w:color="auto" w:fill="auto"/>
            <w:vAlign w:val="center"/>
          </w:tcPr>
          <w:p w:rsidRPr="00676782" w:rsidR="00B04B5F" w:rsidP="00E91639" w:rsidRDefault="00B04B5F" w14:paraId="46A0EA0E" w14:textId="77777777">
            <w:pPr>
              <w:spacing w:after="0"/>
              <w:jc w:val="center"/>
              <w:rPr>
                <w:rFonts w:ascii="Times New Roman" w:hAnsi="Times New Roman" w:cs="Times New Roman"/>
                <w:sz w:val="22"/>
              </w:rPr>
            </w:pPr>
            <w:r w:rsidRPr="00676782">
              <w:rPr>
                <w:rFonts w:ascii="Times New Roman" w:hAnsi="Times New Roman" w:cs="Times New Roman"/>
                <w:sz w:val="22"/>
              </w:rPr>
              <w:t>80</w:t>
            </w:r>
          </w:p>
        </w:tc>
        <w:tc>
          <w:tcPr>
            <w:tcW w:w="1260" w:type="dxa"/>
            <w:tcBorders>
              <w:top w:val="single" w:color="000000" w:sz="8" w:space="0"/>
              <w:left w:val="single" w:color="000000" w:sz="8" w:space="0"/>
              <w:bottom w:val="nil"/>
              <w:right w:val="double" w:color="000000" w:sz="6" w:space="0"/>
            </w:tcBorders>
            <w:shd w:val="clear" w:color="auto" w:fill="auto"/>
            <w:vAlign w:val="center"/>
          </w:tcPr>
          <w:p w:rsidRPr="00676782" w:rsidR="00B04B5F" w:rsidP="00E91639" w:rsidRDefault="00B04B5F" w14:paraId="263FF6F3" w14:textId="572A7AC1">
            <w:pPr>
              <w:spacing w:after="0"/>
              <w:jc w:val="center"/>
              <w:rPr>
                <w:rFonts w:ascii="Times New Roman" w:hAnsi="Times New Roman" w:cs="Times New Roman"/>
                <w:color w:val="000000"/>
                <w:sz w:val="22"/>
              </w:rPr>
            </w:pPr>
            <w:r w:rsidRPr="00676782">
              <w:rPr>
                <w:rFonts w:ascii="Times New Roman" w:hAnsi="Times New Roman" w:cs="Times New Roman"/>
                <w:color w:val="000000"/>
                <w:sz w:val="22"/>
              </w:rPr>
              <w:t>$8,</w:t>
            </w:r>
            <w:r w:rsidRPr="00676782" w:rsidR="00122815">
              <w:rPr>
                <w:rFonts w:ascii="Times New Roman" w:hAnsi="Times New Roman" w:cs="Times New Roman"/>
                <w:color w:val="000000"/>
                <w:sz w:val="22"/>
              </w:rPr>
              <w:t>840</w:t>
            </w:r>
          </w:p>
        </w:tc>
      </w:tr>
      <w:tr w:rsidRPr="00676782" w:rsidR="00B04B5F" w:rsidTr="00E91639" w14:paraId="7563C78F" w14:textId="77777777">
        <w:trPr>
          <w:trHeight w:val="60"/>
        </w:trPr>
        <w:tc>
          <w:tcPr>
            <w:tcW w:w="3665" w:type="dxa"/>
            <w:vMerge/>
            <w:tcBorders>
              <w:left w:val="double" w:color="000000" w:sz="6" w:space="0"/>
              <w:bottom w:val="nil"/>
              <w:right w:val="nil"/>
            </w:tcBorders>
            <w:shd w:val="clear" w:color="auto" w:fill="auto"/>
            <w:vAlign w:val="center"/>
          </w:tcPr>
          <w:p w:rsidRPr="00676782" w:rsidR="00B04B5F" w:rsidP="00E91639" w:rsidRDefault="00B04B5F" w14:paraId="151EFF02" w14:textId="77777777">
            <w:pPr>
              <w:spacing w:after="0"/>
              <w:rPr>
                <w:rFonts w:ascii="Times New Roman" w:hAnsi="Times New Roman" w:cs="Times New Roman"/>
                <w:sz w:val="22"/>
              </w:rPr>
            </w:pPr>
          </w:p>
        </w:tc>
        <w:tc>
          <w:tcPr>
            <w:tcW w:w="3780" w:type="dxa"/>
            <w:gridSpan w:val="2"/>
            <w:tcBorders>
              <w:top w:val="single" w:color="000000" w:sz="8" w:space="0"/>
              <w:left w:val="single" w:color="000000" w:sz="8" w:space="0"/>
              <w:bottom w:val="nil"/>
              <w:right w:val="single" w:color="000000" w:sz="8" w:space="0"/>
            </w:tcBorders>
            <w:vAlign w:val="center"/>
          </w:tcPr>
          <w:p w:rsidRPr="00676782" w:rsidR="00B04B5F" w:rsidP="00E91639" w:rsidRDefault="00B04B5F" w14:paraId="6129A1B4" w14:textId="77777777">
            <w:pPr>
              <w:spacing w:after="0"/>
              <w:jc w:val="center"/>
              <w:rPr>
                <w:rFonts w:ascii="Times New Roman" w:hAnsi="Times New Roman" w:cs="Times New Roman"/>
                <w:i/>
                <w:sz w:val="22"/>
              </w:rPr>
            </w:pPr>
            <w:r w:rsidRPr="00676782">
              <w:rPr>
                <w:rFonts w:ascii="Times New Roman" w:hAnsi="Times New Roman" w:cs="Times New Roman"/>
                <w:i/>
                <w:sz w:val="22"/>
              </w:rPr>
              <w:t>Total</w:t>
            </w:r>
          </w:p>
        </w:tc>
        <w:tc>
          <w:tcPr>
            <w:tcW w:w="1170" w:type="dxa"/>
            <w:tcBorders>
              <w:top w:val="single" w:color="000000" w:sz="8" w:space="0"/>
              <w:left w:val="single" w:color="000000" w:sz="8" w:space="0"/>
              <w:bottom w:val="nil"/>
              <w:right w:val="nil"/>
            </w:tcBorders>
            <w:shd w:val="clear" w:color="auto" w:fill="auto"/>
            <w:vAlign w:val="center"/>
          </w:tcPr>
          <w:p w:rsidRPr="00676782" w:rsidR="00B04B5F" w:rsidP="00E91639" w:rsidRDefault="00B04B5F" w14:paraId="152D5627" w14:textId="77777777">
            <w:pPr>
              <w:spacing w:after="0"/>
              <w:jc w:val="center"/>
              <w:rPr>
                <w:rFonts w:ascii="Times New Roman" w:hAnsi="Times New Roman" w:cs="Times New Roman"/>
                <w:i/>
                <w:sz w:val="22"/>
              </w:rPr>
            </w:pPr>
            <w:r w:rsidRPr="00676782">
              <w:rPr>
                <w:rFonts w:ascii="Times New Roman" w:hAnsi="Times New Roman" w:cs="Times New Roman"/>
                <w:i/>
                <w:sz w:val="22"/>
              </w:rPr>
              <w:t>288</w:t>
            </w:r>
          </w:p>
        </w:tc>
        <w:tc>
          <w:tcPr>
            <w:tcW w:w="1260" w:type="dxa"/>
            <w:tcBorders>
              <w:top w:val="single" w:color="000000" w:sz="8" w:space="0"/>
              <w:left w:val="single" w:color="000000" w:sz="8" w:space="0"/>
              <w:bottom w:val="nil"/>
              <w:right w:val="double" w:color="000000" w:sz="6" w:space="0"/>
            </w:tcBorders>
            <w:shd w:val="clear" w:color="auto" w:fill="auto"/>
            <w:vAlign w:val="center"/>
          </w:tcPr>
          <w:p w:rsidRPr="00676782" w:rsidR="00B04B5F" w:rsidP="00E91639" w:rsidRDefault="00B04B5F" w14:paraId="074ECEE4" w14:textId="13B41FB6">
            <w:pPr>
              <w:spacing w:after="0"/>
              <w:jc w:val="center"/>
              <w:rPr>
                <w:rFonts w:ascii="Times New Roman" w:hAnsi="Times New Roman" w:cs="Times New Roman"/>
                <w:i/>
                <w:color w:val="000000"/>
                <w:sz w:val="22"/>
              </w:rPr>
            </w:pPr>
            <w:r w:rsidRPr="00676782">
              <w:rPr>
                <w:rFonts w:ascii="Times New Roman" w:hAnsi="Times New Roman" w:cs="Times New Roman"/>
                <w:color w:val="000000"/>
                <w:sz w:val="22"/>
              </w:rPr>
              <w:t>$25,</w:t>
            </w:r>
            <w:r w:rsidRPr="00676782" w:rsidR="00122815">
              <w:rPr>
                <w:rFonts w:ascii="Times New Roman" w:hAnsi="Times New Roman" w:cs="Times New Roman"/>
                <w:color w:val="000000"/>
                <w:sz w:val="22"/>
              </w:rPr>
              <w:t>374</w:t>
            </w:r>
          </w:p>
        </w:tc>
      </w:tr>
      <w:tr w:rsidRPr="00676782" w:rsidR="00B04B5F" w:rsidTr="00E91639" w14:paraId="100AC2EE" w14:textId="77777777">
        <w:trPr>
          <w:trHeight w:val="250"/>
        </w:trPr>
        <w:tc>
          <w:tcPr>
            <w:tcW w:w="3665"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0FEBA4C6" w14:textId="77777777">
            <w:pPr>
              <w:spacing w:after="0"/>
              <w:rPr>
                <w:rFonts w:ascii="Times New Roman" w:hAnsi="Times New Roman" w:cs="Times New Roman"/>
                <w:sz w:val="22"/>
              </w:rPr>
            </w:pPr>
            <w:r w:rsidRPr="00676782">
              <w:rPr>
                <w:rFonts w:ascii="Times New Roman" w:hAnsi="Times New Roman" w:cs="Times New Roman"/>
                <w:sz w:val="22"/>
              </w:rPr>
              <w:t>Education/Outreach</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5E1D0217" w14:textId="77777777">
            <w:pPr>
              <w:spacing w:after="0"/>
              <w:jc w:val="center"/>
              <w:rPr>
                <w:rFonts w:ascii="Times New Roman" w:hAnsi="Times New Roman" w:cs="Times New Roman"/>
                <w:sz w:val="22"/>
              </w:rPr>
            </w:pPr>
            <w:r w:rsidRPr="00676782">
              <w:rPr>
                <w:rFonts w:ascii="Times New Roman" w:hAnsi="Times New Roman" w:cs="Times New Roman"/>
                <w:sz w:val="22"/>
              </w:rPr>
              <w:t>GS-12,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19E6151C" w14:textId="00313FF8">
            <w:pPr>
              <w:spacing w:after="0"/>
              <w:jc w:val="center"/>
              <w:rPr>
                <w:rFonts w:ascii="Times New Roman" w:hAnsi="Times New Roman" w:cs="Times New Roman"/>
                <w:sz w:val="22"/>
              </w:rPr>
            </w:pPr>
            <w:r w:rsidRPr="00676782">
              <w:rPr>
                <w:rFonts w:ascii="Times New Roman" w:hAnsi="Times New Roman" w:cs="Times New Roman"/>
                <w:sz w:val="22"/>
              </w:rPr>
              <w:t>$66.</w:t>
            </w:r>
            <w:r w:rsidRPr="00676782" w:rsidR="00122815">
              <w:rPr>
                <w:rFonts w:ascii="Times New Roman" w:hAnsi="Times New Roman" w:cs="Times New Roman"/>
                <w:sz w:val="22"/>
              </w:rPr>
              <w:t>85</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2AC4841A" w14:textId="77777777">
            <w:pPr>
              <w:spacing w:after="0"/>
              <w:jc w:val="center"/>
              <w:rPr>
                <w:rFonts w:ascii="Times New Roman" w:hAnsi="Times New Roman" w:cs="Times New Roman"/>
                <w:sz w:val="22"/>
              </w:rPr>
            </w:pPr>
            <w:r w:rsidRPr="00676782">
              <w:rPr>
                <w:rFonts w:ascii="Times New Roman" w:hAnsi="Times New Roman" w:cs="Times New Roman"/>
                <w:sz w:val="22"/>
              </w:rPr>
              <w:t>240</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500CA45F" w14:textId="7C6FBF11">
            <w:pPr>
              <w:spacing w:after="0"/>
              <w:jc w:val="center"/>
              <w:rPr>
                <w:rFonts w:ascii="Times New Roman" w:hAnsi="Times New Roman" w:cs="Times New Roman"/>
                <w:sz w:val="22"/>
              </w:rPr>
            </w:pPr>
            <w:r w:rsidRPr="00676782">
              <w:rPr>
                <w:rFonts w:ascii="Times New Roman" w:hAnsi="Times New Roman" w:cs="Times New Roman"/>
                <w:color w:val="000000"/>
                <w:sz w:val="22"/>
              </w:rPr>
              <w:t>$</w:t>
            </w:r>
            <w:r w:rsidRPr="00676782" w:rsidR="00122815">
              <w:rPr>
                <w:rFonts w:ascii="Times New Roman" w:hAnsi="Times New Roman" w:cs="Times New Roman"/>
                <w:color w:val="000000"/>
                <w:sz w:val="22"/>
              </w:rPr>
              <w:t>16,044</w:t>
            </w:r>
          </w:p>
        </w:tc>
      </w:tr>
      <w:tr w:rsidRPr="00676782" w:rsidR="00B04B5F" w:rsidTr="00E91639" w14:paraId="529EFDB2" w14:textId="77777777">
        <w:trPr>
          <w:trHeight w:val="250"/>
        </w:trPr>
        <w:tc>
          <w:tcPr>
            <w:tcW w:w="3665"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07E4E5F4" w14:textId="77777777">
            <w:pPr>
              <w:spacing w:after="0"/>
              <w:rPr>
                <w:rFonts w:ascii="Times New Roman" w:hAnsi="Times New Roman" w:cs="Times New Roman"/>
                <w:sz w:val="22"/>
              </w:rPr>
            </w:pPr>
            <w:r w:rsidRPr="00676782">
              <w:rPr>
                <w:rFonts w:ascii="Times New Roman" w:hAnsi="Times New Roman" w:cs="Times New Roman"/>
                <w:sz w:val="22"/>
              </w:rPr>
              <w:t>Compliance monitoring</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73566BAC" w14:textId="77777777">
            <w:pPr>
              <w:spacing w:after="0"/>
              <w:jc w:val="center"/>
              <w:rPr>
                <w:rFonts w:ascii="Times New Roman" w:hAnsi="Times New Roman" w:cs="Times New Roman"/>
                <w:sz w:val="22"/>
              </w:rPr>
            </w:pPr>
            <w:r w:rsidRPr="00676782">
              <w:rPr>
                <w:rFonts w:ascii="Times New Roman" w:hAnsi="Times New Roman" w:cs="Times New Roman"/>
                <w:sz w:val="22"/>
              </w:rPr>
              <w:t>GS-12,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556DA1DD" w14:textId="6601F54C">
            <w:pPr>
              <w:spacing w:after="0"/>
              <w:jc w:val="center"/>
              <w:rPr>
                <w:rFonts w:ascii="Times New Roman" w:hAnsi="Times New Roman" w:cs="Times New Roman"/>
                <w:sz w:val="22"/>
              </w:rPr>
            </w:pPr>
            <w:r w:rsidRPr="00676782">
              <w:rPr>
                <w:rFonts w:ascii="Times New Roman" w:hAnsi="Times New Roman" w:cs="Times New Roman"/>
                <w:sz w:val="22"/>
              </w:rPr>
              <w:t>$66.</w:t>
            </w:r>
            <w:r w:rsidRPr="00676782" w:rsidR="00122815">
              <w:rPr>
                <w:rFonts w:ascii="Times New Roman" w:hAnsi="Times New Roman" w:cs="Times New Roman"/>
                <w:sz w:val="22"/>
              </w:rPr>
              <w:t>85</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69E78934" w14:textId="77777777">
            <w:pPr>
              <w:spacing w:after="0"/>
              <w:jc w:val="center"/>
              <w:rPr>
                <w:rFonts w:ascii="Times New Roman" w:hAnsi="Times New Roman" w:cs="Times New Roman"/>
                <w:sz w:val="22"/>
              </w:rPr>
            </w:pPr>
            <w:r w:rsidRPr="00676782">
              <w:rPr>
                <w:rFonts w:ascii="Times New Roman" w:hAnsi="Times New Roman" w:cs="Times New Roman"/>
                <w:sz w:val="22"/>
              </w:rPr>
              <w:t>400</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72877BA2" w14:textId="742C5214">
            <w:pPr>
              <w:spacing w:after="0"/>
              <w:jc w:val="center"/>
              <w:rPr>
                <w:rFonts w:ascii="Times New Roman" w:hAnsi="Times New Roman" w:cs="Times New Roman"/>
                <w:sz w:val="22"/>
              </w:rPr>
            </w:pPr>
            <w:r w:rsidRPr="00676782">
              <w:rPr>
                <w:rFonts w:ascii="Times New Roman" w:hAnsi="Times New Roman" w:cs="Times New Roman"/>
                <w:color w:val="000000"/>
                <w:sz w:val="22"/>
              </w:rPr>
              <w:t>$26,</w:t>
            </w:r>
            <w:r w:rsidRPr="00676782" w:rsidR="00122815">
              <w:rPr>
                <w:rFonts w:ascii="Times New Roman" w:hAnsi="Times New Roman" w:cs="Times New Roman"/>
                <w:color w:val="000000"/>
                <w:sz w:val="22"/>
              </w:rPr>
              <w:t>740</w:t>
            </w:r>
          </w:p>
        </w:tc>
      </w:tr>
      <w:tr w:rsidRPr="00676782" w:rsidR="00B04B5F" w:rsidTr="00E91639" w14:paraId="35354246" w14:textId="77777777">
        <w:trPr>
          <w:trHeight w:val="405"/>
        </w:trPr>
        <w:tc>
          <w:tcPr>
            <w:tcW w:w="3665"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38777BA4" w14:textId="77777777">
            <w:pPr>
              <w:spacing w:after="0"/>
              <w:rPr>
                <w:rFonts w:ascii="Times New Roman" w:hAnsi="Times New Roman" w:cs="Times New Roman"/>
                <w:sz w:val="22"/>
              </w:rPr>
            </w:pPr>
            <w:r w:rsidRPr="00676782">
              <w:rPr>
                <w:rFonts w:ascii="Times New Roman" w:hAnsi="Times New Roman" w:cs="Times New Roman"/>
                <w:sz w:val="22"/>
              </w:rPr>
              <w:t>Develop reporting notices</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5ACF2495" w14:textId="77777777">
            <w:pPr>
              <w:spacing w:after="0"/>
              <w:jc w:val="center"/>
              <w:rPr>
                <w:rFonts w:ascii="Times New Roman" w:hAnsi="Times New Roman" w:cs="Times New Roman"/>
                <w:sz w:val="22"/>
              </w:rPr>
            </w:pPr>
            <w:r w:rsidRPr="00676782">
              <w:rPr>
                <w:rFonts w:ascii="Times New Roman" w:hAnsi="Times New Roman" w:cs="Times New Roman"/>
                <w:sz w:val="22"/>
              </w:rPr>
              <w:t>GS-12,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57BB5872" w14:textId="6355B190">
            <w:pPr>
              <w:spacing w:after="0"/>
              <w:jc w:val="center"/>
              <w:rPr>
                <w:rFonts w:ascii="Times New Roman" w:hAnsi="Times New Roman" w:cs="Times New Roman"/>
                <w:sz w:val="22"/>
              </w:rPr>
            </w:pPr>
            <w:r w:rsidRPr="00676782">
              <w:rPr>
                <w:rFonts w:ascii="Times New Roman" w:hAnsi="Times New Roman" w:cs="Times New Roman"/>
                <w:sz w:val="22"/>
              </w:rPr>
              <w:t>$66.</w:t>
            </w:r>
            <w:r w:rsidRPr="00676782" w:rsidR="00122815">
              <w:rPr>
                <w:rFonts w:ascii="Times New Roman" w:hAnsi="Times New Roman" w:cs="Times New Roman"/>
                <w:sz w:val="22"/>
              </w:rPr>
              <w:t>85</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493CF1F8" w14:textId="1D8BB270">
            <w:pPr>
              <w:spacing w:after="0"/>
              <w:jc w:val="center"/>
              <w:rPr>
                <w:rFonts w:ascii="Times New Roman" w:hAnsi="Times New Roman" w:cs="Times New Roman"/>
                <w:sz w:val="22"/>
              </w:rPr>
            </w:pPr>
            <w:r w:rsidRPr="00676782">
              <w:rPr>
                <w:rFonts w:ascii="Times New Roman" w:hAnsi="Times New Roman" w:cs="Times New Roman"/>
                <w:color w:val="000000"/>
                <w:sz w:val="22"/>
              </w:rPr>
              <w:t>16</w:t>
            </w:r>
            <w:r w:rsidRPr="00676782" w:rsidR="0038595D">
              <w:rPr>
                <w:rFonts w:ascii="Times New Roman" w:hAnsi="Times New Roman" w:cs="Times New Roman"/>
                <w:color w:val="000000"/>
                <w:sz w:val="22"/>
              </w:rPr>
              <w:t>0</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421B87CB" w14:textId="1E833310">
            <w:pPr>
              <w:spacing w:after="0"/>
              <w:jc w:val="center"/>
              <w:rPr>
                <w:rFonts w:ascii="Times New Roman" w:hAnsi="Times New Roman" w:cs="Times New Roman"/>
                <w:sz w:val="22"/>
              </w:rPr>
            </w:pPr>
            <w:r w:rsidRPr="00676782">
              <w:rPr>
                <w:rFonts w:ascii="Times New Roman" w:hAnsi="Times New Roman" w:cs="Times New Roman"/>
                <w:color w:val="000000"/>
                <w:sz w:val="22"/>
              </w:rPr>
              <w:t>$10</w:t>
            </w:r>
            <w:r w:rsidRPr="00676782" w:rsidR="0038595D">
              <w:rPr>
                <w:rFonts w:ascii="Times New Roman" w:hAnsi="Times New Roman" w:cs="Times New Roman"/>
                <w:color w:val="000000"/>
                <w:sz w:val="22"/>
              </w:rPr>
              <w:t>,</w:t>
            </w:r>
            <w:r w:rsidRPr="00676782" w:rsidR="00122815">
              <w:rPr>
                <w:rFonts w:ascii="Times New Roman" w:hAnsi="Times New Roman" w:cs="Times New Roman"/>
                <w:color w:val="000000"/>
                <w:sz w:val="22"/>
              </w:rPr>
              <w:t>69</w:t>
            </w:r>
            <w:r w:rsidRPr="00676782" w:rsidR="0038595D">
              <w:rPr>
                <w:rFonts w:ascii="Times New Roman" w:hAnsi="Times New Roman" w:cs="Times New Roman"/>
                <w:color w:val="000000"/>
                <w:sz w:val="22"/>
              </w:rPr>
              <w:t>0</w:t>
            </w:r>
          </w:p>
        </w:tc>
      </w:tr>
      <w:tr w:rsidRPr="00676782" w:rsidR="00B04B5F" w:rsidTr="00E91639" w14:paraId="40F46965" w14:textId="77777777">
        <w:trPr>
          <w:trHeight w:val="405"/>
        </w:trPr>
        <w:tc>
          <w:tcPr>
            <w:tcW w:w="3665"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573C54DD" w14:textId="77777777">
            <w:pPr>
              <w:spacing w:after="0"/>
              <w:rPr>
                <w:rFonts w:ascii="Times New Roman" w:hAnsi="Times New Roman" w:cs="Times New Roman"/>
                <w:sz w:val="22"/>
              </w:rPr>
            </w:pPr>
            <w:r w:rsidRPr="00676782">
              <w:rPr>
                <w:rFonts w:ascii="Times New Roman" w:hAnsi="Times New Roman" w:cs="Times New Roman"/>
                <w:sz w:val="22"/>
              </w:rPr>
              <w:t>Document control functions</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40908F88" w14:textId="77777777">
            <w:pPr>
              <w:spacing w:after="0"/>
              <w:jc w:val="center"/>
              <w:rPr>
                <w:rFonts w:ascii="Times New Roman" w:hAnsi="Times New Roman" w:cs="Times New Roman"/>
                <w:sz w:val="22"/>
              </w:rPr>
            </w:pPr>
            <w:r w:rsidRPr="00676782">
              <w:rPr>
                <w:rFonts w:ascii="Times New Roman" w:hAnsi="Times New Roman" w:cs="Times New Roman"/>
                <w:sz w:val="22"/>
              </w:rPr>
              <w:t>GS-12,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04DF27CE" w14:textId="68B760F8">
            <w:pPr>
              <w:spacing w:after="0"/>
              <w:jc w:val="center"/>
              <w:rPr>
                <w:rFonts w:ascii="Times New Roman" w:hAnsi="Times New Roman" w:cs="Times New Roman"/>
                <w:sz w:val="22"/>
              </w:rPr>
            </w:pPr>
            <w:r w:rsidRPr="00676782">
              <w:rPr>
                <w:rFonts w:ascii="Times New Roman" w:hAnsi="Times New Roman" w:cs="Times New Roman"/>
                <w:sz w:val="22"/>
              </w:rPr>
              <w:t>$66.</w:t>
            </w:r>
            <w:r w:rsidRPr="00676782" w:rsidR="00122815">
              <w:rPr>
                <w:rFonts w:ascii="Times New Roman" w:hAnsi="Times New Roman" w:cs="Times New Roman"/>
                <w:sz w:val="22"/>
              </w:rPr>
              <w:t>85</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0006C3AF" w14:textId="1349403E">
            <w:pPr>
              <w:spacing w:after="0"/>
              <w:jc w:val="center"/>
              <w:rPr>
                <w:rFonts w:ascii="Times New Roman" w:hAnsi="Times New Roman" w:cs="Times New Roman"/>
                <w:sz w:val="22"/>
              </w:rPr>
            </w:pPr>
            <w:r w:rsidRPr="00676782">
              <w:rPr>
                <w:rFonts w:ascii="Times New Roman" w:hAnsi="Times New Roman" w:cs="Times New Roman"/>
                <w:color w:val="000000"/>
                <w:sz w:val="22"/>
              </w:rPr>
              <w:t>1</w:t>
            </w:r>
            <w:r w:rsidRPr="00676782" w:rsidR="0038595D">
              <w:rPr>
                <w:rFonts w:ascii="Times New Roman" w:hAnsi="Times New Roman" w:cs="Times New Roman"/>
                <w:color w:val="000000"/>
                <w:sz w:val="22"/>
              </w:rPr>
              <w:t>0</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1E8DCCBE" w14:textId="78AA7B1F">
            <w:pPr>
              <w:spacing w:after="0"/>
              <w:jc w:val="center"/>
              <w:rPr>
                <w:rFonts w:ascii="Times New Roman" w:hAnsi="Times New Roman" w:cs="Times New Roman"/>
                <w:sz w:val="22"/>
              </w:rPr>
            </w:pPr>
            <w:r w:rsidRPr="00676782">
              <w:rPr>
                <w:rFonts w:ascii="Times New Roman" w:hAnsi="Times New Roman" w:cs="Times New Roman"/>
                <w:color w:val="000000"/>
                <w:sz w:val="22"/>
              </w:rPr>
              <w:t>$6</w:t>
            </w:r>
            <w:r w:rsidRPr="00676782" w:rsidR="00122815">
              <w:rPr>
                <w:rFonts w:ascii="Times New Roman" w:hAnsi="Times New Roman" w:cs="Times New Roman"/>
                <w:color w:val="000000"/>
                <w:sz w:val="22"/>
              </w:rPr>
              <w:t>7</w:t>
            </w:r>
            <w:r w:rsidRPr="00676782" w:rsidR="0038595D">
              <w:rPr>
                <w:rFonts w:ascii="Times New Roman" w:hAnsi="Times New Roman" w:cs="Times New Roman"/>
                <w:color w:val="000000"/>
                <w:sz w:val="22"/>
              </w:rPr>
              <w:t>0</w:t>
            </w:r>
          </w:p>
        </w:tc>
      </w:tr>
      <w:tr w:rsidRPr="00676782" w:rsidR="00B04B5F" w:rsidTr="00E91639" w14:paraId="38F7D201" w14:textId="77777777">
        <w:trPr>
          <w:trHeight w:val="420"/>
        </w:trPr>
        <w:tc>
          <w:tcPr>
            <w:tcW w:w="3665" w:type="dxa"/>
            <w:tcBorders>
              <w:top w:val="single" w:color="000000" w:sz="8" w:space="0"/>
              <w:left w:val="double" w:color="000000" w:sz="6" w:space="0"/>
              <w:bottom w:val="nil"/>
              <w:right w:val="nil"/>
            </w:tcBorders>
            <w:shd w:val="clear" w:color="auto" w:fill="auto"/>
            <w:vAlign w:val="center"/>
            <w:hideMark/>
          </w:tcPr>
          <w:p w:rsidRPr="00676782" w:rsidR="00B04B5F" w:rsidP="00E91639" w:rsidRDefault="00B04B5F" w14:paraId="7B7C1D08" w14:textId="77777777">
            <w:pPr>
              <w:spacing w:after="0"/>
              <w:rPr>
                <w:rFonts w:ascii="Times New Roman" w:hAnsi="Times New Roman" w:cs="Times New Roman"/>
                <w:sz w:val="22"/>
              </w:rPr>
            </w:pPr>
            <w:r w:rsidRPr="00676782">
              <w:rPr>
                <w:rFonts w:ascii="Times New Roman" w:hAnsi="Times New Roman" w:cs="Times New Roman"/>
                <w:sz w:val="22"/>
              </w:rPr>
              <w:lastRenderedPageBreak/>
              <w:t xml:space="preserve">Notice review, </w:t>
            </w:r>
            <w:proofErr w:type="gramStart"/>
            <w:r w:rsidRPr="00676782">
              <w:rPr>
                <w:rFonts w:ascii="Times New Roman" w:hAnsi="Times New Roman" w:cs="Times New Roman"/>
                <w:sz w:val="22"/>
              </w:rPr>
              <w:t>referral</w:t>
            </w:r>
            <w:proofErr w:type="gramEnd"/>
            <w:r w:rsidRPr="00676782">
              <w:rPr>
                <w:rFonts w:ascii="Times New Roman" w:hAnsi="Times New Roman" w:cs="Times New Roman"/>
                <w:sz w:val="22"/>
              </w:rPr>
              <w:t xml:space="preserve"> and data entry</w:t>
            </w:r>
          </w:p>
        </w:tc>
        <w:tc>
          <w:tcPr>
            <w:tcW w:w="1980" w:type="dxa"/>
            <w:tcBorders>
              <w:top w:val="single" w:color="000000" w:sz="8" w:space="0"/>
              <w:left w:val="single" w:color="000000" w:sz="8" w:space="0"/>
              <w:bottom w:val="nil"/>
              <w:right w:val="single" w:color="000000" w:sz="8" w:space="0"/>
            </w:tcBorders>
            <w:vAlign w:val="center"/>
          </w:tcPr>
          <w:p w:rsidRPr="00676782" w:rsidR="00B04B5F" w:rsidP="00E91639" w:rsidRDefault="00B04B5F" w14:paraId="6372B7D6" w14:textId="77777777">
            <w:pPr>
              <w:spacing w:after="0"/>
              <w:jc w:val="center"/>
              <w:rPr>
                <w:rFonts w:ascii="Times New Roman" w:hAnsi="Times New Roman" w:cs="Times New Roman"/>
                <w:sz w:val="22"/>
              </w:rPr>
            </w:pPr>
            <w:r w:rsidRPr="00676782">
              <w:rPr>
                <w:rFonts w:ascii="Times New Roman" w:hAnsi="Times New Roman" w:cs="Times New Roman"/>
                <w:sz w:val="22"/>
              </w:rPr>
              <w:t>GS-12, Step 1</w:t>
            </w:r>
          </w:p>
        </w:tc>
        <w:tc>
          <w:tcPr>
            <w:tcW w:w="180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4303775E" w14:textId="2600B2F5">
            <w:pPr>
              <w:spacing w:after="0"/>
              <w:jc w:val="center"/>
              <w:rPr>
                <w:rFonts w:ascii="Times New Roman" w:hAnsi="Times New Roman" w:cs="Times New Roman"/>
                <w:sz w:val="22"/>
              </w:rPr>
            </w:pPr>
            <w:r w:rsidRPr="00676782">
              <w:rPr>
                <w:rFonts w:ascii="Times New Roman" w:hAnsi="Times New Roman" w:cs="Times New Roman"/>
                <w:sz w:val="22"/>
              </w:rPr>
              <w:t>$66.</w:t>
            </w:r>
            <w:r w:rsidRPr="00676782" w:rsidR="00122815">
              <w:rPr>
                <w:rFonts w:ascii="Times New Roman" w:hAnsi="Times New Roman" w:cs="Times New Roman"/>
                <w:sz w:val="22"/>
              </w:rPr>
              <w:t>85</w:t>
            </w:r>
          </w:p>
        </w:tc>
        <w:tc>
          <w:tcPr>
            <w:tcW w:w="1170" w:type="dxa"/>
            <w:tcBorders>
              <w:top w:val="single" w:color="000000" w:sz="8" w:space="0"/>
              <w:left w:val="single" w:color="000000" w:sz="8" w:space="0"/>
              <w:bottom w:val="nil"/>
              <w:right w:val="nil"/>
            </w:tcBorders>
            <w:shd w:val="clear" w:color="auto" w:fill="auto"/>
            <w:vAlign w:val="center"/>
            <w:hideMark/>
          </w:tcPr>
          <w:p w:rsidRPr="00676782" w:rsidR="00B04B5F" w:rsidP="00E91639" w:rsidRDefault="00B04B5F" w14:paraId="770716D4" w14:textId="7C323DEC">
            <w:pPr>
              <w:spacing w:after="0"/>
              <w:jc w:val="center"/>
              <w:rPr>
                <w:rFonts w:ascii="Times New Roman" w:hAnsi="Times New Roman" w:cs="Times New Roman"/>
                <w:sz w:val="22"/>
              </w:rPr>
            </w:pPr>
            <w:r w:rsidRPr="00676782">
              <w:rPr>
                <w:rFonts w:ascii="Times New Roman" w:hAnsi="Times New Roman" w:cs="Times New Roman"/>
                <w:color w:val="000000"/>
                <w:sz w:val="22"/>
              </w:rPr>
              <w:t>16</w:t>
            </w:r>
            <w:r w:rsidRPr="00676782" w:rsidR="0038595D">
              <w:rPr>
                <w:rFonts w:ascii="Times New Roman" w:hAnsi="Times New Roman" w:cs="Times New Roman"/>
                <w:color w:val="000000"/>
                <w:sz w:val="22"/>
              </w:rPr>
              <w:t>0</w:t>
            </w:r>
          </w:p>
        </w:tc>
        <w:tc>
          <w:tcPr>
            <w:tcW w:w="1260" w:type="dxa"/>
            <w:tcBorders>
              <w:top w:val="single" w:color="000000" w:sz="8" w:space="0"/>
              <w:left w:val="single" w:color="000000" w:sz="8" w:space="0"/>
              <w:bottom w:val="nil"/>
              <w:right w:val="double" w:color="000000" w:sz="6" w:space="0"/>
            </w:tcBorders>
            <w:shd w:val="clear" w:color="auto" w:fill="auto"/>
            <w:vAlign w:val="center"/>
            <w:hideMark/>
          </w:tcPr>
          <w:p w:rsidRPr="00676782" w:rsidR="00B04B5F" w:rsidP="00E91639" w:rsidRDefault="00B04B5F" w14:paraId="6603C05E" w14:textId="44C6D10F">
            <w:pPr>
              <w:spacing w:after="0"/>
              <w:jc w:val="center"/>
              <w:rPr>
                <w:rFonts w:ascii="Times New Roman" w:hAnsi="Times New Roman" w:cs="Times New Roman"/>
                <w:sz w:val="22"/>
              </w:rPr>
            </w:pPr>
            <w:r w:rsidRPr="00676782">
              <w:rPr>
                <w:rFonts w:ascii="Times New Roman" w:hAnsi="Times New Roman" w:cs="Times New Roman"/>
                <w:color w:val="000000"/>
                <w:sz w:val="22"/>
              </w:rPr>
              <w:t>$10</w:t>
            </w:r>
            <w:r w:rsidRPr="00676782" w:rsidR="0038595D">
              <w:rPr>
                <w:rFonts w:ascii="Times New Roman" w:hAnsi="Times New Roman" w:cs="Times New Roman"/>
                <w:color w:val="000000"/>
                <w:sz w:val="22"/>
              </w:rPr>
              <w:t>,</w:t>
            </w:r>
            <w:r w:rsidRPr="00676782" w:rsidR="00122815">
              <w:rPr>
                <w:rFonts w:ascii="Times New Roman" w:hAnsi="Times New Roman" w:cs="Times New Roman"/>
                <w:color w:val="000000"/>
                <w:sz w:val="22"/>
              </w:rPr>
              <w:t>69</w:t>
            </w:r>
            <w:r w:rsidRPr="00676782" w:rsidR="0038595D">
              <w:rPr>
                <w:rFonts w:ascii="Times New Roman" w:hAnsi="Times New Roman" w:cs="Times New Roman"/>
                <w:color w:val="000000"/>
                <w:sz w:val="22"/>
              </w:rPr>
              <w:t>0</w:t>
            </w:r>
          </w:p>
        </w:tc>
      </w:tr>
      <w:tr w:rsidRPr="00676782" w:rsidR="00B04B5F" w:rsidTr="00E91639" w14:paraId="41B7B8C6" w14:textId="77777777">
        <w:trPr>
          <w:trHeight w:val="205"/>
        </w:trPr>
        <w:tc>
          <w:tcPr>
            <w:tcW w:w="7445" w:type="dxa"/>
            <w:gridSpan w:val="3"/>
            <w:tcBorders>
              <w:top w:val="single" w:color="000000" w:sz="8" w:space="0"/>
              <w:left w:val="double" w:color="000000" w:sz="6" w:space="0"/>
              <w:bottom w:val="double" w:color="000000" w:sz="6" w:space="0"/>
              <w:right w:val="nil"/>
            </w:tcBorders>
            <w:shd w:val="clear" w:color="auto" w:fill="auto"/>
            <w:vAlign w:val="center"/>
            <w:hideMark/>
          </w:tcPr>
          <w:p w:rsidRPr="00676782" w:rsidR="00B04B5F" w:rsidP="00E91639" w:rsidRDefault="00B04B5F" w14:paraId="164053DF" w14:textId="77777777">
            <w:pPr>
              <w:spacing w:after="0"/>
              <w:jc w:val="center"/>
              <w:rPr>
                <w:rFonts w:ascii="Times New Roman" w:hAnsi="Times New Roman" w:cs="Times New Roman"/>
                <w:sz w:val="22"/>
              </w:rPr>
            </w:pPr>
            <w:r w:rsidRPr="00676782">
              <w:rPr>
                <w:rFonts w:ascii="Times New Roman" w:hAnsi="Times New Roman" w:cs="Times New Roman"/>
                <w:b/>
                <w:bCs/>
                <w:sz w:val="22"/>
              </w:rPr>
              <w:t>Totals</w:t>
            </w:r>
          </w:p>
        </w:tc>
        <w:tc>
          <w:tcPr>
            <w:tcW w:w="1170" w:type="dxa"/>
            <w:tcBorders>
              <w:top w:val="single" w:color="000000" w:sz="8" w:space="0"/>
              <w:left w:val="single" w:color="000000" w:sz="8" w:space="0"/>
              <w:bottom w:val="double" w:color="000000" w:sz="6" w:space="0"/>
              <w:right w:val="nil"/>
            </w:tcBorders>
            <w:shd w:val="clear" w:color="auto" w:fill="auto"/>
            <w:vAlign w:val="center"/>
            <w:hideMark/>
          </w:tcPr>
          <w:p w:rsidRPr="00676782" w:rsidR="00B04B5F" w:rsidP="00E91639" w:rsidRDefault="0043778D" w14:paraId="3CDE4DE1" w14:textId="2A4AA3F6">
            <w:pPr>
              <w:spacing w:after="0"/>
              <w:jc w:val="center"/>
              <w:rPr>
                <w:rFonts w:ascii="Times New Roman" w:hAnsi="Times New Roman" w:cs="Times New Roman"/>
                <w:b/>
                <w:bCs/>
                <w:sz w:val="22"/>
              </w:rPr>
            </w:pPr>
            <w:r w:rsidRPr="00676782">
              <w:rPr>
                <w:rFonts w:ascii="Times New Roman" w:hAnsi="Times New Roman" w:cs="Times New Roman"/>
                <w:b/>
                <w:bCs/>
                <w:color w:val="000000"/>
                <w:sz w:val="22"/>
              </w:rPr>
              <w:t>1,258</w:t>
            </w:r>
          </w:p>
        </w:tc>
        <w:tc>
          <w:tcPr>
            <w:tcW w:w="1260" w:type="dxa"/>
            <w:tcBorders>
              <w:top w:val="single" w:color="000000" w:sz="8" w:space="0"/>
              <w:left w:val="single" w:color="000000" w:sz="8" w:space="0"/>
              <w:bottom w:val="double" w:color="000000" w:sz="6" w:space="0"/>
              <w:right w:val="double" w:color="000000" w:sz="6" w:space="0"/>
            </w:tcBorders>
            <w:shd w:val="clear" w:color="auto" w:fill="auto"/>
            <w:vAlign w:val="center"/>
            <w:hideMark/>
          </w:tcPr>
          <w:p w:rsidRPr="00676782" w:rsidR="00B04B5F" w:rsidP="00E91639" w:rsidRDefault="00B04B5F" w14:paraId="375E8F99" w14:textId="0C80E239">
            <w:pPr>
              <w:spacing w:after="0"/>
              <w:jc w:val="center"/>
              <w:rPr>
                <w:rFonts w:ascii="Times New Roman" w:hAnsi="Times New Roman" w:cs="Times New Roman"/>
                <w:b/>
                <w:bCs/>
                <w:sz w:val="22"/>
              </w:rPr>
            </w:pPr>
            <w:r w:rsidRPr="00676782">
              <w:rPr>
                <w:rFonts w:ascii="Times New Roman" w:hAnsi="Times New Roman" w:cs="Times New Roman"/>
                <w:b/>
                <w:bCs/>
                <w:color w:val="000000"/>
                <w:sz w:val="22"/>
              </w:rPr>
              <w:t>$</w:t>
            </w:r>
            <w:r w:rsidRPr="00676782" w:rsidR="0043778D">
              <w:rPr>
                <w:rFonts w:ascii="Times New Roman" w:hAnsi="Times New Roman" w:cs="Times New Roman"/>
                <w:b/>
                <w:bCs/>
                <w:color w:val="000000"/>
                <w:sz w:val="22"/>
              </w:rPr>
              <w:t>90,208</w:t>
            </w:r>
          </w:p>
        </w:tc>
      </w:tr>
    </w:tbl>
    <w:p w:rsidRPr="00676782" w:rsidR="00665E81" w:rsidP="0020497A" w:rsidRDefault="00665E81" w14:paraId="38B77FEE" w14:textId="77777777">
      <w:pPr>
        <w:rPr>
          <w:rFonts w:ascii="Times New Roman" w:hAnsi="Times New Roman" w:cs="Times New Roman"/>
        </w:rPr>
      </w:pPr>
    </w:p>
    <w:p w:rsidRPr="00676782" w:rsidR="00BD1BAB" w:rsidP="00B04B5F" w:rsidRDefault="00B04B5F" w14:paraId="3AB88F5C" w14:textId="1985AFD7">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5</w:t>
      </w:r>
      <w:r w:rsidRPr="00676782">
        <w:rPr>
          <w:rFonts w:ascii="Times New Roman" w:hAnsi="Times New Roman" w:cs="Times New Roman"/>
        </w:rPr>
        <w:t xml:space="preserve">. </w:t>
      </w:r>
      <w:r w:rsidRPr="00676782" w:rsidR="003D09E2">
        <w:rPr>
          <w:rFonts w:ascii="Times New Roman" w:hAnsi="Times New Roman" w:cs="Times New Roman"/>
        </w:rPr>
        <w:t xml:space="preserve">Explain the reasons for any program changes or adjustments reported in </w:t>
      </w:r>
      <w:r w:rsidRPr="00676782" w:rsidR="007F3A69">
        <w:rPr>
          <w:rFonts w:ascii="Times New Roman" w:hAnsi="Times New Roman" w:cs="Times New Roman"/>
        </w:rPr>
        <w:t>hour or cost burden</w:t>
      </w:r>
      <w:r w:rsidRPr="00676782" w:rsidR="003D09E2">
        <w:rPr>
          <w:rFonts w:ascii="Times New Roman" w:hAnsi="Times New Roman" w:cs="Times New Roman"/>
        </w:rPr>
        <w:t>.</w:t>
      </w:r>
    </w:p>
    <w:p w:rsidRPr="00676782" w:rsidR="00B04B5F" w:rsidP="00B04B5F" w:rsidRDefault="00665E81" w14:paraId="417C5BC1" w14:textId="04B74742">
      <w:pPr>
        <w:rPr>
          <w:rFonts w:ascii="Times New Roman" w:hAnsi="Times New Roman" w:cs="Times New Roman"/>
          <w:color w:val="000000"/>
        </w:rPr>
      </w:pPr>
      <w:r w:rsidRPr="00676782">
        <w:rPr>
          <w:rFonts w:ascii="Times New Roman" w:hAnsi="Times New Roman" w:cs="Times New Roman"/>
        </w:rPr>
        <w:t>Th</w:t>
      </w:r>
      <w:r w:rsidRPr="00676782" w:rsidR="00132014">
        <w:rPr>
          <w:rFonts w:ascii="Times New Roman" w:hAnsi="Times New Roman" w:cs="Times New Roman"/>
        </w:rPr>
        <w:t>e burden hour estimate for th</w:t>
      </w:r>
      <w:r w:rsidRPr="00676782">
        <w:rPr>
          <w:rFonts w:ascii="Times New Roman" w:hAnsi="Times New Roman" w:cs="Times New Roman"/>
        </w:rPr>
        <w:t>is ICR renewal</w:t>
      </w:r>
      <w:r w:rsidRPr="00676782" w:rsidR="00132014">
        <w:rPr>
          <w:rFonts w:ascii="Times New Roman" w:hAnsi="Times New Roman" w:cs="Times New Roman"/>
        </w:rPr>
        <w:t xml:space="preserve"> remains the same as that currently approved by OMB. </w:t>
      </w:r>
      <w:bookmarkStart w:name="_Hlk84264601" w:id="10"/>
      <w:r w:rsidRPr="00676782" w:rsidR="00B04B5F">
        <w:rPr>
          <w:rFonts w:ascii="Times New Roman" w:hAnsi="Times New Roman" w:cs="Times New Roman"/>
          <w:color w:val="000000"/>
        </w:rPr>
        <w:t>There is</w:t>
      </w:r>
      <w:r w:rsidRPr="00676782" w:rsidR="00132014">
        <w:rPr>
          <w:rFonts w:ascii="Times New Roman" w:hAnsi="Times New Roman" w:cs="Times New Roman"/>
          <w:color w:val="000000"/>
        </w:rPr>
        <w:t>, however,</w:t>
      </w:r>
      <w:r w:rsidRPr="00676782" w:rsidR="00B04B5F">
        <w:rPr>
          <w:rFonts w:ascii="Times New Roman" w:hAnsi="Times New Roman" w:cs="Times New Roman"/>
          <w:color w:val="000000"/>
        </w:rPr>
        <w:t xml:space="preserve"> an increase in the </w:t>
      </w:r>
      <w:r w:rsidRPr="00676782" w:rsidR="00132014">
        <w:rPr>
          <w:rFonts w:ascii="Times New Roman" w:hAnsi="Times New Roman" w:cs="Times New Roman"/>
          <w:color w:val="000000"/>
        </w:rPr>
        <w:t xml:space="preserve">estimated </w:t>
      </w:r>
      <w:r w:rsidRPr="00676782" w:rsidR="00B04B5F">
        <w:rPr>
          <w:rFonts w:ascii="Times New Roman" w:hAnsi="Times New Roman" w:cs="Times New Roman"/>
          <w:color w:val="000000"/>
        </w:rPr>
        <w:t xml:space="preserve">total </w:t>
      </w:r>
      <w:r w:rsidRPr="00676782" w:rsidR="00132014">
        <w:rPr>
          <w:rFonts w:ascii="Times New Roman" w:hAnsi="Times New Roman" w:cs="Times New Roman"/>
          <w:color w:val="000000"/>
        </w:rPr>
        <w:t xml:space="preserve">burden </w:t>
      </w:r>
      <w:r w:rsidRPr="00676782" w:rsidR="00B04B5F">
        <w:rPr>
          <w:rFonts w:ascii="Times New Roman" w:hAnsi="Times New Roman" w:cs="Times New Roman"/>
          <w:color w:val="000000"/>
        </w:rPr>
        <w:t>cost associated with this ICR from</w:t>
      </w:r>
      <w:r w:rsidRPr="00676782" w:rsidR="001B0D34">
        <w:rPr>
          <w:rFonts w:ascii="Times New Roman" w:hAnsi="Times New Roman" w:cs="Times New Roman"/>
          <w:color w:val="000000"/>
        </w:rPr>
        <w:t xml:space="preserve"> </w:t>
      </w:r>
      <w:r w:rsidRPr="00676782" w:rsidR="00B04B5F">
        <w:rPr>
          <w:rFonts w:ascii="Times New Roman" w:hAnsi="Times New Roman" w:cs="Times New Roman"/>
          <w:color w:val="000000"/>
        </w:rPr>
        <w:t>$1,987,487</w:t>
      </w:r>
      <w:r w:rsidRPr="00676782" w:rsidR="001B0D34">
        <w:rPr>
          <w:rFonts w:ascii="Times New Roman" w:hAnsi="Times New Roman" w:cs="Times New Roman"/>
          <w:color w:val="000000"/>
        </w:rPr>
        <w:t xml:space="preserve"> to $</w:t>
      </w:r>
      <w:r w:rsidRPr="00676782" w:rsidR="0038595D">
        <w:rPr>
          <w:rFonts w:ascii="Times New Roman" w:hAnsi="Times New Roman" w:cs="Times New Roman"/>
          <w:color w:val="000000"/>
        </w:rPr>
        <w:t>4,7</w:t>
      </w:r>
      <w:r w:rsidRPr="00676782" w:rsidR="00132014">
        <w:rPr>
          <w:rFonts w:ascii="Times New Roman" w:hAnsi="Times New Roman" w:cs="Times New Roman"/>
          <w:color w:val="000000"/>
        </w:rPr>
        <w:t xml:space="preserve">01,622. </w:t>
      </w:r>
      <w:r w:rsidRPr="00676782" w:rsidR="00B04B5F">
        <w:rPr>
          <w:rFonts w:ascii="Times New Roman" w:hAnsi="Times New Roman" w:cs="Times New Roman"/>
          <w:color w:val="000000"/>
        </w:rPr>
        <w:t>This change is an adjustment</w:t>
      </w:r>
      <w:r w:rsidRPr="00676782" w:rsidR="00132014">
        <w:rPr>
          <w:rFonts w:ascii="Times New Roman" w:hAnsi="Times New Roman" w:cs="Times New Roman"/>
          <w:color w:val="000000"/>
        </w:rPr>
        <w:t xml:space="preserve"> in the burden cost calculation associated with projected compliance determination activities</w:t>
      </w:r>
      <w:r w:rsidRPr="00676782" w:rsidR="00B04B5F">
        <w:rPr>
          <w:rFonts w:ascii="Times New Roman" w:hAnsi="Times New Roman" w:cs="Times New Roman"/>
          <w:color w:val="000000"/>
        </w:rPr>
        <w:t>.</w:t>
      </w:r>
    </w:p>
    <w:bookmarkEnd w:id="10"/>
    <w:p w:rsidRPr="00676782" w:rsidR="00A640A9" w:rsidP="00B04B5F" w:rsidRDefault="00B04B5F" w14:paraId="67020DB0" w14:textId="6C032A3B">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6</w:t>
      </w:r>
      <w:r w:rsidRPr="00676782">
        <w:rPr>
          <w:rFonts w:ascii="Times New Roman" w:hAnsi="Times New Roman" w:cs="Times New Roman"/>
        </w:rPr>
        <w:t xml:space="preserve">. </w:t>
      </w:r>
      <w:r w:rsidRPr="00676782" w:rsidR="00D278E1">
        <w:rPr>
          <w:rFonts w:ascii="Times New Roman" w:hAnsi="Times New Roman" w:cs="Times New Roman"/>
        </w:rPr>
        <w:t>For collections whose results will be published, outline the plans for tabulation and publication.</w:t>
      </w:r>
      <w:r w:rsidRPr="00676782" w:rsidR="007F3A69">
        <w:rPr>
          <w:rFonts w:ascii="Times New Roman" w:hAnsi="Times New Roman" w:cs="Times New Roman"/>
        </w:rPr>
        <w:t xml:space="preserve"> Address any complex analytical techniques that will be used. Provide the time schedule for the entire project, including beginning and ending dates of the collection of information, completion of report, publication dates, and other actions.</w:t>
      </w:r>
    </w:p>
    <w:p w:rsidRPr="00676782" w:rsidR="00D059ED" w:rsidP="00BE239C" w:rsidRDefault="00D059ED" w14:paraId="50781D4F" w14:textId="6954AAAF">
      <w:pPr>
        <w:rPr>
          <w:rFonts w:ascii="Times New Roman" w:hAnsi="Times New Roman" w:cs="Times New Roman"/>
        </w:rPr>
      </w:pPr>
      <w:r w:rsidRPr="00676782">
        <w:rPr>
          <w:rFonts w:ascii="Times New Roman" w:hAnsi="Times New Roman" w:cs="Times New Roman"/>
          <w:lang w:bidi="en-US"/>
        </w:rPr>
        <w:t xml:space="preserve">Not applicable. </w:t>
      </w:r>
    </w:p>
    <w:p w:rsidRPr="00676782" w:rsidR="00D278E1" w:rsidP="00B04B5F" w:rsidRDefault="00B04B5F" w14:paraId="3C058E98" w14:textId="4345E9B1">
      <w:pPr>
        <w:pStyle w:val="Heading2"/>
        <w:numPr>
          <w:ilvl w:val="0"/>
          <w:numId w:val="0"/>
        </w:numPr>
        <w:ind w:left="360"/>
        <w:rPr>
          <w:rFonts w:ascii="Times New Roman" w:hAnsi="Times New Roman" w:cs="Times New Roman"/>
        </w:rPr>
      </w:pPr>
      <w:r w:rsidRPr="00676782">
        <w:rPr>
          <w:rFonts w:ascii="Times New Roman" w:hAnsi="Times New Roman" w:cs="Times New Roman"/>
        </w:rPr>
        <w:t>1</w:t>
      </w:r>
      <w:r w:rsidRPr="00676782" w:rsidR="00377C64">
        <w:rPr>
          <w:rFonts w:ascii="Times New Roman" w:hAnsi="Times New Roman" w:cs="Times New Roman"/>
        </w:rPr>
        <w:t>7</w:t>
      </w:r>
      <w:r w:rsidRPr="00676782">
        <w:rPr>
          <w:rFonts w:ascii="Times New Roman" w:hAnsi="Times New Roman" w:cs="Times New Roman"/>
        </w:rPr>
        <w:t xml:space="preserve">. </w:t>
      </w:r>
      <w:r w:rsidRPr="00676782" w:rsidR="00A640A9">
        <w:rPr>
          <w:rFonts w:ascii="Times New Roman" w:hAnsi="Times New Roman" w:cs="Times New Roman"/>
        </w:rPr>
        <w:t>If</w:t>
      </w:r>
      <w:r w:rsidRPr="00676782" w:rsidR="00D278E1">
        <w:rPr>
          <w:rFonts w:ascii="Times New Roman" w:hAnsi="Times New Roman" w:cs="Times New Roman"/>
        </w:rPr>
        <w:t xml:space="preserve"> seeking approval to not display the expiration date for OMB approval of the information collection, explain the reasons why display would be inappropriate.</w:t>
      </w:r>
    </w:p>
    <w:p w:rsidRPr="00676782" w:rsidR="00DD4208" w:rsidP="00DD4208" w:rsidRDefault="00DD4208" w14:paraId="6C23000B" w14:textId="221E9D1A">
      <w:pPr>
        <w:rPr>
          <w:rFonts w:ascii="Times New Roman" w:hAnsi="Times New Roman" w:cs="Times New Roman"/>
          <w:lang w:bidi="en-US"/>
        </w:rPr>
      </w:pPr>
      <w:r w:rsidRPr="00676782">
        <w:rPr>
          <w:rFonts w:ascii="Times New Roman" w:hAnsi="Times New Roman" w:cs="Times New Roman"/>
          <w:lang w:bidi="en-US"/>
        </w:rPr>
        <w:t xml:space="preserve">Not applicable. </w:t>
      </w:r>
    </w:p>
    <w:p w:rsidRPr="00676782" w:rsidR="005D6FB8" w:rsidP="00377C64" w:rsidRDefault="00377C64" w14:paraId="380B6953" w14:textId="0B7DB269">
      <w:pPr>
        <w:pStyle w:val="Heading2"/>
        <w:numPr>
          <w:ilvl w:val="0"/>
          <w:numId w:val="0"/>
        </w:numPr>
        <w:ind w:left="360"/>
        <w:rPr>
          <w:rFonts w:ascii="Times New Roman" w:hAnsi="Times New Roman" w:cs="Times New Roman"/>
        </w:rPr>
      </w:pPr>
      <w:r w:rsidRPr="00676782">
        <w:rPr>
          <w:rFonts w:ascii="Times New Roman" w:hAnsi="Times New Roman" w:cs="Times New Roman"/>
        </w:rPr>
        <w:t xml:space="preserve">18. </w:t>
      </w:r>
      <w:r w:rsidRPr="00676782" w:rsidR="00D278E1">
        <w:rPr>
          <w:rFonts w:ascii="Times New Roman" w:hAnsi="Times New Roman" w:cs="Times New Roman"/>
        </w:rPr>
        <w:t xml:space="preserve">Explain each exception to the certification statement identified in </w:t>
      </w:r>
      <w:r w:rsidRPr="00676782" w:rsidR="007F3A69">
        <w:rPr>
          <w:rFonts w:ascii="Times New Roman" w:hAnsi="Times New Roman" w:cs="Times New Roman"/>
        </w:rPr>
        <w:t>“Certification for Paperwork Reduction Act Submissions.”</w:t>
      </w:r>
    </w:p>
    <w:p w:rsidRPr="00676782" w:rsidR="00DD4208" w:rsidP="00DD4208" w:rsidRDefault="00DD4208" w14:paraId="70320FF4" w14:textId="603A13C7">
      <w:pPr>
        <w:rPr>
          <w:rFonts w:ascii="Times New Roman" w:hAnsi="Times New Roman" w:cs="Times New Roman"/>
          <w:lang w:bidi="en-US"/>
        </w:rPr>
      </w:pPr>
      <w:r w:rsidRPr="00676782">
        <w:rPr>
          <w:rFonts w:ascii="Times New Roman" w:hAnsi="Times New Roman" w:cs="Times New Roman"/>
          <w:lang w:bidi="en-US"/>
        </w:rPr>
        <w:t xml:space="preserve">EPA does not request an exception to the certification of this information collection. </w:t>
      </w:r>
    </w:p>
    <w:p w:rsidRPr="00676782" w:rsidR="0026304B" w:rsidP="002059F4" w:rsidRDefault="007A01E7" w14:paraId="6054E19E" w14:textId="080567FA">
      <w:pPr>
        <w:pStyle w:val="Heading1"/>
        <w:rPr>
          <w:rFonts w:ascii="Times New Roman" w:hAnsi="Times New Roman" w:cs="Times New Roman"/>
        </w:rPr>
      </w:pPr>
      <w:r w:rsidRPr="00676782">
        <w:rPr>
          <w:rFonts w:ascii="Times New Roman" w:hAnsi="Times New Roman" w:cs="Times New Roman"/>
        </w:rPr>
        <w:t>Supplemental Information</w:t>
      </w:r>
    </w:p>
    <w:p w:rsidRPr="00676782" w:rsidR="00DD4208" w:rsidP="00DD4208" w:rsidRDefault="00DD4208" w14:paraId="03AF9213" w14:textId="601D61E5">
      <w:pPr>
        <w:rPr>
          <w:rFonts w:ascii="Times New Roman" w:hAnsi="Times New Roman" w:cs="Times New Roman"/>
        </w:rPr>
      </w:pPr>
      <w:r w:rsidRPr="00676782">
        <w:rPr>
          <w:rFonts w:ascii="Times New Roman" w:hAnsi="Times New Roman" w:cs="Times New Roman"/>
        </w:rPr>
        <w:t>The annual public burden for this collection of information, which is approved under OMB Control No. 2070-0017, is estimated to average 0.97 hours per response. Burden is defined in 5 CFR 1320.3(b).  An agency may not conduct or sponsor, and a person is not required to respond to a collection of information unless it displays a current and valid OMB control number. The OMB control numbers for EPA’s regulations in title 40 of the CFR, after appearing in the Federal Register, are listed in 40 CFR part 9 and included on the related collection instrument or form, if applicable.</w:t>
      </w:r>
    </w:p>
    <w:p w:rsidRPr="00676782" w:rsidR="00922603" w:rsidP="00922603" w:rsidRDefault="003A1AB1" w14:paraId="6875CA76" w14:textId="77777777">
      <w:pPr>
        <w:numPr>
          <w:ilvl w:val="12"/>
          <w:numId w:val="0"/>
        </w:numPr>
        <w:rPr>
          <w:rFonts w:ascii="Times New Roman" w:hAnsi="Times New Roman" w:cs="Times New Roman"/>
          <w:color w:val="0F0F0F"/>
          <w:szCs w:val="24"/>
        </w:rPr>
      </w:pPr>
      <w:r w:rsidRPr="00676782">
        <w:rPr>
          <w:rFonts w:ascii="Times New Roman" w:hAnsi="Times New Roman" w:cs="Times New Roman"/>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676782">
        <w:rPr>
          <w:rFonts w:ascii="Times New Roman" w:hAnsi="Times New Roman" w:cs="Times New Roman"/>
          <w:szCs w:val="24"/>
        </w:rPr>
        <w:t xml:space="preserve">Number EPA-HQ-OPPT-2015-0688, </w:t>
      </w:r>
      <w:r w:rsidRPr="00676782" w:rsidR="00922603">
        <w:rPr>
          <w:rFonts w:ascii="Times New Roman" w:hAnsi="Times New Roman" w:cs="Times New Roman"/>
          <w:szCs w:val="24"/>
        </w:rPr>
        <w:t xml:space="preserve">which </w:t>
      </w:r>
      <w:r w:rsidRPr="00676782" w:rsidR="00922603">
        <w:rPr>
          <w:rFonts w:ascii="Times New Roman" w:hAnsi="Times New Roman" w:cs="Times New Roman"/>
          <w:color w:val="0F0F0F"/>
          <w:szCs w:val="24"/>
        </w:rPr>
        <w:t xml:space="preserve">is available at </w:t>
      </w:r>
      <w:hyperlink w:history="1" r:id="rId12">
        <w:r w:rsidRPr="00676782" w:rsidR="00922603">
          <w:rPr>
            <w:rStyle w:val="Hyperlink"/>
            <w:rFonts w:ascii="Times New Roman" w:hAnsi="Times New Roman" w:cs="Times New Roman"/>
            <w:szCs w:val="24"/>
          </w:rPr>
          <w:t>http://www.regulations.gov</w:t>
        </w:r>
      </w:hyperlink>
      <w:r w:rsidRPr="00676782" w:rsidR="00922603">
        <w:rPr>
          <w:rStyle w:val="Hyperlink"/>
          <w:rFonts w:ascii="Times New Roman" w:hAnsi="Times New Roman" w:cs="Times New Roman"/>
          <w:szCs w:val="24"/>
        </w:rPr>
        <w:t>.</w:t>
      </w:r>
      <w:r w:rsidRPr="00676782" w:rsidR="00922603">
        <w:rPr>
          <w:rFonts w:ascii="Times New Roman" w:hAnsi="Times New Roman" w:cs="Times New Roman"/>
          <w:color w:val="0F0F0F"/>
          <w:szCs w:val="24"/>
        </w:rPr>
        <w:t xml:space="preserve"> This site can be used to submit or view public comments, access the index listing of the contents of the public docket, and to access those documents in the public docket that are available </w:t>
      </w:r>
      <w:r w:rsidRPr="00676782" w:rsidR="00922603">
        <w:rPr>
          <w:rFonts w:ascii="Times New Roman" w:hAnsi="Times New Roman" w:cs="Times New Roman"/>
          <w:color w:val="0F0F0F"/>
          <w:szCs w:val="24"/>
        </w:rPr>
        <w:lastRenderedPageBreak/>
        <w:t>electronically. When in the system, select “search,” then key in the Docket ID Number identified above. </w:t>
      </w:r>
    </w:p>
    <w:p w:rsidRPr="00676782" w:rsidR="00922603" w:rsidP="00922603" w:rsidRDefault="00922603" w14:paraId="09E4F7E6" w14:textId="77777777">
      <w:pPr>
        <w:rPr>
          <w:rFonts w:ascii="Times New Roman" w:hAnsi="Times New Roman" w:cs="Times New Roman"/>
        </w:rPr>
      </w:pPr>
      <w:r w:rsidRPr="00676782">
        <w:rPr>
          <w:rFonts w:ascii="Times New Roman" w:hAnsi="Times New Roman" w:cs="Times New Roman"/>
          <w:color w:val="0F0F0F"/>
          <w:szCs w:val="24"/>
        </w:rPr>
        <w:t xml:space="preserve">You can also provide comments to the Office of Information and Regulatory Affairs, Office of Management and Budget </w:t>
      </w:r>
      <w:r w:rsidRPr="00676782">
        <w:rPr>
          <w:rFonts w:ascii="Times New Roman" w:hAnsi="Times New Roman" w:cs="Times New Roman"/>
        </w:rPr>
        <w:t xml:space="preserve">via </w:t>
      </w:r>
      <w:hyperlink w:history="1" r:id="rId13">
        <w:r w:rsidRPr="00676782">
          <w:rPr>
            <w:rStyle w:val="Hyperlink"/>
            <w:rFonts w:ascii="Times New Roman" w:hAnsi="Times New Roman" w:cs="Times New Roman"/>
          </w:rPr>
          <w:t>http://www.reginfo.gov/public/do/PRAMain</w:t>
        </w:r>
      </w:hyperlink>
      <w:r w:rsidRPr="00676782">
        <w:rPr>
          <w:rFonts w:ascii="Times New Roman" w:hAnsi="Times New Roman" w:cs="Times New Roman"/>
        </w:rPr>
        <w:t>. Find this particular information collection by selecting ‘‘Currently under 30-day Review—Open for Public Comments’’ or by using the search function.</w:t>
      </w:r>
    </w:p>
    <w:p w:rsidRPr="00676782" w:rsidR="00922603" w:rsidP="00922603" w:rsidRDefault="00922603" w14:paraId="3006DCAA" w14:textId="5EFB8D60">
      <w:pPr>
        <w:rPr>
          <w:rFonts w:ascii="Times New Roman" w:hAnsi="Times New Roman" w:cs="Times New Roman"/>
        </w:rPr>
      </w:pPr>
      <w:r w:rsidRPr="00676782">
        <w:rPr>
          <w:rFonts w:ascii="Times New Roman" w:hAnsi="Times New Roman" w:cs="Times New Roman"/>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676782" w:rsidR="006D6ED0" w:rsidP="006D6ED0" w:rsidRDefault="006D6ED0" w14:paraId="0117C5C5" w14:textId="77777777">
      <w:pPr>
        <w:rPr>
          <w:rFonts w:ascii="Times New Roman" w:hAnsi="Times New Roman" w:cs="Times New Roman"/>
          <w:sz w:val="25"/>
          <w:szCs w:val="25"/>
          <w:shd w:val="clear" w:color="auto" w:fill="FFFFFF"/>
        </w:rPr>
      </w:pPr>
      <w:r w:rsidRPr="00676782">
        <w:rPr>
          <w:rFonts w:ascii="Times New Roman" w:hAnsi="Times New Roman" w:cs="Times New Roman"/>
          <w:sz w:val="25"/>
          <w:szCs w:val="25"/>
          <w:shd w:val="clear" w:color="auto" w:fill="FFFFFF"/>
        </w:rPr>
        <w:t>Notice: Due to public health concerns related to COVID-19, the EPA Docket Center and Reading Room are open to the public </w:t>
      </w:r>
      <w:r w:rsidRPr="00676782">
        <w:rPr>
          <w:rStyle w:val="Emphasis"/>
          <w:rFonts w:ascii="Times New Roman" w:hAnsi="Times New Roman" w:cs="Times New Roman"/>
          <w:sz w:val="25"/>
          <w:szCs w:val="25"/>
          <w:shd w:val="clear" w:color="auto" w:fill="FFFFFF"/>
        </w:rPr>
        <w:t>by appointment only</w:t>
      </w:r>
      <w:r w:rsidRPr="00676782">
        <w:rPr>
          <w:rFonts w:ascii="Times New Roman" w:hAnsi="Times New Roman" w:cs="Times New Roman"/>
          <w:sz w:val="25"/>
          <w:szCs w:val="25"/>
          <w:shd w:val="clear" w:color="auto" w:fill="FFFFFF"/>
        </w:rPr>
        <w:t>. </w:t>
      </w:r>
      <w:hyperlink w:history="1" r:id="rId14">
        <w:r w:rsidRPr="00676782">
          <w:rPr>
            <w:rStyle w:val="Hyperlink"/>
            <w:rFonts w:ascii="Times New Roman" w:hAnsi="Times New Roman" w:cs="Times New Roman"/>
            <w:color w:val="auto"/>
            <w:sz w:val="25"/>
            <w:szCs w:val="25"/>
            <w:shd w:val="clear" w:color="auto" w:fill="FFFFFF"/>
          </w:rPr>
          <w:t>Read more about the operating status</w:t>
        </w:r>
      </w:hyperlink>
      <w:r w:rsidRPr="00676782">
        <w:rPr>
          <w:rFonts w:ascii="Times New Roman" w:hAnsi="Times New Roman" w:cs="Times New Roman"/>
          <w:sz w:val="25"/>
          <w:szCs w:val="25"/>
          <w:shd w:val="clear" w:color="auto" w:fill="FFFFFF"/>
        </w:rPr>
        <w:t xml:space="preserve">. </w:t>
      </w:r>
    </w:p>
    <w:p w:rsidRPr="00676782" w:rsidR="00A640A9" w:rsidP="002059F4" w:rsidRDefault="00A640A9" w14:paraId="4CFB748D" w14:textId="4BB513FD">
      <w:pPr>
        <w:pStyle w:val="Heading1"/>
        <w:rPr>
          <w:rFonts w:ascii="Times New Roman" w:hAnsi="Times New Roman" w:cs="Times New Roman"/>
        </w:rPr>
      </w:pPr>
      <w:r w:rsidRPr="00676782">
        <w:rPr>
          <w:rFonts w:ascii="Times New Roman" w:hAnsi="Times New Roman" w:cs="Times New Roman"/>
        </w:rPr>
        <w:t>List of Attachments</w:t>
      </w:r>
    </w:p>
    <w:p w:rsidRPr="00676782" w:rsidR="0026304B" w:rsidP="0026304B" w:rsidRDefault="0026304B" w14:paraId="4BA9D995" w14:textId="3108174E">
      <w:pPr>
        <w:rPr>
          <w:rFonts w:ascii="Times New Roman" w:hAnsi="Times New Roman" w:cs="Times New Roman"/>
          <w:lang w:bidi="en-US"/>
        </w:rPr>
      </w:pPr>
      <w:r w:rsidRPr="00676782">
        <w:rPr>
          <w:rFonts w:ascii="Times New Roman" w:hAnsi="Times New Roman" w:cs="Times New Roman"/>
          <w:lang w:bidi="en-US"/>
        </w:rPr>
        <w:t xml:space="preserve">The attachments listed below can be found in the docket for this ICR or by using the hyperlink that is provided in the list below. The docket for this ICR is accessible electronically through </w:t>
      </w:r>
      <w:hyperlink w:history="1" r:id="rId15">
        <w:r w:rsidRPr="00676782">
          <w:rPr>
            <w:rStyle w:val="Hyperlink"/>
            <w:rFonts w:ascii="Times New Roman" w:hAnsi="Times New Roman" w:cs="Times New Roman"/>
          </w:rPr>
          <w:t>http://www.regulations.gov</w:t>
        </w:r>
      </w:hyperlink>
      <w:r w:rsidRPr="00676782">
        <w:rPr>
          <w:rFonts w:ascii="Times New Roman" w:hAnsi="Times New Roman" w:cs="Times New Roman"/>
          <w:lang w:bidi="en-US"/>
        </w:rPr>
        <w:t xml:space="preserve"> using Docket ID Number: </w:t>
      </w:r>
      <w:r w:rsidRPr="00676782">
        <w:rPr>
          <w:rFonts w:ascii="Times New Roman" w:hAnsi="Times New Roman" w:cs="Times New Roman"/>
          <w:szCs w:val="24"/>
        </w:rPr>
        <w:t>EPA-HQ-</w:t>
      </w:r>
      <w:r w:rsidRPr="00676782" w:rsidR="00E91639">
        <w:rPr>
          <w:rFonts w:ascii="Times New Roman" w:hAnsi="Times New Roman" w:cs="Times New Roman"/>
          <w:szCs w:val="24"/>
        </w:rPr>
        <w:t>OPPT</w:t>
      </w:r>
      <w:r w:rsidRPr="00676782">
        <w:rPr>
          <w:rFonts w:ascii="Times New Roman" w:hAnsi="Times New Roman" w:cs="Times New Roman"/>
          <w:szCs w:val="24"/>
        </w:rPr>
        <w:t>-</w:t>
      </w:r>
      <w:r w:rsidRPr="00676782" w:rsidR="00E91639">
        <w:rPr>
          <w:rFonts w:ascii="Times New Roman" w:hAnsi="Times New Roman" w:cs="Times New Roman"/>
          <w:szCs w:val="24"/>
        </w:rPr>
        <w:t>2015</w:t>
      </w:r>
      <w:r w:rsidRPr="00676782">
        <w:rPr>
          <w:rFonts w:ascii="Times New Roman" w:hAnsi="Times New Roman" w:cs="Times New Roman"/>
          <w:szCs w:val="24"/>
        </w:rPr>
        <w:t>-</w:t>
      </w:r>
      <w:r w:rsidRPr="00676782" w:rsidR="00E91639">
        <w:rPr>
          <w:rFonts w:ascii="Times New Roman" w:hAnsi="Times New Roman" w:cs="Times New Roman"/>
          <w:szCs w:val="24"/>
        </w:rPr>
        <w:t>0688</w:t>
      </w:r>
      <w:r w:rsidRPr="00676782">
        <w:rPr>
          <w:rFonts w:ascii="Times New Roman" w:hAnsi="Times New Roman" w:cs="Times New Roman"/>
          <w:lang w:bidi="en-US"/>
        </w:rPr>
        <w:t>.</w:t>
      </w:r>
    </w:p>
    <w:tbl>
      <w:tblPr>
        <w:tblStyle w:val="TableGrid"/>
        <w:tblW w:w="0" w:type="auto"/>
        <w:tblLook w:val="04A0" w:firstRow="1" w:lastRow="0" w:firstColumn="1" w:lastColumn="0" w:noHBand="0" w:noVBand="1"/>
      </w:tblPr>
      <w:tblGrid>
        <w:gridCol w:w="670"/>
        <w:gridCol w:w="8680"/>
      </w:tblGrid>
      <w:tr w:rsidRPr="00676782" w:rsidR="0026304B" w:rsidTr="00E91639" w14:paraId="3C28984B" w14:textId="77777777">
        <w:tc>
          <w:tcPr>
            <w:tcW w:w="670" w:type="dxa"/>
          </w:tcPr>
          <w:p w:rsidRPr="00676782" w:rsidR="0026304B" w:rsidP="0026304B" w:rsidRDefault="0026304B" w14:paraId="20CF178A" w14:textId="5677487C">
            <w:pPr>
              <w:widowControl w:val="0"/>
              <w:spacing w:before="40" w:after="40" w:line="240" w:lineRule="auto"/>
              <w:rPr>
                <w:rFonts w:ascii="Times New Roman" w:hAnsi="Times New Roman" w:cs="Times New Roman"/>
                <w:b/>
                <w:bCs/>
                <w:lang w:bidi="en-US"/>
              </w:rPr>
            </w:pPr>
            <w:r w:rsidRPr="00676782">
              <w:rPr>
                <w:rFonts w:ascii="Times New Roman" w:hAnsi="Times New Roman" w:cs="Times New Roman"/>
                <w:b/>
                <w:bCs/>
                <w:lang w:bidi="en-US"/>
              </w:rPr>
              <w:t>Ref.</w:t>
            </w:r>
          </w:p>
        </w:tc>
        <w:tc>
          <w:tcPr>
            <w:tcW w:w="8680" w:type="dxa"/>
          </w:tcPr>
          <w:p w:rsidRPr="00676782" w:rsidR="0026304B" w:rsidP="0026304B" w:rsidRDefault="0026304B" w14:paraId="43C6C962" w14:textId="6903425E">
            <w:pPr>
              <w:widowControl w:val="0"/>
              <w:spacing w:before="40" w:after="40" w:line="240" w:lineRule="auto"/>
              <w:rPr>
                <w:rFonts w:ascii="Times New Roman" w:hAnsi="Times New Roman" w:cs="Times New Roman"/>
                <w:b/>
                <w:bCs/>
                <w:lang w:bidi="en-US"/>
              </w:rPr>
            </w:pPr>
            <w:r w:rsidRPr="00676782">
              <w:rPr>
                <w:rFonts w:ascii="Times New Roman" w:hAnsi="Times New Roman" w:cs="Times New Roman"/>
                <w:b/>
                <w:bCs/>
                <w:lang w:bidi="en-US"/>
              </w:rPr>
              <w:t xml:space="preserve">Title </w:t>
            </w:r>
          </w:p>
        </w:tc>
      </w:tr>
      <w:tr w:rsidRPr="00676782" w:rsidR="0026304B" w:rsidTr="00E91639" w14:paraId="653EF079" w14:textId="77777777">
        <w:tc>
          <w:tcPr>
            <w:tcW w:w="670" w:type="dxa"/>
          </w:tcPr>
          <w:p w:rsidRPr="00676782" w:rsidR="0026304B" w:rsidP="0026304B" w:rsidRDefault="00B1352E" w14:paraId="244D5D03" w14:textId="3D501ABF">
            <w:pPr>
              <w:widowControl w:val="0"/>
              <w:spacing w:before="40" w:after="40" w:line="240" w:lineRule="auto"/>
              <w:rPr>
                <w:rFonts w:ascii="Times New Roman" w:hAnsi="Times New Roman" w:cs="Times New Roman"/>
                <w:lang w:bidi="en-US"/>
              </w:rPr>
            </w:pPr>
            <w:r w:rsidRPr="00676782">
              <w:rPr>
                <w:rFonts w:ascii="Times New Roman" w:hAnsi="Times New Roman" w:cs="Times New Roman"/>
                <w:lang w:bidi="en-US"/>
              </w:rPr>
              <w:t>1.</w:t>
            </w:r>
          </w:p>
        </w:tc>
        <w:tc>
          <w:tcPr>
            <w:tcW w:w="8680" w:type="dxa"/>
          </w:tcPr>
          <w:p w:rsidRPr="00676782" w:rsidR="0026304B" w:rsidP="0026304B" w:rsidRDefault="00915958" w14:paraId="46F5F82F" w14:textId="5D21AD7E">
            <w:pPr>
              <w:widowControl w:val="0"/>
              <w:spacing w:before="40" w:after="40" w:line="240" w:lineRule="auto"/>
              <w:rPr>
                <w:rFonts w:ascii="Times New Roman" w:hAnsi="Times New Roman" w:cs="Times New Roman"/>
                <w:lang w:bidi="en-US"/>
              </w:rPr>
            </w:pPr>
            <w:hyperlink w:history="1" r:id="rId16">
              <w:r w:rsidRPr="00676782" w:rsidR="00D059ED">
                <w:rPr>
                  <w:rStyle w:val="Hyperlink"/>
                  <w:rFonts w:ascii="Times New Roman" w:hAnsi="Times New Roman" w:cs="Times New Roman"/>
                  <w:lang w:bidi="en-US"/>
                </w:rPr>
                <w:t>Statutory Authority</w:t>
              </w:r>
            </w:hyperlink>
            <w:r w:rsidRPr="00676782" w:rsidR="00D059ED">
              <w:rPr>
                <w:rFonts w:ascii="Times New Roman" w:hAnsi="Times New Roman" w:cs="Times New Roman"/>
                <w:lang w:bidi="en-US"/>
              </w:rPr>
              <w:t xml:space="preserve"> </w:t>
            </w:r>
          </w:p>
        </w:tc>
      </w:tr>
      <w:tr w:rsidRPr="00676782" w:rsidR="00B1352E" w:rsidTr="00E91639" w14:paraId="5BBC1B5F" w14:textId="77777777">
        <w:tc>
          <w:tcPr>
            <w:tcW w:w="670" w:type="dxa"/>
          </w:tcPr>
          <w:p w:rsidRPr="00676782" w:rsidR="00B1352E" w:rsidP="0026304B" w:rsidRDefault="00B1352E" w14:paraId="2DB440ED" w14:textId="078D2013">
            <w:pPr>
              <w:widowControl w:val="0"/>
              <w:spacing w:before="40" w:after="40" w:line="240" w:lineRule="auto"/>
              <w:rPr>
                <w:rFonts w:ascii="Times New Roman" w:hAnsi="Times New Roman" w:cs="Times New Roman"/>
                <w:lang w:bidi="en-US"/>
              </w:rPr>
            </w:pPr>
            <w:r w:rsidRPr="00676782">
              <w:rPr>
                <w:rFonts w:ascii="Times New Roman" w:hAnsi="Times New Roman" w:cs="Times New Roman"/>
                <w:lang w:bidi="en-US"/>
              </w:rPr>
              <w:t>2.</w:t>
            </w:r>
          </w:p>
        </w:tc>
        <w:tc>
          <w:tcPr>
            <w:tcW w:w="8680" w:type="dxa"/>
          </w:tcPr>
          <w:p w:rsidRPr="00676782" w:rsidR="00B1352E" w:rsidP="0026304B" w:rsidRDefault="00915958" w14:paraId="772B85E2" w14:textId="7009AEC3">
            <w:pPr>
              <w:widowControl w:val="0"/>
              <w:spacing w:before="40" w:after="40" w:line="240" w:lineRule="auto"/>
              <w:rPr>
                <w:rFonts w:ascii="Times New Roman" w:hAnsi="Times New Roman" w:cs="Times New Roman"/>
                <w:lang w:bidi="en-US"/>
              </w:rPr>
            </w:pPr>
            <w:hyperlink w:history="1" r:id="rId17">
              <w:r w:rsidRPr="00676782" w:rsidR="00D059ED">
                <w:rPr>
                  <w:rStyle w:val="Hyperlink"/>
                  <w:rFonts w:ascii="Times New Roman" w:hAnsi="Times New Roman" w:cs="Times New Roman"/>
                  <w:lang w:bidi="en-US"/>
                </w:rPr>
                <w:t>Implementing Regulation</w:t>
              </w:r>
            </w:hyperlink>
            <w:r w:rsidRPr="00676782" w:rsidR="00D059ED">
              <w:rPr>
                <w:rFonts w:ascii="Times New Roman" w:hAnsi="Times New Roman" w:cs="Times New Roman"/>
                <w:lang w:bidi="en-US"/>
              </w:rPr>
              <w:t xml:space="preserve"> </w:t>
            </w:r>
          </w:p>
        </w:tc>
      </w:tr>
      <w:tr w:rsidRPr="00676782" w:rsidR="0029627A" w:rsidTr="00E91639" w14:paraId="307E2DF7" w14:textId="77777777">
        <w:tc>
          <w:tcPr>
            <w:tcW w:w="670" w:type="dxa"/>
          </w:tcPr>
          <w:p w:rsidRPr="00676782" w:rsidR="0029627A" w:rsidP="0026304B" w:rsidRDefault="0029627A" w14:paraId="1D83FEE9" w14:textId="2FF0D55E">
            <w:pPr>
              <w:widowControl w:val="0"/>
              <w:spacing w:before="40" w:after="40" w:line="240" w:lineRule="auto"/>
              <w:rPr>
                <w:rFonts w:ascii="Times New Roman" w:hAnsi="Times New Roman" w:cs="Times New Roman"/>
                <w:lang w:bidi="en-US"/>
              </w:rPr>
            </w:pPr>
            <w:r w:rsidRPr="00676782">
              <w:rPr>
                <w:rFonts w:ascii="Times New Roman" w:hAnsi="Times New Roman" w:cs="Times New Roman"/>
                <w:lang w:bidi="en-US"/>
              </w:rPr>
              <w:t>3.</w:t>
            </w:r>
          </w:p>
        </w:tc>
        <w:tc>
          <w:tcPr>
            <w:tcW w:w="8680" w:type="dxa"/>
          </w:tcPr>
          <w:p w:rsidRPr="00676782" w:rsidR="0029627A" w:rsidP="0026304B" w:rsidRDefault="0029627A" w14:paraId="6BD6F4E7" w14:textId="14934E8F">
            <w:pPr>
              <w:widowControl w:val="0"/>
              <w:spacing w:before="40" w:after="40" w:line="240" w:lineRule="auto"/>
              <w:rPr>
                <w:rFonts w:ascii="Times New Roman" w:hAnsi="Times New Roman" w:cs="Times New Roman"/>
                <w:lang w:bidi="en-US"/>
              </w:rPr>
            </w:pPr>
            <w:r w:rsidRPr="00676782">
              <w:rPr>
                <w:rFonts w:ascii="Times New Roman" w:hAnsi="Times New Roman" w:cs="Times New Roman"/>
                <w:lang w:bidi="en-US"/>
              </w:rPr>
              <w:t xml:space="preserve">Consultation </w:t>
            </w:r>
          </w:p>
        </w:tc>
      </w:tr>
    </w:tbl>
    <w:p w:rsidRPr="00676782" w:rsidR="0026304B" w:rsidP="0026304B" w:rsidRDefault="0026304B" w14:paraId="402D83F5" w14:textId="77777777">
      <w:pPr>
        <w:rPr>
          <w:rFonts w:ascii="Times New Roman" w:hAnsi="Times New Roman" w:cs="Times New Roman"/>
          <w:lang w:bidi="en-US"/>
        </w:rPr>
      </w:pPr>
    </w:p>
    <w:sectPr w:rsidRPr="00676782" w:rsidR="0026304B" w:rsidSect="002059F4">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DC47A" w14:textId="77777777" w:rsidR="00D07777" w:rsidRDefault="00D07777" w:rsidP="005645B8">
      <w:pPr>
        <w:spacing w:after="0" w:line="240" w:lineRule="auto"/>
      </w:pPr>
      <w:r>
        <w:separator/>
      </w:r>
    </w:p>
  </w:endnote>
  <w:endnote w:type="continuationSeparator" w:id="0">
    <w:p w14:paraId="21938968" w14:textId="77777777" w:rsidR="00D07777" w:rsidRDefault="00D07777" w:rsidP="005645B8">
      <w:pPr>
        <w:spacing w:after="0" w:line="240" w:lineRule="auto"/>
      </w:pPr>
      <w:r>
        <w:continuationSeparator/>
      </w:r>
    </w:p>
  </w:endnote>
  <w:endnote w:type="continuationNotice" w:id="1">
    <w:p w14:paraId="29CF6D63" w14:textId="77777777" w:rsidR="00D07777" w:rsidRDefault="00D0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D07777" w:rsidRDefault="00D07777"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01F2" w14:textId="39482EC5" w:rsidR="00D07777" w:rsidRDefault="00915958" w:rsidP="009505AD">
    <w:pPr>
      <w:pStyle w:val="Footer"/>
      <w:spacing w:before="120"/>
      <w:jc w:val="center"/>
    </w:pPr>
    <w:sdt>
      <w:sdtPr>
        <w:id w:val="1988427682"/>
        <w:docPartObj>
          <w:docPartGallery w:val="Page Numbers (Top of Page)"/>
          <w:docPartUnique/>
        </w:docPartObj>
      </w:sdtPr>
      <w:sdtEndPr/>
      <w:sdtContent>
        <w:r w:rsidR="00D07777" w:rsidRPr="009505AD">
          <w:rPr>
            <w:sz w:val="20"/>
            <w:szCs w:val="20"/>
          </w:rPr>
          <w:t xml:space="preserve">Page </w:t>
        </w:r>
        <w:r w:rsidR="00D07777" w:rsidRPr="009505AD">
          <w:rPr>
            <w:b/>
            <w:bCs/>
            <w:sz w:val="20"/>
            <w:szCs w:val="20"/>
          </w:rPr>
          <w:fldChar w:fldCharType="begin"/>
        </w:r>
        <w:r w:rsidR="00D07777" w:rsidRPr="009505AD">
          <w:rPr>
            <w:b/>
            <w:bCs/>
            <w:sz w:val="20"/>
            <w:szCs w:val="20"/>
          </w:rPr>
          <w:instrText xml:space="preserve"> PAGE </w:instrText>
        </w:r>
        <w:r w:rsidR="00D07777" w:rsidRPr="009505AD">
          <w:rPr>
            <w:b/>
            <w:bCs/>
            <w:sz w:val="20"/>
            <w:szCs w:val="20"/>
          </w:rPr>
          <w:fldChar w:fldCharType="separate"/>
        </w:r>
        <w:r w:rsidR="00D07777">
          <w:rPr>
            <w:b/>
            <w:bCs/>
            <w:sz w:val="20"/>
            <w:szCs w:val="20"/>
          </w:rPr>
          <w:t>2</w:t>
        </w:r>
        <w:r w:rsidR="00D07777" w:rsidRPr="009505AD">
          <w:rPr>
            <w:b/>
            <w:bCs/>
            <w:sz w:val="20"/>
            <w:szCs w:val="20"/>
          </w:rPr>
          <w:fldChar w:fldCharType="end"/>
        </w:r>
        <w:r w:rsidR="00D07777" w:rsidRPr="009505AD">
          <w:rPr>
            <w:sz w:val="20"/>
            <w:szCs w:val="20"/>
          </w:rPr>
          <w:t xml:space="preserve"> of </w:t>
        </w:r>
        <w:r w:rsidR="00D07777" w:rsidRPr="009505AD">
          <w:rPr>
            <w:b/>
            <w:bCs/>
            <w:sz w:val="20"/>
            <w:szCs w:val="20"/>
          </w:rPr>
          <w:fldChar w:fldCharType="begin"/>
        </w:r>
        <w:r w:rsidR="00D07777" w:rsidRPr="009505AD">
          <w:rPr>
            <w:b/>
            <w:bCs/>
            <w:sz w:val="20"/>
            <w:szCs w:val="20"/>
          </w:rPr>
          <w:instrText xml:space="preserve"> NUMPAGES  </w:instrText>
        </w:r>
        <w:r w:rsidR="00D07777" w:rsidRPr="009505AD">
          <w:rPr>
            <w:b/>
            <w:bCs/>
            <w:sz w:val="20"/>
            <w:szCs w:val="20"/>
          </w:rPr>
          <w:fldChar w:fldCharType="separate"/>
        </w:r>
        <w:r w:rsidR="00D07777">
          <w:rPr>
            <w:b/>
            <w:bCs/>
            <w:sz w:val="20"/>
            <w:szCs w:val="20"/>
          </w:rPr>
          <w:t>5</w:t>
        </w:r>
        <w:r w:rsidR="00D07777"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6074E" w14:textId="77777777" w:rsidR="00D07777" w:rsidRDefault="00D07777" w:rsidP="005645B8">
      <w:pPr>
        <w:spacing w:after="0" w:line="240" w:lineRule="auto"/>
      </w:pPr>
      <w:r>
        <w:separator/>
      </w:r>
    </w:p>
  </w:footnote>
  <w:footnote w:type="continuationSeparator" w:id="0">
    <w:p w14:paraId="4CA9F4E6" w14:textId="77777777" w:rsidR="00D07777" w:rsidRDefault="00D07777" w:rsidP="005645B8">
      <w:pPr>
        <w:spacing w:after="0" w:line="240" w:lineRule="auto"/>
      </w:pPr>
      <w:r>
        <w:continuationSeparator/>
      </w:r>
    </w:p>
  </w:footnote>
  <w:footnote w:type="continuationNotice" w:id="1">
    <w:p w14:paraId="391D6766" w14:textId="77777777" w:rsidR="00D07777" w:rsidRDefault="00D07777">
      <w:pPr>
        <w:spacing w:after="0" w:line="240" w:lineRule="auto"/>
      </w:pPr>
    </w:p>
  </w:footnote>
  <w:footnote w:id="2">
    <w:p w14:paraId="3043B6F3" w14:textId="535149A0" w:rsidR="00D07777" w:rsidRDefault="00D07777">
      <w:pPr>
        <w:pStyle w:val="FootnoteText"/>
      </w:pPr>
      <w:r>
        <w:rPr>
          <w:rStyle w:val="FootnoteReference"/>
        </w:rPr>
        <w:footnoteRef/>
      </w:r>
      <w:r>
        <w:t xml:space="preserve"> </w:t>
      </w:r>
      <w:r w:rsidRPr="006E3EB8">
        <w:t>EPA has used this methodology from 2006 forward because the data source is publically available, making the analysis more transparent. In the program’s initial ICR burden analysis, EPA used Dun’s Market Identifiers (DMI) from a Dun and Bradstreet database (se</w:t>
      </w:r>
      <w:r>
        <w:t>e</w:t>
      </w:r>
      <w:r w:rsidRPr="006E3EB8">
        <w:t xml:space="preserve"> U.S. EPA, “Comparison of Data Sources for Characterizing Manufacturers and Processors,” Draft Report, Prepared by Centaur Associates, Inc under EPA contract No. 68-02-3980, Washington, DC; November 6, 1986)</w:t>
      </w:r>
      <w:r>
        <w:t>.</w:t>
      </w:r>
    </w:p>
  </w:footnote>
  <w:footnote w:id="3">
    <w:p w14:paraId="75BFB90A" w14:textId="6A5B1875" w:rsidR="00D07777" w:rsidRDefault="00D07777">
      <w:pPr>
        <w:pStyle w:val="FootnoteText"/>
      </w:pPr>
      <w:r>
        <w:rPr>
          <w:rStyle w:val="FootnoteReference"/>
        </w:rPr>
        <w:footnoteRef/>
      </w:r>
      <w:r>
        <w:t xml:space="preserve"> </w:t>
      </w:r>
      <w:r w:rsidRPr="006E3EB8">
        <w:t>U.S.EPA. “Chemical on Reporting Rules Database (CORR),” CCD and CSB, June 1990; and U.S.EPA. “Chemical on Reporting Rules Database (CORR): Update,” CCD and CSB; October 31, 1992.</w:t>
      </w:r>
    </w:p>
  </w:footnote>
  <w:footnote w:id="4">
    <w:p w14:paraId="1C8A7261" w14:textId="77777777" w:rsidR="00D07777" w:rsidRDefault="00D07777" w:rsidP="006F41C6">
      <w:pPr>
        <w:pStyle w:val="FootnoteText"/>
      </w:pPr>
      <w:r>
        <w:rPr>
          <w:rStyle w:val="FootnoteReference"/>
        </w:rPr>
        <w:footnoteRef/>
      </w:r>
      <w:r>
        <w:t xml:space="preserve"> </w:t>
      </w:r>
      <w:r w:rsidRPr="006E3EB8">
        <w:t>U.S.EPA. [Untitled Computer Printout], IMD; June 3, 1992.</w:t>
      </w:r>
    </w:p>
  </w:footnote>
  <w:footnote w:id="5">
    <w:p w14:paraId="0652C5D0" w14:textId="77777777" w:rsidR="00D07777" w:rsidRDefault="00D07777" w:rsidP="006F41C6">
      <w:pPr>
        <w:pStyle w:val="FootnoteText"/>
      </w:pPr>
      <w:r>
        <w:rPr>
          <w:rStyle w:val="FootnoteReference"/>
        </w:rPr>
        <w:footnoteRef/>
      </w:r>
      <w:r>
        <w:t xml:space="preserve"> </w:t>
      </w:r>
      <w:r w:rsidRPr="006E3EB8">
        <w:t>Sherlock, Scott, Information Management Division.  Phone conversation with Wendy Hoffman based upon “TSCA Reports to Congress for EPA Fiscal Years 1992-93;” August 1994.</w:t>
      </w:r>
    </w:p>
  </w:footnote>
  <w:footnote w:id="6">
    <w:p w14:paraId="307B767C" w14:textId="77777777" w:rsidR="00D07777" w:rsidRDefault="00D07777" w:rsidP="006F41C6">
      <w:pPr>
        <w:pStyle w:val="FootnoteText"/>
      </w:pPr>
      <w:r>
        <w:rPr>
          <w:rStyle w:val="FootnoteReference"/>
        </w:rPr>
        <w:footnoteRef/>
      </w:r>
      <w:r>
        <w:t xml:space="preserve"> </w:t>
      </w:r>
      <w:r w:rsidRPr="006E3EB8">
        <w:t xml:space="preserve">In comparison to the estimate of over 5800 allegations, it appears that the allegations </w:t>
      </w:r>
      <w:r>
        <w:t xml:space="preserve">rate used to estimate total allegations in Table 2 is </w:t>
      </w:r>
      <w:r w:rsidRPr="006E3EB8">
        <w:t xml:space="preserve">overstated. However, given potentials for </w:t>
      </w:r>
      <w:r>
        <w:t xml:space="preserve">higher counts of </w:t>
      </w:r>
      <w:r w:rsidRPr="006E3EB8">
        <w:t>allegations, EPA retain</w:t>
      </w:r>
      <w:r>
        <w:t>s</w:t>
      </w:r>
      <w:r w:rsidRPr="006E3EB8">
        <w:t xml:space="preserve"> the existing methodology, which provides for a large contingency in additional burden</w:t>
      </w:r>
      <w:r>
        <w:t xml:space="preserve">. Moreover, </w:t>
      </w:r>
      <w:r w:rsidRPr="006E3EB8">
        <w:t>the total burden for this information collection is relatively small</w:t>
      </w:r>
      <w:r>
        <w:t xml:space="preserve"> despite the use of an overstated estimate for total allegations.</w:t>
      </w:r>
    </w:p>
  </w:footnote>
  <w:footnote w:id="7">
    <w:p w14:paraId="415C258D" w14:textId="14F4E22B" w:rsidR="00D07777" w:rsidRDefault="00D07777" w:rsidP="00B04B5F">
      <w:r>
        <w:rPr>
          <w:rStyle w:val="FootnoteReference"/>
        </w:rPr>
        <w:footnoteRef/>
      </w:r>
      <w:r w:rsidRPr="0007470B">
        <w:rPr>
          <w:i/>
          <w:sz w:val="20"/>
          <w:szCs w:val="20"/>
        </w:rPr>
        <w:t>Employer Costs for Employee Compensation Supplementary Tables: December 2</w:t>
      </w:r>
      <w:r>
        <w:rPr>
          <w:i/>
          <w:sz w:val="20"/>
          <w:szCs w:val="20"/>
        </w:rPr>
        <w:t>020</w:t>
      </w:r>
      <w:r w:rsidRPr="0007470B">
        <w:rPr>
          <w:sz w:val="20"/>
          <w:szCs w:val="20"/>
        </w:rPr>
        <w:t xml:space="preserve">, US Bureau of Labor Statistics, </w:t>
      </w:r>
      <w:r>
        <w:rPr>
          <w:sz w:val="20"/>
          <w:szCs w:val="20"/>
        </w:rPr>
        <w:t>March 18, 2021</w:t>
      </w:r>
      <w:r w:rsidRPr="00B450F3">
        <w:rPr>
          <w:sz w:val="20"/>
          <w:szCs w:val="20"/>
        </w:rPr>
        <w:t xml:space="preserve"> (p</w:t>
      </w:r>
      <w:r>
        <w:rPr>
          <w:sz w:val="20"/>
          <w:szCs w:val="20"/>
        </w:rPr>
        <w:t>age 2</w:t>
      </w:r>
      <w:r w:rsidRPr="00B450F3">
        <w:rPr>
          <w:sz w:val="20"/>
          <w:szCs w:val="20"/>
        </w:rPr>
        <w:t>) (</w:t>
      </w:r>
      <w:r w:rsidRPr="009F423A">
        <w:rPr>
          <w:sz w:val="20"/>
          <w:szCs w:val="20"/>
        </w:rPr>
        <w:t>https://www.bls.gov/web/ecec/ecsuptc.pdf</w:t>
      </w:r>
      <w:r w:rsidRPr="00B450F3">
        <w:rPr>
          <w:sz w:val="20"/>
          <w:szCs w:val="20"/>
        </w:rPr>
        <w:t xml:space="preserve">, accessed </w:t>
      </w:r>
      <w:r>
        <w:rPr>
          <w:sz w:val="20"/>
          <w:szCs w:val="20"/>
        </w:rPr>
        <w:t>June 1</w:t>
      </w:r>
      <w:r w:rsidRPr="00B450F3">
        <w:rPr>
          <w:sz w:val="20"/>
          <w:szCs w:val="20"/>
        </w:rPr>
        <w:t>, 20</w:t>
      </w:r>
      <w:r>
        <w:rPr>
          <w:sz w:val="20"/>
          <w:szCs w:val="20"/>
        </w:rPr>
        <w:t>21)</w:t>
      </w:r>
    </w:p>
  </w:footnote>
  <w:footnote w:id="8">
    <w:p w14:paraId="0719579C" w14:textId="77777777" w:rsidR="00D07777" w:rsidRDefault="00D07777" w:rsidP="00B04B5F">
      <w:pPr>
        <w:pStyle w:val="FootnoteText"/>
      </w:pPr>
      <w:r>
        <w:rPr>
          <w:rStyle w:val="FootnoteReference"/>
        </w:rPr>
        <w:footnoteRef/>
      </w:r>
      <w:r>
        <w:t xml:space="preserve"> For methodology, s</w:t>
      </w:r>
      <w:r w:rsidRPr="00FF0557">
        <w:t>ee: Wage Rates for Economic Analyses of the Toxics Release Inventory Program (U.S.EPA/OEI/EAD/ASB, June 10, 2002) and the Revised Economic Analysis for the Amended Inventory Update Rule: Final Report (U.S. EPA/OPPT/EETD/EPAB. August 2002.</w:t>
      </w:r>
    </w:p>
  </w:footnote>
  <w:footnote w:id="9">
    <w:p w14:paraId="0C2BBD3C" w14:textId="77777777" w:rsidR="00D07777" w:rsidRDefault="00D07777" w:rsidP="00B04B5F">
      <w:r>
        <w:rPr>
          <w:rStyle w:val="FootnoteReference"/>
        </w:rPr>
        <w:footnoteRef/>
      </w:r>
      <w:r>
        <w:t xml:space="preserve"> </w:t>
      </w:r>
      <w:r w:rsidRPr="008358D7">
        <w:rPr>
          <w:color w:val="000000"/>
          <w:sz w:val="20"/>
          <w:szCs w:val="20"/>
        </w:rPr>
        <w:t>U.S.EPA.  “Economic Analysis of TSCA Section 8(c) Significant Adverse Reaction Recordkeeping Rule, OTS/ETD/RIB.” January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3199" w14:textId="6E3D2C63" w:rsidR="00D07777" w:rsidRDefault="00D07777">
    <w:pPr>
      <w:pStyle w:val="Header"/>
    </w:pPr>
    <w:r>
      <w:tab/>
    </w:r>
    <w:r>
      <w:tab/>
      <w:t xml:space="preserve">October </w:t>
    </w:r>
    <w:r w:rsidR="00915958">
      <w:t>20</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024F512"/>
    <w:lvl w:ilvl="0">
      <w:numFmt w:val="bullet"/>
      <w:lvlText w:val="*"/>
      <w:lvlJc w:val="left"/>
    </w:lvl>
  </w:abstractNum>
  <w:abstractNum w:abstractNumId="1" w15:restartNumberingAfterBreak="0">
    <w:nsid w:val="08DF15C8"/>
    <w:multiLevelType w:val="hybridMultilevel"/>
    <w:tmpl w:val="BFD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6453F"/>
    <w:multiLevelType w:val="hybridMultilevel"/>
    <w:tmpl w:val="DF28A220"/>
    <w:lvl w:ilvl="0" w:tplc="1D2A5C5A">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36F42B5"/>
    <w:multiLevelType w:val="hybridMultilevel"/>
    <w:tmpl w:val="DD188AFA"/>
    <w:lvl w:ilvl="0" w:tplc="CFCA0354">
      <w:start w:val="1"/>
      <w:numFmt w:val="lowerRoman"/>
      <w:lvlText w:val="(%1)"/>
      <w:lvlJc w:val="center"/>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C13C6"/>
    <w:multiLevelType w:val="hybridMultilevel"/>
    <w:tmpl w:val="90C6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9"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1"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C527F15"/>
    <w:multiLevelType w:val="hybridMultilevel"/>
    <w:tmpl w:val="197287CC"/>
    <w:lvl w:ilvl="0" w:tplc="6DF003E2">
      <w:start w:val="1"/>
      <w:numFmt w:val="decimal"/>
      <w:pStyle w:val="Heading2"/>
      <w:lvlText w:val="%1."/>
      <w:lvlJc w:val="left"/>
      <w:pPr>
        <w:ind w:left="720" w:hanging="360"/>
      </w:pPr>
      <w:rPr>
        <w:rFonts w:hint="default"/>
      </w:rPr>
    </w:lvl>
    <w:lvl w:ilvl="1" w:tplc="1B1EA5D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8"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2"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6"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7"/>
  </w:num>
  <w:num w:numId="3">
    <w:abstractNumId w:val="27"/>
  </w:num>
  <w:num w:numId="4">
    <w:abstractNumId w:val="20"/>
  </w:num>
  <w:num w:numId="5">
    <w:abstractNumId w:val="9"/>
  </w:num>
  <w:num w:numId="6">
    <w:abstractNumId w:val="12"/>
  </w:num>
  <w:num w:numId="7">
    <w:abstractNumId w:val="6"/>
  </w:num>
  <w:num w:numId="8">
    <w:abstractNumId w:val="23"/>
  </w:num>
  <w:num w:numId="9">
    <w:abstractNumId w:val="22"/>
  </w:num>
  <w:num w:numId="10">
    <w:abstractNumId w:val="19"/>
  </w:num>
  <w:num w:numId="11">
    <w:abstractNumId w:val="14"/>
  </w:num>
  <w:num w:numId="12">
    <w:abstractNumId w:val="11"/>
  </w:num>
  <w:num w:numId="13">
    <w:abstractNumId w:val="8"/>
  </w:num>
  <w:num w:numId="14">
    <w:abstractNumId w:val="25"/>
  </w:num>
  <w:num w:numId="15">
    <w:abstractNumId w:val="26"/>
  </w:num>
  <w:num w:numId="16">
    <w:abstractNumId w:val="18"/>
  </w:num>
  <w:num w:numId="17">
    <w:abstractNumId w:val="13"/>
  </w:num>
  <w:num w:numId="18">
    <w:abstractNumId w:val="24"/>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7"/>
    </w:lvlOverride>
  </w:num>
  <w:num w:numId="30">
    <w:abstractNumId w:val="10"/>
    <w:lvlOverride w:ilvl="0">
      <w:startOverride w:val="17"/>
    </w:lvlOverride>
  </w:num>
  <w:num w:numId="31">
    <w:abstractNumId w:val="2"/>
  </w:num>
  <w:num w:numId="32">
    <w:abstractNumId w:val="15"/>
  </w:num>
  <w:num w:numId="33">
    <w:abstractNumId w:val="16"/>
  </w:num>
  <w:num w:numId="34">
    <w:abstractNumId w:val="3"/>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39">
    <w:abstractNumId w:val="5"/>
  </w:num>
  <w:num w:numId="40">
    <w:abstractNumId w:val="5"/>
    <w:lvlOverride w:ilvl="0">
      <w:startOverride w:val="1"/>
    </w:lvlOverride>
  </w:num>
  <w:num w:numId="41">
    <w:abstractNumId w:val="5"/>
    <w:lvlOverride w:ilvl="0">
      <w:startOverride w:val="1"/>
    </w:lvlOverride>
  </w:num>
  <w:num w:numId="42">
    <w:abstractNumId w:val="7"/>
  </w:num>
  <w:num w:numId="43">
    <w:abstractNumId w:val="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670B"/>
    <w:rsid w:val="00006B5B"/>
    <w:rsid w:val="00011E98"/>
    <w:rsid w:val="0003181D"/>
    <w:rsid w:val="000453DB"/>
    <w:rsid w:val="00061DFC"/>
    <w:rsid w:val="0006464F"/>
    <w:rsid w:val="000656A4"/>
    <w:rsid w:val="000723BC"/>
    <w:rsid w:val="00073171"/>
    <w:rsid w:val="0007649F"/>
    <w:rsid w:val="00086DC2"/>
    <w:rsid w:val="00094875"/>
    <w:rsid w:val="00097C0A"/>
    <w:rsid w:val="000D5E31"/>
    <w:rsid w:val="000F3685"/>
    <w:rsid w:val="00103B2E"/>
    <w:rsid w:val="00107247"/>
    <w:rsid w:val="0012070B"/>
    <w:rsid w:val="00120736"/>
    <w:rsid w:val="00122815"/>
    <w:rsid w:val="001278AD"/>
    <w:rsid w:val="00132014"/>
    <w:rsid w:val="001341DE"/>
    <w:rsid w:val="00136C5B"/>
    <w:rsid w:val="001506AC"/>
    <w:rsid w:val="00161ED7"/>
    <w:rsid w:val="00174CD9"/>
    <w:rsid w:val="0018056B"/>
    <w:rsid w:val="00183A5E"/>
    <w:rsid w:val="0018575F"/>
    <w:rsid w:val="00192218"/>
    <w:rsid w:val="0019639B"/>
    <w:rsid w:val="00196FEE"/>
    <w:rsid w:val="001A30E9"/>
    <w:rsid w:val="001A4BBA"/>
    <w:rsid w:val="001B0D34"/>
    <w:rsid w:val="001B45B0"/>
    <w:rsid w:val="001B53C7"/>
    <w:rsid w:val="001C1FB3"/>
    <w:rsid w:val="001C3187"/>
    <w:rsid w:val="001E0DDA"/>
    <w:rsid w:val="001E5236"/>
    <w:rsid w:val="0020497A"/>
    <w:rsid w:val="002059F4"/>
    <w:rsid w:val="002061D9"/>
    <w:rsid w:val="00215B24"/>
    <w:rsid w:val="0022704E"/>
    <w:rsid w:val="0023602B"/>
    <w:rsid w:val="0026304B"/>
    <w:rsid w:val="00271285"/>
    <w:rsid w:val="002910C3"/>
    <w:rsid w:val="002917DB"/>
    <w:rsid w:val="00294EAC"/>
    <w:rsid w:val="0029627A"/>
    <w:rsid w:val="002A3714"/>
    <w:rsid w:val="002B290C"/>
    <w:rsid w:val="002D7E04"/>
    <w:rsid w:val="002E3A57"/>
    <w:rsid w:val="002F07ED"/>
    <w:rsid w:val="002F0984"/>
    <w:rsid w:val="002F21F7"/>
    <w:rsid w:val="00301E36"/>
    <w:rsid w:val="003041B0"/>
    <w:rsid w:val="00331766"/>
    <w:rsid w:val="00341D6A"/>
    <w:rsid w:val="003645F8"/>
    <w:rsid w:val="00377490"/>
    <w:rsid w:val="00377C64"/>
    <w:rsid w:val="00382387"/>
    <w:rsid w:val="003832B9"/>
    <w:rsid w:val="003845EA"/>
    <w:rsid w:val="003853DC"/>
    <w:rsid w:val="0038595D"/>
    <w:rsid w:val="00391E9E"/>
    <w:rsid w:val="00393ED4"/>
    <w:rsid w:val="003951A1"/>
    <w:rsid w:val="00395C2C"/>
    <w:rsid w:val="003A1AB1"/>
    <w:rsid w:val="003A6B3A"/>
    <w:rsid w:val="003C48A3"/>
    <w:rsid w:val="003D096C"/>
    <w:rsid w:val="003D09E2"/>
    <w:rsid w:val="003E219D"/>
    <w:rsid w:val="003E2F88"/>
    <w:rsid w:val="003E5CB4"/>
    <w:rsid w:val="003F1A38"/>
    <w:rsid w:val="003F5B20"/>
    <w:rsid w:val="00433DB3"/>
    <w:rsid w:val="0043778D"/>
    <w:rsid w:val="00446394"/>
    <w:rsid w:val="0045503C"/>
    <w:rsid w:val="00461214"/>
    <w:rsid w:val="00467E3A"/>
    <w:rsid w:val="0049003D"/>
    <w:rsid w:val="004917AF"/>
    <w:rsid w:val="004A0907"/>
    <w:rsid w:val="004A7019"/>
    <w:rsid w:val="004A73E2"/>
    <w:rsid w:val="004A7A18"/>
    <w:rsid w:val="004C2DAC"/>
    <w:rsid w:val="004C3EE4"/>
    <w:rsid w:val="004D7C69"/>
    <w:rsid w:val="00502D91"/>
    <w:rsid w:val="005067FC"/>
    <w:rsid w:val="00515F16"/>
    <w:rsid w:val="00535ED5"/>
    <w:rsid w:val="00551637"/>
    <w:rsid w:val="00555904"/>
    <w:rsid w:val="005645B8"/>
    <w:rsid w:val="00566EA2"/>
    <w:rsid w:val="00575DC0"/>
    <w:rsid w:val="0059087E"/>
    <w:rsid w:val="00595EF1"/>
    <w:rsid w:val="005B60C2"/>
    <w:rsid w:val="005D6FB8"/>
    <w:rsid w:val="005F6E2E"/>
    <w:rsid w:val="005F768A"/>
    <w:rsid w:val="00614476"/>
    <w:rsid w:val="00630001"/>
    <w:rsid w:val="0064734A"/>
    <w:rsid w:val="00650A1C"/>
    <w:rsid w:val="006513FC"/>
    <w:rsid w:val="00665E81"/>
    <w:rsid w:val="00666FEA"/>
    <w:rsid w:val="00676782"/>
    <w:rsid w:val="00677BEE"/>
    <w:rsid w:val="006943C3"/>
    <w:rsid w:val="006A00A7"/>
    <w:rsid w:val="006A07BE"/>
    <w:rsid w:val="006B12D3"/>
    <w:rsid w:val="006B52E1"/>
    <w:rsid w:val="006D6ED0"/>
    <w:rsid w:val="006F3735"/>
    <w:rsid w:val="006F41C6"/>
    <w:rsid w:val="00710616"/>
    <w:rsid w:val="0073054C"/>
    <w:rsid w:val="00750EE8"/>
    <w:rsid w:val="00760200"/>
    <w:rsid w:val="00763181"/>
    <w:rsid w:val="00773DB2"/>
    <w:rsid w:val="00792002"/>
    <w:rsid w:val="0079430B"/>
    <w:rsid w:val="0079734E"/>
    <w:rsid w:val="007A01E7"/>
    <w:rsid w:val="007A3C9E"/>
    <w:rsid w:val="007A3DE7"/>
    <w:rsid w:val="007B244D"/>
    <w:rsid w:val="007B3187"/>
    <w:rsid w:val="007B4872"/>
    <w:rsid w:val="007D1F57"/>
    <w:rsid w:val="007D2AFA"/>
    <w:rsid w:val="007E0AFB"/>
    <w:rsid w:val="007F1AB5"/>
    <w:rsid w:val="007F3A69"/>
    <w:rsid w:val="007F7E00"/>
    <w:rsid w:val="00811F48"/>
    <w:rsid w:val="00831D58"/>
    <w:rsid w:val="00847B9B"/>
    <w:rsid w:val="008517F0"/>
    <w:rsid w:val="0085557F"/>
    <w:rsid w:val="00856308"/>
    <w:rsid w:val="008572A8"/>
    <w:rsid w:val="00863C6D"/>
    <w:rsid w:val="008645F4"/>
    <w:rsid w:val="008851E4"/>
    <w:rsid w:val="00885220"/>
    <w:rsid w:val="00897D7E"/>
    <w:rsid w:val="008A094B"/>
    <w:rsid w:val="008B0530"/>
    <w:rsid w:val="008B1EBC"/>
    <w:rsid w:val="008C31D3"/>
    <w:rsid w:val="008F4FFF"/>
    <w:rsid w:val="00915958"/>
    <w:rsid w:val="00922603"/>
    <w:rsid w:val="0093316B"/>
    <w:rsid w:val="009464FA"/>
    <w:rsid w:val="00946AEC"/>
    <w:rsid w:val="009505AD"/>
    <w:rsid w:val="00957D7E"/>
    <w:rsid w:val="009767E8"/>
    <w:rsid w:val="009803E7"/>
    <w:rsid w:val="00993D9E"/>
    <w:rsid w:val="00996A09"/>
    <w:rsid w:val="009A7738"/>
    <w:rsid w:val="009B0E2C"/>
    <w:rsid w:val="009B2A67"/>
    <w:rsid w:val="009D1902"/>
    <w:rsid w:val="009F0D69"/>
    <w:rsid w:val="009F423A"/>
    <w:rsid w:val="009F52D6"/>
    <w:rsid w:val="00A01B41"/>
    <w:rsid w:val="00A03FDF"/>
    <w:rsid w:val="00A042D3"/>
    <w:rsid w:val="00A07069"/>
    <w:rsid w:val="00A13E06"/>
    <w:rsid w:val="00A14373"/>
    <w:rsid w:val="00A15DA9"/>
    <w:rsid w:val="00A33137"/>
    <w:rsid w:val="00A46F3E"/>
    <w:rsid w:val="00A47159"/>
    <w:rsid w:val="00A56015"/>
    <w:rsid w:val="00A62217"/>
    <w:rsid w:val="00A640A9"/>
    <w:rsid w:val="00A72919"/>
    <w:rsid w:val="00A7575F"/>
    <w:rsid w:val="00A85561"/>
    <w:rsid w:val="00A85B28"/>
    <w:rsid w:val="00A92DD1"/>
    <w:rsid w:val="00A9325E"/>
    <w:rsid w:val="00AA7A7A"/>
    <w:rsid w:val="00AB7ED9"/>
    <w:rsid w:val="00AC25D2"/>
    <w:rsid w:val="00AD2BE1"/>
    <w:rsid w:val="00AD7842"/>
    <w:rsid w:val="00AE47C0"/>
    <w:rsid w:val="00AF2ED0"/>
    <w:rsid w:val="00AF6098"/>
    <w:rsid w:val="00AF7129"/>
    <w:rsid w:val="00B002FA"/>
    <w:rsid w:val="00B04B5F"/>
    <w:rsid w:val="00B10468"/>
    <w:rsid w:val="00B1352E"/>
    <w:rsid w:val="00B23162"/>
    <w:rsid w:val="00B262D4"/>
    <w:rsid w:val="00B30DE4"/>
    <w:rsid w:val="00B33E4E"/>
    <w:rsid w:val="00B440E8"/>
    <w:rsid w:val="00B57BED"/>
    <w:rsid w:val="00B57DD9"/>
    <w:rsid w:val="00B61ECA"/>
    <w:rsid w:val="00B63A76"/>
    <w:rsid w:val="00B67244"/>
    <w:rsid w:val="00B750A7"/>
    <w:rsid w:val="00B76216"/>
    <w:rsid w:val="00B815CA"/>
    <w:rsid w:val="00B969BA"/>
    <w:rsid w:val="00BA7E34"/>
    <w:rsid w:val="00BB0C2C"/>
    <w:rsid w:val="00BB7017"/>
    <w:rsid w:val="00BC4397"/>
    <w:rsid w:val="00BC6D25"/>
    <w:rsid w:val="00BC7A0C"/>
    <w:rsid w:val="00BD1BAB"/>
    <w:rsid w:val="00BE239C"/>
    <w:rsid w:val="00BE461C"/>
    <w:rsid w:val="00BF04C3"/>
    <w:rsid w:val="00C0168B"/>
    <w:rsid w:val="00C01896"/>
    <w:rsid w:val="00C06667"/>
    <w:rsid w:val="00C068EE"/>
    <w:rsid w:val="00C13C64"/>
    <w:rsid w:val="00C237E2"/>
    <w:rsid w:val="00C455D4"/>
    <w:rsid w:val="00C5240E"/>
    <w:rsid w:val="00C56605"/>
    <w:rsid w:val="00C569A2"/>
    <w:rsid w:val="00C60793"/>
    <w:rsid w:val="00C608C8"/>
    <w:rsid w:val="00C61D56"/>
    <w:rsid w:val="00C624CE"/>
    <w:rsid w:val="00C6353F"/>
    <w:rsid w:val="00C7069B"/>
    <w:rsid w:val="00C720D3"/>
    <w:rsid w:val="00C81FAD"/>
    <w:rsid w:val="00C84271"/>
    <w:rsid w:val="00CC4D3C"/>
    <w:rsid w:val="00CD310E"/>
    <w:rsid w:val="00CD536C"/>
    <w:rsid w:val="00CD6C67"/>
    <w:rsid w:val="00CE4BAD"/>
    <w:rsid w:val="00CE7539"/>
    <w:rsid w:val="00D01870"/>
    <w:rsid w:val="00D025F8"/>
    <w:rsid w:val="00D0290A"/>
    <w:rsid w:val="00D03BFF"/>
    <w:rsid w:val="00D059ED"/>
    <w:rsid w:val="00D07777"/>
    <w:rsid w:val="00D278E1"/>
    <w:rsid w:val="00D51B35"/>
    <w:rsid w:val="00D53902"/>
    <w:rsid w:val="00D62194"/>
    <w:rsid w:val="00D63099"/>
    <w:rsid w:val="00D630AA"/>
    <w:rsid w:val="00D643D0"/>
    <w:rsid w:val="00D66665"/>
    <w:rsid w:val="00D73EEB"/>
    <w:rsid w:val="00D80D21"/>
    <w:rsid w:val="00D83509"/>
    <w:rsid w:val="00D85CD3"/>
    <w:rsid w:val="00D923B8"/>
    <w:rsid w:val="00DA0B56"/>
    <w:rsid w:val="00DB1F1B"/>
    <w:rsid w:val="00DC6056"/>
    <w:rsid w:val="00DC6905"/>
    <w:rsid w:val="00DD3644"/>
    <w:rsid w:val="00DD3B69"/>
    <w:rsid w:val="00DD4208"/>
    <w:rsid w:val="00DD52A5"/>
    <w:rsid w:val="00DE1BBD"/>
    <w:rsid w:val="00DE2410"/>
    <w:rsid w:val="00DE5258"/>
    <w:rsid w:val="00DE5415"/>
    <w:rsid w:val="00DF591D"/>
    <w:rsid w:val="00E00E93"/>
    <w:rsid w:val="00E01C47"/>
    <w:rsid w:val="00E04F62"/>
    <w:rsid w:val="00E101E9"/>
    <w:rsid w:val="00E13704"/>
    <w:rsid w:val="00E14613"/>
    <w:rsid w:val="00E17AC4"/>
    <w:rsid w:val="00E27EDB"/>
    <w:rsid w:val="00E30005"/>
    <w:rsid w:val="00E30863"/>
    <w:rsid w:val="00E30CAA"/>
    <w:rsid w:val="00E31DF6"/>
    <w:rsid w:val="00E35094"/>
    <w:rsid w:val="00E453DD"/>
    <w:rsid w:val="00E91639"/>
    <w:rsid w:val="00EA107A"/>
    <w:rsid w:val="00EC352F"/>
    <w:rsid w:val="00EE2A4B"/>
    <w:rsid w:val="00EF5826"/>
    <w:rsid w:val="00EF5A45"/>
    <w:rsid w:val="00EF6576"/>
    <w:rsid w:val="00F05F2C"/>
    <w:rsid w:val="00F10D1A"/>
    <w:rsid w:val="00F31907"/>
    <w:rsid w:val="00F321D0"/>
    <w:rsid w:val="00F422EC"/>
    <w:rsid w:val="00F4329E"/>
    <w:rsid w:val="00F47DAC"/>
    <w:rsid w:val="00F47EF1"/>
    <w:rsid w:val="00F80DB3"/>
    <w:rsid w:val="00F86030"/>
    <w:rsid w:val="00F87F6D"/>
    <w:rsid w:val="00FA1F22"/>
    <w:rsid w:val="00FA21C9"/>
    <w:rsid w:val="00FA3D57"/>
    <w:rsid w:val="00FA523E"/>
    <w:rsid w:val="00FF09F1"/>
    <w:rsid w:val="00FF699A"/>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299A91"/>
  <w15:chartTrackingRefBased/>
  <w15:docId w15:val="{488C7D04-D4F2-4E86-999A-4D149B7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5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Level1">
    <w:name w:val="Level 1"/>
    <w:uiPriority w:val="99"/>
    <w:rsid w:val="00B04B5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B04B5F"/>
  </w:style>
  <w:style w:type="character" w:customStyle="1" w:styleId="findhit">
    <w:name w:val="findhit"/>
    <w:basedOn w:val="DefaultParagraphFont"/>
    <w:rsid w:val="00B04B5F"/>
  </w:style>
  <w:style w:type="character" w:customStyle="1" w:styleId="eop">
    <w:name w:val="eop"/>
    <w:basedOn w:val="DefaultParagraphFont"/>
    <w:rsid w:val="00B04B5F"/>
  </w:style>
  <w:style w:type="paragraph" w:styleId="PlainText">
    <w:name w:val="Plain Text"/>
    <w:basedOn w:val="Normal"/>
    <w:link w:val="PlainTextChar"/>
    <w:rsid w:val="00F860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6030"/>
    <w:rPr>
      <w:rFonts w:ascii="Courier New" w:eastAsia="Times New Roman" w:hAnsi="Courier New" w:cs="Courier New"/>
      <w:sz w:val="20"/>
      <w:szCs w:val="20"/>
    </w:rPr>
  </w:style>
  <w:style w:type="character" w:styleId="Emphasis">
    <w:name w:val="Emphasis"/>
    <w:basedOn w:val="DefaultParagraphFont"/>
    <w:uiPriority w:val="20"/>
    <w:qFormat/>
    <w:rsid w:val="006D6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552">
      <w:bodyDiv w:val="1"/>
      <w:marLeft w:val="0"/>
      <w:marRight w:val="0"/>
      <w:marTop w:val="0"/>
      <w:marBottom w:val="0"/>
      <w:divBdr>
        <w:top w:val="none" w:sz="0" w:space="0" w:color="auto"/>
        <w:left w:val="none" w:sz="0" w:space="0" w:color="auto"/>
        <w:bottom w:val="none" w:sz="0" w:space="0" w:color="auto"/>
        <w:right w:val="none" w:sz="0" w:space="0" w:color="auto"/>
      </w:divBdr>
    </w:div>
    <w:div w:id="245921864">
      <w:bodyDiv w:val="1"/>
      <w:marLeft w:val="0"/>
      <w:marRight w:val="0"/>
      <w:marTop w:val="0"/>
      <w:marBottom w:val="0"/>
      <w:divBdr>
        <w:top w:val="none" w:sz="0" w:space="0" w:color="auto"/>
        <w:left w:val="none" w:sz="0" w:space="0" w:color="auto"/>
        <w:bottom w:val="none" w:sz="0" w:space="0" w:color="auto"/>
        <w:right w:val="none" w:sz="0" w:space="0" w:color="auto"/>
      </w:divBdr>
    </w:div>
    <w:div w:id="3297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17" Type="http://schemas.openxmlformats.org/officeDocument/2006/relationships/hyperlink" Target="https://www.ecfr.gov/cgi-bin/text-idx?node=pt40.33.717&amp;rgn=div5" TargetMode="External"/><Relationship Id="rId2" Type="http://schemas.openxmlformats.org/officeDocument/2006/relationships/customXml" Target="../customXml/item2.xml"/><Relationship Id="rId16" Type="http://schemas.openxmlformats.org/officeDocument/2006/relationships/hyperlink" Target="https://uscode.house.gov/view.xhtml?path=/prelim@title15/chapter53&amp;edition=preli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dockets/epa-docket-center-and-reading-room-open-public-appointment-on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SharedWithUsers xmlns="a5d1ca4e-0a3f-4119-b619-e20b93ebd1aa">
      <UserInfo>
        <DisplayName>Brown, Judith</DisplayName>
        <AccountId>17</AccountId>
        <AccountType/>
      </UserInfo>
      <UserInfo>
        <DisplayName>Rice, Cody</DisplayName>
        <AccountId>25</AccountId>
        <AccountType/>
      </UserInfo>
      <UserInfo>
        <DisplayName>Turk, David</DisplayName>
        <AccountId>15</AccountId>
        <AccountType/>
      </UserInfo>
      <UserInfo>
        <DisplayName>Popko, David</DisplayName>
        <AccountId>36</AccountId>
        <AccountType/>
      </UserInfo>
      <UserInfo>
        <DisplayName>Hernandez, Connie</DisplayName>
        <AccountId>35</AccountId>
        <AccountType/>
      </UserInfo>
      <UserInfo>
        <DisplayName>Lee, Virginia</DisplayName>
        <AccountId>9</AccountId>
        <AccountType/>
      </UserInfo>
      <UserInfo>
        <DisplayName>Sleasman, Katherine</DisplayName>
        <AccountId>19</AccountId>
        <AccountType/>
      </UserInfo>
      <UserInfo>
        <DisplayName>Widawsky, David</DisplayName>
        <AccountId>37</AccountId>
        <AccountType/>
      </UserInfo>
    </SharedWithUsers>
    <CategoryDescription xmlns="http://schemas.microsoft.com/sharepoint.v3" xsi:nil="true"/>
    <FRN_x0020_List_x0020_Item_x0020_ID xmlns="118f882f-1e32-4cf2-ad69-9de43d57f4c6">3397</FRN_x0020_List_x0020_Item_x0020_ID>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43D02-5FD1-40F8-83B4-AB256FA1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44B56-BA86-4284-B1F7-B5381B365F4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a5d1ca4e-0a3f-4119-b619-e20b93ebd1aa"/>
    <ds:schemaRef ds:uri="118f882f-1e32-4cf2-ad69-9de43d57f4c6"/>
    <ds:schemaRef ds:uri="http://schemas.microsoft.com/office/2006/documentManagement/types"/>
    <ds:schemaRef ds:uri="4ffa91fb-a0ff-4ac5-b2db-65c790d184a4"/>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D3A8983-A808-4405-8EFD-24269031A2D2}">
  <ds:schemaRefs>
    <ds:schemaRef ds:uri="Microsoft.SharePoint.Taxonomy.ContentTypeSync"/>
  </ds:schemaRefs>
</ds:datastoreItem>
</file>

<file path=customXml/itemProps4.xml><?xml version="1.0" encoding="utf-8"?>
<ds:datastoreItem xmlns:ds="http://schemas.openxmlformats.org/officeDocument/2006/customXml" ds:itemID="{BBA4C472-F7AA-4FB2-9241-4D9F5BD1D622}">
  <ds:schemaRefs>
    <ds:schemaRef ds:uri="http://schemas.openxmlformats.org/officeDocument/2006/bibliography"/>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7046</Words>
  <Characters>40165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47117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EPA</cp:lastModifiedBy>
  <cp:revision>6</cp:revision>
  <dcterms:created xsi:type="dcterms:W3CDTF">2021-10-20T13:42:00Z</dcterms:created>
  <dcterms:modified xsi:type="dcterms:W3CDTF">2021-10-20T14:01:00Z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