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2EA2" w:rsidR="005645B8" w:rsidP="007A01E7" w:rsidRDefault="005645B8" w14:paraId="6D881B66" w14:textId="645396D7">
      <w:pPr>
        <w:pStyle w:val="Title"/>
      </w:pPr>
      <w:bookmarkStart w:name="_Toc49148152" w:id="0"/>
      <w:r w:rsidRPr="00C12EA2">
        <w:t>Supporting Statement for a</w:t>
      </w:r>
      <w:r w:rsidR="009505AD">
        <w:t>n</w:t>
      </w:r>
      <w:r w:rsidRPr="00C12EA2">
        <w:t xml:space="preserve"> Information Collection Request (ICR) </w:t>
      </w:r>
    </w:p>
    <w:p w:rsidR="005645B8" w:rsidP="007A01E7" w:rsidRDefault="005645B8" w14:paraId="19900C7F" w14:textId="48571761">
      <w:pPr>
        <w:pStyle w:val="Title"/>
      </w:pPr>
      <w:r w:rsidRPr="00C12EA2">
        <w:t>Under the Paperwork Reduction Act (PRA)</w:t>
      </w:r>
    </w:p>
    <w:p w:rsidRPr="00534AA1" w:rsidR="005645B8" w:rsidP="007A01E7" w:rsidRDefault="005645B8" w14:paraId="0BF5219B" w14:textId="77777777">
      <w:pPr>
        <w:pStyle w:val="Heading1"/>
      </w:pPr>
      <w:r w:rsidRPr="00534AA1">
        <w:t>EXECUTIVE SUMMARY</w:t>
      </w:r>
      <w:bookmarkEnd w:id="0"/>
    </w:p>
    <w:p w:rsidRPr="002059F4" w:rsidR="005645B8" w:rsidP="002059F4" w:rsidRDefault="005645B8" w14:paraId="5616E8D6" w14:textId="03BDFD68">
      <w:pPr>
        <w:pStyle w:val="Heading3"/>
        <w:numPr>
          <w:ilvl w:val="0"/>
          <w:numId w:val="0"/>
        </w:numPr>
      </w:pPr>
      <w:bookmarkStart w:name="_Toc49148153" w:id="1"/>
      <w:r w:rsidRPr="002059F4">
        <w:t>Identification of the Information Collection – Title and Numbers</w:t>
      </w:r>
      <w:bookmarkEnd w:id="1"/>
    </w:p>
    <w:p w:rsidRPr="008A647C" w:rsidR="005645B8" w:rsidP="008A647C" w:rsidRDefault="005645B8" w14:paraId="47EF360E" w14:textId="69284B8B">
      <w:pPr>
        <w:spacing w:after="120"/>
        <w:ind w:left="720"/>
        <w:rPr>
          <w:lang w:bidi="en-US"/>
        </w:rPr>
      </w:pPr>
      <w:r>
        <w:rPr>
          <w:rFonts w:cs="Arial"/>
          <w:b/>
          <w:szCs w:val="24"/>
        </w:rPr>
        <w:t>Title:</w:t>
      </w:r>
      <w:r w:rsidR="00540081">
        <w:rPr>
          <w:rFonts w:cs="Arial"/>
          <w:b/>
          <w:szCs w:val="24"/>
        </w:rPr>
        <w:t xml:space="preserve"> </w:t>
      </w:r>
      <w:r>
        <w:rPr>
          <w:rFonts w:cs="Arial"/>
          <w:b/>
          <w:szCs w:val="24"/>
        </w:rPr>
        <w:t xml:space="preserve"> </w:t>
      </w:r>
      <w:bookmarkStart w:name="_Hlk74300295" w:id="2"/>
      <w:r w:rsidRPr="00FC4E27" w:rsidR="008A647C">
        <w:rPr>
          <w:lang w:bidi="en-US"/>
        </w:rPr>
        <w:t>User Fees for the Administration of the Toxic Substances Control Act (TSCA)</w:t>
      </w:r>
      <w:bookmarkEnd w:id="2"/>
    </w:p>
    <w:p w:rsidR="009505AD" w:rsidP="005645B8" w:rsidRDefault="005645B8" w14:paraId="1968D082" w14:textId="6F16E020">
      <w:pPr>
        <w:pStyle w:val="NoSpacing"/>
        <w:spacing w:after="120"/>
        <w:rPr>
          <w:rFonts w:ascii="Arial" w:hAnsi="Arial" w:cs="Arial"/>
          <w:sz w:val="24"/>
          <w:szCs w:val="24"/>
        </w:rPr>
      </w:pPr>
      <w:r>
        <w:rPr>
          <w:rFonts w:ascii="Arial" w:hAnsi="Arial" w:cs="Arial"/>
          <w:sz w:val="24"/>
          <w:szCs w:val="24"/>
        </w:rPr>
        <w:tab/>
      </w:r>
      <w:r w:rsidRPr="009505AD" w:rsidR="009505AD">
        <w:rPr>
          <w:rFonts w:ascii="Arial" w:hAnsi="Arial" w:cs="Arial"/>
          <w:b/>
          <w:bCs/>
          <w:sz w:val="24"/>
          <w:szCs w:val="24"/>
        </w:rPr>
        <w:t xml:space="preserve">EPA </w:t>
      </w:r>
      <w:r w:rsidRPr="009505AD">
        <w:rPr>
          <w:rFonts w:ascii="Arial" w:hAnsi="Arial" w:cs="Arial"/>
          <w:b/>
          <w:bCs/>
          <w:sz w:val="24"/>
          <w:szCs w:val="24"/>
        </w:rPr>
        <w:t>ICR N</w:t>
      </w:r>
      <w:r w:rsidRPr="009505AD" w:rsidR="009505AD">
        <w:rPr>
          <w:rFonts w:ascii="Arial" w:hAnsi="Arial" w:cs="Arial"/>
          <w:b/>
          <w:bCs/>
          <w:sz w:val="24"/>
          <w:szCs w:val="24"/>
        </w:rPr>
        <w:t>o</w:t>
      </w:r>
      <w:r w:rsidR="009505AD">
        <w:rPr>
          <w:rFonts w:ascii="Arial" w:hAnsi="Arial" w:cs="Arial"/>
          <w:b/>
          <w:bCs/>
          <w:sz w:val="24"/>
          <w:szCs w:val="24"/>
        </w:rPr>
        <w:t>.</w:t>
      </w:r>
      <w:r w:rsidRPr="009505AD">
        <w:rPr>
          <w:rFonts w:ascii="Arial" w:hAnsi="Arial" w:cs="Arial"/>
          <w:b/>
          <w:bCs/>
          <w:sz w:val="24"/>
          <w:szCs w:val="24"/>
        </w:rPr>
        <w:t>:</w:t>
      </w:r>
      <w:r>
        <w:rPr>
          <w:rFonts w:ascii="Arial" w:hAnsi="Arial" w:cs="Arial"/>
          <w:b/>
          <w:sz w:val="24"/>
          <w:szCs w:val="24"/>
        </w:rPr>
        <w:t xml:space="preserve"> </w:t>
      </w:r>
      <w:r w:rsidR="002F3C65">
        <w:rPr>
          <w:rFonts w:ascii="Arial" w:hAnsi="Arial" w:cs="Arial"/>
          <w:sz w:val="24"/>
          <w:szCs w:val="24"/>
        </w:rPr>
        <w:t xml:space="preserve"> 2569.04</w:t>
      </w:r>
    </w:p>
    <w:p w:rsidR="005645B8" w:rsidP="005645B8" w:rsidRDefault="009505AD" w14:paraId="3EF98889" w14:textId="7C0E9425">
      <w:pPr>
        <w:pStyle w:val="NoSpacing"/>
        <w:spacing w:after="120"/>
        <w:rPr>
          <w:rFonts w:ascii="Arial" w:hAnsi="Arial" w:cs="Arial"/>
          <w:sz w:val="24"/>
          <w:szCs w:val="24"/>
        </w:rPr>
      </w:pPr>
      <w:r>
        <w:rPr>
          <w:rFonts w:ascii="Arial" w:hAnsi="Arial" w:cs="Arial"/>
          <w:sz w:val="24"/>
          <w:szCs w:val="24"/>
        </w:rPr>
        <w:tab/>
      </w:r>
      <w:r w:rsidRPr="009505AD" w:rsidR="005645B8">
        <w:rPr>
          <w:rFonts w:ascii="Arial" w:hAnsi="Arial" w:cs="Arial"/>
          <w:b/>
          <w:bCs/>
          <w:sz w:val="24"/>
          <w:szCs w:val="24"/>
        </w:rPr>
        <w:t>OMB Control No.:</w:t>
      </w:r>
      <w:r w:rsidR="005645B8">
        <w:rPr>
          <w:rFonts w:ascii="Arial" w:hAnsi="Arial" w:cs="Arial"/>
          <w:sz w:val="24"/>
          <w:szCs w:val="24"/>
        </w:rPr>
        <w:t xml:space="preserve"> </w:t>
      </w:r>
      <w:r w:rsidR="00540081">
        <w:rPr>
          <w:rFonts w:ascii="Arial" w:hAnsi="Arial" w:cs="Arial"/>
          <w:sz w:val="24"/>
          <w:szCs w:val="24"/>
        </w:rPr>
        <w:t>2070-02</w:t>
      </w:r>
      <w:r w:rsidR="004F52F5">
        <w:rPr>
          <w:rFonts w:ascii="Arial" w:hAnsi="Arial" w:cs="Arial"/>
          <w:sz w:val="24"/>
          <w:szCs w:val="24"/>
        </w:rPr>
        <w:t>0</w:t>
      </w:r>
      <w:r w:rsidR="008A647C">
        <w:rPr>
          <w:rFonts w:ascii="Arial" w:hAnsi="Arial" w:cs="Arial"/>
          <w:sz w:val="24"/>
          <w:szCs w:val="24"/>
        </w:rPr>
        <w:t>8</w:t>
      </w:r>
    </w:p>
    <w:p w:rsidRPr="00C12EA2" w:rsidR="005645B8" w:rsidP="005645B8" w:rsidRDefault="005645B8" w14:paraId="05F7B442" w14:textId="263D7CE9">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w:t>
      </w:r>
      <w:r w:rsidR="00540081">
        <w:rPr>
          <w:rFonts w:ascii="Arial" w:hAnsi="Arial" w:cs="Arial"/>
          <w:sz w:val="24"/>
          <w:szCs w:val="24"/>
        </w:rPr>
        <w:t>OPPT-20</w:t>
      </w:r>
      <w:r w:rsidR="004F52F5">
        <w:rPr>
          <w:rFonts w:ascii="Arial" w:hAnsi="Arial" w:cs="Arial"/>
          <w:sz w:val="24"/>
          <w:szCs w:val="24"/>
        </w:rPr>
        <w:t>20-061</w:t>
      </w:r>
      <w:r w:rsidR="008A647C">
        <w:rPr>
          <w:rFonts w:ascii="Arial" w:hAnsi="Arial" w:cs="Arial"/>
          <w:sz w:val="24"/>
          <w:szCs w:val="24"/>
        </w:rPr>
        <w:t>6</w:t>
      </w:r>
    </w:p>
    <w:p w:rsidR="005645B8" w:rsidP="002059F4" w:rsidRDefault="005645B8" w14:paraId="6A1E128E" w14:textId="75089B1F">
      <w:pPr>
        <w:pStyle w:val="Heading3"/>
        <w:numPr>
          <w:ilvl w:val="0"/>
          <w:numId w:val="0"/>
        </w:numPr>
      </w:pPr>
      <w:bookmarkStart w:name="_Toc49148156" w:id="3"/>
      <w:r w:rsidRPr="00483711">
        <w:t>Abstract</w:t>
      </w:r>
      <w:bookmarkEnd w:id="3"/>
    </w:p>
    <w:p w:rsidR="00E54CA8" w:rsidP="00E54CA8" w:rsidRDefault="008A647C" w14:paraId="21766765" w14:textId="388DC318">
      <w:bookmarkStart w:name="_Hlk72231642" w:id="4"/>
      <w:r w:rsidRPr="008A647C">
        <w:t>The Frank R. Lautenberg Chemical Safety for the 21st Century Act of 2016 made transformative changes to the Toxic Substances Control Act (TSCA), including an amendment that provides EPA with authority to collect fees to defray 25% of the costs associated with administering sections 4, 5, and 6 of TSCA, as well as the costs of collecting, processing, reviewing and providing access to and protecting CBI from disclosure as appropriate under TSCA section 14. Payments are required from manufacturers (defined by statute to include importers) of a chemical substance who are required to submit information to EPA under TSCA section 4</w:t>
      </w:r>
      <w:r w:rsidR="00384358">
        <w:t>;</w:t>
      </w:r>
      <w:r w:rsidRPr="008A647C">
        <w:t xml:space="preserve"> who submit certain notices and exemption requests to EPA under TSCA section 5</w:t>
      </w:r>
      <w:r w:rsidR="00384358">
        <w:t>;</w:t>
      </w:r>
      <w:r w:rsidRPr="008A647C">
        <w:t xml:space="preserve"> who manufacture a chemical substance that is subject to a risk evaluation under TSCA section 6(b)(4)</w:t>
      </w:r>
      <w:r w:rsidR="00384358">
        <w:t>;</w:t>
      </w:r>
      <w:r w:rsidRPr="008A647C">
        <w:t xml:space="preserve"> and who process a chemical substance that is the subject of a Significant New Use Notice (SNUN) or Test Market Exemption (TME) under TSCA section 5 and are required to submit information to EPA under TSCA section 4 related to a SNUN submission. </w:t>
      </w:r>
      <w:r w:rsidR="00244B1C">
        <w:rPr>
          <w:lang w:bidi="en-US"/>
        </w:rPr>
        <w:t xml:space="preserve">EPA is not collecting a fee for submissions of Confidential Business Information (CBI) submitted under TSCA section 14. </w:t>
      </w:r>
      <w:r w:rsidRPr="008A647C">
        <w:t>These fees are intended to achieve the goals articulated by Congress to provide a sustainable source of funds for EPA to fulfill its legal obligations to conduct the activities required under TSCA sections 4, 5 and 6 (such as risk-based screenings, designation of applicable substances as High- and Low-Priority, conducting risk evaluations to determine whether a chemical substance presents an unreasonable risk of injury to health or the environment, requiring testing of chemical substances and mixtures, and evaluating and reviewing manufacturing and processing notices), as well as the activities under TSCA section 14 (i.e., collecting, processing, reviewing, and providing access to and protecting information about chemical substances from disclosure as appropriate.</w:t>
      </w:r>
    </w:p>
    <w:p w:rsidR="00B614F9" w:rsidP="00B614F9" w:rsidRDefault="00B614F9" w14:paraId="73B2FCC9" w14:textId="0BC5ADA8">
      <w:pPr>
        <w:rPr>
          <w:lang w:bidi="en-US"/>
        </w:rPr>
      </w:pPr>
    </w:p>
    <w:p w:rsidR="008009EC" w:rsidP="00B614F9" w:rsidRDefault="008009EC" w14:paraId="39A3CFE9" w14:textId="77777777">
      <w:pPr>
        <w:rPr>
          <w:lang w:bidi="en-US"/>
        </w:rPr>
      </w:pPr>
    </w:p>
    <w:p w:rsidRPr="000C5EC3" w:rsidR="007B573F" w:rsidP="00B614F9" w:rsidRDefault="007B573F" w14:paraId="7CA1687C" w14:textId="2B25EAC7">
      <w:pPr>
        <w:rPr>
          <w:b/>
          <w:bCs/>
          <w:lang w:bidi="en-US"/>
        </w:rPr>
      </w:pPr>
      <w:r w:rsidRPr="000C5EC3">
        <w:rPr>
          <w:b/>
          <w:bCs/>
          <w:lang w:bidi="en-US"/>
        </w:rPr>
        <w:lastRenderedPageBreak/>
        <w:t xml:space="preserve">Summary of Average Annual Burden and Costs </w:t>
      </w:r>
    </w:p>
    <w:tbl>
      <w:tblPr>
        <w:tblStyle w:val="TableGrid"/>
        <w:tblW w:w="9355" w:type="dxa"/>
        <w:tblLook w:val="04A0" w:firstRow="1" w:lastRow="0" w:firstColumn="1" w:lastColumn="0" w:noHBand="0" w:noVBand="1"/>
      </w:tblPr>
      <w:tblGrid>
        <w:gridCol w:w="1723"/>
        <w:gridCol w:w="1787"/>
        <w:gridCol w:w="1556"/>
        <w:gridCol w:w="1366"/>
        <w:gridCol w:w="1705"/>
        <w:gridCol w:w="1218"/>
      </w:tblGrid>
      <w:tr w:rsidR="004E3F70" w:rsidTr="000C5EC3" w14:paraId="6A0B975F" w14:textId="0ADF5A3A">
        <w:tc>
          <w:tcPr>
            <w:tcW w:w="1747" w:type="dxa"/>
          </w:tcPr>
          <w:p w:rsidR="004E3F70" w:rsidP="00240B59" w:rsidRDefault="004E3F70" w14:paraId="78BC7073" w14:textId="77777777">
            <w:pPr>
              <w:rPr>
                <w:lang w:bidi="en-US"/>
              </w:rPr>
            </w:pPr>
          </w:p>
        </w:tc>
        <w:tc>
          <w:tcPr>
            <w:tcW w:w="1801" w:type="dxa"/>
            <w:shd w:val="clear" w:color="000000" w:fill="BFBFBF"/>
            <w:vAlign w:val="center"/>
          </w:tcPr>
          <w:p w:rsidR="004E3F70" w:rsidP="00240B59" w:rsidRDefault="004E3F70" w14:paraId="7032D6EC" w14:textId="6C09941E">
            <w:pPr>
              <w:rPr>
                <w:lang w:bidi="en-US"/>
              </w:rPr>
            </w:pPr>
            <w:r w:rsidRPr="00C75E4B">
              <w:rPr>
                <w:rFonts w:eastAsia="Times New Roman" w:cs="Arial"/>
                <w:b/>
                <w:bCs/>
                <w:color w:val="000000"/>
                <w:szCs w:val="24"/>
              </w:rPr>
              <w:t>Number of Respondents</w:t>
            </w:r>
          </w:p>
        </w:tc>
        <w:tc>
          <w:tcPr>
            <w:tcW w:w="1608" w:type="dxa"/>
            <w:shd w:val="clear" w:color="000000" w:fill="BFBFBF"/>
            <w:vAlign w:val="center"/>
          </w:tcPr>
          <w:p w:rsidR="004E3F70" w:rsidP="00560FA5" w:rsidRDefault="004E3F70" w14:paraId="696C1258" w14:textId="148196E4">
            <w:pPr>
              <w:keepNext/>
              <w:keepLines/>
              <w:jc w:val="center"/>
              <w:rPr>
                <w:lang w:bidi="en-US"/>
              </w:rPr>
            </w:pPr>
            <w:r w:rsidRPr="00C75E4B">
              <w:rPr>
                <w:rFonts w:eastAsia="Times New Roman" w:cs="Arial"/>
                <w:b/>
                <w:bCs/>
                <w:color w:val="000000"/>
                <w:szCs w:val="24"/>
              </w:rPr>
              <w:t>Burden per Response</w:t>
            </w:r>
            <w:r w:rsidR="00560FA5">
              <w:rPr>
                <w:rFonts w:eastAsia="Times New Roman" w:cs="Arial"/>
                <w:b/>
                <w:bCs/>
                <w:color w:val="000000"/>
                <w:szCs w:val="24"/>
              </w:rPr>
              <w:t xml:space="preserve"> </w:t>
            </w:r>
            <w:r w:rsidRPr="00C75E4B">
              <w:rPr>
                <w:rFonts w:eastAsia="Times New Roman" w:cs="Arial"/>
                <w:b/>
                <w:bCs/>
                <w:color w:val="000000"/>
                <w:szCs w:val="24"/>
              </w:rPr>
              <w:t>(hours)</w:t>
            </w:r>
          </w:p>
        </w:tc>
        <w:tc>
          <w:tcPr>
            <w:tcW w:w="1449" w:type="dxa"/>
            <w:shd w:val="clear" w:color="000000" w:fill="BFBFBF"/>
            <w:vAlign w:val="center"/>
          </w:tcPr>
          <w:p w:rsidR="004E3F70" w:rsidP="00240B59" w:rsidRDefault="004E3F70" w14:paraId="7208A87C" w14:textId="33251801">
            <w:pPr>
              <w:rPr>
                <w:lang w:bidi="en-US"/>
              </w:rPr>
            </w:pPr>
            <w:r w:rsidRPr="00C75E4B">
              <w:rPr>
                <w:rFonts w:eastAsia="Times New Roman" w:cs="Arial"/>
                <w:b/>
                <w:bCs/>
                <w:color w:val="000000"/>
                <w:szCs w:val="24"/>
              </w:rPr>
              <w:t>Total Burden (hours)</w:t>
            </w:r>
          </w:p>
        </w:tc>
        <w:tc>
          <w:tcPr>
            <w:tcW w:w="1732" w:type="dxa"/>
            <w:shd w:val="clear" w:color="000000" w:fill="BFBFBF"/>
            <w:vAlign w:val="center"/>
          </w:tcPr>
          <w:p w:rsidR="004E3F70" w:rsidP="00240B59" w:rsidRDefault="004E3F70" w14:paraId="51349A2D" w14:textId="31169C2E">
            <w:pPr>
              <w:rPr>
                <w:lang w:bidi="en-US"/>
              </w:rPr>
            </w:pPr>
            <w:r w:rsidRPr="00C75E4B">
              <w:rPr>
                <w:rFonts w:eastAsia="Times New Roman" w:cs="Arial"/>
                <w:b/>
                <w:bCs/>
                <w:color w:val="000000"/>
                <w:szCs w:val="24"/>
              </w:rPr>
              <w:t>Cost per Respondent</w:t>
            </w:r>
          </w:p>
        </w:tc>
        <w:tc>
          <w:tcPr>
            <w:tcW w:w="1018" w:type="dxa"/>
            <w:shd w:val="clear" w:color="000000" w:fill="BFBFBF"/>
          </w:tcPr>
          <w:p w:rsidRPr="00C75E4B" w:rsidR="004E3F70" w:rsidP="00240B59" w:rsidRDefault="004E3F70" w14:paraId="359519B2" w14:textId="459AA1BC">
            <w:pPr>
              <w:rPr>
                <w:rFonts w:eastAsia="Times New Roman" w:cs="Arial"/>
                <w:b/>
                <w:bCs/>
                <w:color w:val="000000"/>
                <w:szCs w:val="24"/>
              </w:rPr>
            </w:pPr>
            <w:r>
              <w:rPr>
                <w:rFonts w:eastAsia="Times New Roman" w:cs="Arial"/>
                <w:b/>
                <w:bCs/>
                <w:color w:val="000000"/>
                <w:szCs w:val="24"/>
              </w:rPr>
              <w:t>Total Costs</w:t>
            </w:r>
          </w:p>
        </w:tc>
      </w:tr>
      <w:tr w:rsidR="004E3F70" w:rsidTr="004E3F70" w14:paraId="106EA21F" w14:textId="0B9D34DB">
        <w:tc>
          <w:tcPr>
            <w:tcW w:w="1747" w:type="dxa"/>
          </w:tcPr>
          <w:p w:rsidR="004E3F70" w:rsidP="00240B59" w:rsidRDefault="004E3F70" w14:paraId="59BB0E59" w14:textId="7BA52C87">
            <w:pPr>
              <w:rPr>
                <w:lang w:bidi="en-US"/>
              </w:rPr>
            </w:pPr>
            <w:r>
              <w:rPr>
                <w:lang w:bidi="en-US"/>
              </w:rPr>
              <w:t xml:space="preserve">Agency </w:t>
            </w:r>
          </w:p>
        </w:tc>
        <w:tc>
          <w:tcPr>
            <w:tcW w:w="1801" w:type="dxa"/>
          </w:tcPr>
          <w:p w:rsidR="004E3F70" w:rsidP="00240B59" w:rsidRDefault="004E3F70" w14:paraId="78224951" w14:textId="2CD4673A">
            <w:pPr>
              <w:rPr>
                <w:lang w:bidi="en-US"/>
              </w:rPr>
            </w:pPr>
          </w:p>
        </w:tc>
        <w:tc>
          <w:tcPr>
            <w:tcW w:w="1608" w:type="dxa"/>
          </w:tcPr>
          <w:p w:rsidR="004E3F70" w:rsidP="00240B59" w:rsidRDefault="004E3F70" w14:paraId="56639239" w14:textId="6B88F442">
            <w:pPr>
              <w:rPr>
                <w:lang w:bidi="en-US"/>
              </w:rPr>
            </w:pPr>
          </w:p>
        </w:tc>
        <w:tc>
          <w:tcPr>
            <w:tcW w:w="1449" w:type="dxa"/>
          </w:tcPr>
          <w:p w:rsidR="004E3F70" w:rsidP="00240B59" w:rsidRDefault="00DE2F6C" w14:paraId="44ED80D4" w14:textId="0F08609A">
            <w:pPr>
              <w:rPr>
                <w:lang w:bidi="en-US"/>
              </w:rPr>
            </w:pPr>
            <w:r>
              <w:rPr>
                <w:lang w:bidi="en-US"/>
              </w:rPr>
              <w:t>8</w:t>
            </w:r>
          </w:p>
        </w:tc>
        <w:tc>
          <w:tcPr>
            <w:tcW w:w="1732" w:type="dxa"/>
          </w:tcPr>
          <w:p w:rsidR="004E3F70" w:rsidP="00240B59" w:rsidRDefault="004E3F70" w14:paraId="667422F9" w14:textId="4AEA0681">
            <w:pPr>
              <w:rPr>
                <w:lang w:bidi="en-US"/>
              </w:rPr>
            </w:pPr>
          </w:p>
        </w:tc>
        <w:tc>
          <w:tcPr>
            <w:tcW w:w="1018" w:type="dxa"/>
          </w:tcPr>
          <w:p w:rsidR="004E3F70" w:rsidP="00240B59" w:rsidRDefault="00DE2F6C" w14:paraId="2901607F" w14:textId="15316233">
            <w:pPr>
              <w:rPr>
                <w:lang w:bidi="en-US"/>
              </w:rPr>
            </w:pPr>
            <w:r>
              <w:rPr>
                <w:sz w:val="22"/>
              </w:rPr>
              <w:t>$691.65</w:t>
            </w:r>
          </w:p>
        </w:tc>
      </w:tr>
      <w:tr w:rsidR="004E3F70" w:rsidTr="004E3F70" w14:paraId="3DB68D6C" w14:textId="43B299A9">
        <w:tc>
          <w:tcPr>
            <w:tcW w:w="1747" w:type="dxa"/>
          </w:tcPr>
          <w:p w:rsidR="004E3F70" w:rsidP="00240B59" w:rsidRDefault="004E3F70" w14:paraId="04F6241B" w14:textId="4DB13E9C">
            <w:pPr>
              <w:rPr>
                <w:lang w:bidi="en-US"/>
              </w:rPr>
            </w:pPr>
            <w:r>
              <w:rPr>
                <w:lang w:bidi="en-US"/>
              </w:rPr>
              <w:t>Respondents</w:t>
            </w:r>
          </w:p>
        </w:tc>
        <w:tc>
          <w:tcPr>
            <w:tcW w:w="1801" w:type="dxa"/>
          </w:tcPr>
          <w:p w:rsidR="004E3F70" w:rsidP="00240B59" w:rsidRDefault="00F91A9B" w14:paraId="71D3C27F" w14:textId="4A823EBA">
            <w:pPr>
              <w:rPr>
                <w:lang w:bidi="en-US"/>
              </w:rPr>
            </w:pPr>
            <w:r w:rsidRPr="00F91A9B">
              <w:rPr>
                <w:lang w:bidi="en-US"/>
              </w:rPr>
              <w:t>1,348</w:t>
            </w:r>
          </w:p>
        </w:tc>
        <w:tc>
          <w:tcPr>
            <w:tcW w:w="1608" w:type="dxa"/>
          </w:tcPr>
          <w:p w:rsidR="004E3F70" w:rsidP="00240B59" w:rsidRDefault="00F91A9B" w14:paraId="63D98629" w14:textId="7E7867F0">
            <w:pPr>
              <w:rPr>
                <w:lang w:bidi="en-US"/>
              </w:rPr>
            </w:pPr>
            <w:r>
              <w:rPr>
                <w:lang w:bidi="en-US"/>
              </w:rPr>
              <w:t>0.4</w:t>
            </w:r>
            <w:r w:rsidR="00C42226">
              <w:rPr>
                <w:lang w:bidi="en-US"/>
              </w:rPr>
              <w:t>43</w:t>
            </w:r>
          </w:p>
        </w:tc>
        <w:tc>
          <w:tcPr>
            <w:tcW w:w="1449" w:type="dxa"/>
          </w:tcPr>
          <w:p w:rsidR="004E3F70" w:rsidP="00240B59" w:rsidRDefault="00F91A9B" w14:paraId="2AFCAED5" w14:textId="3459B1AF">
            <w:pPr>
              <w:rPr>
                <w:lang w:bidi="en-US"/>
              </w:rPr>
            </w:pPr>
            <w:r>
              <w:rPr>
                <w:lang w:bidi="en-US"/>
              </w:rPr>
              <w:t>5</w:t>
            </w:r>
            <w:r w:rsidR="00C42226">
              <w:rPr>
                <w:lang w:bidi="en-US"/>
              </w:rPr>
              <w:t>98</w:t>
            </w:r>
          </w:p>
        </w:tc>
        <w:tc>
          <w:tcPr>
            <w:tcW w:w="1732" w:type="dxa"/>
          </w:tcPr>
          <w:p w:rsidR="004E3F70" w:rsidP="00240B59" w:rsidRDefault="004E3F70" w14:paraId="3ACBF659" w14:textId="77777777">
            <w:pPr>
              <w:rPr>
                <w:lang w:bidi="en-US"/>
              </w:rPr>
            </w:pPr>
          </w:p>
        </w:tc>
        <w:tc>
          <w:tcPr>
            <w:tcW w:w="1018" w:type="dxa"/>
          </w:tcPr>
          <w:p w:rsidR="004E3F70" w:rsidP="00240B59" w:rsidRDefault="00F91A9B" w14:paraId="35BDC5FC" w14:textId="22AF188D">
            <w:pPr>
              <w:rPr>
                <w:lang w:bidi="en-US"/>
              </w:rPr>
            </w:pPr>
            <w:r>
              <w:rPr>
                <w:lang w:bidi="en-US"/>
              </w:rPr>
              <w:t>$</w:t>
            </w:r>
            <w:r w:rsidRPr="009B2255" w:rsidR="009B2255">
              <w:rPr>
                <w:lang w:bidi="en-US"/>
              </w:rPr>
              <w:t>27</w:t>
            </w:r>
            <w:r w:rsidR="00C42226">
              <w:rPr>
                <w:lang w:bidi="en-US"/>
              </w:rPr>
              <w:t>4,684</w:t>
            </w:r>
          </w:p>
        </w:tc>
      </w:tr>
      <w:bookmarkEnd w:id="4"/>
    </w:tbl>
    <w:p w:rsidR="00CF2CDF" w:rsidP="00E54CA8" w:rsidRDefault="00CF2CDF" w14:paraId="3ECDEACB" w14:textId="77777777"/>
    <w:p w:rsidRPr="00A640A9" w:rsidR="00B262D4" w:rsidP="002059F4" w:rsidRDefault="003041B0" w14:paraId="526A56DE" w14:textId="26ABA31A">
      <w:pPr>
        <w:pStyle w:val="Heading1"/>
      </w:pPr>
      <w:r w:rsidRPr="00A640A9">
        <w:t>Supporting Statement</w:t>
      </w:r>
    </w:p>
    <w:p w:rsidR="00897D7E" w:rsidP="002059F4" w:rsidRDefault="00B1352E" w14:paraId="163FE936" w14:textId="46DF8BCC">
      <w:pPr>
        <w:pStyle w:val="Heading2"/>
        <w:ind w:left="360"/>
      </w:pPr>
      <w:bookmarkStart w:name="_Toc49148160" w:id="5"/>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A647C" w:rsidP="008A647C" w:rsidRDefault="008A647C" w14:paraId="47EA4B10" w14:textId="3C6CA5A8">
      <w:pPr>
        <w:rPr>
          <w:lang w:bidi="en-US"/>
        </w:rPr>
      </w:pPr>
      <w:r>
        <w:rPr>
          <w:lang w:bidi="en-US"/>
        </w:rPr>
        <w:t xml:space="preserve">Persons subject to fees are required to make fee payments electronically using the Department of Treasury’s Pay.gov electronic collection payment services. Once the payment is made, Federal agencies may access the payment and associated information. </w:t>
      </w:r>
      <w:r w:rsidR="002E52BD">
        <w:rPr>
          <w:lang w:bidi="en-US"/>
        </w:rPr>
        <w:t xml:space="preserve">After TSCA fees are submitted to Pay.gov, </w:t>
      </w:r>
      <w:r w:rsidR="009932A2">
        <w:rPr>
          <w:lang w:bidi="en-US"/>
        </w:rPr>
        <w:t xml:space="preserve">payment information is submitted to EPA. </w:t>
      </w:r>
      <w:r>
        <w:rPr>
          <w:lang w:bidi="en-US"/>
        </w:rPr>
        <w:t xml:space="preserve">The </w:t>
      </w:r>
      <w:r w:rsidR="009932A2">
        <w:rPr>
          <w:lang w:bidi="en-US"/>
        </w:rPr>
        <w:t xml:space="preserve">payment </w:t>
      </w:r>
      <w:r>
        <w:rPr>
          <w:lang w:bidi="en-US"/>
        </w:rPr>
        <w:t>information includes company contact information,</w:t>
      </w:r>
      <w:r w:rsidR="00384358">
        <w:rPr>
          <w:lang w:bidi="en-US"/>
        </w:rPr>
        <w:t xml:space="preserve"> and</w:t>
      </w:r>
      <w:r w:rsidRPr="008A647C">
        <w:t xml:space="preserve"> </w:t>
      </w:r>
      <w:r>
        <w:t>i</w:t>
      </w:r>
      <w:r>
        <w:rPr>
          <w:lang w:bidi="en-US"/>
        </w:rPr>
        <w:t xml:space="preserve">nformation about the payment amount and method. </w:t>
      </w:r>
    </w:p>
    <w:p w:rsidR="008A647C" w:rsidP="008A647C" w:rsidRDefault="008A647C" w14:paraId="024E700B" w14:textId="0C725EE5">
      <w:pPr>
        <w:rPr>
          <w:lang w:bidi="en-US"/>
        </w:rPr>
      </w:pPr>
      <w:r>
        <w:rPr>
          <w:lang w:bidi="en-US"/>
        </w:rPr>
        <w:t>Certain manufactures (including importers) are also required to make a submission to EPA’s Central Data Exchange (CDX) and to inform EPA if they choose to associate as a consortium. Notification must be provided to EPA via the CDX when a consortium is formed.</w:t>
      </w:r>
      <w:r w:rsidR="00105A08">
        <w:rPr>
          <w:lang w:bidi="en-US"/>
        </w:rPr>
        <w:t xml:space="preserve"> </w:t>
      </w:r>
      <w:r w:rsidR="00CC4FFD">
        <w:rPr>
          <w:lang w:bidi="en-US"/>
        </w:rPr>
        <w:t>The n</w:t>
      </w:r>
      <w:r w:rsidR="00105A08">
        <w:rPr>
          <w:lang w:bidi="en-US"/>
        </w:rPr>
        <w:t xml:space="preserve">otification </w:t>
      </w:r>
      <w:r w:rsidR="00CC4FFD">
        <w:rPr>
          <w:lang w:bidi="en-US"/>
        </w:rPr>
        <w:t xml:space="preserve">should </w:t>
      </w:r>
      <w:r>
        <w:rPr>
          <w:lang w:bidi="en-US"/>
        </w:rPr>
        <w:t>include the name, address, telephone number and signature of the princip</w:t>
      </w:r>
      <w:r w:rsidR="00616D48">
        <w:rPr>
          <w:lang w:bidi="en-US"/>
        </w:rPr>
        <w:t>a</w:t>
      </w:r>
      <w:r>
        <w:rPr>
          <w:lang w:bidi="en-US"/>
        </w:rPr>
        <w:t>l sponsor and the names and contact information for each manufacturer</w:t>
      </w:r>
      <w:r w:rsidR="00AC3F7A">
        <w:rPr>
          <w:lang w:bidi="en-US"/>
        </w:rPr>
        <w:t xml:space="preserve"> (including importer)</w:t>
      </w:r>
      <w:r>
        <w:rPr>
          <w:lang w:bidi="en-US"/>
        </w:rPr>
        <w:t xml:space="preserve"> and/or processor associating with the consortium.  Under TSCA, a consortium is an association of manufacturers (including importers) and/or processors who have made an agreement to jointly split the cost of applicable fees. Manufacturers (including importers) and processors are also required to certify if they qualify as a small business and are subject to reduced fees.</w:t>
      </w:r>
    </w:p>
    <w:p w:rsidR="008A647C" w:rsidP="008A647C" w:rsidRDefault="008A647C" w14:paraId="0902F298" w14:textId="31824BF5">
      <w:pPr>
        <w:rPr>
          <w:lang w:bidi="en-US"/>
        </w:rPr>
      </w:pPr>
      <w:r>
        <w:rPr>
          <w:lang w:bidi="en-US"/>
        </w:rPr>
        <w:t>All manufacturers (and importers) who have manufactured or imported the chemical substance in the 5 years prior to TSCA section 4 Test Rules and TSCA section 6 EPA-initiated risk evaluations must submit notice to EPA electronically via CDX, the Agency’s electronic reporting portal, using the Chemical Information Submission System (CISS) reporting tool. Manufacture</w:t>
      </w:r>
      <w:r w:rsidR="00384358">
        <w:rPr>
          <w:lang w:bidi="en-US"/>
        </w:rPr>
        <w:t>r</w:t>
      </w:r>
      <w:r>
        <w:rPr>
          <w:lang w:bidi="en-US"/>
        </w:rPr>
        <w:t>s are required to provide the following information:</w:t>
      </w:r>
    </w:p>
    <w:p w:rsidR="008A647C" w:rsidP="00CC4B06" w:rsidRDefault="008A647C" w14:paraId="75F65DA5" w14:textId="4EBC8001">
      <w:pPr>
        <w:rPr>
          <w:lang w:bidi="en-US"/>
        </w:rPr>
      </w:pPr>
      <w:r>
        <w:rPr>
          <w:lang w:bidi="en-US"/>
        </w:rPr>
        <w:lastRenderedPageBreak/>
        <w:t>Contact Information. The name and address of the submitting company, the name and address of the authorized official for the submitting company, and the name and telephone number of a person who will serve as technical contact for the submitting company and will be able to answer questions about the information submitted by the company to EPA.</w:t>
      </w:r>
    </w:p>
    <w:p w:rsidR="008A647C" w:rsidP="00CC4B06" w:rsidRDefault="008A647C" w14:paraId="558BC474" w14:textId="0A88A907">
      <w:pPr>
        <w:rPr>
          <w:lang w:bidi="en-US"/>
        </w:rPr>
      </w:pPr>
      <w:r>
        <w:rPr>
          <w:lang w:bidi="en-US"/>
        </w:rPr>
        <w:t>Certification of Cessation. If a manufacturer has manufactured in the five-year period preceding publication of the preliminary list, but has ceased manufacturer prior to the certification cutoff dates identified and will not manufacture the substance again in the</w:t>
      </w:r>
      <w:r w:rsidRPr="008A647C">
        <w:t xml:space="preserve"> </w:t>
      </w:r>
      <w:r>
        <w:rPr>
          <w:lang w:bidi="en-US"/>
        </w:rPr>
        <w:t>successive five years, the manufacturer may submit a certification statement attesting to these facts. If EPA receives such a certification statement from a manufacturer, the manufacturer will not be obligated to pay the fee.</w:t>
      </w:r>
    </w:p>
    <w:p w:rsidRPr="008A647C" w:rsidR="008A647C" w:rsidP="001D4B7D" w:rsidRDefault="008A647C" w14:paraId="0F49D365" w14:textId="5688123E">
      <w:pPr>
        <w:rPr>
          <w:lang w:bidi="en-US"/>
        </w:rPr>
      </w:pPr>
      <w:r>
        <w:rPr>
          <w:lang w:bidi="en-US"/>
        </w:rPr>
        <w:t xml:space="preserve">Certification of No Manufacture. If a manufacturer is identified on the preliminary </w:t>
      </w:r>
      <w:proofErr w:type="gramStart"/>
      <w:r>
        <w:rPr>
          <w:lang w:bidi="en-US"/>
        </w:rPr>
        <w:t>list, but</w:t>
      </w:r>
      <w:proofErr w:type="gramEnd"/>
      <w:r>
        <w:rPr>
          <w:lang w:bidi="en-US"/>
        </w:rPr>
        <w:t xml:space="preserve"> has not manufactured the chemical in the five-year period preceding publication of the preliminary list, the manufacturer may submit a certification statement attesting to these facts. If EPA receives such a certification statement from a manufacturer, the manufacturer will not be obligated to pay the fee.  </w:t>
      </w:r>
    </w:p>
    <w:p w:rsidR="000D5E31" w:rsidP="002059F4" w:rsidRDefault="00B262D4" w14:paraId="36FA8BB3" w14:textId="04E75851">
      <w:pPr>
        <w:pStyle w:val="Heading2"/>
        <w:ind w:left="360"/>
      </w:pPr>
      <w:r w:rsidRPr="00E00E93">
        <w:t>Indicate how, by whom, and for what purpose the information is to be used.  Except for a new collection, indicate the actual use the Agency has made of the information received from the current collection</w:t>
      </w:r>
      <w:bookmarkEnd w:id="5"/>
      <w:r w:rsidR="008A647C">
        <w:t>.</w:t>
      </w:r>
    </w:p>
    <w:p w:rsidR="008A647C" w:rsidP="008A647C" w:rsidRDefault="008A647C" w14:paraId="5761C9CD" w14:textId="77777777">
      <w:pPr>
        <w:rPr>
          <w:lang w:bidi="en-US"/>
        </w:rPr>
      </w:pPr>
      <w:r>
        <w:rPr>
          <w:lang w:bidi="en-US"/>
        </w:rPr>
        <w:t xml:space="preserve">The information collection activities covered by this ICR are necessary to collect and process fees as required by TSCA section 26(b). The fees collected are designed to defray a portion of the costs of administering TSCA sections 4, 5, 6 and of collecting, processing, reviewing, and providing access to and protecting information about chemical substances from disclosure as appropriate under TSCA section 14. </w:t>
      </w:r>
    </w:p>
    <w:p w:rsidR="008A647C" w:rsidP="008A647C" w:rsidRDefault="008A647C" w14:paraId="3523BC71" w14:textId="0C81A8C3">
      <w:pPr>
        <w:rPr>
          <w:lang w:bidi="en-US"/>
        </w:rPr>
      </w:pPr>
      <w:r>
        <w:rPr>
          <w:lang w:bidi="en-US"/>
        </w:rPr>
        <w:t>When manufacture</w:t>
      </w:r>
      <w:r w:rsidR="007A3978">
        <w:rPr>
          <w:lang w:bidi="en-US"/>
        </w:rPr>
        <w:t>r</w:t>
      </w:r>
      <w:r>
        <w:rPr>
          <w:lang w:bidi="en-US"/>
        </w:rPr>
        <w:t xml:space="preserve">s (including importers) pay a fee, they must submit information that includes company contact information and payment information. The information will be used by the Agency to calculate the revenue generated by the TSCA fee programs and ensure that the required fees have been paid by each respondent. </w:t>
      </w:r>
    </w:p>
    <w:p w:rsidRPr="008A647C" w:rsidR="008A647C" w:rsidP="008A647C" w:rsidRDefault="008A647C" w14:paraId="03F775EB" w14:textId="6B852685">
      <w:pPr>
        <w:rPr>
          <w:lang w:bidi="en-US"/>
        </w:rPr>
      </w:pPr>
      <w:r>
        <w:rPr>
          <w:lang w:bidi="en-US"/>
        </w:rPr>
        <w:t>Manufacture</w:t>
      </w:r>
      <w:r w:rsidR="000568CA">
        <w:rPr>
          <w:lang w:bidi="en-US"/>
        </w:rPr>
        <w:t>r</w:t>
      </w:r>
      <w:r>
        <w:rPr>
          <w:lang w:bidi="en-US"/>
        </w:rPr>
        <w:t>s, importers and processors are required to inform EPA if they choose to associate as a consortium for submissions under TSCA sections 4 and 6. EPA will use this information to determine the fee assessed to the consortium based on a formula established in the regulation</w:t>
      </w:r>
      <w:r w:rsidR="00B50EAB">
        <w:rPr>
          <w:lang w:bidi="en-US"/>
        </w:rPr>
        <w:t xml:space="preserve"> (</w:t>
      </w:r>
      <w:r w:rsidR="00477CE8">
        <w:rPr>
          <w:lang w:bidi="en-US"/>
        </w:rPr>
        <w:t>EPA, 2018)</w:t>
      </w:r>
      <w:r>
        <w:rPr>
          <w:lang w:bidi="en-US"/>
        </w:rPr>
        <w:t>. Once the fee is assessed by the Agency, the consortium can determine how the fees will be split among its members. However, if the consortium is unable to come to terms on how the fees will be split among its members, EPA will determine the portion of the fee to be paid by each member.</w:t>
      </w:r>
    </w:p>
    <w:p w:rsidR="000D5E31" w:rsidP="002059F4" w:rsidRDefault="000D5E31" w14:paraId="44CE1C5B" w14:textId="65AF4836">
      <w:pPr>
        <w:pStyle w:val="Heading2"/>
        <w:ind w:left="360"/>
      </w:pPr>
      <w:r w:rsidRPr="00E00E93">
        <w:t xml:space="preserve">Describe whether, and to what extent, the collection of information involves the use of automated, electronic, mechanical, or other technological collection </w:t>
      </w:r>
      <w:r w:rsidRPr="00E00E93">
        <w:lastRenderedPageBreak/>
        <w:t>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Pr="008A647C" w:rsidR="008A647C" w:rsidP="008A647C" w:rsidRDefault="00835221" w14:paraId="10722287" w14:textId="676ABE7A">
      <w:pPr>
        <w:rPr>
          <w:lang w:bidi="en-US"/>
        </w:rPr>
      </w:pPr>
      <w:r w:rsidRPr="00835221">
        <w:rPr>
          <w:lang w:bidi="en-US"/>
        </w:rPr>
        <w:t>EPA will make use of existing technology to collect the information subject to this ICR. Fee payments will be made electronically via Pay.gov. The collection of the identifying number and payment identity number will be made through CDX, EPA’s portal for submitting information electronically.</w:t>
      </w:r>
    </w:p>
    <w:p w:rsidR="000D5E31" w:rsidP="002059F4" w:rsidRDefault="003041B0" w14:paraId="3222B018" w14:textId="27E93089">
      <w:pPr>
        <w:pStyle w:val="Heading2"/>
        <w:ind w:left="360"/>
      </w:pPr>
      <w:r w:rsidRPr="00E00E93">
        <w:t>D</w:t>
      </w:r>
      <w:r w:rsidRPr="00E00E93" w:rsidR="000D5E31">
        <w:t>escribe efforts to identify duplication.</w:t>
      </w:r>
      <w:r w:rsidRPr="00E00E93" w:rsidR="0093316B">
        <w:t xml:space="preserve"> Show specifically why any similar information already available cannot be used or modified for use for the purposes described in Item 2 above.</w:t>
      </w:r>
    </w:p>
    <w:p w:rsidRPr="008A647C" w:rsidR="008A647C" w:rsidP="008A647C" w:rsidRDefault="008A647C" w14:paraId="37F7B3F1" w14:textId="51161EFC">
      <w:pPr>
        <w:rPr>
          <w:lang w:bidi="en-US"/>
        </w:rPr>
      </w:pPr>
      <w:r w:rsidRPr="008A647C">
        <w:rPr>
          <w:lang w:bidi="en-US"/>
        </w:rPr>
        <w:t>EPA’s collection under this ICR does not duplicate any other collection. There is no other Federal program that require the information collection activities related to the fees collected under TSCA section 26(b).</w:t>
      </w:r>
    </w:p>
    <w:p w:rsidR="000D5E31" w:rsidP="002059F4" w:rsidRDefault="000D5E31" w14:paraId="318B9393" w14:textId="4F66FED2">
      <w:pPr>
        <w:pStyle w:val="Heading2"/>
        <w:ind w:left="360"/>
      </w:pPr>
      <w:r w:rsidRPr="00E00E93">
        <w:t>If the collection of information impacts small businesses or other small entities, describe the methods used to minimize burden.</w:t>
      </w:r>
    </w:p>
    <w:p w:rsidRPr="008A647C" w:rsidR="008A647C" w:rsidP="008A647C" w:rsidRDefault="00835221" w14:paraId="3D4A8B04" w14:textId="39593577">
      <w:pPr>
        <w:rPr>
          <w:lang w:bidi="en-US"/>
        </w:rPr>
      </w:pPr>
      <w:r w:rsidRPr="00835221">
        <w:rPr>
          <w:lang w:bidi="en-US"/>
        </w:rPr>
        <w:t>EPA believes that the regulatory requirements do not unduly burden small businesses. Although small businesses are required to submit the same information, they pay a reduced fee. EPA estimates that, of the 429 small businesses paying fees every year, all firms may have annual cost-revenue impacts of less than 1%.</w:t>
      </w:r>
    </w:p>
    <w:p w:rsidR="00897D7E" w:rsidP="002059F4" w:rsidRDefault="00BE461C" w14:paraId="5F088A3E" w14:textId="0094A9F0">
      <w:pPr>
        <w:pStyle w:val="Heading2"/>
        <w:ind w:left="360"/>
      </w:pPr>
      <w:r w:rsidRPr="00E00E93">
        <w:t>Describe the consequence to Federal program or policy activities if the collection is not conducted or is conducted less frequently, as well as any technical or legal obstacles to reducing burden.</w:t>
      </w:r>
    </w:p>
    <w:p w:rsidRPr="00835221" w:rsidR="00835221" w:rsidP="00835221" w:rsidRDefault="00835221" w14:paraId="6247FCC8" w14:textId="6E36FD95">
      <w:pPr>
        <w:rPr>
          <w:lang w:bidi="en-US"/>
        </w:rPr>
      </w:pPr>
      <w:r w:rsidRPr="00835221">
        <w:rPr>
          <w:lang w:bidi="en-US"/>
        </w:rPr>
        <w:t>Due to the nature of the triggering events that initiate information collection activities, less frequent collection is not feasible. There is no set collection schedule for the payment information associated with fee payments (e.g. payment method). CDX Submission and payment information is collected each time a fee payment is made via Pay.gov with the frequency of collection depending entirely on the frequency with which applicants submit information to EPA and that EPA initiates activities under TSCA sections 4, 5 and 6. Therefore, less frequent collection is not an option.</w:t>
      </w:r>
    </w:p>
    <w:p w:rsidRPr="00E00E93" w:rsidR="0093316B" w:rsidP="0093316B" w:rsidRDefault="009A7738" w14:paraId="6B8F0DD0" w14:textId="550824EB">
      <w:pPr>
        <w:pStyle w:val="Heading2"/>
        <w:ind w:left="360"/>
      </w:pPr>
      <w:r w:rsidRPr="00E00E93">
        <w:t>Explain any special circumstances that require the collection to be conducted in a manner</w:t>
      </w:r>
      <w:r w:rsidRPr="00E00E93" w:rsidR="0093316B">
        <w:t xml:space="preserve">: </w:t>
      </w:r>
    </w:p>
    <w:p w:rsidRPr="00E00E93" w:rsidR="0093316B" w:rsidP="0093316B" w:rsidRDefault="0093316B" w14:paraId="6A11E7D6" w14:textId="77777777">
      <w:pPr>
        <w:pStyle w:val="Heading3"/>
      </w:pPr>
      <w:r w:rsidRPr="00E00E93">
        <w:t xml:space="preserve">requiring respondents to report information to the agency more often than </w:t>
      </w:r>
      <w:proofErr w:type="gramStart"/>
      <w:r w:rsidRPr="00E00E93">
        <w:t>quarterly;</w:t>
      </w:r>
      <w:proofErr w:type="gramEnd"/>
      <w:r w:rsidRPr="00E00E93">
        <w:t xml:space="preserve"> </w:t>
      </w:r>
    </w:p>
    <w:p w:rsidRPr="00E00E93" w:rsidR="0093316B" w:rsidP="0093316B" w:rsidRDefault="0093316B" w14:paraId="4BF7DF92" w14:textId="77777777">
      <w:pPr>
        <w:pStyle w:val="Heading3"/>
      </w:pPr>
      <w:r w:rsidRPr="00E00E93">
        <w:t xml:space="preserve">requiring respondents to prepare a written response to a collection of information in fewer than 30 days after receipt of </w:t>
      </w:r>
      <w:proofErr w:type="gramStart"/>
      <w:r w:rsidRPr="00E00E93">
        <w:t>it;</w:t>
      </w:r>
      <w:proofErr w:type="gramEnd"/>
      <w:r w:rsidRPr="00E00E93">
        <w:t xml:space="preserve"> </w:t>
      </w:r>
    </w:p>
    <w:p w:rsidRPr="00E00E93" w:rsidR="0093316B" w:rsidP="0093316B" w:rsidRDefault="0093316B" w14:paraId="7F48D447" w14:textId="77777777">
      <w:pPr>
        <w:pStyle w:val="Heading3"/>
      </w:pPr>
      <w:r w:rsidRPr="00E00E93">
        <w:lastRenderedPageBreak/>
        <w:t xml:space="preserve">requiring respondents to submit more than an original and two copies of any </w:t>
      </w:r>
      <w:proofErr w:type="gramStart"/>
      <w:r w:rsidRPr="00E00E93">
        <w:t>document;</w:t>
      </w:r>
      <w:proofErr w:type="gramEnd"/>
      <w:r w:rsidRPr="00E00E93">
        <w:t xml:space="preserve"> </w:t>
      </w:r>
    </w:p>
    <w:p w:rsidRPr="00E00E93" w:rsidR="0093316B" w:rsidP="0093316B" w:rsidRDefault="0093316B" w14:paraId="2804ABBE" w14:textId="77777777">
      <w:pPr>
        <w:pStyle w:val="Heading3"/>
      </w:pPr>
      <w:r w:rsidRPr="00E00E93">
        <w:t xml:space="preserve">requiring respondents to retain records, other than health, medical, government contract, grant-in-aid, or tax records, for more than three </w:t>
      </w:r>
      <w:proofErr w:type="gramStart"/>
      <w:r w:rsidRPr="00E00E93">
        <w:t>years;</w:t>
      </w:r>
      <w:proofErr w:type="gramEnd"/>
      <w:r w:rsidRPr="00E00E93">
        <w:t xml:space="preserve"> </w:t>
      </w:r>
    </w:p>
    <w:p w:rsidRPr="00E00E93" w:rsidR="0093316B" w:rsidP="0093316B" w:rsidRDefault="0093316B" w14:paraId="563D6CEB" w14:textId="77777777">
      <w:pPr>
        <w:pStyle w:val="Heading3"/>
      </w:pPr>
      <w:r w:rsidRPr="00E00E93">
        <w:t xml:space="preserve">in connection with a statistical survey, that is not designed to produce valid and reliable results that can be generalized to the universe of </w:t>
      </w:r>
      <w:proofErr w:type="gramStart"/>
      <w:r w:rsidRPr="00E00E93">
        <w:t>study;</w:t>
      </w:r>
      <w:proofErr w:type="gramEnd"/>
    </w:p>
    <w:p w:rsidRPr="00E00E93" w:rsidR="0093316B" w:rsidP="0093316B" w:rsidRDefault="0093316B" w14:paraId="0D88457F" w14:textId="77777777">
      <w:pPr>
        <w:pStyle w:val="Heading3"/>
      </w:pPr>
      <w:r w:rsidRPr="00E00E93">
        <w:t xml:space="preserve">requiring the use of a statistical data classification that has not been reviewed and approved by </w:t>
      </w:r>
      <w:proofErr w:type="gramStart"/>
      <w:r w:rsidRPr="00E00E93">
        <w:t>OMB;</w:t>
      </w:r>
      <w:proofErr w:type="gramEnd"/>
      <w:r w:rsidRPr="00E00E93">
        <w:t xml:space="preserve"> </w:t>
      </w:r>
    </w:p>
    <w:p w:rsidRPr="00E00E93" w:rsidR="0093316B" w:rsidP="0093316B" w:rsidRDefault="0093316B"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P="0093316B" w:rsidRDefault="0093316B" w14:paraId="61CF6F88" w14:textId="27C04326">
      <w:pPr>
        <w:pStyle w:val="Heading3"/>
      </w:pPr>
      <w:r w:rsidRPr="00E00E93">
        <w:t xml:space="preserve">requiring respondents to submit proprietary trade secrets, or other confidential information unless the agency can demonstrate that it has instituted procedures to protect the information's confidentiality to the extent permitted by law.  </w:t>
      </w:r>
    </w:p>
    <w:p w:rsidR="00C1738F" w:rsidP="00C1738F" w:rsidRDefault="00C1738F" w14:paraId="1223FEBB" w14:textId="25066833">
      <w:pPr>
        <w:pStyle w:val="Heading2"/>
        <w:numPr>
          <w:ilvl w:val="0"/>
          <w:numId w:val="0"/>
        </w:numPr>
        <w:ind w:left="720" w:hanging="360"/>
        <w:rPr>
          <w:b w:val="0"/>
          <w:bCs w:val="0"/>
        </w:rPr>
      </w:pPr>
      <w:r w:rsidRPr="00C1738F">
        <w:rPr>
          <w:b w:val="0"/>
          <w:bCs w:val="0"/>
        </w:rPr>
        <w:t>Not applicable</w:t>
      </w:r>
      <w:r w:rsidR="005E2FB4">
        <w:rPr>
          <w:b w:val="0"/>
          <w:bCs w:val="0"/>
        </w:rPr>
        <w:t>.</w:t>
      </w:r>
    </w:p>
    <w:p w:rsidR="00E00E93" w:rsidP="002059F4" w:rsidRDefault="009A7738" w14:paraId="0102AF12" w14:textId="2DD65267">
      <w:pPr>
        <w:pStyle w:val="Heading2"/>
        <w:ind w:left="360"/>
      </w:pPr>
      <w:r w:rsidRPr="003041B0">
        <w:t xml:space="preserve">If applicable, provide a copy and identify the date and page number of </w:t>
      </w:r>
      <w:proofErr w:type="gramStart"/>
      <w:r w:rsidRPr="003041B0">
        <w:t>publication</w:t>
      </w:r>
      <w:proofErr w:type="gramEnd"/>
      <w:r w:rsidRPr="003041B0">
        <w:t xml:space="preserve">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E00E93" w:rsidRDefault="009A7738" w14:paraId="4DF9935E" w14:textId="04B2BCAD">
      <w:pPr>
        <w:pStyle w:val="Heading2"/>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collection, the clarity of instructions and recordkeeping, disclosure, or reporting format (if any), and on the data elements to be recorded, disclosed, or report</w:t>
      </w:r>
      <w:r w:rsidR="00E00E93">
        <w:t>ed</w:t>
      </w:r>
      <w:r w:rsidRPr="003041B0">
        <w:t>.</w:t>
      </w:r>
    </w:p>
    <w:p w:rsidR="00E00E93" w:rsidP="00E00E93" w:rsidRDefault="00E00E93" w14:paraId="57FCDACA" w14:textId="679C691D">
      <w:pPr>
        <w:pStyle w:val="Heading2"/>
        <w:numPr>
          <w:ilvl w:val="0"/>
          <w:numId w:val="0"/>
        </w:numPr>
        <w:ind w:left="360"/>
      </w:pPr>
      <w:r w:rsidRPr="00A20E41">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B7D18" w:rsidP="00BB7D18" w:rsidRDefault="00780BA8" w14:paraId="1BBD96F9" w14:textId="17D6FA94">
      <w:pPr>
        <w:pStyle w:val="NoSpacing"/>
        <w:rPr>
          <w:rFonts w:ascii="Arial" w:hAnsi="Arial" w:cs="Arial"/>
          <w:sz w:val="24"/>
          <w:szCs w:val="24"/>
        </w:rPr>
      </w:pPr>
      <w:r>
        <w:rPr>
          <w:rFonts w:ascii="Arial" w:hAnsi="Arial" w:cs="Arial"/>
          <w:sz w:val="24"/>
          <w:szCs w:val="24"/>
        </w:rPr>
        <w:t>U</w:t>
      </w:r>
      <w:r w:rsidRPr="00536C79" w:rsidR="00BB7D18">
        <w:rPr>
          <w:rFonts w:ascii="Arial" w:hAnsi="Arial" w:cs="Arial"/>
          <w:sz w:val="24"/>
          <w:szCs w:val="24"/>
        </w:rPr>
        <w:t>nder 5 CFR 1320.8(d)(1), OMB requires agencies to consult with potential ICR respondents and data users about specific aspects of ICRs before submitting an ICR to OMB for review and approval</w:t>
      </w:r>
      <w:r w:rsidR="00BB7D18">
        <w:rPr>
          <w:rFonts w:ascii="Arial" w:hAnsi="Arial" w:cs="Arial"/>
          <w:sz w:val="24"/>
          <w:szCs w:val="24"/>
        </w:rPr>
        <w:t xml:space="preserve"> (</w:t>
      </w:r>
      <w:r w:rsidR="00B614F9">
        <w:rPr>
          <w:rFonts w:ascii="Arial" w:hAnsi="Arial" w:cs="Arial"/>
          <w:sz w:val="24"/>
          <w:szCs w:val="24"/>
        </w:rPr>
        <w:t>86</w:t>
      </w:r>
      <w:r w:rsidR="00BB7D18">
        <w:rPr>
          <w:rFonts w:ascii="Arial" w:hAnsi="Arial" w:cs="Arial"/>
          <w:sz w:val="24"/>
          <w:szCs w:val="24"/>
        </w:rPr>
        <w:t xml:space="preserve"> FR </w:t>
      </w:r>
      <w:r w:rsidR="00B614F9">
        <w:rPr>
          <w:rFonts w:ascii="Arial" w:hAnsi="Arial" w:cs="Arial"/>
          <w:sz w:val="24"/>
          <w:szCs w:val="24"/>
        </w:rPr>
        <w:t>14904</w:t>
      </w:r>
      <w:r w:rsidR="00BB7D18">
        <w:rPr>
          <w:rFonts w:ascii="Arial" w:hAnsi="Arial" w:cs="Arial"/>
          <w:sz w:val="24"/>
          <w:szCs w:val="24"/>
        </w:rPr>
        <w:t>)</w:t>
      </w:r>
      <w:r w:rsidRPr="00536C79" w:rsidR="00BB7D18">
        <w:rPr>
          <w:rFonts w:ascii="Arial" w:hAnsi="Arial" w:cs="Arial"/>
          <w:sz w:val="24"/>
          <w:szCs w:val="24"/>
        </w:rPr>
        <w:t xml:space="preserve">. In accordance with this regulation, EPA submitted questions to several interested parties via e-mail </w:t>
      </w:r>
      <w:r w:rsidRPr="00536C79" w:rsidR="00BB7D18">
        <w:rPr>
          <w:rFonts w:ascii="Arial" w:hAnsi="Arial" w:cs="Arial"/>
          <w:b/>
          <w:bCs/>
          <w:sz w:val="24"/>
          <w:szCs w:val="24"/>
        </w:rPr>
        <w:t xml:space="preserve">Attachment </w:t>
      </w:r>
      <w:r w:rsidR="005524CB">
        <w:rPr>
          <w:rFonts w:ascii="Arial" w:hAnsi="Arial" w:cs="Arial"/>
          <w:b/>
          <w:bCs/>
          <w:sz w:val="24"/>
          <w:szCs w:val="24"/>
        </w:rPr>
        <w:t>1</w:t>
      </w:r>
      <w:r w:rsidRPr="00536C79" w:rsidR="00BB7D18">
        <w:rPr>
          <w:rFonts w:ascii="Arial" w:hAnsi="Arial" w:cs="Arial"/>
          <w:sz w:val="24"/>
          <w:szCs w:val="24"/>
        </w:rPr>
        <w:t xml:space="preserve">. The individual entities contacted were: </w:t>
      </w:r>
    </w:p>
    <w:p w:rsidRPr="00F176CC" w:rsidR="00BB7D18" w:rsidP="00BB7D18" w:rsidRDefault="00BB7D18" w14:paraId="53558022" w14:textId="77777777">
      <w:pPr>
        <w:pStyle w:val="NoSpacing"/>
        <w:rPr>
          <w:rFonts w:ascii="Arial" w:hAnsi="Arial" w:cs="Arial"/>
          <w:sz w:val="24"/>
          <w:szCs w:val="24"/>
        </w:rPr>
      </w:pPr>
    </w:p>
    <w:p w:rsidRPr="00B11683" w:rsidR="00BB7D18" w:rsidP="00BB7D18" w:rsidRDefault="005524CB" w14:paraId="1221829A" w14:textId="2D57CBAB">
      <w:pPr>
        <w:pStyle w:val="ListParagraph"/>
        <w:numPr>
          <w:ilvl w:val="0"/>
          <w:numId w:val="21"/>
        </w:numPr>
        <w:spacing w:after="160" w:line="259" w:lineRule="auto"/>
      </w:pPr>
      <w:proofErr w:type="spellStart"/>
      <w:r>
        <w:t>Tedia</w:t>
      </w:r>
      <w:proofErr w:type="spellEnd"/>
    </w:p>
    <w:p w:rsidRPr="00B11683" w:rsidR="00BB7D18" w:rsidP="00BB7D18" w:rsidRDefault="005524CB" w14:paraId="2A9C1727" w14:textId="0DF1E6EA">
      <w:pPr>
        <w:pStyle w:val="ListParagraph"/>
        <w:numPr>
          <w:ilvl w:val="0"/>
          <w:numId w:val="21"/>
        </w:numPr>
        <w:spacing w:after="160" w:line="259" w:lineRule="auto"/>
      </w:pPr>
      <w:r>
        <w:t>Buckman Laboratories Inc</w:t>
      </w:r>
    </w:p>
    <w:p w:rsidRPr="00B11683" w:rsidR="00BB7D18" w:rsidP="00BB7D18" w:rsidRDefault="005524CB" w14:paraId="0EB65AF7" w14:textId="14344DEA">
      <w:pPr>
        <w:pStyle w:val="ListParagraph"/>
        <w:numPr>
          <w:ilvl w:val="0"/>
          <w:numId w:val="21"/>
        </w:numPr>
        <w:spacing w:after="160" w:line="259" w:lineRule="auto"/>
      </w:pPr>
      <w:r>
        <w:t>Univar Solutions</w:t>
      </w:r>
    </w:p>
    <w:p w:rsidR="00936C50" w:rsidP="00936C50" w:rsidRDefault="00BB7D18" w14:paraId="76796D8D" w14:textId="2CBAE320">
      <w:r w:rsidRPr="00B11683">
        <w:t xml:space="preserve">A copy of EPA’s consultation to the above potential respondents are in </w:t>
      </w:r>
      <w:r w:rsidRPr="00B11683">
        <w:rPr>
          <w:b/>
          <w:bCs/>
        </w:rPr>
        <w:t xml:space="preserve">Attachment </w:t>
      </w:r>
      <w:r w:rsidR="009F6C9F">
        <w:rPr>
          <w:b/>
          <w:bCs/>
        </w:rPr>
        <w:t>3</w:t>
      </w:r>
      <w:r w:rsidRPr="00B11683">
        <w:t xml:space="preserve"> and are available in the docket.</w:t>
      </w:r>
      <w:r w:rsidR="005524CB">
        <w:t xml:space="preserve"> EPA did not receive any </w:t>
      </w:r>
      <w:r w:rsidR="009F6C9F">
        <w:t xml:space="preserve">responses </w:t>
      </w:r>
      <w:r w:rsidR="005524CB">
        <w:t>on its solicitations for consultations.</w:t>
      </w:r>
      <w:r w:rsidRPr="00B11683">
        <w:t xml:space="preserve"> </w:t>
      </w:r>
    </w:p>
    <w:p w:rsidR="009F6C9F" w:rsidP="00587755" w:rsidRDefault="00A909C2" w14:paraId="58AF5706" w14:textId="0A8A70E5">
      <w:r>
        <w:t>EPA received two public comments</w:t>
      </w:r>
      <w:r w:rsidR="00674986">
        <w:t xml:space="preserve">. </w:t>
      </w:r>
      <w:r w:rsidR="0006246D">
        <w:t>O</w:t>
      </w:r>
      <w:r w:rsidR="009F6F05">
        <w:t xml:space="preserve">ne comment </w:t>
      </w:r>
      <w:r w:rsidR="0006246D">
        <w:t>was from</w:t>
      </w:r>
      <w:r w:rsidR="009F6F05">
        <w:t xml:space="preserve"> the Environmental Defense Fund (EDF) asserting that </w:t>
      </w:r>
      <w:r w:rsidR="00731F00">
        <w:t>EPA is misreading</w:t>
      </w:r>
      <w:r w:rsidR="009F6F05">
        <w:t xml:space="preserve"> TSCA</w:t>
      </w:r>
      <w:r w:rsidR="0006246D">
        <w:t xml:space="preserve"> as it relates to fees</w:t>
      </w:r>
      <w:r w:rsidR="009F6F05">
        <w:t>. EPA believes</w:t>
      </w:r>
      <w:r w:rsidR="00731F00">
        <w:t xml:space="preserve"> the comment</w:t>
      </w:r>
      <w:r w:rsidR="009F6F05">
        <w:t xml:space="preserve"> </w:t>
      </w:r>
      <w:r w:rsidRPr="00C42226" w:rsidR="00C42226">
        <w:t xml:space="preserve">is not within the scope of this ICR renewal and </w:t>
      </w:r>
      <w:r w:rsidR="009F6F05">
        <w:t>will not address it under this ICR. EDF has submitted a similar comment on the proposed 2021 Fee Rule, where EPA will addres</w:t>
      </w:r>
      <w:r w:rsidR="00AB2441">
        <w:t xml:space="preserve">s </w:t>
      </w:r>
      <w:r w:rsidR="009F6F05">
        <w:t>the comment.</w:t>
      </w:r>
    </w:p>
    <w:p w:rsidR="00A909C2" w:rsidP="00936C50" w:rsidRDefault="00A71DB9" w14:paraId="33F8E6FA" w14:textId="0812C7E4">
      <w:r>
        <w:t>T</w:t>
      </w:r>
      <w:r w:rsidR="00FC5090">
        <w:t xml:space="preserve">he Alliance for Automotive Innovation (Auto Innovators) </w:t>
      </w:r>
      <w:r>
        <w:t xml:space="preserve">submitted an extensive comment claiming </w:t>
      </w:r>
      <w:r w:rsidRPr="00A71DB9">
        <w:t>that EPA has significantly underestimated the burden imposed by this rule</w:t>
      </w:r>
      <w:r w:rsidR="00C42226">
        <w:t>, specifically related to TSCA section 6 activities</w:t>
      </w:r>
      <w:r w:rsidR="00E067D5">
        <w:t xml:space="preserve">. EPA’s </w:t>
      </w:r>
      <w:r w:rsidR="00E162FB">
        <w:t>detailed response to the Auto Innovators comment</w:t>
      </w:r>
      <w:r w:rsidR="00E067D5">
        <w:t xml:space="preserve"> is</w:t>
      </w:r>
      <w:r w:rsidR="00E162FB">
        <w:t xml:space="preserve"> in Attachment 4 and available in the docket.</w:t>
      </w:r>
    </w:p>
    <w:p w:rsidRPr="00936C50" w:rsidR="00A909C2" w:rsidP="00936C50" w:rsidRDefault="00A909C2" w14:paraId="41B804B6" w14:textId="77777777"/>
    <w:p w:rsidR="009A7738" w:rsidP="002059F4" w:rsidRDefault="009A7738" w14:paraId="68CD10BA" w14:textId="5B8D5273">
      <w:pPr>
        <w:pStyle w:val="Heading2"/>
        <w:ind w:left="360"/>
      </w:pPr>
      <w:r>
        <w:t>Explain any decision to provide any payment or gift to respondents, other than remuneration of contractors or grantees.</w:t>
      </w:r>
    </w:p>
    <w:p w:rsidRPr="00540081" w:rsidR="00540081" w:rsidP="00540081" w:rsidRDefault="00540081" w14:paraId="57A0DC8B" w14:textId="3EB291AB">
      <w:pPr>
        <w:rPr>
          <w:lang w:bidi="en-US"/>
        </w:rPr>
      </w:pPr>
      <w:r>
        <w:rPr>
          <w:lang w:bidi="en-US"/>
        </w:rPr>
        <w:t xml:space="preserve">Not applicable. </w:t>
      </w:r>
    </w:p>
    <w:p w:rsidR="009A7738" w:rsidP="002059F4" w:rsidRDefault="009A7738" w14:paraId="1E0798B2" w14:textId="006877C4">
      <w:pPr>
        <w:pStyle w:val="Heading2"/>
        <w:ind w:left="360"/>
      </w:pPr>
      <w:r w:rsidRPr="003041B0">
        <w:t>Describe any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Pr="00835221" w:rsidR="00835221" w:rsidP="00835221" w:rsidRDefault="00835221" w14:paraId="42C75685" w14:textId="47FB9467">
      <w:pPr>
        <w:rPr>
          <w:lang w:bidi="en-US"/>
        </w:rPr>
      </w:pPr>
      <w:r w:rsidRPr="00835221">
        <w:rPr>
          <w:lang w:bidi="en-US"/>
        </w:rPr>
        <w:t>Since the information collected under this ICR involves only information related to payments, EPA does not believe that respondents will submit any confidential information collected under this ICR. However, to the extent information submitted by respondents is business confidential, procedures are in place to protect the information from improper disclosure consistent with section 14 of TSCA.</w:t>
      </w:r>
    </w:p>
    <w:p w:rsidR="00575DC0" w:rsidP="002059F4" w:rsidRDefault="009A7738" w14:paraId="675D5854" w14:textId="689C5BE2">
      <w:pPr>
        <w:pStyle w:val="Heading2"/>
        <w:ind w:left="360"/>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35221" w:rsidR="00835221" w:rsidP="00835221" w:rsidRDefault="00835221" w14:paraId="517DE3CA" w14:textId="43A2DF9C">
      <w:pPr>
        <w:rPr>
          <w:lang w:bidi="en-US"/>
        </w:rPr>
      </w:pPr>
      <w:r>
        <w:rPr>
          <w:lang w:bidi="en-US"/>
        </w:rPr>
        <w:lastRenderedPageBreak/>
        <w:t xml:space="preserve">The information collection activities do not include questions of a sensitive nature. </w:t>
      </w:r>
    </w:p>
    <w:p w:rsidR="00E00E93" w:rsidP="00E00E93" w:rsidRDefault="00294EAC" w14:paraId="29AD7DEB" w14:textId="77777777">
      <w:pPr>
        <w:pStyle w:val="Heading2"/>
        <w:ind w:left="360"/>
      </w:pPr>
      <w:r w:rsidRPr="00C42EF5">
        <w:t>Provide estimates of the hour burden of the collection of information.</w:t>
      </w:r>
      <w:r w:rsidR="00E00E93">
        <w:t xml:space="preserve"> The statement should: </w:t>
      </w:r>
    </w:p>
    <w:p w:rsidR="00E00E93" w:rsidP="007878C2" w:rsidRDefault="00E00E93" w14:paraId="7FC47722" w14:textId="77777777">
      <w:pPr>
        <w:pStyle w:val="Heading3"/>
        <w:numPr>
          <w:ilvl w:val="0"/>
          <w:numId w:val="6"/>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rsidRDefault="00E00E93" w14:paraId="2F1B6098" w14:textId="77777777">
      <w:pPr>
        <w:pStyle w:val="Heading3"/>
      </w:pPr>
      <w:r>
        <w:t xml:space="preserve">If this request for approval covers more than one form, provide separate hour burden estimates for each </w:t>
      </w:r>
      <w:proofErr w:type="gramStart"/>
      <w:r>
        <w:t>form</w:t>
      </w:r>
      <w:proofErr w:type="gramEnd"/>
      <w:r>
        <w:t xml:space="preserve"> and aggregate the hour burdens. </w:t>
      </w:r>
    </w:p>
    <w:p w:rsidR="00294EAC" w:rsidP="00E00E93" w:rsidRDefault="00E00E93" w14:paraId="2E905BB2" w14:textId="6E0DE755">
      <w:pPr>
        <w:pStyle w:val="Heading3"/>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E54CA8" w:rsidP="00ED1F0D" w:rsidRDefault="00835221" w14:paraId="699DAA8A" w14:textId="72C3603A">
      <w:pPr>
        <w:pStyle w:val="BodyText"/>
        <w:ind w:right="289"/>
      </w:pPr>
      <w:r w:rsidRPr="00835221">
        <w:t xml:space="preserve">The collection specifies fee payment requirements that apply to manufacturers (including importers) who are required to submit information under TSCA section 4, who submit certain notices and exemption requests to EPA under TSCA section 5, who manufacture a chemical substance that is subject to a risk evaluation under TSCA section 6(b)(4), and who process a chemical substance that is the subject of a Significant New Use Notice (SNUN) or Test Market Exemption (TME) under TSCA section 5 and who are required to submit information under TSCA section 4 related to a SNUN submission. The following list of NAICS codes is not </w:t>
      </w:r>
      <w:r>
        <w:t>i</w:t>
      </w:r>
      <w:r w:rsidRPr="00835221">
        <w:t>ntended to be exhaustive, but rather provides a guide to help readers determine whether this document applies to them. Potentially affected entities may include companies found in major NAICS code groups:</w:t>
      </w:r>
    </w:p>
    <w:p w:rsidR="00835221" w:rsidP="00ED1F0D" w:rsidRDefault="00835221" w14:paraId="33EC798D" w14:textId="7C19C91F">
      <w:pPr>
        <w:pStyle w:val="BodyText"/>
        <w:ind w:right="289"/>
      </w:pPr>
      <w:r>
        <w:tab/>
        <w:t>324 Petrole</w:t>
      </w:r>
      <w:r w:rsidR="003B442D">
        <w:t>u</w:t>
      </w:r>
      <w:r>
        <w:t xml:space="preserve">m and Coal </w:t>
      </w:r>
    </w:p>
    <w:p w:rsidR="00835221" w:rsidP="00835221" w:rsidRDefault="00835221" w14:paraId="30B924DD" w14:textId="58E52935">
      <w:pPr>
        <w:pStyle w:val="BodyText"/>
        <w:ind w:right="289" w:firstLine="720"/>
      </w:pPr>
      <w:r>
        <w:t xml:space="preserve">325 Chemical Manufacturing </w:t>
      </w:r>
    </w:p>
    <w:p w:rsidR="00835221" w:rsidP="00835221" w:rsidRDefault="00835221" w14:paraId="6A6AC1A0" w14:textId="2A0C8263">
      <w:pPr>
        <w:pStyle w:val="BodyText"/>
        <w:ind w:right="289" w:firstLine="720"/>
      </w:pPr>
      <w:r>
        <w:t xml:space="preserve">424 Chemical, Petroleum and Merchant Wholesalers </w:t>
      </w:r>
    </w:p>
    <w:p w:rsidR="00835221" w:rsidP="00835221" w:rsidRDefault="00835221" w14:paraId="0E5E39FD" w14:textId="6EA8C07B">
      <w:pPr>
        <w:pStyle w:val="BodyText"/>
        <w:ind w:right="289"/>
      </w:pPr>
      <w:r>
        <w:t xml:space="preserve">Each firm subject to a fee is required to pay the fee via Pay.gov. Firms also need to determine if they qualify as an eligible small business for reduced fees and indicate if they plan to be or are already part of a consortium. Reduced fees apply to small business with a number of employees below the thresholds list in section §700.43 “Definitions applicable to this subpart” fewer than 500 employees if the firm is not in an industry sector that appears in the table. </w:t>
      </w:r>
    </w:p>
    <w:p w:rsidR="00835221" w:rsidP="00835221" w:rsidRDefault="00835221" w14:paraId="4FE36485" w14:textId="77777777">
      <w:pPr>
        <w:pStyle w:val="BodyText"/>
        <w:ind w:right="289"/>
      </w:pPr>
      <w:r>
        <w:t xml:space="preserve">Firms subject to fees under TSCA section 4 and fees for Risk Evaluations under TSCA section 6 may form a consortium for paying the specified fees and are required </w:t>
      </w:r>
      <w:r>
        <w:lastRenderedPageBreak/>
        <w:t>to notify EPA through a principal sponsor that the consortium was formed, detailing the members of the consortium and their contact information. This notification must be submitted to EPA electronically via CDX.</w:t>
      </w:r>
    </w:p>
    <w:p w:rsidR="00835221" w:rsidP="00835221" w:rsidRDefault="00835221" w14:paraId="61941257" w14:textId="77777777">
      <w:pPr>
        <w:pStyle w:val="BodyText"/>
        <w:ind w:right="289"/>
      </w:pPr>
      <w:r>
        <w:t>Firms subject to Test Rules under TSCA section 4 and EPA-initiated Risk Evaluations under TSCA section 6 also need to review a preliminary list published by EPA of companies to which the action applies so that they can determine whether their company is listed and certify via CDX accordingly.</w:t>
      </w:r>
    </w:p>
    <w:p w:rsidRPr="001D4B7D" w:rsidR="00835221" w:rsidP="00835221" w:rsidRDefault="00835221" w14:paraId="08906D26" w14:textId="6BCA42B5">
      <w:pPr>
        <w:pStyle w:val="BodyText"/>
        <w:ind w:right="289"/>
        <w:rPr>
          <w:b/>
          <w:bCs/>
        </w:rPr>
      </w:pPr>
      <w:r w:rsidRPr="0098521B">
        <w:rPr>
          <w:b/>
          <w:bCs/>
        </w:rPr>
        <w:t>Number of Entities Affected</w:t>
      </w:r>
    </w:p>
    <w:p w:rsidR="00835221" w:rsidP="00835221" w:rsidRDefault="00835221" w14:paraId="03E0DE70" w14:textId="2CC8B120">
      <w:pPr>
        <w:pStyle w:val="BodyText"/>
        <w:ind w:right="289"/>
      </w:pPr>
      <w:r>
        <w:t xml:space="preserve">EPA relied on past experience with 20 Test Cost actions under TSCA section 4, submitter data for new chemical notices under TSCA section 5, and work to date on the 20 high priority </w:t>
      </w:r>
      <w:r w:rsidR="00116672">
        <w:t>substance</w:t>
      </w:r>
      <w:r>
        <w:t>s currently undergoing Risk Evaluation under TSCA section 6 to inform its estimates of average number of firms impacted per action. Each TSCA section 4 action is expected to</w:t>
      </w:r>
      <w:r w:rsidRPr="00835221">
        <w:t xml:space="preserve"> </w:t>
      </w:r>
      <w:r>
        <w:t xml:space="preserve">cover an average of one chemical </w:t>
      </w:r>
      <w:r w:rsidR="000C2C42">
        <w:t xml:space="preserve">substance </w:t>
      </w:r>
      <w:r>
        <w:t>and an average of 15 manufacturers per chemical</w:t>
      </w:r>
      <w:r w:rsidR="000C2C42">
        <w:t xml:space="preserve"> substance</w:t>
      </w:r>
      <w:r>
        <w:t>, resulting in an estimate of 15 firms impacted per TSCA section 4 action. TSCA section 5 actions are expected to impact one firm per action. Risk Evaluations initiated by EPA under TSCA section 6 are expected to impact an average of one chemical</w:t>
      </w:r>
      <w:r w:rsidR="000C2C42">
        <w:t xml:space="preserve"> substance</w:t>
      </w:r>
      <w:r>
        <w:t xml:space="preserve"> and 15 manufacturers per Risk Evaluation. Manufacturer requests for Risk Evaluations submitted to EPA are difficult to predict, but EPA expects that a single manufacturer will submit each request.</w:t>
      </w:r>
    </w:p>
    <w:p w:rsidR="00835221" w:rsidP="00835221" w:rsidRDefault="00835221" w14:paraId="36F0AF7E" w14:textId="77777777">
      <w:pPr>
        <w:pStyle w:val="BodyText"/>
        <w:ind w:right="289"/>
      </w:pPr>
      <w:r>
        <w:t>The total number of firms affected per year is the product of the number of firms affected per action and the estimated number of actions per year. EPA estimates the number of TSCA section 4 actions based on previous experience and expected work under the Frank R. Lautenberg Chemical Safety for the 21</w:t>
      </w:r>
      <w:r w:rsidRPr="00D823B3">
        <w:t>st</w:t>
      </w:r>
      <w:r>
        <w:t xml:space="preserve"> Century Act of 2016, for a total of 13 actions per year.</w:t>
      </w:r>
      <w:r>
        <w:rPr>
          <w:rStyle w:val="FootnoteReference"/>
        </w:rPr>
        <w:footnoteReference w:id="2"/>
      </w:r>
      <w:r>
        <w:t xml:space="preserve"> TSCA section 5 actions are estimated to total 1,003 submissions per year, and this estimate is based on the average number of section 5 notice submissions and exemption requests received by EPA in 2018, 2019, and 2020. The Agency expects to have between 20 and 30 Risk Evaluations ongoing in any given year at different stages in the review process, including manufacturer-requested evaluations, for an average of 10 Risk Evaluations initiated per year. Combined with the number of firms affected per action, the total number of firms impacted per year is 1,348 </w:t>
      </w:r>
      <w:proofErr w:type="gramStart"/>
      <w:r>
        <w:t>firms;</w:t>
      </w:r>
      <w:proofErr w:type="gramEnd"/>
      <w:r>
        <w:t xml:space="preserve"> 195 firms from TSCA section 4 actions, 1,003 firms from TSCA section 5 actions, and 150 firms from TSCA section 6 actions.</w:t>
      </w:r>
    </w:p>
    <w:p w:rsidRPr="001D4B7D" w:rsidR="00835221" w:rsidP="00835221" w:rsidRDefault="00835221" w14:paraId="4A8947B8" w14:textId="68FEB3E9">
      <w:pPr>
        <w:pStyle w:val="BodyText"/>
        <w:ind w:right="289"/>
        <w:rPr>
          <w:b/>
          <w:bCs/>
        </w:rPr>
      </w:pPr>
      <w:r w:rsidRPr="0098521B">
        <w:rPr>
          <w:b/>
          <w:bCs/>
        </w:rPr>
        <w:t>Rule Familiarization</w:t>
      </w:r>
    </w:p>
    <w:p w:rsidR="00835221" w:rsidP="00835221" w:rsidRDefault="00835221" w14:paraId="0F913A9C" w14:textId="7C11925C">
      <w:pPr>
        <w:pStyle w:val="BodyText"/>
        <w:ind w:right="289"/>
      </w:pPr>
      <w:r>
        <w:t xml:space="preserve">EPA assumes that each firm subject to a fee will spend 0.5 hours becoming familiar with the requirements and developing an understanding of what actions are necessary to comply with the fee payment requirements. This is estimated as a one-time burden. The burden is estimated to occur the first time a firm is affected by the requirements. For analytical purposes, EPA assumes that no firm will be subject to any of the fee-triggering actions under TSCA sections 4, 5, or 6 more than once over </w:t>
      </w:r>
      <w:r>
        <w:lastRenderedPageBreak/>
        <w:t xml:space="preserve">the three-year period of this ICR. Therefore, the average burden per respondent for each of the three years of analysis is calculated as </w:t>
      </w:r>
      <w:r w:rsidR="001D7276">
        <w:t>1</w:t>
      </w:r>
      <w:r>
        <w:t>/3 = 0.</w:t>
      </w:r>
      <w:r w:rsidR="001D7276">
        <w:t>333</w:t>
      </w:r>
      <w:r>
        <w:t xml:space="preserve"> hours/year.</w:t>
      </w:r>
    </w:p>
    <w:p w:rsidRPr="001D4B7D" w:rsidR="00835221" w:rsidP="00835221" w:rsidRDefault="00835221" w14:paraId="51822134" w14:textId="77777777">
      <w:pPr>
        <w:pStyle w:val="BodyText"/>
        <w:ind w:right="289"/>
        <w:rPr>
          <w:b/>
          <w:bCs/>
        </w:rPr>
      </w:pPr>
      <w:r w:rsidRPr="0098521B">
        <w:rPr>
          <w:b/>
          <w:bCs/>
        </w:rPr>
        <w:t>Reduced Fee Eligibility Determination</w:t>
      </w:r>
    </w:p>
    <w:p w:rsidR="00835221" w:rsidP="00835221" w:rsidRDefault="00835221" w14:paraId="08409A04" w14:textId="77777777">
      <w:pPr>
        <w:pStyle w:val="BodyText"/>
        <w:ind w:right="289"/>
      </w:pPr>
      <w:r>
        <w:t>The regulation establishes reduced fees for firms with a number of employees below the thresholds listed in 40 CFR 700.43 “Definitions applicable to this subpart” or fewer than 500 employees if the firm is not in an industry sector that appears in that table. EPA estimates 0.5 hours of managerial burden to review the employee-based threshold established for firms eligible for a reduced fee and compare that threshold to the firm’s number of employees to determine eligibility for the reduced fee. EPA assumes that the proportion of firms that will incur this burden is roughly equivalent to the proportion of affected firms that are small businesses, as defined by the Small Business Administration (SBA). EPA estimates that SBA-defined small businesses account for four in 15 firms for TSCA section 4 actions, about 35% of affected firms for TSCA section 5 actions, and 27 of the 150 total firms for TSCA section 6 actions. This may be an overestimate as some small businesses will already know their size status under SBA size standards and will, therefore, not spend the time to confirm eligibility for the reduced fee. This burden is assumed to occur once for each affected firm over the three-year period of this ICR. Since EPA assumes that no firm will be subject to any of the TSCA section 4, 5, or 6 actions more than once over the three-year period of this ICR, the average burden per respondent is calculated as 0.5/3 = 0.167 hours/year.</w:t>
      </w:r>
    </w:p>
    <w:p w:rsidRPr="001D4B7D" w:rsidR="00835221" w:rsidP="00835221" w:rsidRDefault="00835221" w14:paraId="316141ED" w14:textId="77777777">
      <w:pPr>
        <w:pStyle w:val="BodyText"/>
        <w:ind w:right="289"/>
        <w:rPr>
          <w:b/>
          <w:bCs/>
        </w:rPr>
      </w:pPr>
      <w:r w:rsidRPr="0098521B">
        <w:rPr>
          <w:b/>
          <w:bCs/>
        </w:rPr>
        <w:t>CDX Registration</w:t>
      </w:r>
    </w:p>
    <w:p w:rsidR="001736C3" w:rsidP="001736C3" w:rsidRDefault="00835221" w14:paraId="73F71BC1" w14:textId="2C4DBE6B">
      <w:pPr>
        <w:pStyle w:val="BodyText"/>
        <w:ind w:right="289"/>
      </w:pPr>
      <w:r>
        <w:t>Firms subject to fee payments are required to submit information to EPA using CDX. Since</w:t>
      </w:r>
      <w:r w:rsidRPr="001736C3" w:rsidR="001736C3">
        <w:t xml:space="preserve"> companies submitting new chemical notices under TSCA section 5 are already required through existing regulations to submit these notices using CDX, burden associated with new CDX registrants under TSCA section 5 is already accounted for elsewhere in an existing ICR.</w:t>
      </w:r>
      <w:r w:rsidR="001736C3">
        <w:rPr>
          <w:rStyle w:val="FootnoteReference"/>
        </w:rPr>
        <w:footnoteReference w:id="3"/>
      </w:r>
      <w:r w:rsidRPr="001736C3" w:rsidR="001736C3">
        <w:t xml:space="preserve"> Similarly, firms subject to fee-triggering activities under TSCA section 4 are already required to submit testing and other related information to EPA using CDX, so burden associated with new CDX registrants under TSCA section 4 is already accounted for elsewhere in an existing ICR.</w:t>
      </w:r>
      <w:r w:rsidR="001736C3">
        <w:rPr>
          <w:rStyle w:val="FootnoteReference"/>
        </w:rPr>
        <w:footnoteReference w:id="4"/>
      </w:r>
      <w:r w:rsidRPr="001736C3" w:rsidR="001736C3">
        <w:t xml:space="preserve"> Manufacturers requesting Risk Evaluations are required to provide the submission package to EPA via CDX, so burden associated with new CDX registrants requesting Risk Evaluations is </w:t>
      </w:r>
      <w:r w:rsidR="001736C3">
        <w:t>also already accounted for elsewhere in an existing ICR.</w:t>
      </w:r>
      <w:r w:rsidR="00D8420C">
        <w:rPr>
          <w:rStyle w:val="FootnoteReference"/>
        </w:rPr>
        <w:footnoteReference w:id="5"/>
      </w:r>
      <w:r w:rsidR="001736C3">
        <w:t xml:space="preserve"> While some manufacturers subject to Risk Evaluations initiated by EPA under TSCA section 6 may already be familiar with the CDX system and may be registered CDX users from prior experience with TSCA submissions, there is no way to estimate which manufacturers are familiar with CDX and which are new to the system. Therefore, EPA assumes that all 100 manufacturers subject to EPA-initiated Risk Evaluations under TSCA section 6 each year are new CDX users and, therefore, are experiencing this burden for the first time. This burden is assumed to occur once for </w:t>
      </w:r>
      <w:r w:rsidR="001736C3">
        <w:lastRenderedPageBreak/>
        <w:t>each affected firm over the three-year period of this ICR. Since EPA assumes that no firm will be subject to any action more than once over the three-year period of this ICR, the average burden per respondent is calculated as 0.5/3 = 0.167 hours/year.</w:t>
      </w:r>
    </w:p>
    <w:p w:rsidRPr="001D4B7D" w:rsidR="001736C3" w:rsidP="001736C3" w:rsidRDefault="001736C3" w14:paraId="69F0A955" w14:textId="77777777">
      <w:pPr>
        <w:pStyle w:val="BodyText"/>
        <w:ind w:right="289"/>
        <w:rPr>
          <w:b/>
          <w:bCs/>
        </w:rPr>
      </w:pPr>
      <w:r w:rsidRPr="0098521B">
        <w:rPr>
          <w:b/>
          <w:bCs/>
        </w:rPr>
        <w:t>Notification of Participation in Consortium</w:t>
      </w:r>
    </w:p>
    <w:p w:rsidR="001736C3" w:rsidP="001736C3" w:rsidRDefault="001736C3" w14:paraId="509D0336" w14:textId="3BADB115">
      <w:pPr>
        <w:pStyle w:val="BodyText"/>
        <w:ind w:right="289"/>
      </w:pPr>
      <w:r>
        <w:t>The principal sponsor for the firms subject to TSCA section 4 or 6 actions who decide to join consortium must notify EPA via CDX of the formation about the consortium and provide the following information: the name, address, telephone number and signature of the princip</w:t>
      </w:r>
      <w:r w:rsidR="004A62E7">
        <w:t>a</w:t>
      </w:r>
      <w:r>
        <w:t>l sponsor and the names and contact information for each manufacturer and/or processor associating with the consortium. For analytical purposes, EPA assumes that all firms will opt to join a consortium when possible, such that only one firm per TSCA section 4 and TSCA section 6 action will identify themselves as the principal sponsor of the consortium and experience this burden. EPA estimates that this will require 0.25 hours per year of technical burden to submit the information to EPA. EPA estimates this burden to occur once over the three-year period of this ICR. Thus, the average annual burden is calculated as 0.25/3 = 0.083 hours/year.</w:t>
      </w:r>
    </w:p>
    <w:p w:rsidRPr="001D4B7D" w:rsidR="001736C3" w:rsidP="001736C3" w:rsidRDefault="001736C3" w14:paraId="32910696" w14:textId="1F5EA3CE">
      <w:pPr>
        <w:pStyle w:val="BodyText"/>
        <w:ind w:right="289"/>
        <w:rPr>
          <w:b/>
          <w:bCs/>
        </w:rPr>
      </w:pPr>
      <w:r w:rsidRPr="0098521B">
        <w:rPr>
          <w:b/>
          <w:bCs/>
        </w:rPr>
        <w:t>Self-identification and Certification</w:t>
      </w:r>
    </w:p>
    <w:p w:rsidR="001736C3" w:rsidP="001736C3" w:rsidRDefault="001736C3" w14:paraId="00B6656A" w14:textId="2ADE2C52">
      <w:pPr>
        <w:pStyle w:val="BodyText"/>
        <w:ind w:right="289"/>
      </w:pPr>
      <w:r>
        <w:t>Firms that are either subject to fees or have been identified by EPA as being subject to fees under TSCA section 4 Test Rules and TSCA section 6 EPA-initiated Risk Evaluations must submit notice to EPA, identifying whether they (1) manufacture the identified chemical</w:t>
      </w:r>
      <w:r w:rsidR="000C2C42">
        <w:t xml:space="preserve"> substance</w:t>
      </w:r>
      <w:r>
        <w:t>, (2) have already ceased manufacturing prior to the defined cutoff dates and will not manufacture for five years into the future, or (3) have not ever manufactured the chemical substance. Firms are required to provide certain basic contact information and certify their statements of Cessation and/or No Manufacture. EPA estimates that 15 firms will report this information to EPA as a result of one Test Rule per year. Similarly, 100 firms are expected to report this information to EPA as a result of approximately seven EPA-initiated Risk Evaluations per year. EPA estimates this burden to occur once per respondent over the three-year period of this ICR. Thus, the average annual burden is calculated as 2.5/3 = 0.833 hours/year.</w:t>
      </w:r>
    </w:p>
    <w:p w:rsidRPr="001D4B7D" w:rsidR="00835221" w:rsidP="001736C3" w:rsidRDefault="001736C3" w14:paraId="3CF2CADC" w14:textId="141DB89E">
      <w:pPr>
        <w:pStyle w:val="BodyText"/>
        <w:ind w:right="289"/>
        <w:rPr>
          <w:b/>
          <w:bCs/>
        </w:rPr>
      </w:pPr>
      <w:r w:rsidRPr="0098521B">
        <w:rPr>
          <w:b/>
          <w:bCs/>
        </w:rPr>
        <w:t>Fee Payment via Pay.gov</w:t>
      </w:r>
    </w:p>
    <w:p w:rsidR="001736C3" w:rsidP="001736C3" w:rsidRDefault="001736C3" w14:paraId="6CA2A343" w14:textId="2A3FD94A">
      <w:pPr>
        <w:pStyle w:val="BodyText"/>
        <w:ind w:right="289"/>
      </w:pPr>
      <w:r>
        <w:t xml:space="preserve">Firms are required to make fee payments electronically using the secure, web-based collection portal Pay.gov. Firms are expected to create payment accounts in Pay.gov and use one of the electronic payment methods currently supported by Pay.gov (e.g., Automated Clearing House debits (ACH) from bank accounts, credit card payments, debit card payments, PayPal or </w:t>
      </w:r>
      <w:proofErr w:type="spellStart"/>
      <w:r>
        <w:t>Dwolla</w:t>
      </w:r>
      <w:proofErr w:type="spellEnd"/>
      <w:r>
        <w:t>). EPA estimates a burden of 0.5 hours per year of technical burden to collect the required information, create a Pay.gov account, and submit the fee payment. In cases where a consortium is formed, EPA expects that the principal sponsor for the consortium to be the one responsible for submitting the fee payment. For each firm submitting a fee payment through Pay.gov, the burden is estimated to occur once over the three-year period of this ICR. Since EPA assumes that no firm will be subject to any of the TSCA section 4, 5, or 6 actions more than once over the three-year period of this ICR, the average burden per respondent is calculated as 0.5/3 = 0.167 hours/year.</w:t>
      </w:r>
    </w:p>
    <w:p w:rsidRPr="001D4B7D" w:rsidR="001736C3" w:rsidP="001736C3" w:rsidRDefault="001736C3" w14:paraId="365E26CB" w14:textId="77777777">
      <w:pPr>
        <w:pStyle w:val="BodyText"/>
        <w:ind w:right="289"/>
        <w:rPr>
          <w:b/>
          <w:bCs/>
        </w:rPr>
      </w:pPr>
      <w:r w:rsidRPr="0098521B">
        <w:rPr>
          <w:b/>
          <w:bCs/>
        </w:rPr>
        <w:lastRenderedPageBreak/>
        <w:t>Reporting Costs</w:t>
      </w:r>
    </w:p>
    <w:p w:rsidR="001736C3" w:rsidP="001736C3" w:rsidRDefault="001736C3" w14:paraId="5503117C" w14:textId="77777777">
      <w:pPr>
        <w:pStyle w:val="BodyText"/>
        <w:ind w:right="289"/>
      </w:pPr>
      <w:r>
        <w:t>Labor costs are based on fully loaded wage rates. EPA obtained wage rates from the Employer Costs for Employee Compensation (ECEC) Supplementary Tables (BLS, 2020). EPA used the wage rate for Professional/Technical workers, Managers, and Office and Administrative Support in private manufacturing industries. Fringe benefits are calculated based on the ratio of benefits to total compensation from the 2020 BLS Employer Costs for Employee Compensation data series (BLS, 2020). An overhead rate of 17 percent is used based on assumptions in Wage Rates for Economic Analysis of the Toxics Release Inventory Program (Rice, 2002) and the Revised Economic Analysis for the Amended Inventory Update Rule: Final Report (EPA, 2001). The estimated fully loaded hourly wage rate for a technical worker in this industry is $77.78. The estimated fully loaded hourly wage rate for a manager in this industry is $83.28. The estimated fully loaded hourly wage rate for clerical staff in this industry is $33.57.</w:t>
      </w:r>
    </w:p>
    <w:p w:rsidRPr="0070000E" w:rsidR="004E3F70" w:rsidP="0070000E" w:rsidRDefault="001736C3" w14:paraId="39F7F8E9" w14:textId="1A4AF6D9">
      <w:pPr>
        <w:pStyle w:val="BodyText"/>
        <w:ind w:right="289"/>
        <w:rPr>
          <w:b/>
          <w:bCs/>
        </w:rPr>
      </w:pPr>
      <w:r w:rsidRPr="0070000E">
        <w:rPr>
          <w:b/>
          <w:bCs/>
        </w:rPr>
        <w:t>Table 1: Industry Wage Rates</w:t>
      </w:r>
    </w:p>
    <w:tbl>
      <w:tblPr>
        <w:tblW w:w="0" w:type="auto"/>
        <w:tblLook w:val="04A0" w:firstRow="1" w:lastRow="0" w:firstColumn="1" w:lastColumn="0" w:noHBand="0" w:noVBand="1"/>
      </w:tblPr>
      <w:tblGrid>
        <w:gridCol w:w="1953"/>
        <w:gridCol w:w="1037"/>
        <w:gridCol w:w="1479"/>
        <w:gridCol w:w="1295"/>
        <w:gridCol w:w="2194"/>
        <w:gridCol w:w="1392"/>
      </w:tblGrid>
      <w:tr w:rsidRPr="006D7931" w:rsidR="0070000E" w:rsidTr="0070000E" w14:paraId="1C29A9BE" w14:textId="77777777">
        <w:trPr>
          <w:trHeight w:val="810"/>
        </w:trPr>
        <w:tc>
          <w:tcPr>
            <w:tcW w:w="0" w:type="auto"/>
            <w:vMerge w:val="restart"/>
            <w:tcBorders>
              <w:top w:val="single" w:color="auto" w:sz="4" w:space="0"/>
              <w:left w:val="single" w:color="auto" w:sz="4" w:space="0"/>
              <w:bottom w:val="single" w:color="auto" w:sz="4" w:space="0"/>
              <w:right w:val="single" w:color="auto" w:sz="4" w:space="0"/>
            </w:tcBorders>
            <w:shd w:val="clear" w:color="000000" w:fill="C3C6A8"/>
            <w:vAlign w:val="center"/>
            <w:hideMark/>
          </w:tcPr>
          <w:p w:rsidRPr="0070000E" w:rsidR="004E3F70" w:rsidP="002E5AE6" w:rsidRDefault="004E3F70" w14:paraId="7914C9C0" w14:textId="77777777">
            <w:pPr>
              <w:keepNext/>
              <w:keepLines/>
              <w:jc w:val="center"/>
              <w:rPr>
                <w:rFonts w:eastAsia="Times New Roman" w:cs="Arial"/>
                <w:b/>
                <w:bCs/>
                <w:szCs w:val="24"/>
              </w:rPr>
            </w:pPr>
            <w:r w:rsidRPr="0070000E">
              <w:rPr>
                <w:rFonts w:eastAsia="Times New Roman" w:cs="Arial"/>
                <w:b/>
                <w:bCs/>
                <w:szCs w:val="24"/>
              </w:rPr>
              <w:t>Labor Type</w:t>
            </w:r>
          </w:p>
        </w:tc>
        <w:tc>
          <w:tcPr>
            <w:tcW w:w="0" w:type="auto"/>
            <w:tcBorders>
              <w:top w:val="single" w:color="auto" w:sz="4" w:space="0"/>
              <w:left w:val="nil"/>
              <w:bottom w:val="single" w:color="auto" w:sz="4" w:space="0"/>
              <w:right w:val="single" w:color="auto" w:sz="4" w:space="0"/>
            </w:tcBorders>
            <w:shd w:val="clear" w:color="000000" w:fill="C3C6A8"/>
            <w:vAlign w:val="center"/>
            <w:hideMark/>
          </w:tcPr>
          <w:p w:rsidRPr="0070000E" w:rsidR="004E3F70" w:rsidP="002E5AE6" w:rsidRDefault="004E3F70" w14:paraId="2D8CB30D" w14:textId="77777777">
            <w:pPr>
              <w:keepNext/>
              <w:keepLines/>
              <w:jc w:val="center"/>
              <w:rPr>
                <w:rFonts w:eastAsia="Times New Roman" w:cs="Arial"/>
                <w:b/>
                <w:bCs/>
                <w:szCs w:val="24"/>
              </w:rPr>
            </w:pPr>
            <w:r w:rsidRPr="0070000E">
              <w:rPr>
                <w:rFonts w:eastAsia="Times New Roman" w:cs="Arial"/>
                <w:b/>
                <w:bCs/>
                <w:szCs w:val="24"/>
              </w:rPr>
              <w:t>Wage</w:t>
            </w:r>
          </w:p>
        </w:tc>
        <w:tc>
          <w:tcPr>
            <w:tcW w:w="0" w:type="auto"/>
            <w:tcBorders>
              <w:top w:val="single" w:color="auto" w:sz="4" w:space="0"/>
              <w:left w:val="nil"/>
              <w:bottom w:val="single" w:color="auto" w:sz="4" w:space="0"/>
              <w:right w:val="single" w:color="auto" w:sz="4" w:space="0"/>
            </w:tcBorders>
            <w:shd w:val="clear" w:color="000000" w:fill="C3C6A8"/>
            <w:vAlign w:val="center"/>
            <w:hideMark/>
          </w:tcPr>
          <w:p w:rsidRPr="0070000E" w:rsidR="004E3F70" w:rsidP="002E5AE6" w:rsidRDefault="004E3F70" w14:paraId="09BDCD92" w14:textId="77777777">
            <w:pPr>
              <w:keepNext/>
              <w:keepLines/>
              <w:jc w:val="center"/>
              <w:rPr>
                <w:rFonts w:eastAsia="Times New Roman" w:cs="Arial"/>
                <w:b/>
                <w:bCs/>
                <w:szCs w:val="24"/>
              </w:rPr>
            </w:pPr>
            <w:r w:rsidRPr="0070000E">
              <w:rPr>
                <w:rFonts w:eastAsia="Times New Roman" w:cs="Arial"/>
                <w:b/>
                <w:bCs/>
                <w:szCs w:val="24"/>
              </w:rPr>
              <w:t>Fringes as % Wage</w:t>
            </w:r>
          </w:p>
        </w:tc>
        <w:tc>
          <w:tcPr>
            <w:tcW w:w="0" w:type="auto"/>
            <w:tcBorders>
              <w:top w:val="single" w:color="auto" w:sz="4" w:space="0"/>
              <w:left w:val="nil"/>
              <w:bottom w:val="single" w:color="auto" w:sz="4" w:space="0"/>
              <w:right w:val="single" w:color="auto" w:sz="4" w:space="0"/>
            </w:tcBorders>
            <w:shd w:val="clear" w:color="000000" w:fill="C3C6A8"/>
            <w:vAlign w:val="center"/>
            <w:hideMark/>
          </w:tcPr>
          <w:p w:rsidRPr="0070000E" w:rsidR="004E3F70" w:rsidP="002E5AE6" w:rsidRDefault="004E3F70" w14:paraId="51841754" w14:textId="77777777">
            <w:pPr>
              <w:keepNext/>
              <w:keepLines/>
              <w:jc w:val="center"/>
              <w:rPr>
                <w:rFonts w:eastAsia="Times New Roman" w:cs="Arial"/>
                <w:b/>
                <w:bCs/>
                <w:szCs w:val="24"/>
              </w:rPr>
            </w:pPr>
            <w:r w:rsidRPr="0070000E">
              <w:rPr>
                <w:rFonts w:eastAsia="Times New Roman" w:cs="Arial"/>
                <w:b/>
                <w:bCs/>
                <w:szCs w:val="24"/>
              </w:rPr>
              <w:t xml:space="preserve">Over-head % wage </w:t>
            </w:r>
            <w:r w:rsidRPr="0070000E">
              <w:rPr>
                <w:rFonts w:eastAsia="Times New Roman" w:cs="Arial"/>
                <w:b/>
                <w:bCs/>
                <w:szCs w:val="24"/>
                <w:vertAlign w:val="superscript"/>
              </w:rPr>
              <w:t>a</w:t>
            </w:r>
          </w:p>
        </w:tc>
        <w:tc>
          <w:tcPr>
            <w:tcW w:w="0" w:type="auto"/>
            <w:tcBorders>
              <w:top w:val="single" w:color="auto" w:sz="4" w:space="0"/>
              <w:left w:val="nil"/>
              <w:bottom w:val="single" w:color="auto" w:sz="4" w:space="0"/>
              <w:right w:val="single" w:color="auto" w:sz="4" w:space="0"/>
            </w:tcBorders>
            <w:shd w:val="clear" w:color="000000" w:fill="C3C6A8"/>
            <w:vAlign w:val="center"/>
            <w:hideMark/>
          </w:tcPr>
          <w:p w:rsidRPr="0070000E" w:rsidR="004E3F70" w:rsidP="002E5AE6" w:rsidRDefault="004E3F70" w14:paraId="537FE1AF" w14:textId="77777777">
            <w:pPr>
              <w:keepNext/>
              <w:keepLines/>
              <w:jc w:val="center"/>
              <w:rPr>
                <w:rFonts w:eastAsia="Times New Roman" w:cs="Arial"/>
                <w:b/>
                <w:bCs/>
                <w:szCs w:val="24"/>
              </w:rPr>
            </w:pPr>
            <w:r w:rsidRPr="0070000E">
              <w:rPr>
                <w:rFonts w:eastAsia="Times New Roman" w:cs="Arial"/>
                <w:b/>
                <w:bCs/>
                <w:szCs w:val="24"/>
              </w:rPr>
              <w:t xml:space="preserve">Fringe + Overhead Factor </w:t>
            </w:r>
            <w:r w:rsidRPr="0070000E">
              <w:rPr>
                <w:rFonts w:eastAsia="Times New Roman" w:cs="Arial"/>
                <w:b/>
                <w:bCs/>
                <w:szCs w:val="24"/>
                <w:vertAlign w:val="superscript"/>
              </w:rPr>
              <w:t>b</w:t>
            </w:r>
          </w:p>
        </w:tc>
        <w:tc>
          <w:tcPr>
            <w:tcW w:w="0" w:type="auto"/>
            <w:tcBorders>
              <w:top w:val="single" w:color="auto" w:sz="4" w:space="0"/>
              <w:left w:val="nil"/>
              <w:bottom w:val="single" w:color="auto" w:sz="4" w:space="0"/>
              <w:right w:val="single" w:color="auto" w:sz="4" w:space="0"/>
            </w:tcBorders>
            <w:shd w:val="clear" w:color="000000" w:fill="C3C6A8"/>
            <w:vAlign w:val="center"/>
            <w:hideMark/>
          </w:tcPr>
          <w:p w:rsidRPr="0070000E" w:rsidR="004E3F70" w:rsidP="002E5AE6" w:rsidRDefault="004E3F70" w14:paraId="6C01CD30" w14:textId="77777777">
            <w:pPr>
              <w:keepNext/>
              <w:keepLines/>
              <w:jc w:val="center"/>
              <w:rPr>
                <w:rFonts w:eastAsia="Times New Roman" w:cs="Arial"/>
                <w:b/>
                <w:bCs/>
                <w:szCs w:val="24"/>
              </w:rPr>
            </w:pPr>
            <w:r w:rsidRPr="0070000E">
              <w:rPr>
                <w:rFonts w:eastAsia="Times New Roman" w:cs="Arial"/>
                <w:b/>
                <w:bCs/>
                <w:szCs w:val="24"/>
              </w:rPr>
              <w:t xml:space="preserve">Loaded Wages </w:t>
            </w:r>
            <w:r w:rsidRPr="0070000E">
              <w:rPr>
                <w:rFonts w:eastAsia="Times New Roman" w:cs="Arial"/>
                <w:b/>
                <w:bCs/>
                <w:szCs w:val="24"/>
                <w:vertAlign w:val="superscript"/>
              </w:rPr>
              <w:t>c</w:t>
            </w:r>
          </w:p>
        </w:tc>
      </w:tr>
      <w:tr w:rsidRPr="006D7931" w:rsidR="004E3F70" w:rsidTr="0070000E" w14:paraId="115C6DF0" w14:textId="77777777">
        <w:trPr>
          <w:trHeight w:val="43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0000E" w:rsidR="004E3F70" w:rsidP="002E5AE6" w:rsidRDefault="004E3F70" w14:paraId="0561A8E1" w14:textId="77777777">
            <w:pPr>
              <w:keepNext/>
              <w:keepLines/>
              <w:rPr>
                <w:rFonts w:eastAsia="Times New Roman" w:cs="Arial"/>
                <w:b/>
                <w:bCs/>
                <w:szCs w:val="24"/>
              </w:rPr>
            </w:pPr>
          </w:p>
        </w:tc>
        <w:tc>
          <w:tcPr>
            <w:tcW w:w="0" w:type="auto"/>
            <w:tcBorders>
              <w:top w:val="nil"/>
              <w:left w:val="nil"/>
              <w:bottom w:val="single" w:color="auto" w:sz="4" w:space="0"/>
              <w:right w:val="single" w:color="auto" w:sz="4" w:space="0"/>
            </w:tcBorders>
            <w:shd w:val="clear" w:color="000000" w:fill="C3C6A8"/>
            <w:vAlign w:val="center"/>
            <w:hideMark/>
          </w:tcPr>
          <w:p w:rsidRPr="0070000E" w:rsidR="004E3F70" w:rsidP="002E5AE6" w:rsidRDefault="004E3F70" w14:paraId="0E9884D3" w14:textId="77777777">
            <w:pPr>
              <w:keepNext/>
              <w:keepLines/>
              <w:jc w:val="center"/>
              <w:rPr>
                <w:rFonts w:eastAsia="Times New Roman" w:cs="Arial"/>
                <w:b/>
                <w:bCs/>
                <w:szCs w:val="24"/>
              </w:rPr>
            </w:pPr>
            <w:r w:rsidRPr="0070000E">
              <w:rPr>
                <w:rFonts w:eastAsia="Times New Roman" w:cs="Arial"/>
                <w:b/>
                <w:bCs/>
                <w:szCs w:val="24"/>
              </w:rPr>
              <w:t>(a)</w:t>
            </w:r>
          </w:p>
        </w:tc>
        <w:tc>
          <w:tcPr>
            <w:tcW w:w="0" w:type="auto"/>
            <w:tcBorders>
              <w:top w:val="nil"/>
              <w:left w:val="nil"/>
              <w:bottom w:val="single" w:color="auto" w:sz="4" w:space="0"/>
              <w:right w:val="single" w:color="auto" w:sz="4" w:space="0"/>
            </w:tcBorders>
            <w:shd w:val="clear" w:color="000000" w:fill="C3C6A8"/>
            <w:vAlign w:val="center"/>
            <w:hideMark/>
          </w:tcPr>
          <w:p w:rsidRPr="0070000E" w:rsidR="004E3F70" w:rsidP="002E5AE6" w:rsidRDefault="004E3F70" w14:paraId="0C2C5844" w14:textId="77777777">
            <w:pPr>
              <w:keepNext/>
              <w:keepLines/>
              <w:jc w:val="center"/>
              <w:rPr>
                <w:rFonts w:eastAsia="Times New Roman" w:cs="Arial"/>
                <w:b/>
                <w:bCs/>
                <w:szCs w:val="24"/>
              </w:rPr>
            </w:pPr>
            <w:r w:rsidRPr="0070000E">
              <w:rPr>
                <w:rFonts w:eastAsia="Times New Roman" w:cs="Arial"/>
                <w:b/>
                <w:bCs/>
                <w:szCs w:val="24"/>
              </w:rPr>
              <w:t>(b)</w:t>
            </w:r>
          </w:p>
        </w:tc>
        <w:tc>
          <w:tcPr>
            <w:tcW w:w="0" w:type="auto"/>
            <w:tcBorders>
              <w:top w:val="nil"/>
              <w:left w:val="nil"/>
              <w:bottom w:val="single" w:color="auto" w:sz="4" w:space="0"/>
              <w:right w:val="single" w:color="auto" w:sz="4" w:space="0"/>
            </w:tcBorders>
            <w:shd w:val="clear" w:color="000000" w:fill="C3C6A8"/>
            <w:vAlign w:val="center"/>
            <w:hideMark/>
          </w:tcPr>
          <w:p w:rsidRPr="0070000E" w:rsidR="004E3F70" w:rsidP="002E5AE6" w:rsidRDefault="004E3F70" w14:paraId="1C42D25E" w14:textId="77777777">
            <w:pPr>
              <w:keepNext/>
              <w:keepLines/>
              <w:jc w:val="center"/>
              <w:rPr>
                <w:rFonts w:eastAsia="Times New Roman" w:cs="Arial"/>
                <w:b/>
                <w:bCs/>
                <w:szCs w:val="24"/>
              </w:rPr>
            </w:pPr>
            <w:r w:rsidRPr="0070000E">
              <w:rPr>
                <w:rFonts w:eastAsia="Times New Roman" w:cs="Arial"/>
                <w:b/>
                <w:bCs/>
                <w:szCs w:val="24"/>
              </w:rPr>
              <w:t>(c)</w:t>
            </w:r>
          </w:p>
        </w:tc>
        <w:tc>
          <w:tcPr>
            <w:tcW w:w="0" w:type="auto"/>
            <w:tcBorders>
              <w:top w:val="nil"/>
              <w:left w:val="nil"/>
              <w:bottom w:val="single" w:color="auto" w:sz="4" w:space="0"/>
              <w:right w:val="single" w:color="auto" w:sz="4" w:space="0"/>
            </w:tcBorders>
            <w:shd w:val="clear" w:color="000000" w:fill="C3C6A8"/>
            <w:vAlign w:val="center"/>
            <w:hideMark/>
          </w:tcPr>
          <w:p w:rsidRPr="0070000E" w:rsidR="004E3F70" w:rsidP="002E5AE6" w:rsidRDefault="004E3F70" w14:paraId="4A8D1353" w14:textId="77777777">
            <w:pPr>
              <w:keepNext/>
              <w:keepLines/>
              <w:jc w:val="center"/>
              <w:rPr>
                <w:rFonts w:eastAsia="Times New Roman" w:cs="Arial"/>
                <w:b/>
                <w:bCs/>
                <w:szCs w:val="24"/>
              </w:rPr>
            </w:pPr>
            <w:r w:rsidRPr="0070000E">
              <w:rPr>
                <w:rFonts w:eastAsia="Times New Roman" w:cs="Arial"/>
                <w:b/>
                <w:bCs/>
                <w:szCs w:val="24"/>
              </w:rPr>
              <w:t>(d)=(b)+(c)+1</w:t>
            </w:r>
          </w:p>
        </w:tc>
        <w:tc>
          <w:tcPr>
            <w:tcW w:w="0" w:type="auto"/>
            <w:tcBorders>
              <w:top w:val="nil"/>
              <w:left w:val="nil"/>
              <w:bottom w:val="single" w:color="auto" w:sz="4" w:space="0"/>
              <w:right w:val="single" w:color="auto" w:sz="4" w:space="0"/>
            </w:tcBorders>
            <w:shd w:val="clear" w:color="000000" w:fill="C3C6A8"/>
            <w:vAlign w:val="center"/>
            <w:hideMark/>
          </w:tcPr>
          <w:p w:rsidRPr="0070000E" w:rsidR="004E3F70" w:rsidP="002E5AE6" w:rsidRDefault="004E3F70" w14:paraId="212B3351" w14:textId="77777777">
            <w:pPr>
              <w:keepNext/>
              <w:keepLines/>
              <w:jc w:val="center"/>
              <w:rPr>
                <w:rFonts w:eastAsia="Times New Roman" w:cs="Arial"/>
                <w:b/>
                <w:bCs/>
                <w:szCs w:val="24"/>
              </w:rPr>
            </w:pPr>
            <w:r w:rsidRPr="0070000E">
              <w:rPr>
                <w:rFonts w:eastAsia="Times New Roman" w:cs="Arial"/>
                <w:b/>
                <w:bCs/>
                <w:szCs w:val="24"/>
              </w:rPr>
              <w:t>(a)×(d)</w:t>
            </w:r>
          </w:p>
        </w:tc>
      </w:tr>
      <w:tr w:rsidRPr="006D7931" w:rsidR="004E3F70" w:rsidTr="0070000E" w14:paraId="7918B7E5" w14:textId="77777777">
        <w:trPr>
          <w:trHeight w:val="35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70000E" w:rsidR="004E3F70" w:rsidP="002E5AE6" w:rsidRDefault="004E3F70" w14:paraId="21F25CEB" w14:textId="77777777">
            <w:pPr>
              <w:keepNext/>
              <w:keepLines/>
              <w:rPr>
                <w:rFonts w:eastAsia="Times New Roman" w:cs="Arial"/>
                <w:color w:val="000000"/>
                <w:szCs w:val="24"/>
              </w:rPr>
            </w:pPr>
            <w:r w:rsidRPr="0070000E">
              <w:rPr>
                <w:rFonts w:eastAsia="Times New Roman" w:cs="Arial"/>
                <w:color w:val="000000"/>
                <w:szCs w:val="24"/>
              </w:rPr>
              <w:t>Professional / Technical</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69E356D8" w14:textId="77777777">
            <w:pPr>
              <w:keepNext/>
              <w:keepLines/>
              <w:jc w:val="right"/>
              <w:rPr>
                <w:rFonts w:eastAsia="Times New Roman" w:cs="Arial"/>
                <w:color w:val="000000"/>
                <w:szCs w:val="24"/>
              </w:rPr>
            </w:pPr>
            <w:r w:rsidRPr="0070000E">
              <w:rPr>
                <w:rFonts w:cs="Arial"/>
                <w:color w:val="000000"/>
                <w:szCs w:val="24"/>
              </w:rPr>
              <w:t xml:space="preserve">$46.65 </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51879481" w14:textId="77777777">
            <w:pPr>
              <w:keepNext/>
              <w:keepLines/>
              <w:jc w:val="right"/>
              <w:rPr>
                <w:rFonts w:eastAsia="Times New Roman" w:cs="Arial"/>
                <w:color w:val="000000"/>
                <w:szCs w:val="24"/>
              </w:rPr>
            </w:pPr>
            <w:r w:rsidRPr="0070000E">
              <w:rPr>
                <w:rFonts w:cs="Arial"/>
                <w:color w:val="000000"/>
                <w:szCs w:val="24"/>
              </w:rPr>
              <w:t>50%</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5958F240" w14:textId="77777777">
            <w:pPr>
              <w:keepNext/>
              <w:keepLines/>
              <w:jc w:val="right"/>
              <w:rPr>
                <w:rFonts w:eastAsia="Times New Roman" w:cs="Arial"/>
                <w:color w:val="000000"/>
                <w:szCs w:val="24"/>
              </w:rPr>
            </w:pPr>
            <w:r w:rsidRPr="0070000E">
              <w:rPr>
                <w:rFonts w:cs="Arial"/>
                <w:color w:val="000000"/>
                <w:szCs w:val="24"/>
              </w:rPr>
              <w:t>17%</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445275D7" w14:textId="77777777">
            <w:pPr>
              <w:keepNext/>
              <w:keepLines/>
              <w:jc w:val="right"/>
              <w:rPr>
                <w:rFonts w:eastAsia="Times New Roman" w:cs="Arial"/>
                <w:color w:val="000000"/>
                <w:szCs w:val="24"/>
              </w:rPr>
            </w:pPr>
            <w:r w:rsidRPr="0070000E">
              <w:rPr>
                <w:rFonts w:cs="Arial"/>
                <w:color w:val="000000"/>
                <w:szCs w:val="24"/>
              </w:rPr>
              <w:t>1.67</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2A7F84DC" w14:textId="77777777">
            <w:pPr>
              <w:keepNext/>
              <w:keepLines/>
              <w:jc w:val="right"/>
              <w:rPr>
                <w:rFonts w:eastAsia="Times New Roman" w:cs="Arial"/>
                <w:color w:val="000000"/>
                <w:szCs w:val="24"/>
              </w:rPr>
            </w:pPr>
            <w:r w:rsidRPr="0070000E">
              <w:rPr>
                <w:rFonts w:cs="Arial"/>
                <w:color w:val="000000"/>
                <w:szCs w:val="24"/>
              </w:rPr>
              <w:t xml:space="preserve">$77.78 </w:t>
            </w:r>
          </w:p>
        </w:tc>
      </w:tr>
      <w:tr w:rsidRPr="006D7931" w:rsidR="004E3F70" w:rsidTr="0070000E" w14:paraId="14979F47" w14:textId="77777777">
        <w:trPr>
          <w:trHeight w:val="35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70000E" w:rsidR="004E3F70" w:rsidP="002E5AE6" w:rsidRDefault="004E3F70" w14:paraId="4453D370" w14:textId="77777777">
            <w:pPr>
              <w:keepNext/>
              <w:keepLines/>
              <w:rPr>
                <w:rFonts w:eastAsia="Times New Roman" w:cs="Arial"/>
                <w:color w:val="000000"/>
                <w:szCs w:val="24"/>
              </w:rPr>
            </w:pPr>
            <w:r w:rsidRPr="0070000E">
              <w:rPr>
                <w:rFonts w:eastAsia="Times New Roman" w:cs="Arial"/>
                <w:color w:val="000000"/>
                <w:szCs w:val="24"/>
              </w:rPr>
              <w:t>Managerial</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5EE34448" w14:textId="77777777">
            <w:pPr>
              <w:keepNext/>
              <w:keepLines/>
              <w:jc w:val="right"/>
              <w:rPr>
                <w:rFonts w:eastAsia="Times New Roman" w:cs="Arial"/>
                <w:color w:val="000000"/>
                <w:szCs w:val="24"/>
              </w:rPr>
            </w:pPr>
            <w:r w:rsidRPr="0070000E">
              <w:rPr>
                <w:rFonts w:cs="Arial"/>
                <w:color w:val="000000"/>
                <w:szCs w:val="24"/>
              </w:rPr>
              <w:t xml:space="preserve">$51.65 </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4FBF5AC4" w14:textId="77777777">
            <w:pPr>
              <w:keepNext/>
              <w:keepLines/>
              <w:jc w:val="right"/>
              <w:rPr>
                <w:rFonts w:eastAsia="Times New Roman" w:cs="Arial"/>
                <w:color w:val="000000"/>
                <w:szCs w:val="24"/>
              </w:rPr>
            </w:pPr>
            <w:r w:rsidRPr="0070000E">
              <w:rPr>
                <w:rFonts w:cs="Arial"/>
                <w:color w:val="000000"/>
                <w:szCs w:val="24"/>
              </w:rPr>
              <w:t>44%</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7B09FE85" w14:textId="77777777">
            <w:pPr>
              <w:keepNext/>
              <w:keepLines/>
              <w:jc w:val="right"/>
              <w:rPr>
                <w:rFonts w:eastAsia="Times New Roman" w:cs="Arial"/>
                <w:color w:val="000000"/>
                <w:szCs w:val="24"/>
              </w:rPr>
            </w:pPr>
            <w:r w:rsidRPr="0070000E">
              <w:rPr>
                <w:rFonts w:cs="Arial"/>
                <w:color w:val="000000"/>
                <w:szCs w:val="24"/>
              </w:rPr>
              <w:t>17%</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4976350B" w14:textId="77777777">
            <w:pPr>
              <w:keepNext/>
              <w:keepLines/>
              <w:jc w:val="right"/>
              <w:rPr>
                <w:rFonts w:eastAsia="Times New Roman" w:cs="Arial"/>
                <w:color w:val="000000"/>
                <w:szCs w:val="24"/>
              </w:rPr>
            </w:pPr>
            <w:r w:rsidRPr="0070000E">
              <w:rPr>
                <w:rFonts w:cs="Arial"/>
                <w:color w:val="000000"/>
                <w:szCs w:val="24"/>
              </w:rPr>
              <w:t>1.61</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56DDC33B" w14:textId="77777777">
            <w:pPr>
              <w:keepNext/>
              <w:keepLines/>
              <w:jc w:val="right"/>
              <w:rPr>
                <w:rFonts w:eastAsia="Times New Roman" w:cs="Arial"/>
                <w:color w:val="000000"/>
                <w:szCs w:val="24"/>
              </w:rPr>
            </w:pPr>
            <w:r w:rsidRPr="0070000E">
              <w:rPr>
                <w:rFonts w:cs="Arial"/>
                <w:color w:val="000000"/>
                <w:szCs w:val="24"/>
              </w:rPr>
              <w:t xml:space="preserve">$83.28 </w:t>
            </w:r>
          </w:p>
        </w:tc>
      </w:tr>
      <w:tr w:rsidRPr="006D7931" w:rsidR="004E3F70" w:rsidTr="0070000E" w14:paraId="2A38548B" w14:textId="77777777">
        <w:trPr>
          <w:trHeight w:val="44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70000E" w:rsidR="004E3F70" w:rsidP="002E5AE6" w:rsidRDefault="004E3F70" w14:paraId="17C62F67" w14:textId="77777777">
            <w:pPr>
              <w:keepNext/>
              <w:keepLines/>
              <w:rPr>
                <w:rFonts w:eastAsia="Times New Roman" w:cs="Arial"/>
                <w:color w:val="000000"/>
                <w:szCs w:val="24"/>
              </w:rPr>
            </w:pPr>
            <w:r w:rsidRPr="0070000E">
              <w:rPr>
                <w:rFonts w:eastAsia="Times New Roman" w:cs="Arial"/>
                <w:color w:val="000000"/>
                <w:szCs w:val="24"/>
              </w:rPr>
              <w:t>Clerical</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29153645" w14:textId="77777777">
            <w:pPr>
              <w:keepNext/>
              <w:keepLines/>
              <w:jc w:val="right"/>
              <w:rPr>
                <w:rFonts w:eastAsia="Times New Roman" w:cs="Arial"/>
                <w:color w:val="000000"/>
                <w:szCs w:val="24"/>
              </w:rPr>
            </w:pPr>
            <w:r w:rsidRPr="0070000E">
              <w:rPr>
                <w:rFonts w:cs="Arial"/>
                <w:color w:val="000000"/>
                <w:szCs w:val="24"/>
              </w:rPr>
              <w:t xml:space="preserve">$20.54 </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2DCFC338" w14:textId="77777777">
            <w:pPr>
              <w:keepNext/>
              <w:keepLines/>
              <w:jc w:val="right"/>
              <w:rPr>
                <w:rFonts w:eastAsia="Times New Roman" w:cs="Arial"/>
                <w:color w:val="000000"/>
                <w:szCs w:val="24"/>
              </w:rPr>
            </w:pPr>
            <w:r w:rsidRPr="0070000E">
              <w:rPr>
                <w:rFonts w:cs="Arial"/>
                <w:color w:val="000000"/>
                <w:szCs w:val="24"/>
              </w:rPr>
              <w:t>46%</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16810021" w14:textId="77777777">
            <w:pPr>
              <w:keepNext/>
              <w:keepLines/>
              <w:jc w:val="right"/>
              <w:rPr>
                <w:rFonts w:eastAsia="Times New Roman" w:cs="Arial"/>
                <w:color w:val="000000"/>
                <w:szCs w:val="24"/>
              </w:rPr>
            </w:pPr>
            <w:r w:rsidRPr="0070000E">
              <w:rPr>
                <w:rFonts w:cs="Arial"/>
                <w:color w:val="000000"/>
                <w:szCs w:val="24"/>
              </w:rPr>
              <w:t>17%</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6DEEC216" w14:textId="77777777">
            <w:pPr>
              <w:keepNext/>
              <w:keepLines/>
              <w:jc w:val="right"/>
              <w:rPr>
                <w:rFonts w:eastAsia="Times New Roman" w:cs="Arial"/>
                <w:color w:val="000000"/>
                <w:szCs w:val="24"/>
              </w:rPr>
            </w:pPr>
            <w:r w:rsidRPr="0070000E">
              <w:rPr>
                <w:rFonts w:cs="Arial"/>
                <w:color w:val="000000"/>
                <w:szCs w:val="24"/>
              </w:rPr>
              <w:t>1.63</w:t>
            </w:r>
          </w:p>
        </w:tc>
        <w:tc>
          <w:tcPr>
            <w:tcW w:w="0" w:type="auto"/>
            <w:tcBorders>
              <w:top w:val="nil"/>
              <w:left w:val="nil"/>
              <w:bottom w:val="single" w:color="auto" w:sz="4" w:space="0"/>
              <w:right w:val="single" w:color="auto" w:sz="4" w:space="0"/>
            </w:tcBorders>
            <w:shd w:val="clear" w:color="auto" w:fill="auto"/>
            <w:vAlign w:val="center"/>
            <w:hideMark/>
          </w:tcPr>
          <w:p w:rsidRPr="0070000E" w:rsidR="004E3F70" w:rsidP="002E5AE6" w:rsidRDefault="004E3F70" w14:paraId="7B98A67F" w14:textId="77777777">
            <w:pPr>
              <w:keepNext/>
              <w:keepLines/>
              <w:jc w:val="right"/>
              <w:rPr>
                <w:rFonts w:eastAsia="Times New Roman" w:cs="Arial"/>
                <w:color w:val="000000"/>
                <w:szCs w:val="24"/>
              </w:rPr>
            </w:pPr>
            <w:r w:rsidRPr="0070000E">
              <w:rPr>
                <w:rFonts w:cs="Arial"/>
                <w:color w:val="000000"/>
                <w:szCs w:val="24"/>
              </w:rPr>
              <w:t xml:space="preserve">$33.57 </w:t>
            </w:r>
          </w:p>
        </w:tc>
      </w:tr>
      <w:tr w:rsidRPr="006D7931" w:rsidR="004E3F70" w:rsidTr="0070000E" w14:paraId="7F2165F0" w14:textId="77777777">
        <w:trPr>
          <w:trHeight w:val="1200"/>
        </w:trPr>
        <w:tc>
          <w:tcPr>
            <w:tcW w:w="0" w:type="auto"/>
            <w:gridSpan w:val="6"/>
            <w:tcBorders>
              <w:top w:val="single" w:color="auto" w:sz="4" w:space="0"/>
              <w:left w:val="single" w:color="auto" w:sz="4" w:space="0"/>
              <w:bottom w:val="single" w:color="auto" w:sz="4" w:space="0"/>
              <w:right w:val="single" w:color="auto" w:sz="4" w:space="0"/>
            </w:tcBorders>
            <w:shd w:val="clear" w:color="auto" w:fill="auto"/>
          </w:tcPr>
          <w:p w:rsidRPr="0070000E" w:rsidR="004E3F70" w:rsidP="002E5AE6" w:rsidRDefault="004E3F70" w14:paraId="5B2084AD" w14:textId="7260C6CB">
            <w:pPr>
              <w:keepNext/>
              <w:keepLines/>
              <w:rPr>
                <w:rFonts w:eastAsia="Times New Roman" w:cs="Arial"/>
                <w:b/>
                <w:color w:val="000000"/>
                <w:szCs w:val="24"/>
              </w:rPr>
            </w:pPr>
            <w:r w:rsidRPr="0070000E">
              <w:rPr>
                <w:rFonts w:eastAsia="Times New Roman" w:cs="Arial"/>
                <w:b/>
                <w:color w:val="000000"/>
                <w:szCs w:val="24"/>
              </w:rPr>
              <w:t>Footnotes:</w:t>
            </w:r>
          </w:p>
          <w:p w:rsidRPr="0070000E" w:rsidR="004E3F70" w:rsidP="002E5AE6" w:rsidRDefault="004E3F70" w14:paraId="098EC854" w14:textId="77777777">
            <w:pPr>
              <w:keepNext/>
              <w:keepLines/>
              <w:rPr>
                <w:rFonts w:eastAsia="Times New Roman" w:cs="Arial"/>
                <w:color w:val="000000"/>
                <w:sz w:val="20"/>
                <w:szCs w:val="20"/>
              </w:rPr>
            </w:pPr>
            <w:proofErr w:type="spellStart"/>
            <w:r w:rsidRPr="0070000E">
              <w:rPr>
                <w:rFonts w:eastAsia="Times New Roman" w:cs="Arial"/>
                <w:color w:val="000000"/>
                <w:sz w:val="20"/>
                <w:szCs w:val="20"/>
                <w:vertAlign w:val="superscript"/>
              </w:rPr>
              <w:t>a</w:t>
            </w:r>
            <w:proofErr w:type="spellEnd"/>
            <w:r w:rsidRPr="0070000E">
              <w:rPr>
                <w:rFonts w:eastAsia="Times New Roman" w:cs="Arial"/>
                <w:color w:val="000000"/>
                <w:sz w:val="20"/>
                <w:szCs w:val="20"/>
              </w:rPr>
              <w:t xml:space="preserve"> </w:t>
            </w:r>
            <w:proofErr w:type="gramStart"/>
            <w:r w:rsidRPr="0070000E">
              <w:rPr>
                <w:rFonts w:eastAsia="Times New Roman" w:cs="Arial"/>
                <w:color w:val="000000"/>
                <w:sz w:val="20"/>
                <w:szCs w:val="20"/>
              </w:rPr>
              <w:t>An</w:t>
            </w:r>
            <w:proofErr w:type="gramEnd"/>
            <w:r w:rsidRPr="0070000E">
              <w:rPr>
                <w:rFonts w:eastAsia="Times New Roman" w:cs="Arial"/>
                <w:color w:val="000000"/>
                <w:sz w:val="20"/>
                <w:szCs w:val="20"/>
              </w:rPr>
              <w:t xml:space="preserve"> overhead rate of 17% is used based on assumptions in Wage Rates for Economic Analysis of the Toxics Release Inventory Program (Rice, 2002), and the Revised Economic Analysis for the Amended Inventory Update Rule: Final Report (U.S. EPA, 2001).</w:t>
            </w:r>
          </w:p>
          <w:p w:rsidRPr="0070000E" w:rsidR="004E3F70" w:rsidP="002E5AE6" w:rsidRDefault="004E3F70" w14:paraId="45A7EC12" w14:textId="77777777">
            <w:pPr>
              <w:keepNext/>
              <w:keepLines/>
              <w:rPr>
                <w:rFonts w:eastAsia="Times New Roman" w:cs="Arial"/>
                <w:color w:val="000000"/>
                <w:sz w:val="20"/>
                <w:szCs w:val="20"/>
              </w:rPr>
            </w:pPr>
            <w:r w:rsidRPr="0070000E">
              <w:rPr>
                <w:rFonts w:eastAsia="Times New Roman" w:cs="Arial"/>
                <w:color w:val="000000"/>
                <w:sz w:val="20"/>
                <w:szCs w:val="20"/>
                <w:vertAlign w:val="superscript"/>
              </w:rPr>
              <w:t>b</w:t>
            </w:r>
            <w:r w:rsidRPr="0070000E">
              <w:rPr>
                <w:rFonts w:eastAsia="Times New Roman" w:cs="Arial"/>
                <w:color w:val="000000"/>
                <w:sz w:val="20"/>
                <w:szCs w:val="20"/>
              </w:rPr>
              <w:t xml:space="preserve"> </w:t>
            </w:r>
            <w:proofErr w:type="gramStart"/>
            <w:r w:rsidRPr="0070000E">
              <w:rPr>
                <w:rFonts w:eastAsia="Times New Roman" w:cs="Arial"/>
                <w:color w:val="000000"/>
                <w:sz w:val="20"/>
                <w:szCs w:val="20"/>
              </w:rPr>
              <w:t>The</w:t>
            </w:r>
            <w:proofErr w:type="gramEnd"/>
            <w:r w:rsidRPr="0070000E">
              <w:rPr>
                <w:rFonts w:eastAsia="Times New Roman" w:cs="Arial"/>
                <w:color w:val="000000"/>
                <w:sz w:val="20"/>
                <w:szCs w:val="20"/>
              </w:rPr>
              <w:t xml:space="preserve"> inflation factor of “1” in the formula for calculating the fringe + overhead factor means wage data are not escalated to reflect inflation.</w:t>
            </w:r>
          </w:p>
          <w:p w:rsidRPr="0070000E" w:rsidR="004E3F70" w:rsidP="002E5AE6" w:rsidRDefault="004E3F70" w14:paraId="56185929" w14:textId="77777777">
            <w:pPr>
              <w:keepNext/>
              <w:keepLines/>
              <w:rPr>
                <w:rFonts w:eastAsia="Times New Roman" w:cs="Arial"/>
                <w:color w:val="000000"/>
                <w:szCs w:val="24"/>
              </w:rPr>
            </w:pPr>
            <w:r w:rsidRPr="0070000E">
              <w:rPr>
                <w:rFonts w:eastAsia="Times New Roman" w:cs="Arial"/>
                <w:color w:val="000000"/>
                <w:sz w:val="20"/>
                <w:szCs w:val="20"/>
                <w:vertAlign w:val="superscript"/>
              </w:rPr>
              <w:t>c</w:t>
            </w:r>
            <w:r w:rsidRPr="0070000E">
              <w:rPr>
                <w:rFonts w:eastAsia="Times New Roman" w:cs="Arial"/>
                <w:color w:val="000000"/>
                <w:sz w:val="20"/>
                <w:szCs w:val="20"/>
              </w:rPr>
              <w:t xml:space="preserve"> Wage data are rounded to the closest cent in this analysis.</w:t>
            </w:r>
          </w:p>
        </w:tc>
      </w:tr>
    </w:tbl>
    <w:p w:rsidR="00D8420C" w:rsidP="001736C3" w:rsidRDefault="00D8420C" w14:paraId="516DB89C" w14:textId="17AD1D6F">
      <w:pPr>
        <w:pStyle w:val="BodyText"/>
        <w:ind w:right="289"/>
      </w:pPr>
    </w:p>
    <w:p w:rsidRPr="001D4B7D" w:rsidR="001736C3" w:rsidP="001736C3" w:rsidRDefault="001736C3" w14:paraId="442EB879" w14:textId="77777777">
      <w:pPr>
        <w:pStyle w:val="BodyText"/>
        <w:ind w:right="289"/>
        <w:rPr>
          <w:b/>
          <w:bCs/>
        </w:rPr>
      </w:pPr>
      <w:r w:rsidRPr="001D4B7D">
        <w:rPr>
          <w:b/>
          <w:bCs/>
        </w:rPr>
        <w:t>Consortia Non-Reporting Administrative Costs</w:t>
      </w:r>
    </w:p>
    <w:p w:rsidR="001736C3" w:rsidP="001736C3" w:rsidRDefault="001736C3" w14:paraId="1B39D52A" w14:textId="0A030FC2">
      <w:pPr>
        <w:pStyle w:val="BodyText"/>
        <w:ind w:right="289"/>
      </w:pPr>
      <w:r>
        <w:t>The regulation allows the formation of, and payment by, consortia for firms subject to actions under TSCA sections 4 and 6. Administrative costs associated with managing a testing consortia are estimated to total 15 percent of the total laboratory costs, which could be as high</w:t>
      </w:r>
      <w:r w:rsidRPr="001736C3">
        <w:t xml:space="preserve"> </w:t>
      </w:r>
      <w:r>
        <w:t>as approximately $1.7 million for a “standard” testing battery</w:t>
      </w:r>
      <w:r w:rsidRPr="00C13FFA">
        <w:t>.</w:t>
      </w:r>
      <w:r w:rsidR="00F0664C">
        <w:t xml:space="preserve"> </w:t>
      </w:r>
      <w:r>
        <w:lastRenderedPageBreak/>
        <w:t xml:space="preserve">While EPA recognizes that there may be significant administrative costs associated with forming and managing consortia, for firms subject to testing requirements under TSCA section 4 actions, EPA expects that testing consortia will be formed for purposes of coordinating the required testing and will, therefore, not incur significant additional costs for coordination of the fee payment. </w:t>
      </w:r>
    </w:p>
    <w:p w:rsidR="001736C3" w:rsidP="001736C3" w:rsidRDefault="001736C3" w14:paraId="3AFF1DC6" w14:textId="22443A80">
      <w:pPr>
        <w:pStyle w:val="BodyText"/>
        <w:ind w:right="289"/>
      </w:pPr>
      <w:r>
        <w:t>For firms subject to Risk Evaluations initiated by EPA under TSCA section 6,</w:t>
      </w:r>
      <w:r w:rsidR="003F437F">
        <w:t xml:space="preserve"> </w:t>
      </w:r>
      <w:r>
        <w:t>the ability to form consortia for coordination of fee payment is new under TSCA and the estimated administrative costs associated with forming consortia are, therefore, accounted for in this ICR. EPA estimates the cost per consortium to form and coordinate the fee payment for an EPA-initiated Risk Evaluation as five percent of the fee for EPA-initiated Risk Evaluations (5% x</w:t>
      </w:r>
      <w:r w:rsidR="00BA58F2">
        <w:t xml:space="preserve"> </w:t>
      </w:r>
      <w:r>
        <w:t>$2.05 million fee/3), for a total of $34,167 in administrative costs per TSCA section 6 consortium per year. EPA estimates that one consortium will form for each Risk Evaluation initiated by EPA each year, for a total of approximately seven consortia and approximately $228,000 in non-reporting administrative consortium costs each year.</w:t>
      </w:r>
    </w:p>
    <w:tbl>
      <w:tblPr>
        <w:tblW w:w="10245" w:type="dxa"/>
        <w:tblLook w:val="04A0" w:firstRow="1" w:lastRow="0" w:firstColumn="1" w:lastColumn="0" w:noHBand="0" w:noVBand="1"/>
      </w:tblPr>
      <w:tblGrid>
        <w:gridCol w:w="2537"/>
        <w:gridCol w:w="1737"/>
        <w:gridCol w:w="1710"/>
        <w:gridCol w:w="1440"/>
        <w:gridCol w:w="1603"/>
        <w:gridCol w:w="1218"/>
      </w:tblGrid>
      <w:tr w:rsidRPr="00C13C7B" w:rsidR="00240B59" w:rsidTr="00240B59" w14:paraId="7D75BB91" w14:textId="77777777">
        <w:trPr>
          <w:cantSplit/>
          <w:trHeight w:val="720"/>
        </w:trPr>
        <w:tc>
          <w:tcPr>
            <w:tcW w:w="10245" w:type="dxa"/>
            <w:gridSpan w:val="6"/>
            <w:tcBorders>
              <w:top w:val="single" w:color="auto" w:sz="12" w:space="0"/>
              <w:left w:val="single" w:color="auto" w:sz="8" w:space="0"/>
              <w:bottom w:val="nil"/>
              <w:right w:val="single" w:color="auto" w:sz="8" w:space="0"/>
            </w:tcBorders>
            <w:shd w:val="clear" w:color="auto" w:fill="auto"/>
            <w:vAlign w:val="center"/>
          </w:tcPr>
          <w:p w:rsidRPr="001D4B7D" w:rsidR="00240B59" w:rsidP="002E5AE6" w:rsidRDefault="00240B59" w14:paraId="278D940F" w14:textId="48D6A86F">
            <w:pPr>
              <w:keepNext/>
              <w:keepLines/>
              <w:jc w:val="center"/>
              <w:rPr>
                <w:rFonts w:eastAsia="Times New Roman" w:cs="Arial"/>
                <w:b/>
                <w:bCs/>
                <w:color w:val="000000"/>
                <w:sz w:val="20"/>
                <w:szCs w:val="20"/>
              </w:rPr>
            </w:pPr>
            <w:r w:rsidRPr="001D4B7D">
              <w:rPr>
                <w:rFonts w:eastAsia="Times New Roman" w:cs="Arial"/>
                <w:b/>
                <w:bCs/>
                <w:color w:val="000000"/>
                <w:sz w:val="20"/>
                <w:szCs w:val="20"/>
              </w:rPr>
              <w:lastRenderedPageBreak/>
              <w:t xml:space="preserve">Table 2. Summary of Total Costs </w:t>
            </w:r>
          </w:p>
        </w:tc>
      </w:tr>
      <w:tr w:rsidRPr="001D31F0" w:rsidR="008A3DA6" w:rsidTr="008A3DA6" w14:paraId="537E042A" w14:textId="77777777">
        <w:trPr>
          <w:cantSplit/>
          <w:trHeight w:val="720"/>
        </w:trPr>
        <w:tc>
          <w:tcPr>
            <w:tcW w:w="2537" w:type="dxa"/>
            <w:tcBorders>
              <w:top w:val="single" w:color="auto" w:sz="12" w:space="0"/>
              <w:left w:val="single" w:color="auto" w:sz="8" w:space="0"/>
              <w:bottom w:val="nil"/>
              <w:right w:val="single" w:color="auto" w:sz="8" w:space="0"/>
            </w:tcBorders>
            <w:shd w:val="clear" w:color="000000" w:fill="BFBFBF"/>
            <w:vAlign w:val="center"/>
            <w:hideMark/>
          </w:tcPr>
          <w:p w:rsidRPr="001D4B7D" w:rsidR="007B573F" w:rsidP="002E5AE6" w:rsidRDefault="007B573F" w14:paraId="760413E7" w14:textId="77777777">
            <w:pPr>
              <w:keepNext/>
              <w:keepLines/>
              <w:jc w:val="center"/>
              <w:rPr>
                <w:rFonts w:eastAsia="Times New Roman" w:cs="Arial"/>
                <w:b/>
                <w:bCs/>
                <w:color w:val="000000"/>
                <w:sz w:val="20"/>
                <w:szCs w:val="20"/>
              </w:rPr>
            </w:pPr>
            <w:bookmarkStart w:name="_Hlk72255526" w:id="6"/>
            <w:r w:rsidRPr="001D4B7D">
              <w:rPr>
                <w:rFonts w:eastAsia="Times New Roman" w:cs="Arial"/>
                <w:b/>
                <w:bCs/>
                <w:color w:val="000000"/>
                <w:sz w:val="20"/>
                <w:szCs w:val="20"/>
              </w:rPr>
              <w:t>Activity/Respondent</w:t>
            </w:r>
          </w:p>
        </w:tc>
        <w:tc>
          <w:tcPr>
            <w:tcW w:w="1737" w:type="dxa"/>
            <w:tcBorders>
              <w:top w:val="single" w:color="auto" w:sz="12" w:space="0"/>
              <w:left w:val="single" w:color="auto" w:sz="8" w:space="0"/>
              <w:bottom w:val="nil"/>
              <w:right w:val="nil"/>
            </w:tcBorders>
            <w:shd w:val="clear" w:color="000000" w:fill="BFBFBF"/>
            <w:vAlign w:val="center"/>
            <w:hideMark/>
          </w:tcPr>
          <w:p w:rsidRPr="001D4B7D" w:rsidR="007B573F" w:rsidP="002E5AE6" w:rsidRDefault="007B573F" w14:paraId="157C8AE5"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Number of Respondents</w:t>
            </w:r>
          </w:p>
        </w:tc>
        <w:tc>
          <w:tcPr>
            <w:tcW w:w="1710" w:type="dxa"/>
            <w:tcBorders>
              <w:top w:val="single" w:color="auto" w:sz="12" w:space="0"/>
              <w:left w:val="nil"/>
              <w:right w:val="nil"/>
            </w:tcBorders>
            <w:shd w:val="clear" w:color="000000" w:fill="BFBFBF"/>
            <w:vAlign w:val="center"/>
            <w:hideMark/>
          </w:tcPr>
          <w:p w:rsidRPr="001D4B7D" w:rsidR="007B573F" w:rsidP="002E5AE6" w:rsidRDefault="007B573F" w14:paraId="65E91DF9"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Burden per Response</w:t>
            </w:r>
          </w:p>
          <w:p w:rsidRPr="001D4B7D" w:rsidR="007B573F" w:rsidP="002E5AE6" w:rsidRDefault="007B573F" w14:paraId="3B2FCECC"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(hours)</w:t>
            </w:r>
          </w:p>
        </w:tc>
        <w:tc>
          <w:tcPr>
            <w:tcW w:w="1440" w:type="dxa"/>
            <w:tcBorders>
              <w:top w:val="single" w:color="auto" w:sz="12" w:space="0"/>
              <w:left w:val="nil"/>
              <w:bottom w:val="nil"/>
              <w:right w:val="nil"/>
            </w:tcBorders>
            <w:shd w:val="clear" w:color="000000" w:fill="BFBFBF"/>
            <w:vAlign w:val="center"/>
            <w:hideMark/>
          </w:tcPr>
          <w:p w:rsidRPr="001D4B7D" w:rsidR="007B573F" w:rsidP="002E5AE6" w:rsidRDefault="007B573F" w14:paraId="341D2CD2"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Total Burden (hours)</w:t>
            </w:r>
          </w:p>
        </w:tc>
        <w:tc>
          <w:tcPr>
            <w:tcW w:w="1603" w:type="dxa"/>
            <w:tcBorders>
              <w:top w:val="single" w:color="auto" w:sz="12" w:space="0"/>
              <w:left w:val="single" w:color="auto" w:sz="8" w:space="0"/>
              <w:bottom w:val="nil"/>
              <w:right w:val="nil"/>
            </w:tcBorders>
            <w:shd w:val="clear" w:color="000000" w:fill="BFBFBF"/>
            <w:vAlign w:val="center"/>
            <w:hideMark/>
          </w:tcPr>
          <w:p w:rsidRPr="001D4B7D" w:rsidR="007B573F" w:rsidP="002E5AE6" w:rsidRDefault="007B573F" w14:paraId="5E4D3D6B"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Cost per Respondent</w:t>
            </w:r>
          </w:p>
        </w:tc>
        <w:tc>
          <w:tcPr>
            <w:tcW w:w="1218" w:type="dxa"/>
            <w:tcBorders>
              <w:top w:val="single" w:color="auto" w:sz="12" w:space="0"/>
              <w:left w:val="single" w:color="auto" w:sz="8" w:space="0"/>
              <w:bottom w:val="nil"/>
              <w:right w:val="single" w:color="auto" w:sz="8" w:space="0"/>
            </w:tcBorders>
            <w:shd w:val="clear" w:color="000000" w:fill="BFBFBF"/>
            <w:vAlign w:val="center"/>
            <w:hideMark/>
          </w:tcPr>
          <w:p w:rsidRPr="001D4B7D" w:rsidR="007B573F" w:rsidP="002E5AE6" w:rsidRDefault="007B573F" w14:paraId="543A1680"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Total Cost</w:t>
            </w:r>
          </w:p>
        </w:tc>
      </w:tr>
      <w:bookmarkEnd w:id="6"/>
      <w:tr w:rsidRPr="001D31F0" w:rsidR="007B573F" w:rsidTr="002E5AE6" w14:paraId="5E64C35A" w14:textId="77777777">
        <w:trPr>
          <w:cantSplit/>
          <w:trHeight w:val="345"/>
        </w:trPr>
        <w:tc>
          <w:tcPr>
            <w:tcW w:w="10245"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2472AD08"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Rule Familiarization</w:t>
            </w:r>
          </w:p>
        </w:tc>
      </w:tr>
      <w:tr w:rsidRPr="001D31F0" w:rsidR="007B573F" w:rsidTr="008A3DA6" w14:paraId="1C81EB5F" w14:textId="77777777">
        <w:trPr>
          <w:cantSplit/>
          <w:trHeight w:val="315"/>
        </w:trPr>
        <w:tc>
          <w:tcPr>
            <w:tcW w:w="2537" w:type="dxa"/>
            <w:tcBorders>
              <w:top w:val="nil"/>
              <w:left w:val="single" w:color="auto" w:sz="8" w:space="0"/>
              <w:bottom w:val="single" w:color="auto" w:sz="8" w:space="0"/>
              <w:right w:val="single" w:color="auto" w:sz="8" w:space="0"/>
            </w:tcBorders>
            <w:shd w:val="clear" w:color="auto" w:fill="auto"/>
            <w:vAlign w:val="center"/>
            <w:hideMark/>
          </w:tcPr>
          <w:p w:rsidRPr="001D4B7D" w:rsidR="007B573F" w:rsidP="002E5AE6" w:rsidRDefault="007B573F" w14:paraId="5AA73D6B" w14:textId="77777777">
            <w:pPr>
              <w:keepNext/>
              <w:keepLines/>
              <w:rPr>
                <w:rFonts w:eastAsia="Times New Roman" w:cs="Arial"/>
                <w:color w:val="000000"/>
                <w:sz w:val="20"/>
                <w:szCs w:val="20"/>
              </w:rPr>
            </w:pPr>
            <w:r w:rsidRPr="001D4B7D">
              <w:rPr>
                <w:rFonts w:eastAsia="Times New Roman" w:cs="Arial"/>
                <w:color w:val="000000"/>
                <w:sz w:val="20"/>
                <w:szCs w:val="20"/>
              </w:rPr>
              <w:t>Section 4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5CEC1706" w14:textId="77777777">
            <w:pPr>
              <w:keepNext/>
              <w:keepLines/>
              <w:jc w:val="right"/>
              <w:rPr>
                <w:rFonts w:eastAsia="Times New Roman" w:cs="Arial"/>
                <w:color w:val="000000"/>
                <w:sz w:val="20"/>
                <w:szCs w:val="20"/>
              </w:rPr>
            </w:pPr>
            <w:r w:rsidRPr="001D4B7D">
              <w:rPr>
                <w:rFonts w:cs="Arial"/>
                <w:color w:val="000000"/>
                <w:sz w:val="20"/>
                <w:szCs w:val="20"/>
              </w:rPr>
              <w:t>195</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683C2342" w14:textId="77777777">
            <w:pPr>
              <w:keepNext/>
              <w:keepLines/>
              <w:jc w:val="right"/>
              <w:rPr>
                <w:rFonts w:eastAsia="Times New Roman" w:cs="Arial"/>
                <w:color w:val="000000"/>
                <w:sz w:val="20"/>
                <w:szCs w:val="20"/>
              </w:rPr>
            </w:pPr>
            <w:r w:rsidRPr="001D4B7D">
              <w:rPr>
                <w:rFonts w:cs="Arial"/>
                <w:color w:val="000000"/>
                <w:sz w:val="20"/>
                <w:szCs w:val="20"/>
              </w:rPr>
              <w:t>0.167</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66219243" w14:textId="77777777">
            <w:pPr>
              <w:keepNext/>
              <w:keepLines/>
              <w:jc w:val="right"/>
              <w:rPr>
                <w:rFonts w:eastAsia="Times New Roman" w:cs="Arial"/>
                <w:color w:val="000000"/>
                <w:sz w:val="20"/>
                <w:szCs w:val="20"/>
              </w:rPr>
            </w:pPr>
            <w:r w:rsidRPr="001D4B7D">
              <w:rPr>
                <w:rFonts w:cs="Arial"/>
                <w:color w:val="000000"/>
                <w:sz w:val="20"/>
                <w:szCs w:val="20"/>
              </w:rPr>
              <w:t>33</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30F4F4C6" w14:textId="77777777">
            <w:pPr>
              <w:keepNext/>
              <w:keepLines/>
              <w:jc w:val="right"/>
              <w:rPr>
                <w:rFonts w:eastAsia="Times New Roman" w:cs="Arial"/>
                <w:color w:val="000000"/>
                <w:sz w:val="20"/>
                <w:szCs w:val="20"/>
              </w:rPr>
            </w:pPr>
            <w:r w:rsidRPr="001D4B7D">
              <w:rPr>
                <w:rFonts w:cs="Arial"/>
                <w:color w:val="000000"/>
                <w:sz w:val="20"/>
                <w:szCs w:val="20"/>
              </w:rPr>
              <w:t xml:space="preserve">$12.96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405F2101" w14:textId="77777777">
            <w:pPr>
              <w:keepNext/>
              <w:keepLines/>
              <w:jc w:val="right"/>
              <w:rPr>
                <w:rFonts w:eastAsia="Times New Roman" w:cs="Arial"/>
                <w:color w:val="000000"/>
                <w:sz w:val="20"/>
                <w:szCs w:val="20"/>
              </w:rPr>
            </w:pPr>
            <w:r w:rsidRPr="001D4B7D">
              <w:rPr>
                <w:rFonts w:cs="Arial"/>
                <w:color w:val="000000"/>
                <w:sz w:val="20"/>
                <w:szCs w:val="20"/>
              </w:rPr>
              <w:t xml:space="preserve">$2,528 </w:t>
            </w:r>
          </w:p>
        </w:tc>
      </w:tr>
      <w:tr w:rsidRPr="001D31F0" w:rsidR="007B573F" w:rsidTr="008A3DA6" w14:paraId="732A3AF8" w14:textId="77777777">
        <w:trPr>
          <w:cantSplit/>
          <w:trHeight w:val="315"/>
        </w:trPr>
        <w:tc>
          <w:tcPr>
            <w:tcW w:w="2537" w:type="dxa"/>
            <w:tcBorders>
              <w:top w:val="nil"/>
              <w:left w:val="single" w:color="auto" w:sz="8" w:space="0"/>
              <w:bottom w:val="single" w:color="auto" w:sz="8" w:space="0"/>
              <w:right w:val="single" w:color="auto" w:sz="8" w:space="0"/>
            </w:tcBorders>
            <w:shd w:val="clear" w:color="auto" w:fill="auto"/>
            <w:vAlign w:val="center"/>
            <w:hideMark/>
          </w:tcPr>
          <w:p w:rsidRPr="001D4B7D" w:rsidR="007B573F" w:rsidP="002E5AE6" w:rsidRDefault="007B573F" w14:paraId="3F2F6458" w14:textId="77777777">
            <w:pPr>
              <w:keepNext/>
              <w:keepLines/>
              <w:rPr>
                <w:rFonts w:eastAsia="Times New Roman" w:cs="Arial"/>
                <w:color w:val="000000"/>
                <w:sz w:val="20"/>
                <w:szCs w:val="20"/>
              </w:rPr>
            </w:pPr>
            <w:r w:rsidRPr="001D4B7D">
              <w:rPr>
                <w:rFonts w:eastAsia="Times New Roman" w:cs="Arial"/>
                <w:color w:val="000000"/>
                <w:sz w:val="20"/>
                <w:szCs w:val="20"/>
              </w:rPr>
              <w:t>Section 5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18294CBA" w14:textId="77777777">
            <w:pPr>
              <w:keepNext/>
              <w:keepLines/>
              <w:jc w:val="right"/>
              <w:rPr>
                <w:rFonts w:eastAsia="Times New Roman" w:cs="Arial"/>
                <w:color w:val="000000"/>
                <w:sz w:val="20"/>
                <w:szCs w:val="20"/>
              </w:rPr>
            </w:pPr>
            <w:r w:rsidRPr="001D4B7D">
              <w:rPr>
                <w:rFonts w:cs="Arial"/>
                <w:color w:val="000000"/>
                <w:sz w:val="20"/>
                <w:szCs w:val="20"/>
              </w:rPr>
              <w:t>1,003</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03713D5D" w14:textId="77777777">
            <w:pPr>
              <w:keepNext/>
              <w:keepLines/>
              <w:jc w:val="right"/>
              <w:rPr>
                <w:rFonts w:eastAsia="Times New Roman" w:cs="Arial"/>
                <w:color w:val="000000"/>
                <w:sz w:val="20"/>
                <w:szCs w:val="20"/>
              </w:rPr>
            </w:pPr>
            <w:r w:rsidRPr="001D4B7D">
              <w:rPr>
                <w:rFonts w:cs="Arial"/>
                <w:color w:val="000000"/>
                <w:sz w:val="20"/>
                <w:szCs w:val="20"/>
              </w:rPr>
              <w:t>0.167</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2A4BB855" w14:textId="77777777">
            <w:pPr>
              <w:keepNext/>
              <w:keepLines/>
              <w:jc w:val="right"/>
              <w:rPr>
                <w:rFonts w:eastAsia="Times New Roman" w:cs="Arial"/>
                <w:color w:val="000000"/>
                <w:sz w:val="20"/>
                <w:szCs w:val="20"/>
              </w:rPr>
            </w:pPr>
            <w:r w:rsidRPr="001D4B7D">
              <w:rPr>
                <w:rFonts w:cs="Arial"/>
                <w:color w:val="000000"/>
                <w:sz w:val="20"/>
                <w:szCs w:val="20"/>
              </w:rPr>
              <w:t>167</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35EB5A6A" w14:textId="77777777">
            <w:pPr>
              <w:keepNext/>
              <w:keepLines/>
              <w:jc w:val="right"/>
              <w:rPr>
                <w:rFonts w:eastAsia="Times New Roman" w:cs="Arial"/>
                <w:color w:val="000000"/>
                <w:sz w:val="20"/>
                <w:szCs w:val="20"/>
              </w:rPr>
            </w:pPr>
            <w:r w:rsidRPr="001D4B7D">
              <w:rPr>
                <w:rFonts w:cs="Arial"/>
                <w:color w:val="000000"/>
                <w:sz w:val="20"/>
                <w:szCs w:val="20"/>
              </w:rPr>
              <w:t xml:space="preserve">$12.96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20F85D91" w14:textId="77777777">
            <w:pPr>
              <w:keepNext/>
              <w:keepLines/>
              <w:jc w:val="right"/>
              <w:rPr>
                <w:rFonts w:eastAsia="Times New Roman" w:cs="Arial"/>
                <w:color w:val="000000"/>
                <w:sz w:val="20"/>
                <w:szCs w:val="20"/>
              </w:rPr>
            </w:pPr>
            <w:r w:rsidRPr="001D4B7D">
              <w:rPr>
                <w:rFonts w:cs="Arial"/>
                <w:color w:val="000000"/>
                <w:sz w:val="20"/>
                <w:szCs w:val="20"/>
              </w:rPr>
              <w:t xml:space="preserve">$13,002 </w:t>
            </w:r>
          </w:p>
        </w:tc>
      </w:tr>
      <w:tr w:rsidRPr="001D31F0" w:rsidR="007B573F" w:rsidTr="008A3DA6" w14:paraId="65E3BCE1" w14:textId="77777777">
        <w:trPr>
          <w:cantSplit/>
          <w:trHeight w:val="315"/>
        </w:trPr>
        <w:tc>
          <w:tcPr>
            <w:tcW w:w="2537" w:type="dxa"/>
            <w:tcBorders>
              <w:top w:val="nil"/>
              <w:left w:val="single" w:color="auto" w:sz="8" w:space="0"/>
              <w:bottom w:val="nil"/>
              <w:right w:val="single" w:color="auto" w:sz="8" w:space="0"/>
            </w:tcBorders>
            <w:shd w:val="clear" w:color="auto" w:fill="auto"/>
            <w:vAlign w:val="center"/>
            <w:hideMark/>
          </w:tcPr>
          <w:p w:rsidRPr="001D4B7D" w:rsidR="007B573F" w:rsidP="002E5AE6" w:rsidRDefault="007B573F" w14:paraId="36253E3F" w14:textId="77777777">
            <w:pPr>
              <w:keepNext/>
              <w:keepLines/>
              <w:rPr>
                <w:rFonts w:eastAsia="Times New Roman" w:cs="Arial"/>
                <w:color w:val="000000"/>
                <w:sz w:val="20"/>
                <w:szCs w:val="20"/>
              </w:rPr>
            </w:pPr>
            <w:r w:rsidRPr="001D4B7D">
              <w:rPr>
                <w:rFonts w:eastAsia="Times New Roman" w:cs="Arial"/>
                <w:color w:val="000000"/>
                <w:sz w:val="20"/>
                <w:szCs w:val="20"/>
              </w:rPr>
              <w:t>Section 6 Actions</w:t>
            </w:r>
          </w:p>
        </w:tc>
        <w:tc>
          <w:tcPr>
            <w:tcW w:w="1737" w:type="dxa"/>
            <w:tcBorders>
              <w:top w:val="nil"/>
              <w:left w:val="nil"/>
              <w:bottom w:val="nil"/>
              <w:right w:val="nil"/>
            </w:tcBorders>
            <w:shd w:val="clear" w:color="auto" w:fill="auto"/>
            <w:vAlign w:val="center"/>
            <w:hideMark/>
          </w:tcPr>
          <w:p w:rsidRPr="001D4B7D" w:rsidR="007B573F" w:rsidP="002E5AE6" w:rsidRDefault="007B573F" w14:paraId="4DD1BDFE" w14:textId="77777777">
            <w:pPr>
              <w:keepNext/>
              <w:keepLines/>
              <w:jc w:val="right"/>
              <w:rPr>
                <w:rFonts w:eastAsia="Times New Roman" w:cs="Arial"/>
                <w:color w:val="000000"/>
                <w:sz w:val="20"/>
                <w:szCs w:val="20"/>
              </w:rPr>
            </w:pPr>
            <w:r w:rsidRPr="001D4B7D">
              <w:rPr>
                <w:rFonts w:cs="Arial"/>
                <w:color w:val="000000"/>
                <w:sz w:val="20"/>
                <w:szCs w:val="20"/>
              </w:rPr>
              <w:t>150</w:t>
            </w:r>
          </w:p>
        </w:tc>
        <w:tc>
          <w:tcPr>
            <w:tcW w:w="1710" w:type="dxa"/>
            <w:tcBorders>
              <w:top w:val="nil"/>
              <w:left w:val="nil"/>
              <w:bottom w:val="nil"/>
              <w:right w:val="nil"/>
            </w:tcBorders>
            <w:shd w:val="clear" w:color="auto" w:fill="auto"/>
            <w:vAlign w:val="center"/>
            <w:hideMark/>
          </w:tcPr>
          <w:p w:rsidRPr="001D4B7D" w:rsidR="007B573F" w:rsidP="002E5AE6" w:rsidRDefault="007B573F" w14:paraId="0272A194" w14:textId="77777777">
            <w:pPr>
              <w:keepNext/>
              <w:keepLines/>
              <w:jc w:val="right"/>
              <w:rPr>
                <w:rFonts w:eastAsia="Times New Roman" w:cs="Arial"/>
                <w:color w:val="000000"/>
                <w:sz w:val="20"/>
                <w:szCs w:val="20"/>
              </w:rPr>
            </w:pPr>
            <w:r w:rsidRPr="001D4B7D">
              <w:rPr>
                <w:rFonts w:cs="Arial"/>
                <w:color w:val="000000"/>
                <w:sz w:val="20"/>
                <w:szCs w:val="20"/>
              </w:rPr>
              <w:t>0.167</w:t>
            </w:r>
          </w:p>
        </w:tc>
        <w:tc>
          <w:tcPr>
            <w:tcW w:w="1440" w:type="dxa"/>
            <w:tcBorders>
              <w:top w:val="nil"/>
              <w:left w:val="nil"/>
              <w:bottom w:val="nil"/>
              <w:right w:val="nil"/>
            </w:tcBorders>
            <w:shd w:val="clear" w:color="auto" w:fill="auto"/>
            <w:vAlign w:val="center"/>
            <w:hideMark/>
          </w:tcPr>
          <w:p w:rsidRPr="001D4B7D" w:rsidR="007B573F" w:rsidP="002E5AE6" w:rsidRDefault="007B573F" w14:paraId="02AD5840" w14:textId="77777777">
            <w:pPr>
              <w:keepNext/>
              <w:keepLines/>
              <w:jc w:val="right"/>
              <w:rPr>
                <w:rFonts w:eastAsia="Times New Roman" w:cs="Arial"/>
                <w:color w:val="000000"/>
                <w:sz w:val="20"/>
                <w:szCs w:val="20"/>
              </w:rPr>
            </w:pPr>
            <w:r w:rsidRPr="001D4B7D">
              <w:rPr>
                <w:rFonts w:cs="Arial"/>
                <w:color w:val="000000"/>
                <w:sz w:val="20"/>
                <w:szCs w:val="20"/>
              </w:rPr>
              <w:t>25</w:t>
            </w:r>
          </w:p>
        </w:tc>
        <w:tc>
          <w:tcPr>
            <w:tcW w:w="1603" w:type="dxa"/>
            <w:tcBorders>
              <w:top w:val="nil"/>
              <w:left w:val="single" w:color="auto" w:sz="8" w:space="0"/>
              <w:bottom w:val="nil"/>
              <w:right w:val="nil"/>
            </w:tcBorders>
            <w:shd w:val="clear" w:color="auto" w:fill="auto"/>
            <w:vAlign w:val="center"/>
            <w:hideMark/>
          </w:tcPr>
          <w:p w:rsidRPr="001D4B7D" w:rsidR="007B573F" w:rsidP="002E5AE6" w:rsidRDefault="007B573F" w14:paraId="4F1F4C8B" w14:textId="77777777">
            <w:pPr>
              <w:keepNext/>
              <w:keepLines/>
              <w:jc w:val="right"/>
              <w:rPr>
                <w:rFonts w:eastAsia="Times New Roman" w:cs="Arial"/>
                <w:color w:val="000000"/>
                <w:sz w:val="20"/>
                <w:szCs w:val="20"/>
              </w:rPr>
            </w:pPr>
            <w:r w:rsidRPr="001D4B7D">
              <w:rPr>
                <w:rFonts w:cs="Arial"/>
                <w:color w:val="000000"/>
                <w:sz w:val="20"/>
                <w:szCs w:val="20"/>
              </w:rPr>
              <w:t xml:space="preserve">$12.96 </w:t>
            </w:r>
          </w:p>
        </w:tc>
        <w:tc>
          <w:tcPr>
            <w:tcW w:w="1218" w:type="dxa"/>
            <w:tcBorders>
              <w:top w:val="nil"/>
              <w:left w:val="nil"/>
              <w:bottom w:val="nil"/>
              <w:right w:val="single" w:color="auto" w:sz="8" w:space="0"/>
            </w:tcBorders>
            <w:shd w:val="clear" w:color="auto" w:fill="auto"/>
            <w:vAlign w:val="center"/>
            <w:hideMark/>
          </w:tcPr>
          <w:p w:rsidRPr="001D4B7D" w:rsidR="007B573F" w:rsidP="002E5AE6" w:rsidRDefault="007B573F" w14:paraId="7EC8514C" w14:textId="77777777">
            <w:pPr>
              <w:keepNext/>
              <w:keepLines/>
              <w:jc w:val="right"/>
              <w:rPr>
                <w:rFonts w:eastAsia="Times New Roman" w:cs="Arial"/>
                <w:color w:val="000000"/>
                <w:sz w:val="20"/>
                <w:szCs w:val="20"/>
              </w:rPr>
            </w:pPr>
            <w:r w:rsidRPr="001D4B7D">
              <w:rPr>
                <w:rFonts w:cs="Arial"/>
                <w:color w:val="000000"/>
                <w:sz w:val="20"/>
                <w:szCs w:val="20"/>
              </w:rPr>
              <w:t xml:space="preserve">$1,945 </w:t>
            </w:r>
          </w:p>
        </w:tc>
      </w:tr>
      <w:tr w:rsidRPr="001D31F0" w:rsidR="007B573F" w:rsidTr="002E5AE6" w14:paraId="4CE5E924" w14:textId="77777777">
        <w:trPr>
          <w:cantSplit/>
          <w:trHeight w:val="345"/>
        </w:trPr>
        <w:tc>
          <w:tcPr>
            <w:tcW w:w="10245"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6CD1EFB5"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Notification of Participation in Consortia</w:t>
            </w:r>
          </w:p>
        </w:tc>
      </w:tr>
      <w:tr w:rsidRPr="001D31F0" w:rsidR="007B573F" w:rsidTr="008A3DA6" w14:paraId="6D413993" w14:textId="77777777">
        <w:trPr>
          <w:cantSplit/>
          <w:trHeight w:val="315"/>
        </w:trPr>
        <w:tc>
          <w:tcPr>
            <w:tcW w:w="2537" w:type="dxa"/>
            <w:tcBorders>
              <w:top w:val="nil"/>
              <w:left w:val="single" w:color="auto" w:sz="8" w:space="0"/>
              <w:bottom w:val="single" w:color="auto" w:sz="8" w:space="0"/>
              <w:right w:val="single" w:color="auto" w:sz="8" w:space="0"/>
            </w:tcBorders>
            <w:shd w:val="clear" w:color="auto" w:fill="auto"/>
            <w:vAlign w:val="center"/>
            <w:hideMark/>
          </w:tcPr>
          <w:p w:rsidRPr="001D4B7D" w:rsidR="007B573F" w:rsidP="002E5AE6" w:rsidRDefault="007B573F" w14:paraId="2B2DE39E" w14:textId="77777777">
            <w:pPr>
              <w:keepNext/>
              <w:keepLines/>
              <w:rPr>
                <w:rFonts w:eastAsia="Times New Roman" w:cs="Arial"/>
                <w:color w:val="000000"/>
                <w:sz w:val="20"/>
                <w:szCs w:val="20"/>
              </w:rPr>
            </w:pPr>
            <w:r w:rsidRPr="001D4B7D">
              <w:rPr>
                <w:rFonts w:eastAsia="Times New Roman" w:cs="Arial"/>
                <w:color w:val="000000"/>
                <w:sz w:val="20"/>
                <w:szCs w:val="20"/>
              </w:rPr>
              <w:t>Section 4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1A820090" w14:textId="77777777">
            <w:pPr>
              <w:keepNext/>
              <w:keepLines/>
              <w:jc w:val="right"/>
              <w:rPr>
                <w:rFonts w:eastAsia="Times New Roman" w:cs="Arial"/>
                <w:color w:val="000000"/>
                <w:sz w:val="20"/>
                <w:szCs w:val="20"/>
              </w:rPr>
            </w:pPr>
            <w:r w:rsidRPr="001D4B7D">
              <w:rPr>
                <w:rFonts w:cs="Arial"/>
                <w:color w:val="000000"/>
                <w:sz w:val="20"/>
                <w:szCs w:val="20"/>
              </w:rPr>
              <w:t>13</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085C57D4" w14:textId="77777777">
            <w:pPr>
              <w:keepNext/>
              <w:keepLines/>
              <w:jc w:val="right"/>
              <w:rPr>
                <w:rFonts w:eastAsia="Times New Roman" w:cs="Arial"/>
                <w:color w:val="000000"/>
                <w:sz w:val="20"/>
                <w:szCs w:val="20"/>
              </w:rPr>
            </w:pPr>
            <w:r w:rsidRPr="001D4B7D">
              <w:rPr>
                <w:rFonts w:cs="Arial"/>
                <w:color w:val="000000"/>
                <w:sz w:val="20"/>
                <w:szCs w:val="20"/>
              </w:rPr>
              <w:t>0.083</w:t>
            </w:r>
          </w:p>
        </w:tc>
        <w:tc>
          <w:tcPr>
            <w:tcW w:w="1440"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59A20661" w14:textId="77777777">
            <w:pPr>
              <w:keepNext/>
              <w:keepLines/>
              <w:jc w:val="right"/>
              <w:rPr>
                <w:rFonts w:eastAsia="Times New Roman" w:cs="Arial"/>
                <w:color w:val="000000"/>
                <w:sz w:val="20"/>
                <w:szCs w:val="20"/>
              </w:rPr>
            </w:pPr>
            <w:r w:rsidRPr="001D4B7D">
              <w:rPr>
                <w:rFonts w:cs="Arial"/>
                <w:color w:val="000000"/>
                <w:sz w:val="20"/>
                <w:szCs w:val="20"/>
              </w:rPr>
              <w:t>1</w:t>
            </w:r>
          </w:p>
        </w:tc>
        <w:tc>
          <w:tcPr>
            <w:tcW w:w="1603" w:type="dxa"/>
            <w:tcBorders>
              <w:top w:val="nil"/>
              <w:left w:val="nil"/>
              <w:bottom w:val="single" w:color="auto" w:sz="8" w:space="0"/>
              <w:right w:val="nil"/>
            </w:tcBorders>
            <w:shd w:val="clear" w:color="auto" w:fill="auto"/>
            <w:vAlign w:val="center"/>
            <w:hideMark/>
          </w:tcPr>
          <w:p w:rsidRPr="001D4B7D" w:rsidR="007B573F" w:rsidP="002E5AE6" w:rsidRDefault="007B573F" w14:paraId="37DB9114" w14:textId="77777777">
            <w:pPr>
              <w:keepNext/>
              <w:keepLines/>
              <w:jc w:val="right"/>
              <w:rPr>
                <w:rFonts w:eastAsia="Times New Roman" w:cs="Arial"/>
                <w:color w:val="000000"/>
                <w:sz w:val="20"/>
                <w:szCs w:val="20"/>
              </w:rPr>
            </w:pPr>
            <w:r w:rsidRPr="001D4B7D">
              <w:rPr>
                <w:rFonts w:cs="Arial"/>
                <w:color w:val="000000"/>
                <w:sz w:val="20"/>
                <w:szCs w:val="20"/>
              </w:rPr>
              <w:t xml:space="preserve">$6.48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7D597DEF" w14:textId="77777777">
            <w:pPr>
              <w:keepNext/>
              <w:keepLines/>
              <w:jc w:val="right"/>
              <w:rPr>
                <w:rFonts w:eastAsia="Times New Roman" w:cs="Arial"/>
                <w:color w:val="000000"/>
                <w:sz w:val="20"/>
                <w:szCs w:val="20"/>
              </w:rPr>
            </w:pPr>
            <w:r w:rsidRPr="001D4B7D">
              <w:rPr>
                <w:rFonts w:cs="Arial"/>
                <w:color w:val="000000"/>
                <w:sz w:val="20"/>
                <w:szCs w:val="20"/>
              </w:rPr>
              <w:t xml:space="preserve">$84 </w:t>
            </w:r>
          </w:p>
        </w:tc>
      </w:tr>
      <w:tr w:rsidRPr="001D31F0" w:rsidR="007B573F" w:rsidTr="008A3DA6" w14:paraId="1B6FE5E0" w14:textId="77777777">
        <w:trPr>
          <w:cantSplit/>
          <w:trHeight w:val="315"/>
        </w:trPr>
        <w:tc>
          <w:tcPr>
            <w:tcW w:w="2537" w:type="dxa"/>
            <w:tcBorders>
              <w:top w:val="nil"/>
              <w:left w:val="single" w:color="auto" w:sz="8" w:space="0"/>
              <w:bottom w:val="single" w:color="auto" w:sz="8" w:space="0"/>
              <w:right w:val="single" w:color="auto" w:sz="8" w:space="0"/>
            </w:tcBorders>
            <w:shd w:val="clear" w:color="auto" w:fill="auto"/>
            <w:vAlign w:val="center"/>
            <w:hideMark/>
          </w:tcPr>
          <w:p w:rsidRPr="001D4B7D" w:rsidR="007B573F" w:rsidP="002E5AE6" w:rsidRDefault="007B573F" w14:paraId="7A4AB110" w14:textId="77777777">
            <w:pPr>
              <w:keepNext/>
              <w:keepLines/>
              <w:rPr>
                <w:rFonts w:eastAsia="Times New Roman" w:cs="Arial"/>
                <w:color w:val="000000"/>
                <w:sz w:val="20"/>
                <w:szCs w:val="20"/>
              </w:rPr>
            </w:pPr>
            <w:r w:rsidRPr="001D4B7D">
              <w:rPr>
                <w:rFonts w:eastAsia="Times New Roman" w:cs="Arial"/>
                <w:color w:val="000000"/>
                <w:sz w:val="20"/>
                <w:szCs w:val="20"/>
              </w:rPr>
              <w:t>Section 6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1E77ABF9" w14:textId="77777777">
            <w:pPr>
              <w:keepNext/>
              <w:keepLines/>
              <w:jc w:val="right"/>
              <w:rPr>
                <w:rFonts w:eastAsia="Times New Roman" w:cs="Arial"/>
                <w:color w:val="000000"/>
                <w:sz w:val="20"/>
                <w:szCs w:val="20"/>
              </w:rPr>
            </w:pPr>
            <w:r w:rsidRPr="001D4B7D">
              <w:rPr>
                <w:rFonts w:cs="Arial"/>
                <w:color w:val="000000"/>
                <w:sz w:val="20"/>
                <w:szCs w:val="20"/>
              </w:rPr>
              <w:t>7</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700D3E5B" w14:textId="77777777">
            <w:pPr>
              <w:keepNext/>
              <w:keepLines/>
              <w:jc w:val="right"/>
              <w:rPr>
                <w:rFonts w:eastAsia="Times New Roman" w:cs="Arial"/>
                <w:color w:val="000000"/>
                <w:sz w:val="20"/>
                <w:szCs w:val="20"/>
              </w:rPr>
            </w:pPr>
            <w:r w:rsidRPr="001D4B7D">
              <w:rPr>
                <w:rFonts w:cs="Arial"/>
                <w:color w:val="000000"/>
                <w:sz w:val="20"/>
                <w:szCs w:val="20"/>
              </w:rPr>
              <w:t>0.083</w:t>
            </w:r>
          </w:p>
        </w:tc>
        <w:tc>
          <w:tcPr>
            <w:tcW w:w="1440"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471E0D2A" w14:textId="77777777">
            <w:pPr>
              <w:keepNext/>
              <w:keepLines/>
              <w:jc w:val="right"/>
              <w:rPr>
                <w:rFonts w:eastAsia="Times New Roman" w:cs="Arial"/>
                <w:color w:val="000000"/>
                <w:sz w:val="20"/>
                <w:szCs w:val="20"/>
              </w:rPr>
            </w:pPr>
            <w:r w:rsidRPr="001D4B7D">
              <w:rPr>
                <w:rFonts w:cs="Arial"/>
                <w:color w:val="000000"/>
                <w:sz w:val="20"/>
                <w:szCs w:val="20"/>
              </w:rPr>
              <w:t>0.58</w:t>
            </w:r>
          </w:p>
        </w:tc>
        <w:tc>
          <w:tcPr>
            <w:tcW w:w="1603" w:type="dxa"/>
            <w:tcBorders>
              <w:top w:val="nil"/>
              <w:left w:val="nil"/>
              <w:bottom w:val="single" w:color="auto" w:sz="8" w:space="0"/>
              <w:right w:val="nil"/>
            </w:tcBorders>
            <w:shd w:val="clear" w:color="auto" w:fill="auto"/>
            <w:vAlign w:val="center"/>
            <w:hideMark/>
          </w:tcPr>
          <w:p w:rsidRPr="001D4B7D" w:rsidR="007B573F" w:rsidP="002E5AE6" w:rsidRDefault="007B573F" w14:paraId="66EBD182" w14:textId="77777777">
            <w:pPr>
              <w:keepNext/>
              <w:keepLines/>
              <w:jc w:val="right"/>
              <w:rPr>
                <w:rFonts w:eastAsia="Times New Roman" w:cs="Arial"/>
                <w:color w:val="000000"/>
                <w:sz w:val="20"/>
                <w:szCs w:val="20"/>
              </w:rPr>
            </w:pPr>
            <w:r w:rsidRPr="001D4B7D">
              <w:rPr>
                <w:rFonts w:cs="Arial"/>
                <w:color w:val="000000"/>
                <w:sz w:val="20"/>
                <w:szCs w:val="20"/>
              </w:rPr>
              <w:t xml:space="preserve">$6.48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7FD14C7A" w14:textId="77777777">
            <w:pPr>
              <w:keepNext/>
              <w:keepLines/>
              <w:jc w:val="right"/>
              <w:rPr>
                <w:rFonts w:eastAsia="Times New Roman" w:cs="Arial"/>
                <w:color w:val="000000"/>
                <w:sz w:val="20"/>
                <w:szCs w:val="20"/>
              </w:rPr>
            </w:pPr>
            <w:r w:rsidRPr="001D4B7D">
              <w:rPr>
                <w:rFonts w:cs="Arial"/>
                <w:color w:val="000000"/>
                <w:sz w:val="20"/>
                <w:szCs w:val="20"/>
              </w:rPr>
              <w:t xml:space="preserve">$45 </w:t>
            </w:r>
          </w:p>
        </w:tc>
      </w:tr>
      <w:tr w:rsidRPr="001D31F0" w:rsidR="007B573F" w:rsidTr="002E5AE6" w14:paraId="5B5639FC" w14:textId="77777777">
        <w:trPr>
          <w:cantSplit/>
          <w:trHeight w:val="345"/>
        </w:trPr>
        <w:tc>
          <w:tcPr>
            <w:tcW w:w="10245"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2ED2781A"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CDX Registration</w:t>
            </w:r>
          </w:p>
        </w:tc>
      </w:tr>
      <w:tr w:rsidRPr="001D31F0" w:rsidR="007B573F" w:rsidTr="008A3DA6" w14:paraId="2D83C076" w14:textId="77777777">
        <w:trPr>
          <w:cantSplit/>
          <w:trHeight w:val="315"/>
        </w:trPr>
        <w:tc>
          <w:tcPr>
            <w:tcW w:w="2537" w:type="dxa"/>
            <w:tcBorders>
              <w:top w:val="nil"/>
              <w:left w:val="single" w:color="auto" w:sz="8" w:space="0"/>
              <w:bottom w:val="nil"/>
              <w:right w:val="single" w:color="auto" w:sz="8" w:space="0"/>
            </w:tcBorders>
            <w:shd w:val="clear" w:color="auto" w:fill="auto"/>
            <w:vAlign w:val="center"/>
            <w:hideMark/>
          </w:tcPr>
          <w:p w:rsidRPr="001D4B7D" w:rsidR="007B573F" w:rsidP="002E5AE6" w:rsidRDefault="007B573F" w14:paraId="15FB6FC3" w14:textId="77777777">
            <w:pPr>
              <w:keepNext/>
              <w:keepLines/>
              <w:rPr>
                <w:rFonts w:eastAsia="Times New Roman" w:cs="Arial"/>
                <w:color w:val="000000"/>
                <w:sz w:val="20"/>
                <w:szCs w:val="20"/>
              </w:rPr>
            </w:pPr>
            <w:r w:rsidRPr="001D4B7D">
              <w:rPr>
                <w:rFonts w:eastAsia="Times New Roman" w:cs="Arial"/>
                <w:color w:val="000000"/>
                <w:sz w:val="20"/>
                <w:szCs w:val="20"/>
              </w:rPr>
              <w:t>Section 6 Actions</w:t>
            </w:r>
          </w:p>
        </w:tc>
        <w:tc>
          <w:tcPr>
            <w:tcW w:w="1737" w:type="dxa"/>
            <w:tcBorders>
              <w:top w:val="nil"/>
              <w:left w:val="nil"/>
              <w:bottom w:val="nil"/>
              <w:right w:val="nil"/>
            </w:tcBorders>
            <w:shd w:val="clear" w:color="auto" w:fill="auto"/>
            <w:vAlign w:val="center"/>
            <w:hideMark/>
          </w:tcPr>
          <w:p w:rsidRPr="001D4B7D" w:rsidR="007B573F" w:rsidP="002E5AE6" w:rsidRDefault="007B573F" w14:paraId="69FB3EF0" w14:textId="77777777">
            <w:pPr>
              <w:keepNext/>
              <w:keepLines/>
              <w:jc w:val="right"/>
              <w:rPr>
                <w:rFonts w:eastAsia="Times New Roman" w:cs="Arial"/>
                <w:color w:val="000000"/>
                <w:sz w:val="20"/>
                <w:szCs w:val="20"/>
              </w:rPr>
            </w:pPr>
            <w:r w:rsidRPr="001D4B7D">
              <w:rPr>
                <w:rFonts w:cs="Arial"/>
                <w:color w:val="000000"/>
                <w:sz w:val="20"/>
                <w:szCs w:val="20"/>
              </w:rPr>
              <w:t>100</w:t>
            </w:r>
          </w:p>
        </w:tc>
        <w:tc>
          <w:tcPr>
            <w:tcW w:w="1710" w:type="dxa"/>
            <w:tcBorders>
              <w:top w:val="nil"/>
              <w:left w:val="nil"/>
              <w:bottom w:val="nil"/>
              <w:right w:val="nil"/>
            </w:tcBorders>
            <w:shd w:val="clear" w:color="auto" w:fill="auto"/>
            <w:vAlign w:val="center"/>
            <w:hideMark/>
          </w:tcPr>
          <w:p w:rsidRPr="001D4B7D" w:rsidR="007B573F" w:rsidP="002E5AE6" w:rsidRDefault="007B573F" w14:paraId="66AA78BE" w14:textId="542B307A">
            <w:pPr>
              <w:keepNext/>
              <w:keepLines/>
              <w:jc w:val="right"/>
              <w:rPr>
                <w:rFonts w:eastAsia="Times New Roman" w:cs="Arial"/>
                <w:color w:val="000000"/>
                <w:sz w:val="20"/>
                <w:szCs w:val="20"/>
              </w:rPr>
            </w:pPr>
            <w:r w:rsidRPr="001D4B7D">
              <w:rPr>
                <w:rFonts w:cs="Arial"/>
                <w:color w:val="000000"/>
                <w:sz w:val="20"/>
                <w:szCs w:val="20"/>
              </w:rPr>
              <w:t>0.</w:t>
            </w:r>
            <w:r w:rsidRPr="001D4B7D" w:rsidR="001D7276">
              <w:rPr>
                <w:rFonts w:cs="Arial"/>
                <w:color w:val="000000"/>
                <w:sz w:val="20"/>
                <w:szCs w:val="20"/>
              </w:rPr>
              <w:t>333</w:t>
            </w:r>
          </w:p>
        </w:tc>
        <w:tc>
          <w:tcPr>
            <w:tcW w:w="1440" w:type="dxa"/>
            <w:tcBorders>
              <w:top w:val="nil"/>
              <w:left w:val="nil"/>
              <w:bottom w:val="nil"/>
              <w:right w:val="nil"/>
            </w:tcBorders>
            <w:shd w:val="clear" w:color="auto" w:fill="auto"/>
            <w:vAlign w:val="center"/>
            <w:hideMark/>
          </w:tcPr>
          <w:p w:rsidRPr="001D4B7D" w:rsidR="007B573F" w:rsidP="002E5AE6" w:rsidRDefault="001D7276" w14:paraId="34E6FF05" w14:textId="17EF9A08">
            <w:pPr>
              <w:keepNext/>
              <w:keepLines/>
              <w:jc w:val="right"/>
              <w:rPr>
                <w:rFonts w:eastAsia="Times New Roman" w:cs="Arial"/>
                <w:color w:val="000000"/>
                <w:sz w:val="20"/>
                <w:szCs w:val="20"/>
              </w:rPr>
            </w:pPr>
            <w:r w:rsidRPr="001D4B7D">
              <w:rPr>
                <w:rFonts w:cs="Arial"/>
                <w:color w:val="000000"/>
                <w:sz w:val="20"/>
                <w:szCs w:val="20"/>
              </w:rPr>
              <w:t>33.3</w:t>
            </w:r>
          </w:p>
        </w:tc>
        <w:tc>
          <w:tcPr>
            <w:tcW w:w="1603" w:type="dxa"/>
            <w:tcBorders>
              <w:top w:val="nil"/>
              <w:left w:val="single" w:color="auto" w:sz="8" w:space="0"/>
              <w:bottom w:val="nil"/>
              <w:right w:val="nil"/>
            </w:tcBorders>
            <w:shd w:val="clear" w:color="auto" w:fill="auto"/>
            <w:vAlign w:val="center"/>
            <w:hideMark/>
          </w:tcPr>
          <w:p w:rsidRPr="001D4B7D" w:rsidR="007B573F" w:rsidP="002E5AE6" w:rsidRDefault="007B573F" w14:paraId="1CD22F2C" w14:textId="5DF4D2FC">
            <w:pPr>
              <w:keepNext/>
              <w:keepLines/>
              <w:jc w:val="right"/>
              <w:rPr>
                <w:rFonts w:eastAsia="Times New Roman" w:cs="Arial"/>
                <w:color w:val="000000"/>
                <w:sz w:val="20"/>
                <w:szCs w:val="20"/>
              </w:rPr>
            </w:pPr>
            <w:r w:rsidRPr="001D4B7D">
              <w:rPr>
                <w:rFonts w:cs="Arial"/>
                <w:color w:val="000000"/>
                <w:sz w:val="20"/>
                <w:szCs w:val="20"/>
              </w:rPr>
              <w:t>$</w:t>
            </w:r>
            <w:r w:rsidRPr="001D4B7D" w:rsidR="001D7276">
              <w:rPr>
                <w:rFonts w:cs="Arial"/>
                <w:color w:val="000000"/>
                <w:sz w:val="20"/>
                <w:szCs w:val="20"/>
              </w:rPr>
              <w:t>25.92</w:t>
            </w:r>
            <w:r w:rsidRPr="001D4B7D">
              <w:rPr>
                <w:rFonts w:cs="Arial"/>
                <w:color w:val="000000"/>
                <w:sz w:val="20"/>
                <w:szCs w:val="20"/>
              </w:rPr>
              <w:t xml:space="preserve"> </w:t>
            </w:r>
          </w:p>
        </w:tc>
        <w:tc>
          <w:tcPr>
            <w:tcW w:w="1218" w:type="dxa"/>
            <w:tcBorders>
              <w:top w:val="nil"/>
              <w:left w:val="nil"/>
              <w:bottom w:val="nil"/>
              <w:right w:val="single" w:color="auto" w:sz="8" w:space="0"/>
            </w:tcBorders>
            <w:shd w:val="clear" w:color="auto" w:fill="auto"/>
            <w:vAlign w:val="center"/>
            <w:hideMark/>
          </w:tcPr>
          <w:p w:rsidRPr="001D4B7D" w:rsidR="007B573F" w:rsidP="002E5AE6" w:rsidRDefault="007B573F" w14:paraId="466861FB" w14:textId="144F0296">
            <w:pPr>
              <w:keepNext/>
              <w:keepLines/>
              <w:jc w:val="right"/>
              <w:rPr>
                <w:rFonts w:eastAsia="Times New Roman" w:cs="Arial"/>
                <w:color w:val="000000"/>
                <w:sz w:val="20"/>
                <w:szCs w:val="20"/>
              </w:rPr>
            </w:pPr>
            <w:r w:rsidRPr="001D4B7D">
              <w:rPr>
                <w:rFonts w:cs="Arial"/>
                <w:color w:val="000000"/>
                <w:sz w:val="20"/>
                <w:szCs w:val="20"/>
              </w:rPr>
              <w:t>$</w:t>
            </w:r>
            <w:r w:rsidRPr="001D4B7D" w:rsidR="001D7276">
              <w:rPr>
                <w:rFonts w:cs="Arial"/>
                <w:color w:val="000000"/>
                <w:sz w:val="20"/>
                <w:szCs w:val="20"/>
              </w:rPr>
              <w:t>2,592</w:t>
            </w:r>
            <w:r w:rsidRPr="001D4B7D">
              <w:rPr>
                <w:rFonts w:cs="Arial"/>
                <w:color w:val="000000"/>
                <w:sz w:val="20"/>
                <w:szCs w:val="20"/>
              </w:rPr>
              <w:t xml:space="preserve"> </w:t>
            </w:r>
          </w:p>
        </w:tc>
      </w:tr>
      <w:tr w:rsidRPr="001D31F0" w:rsidR="007B573F" w:rsidTr="002E5AE6" w14:paraId="3E47FD6F" w14:textId="77777777">
        <w:trPr>
          <w:cantSplit/>
          <w:trHeight w:val="315"/>
        </w:trPr>
        <w:tc>
          <w:tcPr>
            <w:tcW w:w="10245"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327B4662"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Reduced Fee Eligibility Determination</w:t>
            </w:r>
          </w:p>
        </w:tc>
      </w:tr>
      <w:tr w:rsidRPr="001D31F0" w:rsidR="007B573F" w:rsidTr="008A3DA6" w14:paraId="783A39E4" w14:textId="77777777">
        <w:trPr>
          <w:cantSplit/>
          <w:trHeight w:val="315"/>
        </w:trPr>
        <w:tc>
          <w:tcPr>
            <w:tcW w:w="2537" w:type="dxa"/>
            <w:tcBorders>
              <w:top w:val="nil"/>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6AD27160" w14:textId="77777777">
            <w:pPr>
              <w:keepNext/>
              <w:keepLines/>
              <w:rPr>
                <w:rFonts w:eastAsia="Times New Roman" w:cs="Arial"/>
                <w:color w:val="000000"/>
                <w:sz w:val="20"/>
                <w:szCs w:val="20"/>
              </w:rPr>
            </w:pPr>
            <w:r w:rsidRPr="001D4B7D">
              <w:rPr>
                <w:rFonts w:eastAsia="Times New Roman" w:cs="Arial"/>
                <w:color w:val="000000"/>
                <w:sz w:val="20"/>
                <w:szCs w:val="20"/>
              </w:rPr>
              <w:t>Section 4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265458DA" w14:textId="77777777">
            <w:pPr>
              <w:keepNext/>
              <w:keepLines/>
              <w:jc w:val="right"/>
              <w:rPr>
                <w:rFonts w:eastAsia="Times New Roman" w:cs="Arial"/>
                <w:color w:val="000000"/>
                <w:sz w:val="20"/>
                <w:szCs w:val="20"/>
              </w:rPr>
            </w:pPr>
            <w:r w:rsidRPr="001D4B7D">
              <w:rPr>
                <w:rFonts w:cs="Arial"/>
                <w:color w:val="000000"/>
                <w:sz w:val="20"/>
                <w:szCs w:val="20"/>
              </w:rPr>
              <w:t>52</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0CE1691B" w14:textId="77777777">
            <w:pPr>
              <w:keepNext/>
              <w:keepLines/>
              <w:jc w:val="right"/>
              <w:rPr>
                <w:rFonts w:eastAsia="Times New Roman" w:cs="Arial"/>
                <w:color w:val="000000"/>
                <w:sz w:val="20"/>
                <w:szCs w:val="20"/>
              </w:rPr>
            </w:pPr>
            <w:r w:rsidRPr="001D4B7D">
              <w:rPr>
                <w:rFonts w:cs="Arial"/>
                <w:color w:val="000000"/>
                <w:sz w:val="20"/>
                <w:szCs w:val="20"/>
              </w:rPr>
              <w:t>0.167</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3E89F658" w14:textId="77777777">
            <w:pPr>
              <w:keepNext/>
              <w:keepLines/>
              <w:jc w:val="right"/>
              <w:rPr>
                <w:rFonts w:eastAsia="Times New Roman" w:cs="Arial"/>
                <w:color w:val="000000"/>
                <w:sz w:val="20"/>
                <w:szCs w:val="20"/>
              </w:rPr>
            </w:pPr>
            <w:r w:rsidRPr="001D4B7D">
              <w:rPr>
                <w:rFonts w:cs="Arial"/>
                <w:color w:val="000000"/>
                <w:sz w:val="20"/>
                <w:szCs w:val="20"/>
              </w:rPr>
              <w:t>9</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4DBC5706" w14:textId="77777777">
            <w:pPr>
              <w:keepNext/>
              <w:keepLines/>
              <w:jc w:val="right"/>
              <w:rPr>
                <w:rFonts w:eastAsia="Times New Roman" w:cs="Arial"/>
                <w:color w:val="000000"/>
                <w:sz w:val="20"/>
                <w:szCs w:val="20"/>
              </w:rPr>
            </w:pPr>
            <w:r w:rsidRPr="001D4B7D">
              <w:rPr>
                <w:rFonts w:cs="Arial"/>
                <w:color w:val="000000"/>
                <w:sz w:val="20"/>
                <w:szCs w:val="20"/>
              </w:rPr>
              <w:t xml:space="preserve">$13.88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4D635ED7" w14:textId="77777777">
            <w:pPr>
              <w:keepNext/>
              <w:keepLines/>
              <w:jc w:val="right"/>
              <w:rPr>
                <w:rFonts w:eastAsia="Times New Roman" w:cs="Arial"/>
                <w:color w:val="000000"/>
                <w:sz w:val="20"/>
                <w:szCs w:val="20"/>
              </w:rPr>
            </w:pPr>
            <w:r w:rsidRPr="001D4B7D">
              <w:rPr>
                <w:rFonts w:cs="Arial"/>
                <w:color w:val="000000"/>
                <w:sz w:val="20"/>
                <w:szCs w:val="20"/>
              </w:rPr>
              <w:t xml:space="preserve">$722 </w:t>
            </w:r>
          </w:p>
        </w:tc>
      </w:tr>
      <w:tr w:rsidRPr="001D31F0" w:rsidR="007B573F" w:rsidTr="008A3DA6" w14:paraId="6BBFAD68" w14:textId="77777777">
        <w:trPr>
          <w:cantSplit/>
          <w:trHeight w:val="315"/>
        </w:trPr>
        <w:tc>
          <w:tcPr>
            <w:tcW w:w="2537" w:type="dxa"/>
            <w:tcBorders>
              <w:top w:val="nil"/>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6CCBCD39" w14:textId="77777777">
            <w:pPr>
              <w:keepNext/>
              <w:keepLines/>
              <w:rPr>
                <w:rFonts w:eastAsia="Times New Roman" w:cs="Arial"/>
                <w:color w:val="000000"/>
                <w:sz w:val="20"/>
                <w:szCs w:val="20"/>
              </w:rPr>
            </w:pPr>
            <w:r w:rsidRPr="001D4B7D">
              <w:rPr>
                <w:rFonts w:eastAsia="Times New Roman" w:cs="Arial"/>
                <w:color w:val="000000"/>
                <w:sz w:val="20"/>
                <w:szCs w:val="20"/>
              </w:rPr>
              <w:t>Section 5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618CE50A" w14:textId="77777777">
            <w:pPr>
              <w:keepNext/>
              <w:keepLines/>
              <w:jc w:val="right"/>
              <w:rPr>
                <w:rFonts w:eastAsia="Times New Roman" w:cs="Arial"/>
                <w:color w:val="000000"/>
                <w:sz w:val="20"/>
                <w:szCs w:val="20"/>
              </w:rPr>
            </w:pPr>
            <w:r w:rsidRPr="001D4B7D">
              <w:rPr>
                <w:rFonts w:cs="Arial"/>
                <w:color w:val="000000"/>
                <w:sz w:val="20"/>
                <w:szCs w:val="20"/>
              </w:rPr>
              <w:t>350</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753B88AC" w14:textId="77777777">
            <w:pPr>
              <w:keepNext/>
              <w:keepLines/>
              <w:jc w:val="right"/>
              <w:rPr>
                <w:rFonts w:eastAsia="Times New Roman" w:cs="Arial"/>
                <w:color w:val="000000"/>
                <w:sz w:val="20"/>
                <w:szCs w:val="20"/>
              </w:rPr>
            </w:pPr>
            <w:r w:rsidRPr="001D4B7D">
              <w:rPr>
                <w:rFonts w:cs="Arial"/>
                <w:color w:val="000000"/>
                <w:sz w:val="20"/>
                <w:szCs w:val="20"/>
              </w:rPr>
              <w:t>0.167</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07F718BD" w14:textId="77777777">
            <w:pPr>
              <w:keepNext/>
              <w:keepLines/>
              <w:jc w:val="right"/>
              <w:rPr>
                <w:rFonts w:eastAsia="Times New Roman" w:cs="Arial"/>
                <w:color w:val="000000"/>
                <w:sz w:val="20"/>
                <w:szCs w:val="20"/>
              </w:rPr>
            </w:pPr>
            <w:r w:rsidRPr="001D4B7D">
              <w:rPr>
                <w:rFonts w:cs="Arial"/>
                <w:color w:val="000000"/>
                <w:sz w:val="20"/>
                <w:szCs w:val="20"/>
              </w:rPr>
              <w:t>58</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2D7CADA7" w14:textId="77777777">
            <w:pPr>
              <w:keepNext/>
              <w:keepLines/>
              <w:jc w:val="right"/>
              <w:rPr>
                <w:rFonts w:eastAsia="Times New Roman" w:cs="Arial"/>
                <w:color w:val="000000"/>
                <w:sz w:val="20"/>
                <w:szCs w:val="20"/>
              </w:rPr>
            </w:pPr>
            <w:r w:rsidRPr="001D4B7D">
              <w:rPr>
                <w:rFonts w:cs="Arial"/>
                <w:color w:val="000000"/>
                <w:sz w:val="20"/>
                <w:szCs w:val="20"/>
              </w:rPr>
              <w:t xml:space="preserve">$13.88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231EB2D7" w14:textId="77777777">
            <w:pPr>
              <w:keepNext/>
              <w:keepLines/>
              <w:jc w:val="right"/>
              <w:rPr>
                <w:rFonts w:eastAsia="Times New Roman" w:cs="Arial"/>
                <w:color w:val="000000"/>
                <w:sz w:val="20"/>
                <w:szCs w:val="20"/>
              </w:rPr>
            </w:pPr>
            <w:r w:rsidRPr="001D4B7D">
              <w:rPr>
                <w:rFonts w:cs="Arial"/>
                <w:color w:val="000000"/>
                <w:sz w:val="20"/>
                <w:szCs w:val="20"/>
              </w:rPr>
              <w:t xml:space="preserve">$4,858 </w:t>
            </w:r>
          </w:p>
        </w:tc>
      </w:tr>
      <w:tr w:rsidRPr="001D31F0" w:rsidR="007B573F" w:rsidTr="008A3DA6" w14:paraId="230FA511" w14:textId="77777777">
        <w:trPr>
          <w:cantSplit/>
          <w:trHeight w:val="315"/>
        </w:trPr>
        <w:tc>
          <w:tcPr>
            <w:tcW w:w="2537" w:type="dxa"/>
            <w:tcBorders>
              <w:top w:val="nil"/>
              <w:left w:val="single" w:color="auto" w:sz="8" w:space="0"/>
              <w:bottom w:val="nil"/>
              <w:right w:val="single" w:color="000000" w:sz="8" w:space="0"/>
            </w:tcBorders>
            <w:shd w:val="clear" w:color="auto" w:fill="auto"/>
            <w:vAlign w:val="center"/>
            <w:hideMark/>
          </w:tcPr>
          <w:p w:rsidRPr="001D4B7D" w:rsidR="007B573F" w:rsidP="002E5AE6" w:rsidRDefault="007B573F" w14:paraId="336C5DAD" w14:textId="77777777">
            <w:pPr>
              <w:keepNext/>
              <w:keepLines/>
              <w:rPr>
                <w:rFonts w:eastAsia="Times New Roman" w:cs="Arial"/>
                <w:color w:val="000000"/>
                <w:sz w:val="20"/>
                <w:szCs w:val="20"/>
              </w:rPr>
            </w:pPr>
            <w:r w:rsidRPr="001D4B7D">
              <w:rPr>
                <w:rFonts w:eastAsia="Times New Roman" w:cs="Arial"/>
                <w:color w:val="000000"/>
                <w:sz w:val="20"/>
                <w:szCs w:val="20"/>
              </w:rPr>
              <w:t>Section 6 Actions</w:t>
            </w:r>
          </w:p>
        </w:tc>
        <w:tc>
          <w:tcPr>
            <w:tcW w:w="1737" w:type="dxa"/>
            <w:tcBorders>
              <w:top w:val="nil"/>
              <w:left w:val="nil"/>
              <w:bottom w:val="nil"/>
              <w:right w:val="nil"/>
            </w:tcBorders>
            <w:shd w:val="clear" w:color="auto" w:fill="auto"/>
            <w:vAlign w:val="center"/>
            <w:hideMark/>
          </w:tcPr>
          <w:p w:rsidRPr="001D4B7D" w:rsidR="007B573F" w:rsidP="002E5AE6" w:rsidRDefault="007B573F" w14:paraId="5F528917" w14:textId="77777777">
            <w:pPr>
              <w:keepNext/>
              <w:keepLines/>
              <w:jc w:val="right"/>
              <w:rPr>
                <w:rFonts w:eastAsia="Times New Roman" w:cs="Arial"/>
                <w:color w:val="000000"/>
                <w:sz w:val="20"/>
                <w:szCs w:val="20"/>
              </w:rPr>
            </w:pPr>
            <w:r w:rsidRPr="001D4B7D">
              <w:rPr>
                <w:rFonts w:cs="Arial"/>
                <w:color w:val="000000"/>
                <w:sz w:val="20"/>
                <w:szCs w:val="20"/>
              </w:rPr>
              <w:t>27</w:t>
            </w:r>
          </w:p>
        </w:tc>
        <w:tc>
          <w:tcPr>
            <w:tcW w:w="1710" w:type="dxa"/>
            <w:tcBorders>
              <w:top w:val="nil"/>
              <w:left w:val="nil"/>
              <w:bottom w:val="nil"/>
              <w:right w:val="nil"/>
            </w:tcBorders>
            <w:shd w:val="clear" w:color="auto" w:fill="auto"/>
            <w:vAlign w:val="center"/>
            <w:hideMark/>
          </w:tcPr>
          <w:p w:rsidRPr="001D4B7D" w:rsidR="007B573F" w:rsidP="002E5AE6" w:rsidRDefault="007B573F" w14:paraId="7C622FFD" w14:textId="77777777">
            <w:pPr>
              <w:keepNext/>
              <w:keepLines/>
              <w:jc w:val="right"/>
              <w:rPr>
                <w:rFonts w:eastAsia="Times New Roman" w:cs="Arial"/>
                <w:color w:val="000000"/>
                <w:sz w:val="20"/>
                <w:szCs w:val="20"/>
              </w:rPr>
            </w:pPr>
            <w:r w:rsidRPr="001D4B7D">
              <w:rPr>
                <w:rFonts w:cs="Arial"/>
                <w:color w:val="000000"/>
                <w:sz w:val="20"/>
                <w:szCs w:val="20"/>
              </w:rPr>
              <w:t>0.167</w:t>
            </w:r>
          </w:p>
        </w:tc>
        <w:tc>
          <w:tcPr>
            <w:tcW w:w="1440" w:type="dxa"/>
            <w:tcBorders>
              <w:top w:val="nil"/>
              <w:left w:val="nil"/>
              <w:bottom w:val="nil"/>
              <w:right w:val="nil"/>
            </w:tcBorders>
            <w:shd w:val="clear" w:color="auto" w:fill="auto"/>
            <w:vAlign w:val="center"/>
            <w:hideMark/>
          </w:tcPr>
          <w:p w:rsidRPr="001D4B7D" w:rsidR="007B573F" w:rsidP="002E5AE6" w:rsidRDefault="007B573F" w14:paraId="5DD7E7AE" w14:textId="77777777">
            <w:pPr>
              <w:keepNext/>
              <w:keepLines/>
              <w:jc w:val="right"/>
              <w:rPr>
                <w:rFonts w:eastAsia="Times New Roman" w:cs="Arial"/>
                <w:color w:val="000000"/>
                <w:sz w:val="20"/>
                <w:szCs w:val="20"/>
              </w:rPr>
            </w:pPr>
            <w:r w:rsidRPr="001D4B7D">
              <w:rPr>
                <w:rFonts w:cs="Arial"/>
                <w:color w:val="000000"/>
                <w:sz w:val="20"/>
                <w:szCs w:val="20"/>
              </w:rPr>
              <w:t>5</w:t>
            </w:r>
          </w:p>
        </w:tc>
        <w:tc>
          <w:tcPr>
            <w:tcW w:w="1603" w:type="dxa"/>
            <w:tcBorders>
              <w:top w:val="nil"/>
              <w:left w:val="single" w:color="auto" w:sz="8" w:space="0"/>
              <w:bottom w:val="nil"/>
              <w:right w:val="nil"/>
            </w:tcBorders>
            <w:shd w:val="clear" w:color="auto" w:fill="auto"/>
            <w:vAlign w:val="center"/>
            <w:hideMark/>
          </w:tcPr>
          <w:p w:rsidRPr="001D4B7D" w:rsidR="007B573F" w:rsidP="002E5AE6" w:rsidRDefault="007B573F" w14:paraId="3EDFF845" w14:textId="77777777">
            <w:pPr>
              <w:keepNext/>
              <w:keepLines/>
              <w:jc w:val="right"/>
              <w:rPr>
                <w:rFonts w:eastAsia="Times New Roman" w:cs="Arial"/>
                <w:color w:val="000000"/>
                <w:sz w:val="20"/>
                <w:szCs w:val="20"/>
              </w:rPr>
            </w:pPr>
            <w:r w:rsidRPr="001D4B7D">
              <w:rPr>
                <w:rFonts w:cs="Arial"/>
                <w:color w:val="000000"/>
                <w:sz w:val="20"/>
                <w:szCs w:val="20"/>
              </w:rPr>
              <w:t xml:space="preserve">$13.88 </w:t>
            </w:r>
          </w:p>
        </w:tc>
        <w:tc>
          <w:tcPr>
            <w:tcW w:w="1218" w:type="dxa"/>
            <w:tcBorders>
              <w:top w:val="nil"/>
              <w:left w:val="nil"/>
              <w:bottom w:val="nil"/>
              <w:right w:val="single" w:color="auto" w:sz="8" w:space="0"/>
            </w:tcBorders>
            <w:shd w:val="clear" w:color="auto" w:fill="auto"/>
            <w:vAlign w:val="center"/>
            <w:hideMark/>
          </w:tcPr>
          <w:p w:rsidRPr="001D4B7D" w:rsidR="007B573F" w:rsidP="002E5AE6" w:rsidRDefault="007B573F" w14:paraId="314444C9" w14:textId="77777777">
            <w:pPr>
              <w:keepNext/>
              <w:keepLines/>
              <w:jc w:val="right"/>
              <w:rPr>
                <w:rFonts w:eastAsia="Times New Roman" w:cs="Arial"/>
                <w:color w:val="000000"/>
                <w:sz w:val="20"/>
                <w:szCs w:val="20"/>
              </w:rPr>
            </w:pPr>
            <w:r w:rsidRPr="001D4B7D">
              <w:rPr>
                <w:rFonts w:cs="Arial"/>
                <w:color w:val="000000"/>
                <w:sz w:val="20"/>
                <w:szCs w:val="20"/>
              </w:rPr>
              <w:t xml:space="preserve">$375 </w:t>
            </w:r>
          </w:p>
        </w:tc>
      </w:tr>
      <w:tr w:rsidRPr="001D31F0" w:rsidR="007B573F" w:rsidTr="002E5AE6" w14:paraId="674AACFA" w14:textId="77777777">
        <w:trPr>
          <w:cantSplit/>
          <w:trHeight w:val="345"/>
        </w:trPr>
        <w:tc>
          <w:tcPr>
            <w:tcW w:w="10245"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2A3C530C"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Fee Payment through Pay.gov</w:t>
            </w:r>
          </w:p>
        </w:tc>
      </w:tr>
      <w:tr w:rsidRPr="001D31F0" w:rsidR="007B573F" w:rsidTr="008A3DA6" w14:paraId="18914AA8" w14:textId="77777777">
        <w:trPr>
          <w:cantSplit/>
          <w:trHeight w:val="315"/>
        </w:trPr>
        <w:tc>
          <w:tcPr>
            <w:tcW w:w="2537" w:type="dxa"/>
            <w:tcBorders>
              <w:top w:val="nil"/>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36DAE6CF" w14:textId="77777777">
            <w:pPr>
              <w:keepNext/>
              <w:keepLines/>
              <w:rPr>
                <w:rFonts w:eastAsia="Times New Roman" w:cs="Arial"/>
                <w:color w:val="000000"/>
                <w:sz w:val="20"/>
                <w:szCs w:val="20"/>
              </w:rPr>
            </w:pPr>
            <w:r w:rsidRPr="001D4B7D">
              <w:rPr>
                <w:rFonts w:eastAsia="Times New Roman" w:cs="Arial"/>
                <w:color w:val="000000"/>
                <w:sz w:val="20"/>
                <w:szCs w:val="20"/>
              </w:rPr>
              <w:t>Section 4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06D573EF" w14:textId="77777777">
            <w:pPr>
              <w:keepNext/>
              <w:keepLines/>
              <w:jc w:val="right"/>
              <w:rPr>
                <w:rFonts w:eastAsia="Times New Roman" w:cs="Arial"/>
                <w:color w:val="000000"/>
                <w:sz w:val="20"/>
                <w:szCs w:val="20"/>
              </w:rPr>
            </w:pPr>
            <w:r w:rsidRPr="001D4B7D">
              <w:rPr>
                <w:rFonts w:cs="Arial"/>
                <w:color w:val="000000"/>
                <w:sz w:val="20"/>
                <w:szCs w:val="20"/>
              </w:rPr>
              <w:t>13</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45CD5E68" w14:textId="77777777">
            <w:pPr>
              <w:keepNext/>
              <w:keepLines/>
              <w:jc w:val="right"/>
              <w:rPr>
                <w:rFonts w:eastAsia="Times New Roman" w:cs="Arial"/>
                <w:color w:val="000000"/>
                <w:sz w:val="20"/>
                <w:szCs w:val="20"/>
              </w:rPr>
            </w:pPr>
            <w:r w:rsidRPr="001D4B7D">
              <w:rPr>
                <w:rFonts w:cs="Arial"/>
                <w:color w:val="000000"/>
                <w:sz w:val="20"/>
                <w:szCs w:val="20"/>
              </w:rPr>
              <w:t>0.167</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72AB99AA" w14:textId="77777777">
            <w:pPr>
              <w:keepNext/>
              <w:keepLines/>
              <w:jc w:val="right"/>
              <w:rPr>
                <w:rFonts w:eastAsia="Times New Roman" w:cs="Arial"/>
                <w:color w:val="000000"/>
                <w:sz w:val="20"/>
                <w:szCs w:val="20"/>
              </w:rPr>
            </w:pPr>
            <w:r w:rsidRPr="001D4B7D">
              <w:rPr>
                <w:rFonts w:cs="Arial"/>
                <w:color w:val="000000"/>
                <w:sz w:val="20"/>
                <w:szCs w:val="20"/>
              </w:rPr>
              <w:t>2</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3C32FF73" w14:textId="77777777">
            <w:pPr>
              <w:keepNext/>
              <w:keepLines/>
              <w:jc w:val="right"/>
              <w:rPr>
                <w:rFonts w:eastAsia="Times New Roman" w:cs="Arial"/>
                <w:color w:val="000000"/>
                <w:sz w:val="20"/>
                <w:szCs w:val="20"/>
              </w:rPr>
            </w:pPr>
            <w:r w:rsidRPr="001D4B7D">
              <w:rPr>
                <w:rFonts w:cs="Arial"/>
                <w:color w:val="000000"/>
                <w:sz w:val="20"/>
                <w:szCs w:val="20"/>
              </w:rPr>
              <w:t xml:space="preserve">$12.96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0B7EBFD0" w14:textId="77777777">
            <w:pPr>
              <w:keepNext/>
              <w:keepLines/>
              <w:jc w:val="right"/>
              <w:rPr>
                <w:rFonts w:eastAsia="Times New Roman" w:cs="Arial"/>
                <w:color w:val="000000"/>
                <w:sz w:val="20"/>
                <w:szCs w:val="20"/>
              </w:rPr>
            </w:pPr>
            <w:r w:rsidRPr="001D4B7D">
              <w:rPr>
                <w:rFonts w:cs="Arial"/>
                <w:color w:val="000000"/>
                <w:sz w:val="20"/>
                <w:szCs w:val="20"/>
              </w:rPr>
              <w:t xml:space="preserve">$169 </w:t>
            </w:r>
          </w:p>
        </w:tc>
      </w:tr>
      <w:tr w:rsidRPr="001D31F0" w:rsidR="007B573F" w:rsidTr="008A3DA6" w14:paraId="08465C63" w14:textId="77777777">
        <w:trPr>
          <w:cantSplit/>
          <w:trHeight w:val="315"/>
        </w:trPr>
        <w:tc>
          <w:tcPr>
            <w:tcW w:w="2537" w:type="dxa"/>
            <w:tcBorders>
              <w:top w:val="nil"/>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18E9DC6F" w14:textId="77777777">
            <w:pPr>
              <w:keepNext/>
              <w:keepLines/>
              <w:rPr>
                <w:rFonts w:eastAsia="Times New Roman" w:cs="Arial"/>
                <w:color w:val="000000"/>
                <w:sz w:val="20"/>
                <w:szCs w:val="20"/>
              </w:rPr>
            </w:pPr>
            <w:r w:rsidRPr="001D4B7D">
              <w:rPr>
                <w:rFonts w:eastAsia="Times New Roman" w:cs="Arial"/>
                <w:color w:val="000000"/>
                <w:sz w:val="20"/>
                <w:szCs w:val="20"/>
              </w:rPr>
              <w:t>Section 5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5EBA5A26" w14:textId="77777777">
            <w:pPr>
              <w:keepNext/>
              <w:keepLines/>
              <w:jc w:val="right"/>
              <w:rPr>
                <w:rFonts w:eastAsia="Times New Roman" w:cs="Arial"/>
                <w:color w:val="000000"/>
                <w:sz w:val="20"/>
                <w:szCs w:val="20"/>
              </w:rPr>
            </w:pPr>
            <w:r w:rsidRPr="001D4B7D">
              <w:rPr>
                <w:rFonts w:cs="Arial"/>
                <w:color w:val="000000"/>
                <w:sz w:val="20"/>
                <w:szCs w:val="20"/>
              </w:rPr>
              <w:t>1,003</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2E215D1D" w14:textId="77777777">
            <w:pPr>
              <w:keepNext/>
              <w:keepLines/>
              <w:jc w:val="right"/>
              <w:rPr>
                <w:rFonts w:eastAsia="Times New Roman" w:cs="Arial"/>
                <w:color w:val="000000"/>
                <w:sz w:val="20"/>
                <w:szCs w:val="20"/>
              </w:rPr>
            </w:pPr>
            <w:r w:rsidRPr="001D4B7D">
              <w:rPr>
                <w:rFonts w:cs="Arial"/>
                <w:color w:val="000000"/>
                <w:sz w:val="20"/>
                <w:szCs w:val="20"/>
              </w:rPr>
              <w:t>0.167</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50FDFE4C" w14:textId="77777777">
            <w:pPr>
              <w:keepNext/>
              <w:keepLines/>
              <w:jc w:val="right"/>
              <w:rPr>
                <w:rFonts w:eastAsia="Times New Roman" w:cs="Arial"/>
                <w:color w:val="000000"/>
                <w:sz w:val="20"/>
                <w:szCs w:val="20"/>
              </w:rPr>
            </w:pPr>
            <w:r w:rsidRPr="001D4B7D">
              <w:rPr>
                <w:rFonts w:cs="Arial"/>
                <w:color w:val="000000"/>
                <w:sz w:val="20"/>
                <w:szCs w:val="20"/>
              </w:rPr>
              <w:t>167</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3B117E81" w14:textId="77777777">
            <w:pPr>
              <w:keepNext/>
              <w:keepLines/>
              <w:jc w:val="right"/>
              <w:rPr>
                <w:rFonts w:eastAsia="Times New Roman" w:cs="Arial"/>
                <w:color w:val="000000"/>
                <w:sz w:val="20"/>
                <w:szCs w:val="20"/>
              </w:rPr>
            </w:pPr>
            <w:r w:rsidRPr="001D4B7D">
              <w:rPr>
                <w:rFonts w:cs="Arial"/>
                <w:color w:val="000000"/>
                <w:sz w:val="20"/>
                <w:szCs w:val="20"/>
              </w:rPr>
              <w:t xml:space="preserve">$12.96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292EECFD" w14:textId="77777777">
            <w:pPr>
              <w:keepNext/>
              <w:keepLines/>
              <w:jc w:val="right"/>
              <w:rPr>
                <w:rFonts w:eastAsia="Times New Roman" w:cs="Arial"/>
                <w:color w:val="000000"/>
                <w:sz w:val="20"/>
                <w:szCs w:val="20"/>
              </w:rPr>
            </w:pPr>
            <w:r w:rsidRPr="001D4B7D">
              <w:rPr>
                <w:rFonts w:cs="Arial"/>
                <w:color w:val="000000"/>
                <w:sz w:val="20"/>
                <w:szCs w:val="20"/>
              </w:rPr>
              <w:t xml:space="preserve">$13,002 </w:t>
            </w:r>
          </w:p>
        </w:tc>
      </w:tr>
      <w:tr w:rsidRPr="001D31F0" w:rsidR="007B573F" w:rsidTr="008A3DA6" w14:paraId="043E1474" w14:textId="77777777">
        <w:trPr>
          <w:cantSplit/>
          <w:trHeight w:val="315"/>
        </w:trPr>
        <w:tc>
          <w:tcPr>
            <w:tcW w:w="2537" w:type="dxa"/>
            <w:tcBorders>
              <w:top w:val="nil"/>
              <w:left w:val="single" w:color="auto" w:sz="8" w:space="0"/>
              <w:bottom w:val="nil"/>
              <w:right w:val="single" w:color="000000" w:sz="8" w:space="0"/>
            </w:tcBorders>
            <w:shd w:val="clear" w:color="auto" w:fill="auto"/>
            <w:vAlign w:val="center"/>
            <w:hideMark/>
          </w:tcPr>
          <w:p w:rsidRPr="001D4B7D" w:rsidR="007B573F" w:rsidP="002E5AE6" w:rsidRDefault="007B573F" w14:paraId="0E52F778" w14:textId="77777777">
            <w:pPr>
              <w:keepNext/>
              <w:keepLines/>
              <w:rPr>
                <w:rFonts w:eastAsia="Times New Roman" w:cs="Arial"/>
                <w:color w:val="000000"/>
                <w:sz w:val="20"/>
                <w:szCs w:val="20"/>
              </w:rPr>
            </w:pPr>
            <w:r w:rsidRPr="001D4B7D">
              <w:rPr>
                <w:rFonts w:eastAsia="Times New Roman" w:cs="Arial"/>
                <w:color w:val="000000"/>
                <w:sz w:val="20"/>
                <w:szCs w:val="20"/>
              </w:rPr>
              <w:t>Section 6 Actions</w:t>
            </w:r>
          </w:p>
        </w:tc>
        <w:tc>
          <w:tcPr>
            <w:tcW w:w="1737" w:type="dxa"/>
            <w:tcBorders>
              <w:top w:val="nil"/>
              <w:left w:val="nil"/>
              <w:bottom w:val="nil"/>
              <w:right w:val="nil"/>
            </w:tcBorders>
            <w:shd w:val="clear" w:color="auto" w:fill="auto"/>
            <w:vAlign w:val="center"/>
            <w:hideMark/>
          </w:tcPr>
          <w:p w:rsidRPr="001D4B7D" w:rsidR="007B573F" w:rsidP="002E5AE6" w:rsidRDefault="007B573F" w14:paraId="1FEC5E3C" w14:textId="77777777">
            <w:pPr>
              <w:keepNext/>
              <w:keepLines/>
              <w:jc w:val="right"/>
              <w:rPr>
                <w:rFonts w:eastAsia="Times New Roman" w:cs="Arial"/>
                <w:color w:val="000000"/>
                <w:sz w:val="20"/>
                <w:szCs w:val="20"/>
              </w:rPr>
            </w:pPr>
            <w:r w:rsidRPr="001D4B7D">
              <w:rPr>
                <w:rFonts w:cs="Arial"/>
                <w:color w:val="000000"/>
                <w:sz w:val="20"/>
                <w:szCs w:val="20"/>
              </w:rPr>
              <w:t>10</w:t>
            </w:r>
          </w:p>
        </w:tc>
        <w:tc>
          <w:tcPr>
            <w:tcW w:w="1710" w:type="dxa"/>
            <w:tcBorders>
              <w:top w:val="nil"/>
              <w:left w:val="nil"/>
              <w:bottom w:val="nil"/>
              <w:right w:val="nil"/>
            </w:tcBorders>
            <w:shd w:val="clear" w:color="auto" w:fill="auto"/>
            <w:vAlign w:val="center"/>
            <w:hideMark/>
          </w:tcPr>
          <w:p w:rsidRPr="001D4B7D" w:rsidR="007B573F" w:rsidP="002E5AE6" w:rsidRDefault="007B573F" w14:paraId="49E7DAA5" w14:textId="77777777">
            <w:pPr>
              <w:keepNext/>
              <w:keepLines/>
              <w:jc w:val="right"/>
              <w:rPr>
                <w:rFonts w:eastAsia="Times New Roman" w:cs="Arial"/>
                <w:color w:val="000000"/>
                <w:sz w:val="20"/>
                <w:szCs w:val="20"/>
              </w:rPr>
            </w:pPr>
            <w:r w:rsidRPr="001D4B7D">
              <w:rPr>
                <w:rFonts w:cs="Arial"/>
                <w:color w:val="000000"/>
                <w:sz w:val="20"/>
                <w:szCs w:val="20"/>
              </w:rPr>
              <w:t>0.167</w:t>
            </w:r>
          </w:p>
        </w:tc>
        <w:tc>
          <w:tcPr>
            <w:tcW w:w="1440" w:type="dxa"/>
            <w:tcBorders>
              <w:top w:val="nil"/>
              <w:left w:val="nil"/>
              <w:bottom w:val="nil"/>
              <w:right w:val="nil"/>
            </w:tcBorders>
            <w:shd w:val="clear" w:color="auto" w:fill="auto"/>
            <w:vAlign w:val="center"/>
            <w:hideMark/>
          </w:tcPr>
          <w:p w:rsidRPr="001D4B7D" w:rsidR="007B573F" w:rsidP="002E5AE6" w:rsidRDefault="007B573F" w14:paraId="5EBBC448" w14:textId="77777777">
            <w:pPr>
              <w:keepNext/>
              <w:keepLines/>
              <w:jc w:val="right"/>
              <w:rPr>
                <w:rFonts w:eastAsia="Times New Roman" w:cs="Arial"/>
                <w:color w:val="000000"/>
                <w:sz w:val="20"/>
                <w:szCs w:val="20"/>
              </w:rPr>
            </w:pPr>
            <w:r w:rsidRPr="001D4B7D">
              <w:rPr>
                <w:rFonts w:cs="Arial"/>
                <w:color w:val="000000"/>
                <w:sz w:val="20"/>
                <w:szCs w:val="20"/>
              </w:rPr>
              <w:t>2</w:t>
            </w:r>
          </w:p>
        </w:tc>
        <w:tc>
          <w:tcPr>
            <w:tcW w:w="1603" w:type="dxa"/>
            <w:tcBorders>
              <w:top w:val="nil"/>
              <w:left w:val="single" w:color="auto" w:sz="8" w:space="0"/>
              <w:bottom w:val="nil"/>
              <w:right w:val="nil"/>
            </w:tcBorders>
            <w:shd w:val="clear" w:color="auto" w:fill="auto"/>
            <w:vAlign w:val="center"/>
            <w:hideMark/>
          </w:tcPr>
          <w:p w:rsidRPr="001D4B7D" w:rsidR="007B573F" w:rsidP="002E5AE6" w:rsidRDefault="007B573F" w14:paraId="6465DDEA" w14:textId="77777777">
            <w:pPr>
              <w:keepNext/>
              <w:keepLines/>
              <w:jc w:val="right"/>
              <w:rPr>
                <w:rFonts w:eastAsia="Times New Roman" w:cs="Arial"/>
                <w:color w:val="000000"/>
                <w:sz w:val="20"/>
                <w:szCs w:val="20"/>
              </w:rPr>
            </w:pPr>
            <w:r w:rsidRPr="001D4B7D">
              <w:rPr>
                <w:rFonts w:cs="Arial"/>
                <w:color w:val="000000"/>
                <w:sz w:val="20"/>
                <w:szCs w:val="20"/>
              </w:rPr>
              <w:t xml:space="preserve">$12.96 </w:t>
            </w:r>
          </w:p>
        </w:tc>
        <w:tc>
          <w:tcPr>
            <w:tcW w:w="1218" w:type="dxa"/>
            <w:tcBorders>
              <w:top w:val="nil"/>
              <w:left w:val="nil"/>
              <w:bottom w:val="nil"/>
              <w:right w:val="single" w:color="auto" w:sz="8" w:space="0"/>
            </w:tcBorders>
            <w:shd w:val="clear" w:color="auto" w:fill="auto"/>
            <w:vAlign w:val="center"/>
            <w:hideMark/>
          </w:tcPr>
          <w:p w:rsidRPr="001D4B7D" w:rsidR="007B573F" w:rsidP="002E5AE6" w:rsidRDefault="007B573F" w14:paraId="32FF3918" w14:textId="77777777">
            <w:pPr>
              <w:keepNext/>
              <w:keepLines/>
              <w:jc w:val="right"/>
              <w:rPr>
                <w:rFonts w:eastAsia="Times New Roman" w:cs="Arial"/>
                <w:color w:val="000000"/>
                <w:sz w:val="20"/>
                <w:szCs w:val="20"/>
              </w:rPr>
            </w:pPr>
            <w:r w:rsidRPr="001D4B7D">
              <w:rPr>
                <w:rFonts w:cs="Arial"/>
                <w:color w:val="000000"/>
                <w:sz w:val="20"/>
                <w:szCs w:val="20"/>
              </w:rPr>
              <w:t xml:space="preserve">$130 </w:t>
            </w:r>
          </w:p>
        </w:tc>
      </w:tr>
      <w:tr w:rsidRPr="001D31F0" w:rsidR="007B573F" w:rsidTr="002E5AE6" w14:paraId="0463B509" w14:textId="77777777">
        <w:trPr>
          <w:cantSplit/>
          <w:trHeight w:val="345"/>
        </w:trPr>
        <w:tc>
          <w:tcPr>
            <w:tcW w:w="10245"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5CA36B99"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Self-Identification and Certification</w:t>
            </w:r>
          </w:p>
        </w:tc>
      </w:tr>
      <w:tr w:rsidRPr="001D31F0" w:rsidR="007B573F" w:rsidTr="008A3DA6" w14:paraId="1EA7E713" w14:textId="77777777">
        <w:trPr>
          <w:cantSplit/>
          <w:trHeight w:val="345"/>
        </w:trPr>
        <w:tc>
          <w:tcPr>
            <w:tcW w:w="2537" w:type="dxa"/>
            <w:tcBorders>
              <w:top w:val="nil"/>
              <w:left w:val="single" w:color="auto" w:sz="8" w:space="0"/>
              <w:bottom w:val="single" w:color="auto" w:sz="8" w:space="0"/>
              <w:right w:val="single" w:color="auto" w:sz="8" w:space="0"/>
            </w:tcBorders>
            <w:shd w:val="clear" w:color="auto" w:fill="auto"/>
            <w:vAlign w:val="center"/>
            <w:hideMark/>
          </w:tcPr>
          <w:p w:rsidRPr="001D4B7D" w:rsidR="007B573F" w:rsidP="002E5AE6" w:rsidRDefault="007B573F" w14:paraId="0024D5B1" w14:textId="77777777">
            <w:pPr>
              <w:keepNext/>
              <w:keepLines/>
              <w:rPr>
                <w:rFonts w:eastAsia="Times New Roman" w:cs="Arial"/>
                <w:color w:val="000000"/>
                <w:sz w:val="20"/>
                <w:szCs w:val="20"/>
              </w:rPr>
            </w:pPr>
            <w:r w:rsidRPr="001D4B7D">
              <w:rPr>
                <w:rFonts w:eastAsia="Times New Roman" w:cs="Arial"/>
                <w:color w:val="000000"/>
                <w:sz w:val="20"/>
                <w:szCs w:val="20"/>
              </w:rPr>
              <w:t>Section 4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20269C5A" w14:textId="77777777">
            <w:pPr>
              <w:keepNext/>
              <w:keepLines/>
              <w:jc w:val="right"/>
              <w:rPr>
                <w:rFonts w:eastAsia="Times New Roman" w:cs="Arial"/>
                <w:color w:val="000000"/>
                <w:sz w:val="20"/>
                <w:szCs w:val="20"/>
              </w:rPr>
            </w:pPr>
            <w:r w:rsidRPr="001D4B7D">
              <w:rPr>
                <w:rFonts w:cs="Arial"/>
                <w:color w:val="000000"/>
                <w:sz w:val="20"/>
                <w:szCs w:val="20"/>
              </w:rPr>
              <w:t>15</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0448F341" w14:textId="77777777">
            <w:pPr>
              <w:keepNext/>
              <w:keepLines/>
              <w:jc w:val="right"/>
              <w:rPr>
                <w:rFonts w:eastAsia="Times New Roman" w:cs="Arial"/>
                <w:color w:val="000000"/>
                <w:sz w:val="20"/>
                <w:szCs w:val="20"/>
              </w:rPr>
            </w:pPr>
            <w:r w:rsidRPr="001D4B7D">
              <w:rPr>
                <w:rFonts w:cs="Arial"/>
                <w:color w:val="000000"/>
                <w:sz w:val="20"/>
                <w:szCs w:val="20"/>
              </w:rPr>
              <w:t>0.833</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7DA8BC35" w14:textId="77777777">
            <w:pPr>
              <w:keepNext/>
              <w:keepLines/>
              <w:jc w:val="right"/>
              <w:rPr>
                <w:rFonts w:eastAsia="Times New Roman" w:cs="Arial"/>
                <w:color w:val="000000"/>
                <w:sz w:val="20"/>
                <w:szCs w:val="20"/>
              </w:rPr>
            </w:pPr>
            <w:r w:rsidRPr="001D4B7D">
              <w:rPr>
                <w:rFonts w:cs="Arial"/>
                <w:color w:val="000000"/>
                <w:sz w:val="20"/>
                <w:szCs w:val="20"/>
              </w:rPr>
              <w:t>13</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4D4934EA" w14:textId="77777777">
            <w:pPr>
              <w:keepNext/>
              <w:keepLines/>
              <w:jc w:val="right"/>
              <w:rPr>
                <w:rFonts w:eastAsia="Times New Roman" w:cs="Arial"/>
                <w:color w:val="000000"/>
                <w:sz w:val="20"/>
                <w:szCs w:val="20"/>
              </w:rPr>
            </w:pPr>
            <w:r w:rsidRPr="001D4B7D">
              <w:rPr>
                <w:rFonts w:cs="Arial"/>
                <w:color w:val="000000"/>
                <w:sz w:val="20"/>
                <w:szCs w:val="20"/>
              </w:rPr>
              <w:t xml:space="preserve">$64.82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0C7FD1FF" w14:textId="77777777">
            <w:pPr>
              <w:keepNext/>
              <w:keepLines/>
              <w:jc w:val="right"/>
              <w:rPr>
                <w:rFonts w:eastAsia="Times New Roman" w:cs="Arial"/>
                <w:color w:val="000000"/>
                <w:sz w:val="20"/>
                <w:szCs w:val="20"/>
              </w:rPr>
            </w:pPr>
            <w:r w:rsidRPr="001D4B7D">
              <w:rPr>
                <w:rFonts w:cs="Arial"/>
                <w:color w:val="000000"/>
                <w:sz w:val="20"/>
                <w:szCs w:val="20"/>
              </w:rPr>
              <w:t xml:space="preserve">$972 </w:t>
            </w:r>
          </w:p>
        </w:tc>
      </w:tr>
      <w:tr w:rsidRPr="001D31F0" w:rsidR="007B573F" w:rsidTr="008A3DA6" w14:paraId="50A1A668" w14:textId="77777777">
        <w:trPr>
          <w:cantSplit/>
          <w:trHeight w:val="315"/>
        </w:trPr>
        <w:tc>
          <w:tcPr>
            <w:tcW w:w="2537" w:type="dxa"/>
            <w:tcBorders>
              <w:top w:val="nil"/>
              <w:left w:val="single" w:color="auto" w:sz="8" w:space="0"/>
              <w:bottom w:val="single" w:color="auto" w:sz="8" w:space="0"/>
              <w:right w:val="single" w:color="auto" w:sz="8" w:space="0"/>
            </w:tcBorders>
            <w:shd w:val="clear" w:color="auto" w:fill="auto"/>
            <w:vAlign w:val="center"/>
            <w:hideMark/>
          </w:tcPr>
          <w:p w:rsidRPr="001D4B7D" w:rsidR="007B573F" w:rsidP="002E5AE6" w:rsidRDefault="007B573F" w14:paraId="2A5889AA" w14:textId="77777777">
            <w:pPr>
              <w:keepNext/>
              <w:keepLines/>
              <w:rPr>
                <w:rFonts w:eastAsia="Times New Roman" w:cs="Arial"/>
                <w:color w:val="000000"/>
                <w:sz w:val="20"/>
                <w:szCs w:val="20"/>
              </w:rPr>
            </w:pPr>
            <w:r w:rsidRPr="001D4B7D">
              <w:rPr>
                <w:rFonts w:eastAsia="Times New Roman" w:cs="Arial"/>
                <w:color w:val="000000"/>
                <w:sz w:val="20"/>
                <w:szCs w:val="20"/>
              </w:rPr>
              <w:t>Section 6 Actions</w:t>
            </w:r>
          </w:p>
        </w:tc>
        <w:tc>
          <w:tcPr>
            <w:tcW w:w="1737" w:type="dxa"/>
            <w:tcBorders>
              <w:top w:val="nil"/>
              <w:left w:val="nil"/>
              <w:bottom w:val="nil"/>
              <w:right w:val="nil"/>
            </w:tcBorders>
            <w:shd w:val="clear" w:color="auto" w:fill="auto"/>
            <w:vAlign w:val="center"/>
            <w:hideMark/>
          </w:tcPr>
          <w:p w:rsidRPr="001D4B7D" w:rsidR="007B573F" w:rsidP="002E5AE6" w:rsidRDefault="007B573F" w14:paraId="21A5F65B" w14:textId="77777777">
            <w:pPr>
              <w:keepNext/>
              <w:keepLines/>
              <w:jc w:val="right"/>
              <w:rPr>
                <w:rFonts w:eastAsia="Times New Roman" w:cs="Arial"/>
                <w:color w:val="000000"/>
                <w:sz w:val="20"/>
                <w:szCs w:val="20"/>
              </w:rPr>
            </w:pPr>
            <w:r w:rsidRPr="001D4B7D">
              <w:rPr>
                <w:rFonts w:cs="Arial"/>
                <w:color w:val="000000"/>
                <w:sz w:val="20"/>
                <w:szCs w:val="20"/>
              </w:rPr>
              <w:t>100</w:t>
            </w:r>
          </w:p>
        </w:tc>
        <w:tc>
          <w:tcPr>
            <w:tcW w:w="1710" w:type="dxa"/>
            <w:tcBorders>
              <w:top w:val="nil"/>
              <w:left w:val="nil"/>
              <w:bottom w:val="nil"/>
              <w:right w:val="nil"/>
            </w:tcBorders>
            <w:shd w:val="clear" w:color="auto" w:fill="auto"/>
            <w:vAlign w:val="center"/>
            <w:hideMark/>
          </w:tcPr>
          <w:p w:rsidRPr="001D4B7D" w:rsidR="007B573F" w:rsidP="002E5AE6" w:rsidRDefault="007B573F" w14:paraId="76E8D25A" w14:textId="77777777">
            <w:pPr>
              <w:keepNext/>
              <w:keepLines/>
              <w:jc w:val="right"/>
              <w:rPr>
                <w:rFonts w:eastAsia="Times New Roman" w:cs="Arial"/>
                <w:color w:val="000000"/>
                <w:sz w:val="20"/>
                <w:szCs w:val="20"/>
              </w:rPr>
            </w:pPr>
            <w:r w:rsidRPr="001D4B7D">
              <w:rPr>
                <w:rFonts w:cs="Arial"/>
                <w:color w:val="000000"/>
                <w:sz w:val="20"/>
                <w:szCs w:val="20"/>
              </w:rPr>
              <w:t>0.833</w:t>
            </w:r>
          </w:p>
        </w:tc>
        <w:tc>
          <w:tcPr>
            <w:tcW w:w="1440" w:type="dxa"/>
            <w:tcBorders>
              <w:top w:val="nil"/>
              <w:left w:val="nil"/>
              <w:bottom w:val="nil"/>
              <w:right w:val="nil"/>
            </w:tcBorders>
            <w:shd w:val="clear" w:color="auto" w:fill="auto"/>
            <w:vAlign w:val="center"/>
            <w:hideMark/>
          </w:tcPr>
          <w:p w:rsidRPr="001D4B7D" w:rsidR="007B573F" w:rsidP="002E5AE6" w:rsidRDefault="007B573F" w14:paraId="5CDAC9F8" w14:textId="77777777">
            <w:pPr>
              <w:keepNext/>
              <w:keepLines/>
              <w:jc w:val="right"/>
              <w:rPr>
                <w:rFonts w:eastAsia="Times New Roman" w:cs="Arial"/>
                <w:color w:val="000000"/>
                <w:sz w:val="20"/>
                <w:szCs w:val="20"/>
              </w:rPr>
            </w:pPr>
            <w:r w:rsidRPr="001D4B7D">
              <w:rPr>
                <w:rFonts w:cs="Arial"/>
                <w:color w:val="000000"/>
                <w:sz w:val="20"/>
                <w:szCs w:val="20"/>
              </w:rPr>
              <w:t>83</w:t>
            </w:r>
          </w:p>
        </w:tc>
        <w:tc>
          <w:tcPr>
            <w:tcW w:w="1603" w:type="dxa"/>
            <w:tcBorders>
              <w:top w:val="nil"/>
              <w:left w:val="single" w:color="auto" w:sz="8" w:space="0"/>
              <w:bottom w:val="nil"/>
              <w:right w:val="nil"/>
            </w:tcBorders>
            <w:shd w:val="clear" w:color="auto" w:fill="auto"/>
            <w:vAlign w:val="center"/>
            <w:hideMark/>
          </w:tcPr>
          <w:p w:rsidRPr="001D4B7D" w:rsidR="007B573F" w:rsidP="002E5AE6" w:rsidRDefault="007B573F" w14:paraId="508311EC" w14:textId="77777777">
            <w:pPr>
              <w:keepNext/>
              <w:keepLines/>
              <w:jc w:val="right"/>
              <w:rPr>
                <w:rFonts w:eastAsia="Times New Roman" w:cs="Arial"/>
                <w:color w:val="000000"/>
                <w:sz w:val="20"/>
                <w:szCs w:val="20"/>
              </w:rPr>
            </w:pPr>
            <w:r w:rsidRPr="001D4B7D">
              <w:rPr>
                <w:rFonts w:cs="Arial"/>
                <w:color w:val="000000"/>
                <w:sz w:val="20"/>
                <w:szCs w:val="20"/>
              </w:rPr>
              <w:t xml:space="preserve">$64.82 </w:t>
            </w:r>
          </w:p>
        </w:tc>
        <w:tc>
          <w:tcPr>
            <w:tcW w:w="1218" w:type="dxa"/>
            <w:tcBorders>
              <w:top w:val="nil"/>
              <w:left w:val="nil"/>
              <w:bottom w:val="nil"/>
              <w:right w:val="single" w:color="auto" w:sz="8" w:space="0"/>
            </w:tcBorders>
            <w:shd w:val="clear" w:color="auto" w:fill="auto"/>
            <w:vAlign w:val="center"/>
            <w:hideMark/>
          </w:tcPr>
          <w:p w:rsidRPr="001D4B7D" w:rsidR="007B573F" w:rsidP="002E5AE6" w:rsidRDefault="007B573F" w14:paraId="4F537AFA" w14:textId="77777777">
            <w:pPr>
              <w:keepNext/>
              <w:keepLines/>
              <w:jc w:val="right"/>
              <w:rPr>
                <w:rFonts w:eastAsia="Times New Roman" w:cs="Arial"/>
                <w:color w:val="000000"/>
                <w:sz w:val="20"/>
                <w:szCs w:val="20"/>
              </w:rPr>
            </w:pPr>
            <w:r w:rsidRPr="001D4B7D">
              <w:rPr>
                <w:rFonts w:cs="Arial"/>
                <w:color w:val="000000"/>
                <w:sz w:val="20"/>
                <w:szCs w:val="20"/>
              </w:rPr>
              <w:t xml:space="preserve">$6,482 </w:t>
            </w:r>
          </w:p>
        </w:tc>
      </w:tr>
      <w:tr w:rsidRPr="001D31F0" w:rsidR="007B573F" w:rsidTr="002E5AE6" w14:paraId="2CABB71A" w14:textId="77777777">
        <w:trPr>
          <w:cantSplit/>
          <w:trHeight w:val="315"/>
        </w:trPr>
        <w:tc>
          <w:tcPr>
            <w:tcW w:w="10245"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6479B899"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Total Burden for all Activities</w:t>
            </w:r>
          </w:p>
        </w:tc>
      </w:tr>
      <w:tr w:rsidRPr="001D31F0" w:rsidR="007B573F" w:rsidTr="008A3DA6" w14:paraId="239008F8" w14:textId="77777777">
        <w:trPr>
          <w:cantSplit/>
          <w:trHeight w:val="315"/>
        </w:trPr>
        <w:tc>
          <w:tcPr>
            <w:tcW w:w="2537" w:type="dxa"/>
            <w:tcBorders>
              <w:top w:val="nil"/>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529C1B0A" w14:textId="77777777">
            <w:pPr>
              <w:keepNext/>
              <w:keepLines/>
              <w:rPr>
                <w:rFonts w:eastAsia="Times New Roman" w:cs="Arial"/>
                <w:b/>
                <w:bCs/>
                <w:color w:val="000000"/>
                <w:sz w:val="20"/>
                <w:szCs w:val="20"/>
              </w:rPr>
            </w:pPr>
            <w:r w:rsidRPr="001D4B7D">
              <w:rPr>
                <w:rFonts w:eastAsia="Times New Roman" w:cs="Arial"/>
                <w:b/>
                <w:bCs/>
                <w:color w:val="000000"/>
                <w:sz w:val="20"/>
                <w:szCs w:val="20"/>
              </w:rPr>
              <w:t>Section 4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49C62A1F" w14:textId="77777777">
            <w:pPr>
              <w:keepNext/>
              <w:keepLines/>
              <w:jc w:val="right"/>
              <w:rPr>
                <w:rFonts w:eastAsia="Times New Roman" w:cs="Arial"/>
                <w:b/>
                <w:color w:val="000000"/>
                <w:sz w:val="20"/>
                <w:szCs w:val="20"/>
              </w:rPr>
            </w:pPr>
            <w:r w:rsidRPr="001D4B7D">
              <w:rPr>
                <w:rFonts w:cs="Arial"/>
                <w:b/>
                <w:bCs/>
                <w:color w:val="000000"/>
                <w:sz w:val="20"/>
                <w:szCs w:val="20"/>
              </w:rPr>
              <w:t>195</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524AB8C8" w14:textId="77777777">
            <w:pPr>
              <w:keepNext/>
              <w:keepLines/>
              <w:rPr>
                <w:rFonts w:eastAsia="Times New Roman" w:cs="Arial"/>
                <w:b/>
                <w:color w:val="000000"/>
                <w:sz w:val="20"/>
                <w:szCs w:val="20"/>
              </w:rPr>
            </w:pPr>
            <w:r w:rsidRPr="001D4B7D">
              <w:rPr>
                <w:rFonts w:cs="Arial"/>
                <w:b/>
                <w:bCs/>
                <w:color w:val="000000"/>
                <w:sz w:val="20"/>
                <w:szCs w:val="20"/>
              </w:rPr>
              <w:t> </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179FC27A" w14:textId="77777777">
            <w:pPr>
              <w:keepNext/>
              <w:keepLines/>
              <w:jc w:val="right"/>
              <w:rPr>
                <w:rFonts w:eastAsia="Times New Roman" w:cs="Arial"/>
                <w:b/>
                <w:color w:val="000000"/>
                <w:sz w:val="20"/>
                <w:szCs w:val="20"/>
              </w:rPr>
            </w:pPr>
            <w:r w:rsidRPr="001D4B7D">
              <w:rPr>
                <w:rFonts w:cs="Arial"/>
                <w:b/>
                <w:bCs/>
                <w:color w:val="000000"/>
                <w:sz w:val="20"/>
                <w:szCs w:val="20"/>
              </w:rPr>
              <w:t>57</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66F4726C" w14:textId="77777777">
            <w:pPr>
              <w:keepNext/>
              <w:keepLines/>
              <w:jc w:val="right"/>
              <w:rPr>
                <w:rFonts w:eastAsia="Times New Roman" w:cs="Arial"/>
                <w:color w:val="000000"/>
                <w:sz w:val="20"/>
                <w:szCs w:val="20"/>
              </w:rPr>
            </w:pPr>
            <w:r w:rsidRPr="001D4B7D">
              <w:rPr>
                <w:rFonts w:cs="Arial"/>
                <w:color w:val="000000"/>
                <w:sz w:val="20"/>
                <w:szCs w:val="20"/>
              </w:rPr>
              <w:t xml:space="preserve">$22.95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4AD68A9A" w14:textId="77777777">
            <w:pPr>
              <w:keepNext/>
              <w:keepLines/>
              <w:jc w:val="right"/>
              <w:rPr>
                <w:rFonts w:eastAsia="Times New Roman" w:cs="Arial"/>
                <w:b/>
                <w:bCs/>
                <w:color w:val="000000"/>
                <w:sz w:val="20"/>
                <w:szCs w:val="20"/>
              </w:rPr>
            </w:pPr>
            <w:r w:rsidRPr="001D4B7D">
              <w:rPr>
                <w:rFonts w:cs="Arial"/>
                <w:b/>
                <w:bCs/>
                <w:color w:val="000000"/>
                <w:sz w:val="20"/>
                <w:szCs w:val="20"/>
              </w:rPr>
              <w:t xml:space="preserve">$4,475 </w:t>
            </w:r>
          </w:p>
        </w:tc>
      </w:tr>
      <w:tr w:rsidRPr="001D31F0" w:rsidR="007B573F" w:rsidTr="008A3DA6" w14:paraId="2090E7C4" w14:textId="77777777">
        <w:trPr>
          <w:cantSplit/>
          <w:trHeight w:val="315"/>
        </w:trPr>
        <w:tc>
          <w:tcPr>
            <w:tcW w:w="2537" w:type="dxa"/>
            <w:tcBorders>
              <w:top w:val="nil"/>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67B4CF75" w14:textId="77777777">
            <w:pPr>
              <w:keepNext/>
              <w:keepLines/>
              <w:rPr>
                <w:rFonts w:eastAsia="Times New Roman" w:cs="Arial"/>
                <w:b/>
                <w:bCs/>
                <w:color w:val="000000"/>
                <w:sz w:val="20"/>
                <w:szCs w:val="20"/>
              </w:rPr>
            </w:pPr>
            <w:r w:rsidRPr="001D4B7D">
              <w:rPr>
                <w:rFonts w:eastAsia="Times New Roman" w:cs="Arial"/>
                <w:b/>
                <w:bCs/>
                <w:color w:val="000000"/>
                <w:sz w:val="20"/>
                <w:szCs w:val="20"/>
              </w:rPr>
              <w:lastRenderedPageBreak/>
              <w:t>Section 5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1E87B2A4" w14:textId="77777777">
            <w:pPr>
              <w:keepNext/>
              <w:keepLines/>
              <w:jc w:val="right"/>
              <w:rPr>
                <w:rFonts w:eastAsia="Times New Roman" w:cs="Arial"/>
                <w:b/>
                <w:color w:val="000000"/>
                <w:sz w:val="20"/>
                <w:szCs w:val="20"/>
              </w:rPr>
            </w:pPr>
            <w:r w:rsidRPr="001D4B7D">
              <w:rPr>
                <w:rFonts w:cs="Arial"/>
                <w:b/>
                <w:bCs/>
                <w:color w:val="000000"/>
                <w:sz w:val="20"/>
                <w:szCs w:val="20"/>
              </w:rPr>
              <w:t>1003</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56DD1013" w14:textId="77777777">
            <w:pPr>
              <w:keepNext/>
              <w:keepLines/>
              <w:rPr>
                <w:rFonts w:eastAsia="Times New Roman" w:cs="Arial"/>
                <w:b/>
                <w:color w:val="000000"/>
                <w:sz w:val="20"/>
                <w:szCs w:val="20"/>
              </w:rPr>
            </w:pPr>
            <w:r w:rsidRPr="001D4B7D">
              <w:rPr>
                <w:rFonts w:cs="Arial"/>
                <w:b/>
                <w:bCs/>
                <w:color w:val="000000"/>
                <w:sz w:val="20"/>
                <w:szCs w:val="20"/>
              </w:rPr>
              <w:t> </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79BE8237" w14:textId="77777777">
            <w:pPr>
              <w:keepNext/>
              <w:keepLines/>
              <w:jc w:val="right"/>
              <w:rPr>
                <w:rFonts w:eastAsia="Times New Roman" w:cs="Arial"/>
                <w:b/>
                <w:color w:val="000000"/>
                <w:sz w:val="20"/>
                <w:szCs w:val="20"/>
              </w:rPr>
            </w:pPr>
            <w:r w:rsidRPr="001D4B7D">
              <w:rPr>
                <w:rFonts w:cs="Arial"/>
                <w:b/>
                <w:bCs/>
                <w:color w:val="000000"/>
                <w:sz w:val="20"/>
                <w:szCs w:val="20"/>
              </w:rPr>
              <w:t>393</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1C96659A" w14:textId="77777777">
            <w:pPr>
              <w:keepNext/>
              <w:keepLines/>
              <w:jc w:val="right"/>
              <w:rPr>
                <w:rFonts w:eastAsia="Times New Roman" w:cs="Arial"/>
                <w:color w:val="000000"/>
                <w:sz w:val="20"/>
                <w:szCs w:val="20"/>
              </w:rPr>
            </w:pPr>
            <w:r w:rsidRPr="001D4B7D">
              <w:rPr>
                <w:rFonts w:cs="Arial"/>
                <w:color w:val="000000"/>
                <w:sz w:val="20"/>
                <w:szCs w:val="20"/>
              </w:rPr>
              <w:t xml:space="preserve">$30.77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50C494E5" w14:textId="77777777">
            <w:pPr>
              <w:keepNext/>
              <w:keepLines/>
              <w:jc w:val="right"/>
              <w:rPr>
                <w:rFonts w:eastAsia="Times New Roman" w:cs="Arial"/>
                <w:b/>
                <w:bCs/>
                <w:color w:val="000000"/>
                <w:sz w:val="20"/>
                <w:szCs w:val="20"/>
              </w:rPr>
            </w:pPr>
            <w:r w:rsidRPr="001D4B7D">
              <w:rPr>
                <w:rFonts w:cs="Arial"/>
                <w:b/>
                <w:bCs/>
                <w:color w:val="000000"/>
                <w:sz w:val="20"/>
                <w:szCs w:val="20"/>
              </w:rPr>
              <w:t xml:space="preserve">$30,863 </w:t>
            </w:r>
          </w:p>
        </w:tc>
      </w:tr>
      <w:tr w:rsidRPr="001D31F0" w:rsidR="007B573F" w:rsidTr="008A3DA6" w14:paraId="1AA6BB86" w14:textId="77777777">
        <w:trPr>
          <w:cantSplit/>
          <w:trHeight w:val="315"/>
        </w:trPr>
        <w:tc>
          <w:tcPr>
            <w:tcW w:w="2537" w:type="dxa"/>
            <w:tcBorders>
              <w:top w:val="nil"/>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7218041F" w14:textId="77777777">
            <w:pPr>
              <w:keepNext/>
              <w:keepLines/>
              <w:rPr>
                <w:rFonts w:eastAsia="Times New Roman" w:cs="Arial"/>
                <w:b/>
                <w:bCs/>
                <w:color w:val="000000"/>
                <w:sz w:val="20"/>
                <w:szCs w:val="20"/>
              </w:rPr>
            </w:pPr>
            <w:r w:rsidRPr="001D4B7D">
              <w:rPr>
                <w:rFonts w:eastAsia="Times New Roman" w:cs="Arial"/>
                <w:b/>
                <w:bCs/>
                <w:color w:val="000000"/>
                <w:sz w:val="20"/>
                <w:szCs w:val="20"/>
              </w:rPr>
              <w:t>Section 6 Actions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1E6302C3" w14:textId="77777777">
            <w:pPr>
              <w:keepNext/>
              <w:keepLines/>
              <w:jc w:val="right"/>
              <w:rPr>
                <w:rFonts w:eastAsia="Times New Roman" w:cs="Arial"/>
                <w:b/>
                <w:color w:val="000000"/>
                <w:sz w:val="20"/>
                <w:szCs w:val="20"/>
              </w:rPr>
            </w:pPr>
            <w:r w:rsidRPr="001D4B7D">
              <w:rPr>
                <w:rFonts w:cs="Arial"/>
                <w:b/>
                <w:bCs/>
                <w:color w:val="000000"/>
                <w:sz w:val="20"/>
                <w:szCs w:val="20"/>
              </w:rPr>
              <w:t>150</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576DC316" w14:textId="77777777">
            <w:pPr>
              <w:keepNext/>
              <w:keepLines/>
              <w:rPr>
                <w:rFonts w:eastAsia="Times New Roman" w:cs="Arial"/>
                <w:b/>
                <w:color w:val="000000"/>
                <w:sz w:val="20"/>
                <w:szCs w:val="20"/>
              </w:rPr>
            </w:pPr>
            <w:r w:rsidRPr="001D4B7D">
              <w:rPr>
                <w:rFonts w:cs="Arial"/>
                <w:b/>
                <w:bCs/>
                <w:color w:val="000000"/>
                <w:sz w:val="20"/>
                <w:szCs w:val="20"/>
              </w:rPr>
              <w:t> </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28E21170" w14:textId="362303B1">
            <w:pPr>
              <w:keepNext/>
              <w:keepLines/>
              <w:jc w:val="right"/>
              <w:rPr>
                <w:rFonts w:eastAsia="Times New Roman" w:cs="Arial"/>
                <w:b/>
                <w:color w:val="000000"/>
                <w:sz w:val="20"/>
                <w:szCs w:val="20"/>
              </w:rPr>
            </w:pPr>
            <w:r w:rsidRPr="001D4B7D">
              <w:rPr>
                <w:rFonts w:cs="Arial"/>
                <w:b/>
                <w:bCs/>
                <w:color w:val="000000"/>
                <w:sz w:val="20"/>
                <w:szCs w:val="20"/>
              </w:rPr>
              <w:t>1</w:t>
            </w:r>
            <w:r w:rsidRPr="001D4B7D" w:rsidR="001D7276">
              <w:rPr>
                <w:rFonts w:cs="Arial"/>
                <w:b/>
                <w:bCs/>
                <w:color w:val="000000"/>
                <w:sz w:val="20"/>
                <w:szCs w:val="20"/>
              </w:rPr>
              <w:t>48</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03C3C57D" w14:textId="77777777">
            <w:pPr>
              <w:keepNext/>
              <w:keepLines/>
              <w:jc w:val="right"/>
              <w:rPr>
                <w:rFonts w:eastAsia="Times New Roman" w:cs="Arial"/>
                <w:color w:val="000000"/>
                <w:sz w:val="20"/>
                <w:szCs w:val="20"/>
              </w:rPr>
            </w:pPr>
            <w:r w:rsidRPr="001D4B7D">
              <w:rPr>
                <w:rFonts w:cs="Arial"/>
                <w:color w:val="000000"/>
                <w:sz w:val="20"/>
                <w:szCs w:val="20"/>
              </w:rPr>
              <w:t xml:space="preserve">$68.48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087C110C" w14:textId="785176E9">
            <w:pPr>
              <w:keepNext/>
              <w:keepLines/>
              <w:jc w:val="right"/>
              <w:rPr>
                <w:rFonts w:eastAsia="Times New Roman" w:cs="Arial"/>
                <w:b/>
                <w:bCs/>
                <w:color w:val="000000"/>
                <w:sz w:val="20"/>
                <w:szCs w:val="20"/>
              </w:rPr>
            </w:pPr>
            <w:r w:rsidRPr="001D4B7D">
              <w:rPr>
                <w:rFonts w:cs="Arial"/>
                <w:b/>
                <w:bCs/>
                <w:color w:val="000000"/>
                <w:sz w:val="20"/>
                <w:szCs w:val="20"/>
              </w:rPr>
              <w:t>$1</w:t>
            </w:r>
            <w:r w:rsidRPr="001D4B7D" w:rsidR="001D7276">
              <w:rPr>
                <w:rFonts w:cs="Arial"/>
                <w:b/>
                <w:bCs/>
                <w:color w:val="000000"/>
                <w:sz w:val="20"/>
                <w:szCs w:val="20"/>
              </w:rPr>
              <w:t>1,568</w:t>
            </w:r>
            <w:r w:rsidRPr="001D4B7D">
              <w:rPr>
                <w:rFonts w:cs="Arial"/>
                <w:b/>
                <w:bCs/>
                <w:color w:val="000000"/>
                <w:sz w:val="20"/>
                <w:szCs w:val="20"/>
              </w:rPr>
              <w:t xml:space="preserve"> </w:t>
            </w:r>
          </w:p>
        </w:tc>
      </w:tr>
      <w:tr w:rsidRPr="001D31F0" w:rsidR="007B573F" w:rsidTr="008A3DA6" w14:paraId="21F2C9E4" w14:textId="77777777">
        <w:trPr>
          <w:cantSplit/>
          <w:trHeight w:val="315"/>
        </w:trPr>
        <w:tc>
          <w:tcPr>
            <w:tcW w:w="2537" w:type="dxa"/>
            <w:tcBorders>
              <w:top w:val="nil"/>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0974C612" w14:textId="77777777">
            <w:pPr>
              <w:keepNext/>
              <w:keepLines/>
              <w:rPr>
                <w:rFonts w:eastAsia="Times New Roman" w:cs="Arial"/>
                <w:b/>
                <w:bCs/>
                <w:color w:val="000000"/>
                <w:sz w:val="20"/>
                <w:szCs w:val="20"/>
              </w:rPr>
            </w:pPr>
            <w:r w:rsidRPr="001D4B7D">
              <w:rPr>
                <w:rFonts w:eastAsia="Times New Roman" w:cs="Arial"/>
                <w:b/>
                <w:bCs/>
                <w:color w:val="000000"/>
                <w:sz w:val="20"/>
                <w:szCs w:val="20"/>
              </w:rPr>
              <w:t>Total PRA</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5FDF5177" w14:textId="77777777">
            <w:pPr>
              <w:keepNext/>
              <w:keepLines/>
              <w:jc w:val="right"/>
              <w:rPr>
                <w:rFonts w:eastAsia="Times New Roman" w:cs="Arial"/>
                <w:b/>
                <w:color w:val="000000"/>
                <w:sz w:val="20"/>
                <w:szCs w:val="20"/>
              </w:rPr>
            </w:pPr>
            <w:r w:rsidRPr="001D4B7D">
              <w:rPr>
                <w:rFonts w:cs="Arial"/>
                <w:b/>
                <w:bCs/>
                <w:color w:val="000000"/>
                <w:sz w:val="20"/>
                <w:szCs w:val="20"/>
              </w:rPr>
              <w:t>1,348</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15453386" w14:textId="77777777">
            <w:pPr>
              <w:keepNext/>
              <w:keepLines/>
              <w:rPr>
                <w:rFonts w:eastAsia="Times New Roman" w:cs="Arial"/>
                <w:b/>
                <w:color w:val="000000"/>
                <w:sz w:val="20"/>
                <w:szCs w:val="20"/>
              </w:rPr>
            </w:pPr>
            <w:r w:rsidRPr="001D4B7D">
              <w:rPr>
                <w:rFonts w:cs="Arial"/>
                <w:b/>
                <w:bCs/>
                <w:color w:val="000000"/>
                <w:sz w:val="20"/>
                <w:szCs w:val="20"/>
              </w:rPr>
              <w:t> </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1AD667BC" w14:textId="684BD223">
            <w:pPr>
              <w:keepNext/>
              <w:keepLines/>
              <w:jc w:val="right"/>
              <w:rPr>
                <w:rFonts w:eastAsia="Times New Roman" w:cs="Arial"/>
                <w:b/>
                <w:color w:val="000000"/>
                <w:sz w:val="20"/>
                <w:szCs w:val="20"/>
              </w:rPr>
            </w:pPr>
            <w:r w:rsidRPr="008A3DA6">
              <w:rPr>
                <w:rFonts w:cs="Arial"/>
                <w:b/>
                <w:bCs/>
                <w:color w:val="000000"/>
                <w:sz w:val="20"/>
                <w:szCs w:val="20"/>
              </w:rPr>
              <w:t>5</w:t>
            </w:r>
            <w:r w:rsidRPr="008A3DA6" w:rsidR="001D7276">
              <w:rPr>
                <w:rFonts w:cs="Arial"/>
                <w:b/>
                <w:bCs/>
                <w:color w:val="000000"/>
                <w:sz w:val="20"/>
                <w:szCs w:val="20"/>
              </w:rPr>
              <w:t>98</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2E5658C9" w14:textId="77777777">
            <w:pPr>
              <w:keepNext/>
              <w:keepLines/>
              <w:rPr>
                <w:rFonts w:eastAsia="Times New Roman" w:cs="Arial"/>
                <w:b/>
                <w:bCs/>
                <w:color w:val="000000"/>
                <w:sz w:val="20"/>
                <w:szCs w:val="20"/>
              </w:rPr>
            </w:pPr>
            <w:r w:rsidRPr="001D4B7D">
              <w:rPr>
                <w:rFonts w:cs="Arial"/>
                <w:b/>
                <w:bCs/>
                <w:color w:val="000000"/>
                <w:sz w:val="20"/>
                <w:szCs w:val="20"/>
              </w:rPr>
              <w:t>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4198E76B" w14:textId="3FC96E8B">
            <w:pPr>
              <w:keepNext/>
              <w:keepLines/>
              <w:jc w:val="right"/>
              <w:rPr>
                <w:rFonts w:eastAsia="Times New Roman" w:cs="Arial"/>
                <w:b/>
                <w:bCs/>
                <w:color w:val="000000"/>
                <w:sz w:val="20"/>
                <w:szCs w:val="20"/>
              </w:rPr>
            </w:pPr>
            <w:r w:rsidRPr="001D4B7D">
              <w:rPr>
                <w:rFonts w:cs="Arial"/>
                <w:b/>
                <w:bCs/>
                <w:color w:val="000000"/>
                <w:sz w:val="20"/>
                <w:szCs w:val="20"/>
              </w:rPr>
              <w:t>$4</w:t>
            </w:r>
            <w:r w:rsidRPr="001D4B7D" w:rsidR="001D7276">
              <w:rPr>
                <w:rFonts w:cs="Arial"/>
                <w:b/>
                <w:bCs/>
                <w:color w:val="000000"/>
                <w:sz w:val="20"/>
                <w:szCs w:val="20"/>
              </w:rPr>
              <w:t>6,906</w:t>
            </w:r>
            <w:r w:rsidRPr="001D4B7D">
              <w:rPr>
                <w:rFonts w:cs="Arial"/>
                <w:b/>
                <w:bCs/>
                <w:color w:val="000000"/>
                <w:sz w:val="20"/>
                <w:szCs w:val="20"/>
              </w:rPr>
              <w:t xml:space="preserve"> </w:t>
            </w:r>
          </w:p>
        </w:tc>
      </w:tr>
      <w:tr w:rsidRPr="001D31F0" w:rsidR="007B573F" w:rsidTr="002E5AE6" w14:paraId="501A5659" w14:textId="77777777">
        <w:trPr>
          <w:cantSplit/>
          <w:trHeight w:val="315"/>
        </w:trPr>
        <w:tc>
          <w:tcPr>
            <w:tcW w:w="10245" w:type="dxa"/>
            <w:gridSpan w:val="6"/>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1D4B7D" w:rsidR="007B573F" w:rsidP="002E5AE6" w:rsidRDefault="007B573F" w14:paraId="7A37F762" w14:textId="77777777">
            <w:pPr>
              <w:keepNext/>
              <w:keepLines/>
              <w:jc w:val="center"/>
              <w:rPr>
                <w:rFonts w:eastAsia="Times New Roman" w:cs="Arial"/>
                <w:b/>
                <w:bCs/>
                <w:color w:val="000000"/>
                <w:sz w:val="20"/>
                <w:szCs w:val="20"/>
              </w:rPr>
            </w:pPr>
            <w:r w:rsidRPr="001D4B7D">
              <w:rPr>
                <w:rFonts w:eastAsia="Times New Roman" w:cs="Arial"/>
                <w:b/>
                <w:bCs/>
                <w:color w:val="000000"/>
                <w:sz w:val="20"/>
                <w:szCs w:val="20"/>
              </w:rPr>
              <w:t>Consortia Non-Reporting Costs</w:t>
            </w:r>
          </w:p>
        </w:tc>
      </w:tr>
      <w:tr w:rsidRPr="001D31F0" w:rsidR="007B573F" w:rsidTr="008A3DA6" w14:paraId="62829A9B" w14:textId="77777777">
        <w:trPr>
          <w:cantSplit/>
          <w:trHeight w:val="315"/>
        </w:trPr>
        <w:tc>
          <w:tcPr>
            <w:tcW w:w="2537" w:type="dxa"/>
            <w:tcBorders>
              <w:top w:val="nil"/>
              <w:left w:val="single" w:color="auto" w:sz="8" w:space="0"/>
              <w:bottom w:val="single" w:color="auto" w:sz="8" w:space="0"/>
              <w:right w:val="single" w:color="auto" w:sz="8" w:space="0"/>
            </w:tcBorders>
            <w:shd w:val="clear" w:color="auto" w:fill="auto"/>
            <w:vAlign w:val="center"/>
            <w:hideMark/>
          </w:tcPr>
          <w:p w:rsidRPr="001D4B7D" w:rsidR="007B573F" w:rsidP="002E5AE6" w:rsidRDefault="007B573F" w14:paraId="1D6F75F7" w14:textId="77777777">
            <w:pPr>
              <w:keepNext/>
              <w:keepLines/>
              <w:rPr>
                <w:rFonts w:eastAsia="Times New Roman" w:cs="Arial"/>
                <w:color w:val="000000"/>
                <w:sz w:val="20"/>
                <w:szCs w:val="20"/>
              </w:rPr>
            </w:pPr>
            <w:r w:rsidRPr="001D4B7D">
              <w:rPr>
                <w:rFonts w:eastAsia="Times New Roman" w:cs="Arial"/>
                <w:color w:val="000000"/>
                <w:sz w:val="20"/>
                <w:szCs w:val="20"/>
              </w:rPr>
              <w:t>Section 6 Actions</w:t>
            </w:r>
          </w:p>
        </w:tc>
        <w:tc>
          <w:tcPr>
            <w:tcW w:w="1737" w:type="dxa"/>
            <w:tcBorders>
              <w:top w:val="nil"/>
              <w:left w:val="nil"/>
              <w:bottom w:val="single" w:color="auto" w:sz="8" w:space="0"/>
              <w:right w:val="nil"/>
            </w:tcBorders>
            <w:shd w:val="clear" w:color="auto" w:fill="auto"/>
            <w:noWrap/>
            <w:vAlign w:val="center"/>
            <w:hideMark/>
          </w:tcPr>
          <w:p w:rsidRPr="001D4B7D" w:rsidR="007B573F" w:rsidP="002E5AE6" w:rsidRDefault="007B573F" w14:paraId="580D5235" w14:textId="77777777">
            <w:pPr>
              <w:keepNext/>
              <w:keepLines/>
              <w:jc w:val="right"/>
              <w:rPr>
                <w:rFonts w:eastAsia="Times New Roman" w:cs="Arial"/>
                <w:color w:val="000000"/>
                <w:sz w:val="20"/>
                <w:szCs w:val="20"/>
              </w:rPr>
            </w:pPr>
            <w:r w:rsidRPr="001D4B7D">
              <w:rPr>
                <w:rFonts w:cs="Arial"/>
                <w:color w:val="000000"/>
                <w:sz w:val="20"/>
                <w:szCs w:val="20"/>
              </w:rPr>
              <w:t>7</w:t>
            </w:r>
          </w:p>
        </w:tc>
        <w:tc>
          <w:tcPr>
            <w:tcW w:w="1710" w:type="dxa"/>
            <w:tcBorders>
              <w:top w:val="nil"/>
              <w:left w:val="nil"/>
              <w:bottom w:val="single" w:color="auto" w:sz="8" w:space="0"/>
              <w:right w:val="nil"/>
            </w:tcBorders>
            <w:shd w:val="clear" w:color="auto" w:fill="auto"/>
            <w:noWrap/>
            <w:vAlign w:val="center"/>
            <w:hideMark/>
          </w:tcPr>
          <w:p w:rsidRPr="001D4B7D" w:rsidR="007B573F" w:rsidP="002E5AE6" w:rsidRDefault="007B573F" w14:paraId="12178E0E" w14:textId="77777777">
            <w:pPr>
              <w:keepNext/>
              <w:keepLines/>
              <w:rPr>
                <w:rFonts w:eastAsia="Times New Roman" w:cs="Arial"/>
                <w:color w:val="000000"/>
                <w:sz w:val="20"/>
                <w:szCs w:val="20"/>
              </w:rPr>
            </w:pPr>
            <w:r w:rsidRPr="001D4B7D">
              <w:rPr>
                <w:rFonts w:cs="Arial"/>
                <w:color w:val="000000"/>
                <w:sz w:val="20"/>
                <w:szCs w:val="20"/>
              </w:rPr>
              <w:t> </w:t>
            </w:r>
          </w:p>
        </w:tc>
        <w:tc>
          <w:tcPr>
            <w:tcW w:w="1440" w:type="dxa"/>
            <w:tcBorders>
              <w:top w:val="nil"/>
              <w:left w:val="nil"/>
              <w:bottom w:val="single" w:color="auto" w:sz="8" w:space="0"/>
              <w:right w:val="single" w:color="auto" w:sz="8" w:space="0"/>
            </w:tcBorders>
            <w:shd w:val="clear" w:color="auto" w:fill="auto"/>
            <w:noWrap/>
            <w:vAlign w:val="center"/>
            <w:hideMark/>
          </w:tcPr>
          <w:p w:rsidRPr="001D4B7D" w:rsidR="007B573F" w:rsidP="002E5AE6" w:rsidRDefault="007B573F" w14:paraId="2CB1578C" w14:textId="77777777">
            <w:pPr>
              <w:keepNext/>
              <w:keepLines/>
              <w:rPr>
                <w:rFonts w:eastAsia="Times New Roman" w:cs="Arial"/>
                <w:color w:val="000000"/>
                <w:sz w:val="20"/>
                <w:szCs w:val="20"/>
              </w:rPr>
            </w:pPr>
            <w:r w:rsidRPr="001D4B7D">
              <w:rPr>
                <w:rFonts w:cs="Arial"/>
                <w:color w:val="000000"/>
                <w:sz w:val="20"/>
                <w:szCs w:val="20"/>
              </w:rPr>
              <w:t> </w:t>
            </w:r>
          </w:p>
        </w:tc>
        <w:tc>
          <w:tcPr>
            <w:tcW w:w="1603" w:type="dxa"/>
            <w:tcBorders>
              <w:top w:val="nil"/>
              <w:left w:val="nil"/>
              <w:bottom w:val="single" w:color="auto" w:sz="8" w:space="0"/>
              <w:right w:val="nil"/>
            </w:tcBorders>
            <w:shd w:val="clear" w:color="auto" w:fill="auto"/>
            <w:vAlign w:val="center"/>
            <w:hideMark/>
          </w:tcPr>
          <w:p w:rsidRPr="001D4B7D" w:rsidR="007B573F" w:rsidP="002E5AE6" w:rsidRDefault="007B573F" w14:paraId="2A7872FF" w14:textId="77777777">
            <w:pPr>
              <w:keepNext/>
              <w:keepLines/>
              <w:jc w:val="right"/>
              <w:rPr>
                <w:rFonts w:eastAsia="Times New Roman" w:cs="Arial"/>
                <w:color w:val="000000"/>
                <w:sz w:val="20"/>
                <w:szCs w:val="20"/>
              </w:rPr>
            </w:pPr>
            <w:r w:rsidRPr="001D4B7D">
              <w:rPr>
                <w:rFonts w:cs="Arial"/>
                <w:color w:val="000000"/>
                <w:sz w:val="20"/>
                <w:szCs w:val="20"/>
              </w:rPr>
              <w:t>$34,167</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69E07202" w14:textId="77777777">
            <w:pPr>
              <w:keepNext/>
              <w:keepLines/>
              <w:jc w:val="right"/>
              <w:rPr>
                <w:rFonts w:eastAsia="Times New Roman" w:cs="Arial"/>
                <w:b/>
                <w:bCs/>
                <w:color w:val="000000"/>
                <w:sz w:val="20"/>
                <w:szCs w:val="20"/>
              </w:rPr>
            </w:pPr>
            <w:r w:rsidRPr="001D4B7D">
              <w:rPr>
                <w:rFonts w:cs="Arial"/>
                <w:b/>
                <w:bCs/>
                <w:color w:val="000000"/>
                <w:sz w:val="20"/>
                <w:szCs w:val="20"/>
              </w:rPr>
              <w:t xml:space="preserve">$227,778 </w:t>
            </w:r>
          </w:p>
        </w:tc>
      </w:tr>
      <w:tr w:rsidRPr="001D31F0" w:rsidR="007B573F" w:rsidTr="008A3DA6" w14:paraId="79D9363C" w14:textId="77777777">
        <w:trPr>
          <w:cantSplit/>
          <w:trHeight w:val="315"/>
        </w:trPr>
        <w:tc>
          <w:tcPr>
            <w:tcW w:w="2537" w:type="dxa"/>
            <w:tcBorders>
              <w:top w:val="nil"/>
              <w:left w:val="single" w:color="auto" w:sz="8" w:space="0"/>
              <w:bottom w:val="single" w:color="auto" w:sz="8" w:space="0"/>
              <w:right w:val="single" w:color="000000" w:sz="8" w:space="0"/>
            </w:tcBorders>
            <w:shd w:val="clear" w:color="auto" w:fill="auto"/>
            <w:vAlign w:val="center"/>
            <w:hideMark/>
          </w:tcPr>
          <w:p w:rsidRPr="001D4B7D" w:rsidR="007B573F" w:rsidP="002E5AE6" w:rsidRDefault="007B573F" w14:paraId="47720B05" w14:textId="77777777">
            <w:pPr>
              <w:keepNext/>
              <w:keepLines/>
              <w:rPr>
                <w:rFonts w:eastAsia="Times New Roman" w:cs="Arial"/>
                <w:b/>
                <w:bCs/>
                <w:color w:val="000000"/>
                <w:sz w:val="20"/>
                <w:szCs w:val="20"/>
              </w:rPr>
            </w:pPr>
            <w:r w:rsidRPr="001D4B7D">
              <w:rPr>
                <w:rFonts w:eastAsia="Times New Roman" w:cs="Arial"/>
                <w:b/>
                <w:bCs/>
                <w:color w:val="000000"/>
                <w:sz w:val="20"/>
                <w:szCs w:val="20"/>
              </w:rPr>
              <w:t>Total Costs</w:t>
            </w:r>
          </w:p>
        </w:tc>
        <w:tc>
          <w:tcPr>
            <w:tcW w:w="1737" w:type="dxa"/>
            <w:tcBorders>
              <w:top w:val="nil"/>
              <w:left w:val="nil"/>
              <w:bottom w:val="single" w:color="auto" w:sz="8" w:space="0"/>
              <w:right w:val="nil"/>
            </w:tcBorders>
            <w:shd w:val="clear" w:color="auto" w:fill="auto"/>
            <w:vAlign w:val="center"/>
            <w:hideMark/>
          </w:tcPr>
          <w:p w:rsidRPr="001D4B7D" w:rsidR="007B573F" w:rsidP="002E5AE6" w:rsidRDefault="007B573F" w14:paraId="7D1D8911" w14:textId="77777777">
            <w:pPr>
              <w:keepNext/>
              <w:keepLines/>
              <w:jc w:val="right"/>
              <w:rPr>
                <w:rFonts w:eastAsia="Times New Roman" w:cs="Arial"/>
                <w:b/>
                <w:color w:val="000000"/>
                <w:sz w:val="20"/>
                <w:szCs w:val="20"/>
              </w:rPr>
            </w:pPr>
            <w:r w:rsidRPr="001D4B7D">
              <w:rPr>
                <w:rFonts w:cs="Arial"/>
                <w:b/>
                <w:bCs/>
                <w:color w:val="000000"/>
                <w:sz w:val="20"/>
                <w:szCs w:val="20"/>
              </w:rPr>
              <w:t>1,348</w:t>
            </w:r>
          </w:p>
        </w:tc>
        <w:tc>
          <w:tcPr>
            <w:tcW w:w="1710" w:type="dxa"/>
            <w:tcBorders>
              <w:top w:val="nil"/>
              <w:left w:val="nil"/>
              <w:bottom w:val="single" w:color="auto" w:sz="8" w:space="0"/>
              <w:right w:val="nil"/>
            </w:tcBorders>
            <w:shd w:val="clear" w:color="auto" w:fill="auto"/>
            <w:vAlign w:val="center"/>
            <w:hideMark/>
          </w:tcPr>
          <w:p w:rsidRPr="001D4B7D" w:rsidR="007B573F" w:rsidP="002E5AE6" w:rsidRDefault="007B573F" w14:paraId="7120519A" w14:textId="77777777">
            <w:pPr>
              <w:keepNext/>
              <w:keepLines/>
              <w:rPr>
                <w:rFonts w:eastAsia="Times New Roman" w:cs="Arial"/>
                <w:b/>
                <w:color w:val="000000"/>
                <w:sz w:val="20"/>
                <w:szCs w:val="20"/>
              </w:rPr>
            </w:pPr>
            <w:r w:rsidRPr="001D4B7D">
              <w:rPr>
                <w:rFonts w:cs="Arial"/>
                <w:b/>
                <w:bCs/>
                <w:color w:val="000000"/>
                <w:sz w:val="20"/>
                <w:szCs w:val="20"/>
              </w:rPr>
              <w:t> </w:t>
            </w:r>
          </w:p>
        </w:tc>
        <w:tc>
          <w:tcPr>
            <w:tcW w:w="1440" w:type="dxa"/>
            <w:tcBorders>
              <w:top w:val="nil"/>
              <w:left w:val="nil"/>
              <w:bottom w:val="single" w:color="auto" w:sz="8" w:space="0"/>
              <w:right w:val="nil"/>
            </w:tcBorders>
            <w:shd w:val="clear" w:color="auto" w:fill="auto"/>
            <w:vAlign w:val="center"/>
            <w:hideMark/>
          </w:tcPr>
          <w:p w:rsidRPr="001D4B7D" w:rsidR="007B573F" w:rsidP="002E5AE6" w:rsidRDefault="007B573F" w14:paraId="7FE767AB" w14:textId="2DA29E91">
            <w:pPr>
              <w:keepNext/>
              <w:keepLines/>
              <w:jc w:val="right"/>
              <w:rPr>
                <w:rFonts w:eastAsia="Times New Roman" w:cs="Arial"/>
                <w:b/>
                <w:color w:val="000000"/>
                <w:sz w:val="20"/>
                <w:szCs w:val="20"/>
              </w:rPr>
            </w:pPr>
            <w:r w:rsidRPr="008A3DA6">
              <w:rPr>
                <w:rFonts w:cs="Arial"/>
                <w:b/>
                <w:bCs/>
                <w:color w:val="000000"/>
                <w:sz w:val="20"/>
                <w:szCs w:val="20"/>
              </w:rPr>
              <w:t>5</w:t>
            </w:r>
            <w:r w:rsidRPr="008A3DA6" w:rsidR="001D7276">
              <w:rPr>
                <w:rFonts w:cs="Arial"/>
                <w:b/>
                <w:bCs/>
                <w:color w:val="000000"/>
                <w:sz w:val="20"/>
                <w:szCs w:val="20"/>
              </w:rPr>
              <w:t>98</w:t>
            </w:r>
          </w:p>
        </w:tc>
        <w:tc>
          <w:tcPr>
            <w:tcW w:w="1603" w:type="dxa"/>
            <w:tcBorders>
              <w:top w:val="nil"/>
              <w:left w:val="single" w:color="auto" w:sz="8" w:space="0"/>
              <w:bottom w:val="single" w:color="auto" w:sz="8" w:space="0"/>
              <w:right w:val="nil"/>
            </w:tcBorders>
            <w:shd w:val="clear" w:color="auto" w:fill="auto"/>
            <w:vAlign w:val="center"/>
            <w:hideMark/>
          </w:tcPr>
          <w:p w:rsidRPr="001D4B7D" w:rsidR="007B573F" w:rsidP="002E5AE6" w:rsidRDefault="007B573F" w14:paraId="6B810C85" w14:textId="77777777">
            <w:pPr>
              <w:keepNext/>
              <w:keepLines/>
              <w:rPr>
                <w:rFonts w:eastAsia="Times New Roman" w:cs="Arial"/>
                <w:b/>
                <w:bCs/>
                <w:color w:val="000000"/>
                <w:sz w:val="20"/>
                <w:szCs w:val="20"/>
              </w:rPr>
            </w:pPr>
            <w:r w:rsidRPr="001D4B7D">
              <w:rPr>
                <w:rFonts w:cs="Arial"/>
                <w:b/>
                <w:bCs/>
                <w:color w:val="000000"/>
                <w:sz w:val="20"/>
                <w:szCs w:val="20"/>
              </w:rPr>
              <w:t> </w:t>
            </w:r>
          </w:p>
        </w:tc>
        <w:tc>
          <w:tcPr>
            <w:tcW w:w="1218" w:type="dxa"/>
            <w:tcBorders>
              <w:top w:val="nil"/>
              <w:left w:val="nil"/>
              <w:bottom w:val="single" w:color="auto" w:sz="8" w:space="0"/>
              <w:right w:val="single" w:color="auto" w:sz="8" w:space="0"/>
            </w:tcBorders>
            <w:shd w:val="clear" w:color="auto" w:fill="auto"/>
            <w:vAlign w:val="center"/>
            <w:hideMark/>
          </w:tcPr>
          <w:p w:rsidRPr="001D4B7D" w:rsidR="007B573F" w:rsidP="002E5AE6" w:rsidRDefault="007B573F" w14:paraId="50CA3ED4" w14:textId="52A9F2DF">
            <w:pPr>
              <w:keepNext/>
              <w:keepLines/>
              <w:jc w:val="right"/>
              <w:rPr>
                <w:rFonts w:eastAsia="Times New Roman" w:cs="Arial"/>
                <w:b/>
                <w:bCs/>
                <w:color w:val="000000"/>
                <w:sz w:val="20"/>
                <w:szCs w:val="20"/>
              </w:rPr>
            </w:pPr>
            <w:r w:rsidRPr="001D4B7D">
              <w:rPr>
                <w:rFonts w:cs="Arial"/>
                <w:b/>
                <w:bCs/>
                <w:color w:val="000000"/>
                <w:sz w:val="20"/>
                <w:szCs w:val="20"/>
              </w:rPr>
              <w:t>$27</w:t>
            </w:r>
            <w:r w:rsidRPr="001D4B7D" w:rsidR="001D7276">
              <w:rPr>
                <w:rFonts w:cs="Arial"/>
                <w:b/>
                <w:bCs/>
                <w:color w:val="000000"/>
                <w:sz w:val="20"/>
                <w:szCs w:val="20"/>
              </w:rPr>
              <w:t>4,684</w:t>
            </w:r>
            <w:r w:rsidRPr="001D4B7D">
              <w:rPr>
                <w:rFonts w:cs="Arial"/>
                <w:b/>
                <w:bCs/>
                <w:color w:val="000000"/>
                <w:sz w:val="20"/>
                <w:szCs w:val="20"/>
              </w:rPr>
              <w:t xml:space="preserve"> </w:t>
            </w:r>
          </w:p>
        </w:tc>
      </w:tr>
      <w:tr w:rsidRPr="001D31F0" w:rsidR="007B573F" w:rsidTr="002E5AE6" w14:paraId="7529C2B6" w14:textId="77777777">
        <w:trPr>
          <w:cantSplit/>
          <w:trHeight w:val="493"/>
        </w:trPr>
        <w:tc>
          <w:tcPr>
            <w:tcW w:w="10245" w:type="dxa"/>
            <w:gridSpan w:val="6"/>
            <w:tcBorders>
              <w:top w:val="single" w:color="auto" w:sz="8" w:space="0"/>
              <w:left w:val="single" w:color="auto" w:sz="8" w:space="0"/>
              <w:bottom w:val="single" w:color="auto" w:sz="8" w:space="0"/>
              <w:right w:val="single" w:color="000000" w:sz="8" w:space="0"/>
            </w:tcBorders>
            <w:shd w:val="clear" w:color="auto" w:fill="auto"/>
            <w:hideMark/>
          </w:tcPr>
          <w:p w:rsidRPr="001D4B7D" w:rsidR="007B573F" w:rsidP="002E5AE6" w:rsidRDefault="007B573F" w14:paraId="63600196" w14:textId="77777777">
            <w:pPr>
              <w:keepNext/>
              <w:keepLines/>
              <w:rPr>
                <w:rFonts w:eastAsia="Times New Roman" w:cs="Arial"/>
                <w:color w:val="000000"/>
                <w:sz w:val="20"/>
                <w:szCs w:val="20"/>
              </w:rPr>
            </w:pPr>
            <w:r w:rsidRPr="001D4B7D">
              <w:rPr>
                <w:rFonts w:eastAsia="Times New Roman" w:cs="Arial"/>
                <w:color w:val="000000"/>
                <w:sz w:val="20"/>
                <w:szCs w:val="20"/>
                <w:vertAlign w:val="superscript"/>
              </w:rPr>
              <w:t>1</w:t>
            </w:r>
            <w:r w:rsidRPr="001D4B7D">
              <w:rPr>
                <w:rFonts w:eastAsia="Times New Roman" w:cs="Arial"/>
                <w:color w:val="000000"/>
                <w:sz w:val="20"/>
                <w:szCs w:val="20"/>
              </w:rPr>
              <w:t xml:space="preserve"> Values may not calculate exactly due to rounding. Total burden and cost may be overestimated due to assumptions on the number of firms in consortia and first-time users of CDX.</w:t>
            </w:r>
          </w:p>
        </w:tc>
      </w:tr>
    </w:tbl>
    <w:p w:rsidR="007B573F" w:rsidP="001736C3" w:rsidRDefault="007B573F" w14:paraId="238644A5" w14:textId="77777777">
      <w:pPr>
        <w:pStyle w:val="BodyText"/>
        <w:ind w:right="289"/>
      </w:pPr>
    </w:p>
    <w:p w:rsidR="007F3A69" w:rsidP="007F3A69" w:rsidRDefault="004C3EE4" w14:paraId="13966A39" w14:textId="77777777">
      <w:pPr>
        <w:pStyle w:val="Heading2"/>
        <w:ind w:left="360"/>
      </w:pPr>
      <w:bookmarkStart w:name="_Toc49148207" w:id="7"/>
      <w:r>
        <w:t>Provide an estimate for the total annual cost burden to respondents or recordkeepers resulting from the collection of information.</w:t>
      </w:r>
      <w:r w:rsidR="007F3A69">
        <w:t xml:space="preserve"> (Do not include the cost of any hour burden already reflected on the burden worksheet).</w:t>
      </w:r>
    </w:p>
    <w:p w:rsidR="007F3A69" w:rsidP="007878C2" w:rsidRDefault="007F3A69" w14:paraId="0C75D53E" w14:textId="77777777">
      <w:pPr>
        <w:pStyle w:val="Heading3"/>
        <w:numPr>
          <w:ilvl w:val="0"/>
          <w:numId w:val="7"/>
        </w:numPr>
      </w:pPr>
      <w: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t>drilling</w:t>
      </w:r>
      <w:proofErr w:type="gramEnd"/>
      <w:r>
        <w:t xml:space="preserve"> and testing equipment; and record storage facilities.</w:t>
      </w:r>
    </w:p>
    <w:p w:rsidR="007F3A69" w:rsidP="007F3A69" w:rsidRDefault="007F3A69" w14:paraId="1F825868" w14:textId="77777777">
      <w:pPr>
        <w:pStyle w:val="Heading3"/>
      </w:pPr>
      <w: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P="007F3A69" w:rsidRDefault="007F3A69" w14:paraId="6686600D" w14:textId="2D4ECA41">
      <w:pPr>
        <w:pStyle w:val="Heading3"/>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405B7" w:rsidR="004405B7" w:rsidP="004405B7" w:rsidRDefault="00896EBF" w14:paraId="42B1F302" w14:textId="2F2E2A15">
      <w:r>
        <w:lastRenderedPageBreak/>
        <w:t xml:space="preserve">There are no operational or maintenance costs associated with this ICR. </w:t>
      </w:r>
    </w:p>
    <w:bookmarkEnd w:id="7"/>
    <w:p w:rsidR="003D09E2" w:rsidP="002059F4" w:rsidRDefault="003D09E2" w14:paraId="391F5A09" w14:textId="39E2CE6E">
      <w:pPr>
        <w:pStyle w:val="Heading2"/>
        <w:ind w:left="360"/>
      </w:pPr>
      <w:r w:rsidRPr="00A640A9">
        <w:t>Provide estimates of annualized cost to the Federal government.</w:t>
      </w:r>
      <w:r w:rsidR="007F3A69">
        <w:t xml:space="preserve"> </w:t>
      </w:r>
      <w:r w:rsidRPr="00CB6A40" w:rsidR="007F3A69">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D8420C" w:rsidR="00D8420C" w:rsidP="00D8420C" w:rsidRDefault="00D8420C" w14:paraId="4D161BEA" w14:textId="0D14FE36">
      <w:pPr>
        <w:rPr>
          <w:lang w:bidi="en-US"/>
        </w:rPr>
      </w:pPr>
      <w:r>
        <w:rPr>
          <w:lang w:bidi="en-US"/>
        </w:rPr>
        <w:t>EPA estimates that managing the information that is submitted at the time of the fee payment would require one 80-hour week of labor per year for a GS-13, Step 5 employee in the Washington D.C. area, which will amount to an annual Agency cost of $6,740.48 ($84.26 x 80 = $6,740.48). To calculate the loaded wage rate, EPA uses the wage rate for a GS-13, Step 5 employee in the Washington D.C. area, loaded with a combined fringe and overhead factor of 60% to obtain a loaded wage rate of $175,252 per year. Dividing this wage rate over 2,080 hours – the annual labor hours of a full-time employee – results in an hourly wage rate of $84.26.</w:t>
      </w:r>
    </w:p>
    <w:p w:rsidR="00BD1BAB" w:rsidP="002059F4" w:rsidRDefault="003D09E2" w14:paraId="3AB88F5C" w14:textId="35B7BD65">
      <w:pPr>
        <w:pStyle w:val="Heading2"/>
        <w:ind w:left="360"/>
      </w:pPr>
      <w:r w:rsidRPr="00A640A9">
        <w:t xml:space="preserve">Explain the reasons for any program changes or adjustments reported in </w:t>
      </w:r>
      <w:r w:rsidR="007F3A69">
        <w:t>hour or cost burden</w:t>
      </w:r>
      <w:r w:rsidRPr="00A640A9">
        <w:t>.</w:t>
      </w:r>
    </w:p>
    <w:p w:rsidR="00D8420C" w:rsidP="00D8420C" w:rsidRDefault="00D8420C" w14:paraId="3FEAF2C3" w14:textId="4F4F20D3">
      <w:pPr>
        <w:rPr>
          <w:lang w:bidi="en-US"/>
        </w:rPr>
      </w:pPr>
      <w:r w:rsidRPr="00D8420C">
        <w:rPr>
          <w:lang w:bidi="en-US"/>
        </w:rPr>
        <w:t xml:space="preserve">There is an increase in the total estimated respondent burden compared with that identified in the ICR currently approved by OMB due to the increase in the number of entities potentially affected by this ICR and an increase in the number of information collection activities. The change in potentially affected entities reflects the number of submissions received under TSCA sections 5 and 6. EPA's burden estimates for this collection based upon historical information on the number of chemicals per premanufacture notices (PMNs), significant new use </w:t>
      </w:r>
      <w:r>
        <w:rPr>
          <w:lang w:bidi="en-US"/>
        </w:rPr>
        <w:t>notifications (SNUNs), microbial commercial activity notices (MCANs), and exemption notices and applications  including low-volume exemptions (LVEs), test-marketing exemptions (TMEs), low exposure/low release exemptions (</w:t>
      </w:r>
      <w:proofErr w:type="spellStart"/>
      <w:r>
        <w:rPr>
          <w:lang w:bidi="en-US"/>
        </w:rPr>
        <w:t>LoREXs</w:t>
      </w:r>
      <w:proofErr w:type="spellEnd"/>
      <w:r>
        <w:rPr>
          <w:lang w:bidi="en-US"/>
        </w:rPr>
        <w:t>), TSCA experimental release applications (TERAs), certain new microorganism (Tier II) exemptions, and film article exemptions, and actions under TSCA section 6. This change is an adjustment.</w:t>
      </w:r>
    </w:p>
    <w:p w:rsidR="00467441" w:rsidP="00467441" w:rsidRDefault="00467441" w14:paraId="4FC471B7" w14:textId="155BB870">
      <w:pPr>
        <w:rPr>
          <w:lang w:bidi="en-US"/>
        </w:rPr>
      </w:pPr>
      <w:r>
        <w:rPr>
          <w:lang w:bidi="en-US"/>
        </w:rPr>
        <w:t>Under the PRA, burden is defined at 5 CFR 1320.3(b). There is an increase in the number of entities (from 1,118 to 1,</w:t>
      </w:r>
      <w:r w:rsidR="00F36B84">
        <w:rPr>
          <w:lang w:bidi="en-US"/>
        </w:rPr>
        <w:t>348</w:t>
      </w:r>
      <w:r>
        <w:rPr>
          <w:lang w:bidi="en-US"/>
        </w:rPr>
        <w:t>) compared with that identified in the ICR currently approved by OMB.  This increase reflects EPA's estimate of actions under TSCA sections 4, 5, and 6. This change is an adjustment.</w:t>
      </w:r>
    </w:p>
    <w:p w:rsidR="00A640A9" w:rsidP="002059F4" w:rsidRDefault="00D278E1" w14:paraId="67020DB0" w14:textId="137D2A15">
      <w:pPr>
        <w:pStyle w:val="Heading2"/>
        <w:ind w:left="360"/>
      </w:pPr>
      <w:r w:rsidRPr="00A640A9">
        <w:t>For collections whose results will be published, outline the plans for tabulation and publication.</w:t>
      </w:r>
      <w:r w:rsidR="007F3A69">
        <w:t xml:space="preserve"> </w:t>
      </w:r>
      <w:r w:rsidRPr="007F3A69" w:rsidR="007F3A69">
        <w:t>Address any complex analytical techniques that will be used. Provide the time schedule for the entire project, including beginning and ending dates of the collection of information, completion of report, publication dates, and other actions.</w:t>
      </w:r>
    </w:p>
    <w:p w:rsidRPr="00C1738F" w:rsidR="00C1738F" w:rsidP="00C1738F" w:rsidRDefault="00E54CA8" w14:paraId="43C43554" w14:textId="2F42D905">
      <w:pPr>
        <w:rPr>
          <w:lang w:bidi="en-US"/>
        </w:rPr>
      </w:pPr>
      <w:r>
        <w:rPr>
          <w:lang w:bidi="en-US"/>
        </w:rPr>
        <w:lastRenderedPageBreak/>
        <w:t>Not applicable</w:t>
      </w:r>
      <w:r w:rsidR="00CC4B06">
        <w:rPr>
          <w:lang w:bidi="en-US"/>
        </w:rPr>
        <w:t>.</w:t>
      </w:r>
    </w:p>
    <w:p w:rsidR="00D278E1" w:rsidP="002059F4" w:rsidRDefault="00A640A9" w14:paraId="3C058E98" w14:textId="6DF11E1B">
      <w:pPr>
        <w:pStyle w:val="Heading2"/>
        <w:ind w:left="360"/>
      </w:pPr>
      <w:r>
        <w:t>If</w:t>
      </w:r>
      <w:r w:rsidR="00D278E1">
        <w:t xml:space="preserve"> seeking approval to not display the expiration date for OMB approval of the information collection, explain the reasons why display would be inappropriate.</w:t>
      </w:r>
    </w:p>
    <w:p w:rsidRPr="00ED1F0D" w:rsidR="00ED1F0D" w:rsidP="00ED1F0D" w:rsidRDefault="00ED1F0D" w14:paraId="561CD77C" w14:textId="71DDD900">
      <w:pPr>
        <w:rPr>
          <w:lang w:bidi="en-US"/>
        </w:rPr>
      </w:pPr>
      <w:r>
        <w:rPr>
          <w:lang w:bidi="en-US"/>
        </w:rPr>
        <w:t xml:space="preserve">Not applicable. </w:t>
      </w:r>
    </w:p>
    <w:p w:rsidR="005D6FB8" w:rsidP="002059F4" w:rsidRDefault="00D278E1" w14:paraId="380B6953" w14:textId="66DAD5CD">
      <w:pPr>
        <w:pStyle w:val="Heading2"/>
        <w:ind w:left="360"/>
      </w:pPr>
      <w:r>
        <w:t xml:space="preserve">Explain each exception to the certification statement identified in </w:t>
      </w:r>
      <w:r w:rsidRPr="007F3A69" w:rsidR="007F3A69">
        <w:t>“Certification for Paperwork Reduction Act Submissions.”</w:t>
      </w:r>
    </w:p>
    <w:p w:rsidRPr="00ED1F0D" w:rsidR="00ED1F0D" w:rsidP="00ED1F0D" w:rsidRDefault="00ED1F0D" w14:paraId="7448FC9A" w14:textId="74EF1EEF">
      <w:pPr>
        <w:rPr>
          <w:lang w:bidi="en-US"/>
        </w:rPr>
      </w:pPr>
      <w:r>
        <w:rPr>
          <w:lang w:bidi="en-US"/>
        </w:rPr>
        <w:t xml:space="preserve">EPA does not request an exception to the certification of this information collection. </w:t>
      </w:r>
    </w:p>
    <w:p w:rsidR="0026304B" w:rsidP="002059F4" w:rsidRDefault="007A01E7" w14:paraId="6054E19E" w14:textId="0F6B33F2">
      <w:pPr>
        <w:pStyle w:val="Heading1"/>
      </w:pPr>
      <w:r>
        <w:t>Supplemental Information</w:t>
      </w:r>
    </w:p>
    <w:p w:rsidR="00560FA5" w:rsidP="00560FA5" w:rsidRDefault="00560FA5" w14:paraId="539BA345" w14:textId="539331D1">
      <w:r w:rsidRPr="00004C64">
        <w:t xml:space="preserve">The annual public burden for this collection of information is estimated to average approximately </w:t>
      </w:r>
      <w:r w:rsidR="008A3DA6">
        <w:t>598</w:t>
      </w:r>
      <w:r w:rsidRPr="00004C64">
        <w:t xml:space="preserve"> hours annually per respondent over the three-year period.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p>
    <w:p w:rsidR="00560FA5" w:rsidP="00560FA5" w:rsidRDefault="00560FA5" w14:paraId="14D36CEE" w14:textId="3658CFF3">
      <w:pPr>
        <w:numPr>
          <w:ilvl w:val="12"/>
          <w:numId w:val="0"/>
        </w:numPr>
        <w:rPr>
          <w:color w:val="0F0F0F"/>
          <w:szCs w:val="24"/>
        </w:rPr>
      </w:pPr>
      <w:r w:rsidRPr="00950869">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2A07CD">
        <w:rPr>
          <w:szCs w:val="24"/>
        </w:rPr>
        <w:t>Number EPA-HQ</w:t>
      </w:r>
      <w:r w:rsidRPr="00E97296">
        <w:rPr>
          <w:szCs w:val="24"/>
        </w:rPr>
        <w:t>-</w:t>
      </w:r>
      <w:r w:rsidRPr="002A07CD">
        <w:rPr>
          <w:szCs w:val="24"/>
        </w:rPr>
        <w:t>OPPT-20</w:t>
      </w:r>
      <w:r>
        <w:rPr>
          <w:szCs w:val="24"/>
        </w:rPr>
        <w:t>20-0616</w:t>
      </w:r>
      <w:r w:rsidRPr="002A07CD">
        <w:rPr>
          <w:szCs w:val="24"/>
        </w:rPr>
        <w:t xml:space="preserve">, </w:t>
      </w:r>
      <w:bookmarkStart w:name="_Hlk80705102" w:id="8"/>
      <w:r w:rsidRPr="002A07CD">
        <w:rPr>
          <w:szCs w:val="24"/>
        </w:rPr>
        <w:t xml:space="preserve">which </w:t>
      </w:r>
      <w:r w:rsidRPr="00950869">
        <w:rPr>
          <w:color w:val="0F0F0F"/>
          <w:szCs w:val="24"/>
        </w:rPr>
        <w:t xml:space="preserve">is available at </w:t>
      </w:r>
      <w:hyperlink w:history="1" r:id="rId12">
        <w:r>
          <w:rPr>
            <w:rStyle w:val="Hyperlink"/>
            <w:szCs w:val="24"/>
          </w:rPr>
          <w:t>http://www.regulations.gov</w:t>
        </w:r>
      </w:hyperlink>
      <w:r>
        <w:rPr>
          <w:rStyle w:val="Hyperlink"/>
          <w:szCs w:val="24"/>
        </w:rPr>
        <w:t>.</w:t>
      </w:r>
      <w:r w:rsidRPr="00950869">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AD520B" w:rsidR="00560FA5" w:rsidP="00560FA5" w:rsidRDefault="00560FA5" w14:paraId="0E06984B" w14:textId="77777777">
      <w:r>
        <w:rPr>
          <w:color w:val="0F0F0F"/>
          <w:szCs w:val="24"/>
        </w:rPr>
        <w:t>Y</w:t>
      </w:r>
      <w:r w:rsidRPr="00950869">
        <w:rPr>
          <w:color w:val="0F0F0F"/>
          <w:szCs w:val="24"/>
        </w:rPr>
        <w:t xml:space="preserve">ou can </w:t>
      </w:r>
      <w:r>
        <w:rPr>
          <w:color w:val="0F0F0F"/>
          <w:szCs w:val="24"/>
        </w:rPr>
        <w:t xml:space="preserve">also provide </w:t>
      </w:r>
      <w:r w:rsidRPr="00950869">
        <w:rPr>
          <w:color w:val="0F0F0F"/>
          <w:szCs w:val="24"/>
        </w:rPr>
        <w:t>comments to the Office of Information and Regulatory Affairs, Office of Management and Budget</w:t>
      </w:r>
      <w:r>
        <w:rPr>
          <w:color w:val="0F0F0F"/>
          <w:szCs w:val="24"/>
        </w:rPr>
        <w:t xml:space="preserve"> </w:t>
      </w:r>
      <w:r w:rsidRPr="00AD520B">
        <w:t xml:space="preserve">via </w:t>
      </w:r>
      <w:hyperlink w:history="1" r:id="rId13">
        <w:r w:rsidRPr="00B7714D">
          <w:rPr>
            <w:rStyle w:val="Hyperlink"/>
          </w:rPr>
          <w:t>http://www.reginfo.gov/public/do/PRAMain</w:t>
        </w:r>
      </w:hyperlink>
      <w:r>
        <w:t>. Find this particular information collection by selecting ‘‘Currently under 30-day Review—Open for Public Comments’’ or by using the search function.</w:t>
      </w:r>
    </w:p>
    <w:p w:rsidR="00560FA5" w:rsidP="00560FA5" w:rsidRDefault="00560FA5" w14:paraId="2E0D20B5" w14:textId="77777777">
      <w:r>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8A3DA6" w:rsidR="00B553C2" w:rsidP="00B553C2" w:rsidRDefault="00B553C2" w14:paraId="1833A0EB" w14:textId="77777777">
      <w:pPr>
        <w:rPr>
          <w:rFonts w:ascii="Helvetica" w:hAnsi="Helvetica"/>
          <w:sz w:val="25"/>
          <w:szCs w:val="25"/>
          <w:shd w:val="clear" w:color="auto" w:fill="FFFFFF"/>
        </w:rPr>
      </w:pPr>
      <w:bookmarkStart w:name="_Hlk79500589" w:id="9"/>
      <w:r w:rsidRPr="008A3DA6">
        <w:rPr>
          <w:rFonts w:ascii="Helvetica" w:hAnsi="Helvetica"/>
          <w:sz w:val="25"/>
          <w:szCs w:val="25"/>
          <w:shd w:val="clear" w:color="auto" w:fill="FFFFFF"/>
        </w:rPr>
        <w:lastRenderedPageBreak/>
        <w:t>Notice: Due to public health concerns related to COVID-19, the EPA Docket Center and Reading Room are open to the public </w:t>
      </w:r>
      <w:r w:rsidRPr="008A3DA6">
        <w:rPr>
          <w:rStyle w:val="Emphasis"/>
          <w:rFonts w:ascii="Helvetica" w:hAnsi="Helvetica"/>
          <w:sz w:val="25"/>
          <w:szCs w:val="25"/>
          <w:shd w:val="clear" w:color="auto" w:fill="FFFFFF"/>
        </w:rPr>
        <w:t>by appointment only</w:t>
      </w:r>
      <w:r w:rsidRPr="008A3DA6">
        <w:rPr>
          <w:rFonts w:ascii="Helvetica" w:hAnsi="Helvetica"/>
          <w:sz w:val="25"/>
          <w:szCs w:val="25"/>
          <w:shd w:val="clear" w:color="auto" w:fill="FFFFFF"/>
        </w:rPr>
        <w:t>. </w:t>
      </w:r>
      <w:hyperlink w:history="1" r:id="rId14">
        <w:r w:rsidRPr="008A3DA6">
          <w:rPr>
            <w:rStyle w:val="Hyperlink"/>
            <w:rFonts w:ascii="Helvetica" w:hAnsi="Helvetica"/>
            <w:color w:val="auto"/>
            <w:sz w:val="25"/>
            <w:szCs w:val="25"/>
            <w:shd w:val="clear" w:color="auto" w:fill="FFFFFF"/>
          </w:rPr>
          <w:t>Read more about the operating status</w:t>
        </w:r>
      </w:hyperlink>
      <w:r w:rsidRPr="008A3DA6">
        <w:rPr>
          <w:rFonts w:ascii="Helvetica" w:hAnsi="Helvetica"/>
          <w:sz w:val="25"/>
          <w:szCs w:val="25"/>
          <w:shd w:val="clear" w:color="auto" w:fill="FFFFFF"/>
        </w:rPr>
        <w:t xml:space="preserve">. </w:t>
      </w:r>
    </w:p>
    <w:p w:rsidRPr="00B7714D" w:rsidR="00560FA5" w:rsidP="00560FA5" w:rsidRDefault="00560FA5" w14:paraId="48AC80B7" w14:textId="2740DD92">
      <w:r w:rsidRPr="00D52825">
        <w:t>.</w:t>
      </w:r>
      <w:bookmarkEnd w:id="8"/>
      <w:bookmarkEnd w:id="9"/>
    </w:p>
    <w:p w:rsidR="00A640A9" w:rsidP="002059F4" w:rsidRDefault="00A640A9" w14:paraId="4CFB748D" w14:textId="69657CB9">
      <w:pPr>
        <w:pStyle w:val="Heading1"/>
      </w:pPr>
      <w:r>
        <w:t>List of Attachments</w:t>
      </w:r>
    </w:p>
    <w:p w:rsidR="0026304B" w:rsidP="0026304B" w:rsidRDefault="0026304B" w14:paraId="4BA9D995" w14:textId="622B056E">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w:history="1" r:id="rId15">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00ED1F0D">
        <w:rPr>
          <w:rFonts w:cs="Arial"/>
          <w:szCs w:val="24"/>
        </w:rPr>
        <w:t>OPPT</w:t>
      </w:r>
      <w:r>
        <w:rPr>
          <w:rFonts w:cs="Arial"/>
          <w:szCs w:val="24"/>
        </w:rPr>
        <w:t>-</w:t>
      </w:r>
      <w:r w:rsidR="00ED1F0D">
        <w:rPr>
          <w:rFonts w:cs="Arial"/>
          <w:szCs w:val="24"/>
        </w:rPr>
        <w:t>20</w:t>
      </w:r>
      <w:r w:rsidR="00E54CA8">
        <w:rPr>
          <w:rFonts w:cs="Arial"/>
          <w:szCs w:val="24"/>
        </w:rPr>
        <w:t>20-061</w:t>
      </w:r>
      <w:r w:rsidR="007F5B4D">
        <w:rPr>
          <w:rFonts w:cs="Arial"/>
          <w:szCs w:val="24"/>
        </w:rPr>
        <w:t>6</w:t>
      </w:r>
      <w:r>
        <w:rPr>
          <w:lang w:bidi="en-US"/>
        </w:rPr>
        <w:t>.</w:t>
      </w:r>
    </w:p>
    <w:tbl>
      <w:tblPr>
        <w:tblStyle w:val="TableGrid"/>
        <w:tblW w:w="0" w:type="auto"/>
        <w:tblLook w:val="04A0" w:firstRow="1" w:lastRow="0" w:firstColumn="1" w:lastColumn="0" w:noHBand="0" w:noVBand="1"/>
      </w:tblPr>
      <w:tblGrid>
        <w:gridCol w:w="670"/>
        <w:gridCol w:w="8680"/>
      </w:tblGrid>
      <w:tr w:rsidR="0026304B" w:rsidTr="00E54CA8" w14:paraId="3C28984B" w14:textId="77777777">
        <w:tc>
          <w:tcPr>
            <w:tcW w:w="670" w:type="dxa"/>
          </w:tcPr>
          <w:p w:rsidRPr="0026304B" w:rsidR="0026304B" w:rsidP="0026304B" w:rsidRDefault="0026304B" w14:paraId="20CF178A" w14:textId="5677487C">
            <w:pPr>
              <w:widowControl w:val="0"/>
              <w:spacing w:before="40" w:after="40" w:line="240" w:lineRule="auto"/>
              <w:rPr>
                <w:b/>
                <w:bCs/>
                <w:lang w:bidi="en-US"/>
              </w:rPr>
            </w:pPr>
            <w:r w:rsidRPr="0026304B">
              <w:rPr>
                <w:b/>
                <w:bCs/>
                <w:lang w:bidi="en-US"/>
              </w:rPr>
              <w:t>Ref.</w:t>
            </w:r>
          </w:p>
        </w:tc>
        <w:tc>
          <w:tcPr>
            <w:tcW w:w="8680" w:type="dxa"/>
          </w:tcPr>
          <w:p w:rsidRPr="0026304B" w:rsidR="0026304B" w:rsidP="0026304B" w:rsidRDefault="0026304B" w14:paraId="43C6C962" w14:textId="19512F20">
            <w:pPr>
              <w:widowControl w:val="0"/>
              <w:spacing w:before="40" w:after="40" w:line="240" w:lineRule="auto"/>
              <w:rPr>
                <w:b/>
                <w:bCs/>
                <w:lang w:bidi="en-US"/>
              </w:rPr>
            </w:pPr>
            <w:r w:rsidRPr="0026304B">
              <w:rPr>
                <w:b/>
                <w:bCs/>
                <w:lang w:bidi="en-US"/>
              </w:rPr>
              <w:t xml:space="preserve">Title </w:t>
            </w:r>
          </w:p>
        </w:tc>
      </w:tr>
      <w:tr w:rsidR="00E54CA8" w:rsidTr="00E54CA8" w14:paraId="653EF079" w14:textId="77777777">
        <w:tc>
          <w:tcPr>
            <w:tcW w:w="670" w:type="dxa"/>
          </w:tcPr>
          <w:p w:rsidR="00E54CA8" w:rsidP="00E54CA8" w:rsidRDefault="00E54CA8" w14:paraId="244D5D03" w14:textId="3D501ABF">
            <w:pPr>
              <w:widowControl w:val="0"/>
              <w:spacing w:before="40" w:after="40" w:line="240" w:lineRule="auto"/>
              <w:rPr>
                <w:lang w:bidi="en-US"/>
              </w:rPr>
            </w:pPr>
            <w:r>
              <w:rPr>
                <w:lang w:bidi="en-US"/>
              </w:rPr>
              <w:t>1.</w:t>
            </w:r>
          </w:p>
        </w:tc>
        <w:tc>
          <w:tcPr>
            <w:tcW w:w="8680" w:type="dxa"/>
          </w:tcPr>
          <w:p w:rsidRPr="00D8420C" w:rsidR="00E54CA8" w:rsidP="00E54CA8" w:rsidRDefault="00D8420C" w14:paraId="46F5F82F" w14:textId="40C7FF81">
            <w:pPr>
              <w:spacing w:after="0" w:line="240" w:lineRule="auto"/>
              <w:rPr>
                <w:bCs/>
                <w:iCs/>
                <w:szCs w:val="24"/>
              </w:rPr>
            </w:pPr>
            <w:r>
              <w:rPr>
                <w:bCs/>
                <w:iCs/>
                <w:szCs w:val="24"/>
              </w:rPr>
              <w:t xml:space="preserve">EPA Form No. </w:t>
            </w:r>
            <w:r w:rsidRPr="00D8420C">
              <w:rPr>
                <w:bCs/>
                <w:iCs/>
                <w:szCs w:val="24"/>
              </w:rPr>
              <w:t>9600-008: Notice of TSCA Fee Action Participation. (Form is available to respondents in CDX for online submissions in CDX.)</w:t>
            </w:r>
          </w:p>
        </w:tc>
      </w:tr>
      <w:tr w:rsidR="00E54CA8" w:rsidTr="00E54CA8" w14:paraId="1C755756" w14:textId="77777777">
        <w:tc>
          <w:tcPr>
            <w:tcW w:w="670" w:type="dxa"/>
          </w:tcPr>
          <w:p w:rsidR="00E54CA8" w:rsidP="00E54CA8" w:rsidRDefault="00E54CA8" w14:paraId="2E4BB1DE" w14:textId="2ED8CB86">
            <w:pPr>
              <w:widowControl w:val="0"/>
              <w:spacing w:before="40" w:after="40" w:line="240" w:lineRule="auto"/>
              <w:rPr>
                <w:lang w:bidi="en-US"/>
              </w:rPr>
            </w:pPr>
            <w:r>
              <w:rPr>
                <w:lang w:bidi="en-US"/>
              </w:rPr>
              <w:t xml:space="preserve">2. </w:t>
            </w:r>
          </w:p>
        </w:tc>
        <w:tc>
          <w:tcPr>
            <w:tcW w:w="8680" w:type="dxa"/>
          </w:tcPr>
          <w:p w:rsidR="00E54CA8" w:rsidP="00E54CA8" w:rsidRDefault="00D8420C" w14:paraId="0A64072A" w14:textId="77777777">
            <w:pPr>
              <w:widowControl w:val="0"/>
              <w:tabs>
                <w:tab w:val="left" w:pos="1080"/>
              </w:tabs>
              <w:autoSpaceDE w:val="0"/>
              <w:autoSpaceDN w:val="0"/>
              <w:spacing w:after="0" w:line="240" w:lineRule="auto"/>
              <w:rPr>
                <w:rFonts w:cs="Arial"/>
              </w:rPr>
            </w:pPr>
            <w:r w:rsidRPr="00D8420C">
              <w:rPr>
                <w:rFonts w:cs="Arial"/>
              </w:rPr>
              <w:t>CDX Screen Shots &amp; Instructions. Revised Modules for TSCA Section 5 and Section 6 Submissions.</w:t>
            </w:r>
          </w:p>
          <w:p w:rsidR="00D8420C" w:rsidP="00E54CA8" w:rsidRDefault="00D8420C" w14:paraId="0963F800" w14:textId="00BCE6C5">
            <w:pPr>
              <w:widowControl w:val="0"/>
              <w:tabs>
                <w:tab w:val="left" w:pos="1080"/>
              </w:tabs>
              <w:autoSpaceDE w:val="0"/>
              <w:autoSpaceDN w:val="0"/>
              <w:spacing w:after="0" w:line="240" w:lineRule="auto"/>
              <w:rPr>
                <w:rFonts w:cs="Arial"/>
              </w:rPr>
            </w:pPr>
            <w:r>
              <w:rPr>
                <w:rFonts w:cs="Arial"/>
              </w:rPr>
              <w:t xml:space="preserve">A. Section 5 Notices and Supports User Guide – Primary Authorized Official </w:t>
            </w:r>
          </w:p>
          <w:p w:rsidR="00D8420C" w:rsidP="00E54CA8" w:rsidRDefault="00D8420C" w14:paraId="28F364F8" w14:textId="0C0948EC">
            <w:pPr>
              <w:widowControl w:val="0"/>
              <w:tabs>
                <w:tab w:val="left" w:pos="1080"/>
              </w:tabs>
              <w:autoSpaceDE w:val="0"/>
              <w:autoSpaceDN w:val="0"/>
              <w:spacing w:after="0" w:line="240" w:lineRule="auto"/>
              <w:rPr>
                <w:rFonts w:cs="Arial"/>
              </w:rPr>
            </w:pPr>
            <w:r>
              <w:rPr>
                <w:rFonts w:cs="Arial"/>
              </w:rPr>
              <w:t xml:space="preserve">B. Risk Evaluation Rule User Guide – Primary Authorized Official </w:t>
            </w:r>
          </w:p>
        </w:tc>
      </w:tr>
      <w:tr w:rsidR="00E54CA8" w:rsidTr="00E54CA8" w14:paraId="12D1CA05" w14:textId="77777777">
        <w:tc>
          <w:tcPr>
            <w:tcW w:w="670" w:type="dxa"/>
          </w:tcPr>
          <w:p w:rsidR="00E54CA8" w:rsidP="00E54CA8" w:rsidRDefault="00E54CA8" w14:paraId="24C529A6" w14:textId="4AEAA2F8">
            <w:pPr>
              <w:widowControl w:val="0"/>
              <w:spacing w:before="40" w:after="40" w:line="240" w:lineRule="auto"/>
              <w:rPr>
                <w:lang w:bidi="en-US"/>
              </w:rPr>
            </w:pPr>
            <w:r>
              <w:rPr>
                <w:lang w:bidi="en-US"/>
              </w:rPr>
              <w:t xml:space="preserve">3. </w:t>
            </w:r>
          </w:p>
        </w:tc>
        <w:tc>
          <w:tcPr>
            <w:tcW w:w="8680" w:type="dxa"/>
          </w:tcPr>
          <w:p w:rsidR="00E54CA8" w:rsidP="00E54CA8" w:rsidRDefault="00D8420C" w14:paraId="3ADB86DE" w14:textId="63CD7DAB">
            <w:pPr>
              <w:widowControl w:val="0"/>
              <w:tabs>
                <w:tab w:val="left" w:pos="1080"/>
              </w:tabs>
              <w:autoSpaceDE w:val="0"/>
              <w:autoSpaceDN w:val="0"/>
              <w:spacing w:after="0" w:line="240" w:lineRule="auto"/>
              <w:rPr>
                <w:rFonts w:cs="Arial"/>
              </w:rPr>
            </w:pPr>
            <w:r>
              <w:rPr>
                <w:rFonts w:cs="Arial"/>
              </w:rPr>
              <w:t xml:space="preserve">Consultation </w:t>
            </w:r>
            <w:r w:rsidR="005E2FB4">
              <w:rPr>
                <w:rFonts w:cs="Arial"/>
              </w:rPr>
              <w:t xml:space="preserve">Email </w:t>
            </w:r>
          </w:p>
        </w:tc>
      </w:tr>
      <w:tr w:rsidR="00E162FB" w:rsidTr="00E54CA8" w14:paraId="025201B4" w14:textId="77777777">
        <w:tc>
          <w:tcPr>
            <w:tcW w:w="670" w:type="dxa"/>
          </w:tcPr>
          <w:p w:rsidR="00E162FB" w:rsidP="00E54CA8" w:rsidRDefault="00E162FB" w14:paraId="5024F5B9" w14:textId="7902D286">
            <w:pPr>
              <w:widowControl w:val="0"/>
              <w:spacing w:before="40" w:after="40" w:line="240" w:lineRule="auto"/>
              <w:rPr>
                <w:lang w:bidi="en-US"/>
              </w:rPr>
            </w:pPr>
            <w:r>
              <w:rPr>
                <w:lang w:bidi="en-US"/>
              </w:rPr>
              <w:t>4.</w:t>
            </w:r>
          </w:p>
        </w:tc>
        <w:tc>
          <w:tcPr>
            <w:tcW w:w="8680" w:type="dxa"/>
          </w:tcPr>
          <w:p w:rsidR="00E162FB" w:rsidP="00E54CA8" w:rsidRDefault="00E162FB" w14:paraId="34F3A6C7" w14:textId="10518BB5">
            <w:pPr>
              <w:widowControl w:val="0"/>
              <w:tabs>
                <w:tab w:val="left" w:pos="1080"/>
              </w:tabs>
              <w:autoSpaceDE w:val="0"/>
              <w:autoSpaceDN w:val="0"/>
              <w:spacing w:after="0" w:line="240" w:lineRule="auto"/>
              <w:rPr>
                <w:rFonts w:cs="Arial"/>
              </w:rPr>
            </w:pPr>
            <w:r w:rsidRPr="00E162FB">
              <w:rPr>
                <w:rFonts w:cs="Arial"/>
              </w:rPr>
              <w:t>Responses to Comments Received on Proposed Renewal of the Information Collection Request (ICR) for the User Fees for the Administration of the Toxic Substances Control Act (TSCA)</w:t>
            </w:r>
          </w:p>
        </w:tc>
      </w:tr>
    </w:tbl>
    <w:p w:rsidR="00E54CA8" w:rsidP="00E54CA8" w:rsidRDefault="00E54CA8" w14:paraId="230EC68A" w14:textId="08E35768">
      <w:pPr>
        <w:spacing w:after="0"/>
        <w:ind w:left="720" w:hanging="720"/>
        <w:rPr>
          <w:szCs w:val="24"/>
        </w:rPr>
      </w:pPr>
    </w:p>
    <w:p w:rsidR="00E54CA8" w:rsidP="00E54CA8" w:rsidRDefault="00E54CA8" w14:paraId="149CD7E6" w14:textId="58D1BCCD">
      <w:pPr>
        <w:pStyle w:val="Heading1"/>
      </w:pPr>
      <w:r>
        <w:t>references</w:t>
      </w:r>
    </w:p>
    <w:p w:rsidR="00D8420C" w:rsidP="00D8420C" w:rsidRDefault="00D8420C" w14:paraId="7441D308" w14:textId="77777777">
      <w:pPr>
        <w:rPr>
          <w:lang w:bidi="en-US"/>
        </w:rPr>
      </w:pPr>
      <w:r>
        <w:rPr>
          <w:lang w:bidi="en-US"/>
        </w:rPr>
        <w:t>Rice, C. (2002). Wage Rates for Economic Analysis of The Toxics Release Inventory Program. Office of Environmental Information: U.S. Environmental Protection Agency.</w:t>
      </w:r>
    </w:p>
    <w:p w:rsidR="00D8420C" w:rsidP="00D8420C" w:rsidRDefault="00D8420C" w14:paraId="1C49CFFF" w14:textId="1087C2D0">
      <w:pPr>
        <w:rPr>
          <w:lang w:bidi="en-US"/>
        </w:rPr>
      </w:pPr>
      <w:r>
        <w:rPr>
          <w:lang w:bidi="en-US"/>
        </w:rPr>
        <w:t xml:space="preserve">U.S. Bureau of Labor Statistics </w:t>
      </w:r>
      <w:r w:rsidR="00902C5F">
        <w:rPr>
          <w:lang w:bidi="en-US"/>
        </w:rPr>
        <w:t xml:space="preserve">(BLS). </w:t>
      </w:r>
      <w:r>
        <w:rPr>
          <w:lang w:bidi="en-US"/>
        </w:rPr>
        <w:t>(2018). Employer Costs for Employee Compensation (ECEC) Supplementary Tables: December 2006 – March 2018. 2018.</w:t>
      </w:r>
    </w:p>
    <w:p w:rsidR="0026304B" w:rsidP="00D8420C" w:rsidRDefault="00D8420C" w14:paraId="402D83F5" w14:textId="4DED0225">
      <w:pPr>
        <w:rPr>
          <w:lang w:bidi="en-US"/>
        </w:rPr>
      </w:pPr>
      <w:r>
        <w:rPr>
          <w:lang w:bidi="en-US"/>
        </w:rPr>
        <w:t>U.S. Environmental Protection Agency (EPA). (2001) “Revised Economic Analysis for the Amended Inventory Update Rule (IUR).” Research Triangle Park.</w:t>
      </w:r>
    </w:p>
    <w:p w:rsidR="00B50EAB" w:rsidP="00D8420C" w:rsidRDefault="00B50EAB" w14:paraId="18781D7C" w14:textId="15458D8E">
      <w:pPr>
        <w:rPr>
          <w:lang w:bidi="en-US"/>
        </w:rPr>
      </w:pPr>
      <w:r w:rsidRPr="00B50EAB">
        <w:rPr>
          <w:lang w:bidi="en-US"/>
        </w:rPr>
        <w:t>EPA.</w:t>
      </w:r>
      <w:r w:rsidR="00477CE8">
        <w:rPr>
          <w:lang w:bidi="en-US"/>
        </w:rPr>
        <w:t xml:space="preserve"> (2018)</w:t>
      </w:r>
      <w:r w:rsidRPr="00B50EAB">
        <w:rPr>
          <w:lang w:bidi="en-US"/>
        </w:rPr>
        <w:t xml:space="preserve"> Final Rule; Fees for the Administration of the Toxic Substances Control Act. Federal Register. 83 FR 52694, October 17, 2018 (FRL-9984-41).</w:t>
      </w:r>
    </w:p>
    <w:p w:rsidRPr="0026304B" w:rsidR="00B50EAB" w:rsidP="00D8420C" w:rsidRDefault="00B50EAB" w14:paraId="235B5708" w14:textId="77777777">
      <w:pPr>
        <w:rPr>
          <w:lang w:bidi="en-US"/>
        </w:rPr>
      </w:pPr>
    </w:p>
    <w:sectPr w:rsidRPr="0026304B" w:rsidR="00B50EAB" w:rsidSect="002059F4">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8695C" w14:textId="77777777" w:rsidR="00FF3217" w:rsidRDefault="00FF3217" w:rsidP="005645B8">
      <w:pPr>
        <w:spacing w:after="0" w:line="240" w:lineRule="auto"/>
      </w:pPr>
      <w:r>
        <w:separator/>
      </w:r>
    </w:p>
  </w:endnote>
  <w:endnote w:type="continuationSeparator" w:id="0">
    <w:p w14:paraId="03E27462" w14:textId="77777777" w:rsidR="00FF3217" w:rsidRDefault="00FF3217" w:rsidP="005645B8">
      <w:pPr>
        <w:spacing w:after="0" w:line="240" w:lineRule="auto"/>
      </w:pPr>
      <w:r>
        <w:continuationSeparator/>
      </w:r>
    </w:p>
  </w:endnote>
  <w:endnote w:type="continuationNotice" w:id="1">
    <w:p w14:paraId="4E175113" w14:textId="77777777" w:rsidR="00FF3217" w:rsidRDefault="00FF3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BookCondense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2E5AE6" w:rsidRDefault="002E5AE6"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01F2" w14:textId="39482EC5" w:rsidR="002E5AE6" w:rsidRDefault="008A3DA6" w:rsidP="009505AD">
    <w:pPr>
      <w:pStyle w:val="Footer"/>
      <w:spacing w:before="120"/>
      <w:jc w:val="center"/>
    </w:pPr>
    <w:sdt>
      <w:sdtPr>
        <w:id w:val="1988427682"/>
        <w:docPartObj>
          <w:docPartGallery w:val="Page Numbers (Top of Page)"/>
          <w:docPartUnique/>
        </w:docPartObj>
      </w:sdtPr>
      <w:sdtEndPr/>
      <w:sdtContent>
        <w:r w:rsidR="002E5AE6" w:rsidRPr="009505AD">
          <w:rPr>
            <w:sz w:val="20"/>
            <w:szCs w:val="20"/>
          </w:rPr>
          <w:t xml:space="preserve">Page </w:t>
        </w:r>
        <w:r w:rsidR="002E5AE6" w:rsidRPr="009505AD">
          <w:rPr>
            <w:b/>
            <w:bCs/>
            <w:sz w:val="20"/>
            <w:szCs w:val="20"/>
          </w:rPr>
          <w:fldChar w:fldCharType="begin"/>
        </w:r>
        <w:r w:rsidR="002E5AE6" w:rsidRPr="009505AD">
          <w:rPr>
            <w:b/>
            <w:bCs/>
            <w:sz w:val="20"/>
            <w:szCs w:val="20"/>
          </w:rPr>
          <w:instrText xml:space="preserve"> PAGE </w:instrText>
        </w:r>
        <w:r w:rsidR="002E5AE6" w:rsidRPr="009505AD">
          <w:rPr>
            <w:b/>
            <w:bCs/>
            <w:sz w:val="20"/>
            <w:szCs w:val="20"/>
          </w:rPr>
          <w:fldChar w:fldCharType="separate"/>
        </w:r>
        <w:r w:rsidR="002E5AE6">
          <w:rPr>
            <w:b/>
            <w:bCs/>
            <w:sz w:val="20"/>
            <w:szCs w:val="20"/>
          </w:rPr>
          <w:t>2</w:t>
        </w:r>
        <w:r w:rsidR="002E5AE6" w:rsidRPr="009505AD">
          <w:rPr>
            <w:b/>
            <w:bCs/>
            <w:sz w:val="20"/>
            <w:szCs w:val="20"/>
          </w:rPr>
          <w:fldChar w:fldCharType="end"/>
        </w:r>
        <w:r w:rsidR="002E5AE6" w:rsidRPr="009505AD">
          <w:rPr>
            <w:sz w:val="20"/>
            <w:szCs w:val="20"/>
          </w:rPr>
          <w:t xml:space="preserve"> of </w:t>
        </w:r>
        <w:r w:rsidR="002E5AE6" w:rsidRPr="009505AD">
          <w:rPr>
            <w:b/>
            <w:bCs/>
            <w:sz w:val="20"/>
            <w:szCs w:val="20"/>
          </w:rPr>
          <w:fldChar w:fldCharType="begin"/>
        </w:r>
        <w:r w:rsidR="002E5AE6" w:rsidRPr="009505AD">
          <w:rPr>
            <w:b/>
            <w:bCs/>
            <w:sz w:val="20"/>
            <w:szCs w:val="20"/>
          </w:rPr>
          <w:instrText xml:space="preserve"> NUMPAGES  </w:instrText>
        </w:r>
        <w:r w:rsidR="002E5AE6" w:rsidRPr="009505AD">
          <w:rPr>
            <w:b/>
            <w:bCs/>
            <w:sz w:val="20"/>
            <w:szCs w:val="20"/>
          </w:rPr>
          <w:fldChar w:fldCharType="separate"/>
        </w:r>
        <w:r w:rsidR="002E5AE6">
          <w:rPr>
            <w:b/>
            <w:bCs/>
            <w:sz w:val="20"/>
            <w:szCs w:val="20"/>
          </w:rPr>
          <w:t>5</w:t>
        </w:r>
        <w:r w:rsidR="002E5AE6"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E8BEB" w14:textId="77777777" w:rsidR="00FF3217" w:rsidRDefault="00FF3217" w:rsidP="005645B8">
      <w:pPr>
        <w:spacing w:after="0" w:line="240" w:lineRule="auto"/>
      </w:pPr>
      <w:r>
        <w:separator/>
      </w:r>
    </w:p>
  </w:footnote>
  <w:footnote w:type="continuationSeparator" w:id="0">
    <w:p w14:paraId="56953755" w14:textId="77777777" w:rsidR="00FF3217" w:rsidRDefault="00FF3217" w:rsidP="005645B8">
      <w:pPr>
        <w:spacing w:after="0" w:line="240" w:lineRule="auto"/>
      </w:pPr>
      <w:r>
        <w:continuationSeparator/>
      </w:r>
    </w:p>
  </w:footnote>
  <w:footnote w:type="continuationNotice" w:id="1">
    <w:p w14:paraId="6EA60410" w14:textId="77777777" w:rsidR="00FF3217" w:rsidRDefault="00FF3217">
      <w:pPr>
        <w:spacing w:after="0" w:line="240" w:lineRule="auto"/>
      </w:pPr>
    </w:p>
  </w:footnote>
  <w:footnote w:id="2">
    <w:p w14:paraId="498EBAD8" w14:textId="7E6624A6" w:rsidR="002E5AE6" w:rsidRDefault="002E5AE6">
      <w:pPr>
        <w:pStyle w:val="FootnoteText"/>
      </w:pPr>
      <w:r>
        <w:rPr>
          <w:rStyle w:val="FootnoteReference"/>
        </w:rPr>
        <w:footnoteRef/>
      </w:r>
      <w:r>
        <w:t xml:space="preserve"> </w:t>
      </w:r>
      <w:r w:rsidRPr="00835221">
        <w:t xml:space="preserve">EPA expects a section 4 Test Rule and Enforceable Consent Agreement action to take two years. As a result, EPA expects to initiate two of each over the three years of this ICR. To simplify this analysis, EPA includes one of each of these actions each year. EPA expects this to be an overestimate of the total burden.   </w:t>
      </w:r>
    </w:p>
  </w:footnote>
  <w:footnote w:id="3">
    <w:p w14:paraId="24F0E7F6" w14:textId="57453CF8" w:rsidR="002E5AE6" w:rsidRDefault="002E5AE6">
      <w:pPr>
        <w:pStyle w:val="FootnoteText"/>
      </w:pPr>
      <w:r>
        <w:rPr>
          <w:rStyle w:val="FootnoteReference"/>
        </w:rPr>
        <w:footnoteRef/>
      </w:r>
      <w:r>
        <w:t xml:space="preserve"> See TSCA section 5 PMN ICR: </w:t>
      </w:r>
      <w:hyperlink r:id="rId1" w:history="1">
        <w:r w:rsidRPr="00EE4F46">
          <w:rPr>
            <w:rStyle w:val="Hyperlink"/>
          </w:rPr>
          <w:t>https://www.reginfo.gov/public/do/PRAViewICR?ref_nbr=201806-2070-001</w:t>
        </w:r>
      </w:hyperlink>
      <w:r w:rsidRPr="001736C3">
        <w:t>.</w:t>
      </w:r>
      <w:r>
        <w:t xml:space="preserve"> </w:t>
      </w:r>
    </w:p>
  </w:footnote>
  <w:footnote w:id="4">
    <w:p w14:paraId="372AC7A6" w14:textId="097664A3" w:rsidR="002E5AE6" w:rsidRDefault="002E5AE6">
      <w:pPr>
        <w:pStyle w:val="FootnoteText"/>
      </w:pPr>
      <w:r>
        <w:rPr>
          <w:rStyle w:val="FootnoteReference"/>
        </w:rPr>
        <w:footnoteRef/>
      </w:r>
      <w:r>
        <w:t xml:space="preserve"> See TSCA section 4 ICR: </w:t>
      </w:r>
      <w:hyperlink r:id="rId2" w:history="1">
        <w:r w:rsidRPr="00EE4F46">
          <w:rPr>
            <w:rStyle w:val="Hyperlink"/>
          </w:rPr>
          <w:t>https://www.reginfo.gov/public/do/PRAViewICR?ref_nbr=201712-2070-004</w:t>
        </w:r>
      </w:hyperlink>
      <w:r>
        <w:t xml:space="preserve"> </w:t>
      </w:r>
    </w:p>
  </w:footnote>
  <w:footnote w:id="5">
    <w:p w14:paraId="3D8ECD49" w14:textId="3BA228FA" w:rsidR="002E5AE6" w:rsidRDefault="002E5AE6">
      <w:pPr>
        <w:pStyle w:val="FootnoteText"/>
      </w:pPr>
      <w:r>
        <w:rPr>
          <w:rStyle w:val="FootnoteReference"/>
        </w:rPr>
        <w:footnoteRef/>
      </w:r>
      <w:r>
        <w:t xml:space="preserve"> </w:t>
      </w:r>
      <w:r w:rsidRPr="00D8420C">
        <w:t xml:space="preserve">See TSCA section 6 Risk Evaluations rule ICR </w:t>
      </w:r>
      <w:hyperlink r:id="rId3" w:history="1">
        <w:r w:rsidRPr="00EE4F46">
          <w:rPr>
            <w:rStyle w:val="Hyperlink"/>
          </w:rPr>
          <w:t>https://www.reginfo.gov/public/do/PRAViewICR?ref_nbr=201707-2070-001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E3199" w14:textId="69991157" w:rsidR="002E5AE6" w:rsidRDefault="002E5AE6">
    <w:pPr>
      <w:pStyle w:val="Header"/>
    </w:pPr>
    <w:r>
      <w:tab/>
    </w:r>
    <w:r>
      <w:tab/>
    </w:r>
    <w:r w:rsidR="002F3C65">
      <w:t xml:space="preserve">October </w:t>
    </w:r>
    <w:r w:rsidR="00247508">
      <w:t>21</w:t>
    </w:r>
    <w:r w:rsidR="002F3C65">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A24"/>
    <w:multiLevelType w:val="hybridMultilevel"/>
    <w:tmpl w:val="8D6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260FF"/>
    <w:multiLevelType w:val="hybridMultilevel"/>
    <w:tmpl w:val="2CD06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24E44"/>
    <w:multiLevelType w:val="hybridMultilevel"/>
    <w:tmpl w:val="B6A2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7074D"/>
    <w:multiLevelType w:val="hybridMultilevel"/>
    <w:tmpl w:val="380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435B2"/>
    <w:multiLevelType w:val="hybridMultilevel"/>
    <w:tmpl w:val="33ACB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B6113"/>
    <w:multiLevelType w:val="hybridMultilevel"/>
    <w:tmpl w:val="61E03720"/>
    <w:lvl w:ilvl="0" w:tplc="5FEA099E">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512CDB"/>
    <w:multiLevelType w:val="hybridMultilevel"/>
    <w:tmpl w:val="F650223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9" w15:restartNumberingAfterBreak="0">
    <w:nsid w:val="38972E07"/>
    <w:multiLevelType w:val="hybridMultilevel"/>
    <w:tmpl w:val="E8FEF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C1F13"/>
    <w:multiLevelType w:val="hybridMultilevel"/>
    <w:tmpl w:val="C264F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2"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C527F15"/>
    <w:multiLevelType w:val="hybridMultilevel"/>
    <w:tmpl w:val="EC2C0850"/>
    <w:lvl w:ilvl="0" w:tplc="0EB6D850">
      <w:start w:val="1"/>
      <w:numFmt w:val="decimal"/>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07C78"/>
    <w:multiLevelType w:val="hybridMultilevel"/>
    <w:tmpl w:val="CFA2FD5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7" w15:restartNumberingAfterBreak="0">
    <w:nsid w:val="673A6038"/>
    <w:multiLevelType w:val="hybridMultilevel"/>
    <w:tmpl w:val="65087588"/>
    <w:lvl w:ilvl="0" w:tplc="5EB22F08">
      <w:start w:val="1"/>
      <w:numFmt w:val="decimal"/>
      <w:pStyle w:val="heading10"/>
      <w:lvlText w:val="%1."/>
      <w:lvlJc w:val="center"/>
      <w:pPr>
        <w:ind w:left="720" w:hanging="360"/>
      </w:pPr>
      <w:rPr>
        <w:rFonts w:hint="default"/>
        <w:b/>
        <w:bCs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B689D"/>
    <w:multiLevelType w:val="hybridMultilevel"/>
    <w:tmpl w:val="1BCE067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9" w15:restartNumberingAfterBreak="0">
    <w:nsid w:val="74F12113"/>
    <w:multiLevelType w:val="hybridMultilevel"/>
    <w:tmpl w:val="34142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4"/>
  </w:num>
  <w:num w:numId="4">
    <w:abstractNumId w:val="13"/>
  </w:num>
  <w:num w:numId="5">
    <w:abstractNumId w:val="2"/>
  </w:num>
  <w:num w:numId="6">
    <w:abstractNumId w:val="2"/>
    <w:lvlOverride w:ilvl="0">
      <w:startOverride w:val="1"/>
    </w:lvlOverride>
  </w:num>
  <w:num w:numId="7">
    <w:abstractNumId w:val="2"/>
    <w:lvlOverride w:ilvl="0">
      <w:startOverride w:val="1"/>
    </w:lvlOverride>
  </w:num>
  <w:num w:numId="8">
    <w:abstractNumId w:val="4"/>
  </w:num>
  <w:num w:numId="9">
    <w:abstractNumId w:val="5"/>
  </w:num>
  <w:num w:numId="10">
    <w:abstractNumId w:val="18"/>
  </w:num>
  <w:num w:numId="11">
    <w:abstractNumId w:val="3"/>
  </w:num>
  <w:num w:numId="12">
    <w:abstractNumId w:val="6"/>
  </w:num>
  <w:num w:numId="13">
    <w:abstractNumId w:val="16"/>
  </w:num>
  <w:num w:numId="14">
    <w:abstractNumId w:val="0"/>
  </w:num>
  <w:num w:numId="15">
    <w:abstractNumId w:val="8"/>
  </w:num>
  <w:num w:numId="16">
    <w:abstractNumId w:val="7"/>
  </w:num>
  <w:num w:numId="17">
    <w:abstractNumId w:val="1"/>
  </w:num>
  <w:num w:numId="18">
    <w:abstractNumId w:val="9"/>
  </w:num>
  <w:num w:numId="19">
    <w:abstractNumId w:val="10"/>
  </w:num>
  <w:num w:numId="20">
    <w:abstractNumId w:val="17"/>
  </w:num>
  <w:num w:numId="21">
    <w:abstractNumId w:val="19"/>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670B"/>
    <w:rsid w:val="00006B5B"/>
    <w:rsid w:val="000119CE"/>
    <w:rsid w:val="00012BB8"/>
    <w:rsid w:val="0003181D"/>
    <w:rsid w:val="00032B63"/>
    <w:rsid w:val="000453DB"/>
    <w:rsid w:val="000568CA"/>
    <w:rsid w:val="00061DAD"/>
    <w:rsid w:val="00061DFC"/>
    <w:rsid w:val="0006246D"/>
    <w:rsid w:val="0006464F"/>
    <w:rsid w:val="000656A4"/>
    <w:rsid w:val="0006635E"/>
    <w:rsid w:val="00073171"/>
    <w:rsid w:val="00082E43"/>
    <w:rsid w:val="00086DC2"/>
    <w:rsid w:val="00093E75"/>
    <w:rsid w:val="00097C0A"/>
    <w:rsid w:val="000C18A2"/>
    <w:rsid w:val="000C2C42"/>
    <w:rsid w:val="000C5EC3"/>
    <w:rsid w:val="000D5E31"/>
    <w:rsid w:val="000E1414"/>
    <w:rsid w:val="000F3685"/>
    <w:rsid w:val="00103B2E"/>
    <w:rsid w:val="00105A08"/>
    <w:rsid w:val="00107247"/>
    <w:rsid w:val="00116672"/>
    <w:rsid w:val="0012070B"/>
    <w:rsid w:val="00120736"/>
    <w:rsid w:val="001278AD"/>
    <w:rsid w:val="00136C5B"/>
    <w:rsid w:val="001506AC"/>
    <w:rsid w:val="0016185C"/>
    <w:rsid w:val="00161ED7"/>
    <w:rsid w:val="001736C3"/>
    <w:rsid w:val="00174CD9"/>
    <w:rsid w:val="00183A5E"/>
    <w:rsid w:val="0018575F"/>
    <w:rsid w:val="00192218"/>
    <w:rsid w:val="001A4BBA"/>
    <w:rsid w:val="001B45B0"/>
    <w:rsid w:val="001B53C7"/>
    <w:rsid w:val="001C3187"/>
    <w:rsid w:val="001D31F0"/>
    <w:rsid w:val="001D4B7D"/>
    <w:rsid w:val="001D7276"/>
    <w:rsid w:val="001E0DA3"/>
    <w:rsid w:val="001E0DDA"/>
    <w:rsid w:val="001E5236"/>
    <w:rsid w:val="001F170D"/>
    <w:rsid w:val="002059F4"/>
    <w:rsid w:val="002061D9"/>
    <w:rsid w:val="00215B24"/>
    <w:rsid w:val="002177EF"/>
    <w:rsid w:val="0022704E"/>
    <w:rsid w:val="0023602B"/>
    <w:rsid w:val="00240B59"/>
    <w:rsid w:val="00244B1C"/>
    <w:rsid w:val="00244EAB"/>
    <w:rsid w:val="00247508"/>
    <w:rsid w:val="0026304B"/>
    <w:rsid w:val="00271285"/>
    <w:rsid w:val="002910C3"/>
    <w:rsid w:val="002917DB"/>
    <w:rsid w:val="00291D27"/>
    <w:rsid w:val="00294EAC"/>
    <w:rsid w:val="002A3714"/>
    <w:rsid w:val="002A6BA6"/>
    <w:rsid w:val="002B290C"/>
    <w:rsid w:val="002C2211"/>
    <w:rsid w:val="002C7F12"/>
    <w:rsid w:val="002E3A57"/>
    <w:rsid w:val="002E52BD"/>
    <w:rsid w:val="002E5AE6"/>
    <w:rsid w:val="002F07ED"/>
    <w:rsid w:val="002F0984"/>
    <w:rsid w:val="002F21F7"/>
    <w:rsid w:val="002F3C65"/>
    <w:rsid w:val="002F408C"/>
    <w:rsid w:val="003041B0"/>
    <w:rsid w:val="00341D6A"/>
    <w:rsid w:val="003645F8"/>
    <w:rsid w:val="00376C27"/>
    <w:rsid w:val="00377490"/>
    <w:rsid w:val="003832B9"/>
    <w:rsid w:val="00384358"/>
    <w:rsid w:val="003845EA"/>
    <w:rsid w:val="003853DC"/>
    <w:rsid w:val="00393ED4"/>
    <w:rsid w:val="003951A1"/>
    <w:rsid w:val="00395C2C"/>
    <w:rsid w:val="003A6B3A"/>
    <w:rsid w:val="003B442D"/>
    <w:rsid w:val="003C28DB"/>
    <w:rsid w:val="003C48A3"/>
    <w:rsid w:val="003D096C"/>
    <w:rsid w:val="003D09E2"/>
    <w:rsid w:val="003E219D"/>
    <w:rsid w:val="003E2F88"/>
    <w:rsid w:val="003E5CB4"/>
    <w:rsid w:val="003F1A38"/>
    <w:rsid w:val="003F437F"/>
    <w:rsid w:val="00420118"/>
    <w:rsid w:val="00433DB3"/>
    <w:rsid w:val="00436C5C"/>
    <w:rsid w:val="004405B7"/>
    <w:rsid w:val="0045503C"/>
    <w:rsid w:val="00461214"/>
    <w:rsid w:val="00467441"/>
    <w:rsid w:val="00477CE8"/>
    <w:rsid w:val="00481E32"/>
    <w:rsid w:val="0049003D"/>
    <w:rsid w:val="004917AF"/>
    <w:rsid w:val="004A0907"/>
    <w:rsid w:val="004A62E7"/>
    <w:rsid w:val="004A7019"/>
    <w:rsid w:val="004A73E2"/>
    <w:rsid w:val="004C2DAC"/>
    <w:rsid w:val="004C3EE4"/>
    <w:rsid w:val="004E3F70"/>
    <w:rsid w:val="004F52F5"/>
    <w:rsid w:val="00502D91"/>
    <w:rsid w:val="00515F16"/>
    <w:rsid w:val="0052013C"/>
    <w:rsid w:val="00540081"/>
    <w:rsid w:val="00551637"/>
    <w:rsid w:val="005524CB"/>
    <w:rsid w:val="00555904"/>
    <w:rsid w:val="00560FA5"/>
    <w:rsid w:val="005645B8"/>
    <w:rsid w:val="00566EA2"/>
    <w:rsid w:val="00575DC0"/>
    <w:rsid w:val="00580E7A"/>
    <w:rsid w:val="00586CD7"/>
    <w:rsid w:val="00587755"/>
    <w:rsid w:val="0059087E"/>
    <w:rsid w:val="00594BA0"/>
    <w:rsid w:val="00595EF1"/>
    <w:rsid w:val="005D6FB8"/>
    <w:rsid w:val="005E2FB4"/>
    <w:rsid w:val="005F768A"/>
    <w:rsid w:val="00600492"/>
    <w:rsid w:val="00601E5E"/>
    <w:rsid w:val="006134DF"/>
    <w:rsid w:val="00614476"/>
    <w:rsid w:val="00616D48"/>
    <w:rsid w:val="00630001"/>
    <w:rsid w:val="0064734A"/>
    <w:rsid w:val="00650A9E"/>
    <w:rsid w:val="006539D6"/>
    <w:rsid w:val="00666FEA"/>
    <w:rsid w:val="00674986"/>
    <w:rsid w:val="00677BEE"/>
    <w:rsid w:val="0069145B"/>
    <w:rsid w:val="006943C3"/>
    <w:rsid w:val="006A00A7"/>
    <w:rsid w:val="006A07BE"/>
    <w:rsid w:val="006B1C8D"/>
    <w:rsid w:val="006B52E1"/>
    <w:rsid w:val="006C4494"/>
    <w:rsid w:val="006E18D2"/>
    <w:rsid w:val="006F3735"/>
    <w:rsid w:val="0070000E"/>
    <w:rsid w:val="00704B28"/>
    <w:rsid w:val="00710616"/>
    <w:rsid w:val="0073054C"/>
    <w:rsid w:val="00731F00"/>
    <w:rsid w:val="0075483D"/>
    <w:rsid w:val="00773DB2"/>
    <w:rsid w:val="00776195"/>
    <w:rsid w:val="00780BA8"/>
    <w:rsid w:val="007878C2"/>
    <w:rsid w:val="00792002"/>
    <w:rsid w:val="0079399F"/>
    <w:rsid w:val="0079430B"/>
    <w:rsid w:val="0079470A"/>
    <w:rsid w:val="007A01E7"/>
    <w:rsid w:val="007A3978"/>
    <w:rsid w:val="007A3C9E"/>
    <w:rsid w:val="007A3DE7"/>
    <w:rsid w:val="007B1FC6"/>
    <w:rsid w:val="007B244D"/>
    <w:rsid w:val="007B3187"/>
    <w:rsid w:val="007B573F"/>
    <w:rsid w:val="007D2560"/>
    <w:rsid w:val="007E02A9"/>
    <w:rsid w:val="007E0AFB"/>
    <w:rsid w:val="007E448F"/>
    <w:rsid w:val="007F3A69"/>
    <w:rsid w:val="007F5B4D"/>
    <w:rsid w:val="008009EC"/>
    <w:rsid w:val="00802FF1"/>
    <w:rsid w:val="008115D8"/>
    <w:rsid w:val="0081718C"/>
    <w:rsid w:val="00831D58"/>
    <w:rsid w:val="00835221"/>
    <w:rsid w:val="008572A8"/>
    <w:rsid w:val="00863C6D"/>
    <w:rsid w:val="008645F4"/>
    <w:rsid w:val="0087055B"/>
    <w:rsid w:val="008720FD"/>
    <w:rsid w:val="008851E4"/>
    <w:rsid w:val="00885220"/>
    <w:rsid w:val="0089363E"/>
    <w:rsid w:val="0089473A"/>
    <w:rsid w:val="00895466"/>
    <w:rsid w:val="00896EBF"/>
    <w:rsid w:val="00897D7E"/>
    <w:rsid w:val="008A094B"/>
    <w:rsid w:val="008A3DA6"/>
    <w:rsid w:val="008A647C"/>
    <w:rsid w:val="008C23E5"/>
    <w:rsid w:val="008C31D3"/>
    <w:rsid w:val="008D2627"/>
    <w:rsid w:val="00902C5F"/>
    <w:rsid w:val="00906782"/>
    <w:rsid w:val="0093316B"/>
    <w:rsid w:val="00936C50"/>
    <w:rsid w:val="00936D55"/>
    <w:rsid w:val="009464FA"/>
    <w:rsid w:val="009505AD"/>
    <w:rsid w:val="00965CA4"/>
    <w:rsid w:val="009767E8"/>
    <w:rsid w:val="009803E7"/>
    <w:rsid w:val="0098521B"/>
    <w:rsid w:val="009932A2"/>
    <w:rsid w:val="00993D9E"/>
    <w:rsid w:val="009975A2"/>
    <w:rsid w:val="00997822"/>
    <w:rsid w:val="009A7738"/>
    <w:rsid w:val="009B2255"/>
    <w:rsid w:val="009D1902"/>
    <w:rsid w:val="009D598C"/>
    <w:rsid w:val="009F0D69"/>
    <w:rsid w:val="009F0D73"/>
    <w:rsid w:val="009F52D6"/>
    <w:rsid w:val="009F640B"/>
    <w:rsid w:val="009F6C9F"/>
    <w:rsid w:val="009F6F05"/>
    <w:rsid w:val="00A042D3"/>
    <w:rsid w:val="00A13E06"/>
    <w:rsid w:val="00A15DA9"/>
    <w:rsid w:val="00A33137"/>
    <w:rsid w:val="00A46F3E"/>
    <w:rsid w:val="00A47159"/>
    <w:rsid w:val="00A56015"/>
    <w:rsid w:val="00A62217"/>
    <w:rsid w:val="00A640A9"/>
    <w:rsid w:val="00A71DB9"/>
    <w:rsid w:val="00A72919"/>
    <w:rsid w:val="00A85561"/>
    <w:rsid w:val="00A85B28"/>
    <w:rsid w:val="00A909C2"/>
    <w:rsid w:val="00A92DD1"/>
    <w:rsid w:val="00AA7A7A"/>
    <w:rsid w:val="00AB2441"/>
    <w:rsid w:val="00AB7ED9"/>
    <w:rsid w:val="00AC3F7A"/>
    <w:rsid w:val="00AC5541"/>
    <w:rsid w:val="00AD2BE1"/>
    <w:rsid w:val="00AD7842"/>
    <w:rsid w:val="00AE47C0"/>
    <w:rsid w:val="00AF2ED0"/>
    <w:rsid w:val="00AF7129"/>
    <w:rsid w:val="00B002FA"/>
    <w:rsid w:val="00B03A6D"/>
    <w:rsid w:val="00B10468"/>
    <w:rsid w:val="00B1352E"/>
    <w:rsid w:val="00B1506A"/>
    <w:rsid w:val="00B23162"/>
    <w:rsid w:val="00B262D4"/>
    <w:rsid w:val="00B33E4E"/>
    <w:rsid w:val="00B440E8"/>
    <w:rsid w:val="00B50EAB"/>
    <w:rsid w:val="00B553C2"/>
    <w:rsid w:val="00B55937"/>
    <w:rsid w:val="00B57BED"/>
    <w:rsid w:val="00B614F9"/>
    <w:rsid w:val="00B61ECA"/>
    <w:rsid w:val="00B63A76"/>
    <w:rsid w:val="00B760BD"/>
    <w:rsid w:val="00B76216"/>
    <w:rsid w:val="00B84F98"/>
    <w:rsid w:val="00B8517D"/>
    <w:rsid w:val="00B93342"/>
    <w:rsid w:val="00B969BA"/>
    <w:rsid w:val="00BA58F2"/>
    <w:rsid w:val="00BB0C2C"/>
    <w:rsid w:val="00BB7017"/>
    <w:rsid w:val="00BB7D18"/>
    <w:rsid w:val="00BC08AE"/>
    <w:rsid w:val="00BC599A"/>
    <w:rsid w:val="00BC6D25"/>
    <w:rsid w:val="00BC7A0C"/>
    <w:rsid w:val="00BD1BAB"/>
    <w:rsid w:val="00BD3FC0"/>
    <w:rsid w:val="00BE461C"/>
    <w:rsid w:val="00BF04C3"/>
    <w:rsid w:val="00BF4EEC"/>
    <w:rsid w:val="00C0168B"/>
    <w:rsid w:val="00C01896"/>
    <w:rsid w:val="00C06667"/>
    <w:rsid w:val="00C068EE"/>
    <w:rsid w:val="00C13C64"/>
    <w:rsid w:val="00C13FFA"/>
    <w:rsid w:val="00C1738F"/>
    <w:rsid w:val="00C20F7E"/>
    <w:rsid w:val="00C237E2"/>
    <w:rsid w:val="00C42226"/>
    <w:rsid w:val="00C455D4"/>
    <w:rsid w:val="00C45966"/>
    <w:rsid w:val="00C5240E"/>
    <w:rsid w:val="00C56605"/>
    <w:rsid w:val="00C569A2"/>
    <w:rsid w:val="00C60793"/>
    <w:rsid w:val="00C608C8"/>
    <w:rsid w:val="00C61D56"/>
    <w:rsid w:val="00C624CE"/>
    <w:rsid w:val="00C6353F"/>
    <w:rsid w:val="00C7069B"/>
    <w:rsid w:val="00C720D3"/>
    <w:rsid w:val="00C75E4B"/>
    <w:rsid w:val="00C81FAD"/>
    <w:rsid w:val="00C84271"/>
    <w:rsid w:val="00CB16A1"/>
    <w:rsid w:val="00CC4B06"/>
    <w:rsid w:val="00CC4D3C"/>
    <w:rsid w:val="00CC4FFD"/>
    <w:rsid w:val="00CC56ED"/>
    <w:rsid w:val="00CD536C"/>
    <w:rsid w:val="00CE4BAD"/>
    <w:rsid w:val="00CE5C16"/>
    <w:rsid w:val="00CF2CDF"/>
    <w:rsid w:val="00CF3996"/>
    <w:rsid w:val="00D01870"/>
    <w:rsid w:val="00D025F8"/>
    <w:rsid w:val="00D0290A"/>
    <w:rsid w:val="00D03BFF"/>
    <w:rsid w:val="00D278E1"/>
    <w:rsid w:val="00D51B35"/>
    <w:rsid w:val="00D53902"/>
    <w:rsid w:val="00D63099"/>
    <w:rsid w:val="00D630AA"/>
    <w:rsid w:val="00D643D0"/>
    <w:rsid w:val="00D73EEB"/>
    <w:rsid w:val="00D80D21"/>
    <w:rsid w:val="00D823B3"/>
    <w:rsid w:val="00D82979"/>
    <w:rsid w:val="00D83509"/>
    <w:rsid w:val="00D8420C"/>
    <w:rsid w:val="00D85CD3"/>
    <w:rsid w:val="00D92159"/>
    <w:rsid w:val="00D923B8"/>
    <w:rsid w:val="00DB1F1B"/>
    <w:rsid w:val="00DB3862"/>
    <w:rsid w:val="00DC6056"/>
    <w:rsid w:val="00DC6905"/>
    <w:rsid w:val="00DD3644"/>
    <w:rsid w:val="00DD3B69"/>
    <w:rsid w:val="00DD52A5"/>
    <w:rsid w:val="00DE2410"/>
    <w:rsid w:val="00DE2F6C"/>
    <w:rsid w:val="00DE5258"/>
    <w:rsid w:val="00DE5415"/>
    <w:rsid w:val="00DF591D"/>
    <w:rsid w:val="00E00E93"/>
    <w:rsid w:val="00E01C47"/>
    <w:rsid w:val="00E067D5"/>
    <w:rsid w:val="00E101E9"/>
    <w:rsid w:val="00E13704"/>
    <w:rsid w:val="00E14613"/>
    <w:rsid w:val="00E162FB"/>
    <w:rsid w:val="00E27EDB"/>
    <w:rsid w:val="00E30005"/>
    <w:rsid w:val="00E30863"/>
    <w:rsid w:val="00E30CAA"/>
    <w:rsid w:val="00E36A32"/>
    <w:rsid w:val="00E453DD"/>
    <w:rsid w:val="00E54CA8"/>
    <w:rsid w:val="00E96F17"/>
    <w:rsid w:val="00EA107A"/>
    <w:rsid w:val="00EC352F"/>
    <w:rsid w:val="00ED1F0D"/>
    <w:rsid w:val="00EE2A4B"/>
    <w:rsid w:val="00EF5826"/>
    <w:rsid w:val="00EF5A45"/>
    <w:rsid w:val="00EF6576"/>
    <w:rsid w:val="00F0664C"/>
    <w:rsid w:val="00F109C1"/>
    <w:rsid w:val="00F31907"/>
    <w:rsid w:val="00F32B68"/>
    <w:rsid w:val="00F34FA4"/>
    <w:rsid w:val="00F36B84"/>
    <w:rsid w:val="00F4329E"/>
    <w:rsid w:val="00F44E74"/>
    <w:rsid w:val="00F47DAC"/>
    <w:rsid w:val="00F47EF1"/>
    <w:rsid w:val="00F5052F"/>
    <w:rsid w:val="00F670A5"/>
    <w:rsid w:val="00F87F6D"/>
    <w:rsid w:val="00F91A9B"/>
    <w:rsid w:val="00F96EB8"/>
    <w:rsid w:val="00FA21C9"/>
    <w:rsid w:val="00FA68CB"/>
    <w:rsid w:val="00FC4E27"/>
    <w:rsid w:val="00FC5090"/>
    <w:rsid w:val="00FE5B7C"/>
    <w:rsid w:val="00FF3217"/>
    <w:rsid w:val="00FF455D"/>
    <w:rsid w:val="00FF699A"/>
    <w:rsid w:val="04FE3817"/>
    <w:rsid w:val="34C6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299A91"/>
  <w15:chartTrackingRefBased/>
  <w15:docId w15:val="{827508F9-1DBC-43CF-96A5-1B53AE84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nhideWhenUsed/>
    <w:qFormat/>
    <w:rsid w:val="002917DB"/>
    <w:pPr>
      <w:numPr>
        <w:numId w:val="4"/>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nhideWhenUsed/>
    <w:qFormat/>
    <w:rsid w:val="007A01E7"/>
    <w:pPr>
      <w:numPr>
        <w:numId w:val="5"/>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3D09E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D09E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D09E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rsid w:val="002917DB"/>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rsid w:val="007A01E7"/>
    <w:rPr>
      <w:rFonts w:ascii="Arial" w:hAnsi="Arial" w:cs="Times New Roman"/>
      <w:b/>
      <w:bCs/>
      <w:sz w:val="24"/>
      <w:szCs w:val="24"/>
    </w:rPr>
  </w:style>
  <w:style w:type="character" w:customStyle="1" w:styleId="Heading4Char">
    <w:name w:val="Heading 4 Char"/>
    <w:basedOn w:val="DefaultParagraphFont"/>
    <w:link w:val="Heading4"/>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uiPriority w:val="99"/>
    <w:unhideWhenUsed/>
    <w:qFormat/>
    <w:rsid w:val="005645B8"/>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unhideWhenUsed/>
    <w:qFormat/>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rsid w:val="003D09E2"/>
    <w:rPr>
      <w:rFonts w:ascii="Consolas" w:hAnsi="Consolas"/>
      <w:sz w:val="20"/>
      <w:szCs w:val="20"/>
    </w:rPr>
  </w:style>
  <w:style w:type="paragraph" w:styleId="HTMLPreformatted">
    <w:name w:val="HTML Preformatted"/>
    <w:basedOn w:val="Normal"/>
    <w:link w:val="HTMLPreformattedChar"/>
    <w:unhideWhenUsed/>
    <w:rsid w:val="003D09E2"/>
    <w:pPr>
      <w:spacing w:after="0" w:line="240" w:lineRule="auto"/>
    </w:pPr>
    <w:rPr>
      <w:rFonts w:ascii="Consolas" w:hAnsi="Consolas"/>
      <w:sz w:val="20"/>
      <w:szCs w:val="20"/>
    </w:rPr>
  </w:style>
  <w:style w:type="paragraph" w:styleId="BodyText">
    <w:name w:val="Body Text"/>
    <w:basedOn w:val="Normal"/>
    <w:link w:val="BodyTextChar"/>
    <w:qFormat/>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customStyle="1" w:styleId="TableParagraph">
    <w:name w:val="Table Paragraph"/>
    <w:basedOn w:val="Normal"/>
    <w:uiPriority w:val="1"/>
    <w:qFormat/>
    <w:rsid w:val="004405B7"/>
    <w:pPr>
      <w:widowControl w:val="0"/>
      <w:autoSpaceDE w:val="0"/>
      <w:autoSpaceDN w:val="0"/>
      <w:spacing w:after="0" w:line="240" w:lineRule="auto"/>
    </w:pPr>
    <w:rPr>
      <w:rFonts w:ascii="Times New Roman" w:eastAsia="Times New Roman" w:hAnsi="Times New Roman" w:cs="Times New Roman"/>
      <w:sz w:val="22"/>
    </w:rPr>
  </w:style>
  <w:style w:type="paragraph" w:customStyle="1" w:styleId="Default">
    <w:name w:val="Default"/>
    <w:rsid w:val="00F5052F"/>
    <w:pPr>
      <w:autoSpaceDE w:val="0"/>
      <w:autoSpaceDN w:val="0"/>
      <w:adjustRightInd w:val="0"/>
      <w:spacing w:after="0" w:line="240" w:lineRule="auto"/>
    </w:pPr>
    <w:rPr>
      <w:rFonts w:ascii="Garamond BookCondensed" w:hAnsi="Garamond BookCondensed" w:cs="Garamond BookCondensed"/>
      <w:color w:val="000000"/>
      <w:sz w:val="24"/>
      <w:szCs w:val="24"/>
    </w:rPr>
  </w:style>
  <w:style w:type="paragraph" w:customStyle="1" w:styleId="Pa0">
    <w:name w:val="Pa0"/>
    <w:basedOn w:val="Default"/>
    <w:next w:val="Default"/>
    <w:uiPriority w:val="99"/>
    <w:rsid w:val="00F5052F"/>
    <w:pPr>
      <w:spacing w:line="241" w:lineRule="atLeast"/>
    </w:pPr>
    <w:rPr>
      <w:rFonts w:cstheme="minorBidi"/>
      <w:color w:val="auto"/>
    </w:rPr>
  </w:style>
  <w:style w:type="character" w:styleId="FollowedHyperlink">
    <w:name w:val="FollowedHyperlink"/>
    <w:basedOn w:val="DefaultParagraphFont"/>
    <w:unhideWhenUsed/>
    <w:rsid w:val="0052013C"/>
    <w:rPr>
      <w:color w:val="954F72" w:themeColor="followedHyperlink"/>
      <w:u w:val="single"/>
    </w:rPr>
  </w:style>
  <w:style w:type="paragraph" w:customStyle="1" w:styleId="footnotedescription">
    <w:name w:val="footnote description"/>
    <w:next w:val="Normal"/>
    <w:link w:val="footnotedescriptionChar"/>
    <w:hidden/>
    <w:rsid w:val="00C1738F"/>
    <w:pPr>
      <w:spacing w:after="0" w:line="282" w:lineRule="auto"/>
      <w:ind w:left="403" w:hanging="11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C1738F"/>
    <w:rPr>
      <w:rFonts w:ascii="Times New Roman" w:eastAsia="Times New Roman" w:hAnsi="Times New Roman" w:cs="Times New Roman"/>
      <w:color w:val="000000"/>
      <w:sz w:val="18"/>
    </w:rPr>
  </w:style>
  <w:style w:type="character" w:customStyle="1" w:styleId="footnotemark">
    <w:name w:val="footnote mark"/>
    <w:hidden/>
    <w:rsid w:val="00C1738F"/>
    <w:rPr>
      <w:rFonts w:ascii="Times New Roman" w:eastAsia="Times New Roman" w:hAnsi="Times New Roman" w:cs="Times New Roman"/>
      <w:color w:val="000000"/>
      <w:sz w:val="18"/>
      <w:vertAlign w:val="superscript"/>
    </w:rPr>
  </w:style>
  <w:style w:type="table" w:customStyle="1" w:styleId="TableGrid1">
    <w:name w:val="Table Grid1"/>
    <w:rsid w:val="00C1738F"/>
    <w:pPr>
      <w:spacing w:after="0" w:line="240" w:lineRule="auto"/>
    </w:pPr>
    <w:rPr>
      <w:rFonts w:eastAsiaTheme="minorEastAsia"/>
    </w:rPr>
    <w:tblPr>
      <w:tblCellMar>
        <w:top w:w="0" w:type="dxa"/>
        <w:left w:w="0" w:type="dxa"/>
        <w:bottom w:w="0" w:type="dxa"/>
        <w:right w:w="0" w:type="dxa"/>
      </w:tblCellMar>
    </w:tblPr>
  </w:style>
  <w:style w:type="character" w:customStyle="1" w:styleId="GPOItalic">
    <w:name w:val="GPO Italic"/>
    <w:basedOn w:val="DefaultParagraphFont"/>
    <w:rsid w:val="00C1738F"/>
    <w:rPr>
      <w:bCs/>
      <w:i/>
    </w:rPr>
  </w:style>
  <w:style w:type="paragraph" w:customStyle="1" w:styleId="ICRHeading2">
    <w:name w:val="ICR Heading 2"/>
    <w:basedOn w:val="Normal"/>
    <w:link w:val="ICRHeading2Char"/>
    <w:qFormat/>
    <w:rsid w:val="00C1738F"/>
    <w:pPr>
      <w:spacing w:after="0" w:line="240" w:lineRule="auto"/>
    </w:pPr>
    <w:rPr>
      <w:rFonts w:ascii="Times New Roman" w:eastAsia="Times New Roman" w:hAnsi="Times New Roman" w:cs="Times New Roman"/>
      <w:b/>
      <w:bCs/>
      <w:szCs w:val="24"/>
    </w:rPr>
  </w:style>
  <w:style w:type="character" w:customStyle="1" w:styleId="ICRHeading2Char">
    <w:name w:val="ICR Heading 2 Char"/>
    <w:basedOn w:val="DefaultParagraphFont"/>
    <w:link w:val="ICRHeading2"/>
    <w:rsid w:val="00C1738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C1738F"/>
  </w:style>
  <w:style w:type="character" w:styleId="Emphasis">
    <w:name w:val="Emphasis"/>
    <w:basedOn w:val="DefaultParagraphFont"/>
    <w:uiPriority w:val="20"/>
    <w:qFormat/>
    <w:rsid w:val="00C1738F"/>
    <w:rPr>
      <w:i/>
      <w:iCs/>
    </w:rPr>
  </w:style>
  <w:style w:type="table" w:customStyle="1" w:styleId="TableGrid0">
    <w:name w:val="Table Grid0"/>
    <w:basedOn w:val="TableNormal"/>
    <w:rsid w:val="00C1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C1738F"/>
    <w:pPr>
      <w:autoSpaceDE w:val="0"/>
      <w:autoSpaceDN w:val="0"/>
      <w:adjustRightInd w:val="0"/>
      <w:spacing w:after="120" w:line="240" w:lineRule="auto"/>
      <w:ind w:left="360" w:hanging="360"/>
    </w:pPr>
    <w:rPr>
      <w:rFonts w:ascii="Times New Roman" w:eastAsia="Times New Roman" w:hAnsi="Times New Roman" w:cs="Times New Roman"/>
      <w:color w:val="000000"/>
      <w:szCs w:val="24"/>
    </w:rPr>
  </w:style>
  <w:style w:type="character" w:styleId="EndnoteReference">
    <w:name w:val="endnote reference"/>
    <w:basedOn w:val="DefaultParagraphFont"/>
    <w:uiPriority w:val="99"/>
    <w:semiHidden/>
    <w:unhideWhenUsed/>
    <w:rsid w:val="00C1738F"/>
    <w:rPr>
      <w:vertAlign w:val="superscript"/>
    </w:rPr>
  </w:style>
  <w:style w:type="paragraph" w:customStyle="1" w:styleId="lbexindentclause">
    <w:name w:val="lbexindentclause"/>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paragraph" w:customStyle="1" w:styleId="lbexindentsubpar">
    <w:name w:val="lbexindentsubpar"/>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paragraph" w:customStyle="1" w:styleId="GPONormal">
    <w:name w:val="GPO Normal"/>
    <w:basedOn w:val="Normal"/>
    <w:link w:val="GPONormalChar"/>
    <w:rsid w:val="00C1738F"/>
    <w:pPr>
      <w:widowControl w:val="0"/>
      <w:autoSpaceDE w:val="0"/>
      <w:autoSpaceDN w:val="0"/>
      <w:adjustRightInd w:val="0"/>
      <w:spacing w:after="0" w:line="240" w:lineRule="auto"/>
    </w:pPr>
    <w:rPr>
      <w:rFonts w:ascii="Times New Roman" w:eastAsia="Times New Roman" w:hAnsi="Times New Roman" w:cs="Times New Roman"/>
      <w:szCs w:val="24"/>
    </w:rPr>
  </w:style>
  <w:style w:type="character" w:customStyle="1" w:styleId="GPONormalChar">
    <w:name w:val="GPO Normal Char"/>
    <w:basedOn w:val="DefaultParagraphFont"/>
    <w:link w:val="GPONormal"/>
    <w:rsid w:val="00C1738F"/>
    <w:rPr>
      <w:rFonts w:ascii="Times New Roman" w:eastAsia="Times New Roman" w:hAnsi="Times New Roman" w:cs="Times New Roman"/>
      <w:sz w:val="24"/>
      <w:szCs w:val="24"/>
    </w:rPr>
  </w:style>
  <w:style w:type="table" w:customStyle="1" w:styleId="TableCCA">
    <w:name w:val="Table CCA"/>
    <w:basedOn w:val="TableNormal"/>
    <w:rsid w:val="00C1738F"/>
    <w:pPr>
      <w:spacing w:after="0" w:line="240" w:lineRule="auto"/>
      <w:jc w:val="center"/>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cPr>
    </w:tblStylePr>
  </w:style>
  <w:style w:type="character" w:styleId="PageNumber">
    <w:name w:val="page number"/>
    <w:basedOn w:val="DefaultParagraphFont"/>
    <w:rsid w:val="00C1738F"/>
  </w:style>
  <w:style w:type="paragraph" w:customStyle="1" w:styleId="Level1">
    <w:name w:val="Level 1"/>
    <w:basedOn w:val="Normal"/>
    <w:rsid w:val="00C1738F"/>
    <w:pPr>
      <w:widowControl w:val="0"/>
      <w:spacing w:after="0" w:line="240" w:lineRule="auto"/>
    </w:pPr>
    <w:rPr>
      <w:rFonts w:ascii="Times New Roman" w:eastAsia="Times New Roman" w:hAnsi="Times New Roman" w:cs="Times New Roman"/>
      <w:szCs w:val="20"/>
    </w:rPr>
  </w:style>
  <w:style w:type="paragraph" w:customStyle="1" w:styleId="a">
    <w:name w:val="آ"/>
    <w:basedOn w:val="Normal"/>
    <w:rsid w:val="00C1738F"/>
    <w:pPr>
      <w:widowControl w:val="0"/>
      <w:spacing w:after="0" w:line="240" w:lineRule="auto"/>
    </w:pPr>
    <w:rPr>
      <w:rFonts w:ascii="Times New Roman" w:eastAsia="Times New Roman" w:hAnsi="Times New Roman" w:cs="Times New Roman"/>
      <w:szCs w:val="20"/>
    </w:rPr>
  </w:style>
  <w:style w:type="paragraph" w:styleId="ListBullet">
    <w:name w:val="List Bullet"/>
    <w:basedOn w:val="Normal"/>
    <w:next w:val="Normal"/>
    <w:rsid w:val="00C1738F"/>
    <w:pPr>
      <w:numPr>
        <w:numId w:val="16"/>
      </w:numPr>
      <w:spacing w:after="0" w:line="240" w:lineRule="auto"/>
    </w:pPr>
    <w:rPr>
      <w:rFonts w:ascii="Times New Roman" w:eastAsia="Times New Roman" w:hAnsi="Times New Roman" w:cs="Times New Roman"/>
      <w:szCs w:val="20"/>
    </w:rPr>
  </w:style>
  <w:style w:type="paragraph" w:customStyle="1" w:styleId="Bullet">
    <w:name w:val="Bullet"/>
    <w:basedOn w:val="Normal"/>
    <w:rsid w:val="00C1738F"/>
    <w:pPr>
      <w:numPr>
        <w:numId w:val="17"/>
      </w:numPr>
      <w:spacing w:after="0" w:line="240" w:lineRule="auto"/>
    </w:pPr>
    <w:rPr>
      <w:rFonts w:ascii="Times New Roman" w:eastAsia="Times New Roman" w:hAnsi="Times New Roman" w:cs="Times New Roman"/>
      <w:szCs w:val="24"/>
    </w:rPr>
  </w:style>
  <w:style w:type="paragraph" w:customStyle="1" w:styleId="TableTitle">
    <w:name w:val="Table Title"/>
    <w:basedOn w:val="Normal"/>
    <w:link w:val="TableTitleChar"/>
    <w:rsid w:val="00C1738F"/>
    <w:pPr>
      <w:keepNext/>
      <w:keepLines/>
      <w:spacing w:before="240" w:after="40" w:line="240" w:lineRule="auto"/>
    </w:pPr>
    <w:rPr>
      <w:rFonts w:eastAsia="Times New Roman" w:cs="Arial"/>
      <w:b/>
      <w:color w:val="003366"/>
      <w:sz w:val="20"/>
    </w:rPr>
  </w:style>
  <w:style w:type="character" w:customStyle="1" w:styleId="TableTitleChar">
    <w:name w:val="Table Title Char"/>
    <w:link w:val="TableTitle"/>
    <w:rsid w:val="00C1738F"/>
    <w:rPr>
      <w:rFonts w:ascii="Arial" w:eastAsia="Times New Roman" w:hAnsi="Arial" w:cs="Arial"/>
      <w:b/>
      <w:color w:val="003366"/>
      <w:sz w:val="20"/>
    </w:rPr>
  </w:style>
  <w:style w:type="character" w:customStyle="1" w:styleId="enumbell">
    <w:name w:val="enumbell"/>
    <w:basedOn w:val="DefaultParagraphFont"/>
    <w:rsid w:val="00C1738F"/>
  </w:style>
  <w:style w:type="character" w:customStyle="1" w:styleId="ptext-2">
    <w:name w:val="ptext-2"/>
    <w:basedOn w:val="DefaultParagraphFont"/>
    <w:rsid w:val="00C1738F"/>
  </w:style>
  <w:style w:type="paragraph" w:styleId="NormalWeb">
    <w:name w:val="Normal (Web)"/>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character" w:customStyle="1" w:styleId="defaultlabelstyle6">
    <w:name w:val="defaultlabelstyle6"/>
    <w:rsid w:val="00C1738F"/>
    <w:rPr>
      <w:rFonts w:ascii="Verdana" w:hAnsi="Verdana" w:hint="default"/>
      <w:color w:val="333333"/>
      <w:sz w:val="18"/>
      <w:szCs w:val="18"/>
    </w:rPr>
  </w:style>
  <w:style w:type="paragraph" w:customStyle="1" w:styleId="CM40">
    <w:name w:val="CM40"/>
    <w:basedOn w:val="Default"/>
    <w:next w:val="Default"/>
    <w:rsid w:val="00C1738F"/>
    <w:pPr>
      <w:widowControl w:val="0"/>
    </w:pPr>
    <w:rPr>
      <w:rFonts w:ascii="Times New Roman" w:eastAsia="Times New Roman" w:hAnsi="Times New Roman" w:cs="Times New Roman"/>
      <w:color w:val="auto"/>
    </w:rPr>
  </w:style>
  <w:style w:type="character" w:customStyle="1" w:styleId="CharChar1">
    <w:name w:val="Char Char1"/>
    <w:rsid w:val="00C1738F"/>
    <w:rPr>
      <w:sz w:val="22"/>
      <w:szCs w:val="24"/>
      <w:lang w:val="en-US" w:eastAsia="en-US" w:bidi="ar-SA"/>
    </w:rPr>
  </w:style>
  <w:style w:type="paragraph" w:customStyle="1" w:styleId="StyleHeading411pt">
    <w:name w:val="Style Heading 4 + 11 pt"/>
    <w:basedOn w:val="Heading4"/>
    <w:link w:val="StyleHeading411ptChar"/>
    <w:rsid w:val="00C1738F"/>
    <w:pPr>
      <w:keepNext/>
      <w:numPr>
        <w:ilvl w:val="0"/>
        <w:numId w:val="0"/>
      </w:numPr>
      <w:tabs>
        <w:tab w:val="clear" w:pos="1620"/>
      </w:tabs>
      <w:spacing w:before="240" w:after="60" w:line="240" w:lineRule="auto"/>
      <w:ind w:left="3168" w:hanging="360"/>
      <w:contextualSpacing w:val="0"/>
    </w:pPr>
    <w:rPr>
      <w:rFonts w:ascii="Times New Roman" w:eastAsia="Times New Roman" w:hAnsi="Times New Roman"/>
      <w:i w:val="0"/>
      <w:szCs w:val="28"/>
    </w:rPr>
  </w:style>
  <w:style w:type="character" w:customStyle="1" w:styleId="StyleHeading411ptChar">
    <w:name w:val="Style Heading 4 + 11 pt Char"/>
    <w:link w:val="StyleHeading411pt"/>
    <w:rsid w:val="00C1738F"/>
    <w:rPr>
      <w:rFonts w:ascii="Times New Roman" w:eastAsia="Times New Roman" w:hAnsi="Times New Roman" w:cs="Times New Roman"/>
      <w:b/>
      <w:bCs/>
      <w:sz w:val="24"/>
      <w:szCs w:val="28"/>
    </w:rPr>
  </w:style>
  <w:style w:type="paragraph" w:customStyle="1" w:styleId="TableText">
    <w:name w:val="Table Text"/>
    <w:basedOn w:val="Normal"/>
    <w:rsid w:val="00C1738F"/>
    <w:pPr>
      <w:suppressAutoHyphens/>
      <w:spacing w:after="0" w:line="240" w:lineRule="auto"/>
    </w:pPr>
    <w:rPr>
      <w:rFonts w:eastAsia="Times New Roman" w:cs="Times New Roman"/>
      <w:bCs/>
      <w:sz w:val="16"/>
      <w:szCs w:val="20"/>
      <w:lang w:eastAsia="ar-SA"/>
    </w:rPr>
  </w:style>
  <w:style w:type="paragraph" w:styleId="BodyTextIndent2">
    <w:name w:val="Body Text Indent 2"/>
    <w:basedOn w:val="Normal"/>
    <w:link w:val="BodyTextIndent2Char"/>
    <w:rsid w:val="00C1738F"/>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C1738F"/>
    <w:rPr>
      <w:rFonts w:ascii="Times New Roman" w:eastAsia="Times New Roman" w:hAnsi="Times New Roman" w:cs="Times New Roman"/>
      <w:sz w:val="24"/>
      <w:szCs w:val="24"/>
    </w:rPr>
  </w:style>
  <w:style w:type="character" w:customStyle="1" w:styleId="CharChar10">
    <w:name w:val="Char Char10"/>
    <w:rsid w:val="00C1738F"/>
    <w:rPr>
      <w:sz w:val="22"/>
      <w:szCs w:val="24"/>
      <w:lang w:val="en-US" w:eastAsia="en-US" w:bidi="ar-SA"/>
    </w:rPr>
  </w:style>
  <w:style w:type="paragraph" w:customStyle="1" w:styleId="referencelist">
    <w:name w:val="reference list"/>
    <w:basedOn w:val="Normal"/>
    <w:qFormat/>
    <w:rsid w:val="00C1738F"/>
    <w:pPr>
      <w:spacing w:before="120" w:after="120" w:line="240" w:lineRule="auto"/>
      <w:ind w:left="720" w:right="720" w:hanging="720"/>
    </w:pPr>
    <w:rPr>
      <w:rFonts w:ascii="Times New Roman" w:eastAsia="Times New Roman" w:hAnsi="Times New Roman" w:cs="Times New Roman"/>
      <w:bCs/>
      <w:color w:val="000000"/>
    </w:rPr>
  </w:style>
  <w:style w:type="character" w:styleId="LineNumber">
    <w:name w:val="line number"/>
    <w:basedOn w:val="DefaultParagraphFont"/>
    <w:uiPriority w:val="99"/>
    <w:semiHidden/>
    <w:unhideWhenUsed/>
    <w:rsid w:val="00C1738F"/>
  </w:style>
  <w:style w:type="character" w:customStyle="1" w:styleId="UnresolvedMention1">
    <w:name w:val="Unresolved Mention1"/>
    <w:basedOn w:val="DefaultParagraphFont"/>
    <w:uiPriority w:val="99"/>
    <w:semiHidden/>
    <w:unhideWhenUsed/>
    <w:rsid w:val="00C1738F"/>
    <w:rPr>
      <w:color w:val="808080"/>
      <w:shd w:val="clear" w:color="auto" w:fill="E6E6E6"/>
    </w:rPr>
  </w:style>
  <w:style w:type="numbering" w:customStyle="1" w:styleId="NoList1">
    <w:name w:val="No List1"/>
    <w:next w:val="NoList"/>
    <w:uiPriority w:val="99"/>
    <w:semiHidden/>
    <w:unhideWhenUsed/>
    <w:rsid w:val="00C1738F"/>
  </w:style>
  <w:style w:type="character" w:customStyle="1" w:styleId="normaltextrun">
    <w:name w:val="normaltextrun"/>
    <w:basedOn w:val="DefaultParagraphFont"/>
    <w:rsid w:val="00C1738F"/>
  </w:style>
  <w:style w:type="character" w:customStyle="1" w:styleId="findhit">
    <w:name w:val="findhit"/>
    <w:basedOn w:val="DefaultParagraphFont"/>
    <w:rsid w:val="00C1738F"/>
  </w:style>
  <w:style w:type="character" w:customStyle="1" w:styleId="eop">
    <w:name w:val="eop"/>
    <w:basedOn w:val="DefaultParagraphFont"/>
    <w:rsid w:val="00C1738F"/>
  </w:style>
  <w:style w:type="character" w:styleId="PlaceholderText">
    <w:name w:val="Placeholder Text"/>
    <w:basedOn w:val="DefaultParagraphFont"/>
    <w:uiPriority w:val="99"/>
    <w:semiHidden/>
    <w:rsid w:val="00C1738F"/>
    <w:rPr>
      <w:color w:val="808080"/>
    </w:rPr>
  </w:style>
  <w:style w:type="paragraph" w:customStyle="1" w:styleId="heading10">
    <w:name w:val="heading 10"/>
    <w:next w:val="Normal"/>
    <w:unhideWhenUsed/>
    <w:qFormat/>
    <w:rsid w:val="00C1738F"/>
    <w:pPr>
      <w:keepNext/>
      <w:numPr>
        <w:numId w:val="20"/>
      </w:numPr>
      <w:spacing w:before="240" w:after="200" w:line="240" w:lineRule="auto"/>
      <w:outlineLvl w:val="0"/>
    </w:pPr>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9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dockets/epa-docket-center-and-reading-room-open-public-appointment-onl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ICR?ref_nbr=201707-2070-001" TargetMode="External"/><Relationship Id="rId2" Type="http://schemas.openxmlformats.org/officeDocument/2006/relationships/hyperlink" Target="https://www.reginfo.gov/public/do/PRAViewICR?ref_nbr=201712-2070-004" TargetMode="External"/><Relationship Id="rId1" Type="http://schemas.openxmlformats.org/officeDocument/2006/relationships/hyperlink" Target="https://www.reginfo.gov/public/do/PRAViewICR?ref_nbr=201806-207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CategoryDescription xmlns="http://schemas.microsoft.com/sharepoint.v3" xsi:nil="true"/>
    <SharedWithUsers xmlns="a5d1ca4e-0a3f-4119-b619-e20b93ebd1aa">
      <UserInfo>
        <DisplayName>Kohn, Jeffrey</DisplayName>
        <AccountId>17</AccountId>
        <AccountType/>
      </UserInfo>
      <UserInfo>
        <DisplayName>Rodman, Sonja</DisplayName>
        <AccountId>25</AccountId>
        <AccountType/>
      </UserInfo>
      <UserInfo>
        <DisplayName>Gates, Lauren</DisplayName>
        <AccountId>23</AccountId>
        <AccountType/>
      </UserInfo>
      <UserInfo>
        <DisplayName>Edmonds, Marc</DisplayName>
        <AccountId>20</AccountId>
        <AccountType/>
      </UserInfo>
    </SharedWithUsers>
    <FRN_x0020_List_x0020_Item_x0020_ID xmlns="118f882f-1e32-4cf2-ad69-9de43d57f4c6">3382</FRN_x0020_List_x0020_Item_x0020_ID>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43A03-9333-4B65-9979-863CC85BC6DF}">
  <ds:schemaRefs>
    <ds:schemaRef ds:uri="http://schemas.openxmlformats.org/officeDocument/2006/bibliography"/>
  </ds:schemaRefs>
</ds:datastoreItem>
</file>

<file path=customXml/itemProps2.xml><?xml version="1.0" encoding="utf-8"?>
<ds:datastoreItem xmlns:ds="http://schemas.openxmlformats.org/officeDocument/2006/customXml" ds:itemID="{D353ED9E-B65B-4F20-9792-EE2858D3F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44B56-BA86-4284-B1F7-B5381B365F4F}">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a5d1ca4e-0a3f-4119-b619-e20b93ebd1aa"/>
    <ds:schemaRef ds:uri="118f882f-1e32-4cf2-ad69-9de43d57f4c6"/>
    <ds:schemaRef ds:uri="4ffa91fb-a0ff-4ac5-b2db-65c790d184a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A8375B5-05CB-4846-8DE0-6783098B2E13}">
  <ds:schemaRefs>
    <ds:schemaRef ds:uri="Microsoft.SharePoint.Taxonomy.ContentTypeSync"/>
  </ds:schemaRefs>
</ds:datastoreItem>
</file>

<file path=customXml/itemProps5.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6683</Words>
  <Characters>34689</Characters>
  <Application>Microsoft Office Word</Application>
  <DocSecurity>0</DocSecurity>
  <Lines>867</Lines>
  <Paragraphs>313</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41059</CharactersWithSpaces>
  <SharedDoc>false</SharedDoc>
  <HLinks>
    <vt:vector size="24" baseType="variant">
      <vt:variant>
        <vt:i4>2818151</vt:i4>
      </vt:variant>
      <vt:variant>
        <vt:i4>0</vt:i4>
      </vt:variant>
      <vt:variant>
        <vt:i4>0</vt:i4>
      </vt:variant>
      <vt:variant>
        <vt:i4>5</vt:i4>
      </vt:variant>
      <vt:variant>
        <vt:lpwstr>http://www.regulations.gov/</vt:lpwstr>
      </vt:variant>
      <vt:variant>
        <vt:lpwstr/>
      </vt:variant>
      <vt:variant>
        <vt:i4>1048672</vt:i4>
      </vt:variant>
      <vt:variant>
        <vt:i4>6</vt:i4>
      </vt:variant>
      <vt:variant>
        <vt:i4>0</vt:i4>
      </vt:variant>
      <vt:variant>
        <vt:i4>5</vt:i4>
      </vt:variant>
      <vt:variant>
        <vt:lpwstr>https://www.reginfo.gov/public/do/PRAViewICR?ref_nbr=201707-2070-001</vt:lpwstr>
      </vt:variant>
      <vt:variant>
        <vt:lpwstr/>
      </vt:variant>
      <vt:variant>
        <vt:i4>1310821</vt:i4>
      </vt:variant>
      <vt:variant>
        <vt:i4>3</vt:i4>
      </vt:variant>
      <vt:variant>
        <vt:i4>0</vt:i4>
      </vt:variant>
      <vt:variant>
        <vt:i4>5</vt:i4>
      </vt:variant>
      <vt:variant>
        <vt:lpwstr>https://www.reginfo.gov/public/do/PRAViewICR?ref_nbr=201712-2070-004</vt:lpwstr>
      </vt:variant>
      <vt:variant>
        <vt:lpwstr/>
      </vt:variant>
      <vt:variant>
        <vt:i4>1048686</vt:i4>
      </vt:variant>
      <vt:variant>
        <vt:i4>0</vt:i4>
      </vt:variant>
      <vt:variant>
        <vt:i4>0</vt:i4>
      </vt:variant>
      <vt:variant>
        <vt:i4>5</vt:i4>
      </vt:variant>
      <vt:variant>
        <vt:lpwstr>https://www.reginfo.gov/public/do/PRAViewICR?ref_nbr=201806-2070-001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Johnson, Amaris</cp:lastModifiedBy>
  <cp:revision>2</cp:revision>
  <dcterms:created xsi:type="dcterms:W3CDTF">2021-10-22T00:01:00Z</dcterms:created>
  <dcterms:modified xsi:type="dcterms:W3CDTF">2021-10-22T00:01:00Z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