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42FE" w:rsidP="00456D68" w:rsidRDefault="007542FE" w14:paraId="29B873A2" w14:textId="77777777">
      <w:pPr>
        <w:pStyle w:val="Title2"/>
      </w:pPr>
      <w:r>
        <w:t>SUPPORTING STATEMENT</w:t>
      </w:r>
    </w:p>
    <w:p w:rsidR="007542FE" w:rsidP="005B1A8B" w:rsidRDefault="007542FE" w14:paraId="2438D4E3" w14:textId="0126F454">
      <w:pPr>
        <w:pStyle w:val="Subtitle2"/>
      </w:pPr>
      <w:r>
        <w:t>OMB</w:t>
      </w:r>
      <w:r w:rsidR="002C5FD4">
        <w:t xml:space="preserve"> Control Number </w:t>
      </w:r>
      <w:r>
        <w:t>2120-0608</w:t>
      </w:r>
    </w:p>
    <w:p w:rsidR="005C5B23" w:rsidP="005B1A8B" w:rsidRDefault="005C5B23" w14:paraId="4E77DC75" w14:textId="31ED1F19">
      <w:pPr>
        <w:pStyle w:val="Subtitle2"/>
      </w:pPr>
      <w:r w:rsidRPr="005C5B23">
        <w:t xml:space="preserve">This supporting statement is an update to prior justification statements.  Hence, it presents cost information that replaces prior estimates of the burden to industry and the federal government associated with the collection of information supporting the launch license and renewal application process for commercial ELVs.  </w:t>
      </w:r>
      <w:bookmarkStart w:name="_GoBack" w:id="0"/>
      <w:bookmarkEnd w:id="0"/>
    </w:p>
    <w:p w:rsidRPr="005B1A8B" w:rsidR="001E5636" w:rsidP="005B1A8B" w:rsidRDefault="001E5636" w14:paraId="70CEDD1E" w14:textId="798B8FFE">
      <w:pPr>
        <w:pStyle w:val="Subtitle2"/>
      </w:pPr>
      <w:r w:rsidRPr="005B1A8B">
        <w:t>Note:  This collection changed because part 450 was published and it replaces the requirements of parts 401,413,415, and 417.  No new licenses under those parts can be issued.  However this collection is still necessary because operators that had a license at the time part 450 came into effect can still operate under their existing license for up to 5 years.  Expiring licenses will be allowed to be renewed up to the five year period.  Burden due to new licenses are zero and the burdens for modifications and renewals are estimated based on the number of active licenses at the time part 450 became effective.  Explanation of the burden to operators can be found in question 12 and an explanation of the burden changes to the government can be found on question 14</w:t>
      </w:r>
      <w:r w:rsidRPr="005B1A8B" w:rsidR="005B1A8B">
        <w:t>.</w:t>
      </w:r>
    </w:p>
    <w:p w:rsidR="007542FE" w:rsidP="005B1A8B" w:rsidRDefault="007542FE" w14:paraId="334BC36F" w14:textId="77777777">
      <w:pPr>
        <w:pStyle w:val="Subtitle2"/>
      </w:pPr>
      <w:r>
        <w:t>TITLE 14, CODE OF FEDERAL REGULATIONS, PARTS 401, 413, 415, AND 417:</w:t>
      </w:r>
      <w:r w:rsidR="00456D68">
        <w:t xml:space="preserve"> </w:t>
      </w:r>
      <w:r>
        <w:t>LICENSING AND SAFETY REQUIREMENTS FOR LAUNCH</w:t>
      </w:r>
      <w:r w:rsidR="00456D68">
        <w:t xml:space="preserve"> </w:t>
      </w:r>
      <w:r>
        <w:t>(F</w:t>
      </w:r>
      <w:r w:rsidR="00CD2A1B">
        <w:t>OR EXPENDABLE LAUNCH VEHICLES)</w:t>
      </w:r>
    </w:p>
    <w:p w:rsidR="007542FE" w:rsidP="00FA3404" w:rsidRDefault="007542FE" w14:paraId="7C955149" w14:textId="37B7EA91">
      <w:pPr>
        <w:pStyle w:val="Heading3"/>
      </w:pPr>
      <w:r>
        <w:t>A.</w:t>
      </w:r>
      <w:r>
        <w:tab/>
        <w:t>Justification</w:t>
      </w:r>
    </w:p>
    <w:p w:rsidR="007542FE" w:rsidP="00FA3404" w:rsidRDefault="007542FE" w14:paraId="075C672B" w14:textId="77777777">
      <w:pPr>
        <w:pStyle w:val="Heading3"/>
      </w:pPr>
      <w:r>
        <w:t>1.</w:t>
      </w:r>
      <w:r>
        <w:tab/>
        <w:t>Explain the circumstances that make collection of information necessary.  Identify any legal or administrative requirements that necessitate the collection.</w:t>
      </w:r>
    </w:p>
    <w:p w:rsidR="007542FE" w:rsidP="00D51D6C" w:rsidRDefault="002B4BC6" w14:paraId="7EEE83A8" w14:textId="77777777">
      <w:pPr>
        <w:pStyle w:val="BodyText"/>
      </w:pPr>
      <w:r>
        <w:t xml:space="preserve">51 </w:t>
      </w:r>
      <w:r w:rsidR="007542FE">
        <w:t xml:space="preserve">U.S.C. Subtitle </w:t>
      </w:r>
      <w:r>
        <w:t>V</w:t>
      </w:r>
      <w:r w:rsidR="007542FE">
        <w:t xml:space="preserve">, Ch. </w:t>
      </w:r>
      <w:r>
        <w:t xml:space="preserve">509 </w:t>
      </w:r>
      <w:r w:rsidR="007542FE">
        <w:noBreakHyphen/>
      </w:r>
      <w:r w:rsidR="007542FE">
        <w:noBreakHyphen/>
        <w:t xml:space="preserve"> Commercial Space Launch Activities, </w:t>
      </w:r>
      <w:r>
        <w:t xml:space="preserve">51 </w:t>
      </w:r>
      <w:r w:rsidR="007542FE">
        <w:t xml:space="preserve">U.S.C. §§ </w:t>
      </w:r>
      <w:r>
        <w:t>50901</w:t>
      </w:r>
      <w:r w:rsidR="007542FE">
        <w:noBreakHyphen/>
      </w:r>
      <w:r>
        <w:t xml:space="preserve">50921 </w:t>
      </w:r>
      <w:r w:rsidR="007542FE">
        <w:t>(</w:t>
      </w:r>
      <w:r w:rsidR="006534EE">
        <w:t>2011</w:t>
      </w:r>
      <w:r w:rsidR="007542FE">
        <w:t xml:space="preserve">), requires certain data be provided in applying for a license to conduct commercial space launch activities.  These data are required to demonstrate to the Federal Aviation Administration (FAA), </w:t>
      </w:r>
      <w:r w:rsidR="00AD57A0">
        <w:t>Office of</w:t>
      </w:r>
      <w:r w:rsidR="007542FE">
        <w:t xml:space="preserve"> Commercial Space Transportation (AST</w:t>
      </w:r>
      <w:proofErr w:type="gramStart"/>
      <w:r w:rsidR="007542FE">
        <w:t>), that</w:t>
      </w:r>
      <w:proofErr w:type="gramEnd"/>
      <w:r w:rsidR="007542FE">
        <w:t xml:space="preserve"> a license applicant’s proposed activities meet applicable public safety, national security, and foreign policy interests of the United States.  </w:t>
      </w:r>
    </w:p>
    <w:p w:rsidR="007542FE" w:rsidP="00D51D6C" w:rsidRDefault="00BC2D9E" w14:paraId="1F3DB639" w14:textId="77777777">
      <w:pPr>
        <w:pStyle w:val="BodyText"/>
      </w:pPr>
      <w:r w:rsidRPr="00BC2D9E">
        <w:t xml:space="preserve">14 CFR parts 413, 415, and 417 collectively provide requirements to launch license applicants.  </w:t>
      </w:r>
      <w:r w:rsidR="007D307E">
        <w:t xml:space="preserve">Parts 413 and 415 </w:t>
      </w:r>
      <w:r w:rsidRPr="00BC2D9E">
        <w:t>establish requirements for obtaining a license to launch an expendable launch vehicle (ELV)</w:t>
      </w:r>
      <w:r w:rsidR="007D307E">
        <w:t>.  P</w:t>
      </w:r>
      <w:r w:rsidRPr="00BC2D9E">
        <w:t>art 417 codifies safety responsibilities and requirements that apply to a licensed ELV launch.</w:t>
      </w:r>
      <w:r w:rsidR="007D307E">
        <w:t xml:space="preserve">  Together, parts 413, 415, and 417 </w:t>
      </w:r>
      <w:r w:rsidRPr="00BC2D9E">
        <w:t>prescribe standardized application requirements and clarif</w:t>
      </w:r>
      <w:r w:rsidR="007D307E">
        <w:t xml:space="preserve">y </w:t>
      </w:r>
      <w:r w:rsidRPr="00BC2D9E">
        <w:t xml:space="preserve">safety issues that an applicant must address.  Preparation of an application requires the collection of information.  The following sections cause industry and the federal government to collect and review, respectively, information used to apply for a launch operator or launch specific license:  413.7, Application; 415.25, Application requirements for policy review; 415.33, Safety Organization; 415.35, Acceptable flight risk; 415.37, Flight readiness and communications plan; 415.39, Safety at end of launch; 415.41, Accident investigation plan; 415.59, Information requirements for payload review; 417.11, Continuing accuracy of license application; application for modification of license; 417.13, Agreement(s) with federal launch range; 417.15, Records; 417.17, Launch reporting requirements; 417.19, </w:t>
      </w:r>
      <w:r w:rsidRPr="00BC2D9E">
        <w:lastRenderedPageBreak/>
        <w:t>Registration of space objects; 415.103, General; 415.203,  Environmental information; and 417.203, Compliance.</w:t>
      </w:r>
    </w:p>
    <w:p w:rsidR="007542FE" w:rsidP="00FA3404" w:rsidRDefault="007542FE" w14:paraId="1D847BA8" w14:textId="77777777">
      <w:pPr>
        <w:pStyle w:val="Heading3"/>
      </w:pPr>
      <w:r>
        <w:t>2.</w:t>
      </w:r>
      <w:r>
        <w:tab/>
        <w:t>Indicate how, by whom, and for what purpose the information is to be used.  Except for a new collection, indicate the actual use the agency has made of the information received from the current collection.</w:t>
      </w:r>
    </w:p>
    <w:p w:rsidR="007D307E" w:rsidP="00D51D6C" w:rsidRDefault="00187321" w14:paraId="7E88926D" w14:textId="77777777">
      <w:pPr>
        <w:pStyle w:val="BodyText"/>
      </w:pPr>
      <w:r>
        <w:t>All entities wishing to obtain</w:t>
      </w:r>
      <w:r w:rsidR="0013603C">
        <w:t xml:space="preserve"> or maintain</w:t>
      </w:r>
      <w:r>
        <w:t xml:space="preserve"> a license to conduct commercial space launch activities are mandated to report information to this collection. The</w:t>
      </w:r>
      <w:r w:rsidR="007542FE">
        <w:t xml:space="preserve"> information collected </w:t>
      </w:r>
      <w:r w:rsidR="008E47CB">
        <w:t>is</w:t>
      </w:r>
      <w:r w:rsidR="007542FE">
        <w:t xml:space="preserve"> used by AST to determine and verify the ability and competency of a launch license applicant to conduct a commercial space launch operation in a safe and efficient manner.  Information is collected before and after the issuance of either </w:t>
      </w:r>
      <w:r w:rsidR="007D307E">
        <w:t xml:space="preserve">a </w:t>
      </w:r>
      <w:r w:rsidR="007542FE">
        <w:t xml:space="preserve">launch-specific license or </w:t>
      </w:r>
      <w:r w:rsidR="007D307E">
        <w:t xml:space="preserve">a </w:t>
      </w:r>
      <w:r w:rsidR="007542FE">
        <w:t>launch operator license.  An applicant's license proposal is assessed in terms of significant policy issues affecting the national security, foreign policy interests, or international obligations of the United States.  Information collected allow</w:t>
      </w:r>
      <w:r w:rsidR="007D307E">
        <w:t>s</w:t>
      </w:r>
      <w:r w:rsidR="007542FE">
        <w:t xml:space="preserve"> AST to make a preliminary assessment of a launch proposal prior to beginning general licensing application procedures.  After favorable review by AST of an applicant’s proposal in terms of policy implications, the applicant must demonstrate that it can safely launch its vehicle with payload.  To achieve this end, </w:t>
      </w:r>
      <w:r w:rsidR="007D307E">
        <w:t>AST’s s</w:t>
      </w:r>
      <w:r w:rsidR="007542FE">
        <w:t xml:space="preserve">afety </w:t>
      </w:r>
      <w:r w:rsidR="007D307E">
        <w:t>e</w:t>
      </w:r>
      <w:r w:rsidR="007542FE">
        <w:t>valuation process</w:t>
      </w:r>
      <w:r w:rsidR="007D307E">
        <w:t xml:space="preserve"> requires </w:t>
      </w:r>
      <w:r w:rsidR="007542FE">
        <w:t xml:space="preserve">an applicant to submit information, including a safety program plan, a launch safety design and operations document, and an accident investigation plan.  </w:t>
      </w:r>
    </w:p>
    <w:p w:rsidR="007D307E" w:rsidP="00D51D6C" w:rsidRDefault="007542FE" w14:paraId="58665ADB" w14:textId="77777777">
      <w:pPr>
        <w:pStyle w:val="BodyText"/>
      </w:pPr>
      <w:r>
        <w:t xml:space="preserve">Further, in accordance with the requirements of the National Environmental Policies Act, 42 U.S.C. § 4321, </w:t>
      </w:r>
      <w:proofErr w:type="gramStart"/>
      <w:r>
        <w:t>et</w:t>
      </w:r>
      <w:proofErr w:type="gramEnd"/>
      <w:r>
        <w:t xml:space="preserve">. seq., (NEPA), the Council on Environmental Quality Regulations for Implementing the Procedural Provisions of NEPA, 40 CFR Parts 1500-1508, and the DOT's Procedures for Considering Environmental Impacts, (that is, DOT Order 5610.1C), applicants </w:t>
      </w:r>
      <w:r w:rsidR="007D307E">
        <w:t>are</w:t>
      </w:r>
      <w:r>
        <w:t xml:space="preserve"> required to submit environmental information to AST.  This includes information concerning proposed new launch sites and launch vehicles not currently described in the environmental impact statements, as well as payloads that may have significant environmental impacts in the event of a launch accident.</w:t>
      </w:r>
    </w:p>
    <w:p w:rsidR="007542FE" w:rsidP="00D51D6C" w:rsidRDefault="007D307E" w14:paraId="69B855C1" w14:textId="77777777">
      <w:pPr>
        <w:pStyle w:val="BodyText"/>
      </w:pPr>
      <w:r>
        <w:t xml:space="preserve">A licensee must satisfy pre-launch reporting requirements by providing launch specific information, including flight path data, payload design criteria, and mission specific launch waivers from federal sites or launch sites, not later than 60 days prior to the scheduled launch date.  </w:t>
      </w:r>
      <w:r w:rsidR="007542FE">
        <w:t xml:space="preserve">Each licensee is </w:t>
      </w:r>
      <w:r>
        <w:t xml:space="preserve">also </w:t>
      </w:r>
      <w:r w:rsidR="007542FE">
        <w:t xml:space="preserve">required to register the name and mission of the payload with </w:t>
      </w:r>
      <w:r w:rsidR="00BC2D9E">
        <w:t>AST</w:t>
      </w:r>
      <w:r w:rsidR="007542FE">
        <w:t xml:space="preserve"> in accordance with Article IV of the 1975 Convention on Registration of Objects Launched </w:t>
      </w:r>
      <w:proofErr w:type="gramStart"/>
      <w:r w:rsidR="007542FE">
        <w:t>Into</w:t>
      </w:r>
      <w:proofErr w:type="gramEnd"/>
      <w:r w:rsidR="007542FE">
        <w:t xml:space="preserve"> Outer Space Treaty.</w:t>
      </w:r>
    </w:p>
    <w:p w:rsidR="007542FE" w:rsidP="00FA3404" w:rsidRDefault="007542FE" w14:paraId="5FBEB0EB" w14:textId="77777777">
      <w:pPr>
        <w:pStyle w:val="Heading3"/>
      </w:pPr>
      <w:r>
        <w:t>3.</w:t>
      </w:r>
      <w:r>
        <w:tab/>
        <w:t xml:space="preserve">Describe whether, and to what extent, the collection of information involves the use of automated, electronic, mechanical, or other </w:t>
      </w:r>
      <w:proofErr w:type="gramStart"/>
      <w:r>
        <w:t>technological</w:t>
      </w:r>
      <w:proofErr w:type="gramEnd"/>
      <w:r>
        <w:t xml:space="preserve">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E10458" w:rsidP="00100134" w:rsidRDefault="007542FE" w14:paraId="3195FF1D" w14:textId="1DE13E20">
      <w:pPr>
        <w:pStyle w:val="BodyText"/>
      </w:pPr>
      <w:r>
        <w:t xml:space="preserve">AST maintains a </w:t>
      </w:r>
      <w:r w:rsidR="00453704">
        <w:t>website</w:t>
      </w:r>
      <w:r>
        <w:t xml:space="preserve"> to improve public access </w:t>
      </w:r>
      <w:r w:rsidR="00453704">
        <w:t xml:space="preserve">to </w:t>
      </w:r>
      <w:r>
        <w:t xml:space="preserve">information </w:t>
      </w:r>
      <w:r w:rsidR="00453704">
        <w:t>about</w:t>
      </w:r>
      <w:r>
        <w:t xml:space="preserve"> the </w:t>
      </w:r>
      <w:r w:rsidR="00E10458">
        <w:t>licensing process</w:t>
      </w:r>
      <w:r w:rsidR="00187321">
        <w:t>.</w:t>
      </w:r>
      <w:r w:rsidR="00FF0CB1">
        <w:t xml:space="preserve">  </w:t>
      </w:r>
      <w:r w:rsidR="00100134">
        <w:t xml:space="preserve">Applicants can start the application process by filling out contact information at: </w:t>
      </w:r>
      <w:hyperlink w:history="1" r:id="rId7">
        <w:r w:rsidRPr="00F33144" w:rsidR="00FF0CB1">
          <w:rPr>
            <w:rStyle w:val="Hyperlink"/>
          </w:rPr>
          <w:t>https://www.faa.gov/space/streamlined_licensing_process/licensing_process/</w:t>
        </w:r>
      </w:hyperlink>
      <w:r w:rsidR="00100134">
        <w:t xml:space="preserve">.  Information on how to contact the FAA is located at: </w:t>
      </w:r>
      <w:hyperlink w:history="1" r:id="rId8">
        <w:r w:rsidRPr="00F33144" w:rsidR="00FF0CB1">
          <w:rPr>
            <w:rStyle w:val="Hyperlink"/>
          </w:rPr>
          <w:t>https://www.faa.gov/space/streamlined_licensing_process/licensing_process/media/Pre-Application_Initial_Contact_Information_final.pdf</w:t>
        </w:r>
      </w:hyperlink>
      <w:r w:rsidR="00100134">
        <w:t xml:space="preserve">.  </w:t>
      </w:r>
    </w:p>
    <w:p w:rsidR="00100134" w:rsidP="00100134" w:rsidRDefault="00100134" w14:paraId="7047CABA" w14:textId="77777777">
      <w:pPr>
        <w:pStyle w:val="BodyText"/>
      </w:pPr>
      <w:r>
        <w:t>Applicants can send information requests using:</w:t>
      </w:r>
    </w:p>
    <w:p w:rsidR="00FF0CB1" w:rsidP="00100134" w:rsidRDefault="00575F74" w14:paraId="3841D9F7" w14:textId="0F880580">
      <w:pPr>
        <w:pStyle w:val="BodyText"/>
      </w:pPr>
      <w:hyperlink w:history="1" r:id="rId9">
        <w:r w:rsidRPr="00F33144" w:rsidR="00FF0CB1">
          <w:rPr>
            <w:rStyle w:val="Hyperlink"/>
          </w:rPr>
          <w:t>https://www.faa.gov/contact_faa/?returnPage=M%2FVQ%2DLJV%3C%248PXO%28%20%2FGZ5UB%29N6N9%25%2FG%24%209ZA%5E9G%2A%2E%2DC%28%2E%5C%3FF%40%2FL%27%5EBC%2AF%40B%21%293%0A3BH%2E9%5B4I4%22%25%5FJ%26%3FVA5QZ%2EN9R9D%20%20%20%0A&amp;mailto=7%2A3%29%3CH%2BK45Y%24%5DNXP%3CFZQOIIB3A%5D%2D%21D%25%2C%20%0A&amp;subject=L5FU2ONZ%2E28ABJ%280%2FW%2AYSD%2C32I9%29%2BDD%20%25%5EA%5E6E%5DRNCHV%5C%3FCLU%5C6%2A%5EAKZGG%40%40%20%0A</w:t>
        </w:r>
      </w:hyperlink>
    </w:p>
    <w:p w:rsidR="00FF0CB1" w:rsidP="00D51D6C" w:rsidRDefault="00100134" w14:paraId="426FE091" w14:textId="4FF7301A">
      <w:pPr>
        <w:pStyle w:val="BodyText"/>
      </w:pPr>
      <w:r w:rsidRPr="00100134">
        <w:t>Applicants can submit application material electronically</w:t>
      </w:r>
      <w:r>
        <w:t xml:space="preserve">.  Application material submitted is not made available to the public on the FAA website because it is proprietary.  The FAA does publish a list of licensed launches at: </w:t>
      </w:r>
      <w:hyperlink w:history="1" r:id="rId10">
        <w:r w:rsidRPr="00F33144">
          <w:rPr>
            <w:rStyle w:val="Hyperlink"/>
          </w:rPr>
          <w:t>https://www.faa.gov/data_research/commercial_space_data/launches/</w:t>
        </w:r>
      </w:hyperlink>
    </w:p>
    <w:p w:rsidR="00100134" w:rsidP="00D51D6C" w:rsidRDefault="00100134" w14:paraId="20C783AC" w14:textId="77777777">
      <w:pPr>
        <w:pStyle w:val="BodyText"/>
      </w:pPr>
    </w:p>
    <w:p w:rsidR="007542FE" w:rsidP="00FA3404" w:rsidRDefault="007542FE" w14:paraId="6268C9E9" w14:textId="77777777">
      <w:pPr>
        <w:pStyle w:val="Heading3"/>
      </w:pPr>
      <w:r>
        <w:t>4.</w:t>
      </w:r>
      <w:r>
        <w:tab/>
        <w:t xml:space="preserve">Describe efforts to identify duplication.  Show specifically why any similar information already available cannot be used or modified for use for the purposes described in Item 2 above.  </w:t>
      </w:r>
    </w:p>
    <w:p w:rsidR="007542FE" w:rsidP="00D51D6C" w:rsidRDefault="007542FE" w14:paraId="6916C955" w14:textId="61A2546A">
      <w:pPr>
        <w:pStyle w:val="BodyText"/>
      </w:pPr>
      <w:r>
        <w:t>To decrease industry burden, the applicant may submit any documentation, without reformatting</w:t>
      </w:r>
      <w:r w:rsidR="00BC2D9E">
        <w:t>,</w:t>
      </w:r>
      <w:r>
        <w:t xml:space="preserve"> that has previously been submitted to </w:t>
      </w:r>
      <w:r w:rsidR="00BC2D9E">
        <w:t xml:space="preserve">a </w:t>
      </w:r>
      <w:r>
        <w:t xml:space="preserve">Federal Launch </w:t>
      </w:r>
      <w:r w:rsidR="00BC2D9E">
        <w:t xml:space="preserve">Range.  </w:t>
      </w:r>
      <w:r w:rsidR="00C36403">
        <w:t xml:space="preserve">In general, an applicant can submit information in any format.  </w:t>
      </w:r>
      <w:r w:rsidR="00BC2D9E">
        <w:t xml:space="preserve">Unique information </w:t>
      </w:r>
      <w:r>
        <w:t>routinely constitutes a small portion of the data collected.</w:t>
      </w:r>
      <w:r w:rsidR="00BC2D9E">
        <w:t xml:space="preserve">  </w:t>
      </w:r>
      <w:r>
        <w:t>Furthermore, an applicant may reference previously submitted information with noted changes.</w:t>
      </w:r>
      <w:r w:rsidR="00100134">
        <w:t xml:space="preserve">  </w:t>
      </w:r>
      <w:r w:rsidR="00CC1872">
        <w:t>Collection of information for the purposes of launch and reentry is very unique.  The FAA participates in the Common Standards Working Group to avoid duplication of requirements between the FAA, the Space Force, and NASA.  The FAA has agreements to share information with other Federal entities and avoid duplicating requirements.  For example, an operator launching from Cape Canaveral Space Force Station (CCSFS) does not have to submit and comply with FAA ground safety requirements if they comply with the ground safety requirements of CCSFS.</w:t>
      </w:r>
    </w:p>
    <w:p w:rsidR="007542FE" w:rsidP="00FA3404" w:rsidRDefault="007542FE" w14:paraId="2A36ABFB" w14:textId="77777777">
      <w:pPr>
        <w:pStyle w:val="Heading3"/>
      </w:pPr>
      <w:r>
        <w:t>5.</w:t>
      </w:r>
      <w:r>
        <w:tab/>
        <w:t xml:space="preserve">If the collection of information impacts small businesses or other small entities, describe any methods used to minimize burden on small businesses or other small entities.  </w:t>
      </w:r>
    </w:p>
    <w:p w:rsidR="007542FE" w:rsidP="00D51D6C" w:rsidRDefault="007542FE" w14:paraId="0E707775" w14:textId="77777777">
      <w:pPr>
        <w:pStyle w:val="BodyText"/>
      </w:pPr>
      <w:r>
        <w:t xml:space="preserve">Pursuant to the Regulatory Flexibility Act of 1980 (RFA), </w:t>
      </w:r>
      <w:r w:rsidR="00C36403">
        <w:t>AST</w:t>
      </w:r>
      <w:r>
        <w:t xml:space="preserve"> certifie</w:t>
      </w:r>
      <w:r w:rsidR="00740367">
        <w:t>d</w:t>
      </w:r>
      <w:r>
        <w:t xml:space="preserve"> </w:t>
      </w:r>
      <w:r w:rsidR="00740367">
        <w:t>in the final rule</w:t>
      </w:r>
      <w:r w:rsidR="00301976">
        <w:t xml:space="preserve"> (71 FR 50537) that </w:t>
      </w:r>
      <w:r w:rsidR="00740367">
        <w:t xml:space="preserve">the regulation </w:t>
      </w:r>
      <w:r>
        <w:t xml:space="preserve">would not have a significant economic impact on a substantial number of small entities.  </w:t>
      </w:r>
      <w:r w:rsidR="00740367">
        <w:t>The r</w:t>
      </w:r>
      <w:r>
        <w:t>egulations are written to allow flexibility and innovation.</w:t>
      </w:r>
    </w:p>
    <w:p w:rsidR="007542FE" w:rsidP="00FA3404" w:rsidRDefault="007542FE" w14:paraId="0BA36A9F" w14:textId="77777777">
      <w:pPr>
        <w:pStyle w:val="Heading3"/>
      </w:pPr>
      <w:r>
        <w:lastRenderedPageBreak/>
        <w:t>6.</w:t>
      </w:r>
      <w:r>
        <w:tab/>
        <w:t>Describe the consequence to Federal programs or policy activities if the collection is not conducted or is conducted less frequently, as well as any technical or legal obstacles to reducing burden.</w:t>
      </w:r>
    </w:p>
    <w:p w:rsidR="007542FE" w:rsidP="00D51D6C" w:rsidRDefault="00C36403" w14:paraId="173E0232" w14:textId="77777777">
      <w:pPr>
        <w:pStyle w:val="BodyText"/>
      </w:pPr>
      <w:r>
        <w:t>AST cannot authorize the launch of a launch vehicle without the necessary application material.  Many launch operators hold launch operator licenses, which allow multiple launches under a single license, significantly reducing burden.  These licenses are good for 5 years, and can be renewed with minimal burden.  Reducing the burden further by extending the license period could impact AST’s ability to protect public health and safety.</w:t>
      </w:r>
    </w:p>
    <w:p w:rsidR="007542FE" w:rsidP="00FA3404" w:rsidRDefault="0004507B" w14:paraId="40E706FD" w14:textId="77777777">
      <w:pPr>
        <w:pStyle w:val="Heading3"/>
      </w:pPr>
      <w:r>
        <w:t>7.</w:t>
      </w:r>
      <w:r>
        <w:tab/>
      </w:r>
      <w:r w:rsidR="007542FE">
        <w:t>Explain any special circumstances that would cause the requirement to be inconsistent with guidelines 5 CFR 1320.5(d</w:t>
      </w:r>
      <w:proofErr w:type="gramStart"/>
      <w:r w:rsidR="007542FE">
        <w:t>)(</w:t>
      </w:r>
      <w:proofErr w:type="gramEnd"/>
      <w:r w:rsidR="007542FE">
        <w:t>2)(</w:t>
      </w:r>
      <w:proofErr w:type="spellStart"/>
      <w:r w:rsidR="007542FE">
        <w:t>i</w:t>
      </w:r>
      <w:proofErr w:type="spellEnd"/>
      <w:r w:rsidR="007542FE">
        <w:t>)-(viii).</w:t>
      </w:r>
    </w:p>
    <w:p w:rsidR="007542FE" w:rsidP="00D51D6C" w:rsidRDefault="007542FE" w14:paraId="7A03F50B" w14:textId="77777777">
      <w:pPr>
        <w:pStyle w:val="BodyText"/>
      </w:pPr>
      <w:r>
        <w:t>This requirement follows the guidelines in 5 CFR 1320.5(d</w:t>
      </w:r>
      <w:proofErr w:type="gramStart"/>
      <w:r>
        <w:t>)(</w:t>
      </w:r>
      <w:proofErr w:type="gramEnd"/>
      <w:r>
        <w:t>2)(</w:t>
      </w:r>
      <w:proofErr w:type="spellStart"/>
      <w:r>
        <w:t>i</w:t>
      </w:r>
      <w:proofErr w:type="spellEnd"/>
      <w:r>
        <w:t xml:space="preserve">)-(viii).  </w:t>
      </w:r>
    </w:p>
    <w:p w:rsidR="007542FE" w:rsidP="00FA3404" w:rsidRDefault="007542FE" w14:paraId="04DC9EBC" w14:textId="77777777">
      <w:pPr>
        <w:pStyle w:val="Heading3"/>
      </w:pPr>
      <w:r>
        <w:t>8.</w:t>
      </w:r>
      <w: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7542FE" w:rsidP="00D51D6C" w:rsidRDefault="007542FE" w14:paraId="1EC24FF7" w14:textId="77777777">
      <w:pPr>
        <w:pStyle w:val="BodyText"/>
      </w:pPr>
      <w:r>
        <w:t xml:space="preserve">A notice was published in the Federal Register on </w:t>
      </w:r>
      <w:r w:rsidR="000618B9">
        <w:t>January</w:t>
      </w:r>
      <w:r w:rsidR="008C0399">
        <w:t xml:space="preserve"> </w:t>
      </w:r>
      <w:r w:rsidR="000618B9">
        <w:t>13</w:t>
      </w:r>
      <w:r w:rsidR="008C0399">
        <w:t>, 20</w:t>
      </w:r>
      <w:r w:rsidR="000618B9">
        <w:t>21</w:t>
      </w:r>
      <w:r w:rsidR="008C0399">
        <w:t xml:space="preserve"> (</w:t>
      </w:r>
      <w:r w:rsidR="000618B9">
        <w:t>86</w:t>
      </w:r>
      <w:r w:rsidRPr="008C0399" w:rsidR="008C0399">
        <w:t xml:space="preserve"> FR </w:t>
      </w:r>
      <w:r w:rsidR="000618B9">
        <w:t>2722</w:t>
      </w:r>
      <w:r w:rsidR="008C0399">
        <w:t>)</w:t>
      </w:r>
      <w:r w:rsidR="008E47CB">
        <w:t>.  No comments were received.</w:t>
      </w:r>
    </w:p>
    <w:p w:rsidR="007542FE" w:rsidP="00FA3404" w:rsidRDefault="007542FE" w14:paraId="1F827D04" w14:textId="77777777">
      <w:pPr>
        <w:pStyle w:val="Heading3"/>
      </w:pPr>
      <w:r>
        <w:t>9.</w:t>
      </w:r>
      <w:r>
        <w:tab/>
        <w:t>Explain any decisions to provide any payment as gift to respondents, other than remuneration of contractors or grantees.</w:t>
      </w:r>
    </w:p>
    <w:p w:rsidR="007542FE" w:rsidP="00D51D6C" w:rsidRDefault="007542FE" w14:paraId="6C02C476" w14:textId="77777777">
      <w:pPr>
        <w:pStyle w:val="BodyText"/>
      </w:pPr>
      <w:r>
        <w:t>No decision was made to provide payments or special compensation to respondents.</w:t>
      </w:r>
    </w:p>
    <w:p w:rsidR="007542FE" w:rsidP="00FA3404" w:rsidRDefault="007542FE" w14:paraId="4137E40B" w14:textId="77777777">
      <w:pPr>
        <w:pStyle w:val="Heading3"/>
      </w:pPr>
      <w:r>
        <w:t>10.</w:t>
      </w:r>
      <w:r w:rsidR="004F4562">
        <w:tab/>
      </w:r>
      <w:r>
        <w:t>Describe any assurance of confidentiality provided to respondents and the basis for the assurance in statute, regulation, or agency policy.</w:t>
      </w:r>
    </w:p>
    <w:p w:rsidRPr="0052172E" w:rsidR="0052172E" w:rsidP="0052172E" w:rsidRDefault="0052172E" w14:paraId="18345988" w14:textId="77777777">
      <w:pPr>
        <w:spacing w:after="120" w:line="276" w:lineRule="auto"/>
        <w:ind w:left="450"/>
        <w:rPr>
          <w:rFonts w:eastAsia="Calibri"/>
        </w:rPr>
      </w:pPr>
      <w:r w:rsidRPr="0052172E">
        <w:rPr>
          <w:rFonts w:eastAsia="Calibri"/>
        </w:rPr>
        <w:t>Presently AST is legally bound by 14 CFR Part 413 regulations that address License Application Procedures.  § 413.9 Confidentiality, states the following:</w:t>
      </w:r>
    </w:p>
    <w:p w:rsidRPr="0052172E" w:rsidR="0052172E" w:rsidP="0052172E" w:rsidRDefault="0052172E" w14:paraId="2B5B8096" w14:textId="77777777">
      <w:pPr>
        <w:autoSpaceDE w:val="0"/>
        <w:autoSpaceDN w:val="0"/>
        <w:adjustRightInd w:val="0"/>
        <w:ind w:left="450"/>
        <w:rPr>
          <w:rFonts w:eastAsia="Calibri"/>
          <w:i/>
        </w:rPr>
      </w:pPr>
      <w:r w:rsidRPr="0052172E">
        <w:rPr>
          <w:rFonts w:eastAsia="Calibri"/>
          <w:i/>
        </w:rPr>
        <w:t>(a) Any person furnishing information or data to the FAA may request in writing that trade secrets or proprietary commercial or financial data be treated as confidential. The request must be made at the time the information or data is submitted, and state the period of time for which confidential treatment is desired.</w:t>
      </w:r>
    </w:p>
    <w:p w:rsidRPr="0052172E" w:rsidR="0052172E" w:rsidP="0052172E" w:rsidRDefault="0052172E" w14:paraId="7060CD96" w14:textId="77777777">
      <w:pPr>
        <w:autoSpaceDE w:val="0"/>
        <w:autoSpaceDN w:val="0"/>
        <w:adjustRightInd w:val="0"/>
        <w:ind w:left="450"/>
        <w:rPr>
          <w:rFonts w:eastAsia="Calibri"/>
          <w:i/>
        </w:rPr>
      </w:pPr>
    </w:p>
    <w:p w:rsidRPr="0052172E" w:rsidR="0052172E" w:rsidP="0052172E" w:rsidRDefault="0052172E" w14:paraId="4CBBDE31" w14:textId="77777777">
      <w:pPr>
        <w:autoSpaceDE w:val="0"/>
        <w:autoSpaceDN w:val="0"/>
        <w:adjustRightInd w:val="0"/>
        <w:ind w:left="450"/>
        <w:rPr>
          <w:rFonts w:eastAsia="Calibri"/>
          <w:i/>
        </w:rPr>
      </w:pPr>
      <w:r w:rsidRPr="0052172E">
        <w:rPr>
          <w:rFonts w:eastAsia="Calibri"/>
          <w:i/>
        </w:rPr>
        <w:t>(b) Information or data for which any person or agency requests confidentiality must be clearly marked with an identifying legend, such as "Proprietary Information," "Proprietary Commercial Information," "Trade Secret," or " Confidential Treatment Requested." Where this marking proves impracticable, a cover sheet containing the identifying legend must be securely attached to the compilation of information or data for which confidential treatment is requested.</w:t>
      </w:r>
    </w:p>
    <w:p w:rsidRPr="0052172E" w:rsidR="0052172E" w:rsidP="0052172E" w:rsidRDefault="0052172E" w14:paraId="5E47CA73" w14:textId="77777777">
      <w:pPr>
        <w:autoSpaceDE w:val="0"/>
        <w:autoSpaceDN w:val="0"/>
        <w:adjustRightInd w:val="0"/>
        <w:ind w:left="450"/>
        <w:rPr>
          <w:rFonts w:eastAsia="Calibri"/>
          <w:i/>
        </w:rPr>
      </w:pPr>
    </w:p>
    <w:p w:rsidRPr="0052172E" w:rsidR="0052172E" w:rsidP="0052172E" w:rsidRDefault="0052172E" w14:paraId="032E9704" w14:textId="77777777">
      <w:pPr>
        <w:autoSpaceDE w:val="0"/>
        <w:autoSpaceDN w:val="0"/>
        <w:adjustRightInd w:val="0"/>
        <w:ind w:left="450"/>
        <w:rPr>
          <w:rFonts w:eastAsia="Calibri"/>
          <w:i/>
        </w:rPr>
      </w:pPr>
      <w:r w:rsidRPr="0052172E">
        <w:rPr>
          <w:rFonts w:eastAsia="Calibri"/>
          <w:i/>
        </w:rPr>
        <w:lastRenderedPageBreak/>
        <w:t>(c) If a person requests that previously submitted information or data be treated confidentially, the FAA will do so to the extent practicable in light of any prior distribution of the information or data.</w:t>
      </w:r>
    </w:p>
    <w:p w:rsidRPr="0052172E" w:rsidR="0052172E" w:rsidP="0052172E" w:rsidRDefault="0052172E" w14:paraId="2D6423E2" w14:textId="77777777">
      <w:pPr>
        <w:autoSpaceDE w:val="0"/>
        <w:autoSpaceDN w:val="0"/>
        <w:adjustRightInd w:val="0"/>
        <w:ind w:left="450"/>
        <w:rPr>
          <w:rFonts w:eastAsia="Calibri"/>
          <w:i/>
        </w:rPr>
      </w:pPr>
    </w:p>
    <w:p w:rsidRPr="0052172E" w:rsidR="0052172E" w:rsidP="0052172E" w:rsidRDefault="0052172E" w14:paraId="75C16E1E" w14:textId="77777777">
      <w:pPr>
        <w:autoSpaceDE w:val="0"/>
        <w:autoSpaceDN w:val="0"/>
        <w:adjustRightInd w:val="0"/>
        <w:ind w:left="450"/>
        <w:rPr>
          <w:rFonts w:eastAsia="Calibri"/>
          <w:i/>
        </w:rPr>
      </w:pPr>
      <w:r w:rsidRPr="0052172E">
        <w:rPr>
          <w:rFonts w:eastAsia="Calibri"/>
          <w:i/>
        </w:rPr>
        <w:t>(d) Information or data for which confidential treatment has been requested or information or data that qualifies for exemption under section 552(b</w:t>
      </w:r>
      <w:proofErr w:type="gramStart"/>
      <w:r w:rsidRPr="0052172E">
        <w:rPr>
          <w:rFonts w:eastAsia="Calibri"/>
          <w:i/>
        </w:rPr>
        <w:t>)(</w:t>
      </w:r>
      <w:proofErr w:type="gramEnd"/>
      <w:r w:rsidRPr="0052172E">
        <w:rPr>
          <w:rFonts w:eastAsia="Calibri"/>
          <w:i/>
        </w:rPr>
        <w:t>4) of Title 5, United States Code, will not be disclosed to the public unless the Associate Administrator determines that the withholding of the information or data is contrary to the public or national interest.</w:t>
      </w:r>
    </w:p>
    <w:p w:rsidR="007542FE" w:rsidP="00FA3404" w:rsidRDefault="007542FE" w14:paraId="18AA5DA7" w14:textId="77777777">
      <w:pPr>
        <w:pStyle w:val="Heading3"/>
      </w:pPr>
      <w:r>
        <w:t>11.</w:t>
      </w:r>
      <w:r>
        <w:tab/>
        <w:t>Provide additional justification for any questions of a sensitive nature.</w:t>
      </w:r>
    </w:p>
    <w:p w:rsidR="007542FE" w:rsidP="00D51D6C" w:rsidRDefault="007542FE" w14:paraId="5AD780BF" w14:textId="77777777">
      <w:pPr>
        <w:pStyle w:val="BodyText"/>
      </w:pPr>
      <w:r>
        <w:t>No sensitive information is required.</w:t>
      </w:r>
    </w:p>
    <w:p w:rsidR="007542FE" w:rsidP="00FA3404" w:rsidRDefault="007542FE" w14:paraId="1872F841" w14:textId="77777777">
      <w:pPr>
        <w:pStyle w:val="Heading3"/>
      </w:pPr>
      <w:r>
        <w:t>12.</w:t>
      </w:r>
      <w:r>
        <w:tab/>
        <w:t>Provide estimates of the hour burden of the collection of information.</w:t>
      </w:r>
    </w:p>
    <w:p w:rsidR="007542FE" w:rsidP="00D51D6C" w:rsidRDefault="007542FE" w14:paraId="0DAA996D" w14:textId="77777777">
      <w:pPr>
        <w:pStyle w:val="BodyText"/>
      </w:pPr>
      <w:r>
        <w:t xml:space="preserve">The burden to industry for collecting information to comply with </w:t>
      </w:r>
      <w:r w:rsidR="00916742">
        <w:t xml:space="preserve">14 CFR </w:t>
      </w:r>
      <w:r>
        <w:t xml:space="preserve">parts 413, 415, and 417 for either a Launch Operator or Launch Specific License involves several principal activities.  These activities include pre-application consultation with </w:t>
      </w:r>
      <w:r w:rsidR="001E70F1">
        <w:t>A</w:t>
      </w:r>
      <w:r>
        <w:t>ST, preparation of the license application, and resolution of questions associated with the application.  The application process is generally the same for either Launch Operator or Launch Specific License</w:t>
      </w:r>
      <w:r w:rsidR="00916742">
        <w:t>s</w:t>
      </w:r>
      <w:r>
        <w:t xml:space="preserve">, as AST determines which license type is issued based on the information submitted with the application.  The FAA estimates that the hour burden to industry for the collection of information necessary to comply with </w:t>
      </w:r>
      <w:r w:rsidR="00916742">
        <w:t xml:space="preserve">14 CFR parts 413, 415, and 417 </w:t>
      </w:r>
      <w:r>
        <w:t>in order to complete and submit a license application can be as many as 2,808 hours.</w:t>
      </w:r>
      <w:r>
        <w:rPr>
          <w:rStyle w:val="FootnoteReference"/>
        </w:rPr>
        <w:footnoteReference w:id="1"/>
      </w:r>
      <w:r>
        <w:t xml:space="preserve">  Further, the FAA estimates that the hour burden to industry for the collection of information necessary to support a </w:t>
      </w:r>
      <w:r w:rsidR="00867B0B">
        <w:t xml:space="preserve">license modification is roughly 1,404 hours and a </w:t>
      </w:r>
      <w:r>
        <w:t>license renewal application can be as many as 281 hours.</w:t>
      </w:r>
      <w:r>
        <w:rPr>
          <w:rStyle w:val="FootnoteReference"/>
        </w:rPr>
        <w:footnoteReference w:id="2"/>
      </w:r>
      <w:r>
        <w:t xml:space="preserve">  </w:t>
      </w:r>
    </w:p>
    <w:p w:rsidR="007542FE" w:rsidP="00D51D6C" w:rsidRDefault="007542FE" w14:paraId="64CCACD5" w14:textId="53B4EBA8">
      <w:pPr>
        <w:pStyle w:val="BodyText"/>
      </w:pPr>
      <w:r>
        <w:t>Industry b</w:t>
      </w:r>
      <w:r w:rsidR="00DF1903">
        <w:t>ase salary is estimated to be $</w:t>
      </w:r>
      <w:r w:rsidR="00015405">
        <w:t>121</w:t>
      </w:r>
      <w:r w:rsidR="00406613">
        <w:t>,</w:t>
      </w:r>
      <w:r w:rsidR="00015405">
        <w:t>118</w:t>
      </w:r>
      <w:r>
        <w:rPr>
          <w:rStyle w:val="FootnoteReference"/>
        </w:rPr>
        <w:footnoteReference w:id="3"/>
      </w:r>
      <w:r w:rsidR="00867B0B">
        <w:t>.</w:t>
      </w:r>
      <w:r>
        <w:t xml:space="preserve"> </w:t>
      </w:r>
      <w:r w:rsidR="00867B0B">
        <w:t xml:space="preserve">Base salary is </w:t>
      </w:r>
      <w:r>
        <w:t>load</w:t>
      </w:r>
      <w:r w:rsidR="00867B0B">
        <w:t>ed</w:t>
      </w:r>
      <w:r>
        <w:t xml:space="preserve"> </w:t>
      </w:r>
      <w:r w:rsidR="00867B0B">
        <w:t>the commercial fringe rate based on</w:t>
      </w:r>
      <w:r>
        <w:t xml:space="preserve"> information available from the Aerospace Industry Association database.  As summarized in Table 1, this results in an estimated industry loaded salary of $</w:t>
      </w:r>
      <w:r w:rsidR="00015405">
        <w:t>157</w:t>
      </w:r>
      <w:r w:rsidR="00406613">
        <w:t>,</w:t>
      </w:r>
      <w:r w:rsidR="00015405">
        <w:t>817</w:t>
      </w:r>
      <w:r>
        <w:t>; accord</w:t>
      </w:r>
      <w:r w:rsidR="00DF1903">
        <w:t>ingly, hourly labor costs are $</w:t>
      </w:r>
      <w:r w:rsidR="00015405">
        <w:t>75</w:t>
      </w:r>
      <w:r w:rsidR="00406613">
        <w:t>.</w:t>
      </w:r>
      <w:r w:rsidR="00015405">
        <w:t xml:space="preserve">87 </w:t>
      </w:r>
      <w:r>
        <w:t>(calculated as $</w:t>
      </w:r>
      <w:r w:rsidR="00015405">
        <w:t>157</w:t>
      </w:r>
      <w:r w:rsidR="00406613">
        <w:t>,</w:t>
      </w:r>
      <w:r w:rsidR="00015405">
        <w:t xml:space="preserve">817 </w:t>
      </w:r>
      <w:r>
        <w:rPr>
          <w:rFonts w:ascii="Tahoma" w:hAnsi="Tahoma" w:cs="Tahoma"/>
        </w:rPr>
        <w:t>÷</w:t>
      </w:r>
      <w:r w:rsidR="00DF1903">
        <w:t xml:space="preserve"> 2,080 = $</w:t>
      </w:r>
      <w:r w:rsidR="00406613">
        <w:t>7</w:t>
      </w:r>
      <w:r w:rsidR="00015405">
        <w:t>5</w:t>
      </w:r>
      <w:r w:rsidR="00406613">
        <w:t>.</w:t>
      </w:r>
      <w:r w:rsidR="00015405">
        <w:t>87</w:t>
      </w:r>
      <w:r>
        <w:t>).</w:t>
      </w:r>
    </w:p>
    <w:p w:rsidR="007542FE" w:rsidP="00FA3404" w:rsidRDefault="004F4562" w14:paraId="1B0F5719" w14:textId="77777777">
      <w:pPr>
        <w:pStyle w:val="Heading3"/>
      </w:pPr>
      <w:bookmarkStart w:name="_Toc38678150" w:id="1"/>
      <w:bookmarkStart w:name="_Toc71093546" w:id="2"/>
      <w:r>
        <w:lastRenderedPageBreak/>
        <w:t xml:space="preserve">TABLE 1. </w:t>
      </w:r>
      <w:r w:rsidR="007542FE">
        <w:t>Private Sector Fringe Benefit Factors</w:t>
      </w:r>
      <w:bookmarkEnd w:id="1"/>
      <w:bookmarkEnd w:id="2"/>
      <w:r w:rsidR="007542FE">
        <w:t xml:space="preserve"> and Loaded Salary</w:t>
      </w:r>
    </w:p>
    <w:tbl>
      <w:tblPr>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000" w:firstRow="0" w:lastRow="0" w:firstColumn="0" w:lastColumn="0" w:noHBand="0" w:noVBand="0"/>
      </w:tblPr>
      <w:tblGrid>
        <w:gridCol w:w="5040"/>
        <w:gridCol w:w="2880"/>
      </w:tblGrid>
      <w:tr w:rsidR="007542FE" w14:paraId="6CA0BCE6" w14:textId="77777777">
        <w:trPr>
          <w:cantSplit/>
          <w:trHeight w:val="144"/>
          <w:jc w:val="center"/>
        </w:trPr>
        <w:tc>
          <w:tcPr>
            <w:tcW w:w="5040" w:type="dxa"/>
            <w:shd w:val="pct10" w:color="auto" w:fill="auto"/>
          </w:tcPr>
          <w:p w:rsidRPr="00065D43" w:rsidR="007542FE" w:rsidP="00065D43" w:rsidRDefault="007542FE" w14:paraId="368D2D41" w14:textId="77777777">
            <w:pPr>
              <w:pStyle w:val="Heading6"/>
            </w:pPr>
            <w:r w:rsidRPr="00065D43">
              <w:t>Category</w:t>
            </w:r>
          </w:p>
        </w:tc>
        <w:tc>
          <w:tcPr>
            <w:tcW w:w="2880" w:type="dxa"/>
            <w:shd w:val="pct10" w:color="auto" w:fill="auto"/>
          </w:tcPr>
          <w:p w:rsidRPr="00065D43" w:rsidR="007542FE" w:rsidP="00065D43" w:rsidRDefault="007542FE" w14:paraId="610DE1EA" w14:textId="77777777">
            <w:pPr>
              <w:pStyle w:val="Heading6"/>
            </w:pPr>
            <w:r w:rsidRPr="00065D43">
              <w:t>Government Factor</w:t>
            </w:r>
          </w:p>
        </w:tc>
      </w:tr>
      <w:tr w:rsidR="007542FE" w14:paraId="1B13F3C4" w14:textId="77777777">
        <w:trPr>
          <w:cantSplit/>
          <w:jc w:val="center"/>
        </w:trPr>
        <w:tc>
          <w:tcPr>
            <w:tcW w:w="5040" w:type="dxa"/>
          </w:tcPr>
          <w:p w:rsidR="007542FE" w:rsidP="006061D7" w:rsidRDefault="007542FE" w14:paraId="6D7BBD29" w14:textId="77777777">
            <w:pPr>
              <w:pStyle w:val="CellBodyLeft"/>
            </w:pPr>
            <w:r>
              <w:t>Total Fringe Benefit</w:t>
            </w:r>
          </w:p>
        </w:tc>
        <w:tc>
          <w:tcPr>
            <w:tcW w:w="2880" w:type="dxa"/>
            <w:vAlign w:val="bottom"/>
          </w:tcPr>
          <w:p w:rsidR="007542FE" w:rsidP="00406613" w:rsidRDefault="00406613" w14:paraId="3F14C69B" w14:textId="77777777">
            <w:pPr>
              <w:pStyle w:val="CellBodyCenter"/>
            </w:pPr>
            <w:r>
              <w:t>30</w:t>
            </w:r>
            <w:r w:rsidR="00867B0B">
              <w:t>.0</w:t>
            </w:r>
            <w:r>
              <w:t>3</w:t>
            </w:r>
            <w:r w:rsidR="007542FE">
              <w:t>%</w:t>
            </w:r>
          </w:p>
        </w:tc>
      </w:tr>
      <w:tr w:rsidR="007542FE" w14:paraId="1354CF6A" w14:textId="77777777">
        <w:trPr>
          <w:cantSplit/>
          <w:jc w:val="center"/>
        </w:trPr>
        <w:tc>
          <w:tcPr>
            <w:tcW w:w="5040" w:type="dxa"/>
          </w:tcPr>
          <w:p w:rsidR="007542FE" w:rsidP="006061D7" w:rsidRDefault="007542FE" w14:paraId="677B564E" w14:textId="77777777">
            <w:pPr>
              <w:pStyle w:val="CellBodyLeft"/>
            </w:pPr>
            <w:r>
              <w:t xml:space="preserve">Industry Loaded </w:t>
            </w:r>
            <w:proofErr w:type="spellStart"/>
            <w:r>
              <w:t>Salary</w:t>
            </w:r>
            <w:r>
              <w:rPr>
                <w:vertAlign w:val="superscript"/>
              </w:rPr>
              <w:t>a</w:t>
            </w:r>
            <w:proofErr w:type="spellEnd"/>
          </w:p>
        </w:tc>
        <w:tc>
          <w:tcPr>
            <w:tcW w:w="2880" w:type="dxa"/>
          </w:tcPr>
          <w:p w:rsidR="007542FE" w:rsidP="00015405" w:rsidRDefault="007542FE" w14:paraId="01AADFB5" w14:textId="0E1F0B5D">
            <w:pPr>
              <w:pStyle w:val="CellBodyCenter"/>
            </w:pPr>
            <w:r>
              <w:t>$</w:t>
            </w:r>
            <w:r w:rsidR="00015405">
              <w:t>157</w:t>
            </w:r>
            <w:r w:rsidR="00C562D4">
              <w:t>,</w:t>
            </w:r>
            <w:r w:rsidR="00015405">
              <w:t>817</w:t>
            </w:r>
          </w:p>
        </w:tc>
      </w:tr>
    </w:tbl>
    <w:p w:rsidR="007542FE" w:rsidP="005A76DB" w:rsidRDefault="007542FE" w14:paraId="6F97C326" w14:textId="22859A67">
      <w:pPr>
        <w:pStyle w:val="TableNotes"/>
      </w:pPr>
      <w:r>
        <w:t xml:space="preserve">Source:  </w:t>
      </w:r>
      <w:r w:rsidRPr="001A00A3" w:rsidR="009E3207">
        <w:rPr>
          <w:rFonts w:ascii="Arial" w:hAnsi="Arial"/>
          <w:bCs/>
          <w:color w:val="555555"/>
        </w:rPr>
        <w:t>Bureau of Labor statistics hourly rate of $</w:t>
      </w:r>
      <w:r w:rsidR="009E3207">
        <w:rPr>
          <w:rFonts w:ascii="Arial" w:hAnsi="Arial"/>
          <w:bCs/>
          <w:color w:val="555555"/>
        </w:rPr>
        <w:t>58.23</w:t>
      </w:r>
      <w:r w:rsidRPr="001A00A3" w:rsidR="009E3207">
        <w:rPr>
          <w:rFonts w:ascii="Arial" w:hAnsi="Arial"/>
          <w:bCs/>
          <w:color w:val="555555"/>
        </w:rPr>
        <w:t xml:space="preserve"> for an Aerospace Engineer in the Occupational Employment and Wages, May 20</w:t>
      </w:r>
      <w:r w:rsidR="009E3207">
        <w:rPr>
          <w:rFonts w:ascii="Arial" w:hAnsi="Arial"/>
          <w:bCs/>
          <w:color w:val="555555"/>
        </w:rPr>
        <w:t>20</w:t>
      </w:r>
      <w:r w:rsidRPr="001A00A3" w:rsidR="009E3207">
        <w:rPr>
          <w:rFonts w:ascii="Arial" w:hAnsi="Arial"/>
          <w:bCs/>
          <w:color w:val="555555"/>
        </w:rPr>
        <w:t xml:space="preserve"> (https://www.bls.gov/oes/current/oes172011.htm) and an hourly benefit rate for a professional and related percentage of total compensation </w:t>
      </w:r>
      <w:r w:rsidR="009E3207">
        <w:rPr>
          <w:rFonts w:ascii="Arial" w:hAnsi="Arial"/>
          <w:bCs/>
          <w:color w:val="555555"/>
        </w:rPr>
        <w:t>of 30.3</w:t>
      </w:r>
      <w:r w:rsidRPr="001A00A3" w:rsidR="009E3207">
        <w:rPr>
          <w:rFonts w:ascii="Arial" w:hAnsi="Arial"/>
          <w:bCs/>
          <w:color w:val="555555"/>
        </w:rPr>
        <w:t>% in table 4 of the Employer Costs for Employee compensation for private industry workers by occupation and industry (https://www.bls</w:t>
      </w:r>
      <w:r w:rsidR="009E3207">
        <w:rPr>
          <w:rFonts w:ascii="Arial" w:hAnsi="Arial"/>
          <w:bCs/>
          <w:color w:val="555555"/>
        </w:rPr>
        <w:t>.gov/news.release/pdf/ecec.pdf)</w:t>
      </w:r>
      <w:r>
        <w:rPr>
          <w:vertAlign w:val="superscript"/>
        </w:rPr>
        <w:t>a</w:t>
      </w:r>
      <w:r w:rsidR="00DF1903">
        <w:t xml:space="preserve"> Calculated as $</w:t>
      </w:r>
      <w:r w:rsidR="000370B7">
        <w:t>121</w:t>
      </w:r>
      <w:r w:rsidR="00406613">
        <w:t>,</w:t>
      </w:r>
      <w:r w:rsidDel="000370B7" w:rsidR="000370B7">
        <w:t xml:space="preserve"> </w:t>
      </w:r>
      <w:r w:rsidR="000370B7">
        <w:t>118</w:t>
      </w:r>
      <w:r w:rsidR="00406613">
        <w:t xml:space="preserve"> </w:t>
      </w:r>
      <w:r>
        <w:t>× 1.</w:t>
      </w:r>
      <w:r w:rsidR="00406613">
        <w:t>303</w:t>
      </w:r>
      <w:r>
        <w:t xml:space="preserve"> = $</w:t>
      </w:r>
      <w:r w:rsidR="000370B7">
        <w:t>157</w:t>
      </w:r>
      <w:r w:rsidR="00406613">
        <w:t>,</w:t>
      </w:r>
      <w:r w:rsidR="000370B7">
        <w:t>817</w:t>
      </w:r>
      <w:r>
        <w:t>.</w:t>
      </w:r>
    </w:p>
    <w:p w:rsidR="007542FE" w:rsidP="00D51D6C" w:rsidRDefault="007542FE" w14:paraId="2C267899" w14:textId="04181FE5">
      <w:pPr>
        <w:pStyle w:val="BodyText"/>
      </w:pPr>
      <w:r>
        <w:t>Multiplying the industry collection of information hourly burden by the industry hourly labor cost yields $</w:t>
      </w:r>
      <w:r w:rsidR="000370B7">
        <w:t>213</w:t>
      </w:r>
      <w:r w:rsidR="00C562D4">
        <w:t>,</w:t>
      </w:r>
      <w:r w:rsidR="000370B7">
        <w:t xml:space="preserve">043 </w:t>
      </w:r>
      <w:r>
        <w:t>(calculated as 2,808 × $</w:t>
      </w:r>
      <w:r w:rsidR="000370B7">
        <w:t>75</w:t>
      </w:r>
      <w:r w:rsidR="00C562D4">
        <w:t>.</w:t>
      </w:r>
      <w:r w:rsidR="000370B7">
        <w:t xml:space="preserve">87 </w:t>
      </w:r>
      <w:r>
        <w:t>= $</w:t>
      </w:r>
      <w:r w:rsidR="00C652E1">
        <w:t>2</w:t>
      </w:r>
      <w:r w:rsidR="00FB5393">
        <w:t>1</w:t>
      </w:r>
      <w:r w:rsidR="000370B7">
        <w:t>3</w:t>
      </w:r>
      <w:r w:rsidR="00C652E1">
        <w:t>,</w:t>
      </w:r>
      <w:r w:rsidR="000370B7">
        <w:t>043</w:t>
      </w:r>
      <w:r>
        <w:t xml:space="preserve">) per initial application, </w:t>
      </w:r>
      <w:r w:rsidR="00C562D4">
        <w:t>$</w:t>
      </w:r>
      <w:r w:rsidR="000370B7">
        <w:t>106</w:t>
      </w:r>
      <w:r w:rsidR="005F535F">
        <w:t>,</w:t>
      </w:r>
      <w:r w:rsidR="000370B7">
        <w:t xml:space="preserve">521 </w:t>
      </w:r>
      <w:r w:rsidR="00C562D4">
        <w:t xml:space="preserve">for a major license modification application (calculated as 50% of the initial application cost) </w:t>
      </w:r>
      <w:r>
        <w:t>and $</w:t>
      </w:r>
      <w:r w:rsidR="00C652E1">
        <w:t>2</w:t>
      </w:r>
      <w:r w:rsidR="00FB5393">
        <w:t>1,</w:t>
      </w:r>
      <w:r w:rsidR="000370B7">
        <w:t>304</w:t>
      </w:r>
      <w:r w:rsidR="00FB5393">
        <w:t xml:space="preserve"> </w:t>
      </w:r>
      <w:r w:rsidR="00C562D4">
        <w:t xml:space="preserve">for a license renewal application </w:t>
      </w:r>
      <w:r>
        <w:t xml:space="preserve">(calculated as </w:t>
      </w:r>
      <w:r w:rsidR="00C878D4">
        <w:t>10% of the initial application cost</w:t>
      </w:r>
      <w:r>
        <w:t xml:space="preserve">).  Multiplying the application cost by the estimated annual number of applications yields the annual information collection cost burden to industry associated with the </w:t>
      </w:r>
      <w:r w:rsidR="009C20A6">
        <w:t>regulations</w:t>
      </w:r>
      <w:r>
        <w:t xml:space="preserve"> — $</w:t>
      </w:r>
      <w:r w:rsidR="00C652E1">
        <w:t>0</w:t>
      </w:r>
      <w:r>
        <w:t xml:space="preserve"> for initial license applications</w:t>
      </w:r>
      <w:r w:rsidR="00586ADC">
        <w:t xml:space="preserve"> (cost is $0 because no new licenses will be issued under part 417, all new licenses will be issued under part 450)</w:t>
      </w:r>
      <w:r w:rsidR="00C562D4">
        <w:t>, $</w:t>
      </w:r>
      <w:r w:rsidR="000370B7">
        <w:t>639</w:t>
      </w:r>
      <w:r w:rsidR="00C562D4">
        <w:t>,</w:t>
      </w:r>
      <w:r w:rsidR="000370B7">
        <w:t xml:space="preserve">126 </w:t>
      </w:r>
      <w:r w:rsidR="00C562D4">
        <w:t>for major license modifications,</w:t>
      </w:r>
      <w:r>
        <w:t xml:space="preserve"> and $</w:t>
      </w:r>
      <w:r w:rsidR="000370B7">
        <w:t>127</w:t>
      </w:r>
      <w:r w:rsidR="00C562D4">
        <w:t>,</w:t>
      </w:r>
      <w:r w:rsidR="000370B7">
        <w:t xml:space="preserve">824 </w:t>
      </w:r>
      <w:r>
        <w:t>for renewal applications.  This is summarized in Table 2.</w:t>
      </w:r>
    </w:p>
    <w:p w:rsidR="007542FE" w:rsidP="00FA3404" w:rsidRDefault="007542FE" w14:paraId="5AED5FB8" w14:textId="77777777">
      <w:pPr>
        <w:pStyle w:val="Heading3"/>
      </w:pPr>
      <w:r>
        <w:t xml:space="preserve">TABLE 2.  Collection of Information </w:t>
      </w:r>
      <w:r w:rsidRPr="008C0399">
        <w:t>Burden to Industry</w:t>
      </w:r>
    </w:p>
    <w:p w:rsidR="00867B0B" w:rsidP="005A76DB" w:rsidRDefault="00867B0B" w14:paraId="5F7E0363" w14:textId="77777777">
      <w:pPr>
        <w:pStyle w:val="TableNotes"/>
        <w:rPr>
          <w:vertAlign w:val="superscript"/>
        </w:rPr>
      </w:pPr>
    </w:p>
    <w:tbl>
      <w:tblPr>
        <w:tblW w:w="107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0A0" w:firstRow="1" w:lastRow="0" w:firstColumn="1" w:lastColumn="0" w:noHBand="0" w:noVBand="0"/>
      </w:tblPr>
      <w:tblGrid>
        <w:gridCol w:w="4320"/>
        <w:gridCol w:w="1615"/>
        <w:gridCol w:w="1710"/>
        <w:gridCol w:w="1672"/>
        <w:gridCol w:w="1478"/>
      </w:tblGrid>
      <w:tr w:rsidR="00C617B9" w:rsidTr="00C617B9" w14:paraId="4631B600" w14:textId="77777777">
        <w:trPr>
          <w:cantSplit/>
          <w:trHeight w:val="144"/>
          <w:tblHeader/>
          <w:jc w:val="center"/>
        </w:trPr>
        <w:tc>
          <w:tcPr>
            <w:tcW w:w="4320" w:type="dxa"/>
            <w:vMerge w:val="restart"/>
            <w:tcBorders>
              <w:top w:val="single" w:color="auto" w:sz="4" w:space="0"/>
              <w:left w:val="single" w:color="auto" w:sz="4" w:space="0"/>
              <w:right w:val="single" w:color="auto" w:sz="4" w:space="0"/>
            </w:tcBorders>
            <w:shd w:val="clear" w:color="auto" w:fill="E6E6E6"/>
            <w:vAlign w:val="center"/>
          </w:tcPr>
          <w:p w:rsidR="00C617B9" w:rsidP="00867B0B" w:rsidRDefault="00C617B9" w14:paraId="0054DC3D" w14:textId="77777777">
            <w:pPr>
              <w:pStyle w:val="Heading6"/>
            </w:pPr>
            <w:r>
              <w:t>Category</w:t>
            </w:r>
          </w:p>
        </w:tc>
        <w:tc>
          <w:tcPr>
            <w:tcW w:w="4997" w:type="dxa"/>
            <w:gridSpan w:val="3"/>
            <w:tcBorders>
              <w:top w:val="single" w:color="auto" w:sz="4" w:space="0"/>
              <w:left w:val="single" w:color="auto" w:sz="4" w:space="0"/>
            </w:tcBorders>
            <w:shd w:val="clear" w:color="auto" w:fill="E6E6E6"/>
          </w:tcPr>
          <w:p w:rsidR="00C617B9" w:rsidP="00867B0B" w:rsidRDefault="00C617B9" w14:paraId="5291B985" w14:textId="77777777">
            <w:pPr>
              <w:pStyle w:val="Heading6"/>
            </w:pPr>
            <w:r>
              <w:t>Hour Burden</w:t>
            </w:r>
          </w:p>
        </w:tc>
        <w:tc>
          <w:tcPr>
            <w:tcW w:w="1478" w:type="dxa"/>
            <w:tcBorders>
              <w:top w:val="single" w:color="auto" w:sz="4" w:space="0"/>
              <w:left w:val="single" w:color="auto" w:sz="4" w:space="0"/>
            </w:tcBorders>
            <w:shd w:val="clear" w:color="auto" w:fill="E6E6E6"/>
          </w:tcPr>
          <w:p w:rsidR="00C617B9" w:rsidP="00867B0B" w:rsidRDefault="00C617B9" w14:paraId="3B870759" w14:textId="77777777">
            <w:pPr>
              <w:pStyle w:val="Heading6"/>
            </w:pPr>
          </w:p>
        </w:tc>
      </w:tr>
      <w:tr w:rsidR="00C617B9" w:rsidTr="00C617B9" w14:paraId="7E4CBA3C" w14:textId="77777777">
        <w:trPr>
          <w:cantSplit/>
          <w:trHeight w:val="144"/>
          <w:tblHeader/>
          <w:jc w:val="center"/>
        </w:trPr>
        <w:tc>
          <w:tcPr>
            <w:tcW w:w="4320" w:type="dxa"/>
            <w:vMerge/>
            <w:tcBorders>
              <w:left w:val="single" w:color="auto" w:sz="4" w:space="0"/>
              <w:right w:val="single" w:color="auto" w:sz="4" w:space="0"/>
            </w:tcBorders>
          </w:tcPr>
          <w:p w:rsidR="00C617B9" w:rsidP="00867B0B" w:rsidRDefault="00C617B9" w14:paraId="7C200194" w14:textId="77777777">
            <w:pPr>
              <w:rPr>
                <w:rFonts w:ascii="Arial" w:hAnsi="Arial" w:cs="Arial"/>
              </w:rPr>
            </w:pPr>
          </w:p>
        </w:tc>
        <w:tc>
          <w:tcPr>
            <w:tcW w:w="1615" w:type="dxa"/>
            <w:tcBorders>
              <w:left w:val="single" w:color="auto" w:sz="4" w:space="0"/>
              <w:right w:val="single" w:color="auto" w:sz="4" w:space="0"/>
            </w:tcBorders>
            <w:shd w:val="clear" w:color="auto" w:fill="E6E6E6"/>
          </w:tcPr>
          <w:p w:rsidR="00C617B9" w:rsidP="00867B0B" w:rsidRDefault="00C617B9" w14:paraId="72E973F6" w14:textId="77777777">
            <w:pPr>
              <w:pStyle w:val="Heading6"/>
            </w:pPr>
            <w:r>
              <w:t>Initial</w:t>
            </w:r>
            <w:r>
              <w:br/>
              <w:t>Application</w:t>
            </w:r>
          </w:p>
        </w:tc>
        <w:tc>
          <w:tcPr>
            <w:tcW w:w="1710" w:type="dxa"/>
            <w:tcBorders>
              <w:left w:val="single" w:color="auto" w:sz="4" w:space="0"/>
            </w:tcBorders>
            <w:shd w:val="clear" w:color="auto" w:fill="E6E6E6"/>
          </w:tcPr>
          <w:p w:rsidR="00C617B9" w:rsidP="00867B0B" w:rsidRDefault="00C617B9" w14:paraId="0112A579" w14:textId="77777777">
            <w:pPr>
              <w:pStyle w:val="Heading6"/>
            </w:pPr>
            <w:r>
              <w:t xml:space="preserve">Modification </w:t>
            </w:r>
            <w:proofErr w:type="spellStart"/>
            <w:r>
              <w:t>Application</w:t>
            </w:r>
            <w:r>
              <w:rPr>
                <w:vertAlign w:val="superscript"/>
              </w:rPr>
              <w:t>a</w:t>
            </w:r>
            <w:proofErr w:type="spellEnd"/>
          </w:p>
        </w:tc>
        <w:tc>
          <w:tcPr>
            <w:tcW w:w="1672" w:type="dxa"/>
            <w:shd w:val="clear" w:color="auto" w:fill="E6E6E6"/>
          </w:tcPr>
          <w:p w:rsidR="00C617B9" w:rsidP="00867B0B" w:rsidRDefault="00C617B9" w14:paraId="4362C53C" w14:textId="77777777">
            <w:pPr>
              <w:pStyle w:val="Heading6"/>
            </w:pPr>
            <w:r>
              <w:t>Renewal</w:t>
            </w:r>
            <w:r>
              <w:br/>
            </w:r>
            <w:proofErr w:type="spellStart"/>
            <w:r>
              <w:t>Application</w:t>
            </w:r>
            <w:r>
              <w:rPr>
                <w:vertAlign w:val="superscript"/>
              </w:rPr>
              <w:t>b</w:t>
            </w:r>
            <w:proofErr w:type="spellEnd"/>
          </w:p>
        </w:tc>
        <w:tc>
          <w:tcPr>
            <w:tcW w:w="1478" w:type="dxa"/>
            <w:shd w:val="clear" w:color="auto" w:fill="E6E6E6"/>
          </w:tcPr>
          <w:p w:rsidR="00C617B9" w:rsidP="00867B0B" w:rsidRDefault="00C617B9" w14:paraId="3F356411" w14:textId="77777777">
            <w:pPr>
              <w:pStyle w:val="Heading6"/>
            </w:pPr>
            <w:r>
              <w:t>Total</w:t>
            </w:r>
          </w:p>
        </w:tc>
      </w:tr>
      <w:tr w:rsidR="00C617B9" w:rsidTr="00C617B9" w14:paraId="24678A78" w14:textId="77777777">
        <w:trPr>
          <w:cantSplit/>
          <w:jc w:val="center"/>
        </w:trPr>
        <w:tc>
          <w:tcPr>
            <w:tcW w:w="4320" w:type="dxa"/>
          </w:tcPr>
          <w:p w:rsidR="00C617B9" w:rsidP="00867B0B" w:rsidRDefault="00C617B9" w14:paraId="60919CBC" w14:textId="77777777">
            <w:pPr>
              <w:pStyle w:val="CellBodyLeft"/>
            </w:pPr>
            <w:r>
              <w:t>Hours required to submit each application</w:t>
            </w:r>
          </w:p>
        </w:tc>
        <w:tc>
          <w:tcPr>
            <w:tcW w:w="1615" w:type="dxa"/>
          </w:tcPr>
          <w:p w:rsidR="00C617B9" w:rsidP="00867B0B" w:rsidRDefault="00C617B9" w14:paraId="4D36CBC3" w14:textId="77777777">
            <w:pPr>
              <w:pStyle w:val="CellBodyCenter"/>
            </w:pPr>
            <w:r>
              <w:t>2,808</w:t>
            </w:r>
          </w:p>
        </w:tc>
        <w:tc>
          <w:tcPr>
            <w:tcW w:w="1710" w:type="dxa"/>
          </w:tcPr>
          <w:p w:rsidRPr="006061D7" w:rsidR="00C617B9" w:rsidP="00867B0B" w:rsidRDefault="00C617B9" w14:paraId="4A33CE28" w14:textId="77777777">
            <w:pPr>
              <w:pStyle w:val="CellBodyCenter"/>
            </w:pPr>
            <w:r>
              <w:t>1,404</w:t>
            </w:r>
          </w:p>
        </w:tc>
        <w:tc>
          <w:tcPr>
            <w:tcW w:w="1672" w:type="dxa"/>
          </w:tcPr>
          <w:p w:rsidR="00C617B9" w:rsidP="00867B0B" w:rsidRDefault="00C617B9" w14:paraId="4078B7F6" w14:textId="77777777">
            <w:pPr>
              <w:pStyle w:val="CellBodyCenter"/>
            </w:pPr>
            <w:r>
              <w:t>281</w:t>
            </w:r>
          </w:p>
        </w:tc>
        <w:tc>
          <w:tcPr>
            <w:tcW w:w="1478" w:type="dxa"/>
          </w:tcPr>
          <w:p w:rsidR="00C617B9" w:rsidP="00867B0B" w:rsidRDefault="00C617B9" w14:paraId="723633A1" w14:textId="77777777">
            <w:pPr>
              <w:pStyle w:val="CellBodyCenter"/>
            </w:pPr>
          </w:p>
        </w:tc>
      </w:tr>
      <w:tr w:rsidR="00C617B9" w:rsidTr="00C617B9" w14:paraId="63F67EF0" w14:textId="77777777">
        <w:trPr>
          <w:cantSplit/>
          <w:jc w:val="center"/>
        </w:trPr>
        <w:tc>
          <w:tcPr>
            <w:tcW w:w="4320" w:type="dxa"/>
          </w:tcPr>
          <w:p w:rsidR="00C617B9" w:rsidP="00867B0B" w:rsidRDefault="00C617B9" w14:paraId="3337F57C" w14:textId="77777777">
            <w:pPr>
              <w:pStyle w:val="CellBodyLeft"/>
            </w:pPr>
            <w:r>
              <w:t xml:space="preserve">Number of applications per </w:t>
            </w:r>
            <w:proofErr w:type="spellStart"/>
            <w:r>
              <w:t>respondent</w:t>
            </w:r>
            <w:r>
              <w:rPr>
                <w:vertAlign w:val="superscript"/>
              </w:rPr>
              <w:t>d</w:t>
            </w:r>
            <w:proofErr w:type="spellEnd"/>
          </w:p>
        </w:tc>
        <w:tc>
          <w:tcPr>
            <w:tcW w:w="1615" w:type="dxa"/>
          </w:tcPr>
          <w:p w:rsidR="00C617B9" w:rsidP="00867B0B" w:rsidRDefault="00D53066" w14:paraId="04D1725D" w14:textId="77777777">
            <w:pPr>
              <w:pStyle w:val="CellBodyCenter"/>
            </w:pPr>
            <w:r>
              <w:t>0</w:t>
            </w:r>
          </w:p>
        </w:tc>
        <w:tc>
          <w:tcPr>
            <w:tcW w:w="1710" w:type="dxa"/>
          </w:tcPr>
          <w:p w:rsidRPr="006061D7" w:rsidR="00C617B9" w:rsidP="00867B0B" w:rsidRDefault="00C617B9" w14:paraId="721D04DE" w14:textId="77777777">
            <w:pPr>
              <w:pStyle w:val="CellBodyCenter"/>
            </w:pPr>
            <w:r w:rsidRPr="006061D7">
              <w:t>1</w:t>
            </w:r>
          </w:p>
        </w:tc>
        <w:tc>
          <w:tcPr>
            <w:tcW w:w="1672" w:type="dxa"/>
          </w:tcPr>
          <w:p w:rsidR="00C617B9" w:rsidP="00867B0B" w:rsidRDefault="00C617B9" w14:paraId="5E50A37F" w14:textId="77777777">
            <w:pPr>
              <w:pStyle w:val="CellBodyCenter"/>
            </w:pPr>
            <w:r>
              <w:t>1</w:t>
            </w:r>
          </w:p>
        </w:tc>
        <w:tc>
          <w:tcPr>
            <w:tcW w:w="1478" w:type="dxa"/>
          </w:tcPr>
          <w:p w:rsidR="00C617B9" w:rsidP="00867B0B" w:rsidRDefault="00C617B9" w14:paraId="569D19E0" w14:textId="77777777">
            <w:pPr>
              <w:pStyle w:val="CellBodyCenter"/>
            </w:pPr>
          </w:p>
        </w:tc>
      </w:tr>
      <w:tr w:rsidR="00C617B9" w:rsidTr="00C617B9" w14:paraId="39B5776D" w14:textId="77777777">
        <w:trPr>
          <w:cantSplit/>
          <w:jc w:val="center"/>
        </w:trPr>
        <w:tc>
          <w:tcPr>
            <w:tcW w:w="4320" w:type="dxa"/>
          </w:tcPr>
          <w:p w:rsidR="00C617B9" w:rsidP="00867B0B" w:rsidRDefault="00C617B9" w14:paraId="0270B1DB" w14:textId="77777777">
            <w:pPr>
              <w:pStyle w:val="CellBodyLeft"/>
            </w:pPr>
            <w:r>
              <w:t xml:space="preserve">Annual number of </w:t>
            </w:r>
            <w:proofErr w:type="spellStart"/>
            <w:r>
              <w:t>applications</w:t>
            </w:r>
            <w:r>
              <w:rPr>
                <w:vertAlign w:val="superscript"/>
              </w:rPr>
              <w:t>c</w:t>
            </w:r>
            <w:proofErr w:type="spellEnd"/>
          </w:p>
        </w:tc>
        <w:tc>
          <w:tcPr>
            <w:tcW w:w="1615" w:type="dxa"/>
          </w:tcPr>
          <w:p w:rsidR="00C617B9" w:rsidP="00867B0B" w:rsidRDefault="00D53066" w14:paraId="3863CAEB" w14:textId="77777777">
            <w:pPr>
              <w:pStyle w:val="CellBodyCenter"/>
            </w:pPr>
            <w:r>
              <w:t>0</w:t>
            </w:r>
          </w:p>
        </w:tc>
        <w:tc>
          <w:tcPr>
            <w:tcW w:w="1710" w:type="dxa"/>
          </w:tcPr>
          <w:p w:rsidRPr="006061D7" w:rsidR="00C617B9" w:rsidP="00867B0B" w:rsidRDefault="00D53066" w14:paraId="676C613A" w14:textId="77777777">
            <w:pPr>
              <w:pStyle w:val="CellBodyCenter"/>
            </w:pPr>
            <w:r>
              <w:t>6</w:t>
            </w:r>
          </w:p>
        </w:tc>
        <w:tc>
          <w:tcPr>
            <w:tcW w:w="1672" w:type="dxa"/>
          </w:tcPr>
          <w:p w:rsidR="00C617B9" w:rsidP="00867B0B" w:rsidRDefault="00D53066" w14:paraId="43DAE655" w14:textId="77777777">
            <w:pPr>
              <w:pStyle w:val="CellBodyCenter"/>
            </w:pPr>
            <w:r>
              <w:t>6</w:t>
            </w:r>
          </w:p>
        </w:tc>
        <w:tc>
          <w:tcPr>
            <w:tcW w:w="1478" w:type="dxa"/>
          </w:tcPr>
          <w:p w:rsidR="00C617B9" w:rsidP="00D53066" w:rsidRDefault="00C617B9" w14:paraId="3FC312CF" w14:textId="77777777">
            <w:pPr>
              <w:pStyle w:val="CellBodyCenter"/>
            </w:pPr>
            <w:r>
              <w:t>1</w:t>
            </w:r>
            <w:r w:rsidR="00D53066">
              <w:t>2</w:t>
            </w:r>
          </w:p>
        </w:tc>
      </w:tr>
      <w:tr w:rsidRPr="008C0399" w:rsidR="00C617B9" w:rsidTr="00C617B9" w14:paraId="4C158450" w14:textId="77777777">
        <w:trPr>
          <w:cantSplit/>
          <w:jc w:val="center"/>
        </w:trPr>
        <w:tc>
          <w:tcPr>
            <w:tcW w:w="4320" w:type="dxa"/>
            <w:tcBorders>
              <w:bottom w:val="single" w:color="auto" w:sz="4" w:space="0"/>
            </w:tcBorders>
          </w:tcPr>
          <w:p w:rsidRPr="008C0399" w:rsidR="00C617B9" w:rsidP="00C562D4" w:rsidRDefault="00C617B9" w14:paraId="01B35D7A" w14:textId="77777777">
            <w:pPr>
              <w:pStyle w:val="CellBodyLeft"/>
            </w:pPr>
            <w:r>
              <w:t>Total Hours</w:t>
            </w:r>
          </w:p>
        </w:tc>
        <w:tc>
          <w:tcPr>
            <w:tcW w:w="1615" w:type="dxa"/>
            <w:tcBorders>
              <w:bottom w:val="single" w:color="auto" w:sz="4" w:space="0"/>
            </w:tcBorders>
            <w:shd w:val="clear" w:color="auto" w:fill="auto"/>
            <w:vAlign w:val="center"/>
          </w:tcPr>
          <w:p w:rsidRPr="008C0399" w:rsidR="00C617B9" w:rsidP="00C562D4" w:rsidRDefault="00D53066" w14:paraId="5915D2BB" w14:textId="77777777">
            <w:pPr>
              <w:pStyle w:val="CellBodyCenter"/>
              <w:rPr>
                <w:szCs w:val="22"/>
              </w:rPr>
            </w:pPr>
            <w:r>
              <w:rPr>
                <w:color w:val="000000"/>
              </w:rPr>
              <w:t>0</w:t>
            </w:r>
          </w:p>
        </w:tc>
        <w:tc>
          <w:tcPr>
            <w:tcW w:w="1710" w:type="dxa"/>
            <w:tcBorders>
              <w:bottom w:val="single" w:color="auto" w:sz="4" w:space="0"/>
            </w:tcBorders>
            <w:shd w:val="clear" w:color="auto" w:fill="auto"/>
            <w:vAlign w:val="center"/>
          </w:tcPr>
          <w:p w:rsidRPr="008C0399" w:rsidR="00C617B9" w:rsidP="00C562D4" w:rsidRDefault="00D53066" w14:paraId="35423FBB" w14:textId="77777777">
            <w:pPr>
              <w:pStyle w:val="CellBodyCenter"/>
              <w:rPr>
                <w:szCs w:val="22"/>
              </w:rPr>
            </w:pPr>
            <w:r>
              <w:rPr>
                <w:szCs w:val="22"/>
              </w:rPr>
              <w:t>8,424</w:t>
            </w:r>
          </w:p>
        </w:tc>
        <w:tc>
          <w:tcPr>
            <w:tcW w:w="1672" w:type="dxa"/>
            <w:tcBorders>
              <w:bottom w:val="single" w:color="auto" w:sz="4" w:space="0"/>
            </w:tcBorders>
            <w:shd w:val="clear" w:color="auto" w:fill="auto"/>
            <w:vAlign w:val="center"/>
          </w:tcPr>
          <w:p w:rsidRPr="008C0399" w:rsidR="00C617B9" w:rsidP="00C562D4" w:rsidRDefault="00D53066" w14:paraId="4993B3B6" w14:textId="77777777">
            <w:pPr>
              <w:pStyle w:val="CellBodyCenter"/>
              <w:rPr>
                <w:szCs w:val="22"/>
              </w:rPr>
            </w:pPr>
            <w:r>
              <w:rPr>
                <w:szCs w:val="22"/>
              </w:rPr>
              <w:t>1,686</w:t>
            </w:r>
          </w:p>
        </w:tc>
        <w:tc>
          <w:tcPr>
            <w:tcW w:w="1478" w:type="dxa"/>
            <w:tcBorders>
              <w:bottom w:val="single" w:color="auto" w:sz="4" w:space="0"/>
            </w:tcBorders>
          </w:tcPr>
          <w:p w:rsidRPr="008C0399" w:rsidR="00C617B9" w:rsidP="00C562D4" w:rsidRDefault="00D53066" w14:paraId="42623199" w14:textId="77777777">
            <w:pPr>
              <w:pStyle w:val="CellBodyCenter"/>
              <w:rPr>
                <w:szCs w:val="22"/>
              </w:rPr>
            </w:pPr>
            <w:r>
              <w:rPr>
                <w:szCs w:val="22"/>
              </w:rPr>
              <w:t>10,110</w:t>
            </w:r>
          </w:p>
        </w:tc>
      </w:tr>
      <w:tr w:rsidRPr="008C0399" w:rsidR="00C617B9" w:rsidTr="00C617B9" w14:paraId="76CD85FD" w14:textId="77777777">
        <w:trPr>
          <w:cantSplit/>
          <w:jc w:val="center"/>
        </w:trPr>
        <w:tc>
          <w:tcPr>
            <w:tcW w:w="4320" w:type="dxa"/>
            <w:tcBorders>
              <w:bottom w:val="single" w:color="auto" w:sz="4" w:space="0"/>
            </w:tcBorders>
          </w:tcPr>
          <w:p w:rsidRPr="008C0399" w:rsidR="00C617B9" w:rsidP="00C562D4" w:rsidRDefault="00C617B9" w14:paraId="7081C0B5" w14:textId="77777777">
            <w:pPr>
              <w:pStyle w:val="CellBodyLeft"/>
            </w:pPr>
            <w:r w:rsidRPr="008C0399">
              <w:t>Cost per application</w:t>
            </w:r>
          </w:p>
        </w:tc>
        <w:tc>
          <w:tcPr>
            <w:tcW w:w="1615" w:type="dxa"/>
            <w:tcBorders>
              <w:bottom w:val="single" w:color="auto" w:sz="4" w:space="0"/>
            </w:tcBorders>
            <w:shd w:val="clear" w:color="auto" w:fill="auto"/>
            <w:vAlign w:val="center"/>
          </w:tcPr>
          <w:p w:rsidRPr="008C0399" w:rsidR="00C617B9" w:rsidP="00C562D4" w:rsidRDefault="00D53066" w14:paraId="3CCAE32E" w14:textId="77777777">
            <w:pPr>
              <w:pStyle w:val="CellBodyCenter"/>
            </w:pPr>
            <w:r>
              <w:rPr>
                <w:szCs w:val="22"/>
              </w:rPr>
              <w:t>$0</w:t>
            </w:r>
            <w:r w:rsidRPr="008C0399" w:rsidR="00C617B9">
              <w:rPr>
                <w:szCs w:val="22"/>
              </w:rPr>
              <w:t xml:space="preserve"> </w:t>
            </w:r>
          </w:p>
        </w:tc>
        <w:tc>
          <w:tcPr>
            <w:tcW w:w="1710" w:type="dxa"/>
            <w:tcBorders>
              <w:bottom w:val="single" w:color="auto" w:sz="4" w:space="0"/>
            </w:tcBorders>
            <w:shd w:val="clear" w:color="auto" w:fill="auto"/>
            <w:vAlign w:val="center"/>
          </w:tcPr>
          <w:p w:rsidRPr="008C0399" w:rsidR="00C617B9" w:rsidP="00A4224F" w:rsidRDefault="00C617B9" w14:paraId="4E7A2644" w14:textId="4FA64296">
            <w:pPr>
              <w:pStyle w:val="CellBodyCenter"/>
            </w:pPr>
            <w:r w:rsidRPr="008C0399">
              <w:rPr>
                <w:szCs w:val="22"/>
              </w:rPr>
              <w:t>$</w:t>
            </w:r>
            <w:r w:rsidR="00A4224F">
              <w:rPr>
                <w:szCs w:val="22"/>
              </w:rPr>
              <w:t>106</w:t>
            </w:r>
            <w:r w:rsidR="00B7312D">
              <w:rPr>
                <w:szCs w:val="22"/>
              </w:rPr>
              <w:t>,</w:t>
            </w:r>
            <w:r w:rsidR="00A4224F">
              <w:rPr>
                <w:szCs w:val="22"/>
              </w:rPr>
              <w:t>521</w:t>
            </w:r>
          </w:p>
        </w:tc>
        <w:tc>
          <w:tcPr>
            <w:tcW w:w="1672" w:type="dxa"/>
            <w:tcBorders>
              <w:bottom w:val="single" w:color="auto" w:sz="4" w:space="0"/>
            </w:tcBorders>
            <w:shd w:val="clear" w:color="auto" w:fill="auto"/>
            <w:vAlign w:val="center"/>
          </w:tcPr>
          <w:p w:rsidRPr="008C0399" w:rsidR="00C617B9" w:rsidP="00A4224F" w:rsidRDefault="00C617B9" w14:paraId="3F1ACE47" w14:textId="3AC20F07">
            <w:pPr>
              <w:pStyle w:val="CellBodyCenter"/>
            </w:pPr>
            <w:r w:rsidRPr="008C0399">
              <w:rPr>
                <w:szCs w:val="22"/>
              </w:rPr>
              <w:t>$</w:t>
            </w:r>
            <w:r w:rsidR="00B7312D">
              <w:rPr>
                <w:szCs w:val="22"/>
              </w:rPr>
              <w:t>21,</w:t>
            </w:r>
            <w:r w:rsidR="00A4224F">
              <w:rPr>
                <w:szCs w:val="22"/>
              </w:rPr>
              <w:t>304</w:t>
            </w:r>
            <w:r w:rsidRPr="008C0399" w:rsidR="00A4224F">
              <w:rPr>
                <w:szCs w:val="22"/>
              </w:rPr>
              <w:t xml:space="preserve"> </w:t>
            </w:r>
          </w:p>
        </w:tc>
        <w:tc>
          <w:tcPr>
            <w:tcW w:w="1478" w:type="dxa"/>
            <w:tcBorders>
              <w:bottom w:val="single" w:color="auto" w:sz="4" w:space="0"/>
            </w:tcBorders>
          </w:tcPr>
          <w:p w:rsidRPr="008C0399" w:rsidR="00C617B9" w:rsidP="00C562D4" w:rsidRDefault="00C617B9" w14:paraId="02684FE4" w14:textId="77777777">
            <w:pPr>
              <w:pStyle w:val="CellBodyCenter"/>
              <w:rPr>
                <w:szCs w:val="22"/>
              </w:rPr>
            </w:pPr>
          </w:p>
        </w:tc>
      </w:tr>
      <w:tr w:rsidR="00C617B9" w:rsidTr="00C617B9" w14:paraId="4B2087D2" w14:textId="77777777">
        <w:trPr>
          <w:cantSplit/>
          <w:jc w:val="center"/>
        </w:trPr>
        <w:tc>
          <w:tcPr>
            <w:tcW w:w="4320" w:type="dxa"/>
          </w:tcPr>
          <w:p w:rsidRPr="008C0399" w:rsidR="00C617B9" w:rsidP="00C562D4" w:rsidRDefault="00C617B9" w14:paraId="459A228A" w14:textId="77777777">
            <w:pPr>
              <w:pStyle w:val="CellBodyLeft"/>
            </w:pPr>
            <w:r w:rsidRPr="008C0399">
              <w:t xml:space="preserve">Annual </w:t>
            </w:r>
            <w:proofErr w:type="spellStart"/>
            <w:r w:rsidRPr="008C0399">
              <w:t>cost</w:t>
            </w:r>
            <w:r w:rsidRPr="008C0399">
              <w:rPr>
                <w:vertAlign w:val="superscript"/>
              </w:rPr>
              <w:t>d</w:t>
            </w:r>
            <w:proofErr w:type="spellEnd"/>
          </w:p>
        </w:tc>
        <w:tc>
          <w:tcPr>
            <w:tcW w:w="1615" w:type="dxa"/>
            <w:shd w:val="clear" w:color="auto" w:fill="auto"/>
            <w:vAlign w:val="center"/>
          </w:tcPr>
          <w:p w:rsidRPr="008C0399" w:rsidR="00C617B9" w:rsidP="00D53066" w:rsidRDefault="00C617B9" w14:paraId="452BDAA1" w14:textId="77777777">
            <w:pPr>
              <w:pStyle w:val="CellBodyCenter"/>
            </w:pPr>
            <w:r w:rsidRPr="008C0399">
              <w:rPr>
                <w:szCs w:val="22"/>
              </w:rPr>
              <w:t>$</w:t>
            </w:r>
            <w:r w:rsidR="00D53066">
              <w:rPr>
                <w:szCs w:val="22"/>
              </w:rPr>
              <w:t>0</w:t>
            </w:r>
            <w:r w:rsidRPr="008C0399">
              <w:rPr>
                <w:szCs w:val="22"/>
              </w:rPr>
              <w:t xml:space="preserve"> </w:t>
            </w:r>
          </w:p>
        </w:tc>
        <w:tc>
          <w:tcPr>
            <w:tcW w:w="1710" w:type="dxa"/>
            <w:shd w:val="clear" w:color="auto" w:fill="auto"/>
            <w:vAlign w:val="center"/>
          </w:tcPr>
          <w:p w:rsidRPr="008C0399" w:rsidR="00C617B9" w:rsidP="00A4224F" w:rsidRDefault="00C617B9" w14:paraId="3E6F2BCE" w14:textId="1446BA47">
            <w:pPr>
              <w:pStyle w:val="CellBodyCenter"/>
            </w:pPr>
            <w:r w:rsidRPr="008C0399">
              <w:rPr>
                <w:szCs w:val="22"/>
              </w:rPr>
              <w:t>$</w:t>
            </w:r>
            <w:r w:rsidR="00A4224F">
              <w:rPr>
                <w:szCs w:val="22"/>
              </w:rPr>
              <w:t>639</w:t>
            </w:r>
            <w:r w:rsidR="00B7312D">
              <w:rPr>
                <w:szCs w:val="22"/>
              </w:rPr>
              <w:t>,</w:t>
            </w:r>
            <w:r w:rsidR="00A4224F">
              <w:rPr>
                <w:szCs w:val="22"/>
              </w:rPr>
              <w:t>126</w:t>
            </w:r>
            <w:r w:rsidRPr="008C0399" w:rsidR="00A4224F">
              <w:rPr>
                <w:szCs w:val="22"/>
              </w:rPr>
              <w:t xml:space="preserve"> </w:t>
            </w:r>
          </w:p>
        </w:tc>
        <w:tc>
          <w:tcPr>
            <w:tcW w:w="1672" w:type="dxa"/>
            <w:shd w:val="clear" w:color="auto" w:fill="auto"/>
            <w:vAlign w:val="center"/>
          </w:tcPr>
          <w:p w:rsidRPr="00C562D4" w:rsidR="00C617B9" w:rsidP="00A4224F" w:rsidRDefault="00C617B9" w14:paraId="49F04518" w14:textId="53A61E9B">
            <w:pPr>
              <w:pStyle w:val="CellBodyCenter"/>
            </w:pPr>
            <w:r w:rsidRPr="008C0399">
              <w:rPr>
                <w:szCs w:val="22"/>
              </w:rPr>
              <w:t>$</w:t>
            </w:r>
            <w:r w:rsidR="00A4224F">
              <w:rPr>
                <w:szCs w:val="22"/>
              </w:rPr>
              <w:t>127</w:t>
            </w:r>
            <w:r w:rsidR="00B7312D">
              <w:rPr>
                <w:szCs w:val="22"/>
              </w:rPr>
              <w:t>,</w:t>
            </w:r>
            <w:r w:rsidR="00A4224F">
              <w:rPr>
                <w:szCs w:val="22"/>
              </w:rPr>
              <w:t>824</w:t>
            </w:r>
          </w:p>
        </w:tc>
        <w:tc>
          <w:tcPr>
            <w:tcW w:w="1478" w:type="dxa"/>
          </w:tcPr>
          <w:p w:rsidRPr="008C0399" w:rsidR="00C617B9" w:rsidP="00C562D4" w:rsidRDefault="00C617B9" w14:paraId="21977998" w14:textId="77777777">
            <w:pPr>
              <w:pStyle w:val="CellBodyCenter"/>
              <w:rPr>
                <w:szCs w:val="22"/>
              </w:rPr>
            </w:pPr>
          </w:p>
        </w:tc>
      </w:tr>
    </w:tbl>
    <w:p w:rsidR="00867B0B" w:rsidP="005A76DB" w:rsidRDefault="00867B0B" w14:paraId="3A0767B2" w14:textId="77777777">
      <w:pPr>
        <w:pStyle w:val="TableNotes"/>
        <w:rPr>
          <w:vertAlign w:val="superscript"/>
        </w:rPr>
      </w:pPr>
    </w:p>
    <w:p w:rsidR="00C562D4" w:rsidP="00C562D4" w:rsidRDefault="00C562D4" w14:paraId="4921DA6D" w14:textId="77777777">
      <w:pPr>
        <w:pStyle w:val="TableNotes"/>
      </w:pPr>
      <w:proofErr w:type="spellStart"/>
      <w:proofErr w:type="gramStart"/>
      <w:r>
        <w:rPr>
          <w:vertAlign w:val="superscript"/>
        </w:rPr>
        <w:t>a</w:t>
      </w:r>
      <w:proofErr w:type="spellEnd"/>
      <w:proofErr w:type="gramEnd"/>
      <w:r>
        <w:t xml:space="preserve"> Includes major modifications to existing licenses.</w:t>
      </w:r>
      <w:r w:rsidR="00C617B9">
        <w:tab/>
      </w:r>
    </w:p>
    <w:p w:rsidR="007542FE" w:rsidP="005A76DB" w:rsidRDefault="00C562D4" w14:paraId="32C55B5E" w14:textId="77777777">
      <w:pPr>
        <w:pStyle w:val="TableNotes"/>
      </w:pPr>
      <w:proofErr w:type="gramStart"/>
      <w:r>
        <w:rPr>
          <w:vertAlign w:val="superscript"/>
        </w:rPr>
        <w:t>b</w:t>
      </w:r>
      <w:proofErr w:type="gramEnd"/>
      <w:r w:rsidR="007542FE">
        <w:t xml:space="preserve"> Renewal of a license application is voluntary; a license is approved for five years.</w:t>
      </w:r>
    </w:p>
    <w:p w:rsidR="007542FE" w:rsidP="005A76DB" w:rsidRDefault="00C562D4" w14:paraId="584F01D5" w14:textId="77777777">
      <w:pPr>
        <w:pStyle w:val="TableNotes"/>
      </w:pPr>
      <w:proofErr w:type="gramStart"/>
      <w:r>
        <w:rPr>
          <w:vertAlign w:val="superscript"/>
        </w:rPr>
        <w:t>c</w:t>
      </w:r>
      <w:proofErr w:type="gramEnd"/>
      <w:r w:rsidR="007542FE">
        <w:t xml:space="preserve"> Federal Aviation Administration, Office of Commercial Space Transportation (FAA/AST), April 2006.</w:t>
      </w:r>
    </w:p>
    <w:p w:rsidR="007542FE" w:rsidP="005A76DB" w:rsidRDefault="00C562D4" w14:paraId="6A063CAA" w14:textId="77777777">
      <w:pPr>
        <w:pStyle w:val="TableNotes"/>
      </w:pPr>
      <w:proofErr w:type="gramStart"/>
      <w:r>
        <w:rPr>
          <w:vertAlign w:val="superscript"/>
        </w:rPr>
        <w:t>d</w:t>
      </w:r>
      <w:proofErr w:type="gramEnd"/>
      <w:r w:rsidR="007542FE">
        <w:t xml:space="preserve"> Industry total cost per annum calculated as $</w:t>
      </w:r>
      <w:r w:rsidR="00B7312D">
        <w:t>217,451</w:t>
      </w:r>
      <w:r w:rsidR="007542FE">
        <w:t xml:space="preserve"> ×</w:t>
      </w:r>
      <w:r w:rsidR="00B7312D">
        <w:t>0</w:t>
      </w:r>
      <w:r w:rsidR="007542FE">
        <w:t xml:space="preserve"> = $</w:t>
      </w:r>
      <w:r w:rsidR="00B7312D">
        <w:t>0</w:t>
      </w:r>
      <w:r w:rsidR="0037432B">
        <w:t xml:space="preserve"> for initial applications, </w:t>
      </w:r>
      <w:r>
        <w:t xml:space="preserve">major modification applications are calculated as 50% of the initial application cost, or </w:t>
      </w:r>
      <w:r w:rsidRPr="008C0399" w:rsidR="00B7312D">
        <w:rPr>
          <w:szCs w:val="22"/>
        </w:rPr>
        <w:t>$</w:t>
      </w:r>
      <w:r w:rsidR="00B7312D">
        <w:rPr>
          <w:szCs w:val="22"/>
        </w:rPr>
        <w:t>108,725</w:t>
      </w:r>
      <w:r w:rsidR="00FA3404">
        <w:t xml:space="preserve"> x </w:t>
      </w:r>
      <w:r w:rsidR="00B7312D">
        <w:t>6</w:t>
      </w:r>
      <w:r w:rsidR="00FA3404">
        <w:t xml:space="preserve"> </w:t>
      </w:r>
      <w:r w:rsidR="00B7312D">
        <w:t>=</w:t>
      </w:r>
      <w:r w:rsidRPr="008C0399" w:rsidR="00B7312D">
        <w:rPr>
          <w:szCs w:val="22"/>
        </w:rPr>
        <w:t>$</w:t>
      </w:r>
      <w:r w:rsidR="00B7312D">
        <w:rPr>
          <w:szCs w:val="22"/>
        </w:rPr>
        <w:t>652,350</w:t>
      </w:r>
      <w:r w:rsidRPr="008C0399" w:rsidR="00B7312D">
        <w:rPr>
          <w:szCs w:val="22"/>
        </w:rPr>
        <w:t xml:space="preserve"> </w:t>
      </w:r>
      <w:r w:rsidR="00B7312D">
        <w:t xml:space="preserve"> </w:t>
      </w:r>
      <w:r w:rsidR="00FA3404">
        <w:t xml:space="preserve">, </w:t>
      </w:r>
      <w:r w:rsidR="0037432B">
        <w:t xml:space="preserve">and renewal applications are </w:t>
      </w:r>
      <w:r w:rsidR="007542FE">
        <w:t xml:space="preserve">calculated as </w:t>
      </w:r>
      <w:r w:rsidR="0037432B">
        <w:t xml:space="preserve">10% of the initial application cost, or </w:t>
      </w:r>
      <w:r w:rsidRPr="008C0399" w:rsidR="00B7312D">
        <w:rPr>
          <w:szCs w:val="22"/>
        </w:rPr>
        <w:t>$</w:t>
      </w:r>
      <w:r w:rsidR="00B7312D">
        <w:rPr>
          <w:szCs w:val="22"/>
        </w:rPr>
        <w:t xml:space="preserve">21,745 </w:t>
      </w:r>
      <w:r w:rsidR="00FA3404">
        <w:t xml:space="preserve">x </w:t>
      </w:r>
      <w:r w:rsidR="00B7312D">
        <w:t>6</w:t>
      </w:r>
      <w:r w:rsidR="00FA3404">
        <w:t xml:space="preserve"> = </w:t>
      </w:r>
      <w:r w:rsidRPr="008C0399" w:rsidR="00B7312D">
        <w:rPr>
          <w:szCs w:val="22"/>
        </w:rPr>
        <w:t>$</w:t>
      </w:r>
      <w:r w:rsidR="00B7312D">
        <w:rPr>
          <w:szCs w:val="22"/>
        </w:rPr>
        <w:t xml:space="preserve">130,470 </w:t>
      </w:r>
      <w:r w:rsidR="007542FE">
        <w:t>for renewal applications.</w:t>
      </w:r>
    </w:p>
    <w:p w:rsidR="000B6630" w:rsidP="005A76DB" w:rsidRDefault="000B6630" w14:paraId="0C52425E" w14:textId="77777777">
      <w:pPr>
        <w:pStyle w:val="TableNotes"/>
      </w:pPr>
    </w:p>
    <w:p w:rsidRPr="000B6630" w:rsidR="000B6630" w:rsidP="000E7A0B" w:rsidRDefault="000B6630" w14:paraId="4AC8C63F" w14:textId="77777777">
      <w:pPr>
        <w:pStyle w:val="TableNotes"/>
      </w:pPr>
      <w:r>
        <w:t xml:space="preserve">Thus, the total annual burden to industry is (2,808 hours x </w:t>
      </w:r>
      <w:r w:rsidR="00B7312D">
        <w:t>0</w:t>
      </w:r>
      <w:r>
        <w:t>) +</w:t>
      </w:r>
      <w:r w:rsidR="00FA3404">
        <w:t xml:space="preserve"> (1,404 x </w:t>
      </w:r>
      <w:r w:rsidR="00B7312D">
        <w:t>6</w:t>
      </w:r>
      <w:r w:rsidR="00FA3404">
        <w:t>) +</w:t>
      </w:r>
      <w:r>
        <w:t xml:space="preserve"> (281 hours x </w:t>
      </w:r>
      <w:r w:rsidR="00B7312D">
        <w:t>6</w:t>
      </w:r>
      <w:r>
        <w:t xml:space="preserve">) = </w:t>
      </w:r>
      <w:r w:rsidR="00B7312D">
        <w:rPr>
          <w:b/>
        </w:rPr>
        <w:t>10</w:t>
      </w:r>
      <w:r w:rsidRPr="000B6630">
        <w:rPr>
          <w:b/>
        </w:rPr>
        <w:t>,</w:t>
      </w:r>
      <w:r w:rsidR="00B7312D">
        <w:rPr>
          <w:b/>
        </w:rPr>
        <w:t>110</w:t>
      </w:r>
      <w:r w:rsidRPr="000B6630">
        <w:rPr>
          <w:b/>
        </w:rPr>
        <w:t xml:space="preserve"> hours</w:t>
      </w:r>
      <w:r>
        <w:t>.</w:t>
      </w:r>
    </w:p>
    <w:p w:rsidR="007542FE" w:rsidP="00FA3404" w:rsidRDefault="007542FE" w14:paraId="136A3E46" w14:textId="77777777">
      <w:pPr>
        <w:pStyle w:val="Heading3"/>
      </w:pPr>
      <w:r>
        <w:t>13.</w:t>
      </w:r>
      <w:r>
        <w:tab/>
        <w:t xml:space="preserve">Provide an estimate of the total annual cost burden to respondents or </w:t>
      </w:r>
      <w:proofErr w:type="spellStart"/>
      <w:proofErr w:type="gramStart"/>
      <w:r>
        <w:t>recordkeepers</w:t>
      </w:r>
      <w:proofErr w:type="spellEnd"/>
      <w:proofErr w:type="gramEnd"/>
      <w:r>
        <w:t xml:space="preserve"> resulting from the collection of information.</w:t>
      </w:r>
    </w:p>
    <w:p w:rsidR="007542FE" w:rsidP="00D51D6C" w:rsidRDefault="007542FE" w14:paraId="6DE3BFAB" w14:textId="77777777">
      <w:pPr>
        <w:pStyle w:val="BodyText"/>
      </w:pPr>
      <w:r>
        <w:t>There are neither capital and start-up costs nor operation and maintenance costs resulting from the collection of information in addition to those shown above in item 12.</w:t>
      </w:r>
    </w:p>
    <w:p w:rsidR="007542FE" w:rsidP="00FA3404" w:rsidRDefault="00051B47" w14:paraId="553D04D2" w14:textId="77777777">
      <w:pPr>
        <w:pStyle w:val="Heading3"/>
      </w:pPr>
      <w:r>
        <w:t xml:space="preserve">14. </w:t>
      </w:r>
      <w:r w:rsidR="007542FE">
        <w:t>Provide estimates of annualized cost to the Federal government.</w:t>
      </w:r>
    </w:p>
    <w:p w:rsidR="007542FE" w:rsidP="00D51D6C" w:rsidRDefault="007542FE" w14:paraId="20EED651" w14:textId="77777777">
      <w:pPr>
        <w:pStyle w:val="BodyText"/>
      </w:pPr>
      <w:r>
        <w:t xml:space="preserve">The burden to the federal government associated with information collected to comply with </w:t>
      </w:r>
      <w:r w:rsidR="00347CF5">
        <w:t xml:space="preserve">14 CFR parts 413, 415, and 417 </w:t>
      </w:r>
      <w:r>
        <w:t xml:space="preserve">for either a Launch Operator or Launch Specific License involves several principal activities.  These activities include pre-application consultation with industry and review of preliminary information; review of the formal application and its disposition (that is, approval or disapproval); resolution of questions associated with the application; and amending an approved license.  The application review process is generally the same for either a Launch Operator or Launch Specific License, as </w:t>
      </w:r>
      <w:r w:rsidR="001E70F1">
        <w:t>A</w:t>
      </w:r>
      <w:r>
        <w:t xml:space="preserve">ST determines which license type is issued based on the information submitted with the application.  The FAA estimates that it expends as many as 3,900 hours to review and process the information collected associated with an application submittal in compliance with </w:t>
      </w:r>
      <w:r w:rsidR="00347CF5">
        <w:t>14 CFR parts 413, 415, and 417</w:t>
      </w:r>
      <w:r>
        <w:t>.</w:t>
      </w:r>
      <w:r>
        <w:rPr>
          <w:rStyle w:val="FootnoteReference"/>
        </w:rPr>
        <w:footnoteReference w:id="4"/>
      </w:r>
      <w:r>
        <w:t xml:space="preserve">  Further, the FAA estimates that the hour burden it incurs to review information necessary to support a license renewal application can be as many as 390 hours.</w:t>
      </w:r>
      <w:r>
        <w:rPr>
          <w:rStyle w:val="FootnoteReference"/>
        </w:rPr>
        <w:footnoteReference w:id="5"/>
      </w:r>
      <w:r>
        <w:t xml:space="preserve">  </w:t>
      </w:r>
    </w:p>
    <w:p w:rsidR="007542FE" w:rsidP="00D51D6C" w:rsidRDefault="007542FE" w14:paraId="05A095BB" w14:textId="6C2381B1">
      <w:pPr>
        <w:pStyle w:val="BodyText"/>
      </w:pPr>
      <w:r>
        <w:t>Base salary</w:t>
      </w:r>
      <w:r w:rsidR="0037432B">
        <w:t xml:space="preserve"> in </w:t>
      </w:r>
      <w:r w:rsidR="008168C6">
        <w:t xml:space="preserve">2021 </w:t>
      </w:r>
      <w:r>
        <w:t>for FAA pers</w:t>
      </w:r>
      <w:r w:rsidR="00271BE7">
        <w:t xml:space="preserve">onnel </w:t>
      </w:r>
      <w:r w:rsidR="008168C6">
        <w:t>based on</w:t>
      </w:r>
      <w:r w:rsidRPr="008168C6" w:rsidR="008168C6">
        <w:t xml:space="preserve"> </w:t>
      </w:r>
      <w:r w:rsidR="008168C6">
        <w:t xml:space="preserve">the </w:t>
      </w:r>
      <w:r w:rsidRPr="008168C6" w:rsidR="008168C6">
        <w:t>GS 13 Step 5 wage for the Washington DC area</w:t>
      </w:r>
      <w:r w:rsidR="008168C6">
        <w:t xml:space="preserve"> </w:t>
      </w:r>
      <w:r w:rsidR="00F9656F">
        <w:t xml:space="preserve">is estimated to be </w:t>
      </w:r>
      <w:r w:rsidRPr="00D61412" w:rsidR="00F9656F">
        <w:rPr>
          <w:rFonts w:ascii="Arial" w:hAnsi="Arial" w:cs="Arial"/>
          <w:color w:val="555555"/>
        </w:rPr>
        <w:t>$1</w:t>
      </w:r>
      <w:r w:rsidR="00F9656F">
        <w:rPr>
          <w:rFonts w:ascii="Arial" w:hAnsi="Arial" w:cs="Arial"/>
          <w:color w:val="555555"/>
        </w:rPr>
        <w:t>17,516</w:t>
      </w:r>
      <w:r>
        <w:t>.</w:t>
      </w:r>
      <w:r>
        <w:rPr>
          <w:rStyle w:val="FootnoteReference"/>
        </w:rPr>
        <w:footnoteReference w:id="6"/>
      </w:r>
      <w:r>
        <w:t xml:space="preserve">  As summarized in Table 3, the base salary loaded with federal government fringe benefits is $</w:t>
      </w:r>
      <w:r w:rsidR="00A2683E">
        <w:t>1</w:t>
      </w:r>
      <w:r w:rsidR="00F9656F">
        <w:t>6</w:t>
      </w:r>
      <w:r w:rsidR="00FE0FC5">
        <w:t>2,290</w:t>
      </w:r>
      <w:r>
        <w:t>, resulting in an FAA hourly labor cost of $</w:t>
      </w:r>
      <w:r w:rsidR="008B0909">
        <w:t>7</w:t>
      </w:r>
      <w:r w:rsidR="00FE0FC5">
        <w:t>8.02</w:t>
      </w:r>
      <w:r w:rsidR="00F9656F">
        <w:t xml:space="preserve"> </w:t>
      </w:r>
      <w:r>
        <w:t>(calculated as $</w:t>
      </w:r>
      <w:r w:rsidR="008B0909">
        <w:t>1</w:t>
      </w:r>
      <w:r w:rsidR="00F9656F">
        <w:t>6</w:t>
      </w:r>
      <w:r w:rsidR="00FE0FC5">
        <w:t>2,290</w:t>
      </w:r>
      <w:r>
        <w:t>÷ 2,080 = $</w:t>
      </w:r>
      <w:r w:rsidR="008B0909">
        <w:t>7</w:t>
      </w:r>
      <w:r w:rsidR="00FE0FC5">
        <w:t>8.02</w:t>
      </w:r>
      <w:r>
        <w:t>). Multiplying the FAA hourly burden to review collected information by the federal government hourly labor cost yields $</w:t>
      </w:r>
      <w:r w:rsidR="00FE0FC5">
        <w:t>304,278</w:t>
      </w:r>
      <w:r>
        <w:t xml:space="preserve"> (calculated as 3,900 × $</w:t>
      </w:r>
      <w:r w:rsidR="00F9656F">
        <w:t>7</w:t>
      </w:r>
      <w:r w:rsidR="00FE0FC5">
        <w:t>8.02</w:t>
      </w:r>
      <w:r>
        <w:t>= $</w:t>
      </w:r>
      <w:r w:rsidR="00F9656F">
        <w:t>30</w:t>
      </w:r>
      <w:r w:rsidR="00FE0FC5">
        <w:t>4,278</w:t>
      </w:r>
      <w:r>
        <w:t xml:space="preserve">) to review an initial application, </w:t>
      </w:r>
      <w:r w:rsidR="00FA3404">
        <w:t>$1</w:t>
      </w:r>
      <w:r w:rsidR="00F9656F">
        <w:t>5</w:t>
      </w:r>
      <w:r w:rsidR="00FE0FC5">
        <w:t xml:space="preserve">2,139 </w:t>
      </w:r>
      <w:r w:rsidR="00FA3404">
        <w:t xml:space="preserve">to </w:t>
      </w:r>
      <w:r w:rsidR="00FA3404">
        <w:lastRenderedPageBreak/>
        <w:t>review a license modification (calculated as 50% of $</w:t>
      </w:r>
      <w:r w:rsidR="00F9656F">
        <w:t>30</w:t>
      </w:r>
      <w:r w:rsidR="00FE0FC5">
        <w:t>4,278</w:t>
      </w:r>
      <w:r w:rsidR="00396124">
        <w:t>)</w:t>
      </w:r>
      <w:r w:rsidR="00FA3404">
        <w:t xml:space="preserve">, </w:t>
      </w:r>
      <w:r>
        <w:t>and $</w:t>
      </w:r>
      <w:r w:rsidR="00F9656F">
        <w:t>30</w:t>
      </w:r>
      <w:r w:rsidR="001D00D4">
        <w:t>,</w:t>
      </w:r>
      <w:r w:rsidR="00FE0FC5">
        <w:t xml:space="preserve">428 </w:t>
      </w:r>
      <w:r>
        <w:t xml:space="preserve">to review a license renewal </w:t>
      </w:r>
      <w:r w:rsidRPr="006061D7">
        <w:t>application</w:t>
      </w:r>
      <w:r w:rsidR="00396124">
        <w:t xml:space="preserve"> </w:t>
      </w:r>
      <w:r w:rsidR="00FA3404">
        <w:t>(calculated as 10% of $</w:t>
      </w:r>
      <w:r w:rsidR="00F9656F">
        <w:t>30</w:t>
      </w:r>
      <w:r w:rsidR="00FE0FC5">
        <w:t>4,278</w:t>
      </w:r>
      <w:r w:rsidR="00FA3404">
        <w:t>)</w:t>
      </w:r>
      <w:r w:rsidRPr="006061D7">
        <w:t>.  Multiplying the application cost by the estimated annual number of applications yields the annual collected information review and processing cost burden to the FAA assoc</w:t>
      </w:r>
      <w:r w:rsidRPr="006061D7" w:rsidR="001D00D4">
        <w:t xml:space="preserve">iated with the </w:t>
      </w:r>
      <w:r w:rsidR="00B1475E">
        <w:t>collection</w:t>
      </w:r>
      <w:r w:rsidRPr="006061D7" w:rsidR="001D00D4">
        <w:t xml:space="preserve"> — $</w:t>
      </w:r>
      <w:r w:rsidR="00B1475E">
        <w:t>0</w:t>
      </w:r>
      <w:r w:rsidRPr="006061D7">
        <w:t xml:space="preserve"> </w:t>
      </w:r>
      <w:r w:rsidRPr="006061D7" w:rsidR="001D00D4">
        <w:t>for initial licenses</w:t>
      </w:r>
      <w:r w:rsidR="007E6869">
        <w:t xml:space="preserve"> (cost is $</w:t>
      </w:r>
      <w:r w:rsidR="00586ADC">
        <w:t>0 because no new licenses</w:t>
      </w:r>
      <w:r w:rsidR="007E6869">
        <w:t xml:space="preserve"> will be issued under part 417, all new licenses will be issued under part 450)</w:t>
      </w:r>
      <w:r w:rsidRPr="000E7A0B" w:rsidR="006061D7">
        <w:t>, $</w:t>
      </w:r>
      <w:r w:rsidR="00B1475E">
        <w:t>9</w:t>
      </w:r>
      <w:r w:rsidR="00FE0FC5">
        <w:t xml:space="preserve">12,834 </w:t>
      </w:r>
      <w:r w:rsidRPr="000E7A0B" w:rsidR="006061D7">
        <w:t>for modified licenses,</w:t>
      </w:r>
      <w:r w:rsidRPr="006061D7" w:rsidR="001D00D4">
        <w:t xml:space="preserve"> and $</w:t>
      </w:r>
      <w:r w:rsidR="00B1475E">
        <w:t>18</w:t>
      </w:r>
      <w:r w:rsidR="00FE0FC5">
        <w:t xml:space="preserve">2,568 </w:t>
      </w:r>
      <w:r w:rsidRPr="006061D7">
        <w:t>for renewals.</w:t>
      </w:r>
      <w:r>
        <w:t xml:space="preserve">  This is summarized in Table 4.</w:t>
      </w:r>
    </w:p>
    <w:p w:rsidR="007542FE" w:rsidP="00FA3404" w:rsidRDefault="007542FE" w14:paraId="7C9CD22A" w14:textId="77777777">
      <w:pPr>
        <w:pStyle w:val="Heading3"/>
      </w:pPr>
      <w:r>
        <w:t>TABLE 3. Public Sector Fringe Benefit Factors and Loaded Salary</w:t>
      </w:r>
    </w:p>
    <w:tbl>
      <w:tblPr>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000" w:firstRow="0" w:lastRow="0" w:firstColumn="0" w:lastColumn="0" w:noHBand="0" w:noVBand="0"/>
      </w:tblPr>
      <w:tblGrid>
        <w:gridCol w:w="5040"/>
        <w:gridCol w:w="2880"/>
      </w:tblGrid>
      <w:tr w:rsidR="007542FE" w14:paraId="55A01158" w14:textId="77777777">
        <w:trPr>
          <w:cantSplit/>
          <w:trHeight w:val="144"/>
          <w:jc w:val="center"/>
        </w:trPr>
        <w:tc>
          <w:tcPr>
            <w:tcW w:w="5040" w:type="dxa"/>
            <w:shd w:val="pct10" w:color="auto" w:fill="auto"/>
          </w:tcPr>
          <w:p w:rsidRPr="000E6B62" w:rsidR="007542FE" w:rsidP="00065D43" w:rsidRDefault="007542FE" w14:paraId="27378E0B" w14:textId="77777777">
            <w:pPr>
              <w:pStyle w:val="Heading6"/>
            </w:pPr>
            <w:r w:rsidRPr="000E6B62">
              <w:t>Category</w:t>
            </w:r>
          </w:p>
        </w:tc>
        <w:tc>
          <w:tcPr>
            <w:tcW w:w="2880" w:type="dxa"/>
            <w:shd w:val="pct10" w:color="auto" w:fill="auto"/>
          </w:tcPr>
          <w:p w:rsidRPr="000E6B62" w:rsidR="007542FE" w:rsidP="00065D43" w:rsidRDefault="007542FE" w14:paraId="19510E58" w14:textId="77777777">
            <w:pPr>
              <w:pStyle w:val="Heading6"/>
            </w:pPr>
            <w:r w:rsidRPr="000E6B62">
              <w:t>Government Factor</w:t>
            </w:r>
          </w:p>
        </w:tc>
      </w:tr>
      <w:tr w:rsidR="007542FE" w14:paraId="0A3C1B83" w14:textId="77777777">
        <w:trPr>
          <w:cantSplit/>
          <w:jc w:val="center"/>
        </w:trPr>
        <w:tc>
          <w:tcPr>
            <w:tcW w:w="5040" w:type="dxa"/>
          </w:tcPr>
          <w:p w:rsidR="007542FE" w:rsidP="006061D7" w:rsidRDefault="007542FE" w14:paraId="78C652D4" w14:textId="77777777">
            <w:pPr>
              <w:pStyle w:val="CellBodyLeft"/>
            </w:pPr>
            <w:r>
              <w:t>Total Fringe Benefit</w:t>
            </w:r>
          </w:p>
        </w:tc>
        <w:tc>
          <w:tcPr>
            <w:tcW w:w="2880" w:type="dxa"/>
          </w:tcPr>
          <w:p w:rsidR="007542FE" w:rsidP="006061D7" w:rsidRDefault="007542FE" w14:paraId="6B648480" w14:textId="0F19A4C9">
            <w:pPr>
              <w:pStyle w:val="CellBodyCenter"/>
            </w:pPr>
            <w:r>
              <w:fldChar w:fldCharType="begin"/>
            </w:r>
            <w:r>
              <w:instrText xml:space="preserve"> =SUM(ABOVE)*100 \# "0.00%" </w:instrText>
            </w:r>
            <w:r>
              <w:fldChar w:fldCharType="separate"/>
            </w:r>
            <w:r>
              <w:rPr>
                <w:noProof/>
              </w:rPr>
              <w:t>3</w:t>
            </w:r>
            <w:r w:rsidR="00FE0FC5">
              <w:rPr>
                <w:noProof/>
              </w:rPr>
              <w:t>8</w:t>
            </w:r>
            <w:r>
              <w:rPr>
                <w:noProof/>
              </w:rPr>
              <w:t>.</w:t>
            </w:r>
            <w:r w:rsidR="00FE0FC5">
              <w:rPr>
                <w:noProof/>
              </w:rPr>
              <w:t>1</w:t>
            </w:r>
            <w:r>
              <w:rPr>
                <w:noProof/>
              </w:rPr>
              <w:t>%</w:t>
            </w:r>
            <w:r>
              <w:fldChar w:fldCharType="end"/>
            </w:r>
          </w:p>
        </w:tc>
      </w:tr>
      <w:tr w:rsidR="007542FE" w14:paraId="407ADF8B" w14:textId="77777777">
        <w:trPr>
          <w:cantSplit/>
          <w:jc w:val="center"/>
        </w:trPr>
        <w:tc>
          <w:tcPr>
            <w:tcW w:w="5040" w:type="dxa"/>
          </w:tcPr>
          <w:p w:rsidR="007542FE" w:rsidP="006061D7" w:rsidRDefault="007542FE" w14:paraId="3EF8318E" w14:textId="77777777">
            <w:pPr>
              <w:pStyle w:val="CellBodyLeft"/>
            </w:pPr>
            <w:r>
              <w:t xml:space="preserve">Federal Government Loaded </w:t>
            </w:r>
            <w:proofErr w:type="spellStart"/>
            <w:r>
              <w:t>Salary</w:t>
            </w:r>
            <w:r>
              <w:rPr>
                <w:vertAlign w:val="superscript"/>
              </w:rPr>
              <w:t>a</w:t>
            </w:r>
            <w:proofErr w:type="spellEnd"/>
          </w:p>
        </w:tc>
        <w:tc>
          <w:tcPr>
            <w:tcW w:w="2880" w:type="dxa"/>
          </w:tcPr>
          <w:p w:rsidR="007542FE" w:rsidP="00FE0FC5" w:rsidRDefault="007542FE" w14:paraId="5291DA91" w14:textId="65D368BE">
            <w:pPr>
              <w:pStyle w:val="CellBodyCenter"/>
            </w:pPr>
            <w:r>
              <w:t>$</w:t>
            </w:r>
            <w:r w:rsidR="00B1475E">
              <w:t>16</w:t>
            </w:r>
            <w:r w:rsidR="00FE0FC5">
              <w:t>2,290</w:t>
            </w:r>
          </w:p>
        </w:tc>
      </w:tr>
    </w:tbl>
    <w:p w:rsidR="007542FE" w:rsidP="005A76DB" w:rsidRDefault="007542FE" w14:paraId="44DE9C6E" w14:textId="0E643253">
      <w:pPr>
        <w:pStyle w:val="TableNotes"/>
      </w:pPr>
      <w:r>
        <w:t xml:space="preserve">Source: </w:t>
      </w:r>
      <w:r w:rsidRPr="00FE0FC5" w:rsidR="00FE0FC5">
        <w:t xml:space="preserve">  Based on Bureau of Labor Statistics Employer Costs for Employee Compensation by ownership Table 1 June 202</w:t>
      </w:r>
      <w:r w:rsidR="00FE0FC5">
        <w:t>1</w:t>
      </w:r>
      <w:r w:rsidRPr="00FE0FC5" w:rsidR="00FE0FC5">
        <w:t xml:space="preserve"> (https://www.bls.gov/news.release/pdf/ecec.pdf) for government employees</w:t>
      </w:r>
      <w:proofErr w:type="gramStart"/>
      <w:r w:rsidRPr="00FE0FC5" w:rsidR="00FE0FC5">
        <w:t>.</w:t>
      </w:r>
      <w:r>
        <w:t>.</w:t>
      </w:r>
      <w:proofErr w:type="gramEnd"/>
    </w:p>
    <w:p w:rsidR="007542FE" w:rsidP="005A76DB" w:rsidRDefault="007542FE" w14:paraId="2B2405FF" w14:textId="7CE99322">
      <w:pPr>
        <w:pStyle w:val="TableNotes"/>
      </w:pPr>
      <w:proofErr w:type="gramStart"/>
      <w:r>
        <w:rPr>
          <w:vertAlign w:val="superscript"/>
        </w:rPr>
        <w:t>a</w:t>
      </w:r>
      <w:proofErr w:type="gramEnd"/>
      <w:r w:rsidR="00271BE7">
        <w:t xml:space="preserve"> Calculated as $</w:t>
      </w:r>
      <w:r w:rsidRPr="00D61412" w:rsidR="00B1475E">
        <w:rPr>
          <w:rFonts w:ascii="Arial" w:hAnsi="Arial"/>
          <w:color w:val="555555"/>
        </w:rPr>
        <w:t>1</w:t>
      </w:r>
      <w:r w:rsidR="00B1475E">
        <w:rPr>
          <w:rFonts w:ascii="Arial" w:hAnsi="Arial"/>
          <w:color w:val="555555"/>
        </w:rPr>
        <w:t xml:space="preserve">17,516 </w:t>
      </w:r>
      <w:r w:rsidR="00271BE7">
        <w:t>× 1.</w:t>
      </w:r>
      <w:r w:rsidR="00FE0FC5">
        <w:t xml:space="preserve">381 </w:t>
      </w:r>
      <w:r w:rsidR="00271BE7">
        <w:t>= $</w:t>
      </w:r>
      <w:r w:rsidR="00B1475E">
        <w:t>16</w:t>
      </w:r>
      <w:r w:rsidR="00FE0FC5">
        <w:t>2,290</w:t>
      </w:r>
      <w:r>
        <w:t>.</w:t>
      </w:r>
    </w:p>
    <w:p w:rsidR="007542FE" w:rsidP="00FA3404" w:rsidRDefault="0036222D" w14:paraId="2006DFE8" w14:textId="77777777">
      <w:pPr>
        <w:pStyle w:val="Heading3"/>
      </w:pPr>
      <w:r>
        <w:t xml:space="preserve">TABLE 4. </w:t>
      </w:r>
      <w:r w:rsidR="007542FE">
        <w:t>Collection of Information Burden to Federal Government</w:t>
      </w:r>
    </w:p>
    <w:tbl>
      <w:tblPr>
        <w:tblW w:w="9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0A0" w:firstRow="1" w:lastRow="0" w:firstColumn="1" w:lastColumn="0" w:noHBand="0" w:noVBand="0"/>
      </w:tblPr>
      <w:tblGrid>
        <w:gridCol w:w="4320"/>
        <w:gridCol w:w="1599"/>
        <w:gridCol w:w="1644"/>
        <w:gridCol w:w="1754"/>
      </w:tblGrid>
      <w:tr w:rsidR="003F2606" w:rsidTr="00867B0B" w14:paraId="20C25EBA" w14:textId="77777777">
        <w:trPr>
          <w:cantSplit/>
          <w:trHeight w:val="144"/>
          <w:tblHeader/>
          <w:jc w:val="center"/>
        </w:trPr>
        <w:tc>
          <w:tcPr>
            <w:tcW w:w="4320" w:type="dxa"/>
            <w:vMerge w:val="restart"/>
            <w:tcBorders>
              <w:top w:val="single" w:color="auto" w:sz="4" w:space="0"/>
              <w:left w:val="single" w:color="auto" w:sz="4" w:space="0"/>
              <w:right w:val="single" w:color="auto" w:sz="4" w:space="0"/>
            </w:tcBorders>
            <w:shd w:val="clear" w:color="auto" w:fill="E6E6E6"/>
            <w:vAlign w:val="center"/>
          </w:tcPr>
          <w:p w:rsidR="003F2606" w:rsidP="00065D43" w:rsidRDefault="003F2606" w14:paraId="42C879B5" w14:textId="77777777">
            <w:pPr>
              <w:pStyle w:val="Heading6"/>
            </w:pPr>
            <w:r>
              <w:t>Category</w:t>
            </w:r>
          </w:p>
        </w:tc>
        <w:tc>
          <w:tcPr>
            <w:tcW w:w="4997" w:type="dxa"/>
            <w:gridSpan w:val="3"/>
            <w:tcBorders>
              <w:top w:val="single" w:color="auto" w:sz="4" w:space="0"/>
              <w:left w:val="single" w:color="auto" w:sz="4" w:space="0"/>
            </w:tcBorders>
            <w:shd w:val="clear" w:color="auto" w:fill="E6E6E6"/>
          </w:tcPr>
          <w:p w:rsidR="003F2606" w:rsidP="00065D43" w:rsidRDefault="003F2606" w14:paraId="1FF1F7F6" w14:textId="77777777">
            <w:pPr>
              <w:pStyle w:val="Heading6"/>
            </w:pPr>
            <w:r>
              <w:t>Hour Burden</w:t>
            </w:r>
          </w:p>
        </w:tc>
      </w:tr>
      <w:tr w:rsidR="003F2606" w:rsidTr="000E7A0B" w14:paraId="0A68A866" w14:textId="77777777">
        <w:trPr>
          <w:cantSplit/>
          <w:trHeight w:val="144"/>
          <w:tblHeader/>
          <w:jc w:val="center"/>
        </w:trPr>
        <w:tc>
          <w:tcPr>
            <w:tcW w:w="4320" w:type="dxa"/>
            <w:vMerge/>
            <w:tcBorders>
              <w:left w:val="single" w:color="auto" w:sz="4" w:space="0"/>
              <w:right w:val="single" w:color="auto" w:sz="4" w:space="0"/>
            </w:tcBorders>
          </w:tcPr>
          <w:p w:rsidR="003F2606" w:rsidP="003F2606" w:rsidRDefault="003F2606" w14:paraId="5BB8CE8D" w14:textId="77777777">
            <w:pPr>
              <w:rPr>
                <w:rFonts w:ascii="Arial" w:hAnsi="Arial" w:cs="Arial"/>
              </w:rPr>
            </w:pPr>
          </w:p>
        </w:tc>
        <w:tc>
          <w:tcPr>
            <w:tcW w:w="1599" w:type="dxa"/>
            <w:tcBorders>
              <w:left w:val="single" w:color="auto" w:sz="4" w:space="0"/>
              <w:right w:val="single" w:color="auto" w:sz="4" w:space="0"/>
            </w:tcBorders>
            <w:shd w:val="clear" w:color="auto" w:fill="E6E6E6"/>
          </w:tcPr>
          <w:p w:rsidR="003F2606" w:rsidP="003F2606" w:rsidRDefault="003F2606" w14:paraId="5BD8CDEA" w14:textId="77777777">
            <w:pPr>
              <w:pStyle w:val="Heading6"/>
            </w:pPr>
            <w:r>
              <w:t>Initial</w:t>
            </w:r>
            <w:r>
              <w:br/>
              <w:t>Application</w:t>
            </w:r>
          </w:p>
        </w:tc>
        <w:tc>
          <w:tcPr>
            <w:tcW w:w="1644" w:type="dxa"/>
            <w:tcBorders>
              <w:left w:val="single" w:color="auto" w:sz="4" w:space="0"/>
            </w:tcBorders>
            <w:shd w:val="clear" w:color="auto" w:fill="E6E6E6"/>
          </w:tcPr>
          <w:p w:rsidR="003F2606" w:rsidP="003F2606" w:rsidRDefault="003F2606" w14:paraId="276069EB" w14:textId="77777777">
            <w:pPr>
              <w:pStyle w:val="Heading6"/>
            </w:pPr>
            <w:r>
              <w:t xml:space="preserve">Modification </w:t>
            </w:r>
            <w:proofErr w:type="spellStart"/>
            <w:r>
              <w:t>Application</w:t>
            </w:r>
            <w:r>
              <w:rPr>
                <w:vertAlign w:val="superscript"/>
              </w:rPr>
              <w:t>a</w:t>
            </w:r>
            <w:proofErr w:type="spellEnd"/>
          </w:p>
        </w:tc>
        <w:tc>
          <w:tcPr>
            <w:tcW w:w="1754" w:type="dxa"/>
            <w:shd w:val="clear" w:color="auto" w:fill="E6E6E6"/>
          </w:tcPr>
          <w:p w:rsidR="003F2606" w:rsidP="003F2606" w:rsidRDefault="003F2606" w14:paraId="38CC2307" w14:textId="77777777">
            <w:pPr>
              <w:pStyle w:val="Heading6"/>
            </w:pPr>
            <w:r>
              <w:t>Renewal</w:t>
            </w:r>
            <w:r>
              <w:br/>
            </w:r>
            <w:proofErr w:type="spellStart"/>
            <w:r>
              <w:t>Application</w:t>
            </w:r>
            <w:r>
              <w:rPr>
                <w:vertAlign w:val="superscript"/>
              </w:rPr>
              <w:t>b</w:t>
            </w:r>
            <w:proofErr w:type="spellEnd"/>
          </w:p>
        </w:tc>
      </w:tr>
      <w:tr w:rsidR="003F2606" w:rsidTr="000E7A0B" w14:paraId="411E0C21" w14:textId="77777777">
        <w:trPr>
          <w:cantSplit/>
          <w:jc w:val="center"/>
        </w:trPr>
        <w:tc>
          <w:tcPr>
            <w:tcW w:w="4320" w:type="dxa"/>
          </w:tcPr>
          <w:p w:rsidR="003F2606" w:rsidP="006061D7" w:rsidRDefault="003F2606" w14:paraId="6C111743" w14:textId="77777777">
            <w:pPr>
              <w:pStyle w:val="CellBodyLeft"/>
            </w:pPr>
            <w:r>
              <w:t>Hours required to submit each application</w:t>
            </w:r>
          </w:p>
        </w:tc>
        <w:tc>
          <w:tcPr>
            <w:tcW w:w="1599" w:type="dxa"/>
          </w:tcPr>
          <w:p w:rsidR="003F2606" w:rsidP="006061D7" w:rsidRDefault="003F2606" w14:paraId="66B646BF" w14:textId="77777777">
            <w:pPr>
              <w:pStyle w:val="CellBodyCenter"/>
            </w:pPr>
            <w:r>
              <w:t>3,900</w:t>
            </w:r>
          </w:p>
        </w:tc>
        <w:tc>
          <w:tcPr>
            <w:tcW w:w="1644" w:type="dxa"/>
          </w:tcPr>
          <w:p w:rsidRPr="006061D7" w:rsidR="003F2606" w:rsidP="006061D7" w:rsidRDefault="00562F23" w14:paraId="79C4EC51" w14:textId="77777777">
            <w:pPr>
              <w:pStyle w:val="CellBodyCenter"/>
            </w:pPr>
            <w:r w:rsidRPr="000E7A0B">
              <w:t>1</w:t>
            </w:r>
            <w:r w:rsidRPr="006061D7" w:rsidR="003F2606">
              <w:t>,9</w:t>
            </w:r>
            <w:r w:rsidRPr="000E7A0B">
              <w:t>5</w:t>
            </w:r>
            <w:r w:rsidRPr="006061D7" w:rsidR="003F2606">
              <w:t>0</w:t>
            </w:r>
          </w:p>
        </w:tc>
        <w:tc>
          <w:tcPr>
            <w:tcW w:w="1754" w:type="dxa"/>
          </w:tcPr>
          <w:p w:rsidR="003F2606" w:rsidP="006061D7" w:rsidRDefault="003F2606" w14:paraId="12AAE4F3" w14:textId="77777777">
            <w:pPr>
              <w:pStyle w:val="CellBodyCenter"/>
            </w:pPr>
            <w:r>
              <w:t>390</w:t>
            </w:r>
          </w:p>
        </w:tc>
      </w:tr>
      <w:tr w:rsidR="003F2606" w:rsidTr="000E7A0B" w14:paraId="02687FC0" w14:textId="77777777">
        <w:trPr>
          <w:cantSplit/>
          <w:jc w:val="center"/>
        </w:trPr>
        <w:tc>
          <w:tcPr>
            <w:tcW w:w="4320" w:type="dxa"/>
          </w:tcPr>
          <w:p w:rsidR="003F2606" w:rsidP="006061D7" w:rsidRDefault="003F2606" w14:paraId="38C41D43" w14:textId="77777777">
            <w:pPr>
              <w:pStyle w:val="CellBodyLeft"/>
            </w:pPr>
            <w:r>
              <w:t xml:space="preserve">Number of applications per </w:t>
            </w:r>
            <w:proofErr w:type="spellStart"/>
            <w:r>
              <w:t>respondent</w:t>
            </w:r>
            <w:r>
              <w:rPr>
                <w:vertAlign w:val="superscript"/>
              </w:rPr>
              <w:t>d</w:t>
            </w:r>
            <w:proofErr w:type="spellEnd"/>
          </w:p>
        </w:tc>
        <w:tc>
          <w:tcPr>
            <w:tcW w:w="1599" w:type="dxa"/>
          </w:tcPr>
          <w:p w:rsidR="003F2606" w:rsidP="006061D7" w:rsidRDefault="003F2606" w14:paraId="56A373EC" w14:textId="77777777">
            <w:pPr>
              <w:pStyle w:val="CellBodyCenter"/>
            </w:pPr>
            <w:r>
              <w:t>1</w:t>
            </w:r>
          </w:p>
        </w:tc>
        <w:tc>
          <w:tcPr>
            <w:tcW w:w="1644" w:type="dxa"/>
          </w:tcPr>
          <w:p w:rsidRPr="006061D7" w:rsidR="003F2606" w:rsidP="006061D7" w:rsidRDefault="003F2606" w14:paraId="57A303BE" w14:textId="77777777">
            <w:pPr>
              <w:pStyle w:val="CellBodyCenter"/>
            </w:pPr>
            <w:r w:rsidRPr="006061D7">
              <w:t>1</w:t>
            </w:r>
          </w:p>
        </w:tc>
        <w:tc>
          <w:tcPr>
            <w:tcW w:w="1754" w:type="dxa"/>
          </w:tcPr>
          <w:p w:rsidR="003F2606" w:rsidP="006061D7" w:rsidRDefault="003F2606" w14:paraId="23D37627" w14:textId="77777777">
            <w:pPr>
              <w:pStyle w:val="CellBodyCenter"/>
            </w:pPr>
            <w:r>
              <w:t>1</w:t>
            </w:r>
          </w:p>
        </w:tc>
      </w:tr>
      <w:tr w:rsidR="003F2606" w:rsidTr="000E7A0B" w14:paraId="13524E5B" w14:textId="77777777">
        <w:trPr>
          <w:cantSplit/>
          <w:jc w:val="center"/>
        </w:trPr>
        <w:tc>
          <w:tcPr>
            <w:tcW w:w="4320" w:type="dxa"/>
          </w:tcPr>
          <w:p w:rsidR="003F2606" w:rsidP="006061D7" w:rsidRDefault="003F2606" w14:paraId="7DF9AA75" w14:textId="77777777">
            <w:pPr>
              <w:pStyle w:val="CellBodyLeft"/>
            </w:pPr>
            <w:r>
              <w:t xml:space="preserve">Annual number of </w:t>
            </w:r>
            <w:proofErr w:type="spellStart"/>
            <w:r>
              <w:t>applications</w:t>
            </w:r>
            <w:r>
              <w:rPr>
                <w:vertAlign w:val="superscript"/>
              </w:rPr>
              <w:t>c</w:t>
            </w:r>
            <w:proofErr w:type="spellEnd"/>
          </w:p>
        </w:tc>
        <w:tc>
          <w:tcPr>
            <w:tcW w:w="1599" w:type="dxa"/>
          </w:tcPr>
          <w:p w:rsidR="003F2606" w:rsidP="006061D7" w:rsidRDefault="00B1475E" w14:paraId="6E0D562C" w14:textId="77777777">
            <w:pPr>
              <w:pStyle w:val="CellBodyCenter"/>
            </w:pPr>
            <w:r>
              <w:t>0</w:t>
            </w:r>
          </w:p>
        </w:tc>
        <w:tc>
          <w:tcPr>
            <w:tcW w:w="1644" w:type="dxa"/>
          </w:tcPr>
          <w:p w:rsidRPr="006061D7" w:rsidR="003F2606" w:rsidP="006061D7" w:rsidRDefault="00B1475E" w14:paraId="10AFB6B8" w14:textId="77777777">
            <w:pPr>
              <w:pStyle w:val="CellBodyCenter"/>
            </w:pPr>
            <w:r>
              <w:t>6</w:t>
            </w:r>
          </w:p>
        </w:tc>
        <w:tc>
          <w:tcPr>
            <w:tcW w:w="1754" w:type="dxa"/>
          </w:tcPr>
          <w:p w:rsidR="003F2606" w:rsidP="006061D7" w:rsidRDefault="00B1475E" w14:paraId="40017780" w14:textId="77777777">
            <w:pPr>
              <w:pStyle w:val="CellBodyCenter"/>
            </w:pPr>
            <w:r>
              <w:t>6</w:t>
            </w:r>
          </w:p>
        </w:tc>
      </w:tr>
      <w:tr w:rsidR="003F2606" w:rsidTr="000E7A0B" w14:paraId="18D2A756" w14:textId="77777777">
        <w:trPr>
          <w:cantSplit/>
          <w:jc w:val="center"/>
        </w:trPr>
        <w:tc>
          <w:tcPr>
            <w:tcW w:w="4320" w:type="dxa"/>
            <w:tcBorders>
              <w:bottom w:val="single" w:color="auto" w:sz="4" w:space="0"/>
            </w:tcBorders>
          </w:tcPr>
          <w:p w:rsidR="003F2606" w:rsidP="006061D7" w:rsidRDefault="003F2606" w14:paraId="5794BF44" w14:textId="77777777">
            <w:pPr>
              <w:pStyle w:val="CellBodyLeft"/>
            </w:pPr>
            <w:r>
              <w:t>Federal government cost per application</w:t>
            </w:r>
          </w:p>
        </w:tc>
        <w:tc>
          <w:tcPr>
            <w:tcW w:w="1599" w:type="dxa"/>
            <w:tcBorders>
              <w:bottom w:val="single" w:color="auto" w:sz="4" w:space="0"/>
            </w:tcBorders>
            <w:vAlign w:val="bottom"/>
          </w:tcPr>
          <w:p w:rsidR="003F2606" w:rsidP="00B1475E" w:rsidRDefault="003F2606" w14:paraId="007A751D" w14:textId="77777777">
            <w:pPr>
              <w:pStyle w:val="CellBodyCenter"/>
            </w:pPr>
            <w:r>
              <w:t>$</w:t>
            </w:r>
            <w:r w:rsidR="00B1475E">
              <w:t>0</w:t>
            </w:r>
          </w:p>
        </w:tc>
        <w:tc>
          <w:tcPr>
            <w:tcW w:w="1644" w:type="dxa"/>
            <w:tcBorders>
              <w:bottom w:val="single" w:color="auto" w:sz="4" w:space="0"/>
            </w:tcBorders>
            <w:vAlign w:val="bottom"/>
          </w:tcPr>
          <w:p w:rsidRPr="006061D7" w:rsidR="003F2606" w:rsidP="005609BC" w:rsidRDefault="00B1475E" w14:paraId="74EB921A" w14:textId="27BE7F1B">
            <w:pPr>
              <w:pStyle w:val="CellBodyCenter"/>
            </w:pPr>
            <w:r>
              <w:t>$</w:t>
            </w:r>
            <w:r w:rsidR="005609BC">
              <w:t>152,139</w:t>
            </w:r>
          </w:p>
        </w:tc>
        <w:tc>
          <w:tcPr>
            <w:tcW w:w="1754" w:type="dxa"/>
            <w:tcBorders>
              <w:bottom w:val="single" w:color="auto" w:sz="4" w:space="0"/>
            </w:tcBorders>
            <w:vAlign w:val="bottom"/>
          </w:tcPr>
          <w:p w:rsidR="003F2606" w:rsidP="005609BC" w:rsidRDefault="003F2606" w14:paraId="0C50F4F9" w14:textId="521EFD1C">
            <w:pPr>
              <w:pStyle w:val="CellBodyCenter"/>
            </w:pPr>
            <w:r>
              <w:t>$</w:t>
            </w:r>
            <w:r w:rsidR="00B1475E">
              <w:t>30,</w:t>
            </w:r>
            <w:r w:rsidR="005609BC">
              <w:t>428</w:t>
            </w:r>
          </w:p>
        </w:tc>
      </w:tr>
      <w:tr w:rsidR="003F2606" w:rsidTr="000E7A0B" w14:paraId="1BF4DA04" w14:textId="77777777">
        <w:trPr>
          <w:cantSplit/>
          <w:jc w:val="center"/>
        </w:trPr>
        <w:tc>
          <w:tcPr>
            <w:tcW w:w="4320" w:type="dxa"/>
          </w:tcPr>
          <w:p w:rsidR="003F2606" w:rsidP="006061D7" w:rsidRDefault="003F2606" w14:paraId="646A4E87" w14:textId="77777777">
            <w:pPr>
              <w:pStyle w:val="CellBodyLeft"/>
            </w:pPr>
            <w:r>
              <w:t xml:space="preserve">Federal government annual </w:t>
            </w:r>
            <w:proofErr w:type="spellStart"/>
            <w:r>
              <w:t>cost</w:t>
            </w:r>
            <w:r>
              <w:rPr>
                <w:vertAlign w:val="superscript"/>
              </w:rPr>
              <w:t>d</w:t>
            </w:r>
            <w:proofErr w:type="spellEnd"/>
          </w:p>
        </w:tc>
        <w:tc>
          <w:tcPr>
            <w:tcW w:w="1599" w:type="dxa"/>
            <w:vAlign w:val="bottom"/>
          </w:tcPr>
          <w:p w:rsidR="003F2606" w:rsidP="00B1475E" w:rsidRDefault="003F2606" w14:paraId="5D538B66" w14:textId="77777777">
            <w:pPr>
              <w:pStyle w:val="CellBodyCenter"/>
            </w:pPr>
            <w:r>
              <w:t>$</w:t>
            </w:r>
            <w:r w:rsidR="00B1475E">
              <w:t>0</w:t>
            </w:r>
          </w:p>
        </w:tc>
        <w:tc>
          <w:tcPr>
            <w:tcW w:w="1644" w:type="dxa"/>
            <w:vAlign w:val="bottom"/>
          </w:tcPr>
          <w:p w:rsidRPr="006061D7" w:rsidR="003F2606" w:rsidP="005609BC" w:rsidRDefault="003F2606" w14:paraId="6917B9A5" w14:textId="09E0EDE5">
            <w:pPr>
              <w:pStyle w:val="CellBodyCenter"/>
            </w:pPr>
            <w:r w:rsidRPr="006061D7">
              <w:t>$</w:t>
            </w:r>
            <w:r w:rsidR="00B1475E">
              <w:t>9</w:t>
            </w:r>
            <w:r w:rsidR="005609BC">
              <w:t>12,834</w:t>
            </w:r>
          </w:p>
        </w:tc>
        <w:tc>
          <w:tcPr>
            <w:tcW w:w="1754" w:type="dxa"/>
            <w:vAlign w:val="bottom"/>
          </w:tcPr>
          <w:p w:rsidR="003F2606" w:rsidP="005609BC" w:rsidRDefault="003F2606" w14:paraId="4E39D6DE" w14:textId="1513320D">
            <w:pPr>
              <w:pStyle w:val="CellBodyCenter"/>
            </w:pPr>
            <w:r>
              <w:t>$</w:t>
            </w:r>
            <w:r w:rsidR="00B1475E">
              <w:t>18</w:t>
            </w:r>
            <w:r w:rsidR="005609BC">
              <w:t>2,568</w:t>
            </w:r>
          </w:p>
        </w:tc>
      </w:tr>
    </w:tbl>
    <w:p w:rsidR="007542FE" w:rsidP="005A76DB" w:rsidRDefault="007542FE" w14:paraId="1B5C9D5A" w14:textId="77777777">
      <w:pPr>
        <w:pStyle w:val="TableNotes"/>
      </w:pPr>
      <w:proofErr w:type="spellStart"/>
      <w:proofErr w:type="gramStart"/>
      <w:r>
        <w:rPr>
          <w:vertAlign w:val="superscript"/>
        </w:rPr>
        <w:t>a</w:t>
      </w:r>
      <w:proofErr w:type="spellEnd"/>
      <w:proofErr w:type="gramEnd"/>
      <w:r>
        <w:t xml:space="preserve"> </w:t>
      </w:r>
      <w:r w:rsidR="003F2606">
        <w:t>Includes major modifications to existing licenses</w:t>
      </w:r>
      <w:r>
        <w:t>.</w:t>
      </w:r>
    </w:p>
    <w:p w:rsidR="003F2606" w:rsidP="005A76DB" w:rsidRDefault="003F2606" w14:paraId="4B0D4DA0" w14:textId="77777777">
      <w:pPr>
        <w:pStyle w:val="TableNotes"/>
      </w:pPr>
      <w:proofErr w:type="gramStart"/>
      <w:r>
        <w:rPr>
          <w:vertAlign w:val="superscript"/>
        </w:rPr>
        <w:t>b</w:t>
      </w:r>
      <w:proofErr w:type="gramEnd"/>
      <w:r w:rsidRPr="003F2606">
        <w:t xml:space="preserve"> </w:t>
      </w:r>
      <w:r>
        <w:t>Renewal of a license application is voluntary.</w:t>
      </w:r>
    </w:p>
    <w:p w:rsidR="007542FE" w:rsidP="005A76DB" w:rsidRDefault="003F2606" w14:paraId="5867DB59" w14:textId="77777777">
      <w:pPr>
        <w:pStyle w:val="TableNotes"/>
      </w:pPr>
      <w:proofErr w:type="gramStart"/>
      <w:r>
        <w:rPr>
          <w:vertAlign w:val="superscript"/>
        </w:rPr>
        <w:t>c</w:t>
      </w:r>
      <w:proofErr w:type="gramEnd"/>
      <w:r w:rsidR="007542FE">
        <w:t xml:space="preserve"> Federal Aviation Administration, Office of Commercial Space Transportation (FAA/AST), April 2006.</w:t>
      </w:r>
    </w:p>
    <w:p w:rsidR="007542FE" w:rsidP="005A76DB" w:rsidRDefault="003F2606" w14:paraId="2356D893" w14:textId="36AF07F5">
      <w:pPr>
        <w:pStyle w:val="TableNotes"/>
      </w:pPr>
      <w:proofErr w:type="gramStart"/>
      <w:r>
        <w:rPr>
          <w:vertAlign w:val="superscript"/>
        </w:rPr>
        <w:t>d</w:t>
      </w:r>
      <w:proofErr w:type="gramEnd"/>
      <w:r w:rsidR="007542FE">
        <w:t xml:space="preserve"> </w:t>
      </w:r>
      <w:r w:rsidRPr="006061D7" w:rsidR="007542FE">
        <w:t>Federal government total cost per annum calculated as $</w:t>
      </w:r>
      <w:r w:rsidR="005609BC">
        <w:t>304,278</w:t>
      </w:r>
      <w:r w:rsidRPr="006061D7" w:rsidR="007542FE">
        <w:t xml:space="preserve"> × </w:t>
      </w:r>
      <w:r w:rsidR="007E6869">
        <w:t>0</w:t>
      </w:r>
      <w:r w:rsidRPr="006061D7" w:rsidR="007542FE">
        <w:t xml:space="preserve"> = $</w:t>
      </w:r>
      <w:r w:rsidR="007E6869">
        <w:t>0</w:t>
      </w:r>
      <w:r w:rsidRPr="006061D7" w:rsidR="007542FE">
        <w:t xml:space="preserve"> for initial applications; </w:t>
      </w:r>
      <w:r w:rsidRPr="000E7A0B" w:rsidR="00242508">
        <w:t>calculated as 50%, or $</w:t>
      </w:r>
      <w:r w:rsidR="007E6869">
        <w:t>15</w:t>
      </w:r>
      <w:r w:rsidR="005609BC">
        <w:t>2,139</w:t>
      </w:r>
      <w:r w:rsidRPr="000E7A0B" w:rsidR="006061D7">
        <w:t>,</w:t>
      </w:r>
      <w:r w:rsidRPr="000E7A0B" w:rsidR="00242508">
        <w:t xml:space="preserve"> for </w:t>
      </w:r>
      <w:r w:rsidRPr="000E7A0B" w:rsidR="006061D7">
        <w:t xml:space="preserve">each </w:t>
      </w:r>
      <w:r w:rsidRPr="000E7A0B" w:rsidR="00242508">
        <w:t>major modifications</w:t>
      </w:r>
      <w:r w:rsidRPr="000E7A0B" w:rsidR="006061D7">
        <w:t xml:space="preserve"> = </w:t>
      </w:r>
      <w:r w:rsidRPr="006061D7" w:rsidR="006061D7">
        <w:t>$</w:t>
      </w:r>
      <w:r w:rsidR="007E6869">
        <w:t>9</w:t>
      </w:r>
      <w:r w:rsidR="00CE53A4">
        <w:t>12,834</w:t>
      </w:r>
      <w:r w:rsidRPr="000E7A0B" w:rsidR="00242508">
        <w:t xml:space="preserve">; </w:t>
      </w:r>
      <w:r w:rsidRPr="006061D7" w:rsidR="007542FE">
        <w:t>calculated as</w:t>
      </w:r>
      <w:r w:rsidRPr="006061D7" w:rsidR="001D00D4">
        <w:t xml:space="preserve"> 10%</w:t>
      </w:r>
      <w:r w:rsidRPr="000E7A0B" w:rsidR="006061D7">
        <w:t>,</w:t>
      </w:r>
      <w:r w:rsidRPr="006061D7" w:rsidR="001D00D4">
        <w:t xml:space="preserve"> </w:t>
      </w:r>
      <w:r w:rsidRPr="006061D7" w:rsidR="008F1CB4">
        <w:t>or $</w:t>
      </w:r>
      <w:r w:rsidR="007E6869">
        <w:t>30,</w:t>
      </w:r>
      <w:r w:rsidR="00CE53A4">
        <w:t>428</w:t>
      </w:r>
      <w:r w:rsidRPr="000E7A0B" w:rsidR="006061D7">
        <w:t>,</w:t>
      </w:r>
      <w:r w:rsidRPr="006061D7" w:rsidR="001D00D4">
        <w:t xml:space="preserve"> </w:t>
      </w:r>
      <w:r w:rsidRPr="006061D7" w:rsidR="007542FE">
        <w:t xml:space="preserve">for </w:t>
      </w:r>
      <w:r w:rsidRPr="000E7A0B" w:rsidR="006061D7">
        <w:t xml:space="preserve">each </w:t>
      </w:r>
      <w:r w:rsidRPr="006061D7" w:rsidR="007542FE">
        <w:t>renewal application</w:t>
      </w:r>
      <w:r w:rsidRPr="000E7A0B" w:rsidR="006061D7">
        <w:t xml:space="preserve"> = </w:t>
      </w:r>
      <w:r w:rsidRPr="006061D7" w:rsidR="006061D7">
        <w:t>$</w:t>
      </w:r>
      <w:r w:rsidR="007E6869">
        <w:t>18</w:t>
      </w:r>
      <w:r w:rsidR="005609BC">
        <w:t>2,568</w:t>
      </w:r>
      <w:r w:rsidRPr="006061D7" w:rsidR="007542FE">
        <w:t>.</w:t>
      </w:r>
    </w:p>
    <w:p w:rsidR="00FB26CD" w:rsidP="00D51D6C" w:rsidRDefault="00FB26CD" w14:paraId="55BF40D0" w14:textId="04FF33B6">
      <w:pPr>
        <w:pStyle w:val="BodyText"/>
      </w:pPr>
      <w:r w:rsidRPr="006061D7">
        <w:t>Th</w:t>
      </w:r>
      <w:r w:rsidRPr="006061D7" w:rsidR="00745EEF">
        <w:t>us, th</w:t>
      </w:r>
      <w:r w:rsidRPr="006061D7">
        <w:t xml:space="preserve">e total cost to the FAA for processing information received under parts 413, 415, and 417 is </w:t>
      </w:r>
      <w:r w:rsidRPr="006061D7" w:rsidR="006061D7">
        <w:t>$</w:t>
      </w:r>
      <w:r w:rsidR="007E6869">
        <w:t>0</w:t>
      </w:r>
      <w:r w:rsidRPr="006061D7">
        <w:t xml:space="preserve"> +</w:t>
      </w:r>
      <w:r w:rsidRPr="000E7A0B" w:rsidR="006061D7">
        <w:t xml:space="preserve"> </w:t>
      </w:r>
      <w:r w:rsidRPr="006061D7" w:rsidR="006061D7">
        <w:t>$</w:t>
      </w:r>
      <w:r w:rsidR="007E6869">
        <w:t>9</w:t>
      </w:r>
      <w:r w:rsidR="005609BC">
        <w:t>12,834</w:t>
      </w:r>
      <w:r w:rsidRPr="002E63CF">
        <w:t>+ $</w:t>
      </w:r>
      <w:r w:rsidR="007E6869">
        <w:t>18</w:t>
      </w:r>
      <w:r w:rsidR="005609BC">
        <w:t>2,568</w:t>
      </w:r>
      <w:r w:rsidRPr="002E63CF">
        <w:t xml:space="preserve"> = </w:t>
      </w:r>
      <w:r w:rsidRPr="008C0399">
        <w:rPr>
          <w:b/>
          <w:u w:val="single"/>
        </w:rPr>
        <w:t>$</w:t>
      </w:r>
      <w:r w:rsidR="007E6869">
        <w:rPr>
          <w:b/>
          <w:u w:val="single"/>
        </w:rPr>
        <w:t>1</w:t>
      </w:r>
      <w:r w:rsidR="007232F2">
        <w:rPr>
          <w:b/>
          <w:u w:val="single"/>
        </w:rPr>
        <w:t>,</w:t>
      </w:r>
      <w:r w:rsidR="00CE53A4">
        <w:rPr>
          <w:b/>
          <w:u w:val="single"/>
        </w:rPr>
        <w:t>095,402</w:t>
      </w:r>
      <w:r w:rsidRPr="008C0399" w:rsidR="002E63CF">
        <w:rPr>
          <w:b/>
          <w:u w:val="single"/>
        </w:rPr>
        <w:t>.</w:t>
      </w:r>
    </w:p>
    <w:p w:rsidR="007542FE" w:rsidP="00FA3404" w:rsidRDefault="007542FE" w14:paraId="25265B5C" w14:textId="77777777">
      <w:pPr>
        <w:pStyle w:val="Heading3"/>
      </w:pPr>
      <w:r>
        <w:t>15.</w:t>
      </w:r>
      <w:r>
        <w:tab/>
        <w:t>Explain the reasons for any program changes or adjustments.</w:t>
      </w:r>
    </w:p>
    <w:p w:rsidR="007542FE" w:rsidP="00D51D6C" w:rsidRDefault="00C11A76" w14:paraId="4B8B8C32" w14:textId="77777777">
      <w:pPr>
        <w:pStyle w:val="BodyText"/>
      </w:pPr>
      <w:r>
        <w:t xml:space="preserve">Part 413 was amended and parts 415 and 417 were replaced by part 450, published October 2020.  Parts 415 and 417 are retained until 2025 and allowed to be used by operators with active licenses at the time of part 450 publication.  This collection still applies to those operators operating under parts 415 and 417 at the time of part 450 publication that wishing to continue to operate under parts 415 and 417.  The burden was adjusted assuming all operators operating under parts 415 and 417 at the time of part 450 publication will continue to operate under parts 415 and 417.  The burden was computed using the number </w:t>
      </w:r>
      <w:r>
        <w:lastRenderedPageBreak/>
        <w:t xml:space="preserve">of active licenses at the time of part 450 publication.  The estimates assumed all operators allowed to operate under parts 415 and 417 continue to do so and renew their licenses until </w:t>
      </w:r>
      <w:r w:rsidR="00BF23D8">
        <w:t>parts 415 and 417 are removed.  This estimate is conservative because it assumes no operators switch to part 450.</w:t>
      </w:r>
    </w:p>
    <w:p w:rsidR="007542FE" w:rsidP="00FA3404" w:rsidRDefault="007542FE" w14:paraId="438E47B6" w14:textId="77777777">
      <w:pPr>
        <w:pStyle w:val="Heading3"/>
      </w:pPr>
      <w:r>
        <w:t>16.</w:t>
      </w:r>
      <w:r>
        <w:tab/>
        <w:t>For collections of information whose results will be published, outline plans for tabulation, and publication.</w:t>
      </w:r>
    </w:p>
    <w:p w:rsidR="007542FE" w:rsidP="00D51D6C" w:rsidRDefault="007542FE" w14:paraId="4461DA06" w14:textId="77777777">
      <w:pPr>
        <w:pStyle w:val="BodyText"/>
      </w:pPr>
      <w:r>
        <w:t>We do not intend to publish this information.</w:t>
      </w:r>
    </w:p>
    <w:p w:rsidR="007542FE" w:rsidP="00FA3404" w:rsidRDefault="007542FE" w14:paraId="78F5E7E6" w14:textId="77777777">
      <w:pPr>
        <w:pStyle w:val="Heading3"/>
      </w:pPr>
      <w:r>
        <w:t>17.</w:t>
      </w:r>
      <w:r>
        <w:tab/>
        <w:t>If seeking approval to not display the expiration date of OMB approval of the information collection, explain the reasons that display would be inappropriate.</w:t>
      </w:r>
    </w:p>
    <w:p w:rsidR="007542FE" w:rsidP="00D51D6C" w:rsidRDefault="007542FE" w14:paraId="0CCE6CF3" w14:textId="77777777">
      <w:pPr>
        <w:pStyle w:val="BodyText"/>
      </w:pPr>
      <w:r>
        <w:t>No approval is sought.</w:t>
      </w:r>
    </w:p>
    <w:p w:rsidR="007542FE" w:rsidP="00FA3404" w:rsidRDefault="007542FE" w14:paraId="66366CA2" w14:textId="77777777">
      <w:pPr>
        <w:pStyle w:val="Heading3"/>
      </w:pPr>
      <w:r>
        <w:t>18.</w:t>
      </w:r>
      <w:r>
        <w:tab/>
        <w:t>Explain each exception.</w:t>
      </w:r>
    </w:p>
    <w:p w:rsidR="007542FE" w:rsidP="00D51D6C" w:rsidRDefault="007542FE" w14:paraId="50F27232" w14:textId="77777777">
      <w:pPr>
        <w:pStyle w:val="BodyText"/>
      </w:pPr>
      <w:r>
        <w:t>There are no exceptions.</w:t>
      </w:r>
    </w:p>
    <w:p w:rsidRPr="004D70FB" w:rsidR="007542FE" w:rsidP="00D51D6C" w:rsidRDefault="007542FE" w14:paraId="0013BEDC" w14:textId="77777777">
      <w:pPr>
        <w:pStyle w:val="BodyText"/>
      </w:pPr>
    </w:p>
    <w:sectPr w:rsidRPr="004D70FB" w:rsidR="007542FE">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7594D1" w14:textId="77777777" w:rsidR="00575F74" w:rsidRDefault="00575F74">
      <w:r>
        <w:separator/>
      </w:r>
    </w:p>
  </w:endnote>
  <w:endnote w:type="continuationSeparator" w:id="0">
    <w:p w14:paraId="7412F987" w14:textId="77777777" w:rsidR="00575F74" w:rsidRDefault="00575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0ED2F" w14:textId="77777777" w:rsidR="00867B0B" w:rsidRDefault="00867B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27E5B7" w14:textId="77777777" w:rsidR="00867B0B" w:rsidRDefault="00867B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18937" w14:textId="2E4AEC35" w:rsidR="00867B0B" w:rsidRDefault="00867B0B">
    <w:pPr>
      <w:pStyle w:val="Footer"/>
      <w:framePr w:wrap="around" w:vAnchor="text" w:hAnchor="margin" w:xAlign="center" w:y="1"/>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5B1A8B">
      <w:rPr>
        <w:rStyle w:val="PageNumber"/>
        <w:noProof/>
      </w:rPr>
      <w:t>9</w:t>
    </w:r>
    <w:r>
      <w:rPr>
        <w:rStyle w:val="PageNumber"/>
      </w:rPr>
      <w:fldChar w:fldCharType="end"/>
    </w:r>
    <w:r>
      <w:rPr>
        <w:rStyle w:val="PageNumber"/>
      </w:rPr>
      <w:t xml:space="preserve"> of 9 Pages</w:t>
    </w:r>
  </w:p>
  <w:p w14:paraId="7A59CC1B" w14:textId="77777777" w:rsidR="00867B0B" w:rsidRDefault="00867B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4E2C0" w14:textId="091756F5" w:rsidR="00867B0B" w:rsidRDefault="00867B0B">
    <w:pPr>
      <w:tabs>
        <w:tab w:val="left" w:pos="0"/>
        <w:tab w:val="right" w:pos="6984"/>
        <w:tab w:val="left" w:pos="7034"/>
      </w:tabs>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5B1A8B">
      <w:rPr>
        <w:rStyle w:val="PageNumber"/>
        <w:noProof/>
      </w:rPr>
      <w:t>1</w:t>
    </w:r>
    <w:r>
      <w:rPr>
        <w:rStyle w:val="PageNumber"/>
      </w:rPr>
      <w:fldChar w:fldCharType="end"/>
    </w:r>
    <w:r>
      <w:rPr>
        <w:rStyle w:val="PageNumber"/>
      </w:rPr>
      <w:t xml:space="preserve"> of 9 Pages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1BF143" w14:textId="77777777" w:rsidR="00575F74" w:rsidRDefault="00575F74">
      <w:r>
        <w:separator/>
      </w:r>
    </w:p>
  </w:footnote>
  <w:footnote w:type="continuationSeparator" w:id="0">
    <w:p w14:paraId="7ABE4A0C" w14:textId="77777777" w:rsidR="00575F74" w:rsidRDefault="00575F74">
      <w:r>
        <w:continuationSeparator/>
      </w:r>
    </w:p>
  </w:footnote>
  <w:footnote w:id="1">
    <w:p w14:paraId="280D479C" w14:textId="77777777" w:rsidR="00867B0B" w:rsidRPr="00D2115B" w:rsidRDefault="00867B0B">
      <w:pPr>
        <w:pStyle w:val="FootnoteText"/>
        <w:rPr>
          <w:rFonts w:ascii="Times New Roman" w:hAnsi="Times New Roman"/>
        </w:rPr>
      </w:pPr>
      <w:r w:rsidRPr="002B4BC6">
        <w:rPr>
          <w:rStyle w:val="FootnoteReference"/>
        </w:rPr>
        <w:footnoteRef/>
      </w:r>
      <w:r w:rsidRPr="002B4BC6">
        <w:rPr>
          <w:rFonts w:ascii="Times New Roman" w:hAnsi="Times New Roman"/>
          <w:sz w:val="20"/>
        </w:rPr>
        <w:t xml:space="preserve"> </w:t>
      </w:r>
      <w:r w:rsidRPr="00D2115B">
        <w:rPr>
          <w:rFonts w:ascii="Times New Roman" w:hAnsi="Times New Roman"/>
        </w:rPr>
        <w:t>Discussions in 2005 with AST personnel indicate that industry expends in excess of 3 person-years, or 6,240 hours (calculated as 2,080 annual person-hours × 3 person-years = 6,240 person-hours) per applicant to comply with the entire license application process.  The hour burden to industry for the collection of information necessary to support the application process can be as much as 45 percent of the total hours expended in this process, or 2,808 hours (calculated as 0.45 × 6,240 = 2,808).</w:t>
      </w:r>
    </w:p>
  </w:footnote>
  <w:footnote w:id="2">
    <w:p w14:paraId="2080E704" w14:textId="77777777" w:rsidR="00867B0B" w:rsidRPr="00D2115B" w:rsidRDefault="00867B0B">
      <w:pPr>
        <w:pStyle w:val="FootnoteText"/>
        <w:rPr>
          <w:rFonts w:ascii="Times New Roman" w:hAnsi="Times New Roman"/>
        </w:rPr>
      </w:pPr>
      <w:r w:rsidRPr="00D2115B">
        <w:rPr>
          <w:rStyle w:val="FootnoteReference"/>
        </w:rPr>
        <w:footnoteRef/>
      </w:r>
      <w:r w:rsidRPr="00D2115B">
        <w:rPr>
          <w:rFonts w:ascii="Times New Roman" w:hAnsi="Times New Roman"/>
        </w:rPr>
        <w:t xml:space="preserve"> Discussions in 2005 with AST personnel indicate that as much as 10 percent of the 2,808 hours are expended collecting information necessary to support a license renewal application.  </w:t>
      </w:r>
      <w:r w:rsidR="00D51D6C" w:rsidRPr="00D2115B">
        <w:rPr>
          <w:rFonts w:ascii="Times New Roman" w:hAnsi="Times New Roman"/>
        </w:rPr>
        <w:t>In addition, data suggests that major modifications require as much as 50% of the 2,808 hours expended for initial applications.</w:t>
      </w:r>
    </w:p>
  </w:footnote>
  <w:footnote w:id="3">
    <w:p w14:paraId="0C2B58E7" w14:textId="77777777" w:rsidR="00867B0B" w:rsidRPr="00D2115B" w:rsidRDefault="00867B0B">
      <w:pPr>
        <w:pStyle w:val="FootnoteText"/>
        <w:rPr>
          <w:rFonts w:ascii="Times New Roman" w:hAnsi="Times New Roman"/>
        </w:rPr>
      </w:pPr>
      <w:r w:rsidRPr="00D2115B">
        <w:rPr>
          <w:rStyle w:val="FootnoteReference"/>
          <w:rFonts w:ascii="Times New Roman" w:hAnsi="Times New Roman"/>
        </w:rPr>
        <w:footnoteRef/>
      </w:r>
      <w:r w:rsidRPr="00D2115B">
        <w:rPr>
          <w:rFonts w:ascii="Times New Roman" w:hAnsi="Times New Roman"/>
        </w:rPr>
        <w:t xml:space="preserve"> Space transportation salaries are based on information obtained from the U.S. Bureau of Labor Statistics (BLS) and the Aerospace Industry Association (AIA) and adjusted for inflation.  </w:t>
      </w:r>
    </w:p>
  </w:footnote>
  <w:footnote w:id="4">
    <w:p w14:paraId="75FE3E3A" w14:textId="77777777" w:rsidR="00867B0B" w:rsidRPr="00D2115B" w:rsidRDefault="00867B0B">
      <w:pPr>
        <w:pStyle w:val="FootnoteText"/>
      </w:pPr>
      <w:r w:rsidRPr="00D2115B">
        <w:rPr>
          <w:rStyle w:val="FootnoteReference"/>
        </w:rPr>
        <w:footnoteRef/>
      </w:r>
      <w:r w:rsidRPr="00D2115B">
        <w:rPr>
          <w:rFonts w:ascii="Times New Roman" w:hAnsi="Times New Roman"/>
        </w:rPr>
        <w:t>Discussions in 2005 with AST personnel indicate that the FAA expends as much as 2.5 person-years, or 5,200 hours (calculated as 2,080 annual person-hours × 2.5 person-years = 5,240 person-hours) to execute the license application review process for a single submittal.  The hour burden to the FAA to review and process the information collected associated with an application submittal can be as much as 75 percent of the total hours expended in this process, or 3,900 hours (calculated as 0.75 × 5,200 = 3,900).</w:t>
      </w:r>
    </w:p>
  </w:footnote>
  <w:footnote w:id="5">
    <w:p w14:paraId="35A62CA2" w14:textId="77777777" w:rsidR="00867B0B" w:rsidRPr="00D2115B" w:rsidRDefault="00867B0B">
      <w:pPr>
        <w:pStyle w:val="FootnoteText"/>
        <w:rPr>
          <w:rFonts w:ascii="Times New Roman" w:hAnsi="Times New Roman"/>
        </w:rPr>
      </w:pPr>
      <w:r w:rsidRPr="00D2115B">
        <w:rPr>
          <w:rStyle w:val="FootnoteReference"/>
        </w:rPr>
        <w:footnoteRef/>
      </w:r>
      <w:r w:rsidRPr="00D2115B">
        <w:rPr>
          <w:rFonts w:ascii="Times New Roman" w:hAnsi="Times New Roman"/>
        </w:rPr>
        <w:t xml:space="preserve"> Discussions in 2005 with AST personnel indicate that as much as 10 percent of the 3,900 hours are expended reviewing and processing the information collected to support a license renewal application.</w:t>
      </w:r>
    </w:p>
    <w:p w14:paraId="430B1C8A" w14:textId="77777777" w:rsidR="00867B0B" w:rsidRPr="00D2115B" w:rsidRDefault="00867B0B">
      <w:pPr>
        <w:pStyle w:val="FootnoteText"/>
        <w:rPr>
          <w:rFonts w:ascii="Times New Roman" w:hAnsi="Times New Roman"/>
        </w:rPr>
      </w:pPr>
      <w:r w:rsidRPr="00D2115B">
        <w:rPr>
          <w:rStyle w:val="FootnoteReference"/>
        </w:rPr>
        <w:t>7</w:t>
      </w:r>
      <w:r w:rsidRPr="00D2115B">
        <w:rPr>
          <w:rFonts w:ascii="Times New Roman" w:hAnsi="Times New Roman"/>
        </w:rPr>
        <w:t xml:space="preserve"> Data from FY15 – 17 suggests that requests for major modifications to existing license applications result in roughly 50 percent of the 3,900 hours expended for an initial application</w:t>
      </w:r>
    </w:p>
  </w:footnote>
  <w:footnote w:id="6">
    <w:p w14:paraId="1C52C43C" w14:textId="77777777" w:rsidR="00867B0B" w:rsidRPr="00D2115B" w:rsidRDefault="00867B0B">
      <w:pPr>
        <w:pStyle w:val="FootnoteText"/>
        <w:rPr>
          <w:rFonts w:ascii="Times New Roman" w:hAnsi="Times New Roman"/>
        </w:rPr>
      </w:pPr>
      <w:r w:rsidRPr="00D2115B">
        <w:rPr>
          <w:rStyle w:val="FootnoteReference"/>
          <w:rFonts w:ascii="Times New Roman" w:hAnsi="Times New Roman"/>
        </w:rPr>
        <w:t>8</w:t>
      </w:r>
      <w:r w:rsidRPr="00D2115B">
        <w:rPr>
          <w:rFonts w:ascii="Times New Roman" w:hAnsi="Times New Roman"/>
        </w:rPr>
        <w:t xml:space="preserve"> Base salary from the 20</w:t>
      </w:r>
      <w:r w:rsidR="00F9656F" w:rsidRPr="00D2115B">
        <w:rPr>
          <w:rFonts w:ascii="Times New Roman" w:hAnsi="Times New Roman"/>
        </w:rPr>
        <w:t>21</w:t>
      </w:r>
      <w:r w:rsidRPr="00D2115B">
        <w:rPr>
          <w:rFonts w:ascii="Times New Roman" w:hAnsi="Times New Roman"/>
        </w:rPr>
        <w:t xml:space="preserve"> Ge</w:t>
      </w:r>
      <w:r w:rsidR="00F9656F" w:rsidRPr="00D2115B">
        <w:rPr>
          <w:rFonts w:ascii="Times New Roman" w:hAnsi="Times New Roman"/>
        </w:rPr>
        <w:t>neral Schedule Salary Table 2021</w:t>
      </w:r>
      <w:r w:rsidRPr="00D2115B">
        <w:rPr>
          <w:rFonts w:ascii="Times New Roman" w:hAnsi="Times New Roman"/>
        </w:rPr>
        <w:t xml:space="preserve">-DCB (for the locality pay area of Washington-Baltimore, Northern Virginia, </w:t>
      </w:r>
      <w:proofErr w:type="gramStart"/>
      <w:r w:rsidRPr="00D2115B">
        <w:rPr>
          <w:rFonts w:ascii="Times New Roman" w:hAnsi="Times New Roman"/>
        </w:rPr>
        <w:t>DC</w:t>
      </w:r>
      <w:proofErr w:type="gramEnd"/>
      <w:r w:rsidRPr="00D2115B">
        <w:rPr>
          <w:rFonts w:ascii="Times New Roman" w:hAnsi="Times New Roman"/>
        </w:rPr>
        <w:t>-MD-PA-VA-WV), GS-13, Step 5.  Fringe benefit from Economic Analysis Investment and Regulatory Decisions — Revised Guide, Federal Aviation Administration, January 1998, page 4-22.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383BF" w14:textId="77777777" w:rsidR="00867B0B" w:rsidRDefault="00867B0B">
    <w:pPr>
      <w:pStyle w:val="Header"/>
      <w:jc w:val="right"/>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C1BA38" w14:textId="77777777" w:rsidR="00867B0B" w:rsidRPr="008E47CB" w:rsidRDefault="00867B0B" w:rsidP="008E47CB">
    <w:pPr>
      <w:pStyle w:val="Header"/>
      <w:tabs>
        <w:tab w:val="clear" w:pos="8640"/>
        <w:tab w:val="right" w:pos="9360"/>
      </w:tabs>
      <w:rPr>
        <w:szCs w:val="20"/>
      </w:rPr>
    </w:pPr>
    <w:r>
      <w:rPr>
        <w:rFonts w:ascii="Arial" w:hAnsi="Arial" w:cs="Arial"/>
        <w:sz w:val="20"/>
        <w:szCs w:val="20"/>
      </w:rPr>
      <w:tab/>
    </w:r>
    <w:r>
      <w:rPr>
        <w:rFonts w:ascii="Arial" w:hAnsi="Arial" w:cs="Arial"/>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0DE81A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36AC64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32C7C9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EE8C73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072E39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2F0E87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39633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8B62E1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6AA7E4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8499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591D2E"/>
    <w:multiLevelType w:val="multilevel"/>
    <w:tmpl w:val="BA92015C"/>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07B55DC2"/>
    <w:multiLevelType w:val="hybridMultilevel"/>
    <w:tmpl w:val="6288517C"/>
    <w:lvl w:ilvl="0" w:tplc="9218310C">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D2876F1"/>
    <w:multiLevelType w:val="hybridMultilevel"/>
    <w:tmpl w:val="B0229312"/>
    <w:lvl w:ilvl="0" w:tplc="FD66DE12">
      <w:start w:val="1"/>
      <w:numFmt w:val="bullet"/>
      <w:lvlText w:val="•"/>
      <w:lvlJc w:val="left"/>
      <w:pPr>
        <w:tabs>
          <w:tab w:val="num" w:pos="1260"/>
        </w:tabs>
        <w:ind w:left="1260" w:hanging="360"/>
      </w:pPr>
      <w:rPr>
        <w:rFonts w:ascii="Times New Roman" w:hAnsi="Times New Roman" w:cs="Times New Roman"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5F0DC4"/>
    <w:multiLevelType w:val="singleLevel"/>
    <w:tmpl w:val="768E828A"/>
    <w:lvl w:ilvl="0">
      <w:start w:val="1"/>
      <w:numFmt w:val="decimal"/>
      <w:lvlText w:val="%1."/>
      <w:legacy w:legacy="1" w:legacySpace="0" w:legacyIndent="360"/>
      <w:lvlJc w:val="left"/>
      <w:pPr>
        <w:ind w:left="360" w:hanging="360"/>
      </w:pPr>
    </w:lvl>
  </w:abstractNum>
  <w:abstractNum w:abstractNumId="14" w15:restartNumberingAfterBreak="0">
    <w:nsid w:val="1EE60D50"/>
    <w:multiLevelType w:val="hybridMultilevel"/>
    <w:tmpl w:val="61F6AAC8"/>
    <w:lvl w:ilvl="0" w:tplc="9218310C">
      <w:start w:val="7"/>
      <w:numFmt w:val="decimal"/>
      <w:lvlText w:val="%1."/>
      <w:lvlJc w:val="left"/>
      <w:pPr>
        <w:tabs>
          <w:tab w:val="num" w:pos="720"/>
        </w:tabs>
        <w:ind w:left="720" w:hanging="360"/>
      </w:pPr>
      <w:rPr>
        <w:rFonts w:hint="default"/>
      </w:rPr>
    </w:lvl>
    <w:lvl w:ilvl="1" w:tplc="393C2DAC">
      <w:start w:val="2"/>
      <w:numFmt w:val="upp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45A5BC9"/>
    <w:multiLevelType w:val="hybridMultilevel"/>
    <w:tmpl w:val="1E32E6B6"/>
    <w:lvl w:ilvl="0" w:tplc="F72CDA50">
      <w:start w:val="1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69E06CA"/>
    <w:multiLevelType w:val="hybridMultilevel"/>
    <w:tmpl w:val="22881594"/>
    <w:lvl w:ilvl="0" w:tplc="FD66DE12">
      <w:start w:val="1"/>
      <w:numFmt w:val="bullet"/>
      <w:lvlText w:val="•"/>
      <w:lvlJc w:val="left"/>
      <w:pPr>
        <w:tabs>
          <w:tab w:val="num" w:pos="1080"/>
        </w:tabs>
        <w:ind w:left="1080" w:hanging="360"/>
      </w:pPr>
      <w:rPr>
        <w:rFonts w:ascii="Times New Roman" w:hAnsi="Times New Roman" w:cs="Times New Roman" w:hint="default"/>
        <w:sz w:val="24"/>
        <w:szCs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7742C06"/>
    <w:multiLevelType w:val="hybridMultilevel"/>
    <w:tmpl w:val="E02C7E70"/>
    <w:lvl w:ilvl="0" w:tplc="F72CDA50">
      <w:start w:val="12"/>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03E57B4"/>
    <w:multiLevelType w:val="hybridMultilevel"/>
    <w:tmpl w:val="BB344D0E"/>
    <w:lvl w:ilvl="0" w:tplc="9218310C">
      <w:start w:val="1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18B4354"/>
    <w:multiLevelType w:val="hybridMultilevel"/>
    <w:tmpl w:val="5FD87638"/>
    <w:lvl w:ilvl="0" w:tplc="9218310C">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673731D"/>
    <w:multiLevelType w:val="hybridMultilevel"/>
    <w:tmpl w:val="A8761F76"/>
    <w:lvl w:ilvl="0" w:tplc="0409000F">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15:restartNumberingAfterBreak="0">
    <w:nsid w:val="47DE53D2"/>
    <w:multiLevelType w:val="hybridMultilevel"/>
    <w:tmpl w:val="DC0EB6AA"/>
    <w:lvl w:ilvl="0" w:tplc="9218310C">
      <w:start w:val="1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B182B72"/>
    <w:multiLevelType w:val="hybridMultilevel"/>
    <w:tmpl w:val="BA92015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7B92438"/>
    <w:multiLevelType w:val="hybridMultilevel"/>
    <w:tmpl w:val="5DC26E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BDE24EB"/>
    <w:multiLevelType w:val="hybridMultilevel"/>
    <w:tmpl w:val="07C6917E"/>
    <w:lvl w:ilvl="0" w:tplc="5F3E366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64530476"/>
    <w:multiLevelType w:val="hybridMultilevel"/>
    <w:tmpl w:val="AED017FC"/>
    <w:lvl w:ilvl="0" w:tplc="249AADEC">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9F5258E"/>
    <w:multiLevelType w:val="hybridMultilevel"/>
    <w:tmpl w:val="A6EE6108"/>
    <w:lvl w:ilvl="0" w:tplc="F72CDA50">
      <w:start w:val="1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CC10692"/>
    <w:multiLevelType w:val="hybridMultilevel"/>
    <w:tmpl w:val="86B41CEA"/>
    <w:lvl w:ilvl="0" w:tplc="F72CDA50">
      <w:start w:val="12"/>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70941E53"/>
    <w:multiLevelType w:val="hybridMultilevel"/>
    <w:tmpl w:val="04B28D3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5E11637"/>
    <w:multiLevelType w:val="singleLevel"/>
    <w:tmpl w:val="D7C076C4"/>
    <w:lvl w:ilvl="0">
      <w:start w:val="8"/>
      <w:numFmt w:val="decimal"/>
      <w:lvlText w:val="%1."/>
      <w:lvlJc w:val="left"/>
      <w:pPr>
        <w:tabs>
          <w:tab w:val="num" w:pos="720"/>
        </w:tabs>
        <w:ind w:left="720" w:hanging="720"/>
      </w:pPr>
      <w:rPr>
        <w:rFonts w:hint="default"/>
      </w:rPr>
    </w:lvl>
  </w:abstractNum>
  <w:abstractNum w:abstractNumId="31" w15:restartNumberingAfterBreak="0">
    <w:nsid w:val="7685121B"/>
    <w:multiLevelType w:val="hybridMultilevel"/>
    <w:tmpl w:val="9EAA6C58"/>
    <w:lvl w:ilvl="0" w:tplc="9FF61F02">
      <w:start w:val="1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AA85F46"/>
    <w:multiLevelType w:val="singleLevel"/>
    <w:tmpl w:val="0409001B"/>
    <w:lvl w:ilvl="0">
      <w:start w:val="1"/>
      <w:numFmt w:val="lowerRoman"/>
      <w:lvlText w:val="%1."/>
      <w:lvlJc w:val="right"/>
      <w:pPr>
        <w:tabs>
          <w:tab w:val="num" w:pos="504"/>
        </w:tabs>
        <w:ind w:left="504" w:hanging="216"/>
      </w:pPr>
    </w:lvl>
  </w:abstractNum>
  <w:abstractNum w:abstractNumId="33" w15:restartNumberingAfterBreak="0">
    <w:nsid w:val="7C981C35"/>
    <w:multiLevelType w:val="singleLevel"/>
    <w:tmpl w:val="0409000F"/>
    <w:lvl w:ilvl="0">
      <w:start w:val="1"/>
      <w:numFmt w:val="decimal"/>
      <w:lvlText w:val="%1."/>
      <w:lvlJc w:val="left"/>
      <w:pPr>
        <w:tabs>
          <w:tab w:val="num" w:pos="360"/>
        </w:tabs>
        <w:ind w:left="360" w:hanging="360"/>
      </w:pPr>
    </w:lvl>
  </w:abstractNum>
  <w:num w:numId="1">
    <w:abstractNumId w:val="28"/>
  </w:num>
  <w:num w:numId="2">
    <w:abstractNumId w:val="20"/>
  </w:num>
  <w:num w:numId="3">
    <w:abstractNumId w:val="30"/>
  </w:num>
  <w:num w:numId="4">
    <w:abstractNumId w:val="22"/>
  </w:num>
  <w:num w:numId="5">
    <w:abstractNumId w:val="10"/>
  </w:num>
  <w:num w:numId="6">
    <w:abstractNumId w:val="16"/>
  </w:num>
  <w:num w:numId="7">
    <w:abstractNumId w:val="14"/>
  </w:num>
  <w:num w:numId="8">
    <w:abstractNumId w:val="17"/>
  </w:num>
  <w:num w:numId="9">
    <w:abstractNumId w:val="27"/>
  </w:num>
  <w:num w:numId="10">
    <w:abstractNumId w:val="18"/>
  </w:num>
  <w:num w:numId="11">
    <w:abstractNumId w:val="21"/>
  </w:num>
  <w:num w:numId="12">
    <w:abstractNumId w:val="15"/>
  </w:num>
  <w:num w:numId="13">
    <w:abstractNumId w:val="12"/>
  </w:num>
  <w:num w:numId="14">
    <w:abstractNumId w:val="26"/>
  </w:num>
  <w:num w:numId="15">
    <w:abstractNumId w:val="11"/>
  </w:num>
  <w:num w:numId="16">
    <w:abstractNumId w:val="19"/>
  </w:num>
  <w:num w:numId="17">
    <w:abstractNumId w:val="32"/>
  </w:num>
  <w:num w:numId="18">
    <w:abstractNumId w:val="33"/>
  </w:num>
  <w:num w:numId="19">
    <w:abstractNumId w:val="13"/>
  </w:num>
  <w:num w:numId="20">
    <w:abstractNumId w:val="24"/>
  </w:num>
  <w:num w:numId="21">
    <w:abstractNumId w:val="25"/>
  </w:num>
  <w:num w:numId="22">
    <w:abstractNumId w:val="31"/>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 w:numId="33">
    <w:abstractNumId w:val="23"/>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1FD"/>
    <w:rsid w:val="00000E0E"/>
    <w:rsid w:val="00015405"/>
    <w:rsid w:val="000370B7"/>
    <w:rsid w:val="0004507B"/>
    <w:rsid w:val="00051B47"/>
    <w:rsid w:val="000618B9"/>
    <w:rsid w:val="00065D43"/>
    <w:rsid w:val="000B6630"/>
    <w:rsid w:val="000D1E01"/>
    <w:rsid w:val="000E6B62"/>
    <w:rsid w:val="000E7A0B"/>
    <w:rsid w:val="000F0DAF"/>
    <w:rsid w:val="00100134"/>
    <w:rsid w:val="00113BF7"/>
    <w:rsid w:val="0013603C"/>
    <w:rsid w:val="00146289"/>
    <w:rsid w:val="00146440"/>
    <w:rsid w:val="00154DEF"/>
    <w:rsid w:val="001671E7"/>
    <w:rsid w:val="00185D9E"/>
    <w:rsid w:val="00187321"/>
    <w:rsid w:val="00196176"/>
    <w:rsid w:val="001D00D4"/>
    <w:rsid w:val="001E24C0"/>
    <w:rsid w:val="001E5636"/>
    <w:rsid w:val="001E70F1"/>
    <w:rsid w:val="002051CA"/>
    <w:rsid w:val="0021737C"/>
    <w:rsid w:val="00242508"/>
    <w:rsid w:val="00271BE7"/>
    <w:rsid w:val="002922FE"/>
    <w:rsid w:val="002929AB"/>
    <w:rsid w:val="002A064A"/>
    <w:rsid w:val="002B4BC6"/>
    <w:rsid w:val="002C5FD4"/>
    <w:rsid w:val="002E63CF"/>
    <w:rsid w:val="002F6D66"/>
    <w:rsid w:val="00301976"/>
    <w:rsid w:val="003446D4"/>
    <w:rsid w:val="00347CF5"/>
    <w:rsid w:val="0036222D"/>
    <w:rsid w:val="0037432B"/>
    <w:rsid w:val="0037786A"/>
    <w:rsid w:val="00396124"/>
    <w:rsid w:val="003F2606"/>
    <w:rsid w:val="003F4266"/>
    <w:rsid w:val="00406613"/>
    <w:rsid w:val="00420FE8"/>
    <w:rsid w:val="00446BA5"/>
    <w:rsid w:val="00453704"/>
    <w:rsid w:val="00456D68"/>
    <w:rsid w:val="004A5806"/>
    <w:rsid w:val="004D70FB"/>
    <w:rsid w:val="004F4562"/>
    <w:rsid w:val="00514A7A"/>
    <w:rsid w:val="00517024"/>
    <w:rsid w:val="00517D1C"/>
    <w:rsid w:val="0052172E"/>
    <w:rsid w:val="005314C1"/>
    <w:rsid w:val="00532DA9"/>
    <w:rsid w:val="005609BC"/>
    <w:rsid w:val="00562F23"/>
    <w:rsid w:val="005703A8"/>
    <w:rsid w:val="00572FB9"/>
    <w:rsid w:val="00575F74"/>
    <w:rsid w:val="00586ADC"/>
    <w:rsid w:val="005A6A9F"/>
    <w:rsid w:val="005A76DB"/>
    <w:rsid w:val="005B1A8B"/>
    <w:rsid w:val="005C5B23"/>
    <w:rsid w:val="005D13A9"/>
    <w:rsid w:val="005D3271"/>
    <w:rsid w:val="005F535F"/>
    <w:rsid w:val="006034DB"/>
    <w:rsid w:val="006061D7"/>
    <w:rsid w:val="00611A50"/>
    <w:rsid w:val="00651BFE"/>
    <w:rsid w:val="006534EE"/>
    <w:rsid w:val="00667775"/>
    <w:rsid w:val="00667BB8"/>
    <w:rsid w:val="006C706A"/>
    <w:rsid w:val="006D398F"/>
    <w:rsid w:val="006F26E2"/>
    <w:rsid w:val="0070448E"/>
    <w:rsid w:val="007232F2"/>
    <w:rsid w:val="00724FAB"/>
    <w:rsid w:val="00740367"/>
    <w:rsid w:val="00745EEF"/>
    <w:rsid w:val="007542FE"/>
    <w:rsid w:val="00773694"/>
    <w:rsid w:val="007848B7"/>
    <w:rsid w:val="007D307E"/>
    <w:rsid w:val="007E6869"/>
    <w:rsid w:val="007E71E1"/>
    <w:rsid w:val="008168C6"/>
    <w:rsid w:val="00836C44"/>
    <w:rsid w:val="00867B0B"/>
    <w:rsid w:val="00897DF3"/>
    <w:rsid w:val="008B0909"/>
    <w:rsid w:val="008C0399"/>
    <w:rsid w:val="008D791C"/>
    <w:rsid w:val="008E47CB"/>
    <w:rsid w:val="008F1CB4"/>
    <w:rsid w:val="0091599D"/>
    <w:rsid w:val="00915B15"/>
    <w:rsid w:val="00916742"/>
    <w:rsid w:val="00986590"/>
    <w:rsid w:val="0099163D"/>
    <w:rsid w:val="009A7962"/>
    <w:rsid w:val="009C20A6"/>
    <w:rsid w:val="009D600E"/>
    <w:rsid w:val="009E3207"/>
    <w:rsid w:val="00A2683E"/>
    <w:rsid w:val="00A4224F"/>
    <w:rsid w:val="00A476DD"/>
    <w:rsid w:val="00A572D2"/>
    <w:rsid w:val="00A62D20"/>
    <w:rsid w:val="00A636A4"/>
    <w:rsid w:val="00A6537E"/>
    <w:rsid w:val="00A70252"/>
    <w:rsid w:val="00AA628C"/>
    <w:rsid w:val="00AC747A"/>
    <w:rsid w:val="00AD57A0"/>
    <w:rsid w:val="00AF167C"/>
    <w:rsid w:val="00B1475E"/>
    <w:rsid w:val="00B26D82"/>
    <w:rsid w:val="00B378E4"/>
    <w:rsid w:val="00B52DEA"/>
    <w:rsid w:val="00B679D1"/>
    <w:rsid w:val="00B7157E"/>
    <w:rsid w:val="00B7312D"/>
    <w:rsid w:val="00B87063"/>
    <w:rsid w:val="00BC2D9E"/>
    <w:rsid w:val="00BE48B0"/>
    <w:rsid w:val="00BE4B49"/>
    <w:rsid w:val="00BF23D8"/>
    <w:rsid w:val="00C01A8C"/>
    <w:rsid w:val="00C11A76"/>
    <w:rsid w:val="00C17403"/>
    <w:rsid w:val="00C21EE5"/>
    <w:rsid w:val="00C26578"/>
    <w:rsid w:val="00C3059A"/>
    <w:rsid w:val="00C36403"/>
    <w:rsid w:val="00C52693"/>
    <w:rsid w:val="00C54919"/>
    <w:rsid w:val="00C562D4"/>
    <w:rsid w:val="00C617B9"/>
    <w:rsid w:val="00C62B02"/>
    <w:rsid w:val="00C652E1"/>
    <w:rsid w:val="00C878D4"/>
    <w:rsid w:val="00CA36F2"/>
    <w:rsid w:val="00CC1872"/>
    <w:rsid w:val="00CC6E94"/>
    <w:rsid w:val="00CD0079"/>
    <w:rsid w:val="00CD2A1B"/>
    <w:rsid w:val="00CE005B"/>
    <w:rsid w:val="00CE53A4"/>
    <w:rsid w:val="00CF13F2"/>
    <w:rsid w:val="00CF297C"/>
    <w:rsid w:val="00CF3109"/>
    <w:rsid w:val="00D12925"/>
    <w:rsid w:val="00D2115B"/>
    <w:rsid w:val="00D37E7B"/>
    <w:rsid w:val="00D37FEB"/>
    <w:rsid w:val="00D4168A"/>
    <w:rsid w:val="00D51D6C"/>
    <w:rsid w:val="00D53066"/>
    <w:rsid w:val="00D83450"/>
    <w:rsid w:val="00D9618F"/>
    <w:rsid w:val="00DA0C2B"/>
    <w:rsid w:val="00DF1903"/>
    <w:rsid w:val="00E10458"/>
    <w:rsid w:val="00E66E47"/>
    <w:rsid w:val="00E9129D"/>
    <w:rsid w:val="00EA21FD"/>
    <w:rsid w:val="00EB539E"/>
    <w:rsid w:val="00EB7869"/>
    <w:rsid w:val="00EC460A"/>
    <w:rsid w:val="00ED00BF"/>
    <w:rsid w:val="00ED70D5"/>
    <w:rsid w:val="00EE3364"/>
    <w:rsid w:val="00F25E9B"/>
    <w:rsid w:val="00F622D0"/>
    <w:rsid w:val="00F86557"/>
    <w:rsid w:val="00F94EBE"/>
    <w:rsid w:val="00F9656F"/>
    <w:rsid w:val="00FA3404"/>
    <w:rsid w:val="00FB26CD"/>
    <w:rsid w:val="00FB5393"/>
    <w:rsid w:val="00FB6DE4"/>
    <w:rsid w:val="00FD59A8"/>
    <w:rsid w:val="00FE0FC5"/>
    <w:rsid w:val="00FF0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8BD491"/>
  <w15:docId w15:val="{8AE31ABC-1175-496E-B101-CED7EDEC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BodyText"/>
    <w:autoRedefine/>
    <w:qFormat/>
    <w:rsid w:val="00FA3404"/>
    <w:pPr>
      <w:keepNext/>
      <w:keepLines/>
      <w:suppressAutoHyphens/>
      <w:spacing w:before="240" w:after="120"/>
      <w:ind w:left="475" w:hanging="475"/>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next w:val="Normal"/>
    <w:autoRedefine/>
    <w:qFormat/>
    <w:rsid w:val="00517024"/>
    <w:pPr>
      <w:keepNext/>
      <w:suppressAutoHyphens/>
      <w:jc w:val="center"/>
      <w:outlineLvl w:val="5"/>
    </w:pPr>
    <w:rPr>
      <w:rFonts w:ascii="Arial" w:hAnsi="Arial"/>
      <w:b/>
      <w:bCs/>
      <w:sz w:val="24"/>
      <w:szCs w:val="24"/>
    </w:rPr>
  </w:style>
  <w:style w:type="paragraph" w:styleId="Heading8">
    <w:name w:val="heading 8"/>
    <w:basedOn w:val="Normal"/>
    <w:next w:val="Normal"/>
    <w:qFormat/>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aliases w:val="Table"/>
    <w:basedOn w:val="Normal"/>
    <w:next w:val="Normal"/>
    <w:semiHidden/>
    <w:pPr>
      <w:ind w:left="480" w:hanging="480"/>
    </w:pPr>
    <w:rPr>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b/>
      <w:smallCaps/>
    </w:rPr>
  </w:style>
  <w:style w:type="paragraph" w:styleId="TOC1">
    <w:name w:val="toc 1"/>
    <w:basedOn w:val="Normal"/>
    <w:next w:val="Normal"/>
    <w:autoRedefine/>
    <w:semiHidden/>
    <w:pPr>
      <w:spacing w:before="120" w:after="120"/>
    </w:pPr>
    <w:rPr>
      <w:bCs/>
    </w:rPr>
  </w:style>
  <w:style w:type="paragraph" w:styleId="Footer">
    <w:name w:val="footer"/>
    <w:basedOn w:val="Normal"/>
    <w:pPr>
      <w:tabs>
        <w:tab w:val="center" w:pos="4320"/>
        <w:tab w:val="right" w:pos="8640"/>
      </w:tabs>
    </w:pPr>
  </w:style>
  <w:style w:type="paragraph" w:customStyle="1" w:styleId="Style1">
    <w:name w:val="Style1"/>
    <w:basedOn w:val="Heading1"/>
    <w:pPr>
      <w:jc w:val="center"/>
    </w:pPr>
    <w:rPr>
      <w:rFonts w:ascii="Times New Roman" w:hAnsi="Times New Roman" w:cs="Times New Roman"/>
      <w:sz w:val="24"/>
      <w:szCs w:val="24"/>
    </w:rPr>
  </w:style>
  <w:style w:type="paragraph" w:customStyle="1" w:styleId="Style2">
    <w:name w:val="Style2"/>
    <w:basedOn w:val="Heading1"/>
    <w:pPr>
      <w:jc w:val="center"/>
    </w:pPr>
    <w:rPr>
      <w:rFonts w:ascii="Times New Roman" w:hAnsi="Times New Roman"/>
      <w:kern w:val="0"/>
      <w:sz w:val="24"/>
    </w:rPr>
  </w:style>
  <w:style w:type="paragraph" w:customStyle="1" w:styleId="Style3">
    <w:name w:val="Style3"/>
    <w:basedOn w:val="BodyTextIndent3"/>
    <w:next w:val="Normal"/>
    <w:pPr>
      <w:spacing w:after="0" w:line="360" w:lineRule="auto"/>
      <w:ind w:firstLine="720"/>
    </w:pPr>
    <w:rPr>
      <w:b/>
      <w:sz w:val="24"/>
      <w:szCs w:val="24"/>
    </w:rPr>
  </w:style>
  <w:style w:type="paragraph" w:styleId="BodyTextIndent3">
    <w:name w:val="Body Text Indent 3"/>
    <w:basedOn w:val="Normal"/>
    <w:pPr>
      <w:spacing w:after="120"/>
      <w:ind w:left="360"/>
    </w:pPr>
    <w:rPr>
      <w:sz w:val="16"/>
      <w:szCs w:val="16"/>
    </w:rPr>
  </w:style>
  <w:style w:type="paragraph" w:customStyle="1" w:styleId="Style4">
    <w:name w:val="Style4"/>
    <w:basedOn w:val="Heading2"/>
    <w:autoRedefine/>
    <w:pPr>
      <w:spacing w:line="360" w:lineRule="auto"/>
    </w:pPr>
    <w:rPr>
      <w:rFonts w:ascii="Times New Roman" w:hAnsi="Times New Roman"/>
      <w:i w:val="0"/>
      <w:sz w:val="24"/>
      <w:szCs w:val="24"/>
    </w:rPr>
  </w:style>
  <w:style w:type="paragraph" w:customStyle="1" w:styleId="Style5">
    <w:name w:val="Style5"/>
    <w:basedOn w:val="Heading2"/>
    <w:autoRedefine/>
    <w:pPr>
      <w:spacing w:after="120" w:line="360" w:lineRule="auto"/>
    </w:pPr>
    <w:rPr>
      <w:rFonts w:ascii="Times New Roman" w:hAnsi="Times New Roman"/>
      <w:i w:val="0"/>
      <w:iCs w:val="0"/>
      <w:sz w:val="24"/>
    </w:rPr>
  </w:style>
  <w:style w:type="paragraph" w:styleId="BodyTextIndent">
    <w:name w:val="Body Text Indent"/>
    <w:basedOn w:val="Normal"/>
    <w:pPr>
      <w:tabs>
        <w:tab w:val="left" w:pos="-720"/>
        <w:tab w:val="left" w:pos="0"/>
      </w:tabs>
      <w:suppressAutoHyphens/>
      <w:ind w:left="720" w:hanging="720"/>
    </w:pPr>
    <w:rPr>
      <w:szCs w:val="20"/>
    </w:rPr>
  </w:style>
  <w:style w:type="paragraph" w:styleId="FootnoteText">
    <w:name w:val="footnote text"/>
    <w:basedOn w:val="Normal"/>
    <w:semiHidden/>
    <w:pPr>
      <w:widowControl w:val="0"/>
    </w:pPr>
    <w:rPr>
      <w:rFonts w:ascii="Courier" w:hAnsi="Courier"/>
      <w:szCs w:val="20"/>
    </w:rPr>
  </w:style>
  <w:style w:type="character" w:styleId="FootnoteReference">
    <w:name w:val="footnote reference"/>
    <w:semiHidden/>
    <w:rPr>
      <w:vertAlign w:val="superscript"/>
    </w:rPr>
  </w:style>
  <w:style w:type="character" w:styleId="PageNumber">
    <w:name w:val="page number"/>
    <w:basedOn w:val="DefaultParagraphFont"/>
  </w:style>
  <w:style w:type="paragraph" w:styleId="ListBullet">
    <w:name w:val="List Bullet"/>
    <w:basedOn w:val="Normal"/>
    <w:autoRedefine/>
    <w:rsid w:val="00FA3404"/>
    <w:pPr>
      <w:ind w:left="450"/>
    </w:p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BalloonText">
    <w:name w:val="Balloon Text"/>
    <w:basedOn w:val="Normal"/>
    <w:semiHidden/>
    <w:rPr>
      <w:rFonts w:ascii="Tahoma" w:hAnsi="Tahoma" w:cs="Tahoma"/>
      <w:sz w:val="16"/>
      <w:szCs w:val="16"/>
    </w:rPr>
  </w:style>
  <w:style w:type="paragraph" w:styleId="BodyText">
    <w:name w:val="Body Text"/>
    <w:link w:val="BodyTextChar"/>
    <w:autoRedefine/>
    <w:rsid w:val="00D51D6C"/>
    <w:pPr>
      <w:spacing w:before="120" w:after="120"/>
      <w:ind w:left="480"/>
    </w:pPr>
    <w:rPr>
      <w:sz w:val="24"/>
      <w:szCs w:val="24"/>
    </w:rPr>
  </w:style>
  <w:style w:type="paragraph" w:customStyle="1" w:styleId="BodyText21CharCharChar">
    <w:name w:val="Body Text 21 Char Char Char"/>
    <w:basedOn w:val="Normal"/>
    <w:pPr>
      <w:widowControl w:val="0"/>
      <w:spacing w:line="360" w:lineRule="auto"/>
    </w:pPr>
    <w:rPr>
      <w:rFonts w:ascii="Courier New" w:hAnsi="Courier New"/>
      <w:sz w:val="22"/>
      <w:szCs w:val="20"/>
    </w:rPr>
  </w:style>
  <w:style w:type="paragraph" w:styleId="Header">
    <w:name w:val="header"/>
    <w:basedOn w:val="Normal"/>
    <w:pPr>
      <w:tabs>
        <w:tab w:val="center" w:pos="4320"/>
        <w:tab w:val="right" w:pos="8640"/>
      </w:tabs>
    </w:pPr>
  </w:style>
  <w:style w:type="paragraph" w:customStyle="1" w:styleId="TOCBase">
    <w:name w:val="TOC Base"/>
    <w:basedOn w:val="Normal"/>
    <w:pPr>
      <w:tabs>
        <w:tab w:val="right" w:leader="dot" w:pos="6480"/>
      </w:tabs>
      <w:spacing w:after="240" w:line="240" w:lineRule="atLeast"/>
    </w:pPr>
    <w:rPr>
      <w:rFonts w:ascii="Arial" w:hAnsi="Arial"/>
      <w:spacing w:val="-5"/>
      <w:sz w:val="20"/>
      <w:szCs w:val="20"/>
    </w:rPr>
  </w:style>
  <w:style w:type="paragraph" w:customStyle="1" w:styleId="TableText">
    <w:name w:val="Table Text"/>
    <w:basedOn w:val="Normal"/>
    <w:pPr>
      <w:spacing w:before="60"/>
    </w:pPr>
    <w:rPr>
      <w:rFonts w:ascii="Arial" w:hAnsi="Arial"/>
      <w:spacing w:val="-5"/>
      <w:sz w:val="16"/>
      <w:szCs w:val="20"/>
    </w:rPr>
  </w:style>
  <w:style w:type="paragraph" w:styleId="Title">
    <w:name w:val="Title"/>
    <w:basedOn w:val="Normal"/>
    <w:next w:val="Subtitle"/>
    <w:qFormat/>
    <w:pPr>
      <w:keepNext/>
      <w:keepLines/>
      <w:pBdr>
        <w:top w:val="single" w:sz="6" w:space="16" w:color="auto"/>
      </w:pBdr>
      <w:spacing w:before="220" w:after="60" w:line="320" w:lineRule="atLeast"/>
    </w:pPr>
    <w:rPr>
      <w:rFonts w:ascii="Arial Black" w:hAnsi="Arial Black"/>
      <w:spacing w:val="-30"/>
      <w:kern w:val="28"/>
      <w:sz w:val="40"/>
      <w:szCs w:val="20"/>
    </w:rPr>
  </w:style>
  <w:style w:type="paragraph" w:styleId="Subtitle">
    <w:name w:val="Subtitle"/>
    <w:basedOn w:val="Normal"/>
    <w:qFormat/>
    <w:pPr>
      <w:spacing w:after="60"/>
      <w:jc w:val="center"/>
      <w:outlineLvl w:val="1"/>
    </w:pPr>
    <w:rPr>
      <w:rFonts w:ascii="Arial" w:hAnsi="Arial" w:cs="Arial"/>
    </w:rPr>
  </w:style>
  <w:style w:type="paragraph" w:styleId="BodyTextIndent2">
    <w:name w:val="Body Text Indent 2"/>
    <w:basedOn w:val="Normal"/>
    <w:pPr>
      <w:spacing w:after="120" w:line="480" w:lineRule="auto"/>
      <w:ind w:left="360"/>
    </w:pPr>
  </w:style>
  <w:style w:type="paragraph" w:styleId="BodyText2">
    <w:name w:val="Body Text 2"/>
    <w:basedOn w:val="Normal"/>
    <w:pPr>
      <w:spacing w:after="120" w:line="480" w:lineRule="auto"/>
    </w:pPr>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pPr>
      <w:keepNext/>
      <w:spacing w:line="480" w:lineRule="atLeast"/>
    </w:pPr>
    <w:rPr>
      <w:rFonts w:ascii="Arial Black" w:hAnsi="Arial Black"/>
      <w:spacing w:val="-5"/>
      <w:szCs w:val="20"/>
    </w:rPr>
  </w:style>
  <w:style w:type="paragraph" w:customStyle="1" w:styleId="paragraph">
    <w:name w:val="paragraph"/>
    <w:basedOn w:val="Normal"/>
    <w:pPr>
      <w:spacing w:before="120" w:after="120" w:line="360" w:lineRule="auto"/>
    </w:pPr>
    <w:rPr>
      <w:kern w:val="28"/>
      <w:szCs w:val="20"/>
    </w:rPr>
  </w:style>
  <w:style w:type="character" w:styleId="HTMLTypewriter">
    <w:name w:val="HTML Typewriter"/>
    <w:rPr>
      <w:rFonts w:ascii="Courier New" w:eastAsia="Times New Roman" w:hAnsi="Courier New" w:cs="Courier New"/>
      <w:sz w:val="20"/>
      <w:szCs w:val="20"/>
    </w:rPr>
  </w:style>
  <w:style w:type="paragraph" w:customStyle="1" w:styleId="CellBodyLeft">
    <w:name w:val="CellBody Left"/>
    <w:autoRedefine/>
    <w:rsid w:val="006061D7"/>
    <w:pPr>
      <w:keepNext/>
      <w:keepLines/>
      <w:tabs>
        <w:tab w:val="left" w:pos="-720"/>
      </w:tabs>
      <w:suppressAutoHyphens/>
    </w:pPr>
    <w:rPr>
      <w:rFonts w:ascii="Arial" w:hAnsi="Arial" w:cs="Arial"/>
      <w:sz w:val="22"/>
      <w:szCs w:val="24"/>
    </w:rPr>
  </w:style>
  <w:style w:type="paragraph" w:customStyle="1" w:styleId="CellBodyCenter">
    <w:name w:val="CellBody Center"/>
    <w:basedOn w:val="CellBodyLeft"/>
    <w:autoRedefine/>
    <w:rsid w:val="00A62D20"/>
    <w:pPr>
      <w:jc w:val="center"/>
    </w:pPr>
  </w:style>
  <w:style w:type="paragraph" w:customStyle="1" w:styleId="Title2">
    <w:name w:val="Title2"/>
    <w:autoRedefine/>
    <w:rsid w:val="00456D68"/>
    <w:pPr>
      <w:keepLines/>
      <w:pageBreakBefore/>
      <w:suppressAutoHyphens/>
      <w:spacing w:after="360"/>
      <w:jc w:val="center"/>
    </w:pPr>
    <w:rPr>
      <w:rFonts w:ascii="Arial" w:hAnsi="Arial"/>
      <w:b/>
      <w:spacing w:val="-30"/>
      <w:sz w:val="32"/>
    </w:rPr>
  </w:style>
  <w:style w:type="paragraph" w:customStyle="1" w:styleId="Subtitle2">
    <w:name w:val="Subtitle 2"/>
    <w:autoRedefine/>
    <w:rsid w:val="005B1A8B"/>
    <w:pPr>
      <w:tabs>
        <w:tab w:val="left" w:pos="4170"/>
      </w:tabs>
      <w:spacing w:before="360" w:after="360"/>
    </w:pPr>
    <w:rPr>
      <w:b/>
      <w:szCs w:val="24"/>
    </w:rPr>
  </w:style>
  <w:style w:type="paragraph" w:customStyle="1" w:styleId="TableNotes">
    <w:name w:val="Table Notes"/>
    <w:autoRedefine/>
    <w:rsid w:val="005A76DB"/>
    <w:pPr>
      <w:ind w:left="720" w:right="720"/>
    </w:pPr>
    <w:rPr>
      <w:rFonts w:cs="Arial"/>
      <w:sz w:val="24"/>
      <w:szCs w:val="24"/>
    </w:rPr>
  </w:style>
  <w:style w:type="character" w:customStyle="1" w:styleId="BodyTextChar">
    <w:name w:val="Body Text Char"/>
    <w:link w:val="BodyText"/>
    <w:rsid w:val="00D51D6C"/>
    <w:rPr>
      <w:sz w:val="24"/>
      <w:szCs w:val="24"/>
    </w:rPr>
  </w:style>
  <w:style w:type="paragraph" w:styleId="CommentSubject">
    <w:name w:val="annotation subject"/>
    <w:basedOn w:val="CommentText"/>
    <w:next w:val="CommentText"/>
    <w:link w:val="CommentSubjectChar"/>
    <w:rsid w:val="00C17403"/>
    <w:rPr>
      <w:b/>
      <w:bCs/>
    </w:rPr>
  </w:style>
  <w:style w:type="character" w:customStyle="1" w:styleId="CommentTextChar">
    <w:name w:val="Comment Text Char"/>
    <w:basedOn w:val="DefaultParagraphFont"/>
    <w:link w:val="CommentText"/>
    <w:semiHidden/>
    <w:rsid w:val="00C17403"/>
  </w:style>
  <w:style w:type="character" w:customStyle="1" w:styleId="CommentSubjectChar">
    <w:name w:val="Comment Subject Char"/>
    <w:link w:val="CommentSubject"/>
    <w:rsid w:val="00C17403"/>
    <w:rPr>
      <w:b/>
      <w:bCs/>
    </w:rPr>
  </w:style>
  <w:style w:type="paragraph" w:styleId="Revision">
    <w:name w:val="Revision"/>
    <w:hidden/>
    <w:uiPriority w:val="99"/>
    <w:semiHidden/>
    <w:rsid w:val="00242508"/>
    <w:rPr>
      <w:sz w:val="24"/>
      <w:szCs w:val="24"/>
    </w:rPr>
  </w:style>
  <w:style w:type="character" w:styleId="Hyperlink">
    <w:name w:val="Hyperlink"/>
    <w:basedOn w:val="DefaultParagraphFont"/>
    <w:unhideWhenUsed/>
    <w:rsid w:val="00FF0C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441464">
      <w:bodyDiv w:val="1"/>
      <w:marLeft w:val="0"/>
      <w:marRight w:val="0"/>
      <w:marTop w:val="0"/>
      <w:marBottom w:val="0"/>
      <w:divBdr>
        <w:top w:val="none" w:sz="0" w:space="0" w:color="auto"/>
        <w:left w:val="none" w:sz="0" w:space="0" w:color="auto"/>
        <w:bottom w:val="none" w:sz="0" w:space="0" w:color="auto"/>
        <w:right w:val="none" w:sz="0" w:space="0" w:color="auto"/>
      </w:divBdr>
    </w:div>
    <w:div w:id="783770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aa.gov/space/streamlined_licensing_process/licensing_process/media/Pre-Application_Initial_Contact_Information_final.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faa.gov/space/streamlined_licensing_process/licensing_process/"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s://www.faa.gov/data_research/commercial_space_data/launches/" TargetMode="External"/><Relationship Id="rId4" Type="http://schemas.openxmlformats.org/officeDocument/2006/relationships/webSettings" Target="webSettings.xml"/><Relationship Id="rId9" Type="http://schemas.openxmlformats.org/officeDocument/2006/relationships/hyperlink" Target="https://www.faa.gov/contact_faa/?returnPage=M%2FVQ%2DLJV%3C%248PXO%28%20%2FGZ5UB%29N6N9%25%2FG%24%209ZA%5E9G%2A%2E%2DC%28%2E%5C%3FF%40%2FL%27%5EBC%2AF%40B%21%293%0A3BH%2E9%5B4I4%22%25%5FJ%26%3FVA5QZ%2EN9R9D%20%20%20%0A&amp;mailto=7%2A3%29%3CH%2BK45Y%24%5DNXP%3CFZQOIIB3A%5D%2D%21D%25%2C%20%0A&amp;subject=L5FU2ONZ%2E28ABJ%280%2FW%2AYSD%2C32I9%29%2BDD%20%25%5EA%5E6E%5DRNCHV%5C%3FCLU%5C6%2A%5EAKZGG%40%40%20%0A"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9</Pages>
  <Words>3349</Words>
  <Characters>19095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David M. Berkey &amp; Associates</Company>
  <LinksUpToDate>false</LinksUpToDate>
  <CharactersWithSpaces>22400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subject/>
  <dc:creator>David M. Berkey</dc:creator>
  <cp:keywords/>
  <cp:lastModifiedBy>Huet, Charles (FAA)</cp:lastModifiedBy>
  <cp:revision>3</cp:revision>
  <cp:lastPrinted>2014-11-24T20:19:00Z</cp:lastPrinted>
  <dcterms:created xsi:type="dcterms:W3CDTF">2021-09-28T16:40:00Z</dcterms:created>
  <dcterms:modified xsi:type="dcterms:W3CDTF">2021-09-28T16:54:00Z</dcterms:modified>
</cp:coreProperties>
</file>