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2CC9" w:rsidR="009E118C" w:rsidP="00FA2F70" w:rsidRDefault="009E118C" w14:paraId="025F3C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762CC9">
        <w:rPr>
          <w:rFonts w:ascii="Helvetica" w:hAnsi="Helvetica"/>
          <w:b/>
          <w:color w:val="000000" w:themeColor="text1"/>
          <w:sz w:val="28"/>
        </w:rPr>
        <w:t>Supporting Statement for Paperwork Reduction Act Submissions</w:t>
      </w:r>
    </w:p>
    <w:p w:rsidRPr="00762CC9" w:rsidR="007A416B" w:rsidP="007A416B" w:rsidRDefault="007A416B" w14:paraId="1AA3F39A" w14:textId="77777777">
      <w:pPr>
        <w:pStyle w:val="PlainText"/>
        <w:jc w:val="center"/>
        <w:rPr>
          <w:rFonts w:ascii="Times New Roman" w:hAnsi="Times New Roman" w:eastAsia="MS Mincho"/>
          <w:b/>
          <w:bCs/>
          <w:color w:val="000000" w:themeColor="text1"/>
          <w:sz w:val="24"/>
        </w:rPr>
      </w:pPr>
    </w:p>
    <w:p w:rsidRPr="00762CC9" w:rsidR="007A416B" w:rsidP="007A416B" w:rsidRDefault="007A416B" w14:paraId="1EC51BC3" w14:textId="77777777">
      <w:pPr>
        <w:pStyle w:val="PlainText"/>
        <w:jc w:val="center"/>
        <w:rPr>
          <w:rFonts w:ascii="Times New Roman" w:hAnsi="Times New Roman" w:eastAsia="MS Mincho"/>
          <w:b/>
          <w:bCs/>
          <w:color w:val="000000" w:themeColor="text1"/>
          <w:sz w:val="24"/>
        </w:rPr>
      </w:pPr>
      <w:r w:rsidRPr="00762CC9">
        <w:rPr>
          <w:rFonts w:ascii="Times New Roman" w:hAnsi="Times New Roman" w:eastAsia="MS Mincho"/>
          <w:b/>
          <w:bCs/>
          <w:color w:val="000000" w:themeColor="text1"/>
          <w:sz w:val="24"/>
        </w:rPr>
        <w:t>Section 811 Project Rental Assistance for Persons with Disabilities</w:t>
      </w:r>
    </w:p>
    <w:p w:rsidRPr="00762CC9" w:rsidR="00E75880" w:rsidP="007A416B" w:rsidRDefault="00E75880" w14:paraId="0AC6D6E5" w14:textId="77777777">
      <w:pPr>
        <w:pStyle w:val="PlainText"/>
        <w:jc w:val="center"/>
        <w:rPr>
          <w:rFonts w:ascii="Helvetica" w:hAnsi="Helvetica"/>
          <w:b/>
          <w:color w:val="000000" w:themeColor="text1"/>
          <w:sz w:val="24"/>
        </w:rPr>
      </w:pPr>
    </w:p>
    <w:p w:rsidRPr="00762CC9" w:rsidR="007A416B" w:rsidP="007A416B" w:rsidRDefault="0050120C" w14:paraId="092EB482" w14:textId="77777777">
      <w:pPr>
        <w:pStyle w:val="PlainText"/>
        <w:jc w:val="center"/>
        <w:rPr>
          <w:rFonts w:ascii="Times New Roman" w:hAnsi="Times New Roman" w:eastAsia="MS Mincho"/>
          <w:color w:val="000000" w:themeColor="text1"/>
          <w:sz w:val="24"/>
        </w:rPr>
      </w:pPr>
      <w:r w:rsidRPr="00762CC9">
        <w:rPr>
          <w:rFonts w:ascii="Helvetica" w:hAnsi="Helvetica"/>
          <w:b/>
          <w:color w:val="000000" w:themeColor="text1"/>
          <w:sz w:val="24"/>
        </w:rPr>
        <w:t xml:space="preserve">OMB Control Number </w:t>
      </w:r>
      <w:r w:rsidRPr="00762CC9" w:rsidR="007A416B">
        <w:rPr>
          <w:rFonts w:ascii="Times New Roman" w:hAnsi="Times New Roman" w:eastAsia="MS Mincho"/>
          <w:color w:val="000000" w:themeColor="text1"/>
          <w:sz w:val="24"/>
        </w:rPr>
        <w:t>2502-0608</w:t>
      </w:r>
    </w:p>
    <w:p w:rsidRPr="00762CC9" w:rsidR="009E118C" w:rsidP="00FA2F70" w:rsidRDefault="009E118C" w14:paraId="5FCFA4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p>
    <w:p w:rsidRPr="00762CC9" w:rsidR="007A416B" w:rsidP="007A416B" w:rsidRDefault="007A416B" w14:paraId="3BDC76CD" w14:textId="77777777">
      <w:pPr>
        <w:pStyle w:val="PlainText"/>
        <w:jc w:val="center"/>
        <w:rPr>
          <w:rFonts w:ascii="Times New Roman" w:hAnsi="Times New Roman" w:eastAsia="MS Mincho"/>
          <w:color w:val="000000" w:themeColor="text1"/>
          <w:sz w:val="24"/>
        </w:rPr>
      </w:pPr>
      <w:r w:rsidRPr="00762CC9">
        <w:rPr>
          <w:rFonts w:ascii="Times New Roman" w:hAnsi="Times New Roman" w:eastAsia="MS Mincho"/>
          <w:color w:val="000000" w:themeColor="text1"/>
          <w:sz w:val="24"/>
        </w:rPr>
        <w:t>SF424; SFLLL; HUD-2880; HUD-2990, HUD-93205-PRA; HUD-96010; HUD-92235-PRA; HUD-92236-PRA; HUD-92237-PRA; HUD-92238-PRA; HUD-92239-PRA; HUD-92240-PRA; HUD-92241-PRA; HUD-92243-PRA</w:t>
      </w:r>
    </w:p>
    <w:p w:rsidRPr="00762CC9" w:rsidR="009E118C" w:rsidP="00FA2F70" w:rsidRDefault="009E118C" w14:paraId="13C66A9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Pr="00762CC9" w:rsidR="009E118C" w:rsidP="00FA2F70" w:rsidRDefault="009E118C" w14:paraId="3DF5089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762CC9">
        <w:rPr>
          <w:rFonts w:ascii="Helvetica" w:hAnsi="Helvetica"/>
          <w:b/>
          <w:color w:val="000000" w:themeColor="text1"/>
          <w:sz w:val="24"/>
        </w:rPr>
        <w:t xml:space="preserve">A. </w:t>
      </w:r>
      <w:r w:rsidRPr="00762CC9">
        <w:rPr>
          <w:rFonts w:ascii="Helvetica" w:hAnsi="Helvetica"/>
          <w:b/>
          <w:color w:val="000000" w:themeColor="text1"/>
          <w:sz w:val="24"/>
        </w:rPr>
        <w:tab/>
        <w:t>Justification</w:t>
      </w:r>
    </w:p>
    <w:p w:rsidRPr="00762CC9" w:rsidR="00FA2F70" w:rsidP="00FA2F70" w:rsidRDefault="00FA2F70" w14:paraId="7C565B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762CC9" w:rsidR="008968ED" w:rsidTr="00D35DDB" w14:paraId="55BC7324" w14:textId="77777777">
        <w:tc>
          <w:tcPr>
            <w:tcW w:w="9360" w:type="dxa"/>
            <w:shd w:val="clear" w:color="auto" w:fill="auto"/>
          </w:tcPr>
          <w:p w:rsidRPr="00762CC9" w:rsidR="00FA2F70" w:rsidP="001B4FB5" w:rsidRDefault="00FA2F70" w14:paraId="18141DC1"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roofErr w:type="gramStart"/>
            <w:r w:rsidRPr="00762CC9">
              <w:rPr>
                <w:rFonts w:ascii="Times New Roman" w:hAnsi="Times New Roman"/>
                <w:b/>
                <w:color w:val="000000" w:themeColor="text1"/>
                <w:sz w:val="24"/>
                <w:szCs w:val="24"/>
              </w:rPr>
              <w:t xml:space="preserve">. </w:t>
            </w:r>
            <w:r w:rsidRPr="00762CC9" w:rsidR="00A352F3">
              <w:rPr>
                <w:rFonts w:ascii="Times New Roman" w:hAnsi="Times New Roman"/>
                <w:b/>
                <w:color w:val="000000" w:themeColor="text1"/>
                <w:sz w:val="24"/>
                <w:szCs w:val="24"/>
              </w:rPr>
              <w:t xml:space="preserve"> </w:t>
            </w:r>
            <w:proofErr w:type="gramEnd"/>
            <w:r w:rsidRPr="00762CC9" w:rsidR="00A352F3">
              <w:rPr>
                <w:rFonts w:ascii="Times New Roman" w:hAnsi="Times New Roman"/>
                <w:b/>
                <w:color w:val="000000" w:themeColor="text1"/>
                <w:sz w:val="24"/>
                <w:szCs w:val="24"/>
              </w:rPr>
              <w:t xml:space="preserve">Include a statement regarding the changes for this submission. (Example:  The </w:t>
            </w:r>
            <w:proofErr w:type="gramStart"/>
            <w:r w:rsidRPr="00762CC9" w:rsidR="00A352F3">
              <w:rPr>
                <w:rFonts w:ascii="Times New Roman" w:hAnsi="Times New Roman"/>
                <w:b/>
                <w:color w:val="000000" w:themeColor="text1"/>
                <w:sz w:val="24"/>
                <w:szCs w:val="24"/>
              </w:rPr>
              <w:t>changes</w:t>
            </w:r>
            <w:proofErr w:type="gramEnd"/>
            <w:r w:rsidRPr="00762CC9" w:rsidR="00A352F3">
              <w:rPr>
                <w:rFonts w:ascii="Times New Roman" w:hAnsi="Times New Roman"/>
                <w:b/>
                <w:color w:val="000000" w:themeColor="text1"/>
                <w:sz w:val="24"/>
                <w:szCs w:val="24"/>
              </w:rPr>
              <w:t xml:space="preserve"> for this submittal is as follows or the difference between this submission and the last is as follows....)</w:t>
            </w:r>
          </w:p>
          <w:p w:rsidRPr="00762CC9" w:rsidR="007A416B" w:rsidP="007A416B" w:rsidRDefault="007A416B" w14:paraId="56C63FF7" w14:textId="77777777">
            <w:pPr>
              <w:pStyle w:val="PlainText"/>
              <w:ind w:left="360" w:hanging="360"/>
              <w:rPr>
                <w:rFonts w:ascii="Times New Roman" w:hAnsi="Times New Roman" w:eastAsia="MS Mincho"/>
                <w:color w:val="000000" w:themeColor="text1"/>
                <w:sz w:val="24"/>
              </w:rPr>
            </w:pPr>
          </w:p>
          <w:p w:rsidRPr="00762CC9" w:rsidR="007A416B" w:rsidP="007A416B" w:rsidRDefault="007A416B" w14:paraId="0E90D22E" w14:textId="77777777">
            <w:pPr>
              <w:pStyle w:val="PlainText"/>
              <w:ind w:left="360" w:hanging="360"/>
              <w:rPr>
                <w:rFonts w:ascii="Times New Roman" w:hAnsi="Times New Roman" w:eastAsia="MS Mincho"/>
                <w:color w:val="000000" w:themeColor="text1"/>
                <w:sz w:val="24"/>
              </w:rPr>
            </w:pPr>
            <w:proofErr w:type="gramStart"/>
            <w:r w:rsidRPr="00762CC9">
              <w:rPr>
                <w:rFonts w:ascii="Times New Roman" w:hAnsi="Times New Roman" w:eastAsia="MS Mincho"/>
                <w:color w:val="000000" w:themeColor="text1"/>
                <w:sz w:val="24"/>
              </w:rPr>
              <w:t>On</w:t>
            </w:r>
            <w:proofErr w:type="gramEnd"/>
            <w:r w:rsidRPr="00762CC9">
              <w:rPr>
                <w:rFonts w:ascii="Times New Roman" w:hAnsi="Times New Roman" w:eastAsia="MS Mincho"/>
                <w:color w:val="000000" w:themeColor="text1"/>
                <w:sz w:val="24"/>
              </w:rPr>
              <w:t xml:space="preserve"> January 2011, the President signed the Frank Melville Supportive Housing Investment Act </w:t>
            </w:r>
          </w:p>
          <w:p w:rsidRPr="00762CC9" w:rsidR="007A416B" w:rsidP="007A416B" w:rsidRDefault="007A416B" w14:paraId="64DBF451" w14:textId="77777777">
            <w:pPr>
              <w:pStyle w:val="PlainText"/>
              <w:ind w:left="360" w:hanging="360"/>
              <w:rPr>
                <w:rFonts w:ascii="Times New Roman" w:hAnsi="Times New Roman" w:eastAsia="MS Mincho"/>
                <w:color w:val="000000" w:themeColor="text1"/>
                <w:sz w:val="24"/>
              </w:rPr>
            </w:pPr>
            <w:r w:rsidRPr="00762CC9">
              <w:rPr>
                <w:rFonts w:ascii="Times New Roman" w:hAnsi="Times New Roman" w:eastAsia="MS Mincho"/>
                <w:color w:val="000000" w:themeColor="text1"/>
                <w:sz w:val="24"/>
              </w:rPr>
              <w:t xml:space="preserve">of 2011 which amended the Section 811 National Affordable Housing Act (Pub L. 111-374) </w:t>
            </w:r>
          </w:p>
          <w:p w:rsidRPr="00762CC9" w:rsidR="007A416B" w:rsidP="007A416B" w:rsidRDefault="007A416B" w14:paraId="6538BDCF" w14:textId="77777777">
            <w:pPr>
              <w:pStyle w:val="PlainText"/>
              <w:ind w:left="360" w:hanging="360"/>
              <w:rPr>
                <w:rFonts w:ascii="Times New Roman" w:hAnsi="Times New Roman" w:eastAsia="MS Mincho"/>
                <w:color w:val="000000" w:themeColor="text1"/>
                <w:sz w:val="24"/>
              </w:rPr>
            </w:pPr>
            <w:r w:rsidRPr="00762CC9">
              <w:rPr>
                <w:rFonts w:ascii="Times New Roman" w:hAnsi="Times New Roman" w:eastAsia="MS Mincho"/>
                <w:color w:val="000000" w:themeColor="text1"/>
                <w:sz w:val="24"/>
              </w:rPr>
              <w:t>and created new funding authority</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 xml:space="preserve">In lieu of HUD providing this funding directly to </w:t>
            </w:r>
          </w:p>
          <w:p w:rsidRPr="00762CC9" w:rsidR="007A416B" w:rsidP="007A416B" w:rsidRDefault="007A416B" w14:paraId="4CD6AE1A" w14:textId="77777777">
            <w:pPr>
              <w:pStyle w:val="PlainText"/>
              <w:ind w:left="360" w:hanging="360"/>
              <w:rPr>
                <w:rFonts w:ascii="Times New Roman" w:hAnsi="Times New Roman" w:eastAsia="MS Mincho"/>
                <w:color w:val="000000" w:themeColor="text1"/>
                <w:sz w:val="24"/>
              </w:rPr>
            </w:pPr>
            <w:r w:rsidRPr="00762CC9">
              <w:rPr>
                <w:rFonts w:ascii="Times New Roman" w:hAnsi="Times New Roman" w:eastAsia="MS Mincho"/>
                <w:color w:val="000000" w:themeColor="text1"/>
                <w:sz w:val="24"/>
              </w:rPr>
              <w:t xml:space="preserve">owners/developers as in the traditional Section 811 program, this legislation created new </w:t>
            </w:r>
          </w:p>
          <w:p w:rsidRPr="00762CC9" w:rsidR="007A416B" w:rsidP="007A416B" w:rsidRDefault="007A416B" w14:paraId="62E1F79B" w14:textId="77777777">
            <w:pPr>
              <w:pStyle w:val="PlainText"/>
              <w:ind w:left="360" w:hanging="360"/>
              <w:rPr>
                <w:rFonts w:ascii="Times New Roman" w:hAnsi="Times New Roman" w:eastAsia="MS Mincho"/>
                <w:color w:val="000000" w:themeColor="text1"/>
                <w:sz w:val="24"/>
              </w:rPr>
            </w:pPr>
            <w:r w:rsidRPr="00762CC9">
              <w:rPr>
                <w:rFonts w:ascii="Times New Roman" w:hAnsi="Times New Roman" w:eastAsia="MS Mincho"/>
                <w:color w:val="000000" w:themeColor="text1"/>
                <w:sz w:val="24"/>
              </w:rPr>
              <w:t xml:space="preserve">project rental assistance authority directed to states to provide this project-based rental </w:t>
            </w:r>
          </w:p>
          <w:p w:rsidRPr="00762CC9" w:rsidR="00FA2F70" w:rsidP="007A416B" w:rsidRDefault="007A416B" w14:paraId="11E4DF2F" w14:textId="77777777">
            <w:pPr>
              <w:pStyle w:val="PlainText"/>
              <w:rPr>
                <w:rFonts w:ascii="Times New Roman" w:hAnsi="Times New Roman"/>
                <w:bCs/>
                <w:color w:val="000000" w:themeColor="text1"/>
                <w:sz w:val="24"/>
                <w:szCs w:val="24"/>
              </w:rPr>
            </w:pPr>
            <w:r w:rsidRPr="00762CC9">
              <w:rPr>
                <w:rFonts w:ascii="Times New Roman" w:hAnsi="Times New Roman" w:eastAsia="MS Mincho"/>
                <w:color w:val="000000" w:themeColor="text1"/>
                <w:sz w:val="24"/>
              </w:rPr>
              <w:t>operating assistance for persons with disabilities to multifamily rental owners/developers</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The primary purpose of this program is to identify, stimulate, and support innovative state-level strategies that will increase housing for extremely low-income persons with disabilities as a more efficient approach to this funding</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As in the traditional Section 811 program, this project rental assistance funding covers the difference between the approved operating costs and debt service of the project and the tenants’ contributions toward rent</w:t>
            </w:r>
            <w:proofErr w:type="gramStart"/>
            <w:r w:rsidRPr="00762CC9">
              <w:rPr>
                <w:rFonts w:ascii="Times New Roman" w:hAnsi="Times New Roman" w:eastAsia="MS Mincho"/>
                <w:color w:val="000000" w:themeColor="text1"/>
                <w:sz w:val="24"/>
              </w:rPr>
              <w:t>.  In order to</w:t>
            </w:r>
            <w:proofErr w:type="gramEnd"/>
            <w:r w:rsidRPr="00762CC9">
              <w:rPr>
                <w:rFonts w:ascii="Times New Roman" w:hAnsi="Times New Roman" w:eastAsia="MS Mincho"/>
                <w:color w:val="000000" w:themeColor="text1"/>
                <w:sz w:val="24"/>
              </w:rPr>
              <w:t xml:space="preserve"> ensure that only qualified state housing agencies are selected, a Notice of Funding Availability (NOFA) will be published that requires applicants for grant funds to provide specific information that will allow HUD to evaluate, score and rank applications.  It is important to obtain information from prospective applicants to assist HUD in determining if they have the administrative capacity and the statutory requirements to manage the program</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These factors are critical in meeting statutory requirements and in protecting the Department's financial interest in projects funded under this program</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bCs/>
                <w:color w:val="000000" w:themeColor="text1"/>
                <w:sz w:val="24"/>
                <w:szCs w:val="24"/>
              </w:rPr>
              <w:t>The changes for this submittal are as follows:</w:t>
            </w:r>
          </w:p>
          <w:p w:rsidRPr="00762CC9" w:rsidR="007A416B" w:rsidP="007A416B" w:rsidRDefault="007A416B" w14:paraId="1452DACE" w14:textId="77777777">
            <w:pPr>
              <w:pStyle w:val="PlainText"/>
              <w:rPr>
                <w:rFonts w:ascii="Courier" w:hAnsi="Courier"/>
                <w:bCs/>
                <w:color w:val="000000" w:themeColor="text1"/>
                <w:sz w:val="24"/>
              </w:rPr>
            </w:pPr>
          </w:p>
          <w:p w:rsidRPr="00762CC9" w:rsidR="007A416B" w:rsidP="007A416B" w:rsidRDefault="007A416B" w14:paraId="49A0C450" w14:textId="77777777">
            <w:pPr>
              <w:pStyle w:val="PlainText"/>
              <w:numPr>
                <w:ilvl w:val="0"/>
                <w:numId w:val="7"/>
              </w:numPr>
              <w:rPr>
                <w:rFonts w:ascii="Courier" w:hAnsi="Courier"/>
                <w:color w:val="000000" w:themeColor="text1"/>
                <w:sz w:val="24"/>
              </w:rPr>
            </w:pPr>
            <w:r w:rsidRPr="00762CC9">
              <w:rPr>
                <w:rFonts w:ascii="Times New Roman" w:hAnsi="Times New Roman" w:cs="Times New Roman"/>
                <w:color w:val="000000" w:themeColor="text1"/>
                <w:sz w:val="24"/>
              </w:rPr>
              <w:t xml:space="preserve">Removed </w:t>
            </w:r>
            <w:proofErr w:type="spellStart"/>
            <w:r w:rsidRPr="00762CC9">
              <w:rPr>
                <w:rFonts w:ascii="Times New Roman" w:hAnsi="Times New Roman" w:cs="Times New Roman"/>
                <w:color w:val="000000" w:themeColor="text1"/>
                <w:sz w:val="24"/>
              </w:rPr>
              <w:t>form</w:t>
            </w:r>
            <w:proofErr w:type="spellEnd"/>
            <w:r w:rsidRPr="00762CC9">
              <w:rPr>
                <w:rFonts w:ascii="Times New Roman" w:hAnsi="Times New Roman" w:cs="Times New Roman"/>
                <w:color w:val="000000" w:themeColor="text1"/>
                <w:sz w:val="24"/>
              </w:rPr>
              <w:t xml:space="preserve"> HUD-424CB as it is a duplicate of form HUD-92239-PRA</w:t>
            </w:r>
          </w:p>
          <w:p w:rsidRPr="00762CC9" w:rsidR="00D52C73" w:rsidP="007A416B" w:rsidRDefault="00D52C73" w14:paraId="379802BC" w14:textId="77777777">
            <w:pPr>
              <w:pStyle w:val="PlainText"/>
              <w:numPr>
                <w:ilvl w:val="0"/>
                <w:numId w:val="7"/>
              </w:numPr>
              <w:rPr>
                <w:rFonts w:ascii="Courier" w:hAnsi="Courier"/>
                <w:color w:val="000000" w:themeColor="text1"/>
                <w:sz w:val="24"/>
              </w:rPr>
            </w:pPr>
            <w:r w:rsidRPr="00762CC9">
              <w:rPr>
                <w:rFonts w:ascii="Times New Roman" w:hAnsi="Times New Roman" w:cs="Times New Roman"/>
                <w:color w:val="000000" w:themeColor="text1"/>
                <w:sz w:val="24"/>
              </w:rPr>
              <w:t xml:space="preserve">Removed forms </w:t>
            </w:r>
            <w:r w:rsidRPr="00762CC9" w:rsidR="00591573">
              <w:rPr>
                <w:rFonts w:ascii="Times New Roman" w:hAnsi="Times New Roman" w:cs="Times New Roman"/>
                <w:color w:val="000000" w:themeColor="text1"/>
                <w:sz w:val="24"/>
              </w:rPr>
              <w:t xml:space="preserve">SF-424Sup; </w:t>
            </w:r>
            <w:r w:rsidRPr="00762CC9">
              <w:rPr>
                <w:rFonts w:ascii="Times New Roman" w:hAnsi="Times New Roman" w:cs="Times New Roman"/>
                <w:color w:val="000000" w:themeColor="text1"/>
                <w:sz w:val="24"/>
              </w:rPr>
              <w:t>HUD-2993; HUD-96011, and HUD-2994-A</w:t>
            </w:r>
          </w:p>
          <w:p w:rsidRPr="00762CC9" w:rsidR="007A416B" w:rsidP="007A416B" w:rsidRDefault="007A416B" w14:paraId="5DADBFAF" w14:textId="77777777">
            <w:pPr>
              <w:pStyle w:val="PlainText"/>
              <w:numPr>
                <w:ilvl w:val="0"/>
                <w:numId w:val="7"/>
              </w:numPr>
              <w:rPr>
                <w:rFonts w:ascii="Courier" w:hAnsi="Courier"/>
                <w:color w:val="000000" w:themeColor="text1"/>
                <w:sz w:val="24"/>
              </w:rPr>
            </w:pPr>
            <w:r w:rsidRPr="00762CC9">
              <w:rPr>
                <w:rFonts w:ascii="Times New Roman" w:hAnsi="Times New Roman" w:cs="Times New Roman"/>
                <w:color w:val="000000" w:themeColor="text1"/>
                <w:sz w:val="24"/>
              </w:rPr>
              <w:t>Modified forms HUD-92235-PRA; HUD-92237-PRA; HUD-92238-PRA; HUD-92240-PRA; HUD-92241-PRA; and HUD-92305-PRA.</w:t>
            </w:r>
          </w:p>
          <w:p w:rsidRPr="00762CC9" w:rsidR="007A416B" w:rsidP="007A416B" w:rsidRDefault="007A416B" w14:paraId="6D9F9129" w14:textId="77777777">
            <w:pPr>
              <w:pStyle w:val="PlainText"/>
              <w:rPr>
                <w:rFonts w:ascii="Times New Roman" w:hAnsi="Times New Roman"/>
                <w:b/>
                <w:color w:val="000000" w:themeColor="text1"/>
                <w:sz w:val="24"/>
                <w:szCs w:val="24"/>
              </w:rPr>
            </w:pPr>
          </w:p>
          <w:p w:rsidRPr="00762CC9" w:rsidR="007A416B" w:rsidP="007A416B" w:rsidRDefault="007A416B" w14:paraId="1D90C403" w14:textId="77777777">
            <w:pPr>
              <w:pStyle w:val="PlainText"/>
              <w:rPr>
                <w:rFonts w:ascii="Courier" w:hAnsi="Courier"/>
                <w:bCs/>
                <w:color w:val="000000" w:themeColor="text1"/>
                <w:sz w:val="24"/>
              </w:rPr>
            </w:pPr>
            <w:r w:rsidRPr="00762CC9">
              <w:rPr>
                <w:rFonts w:ascii="Times New Roman" w:hAnsi="Times New Roman"/>
                <w:bCs/>
                <w:color w:val="000000" w:themeColor="text1"/>
                <w:sz w:val="24"/>
                <w:szCs w:val="24"/>
              </w:rPr>
              <w:t>Attached is a copy of the appropriate section of each statute mandating or authorizing the collection of information</w:t>
            </w:r>
            <w:proofErr w:type="gramStart"/>
            <w:r w:rsidRPr="00762CC9">
              <w:rPr>
                <w:rFonts w:ascii="Times New Roman" w:hAnsi="Times New Roman"/>
                <w:bCs/>
                <w:color w:val="000000" w:themeColor="text1"/>
                <w:sz w:val="24"/>
                <w:szCs w:val="24"/>
              </w:rPr>
              <w:t xml:space="preserve">.  </w:t>
            </w:r>
            <w:proofErr w:type="gramEnd"/>
          </w:p>
        </w:tc>
      </w:tr>
      <w:tr w:rsidRPr="00762CC9" w:rsidR="008968ED" w:rsidTr="00D35DDB" w14:paraId="66FB61DB" w14:textId="77777777">
        <w:tc>
          <w:tcPr>
            <w:tcW w:w="9360" w:type="dxa"/>
            <w:shd w:val="clear" w:color="auto" w:fill="auto"/>
          </w:tcPr>
          <w:p w:rsidRPr="00762CC9" w:rsidR="00FA2F70" w:rsidP="001B4FB5" w:rsidRDefault="00FA2F70" w14:paraId="399A13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Pr="00762CC9" w:rsidR="00FA2F70" w:rsidP="00FA2F70" w:rsidRDefault="00FA2F70" w14:paraId="54E60AF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762CC9" w:rsidR="008968ED" w:rsidTr="00D35DDB" w14:paraId="71FF5E9C" w14:textId="77777777">
        <w:tc>
          <w:tcPr>
            <w:tcW w:w="9360" w:type="dxa"/>
            <w:shd w:val="clear" w:color="auto" w:fill="auto"/>
          </w:tcPr>
          <w:p w:rsidRPr="00762CC9" w:rsidR="00FA2F70" w:rsidP="001B4FB5" w:rsidRDefault="00FA2F70" w14:paraId="183E871C"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lastRenderedPageBreak/>
              <w:t xml:space="preserve">2. Indicate how, by whom, and for what purpose the information is to be used. </w:t>
            </w:r>
            <w:r w:rsidRPr="00762CC9">
              <w:rPr>
                <w:rFonts w:ascii="Times New Roman" w:hAnsi="Times New Roman"/>
                <w:b/>
                <w:i/>
                <w:color w:val="000000" w:themeColor="text1"/>
                <w:sz w:val="24"/>
                <w:szCs w:val="24"/>
              </w:rPr>
              <w:t>Except for a new collection</w:t>
            </w:r>
            <w:r w:rsidRPr="00762CC9">
              <w:rPr>
                <w:rFonts w:ascii="Times New Roman" w:hAnsi="Times New Roman"/>
                <w:b/>
                <w:color w:val="000000" w:themeColor="text1"/>
                <w:sz w:val="24"/>
                <w:szCs w:val="24"/>
              </w:rPr>
              <w:t xml:space="preserve">, indicate the actual use the agency has made of the information received from the current collection. </w:t>
            </w:r>
          </w:p>
          <w:p w:rsidRPr="00762CC9" w:rsidR="007A416B" w:rsidP="001B4FB5" w:rsidRDefault="007A416B" w14:paraId="31D2028F" w14:textId="77777777">
            <w:pPr>
              <w:spacing w:after="0" w:line="240" w:lineRule="auto"/>
              <w:rPr>
                <w:rFonts w:ascii="Times New Roman" w:hAnsi="Times New Roman"/>
                <w:b/>
                <w:color w:val="000000" w:themeColor="text1"/>
                <w:sz w:val="24"/>
                <w:szCs w:val="24"/>
              </w:rPr>
            </w:pPr>
          </w:p>
          <w:p w:rsidRPr="00762CC9" w:rsidR="007A416B" w:rsidP="007A416B" w:rsidRDefault="007A416B" w14:paraId="60B8E311"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This Section 811 Project Rental Assistance submission requirements are being collected in </w:t>
            </w:r>
          </w:p>
          <w:p w:rsidRPr="00762CC9" w:rsidR="007A416B" w:rsidP="007A416B" w:rsidRDefault="007A416B" w14:paraId="2FEBE914"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order for respondents to compete for receipt of a benefit</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The HUD Section 811 Project Rental </w:t>
            </w:r>
          </w:p>
          <w:p w:rsidRPr="00762CC9" w:rsidR="007A416B" w:rsidP="007A416B" w:rsidRDefault="007A416B" w14:paraId="08597F4F"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Assistance Program application submission requirements are necessary to assist HUD in </w:t>
            </w:r>
          </w:p>
          <w:p w:rsidRPr="00762CC9" w:rsidR="007A416B" w:rsidP="007A416B" w:rsidRDefault="007A416B" w14:paraId="6C75A169"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determining an applicant's eligibility and capacity to administer these Project Rental </w:t>
            </w:r>
          </w:p>
          <w:p w:rsidRPr="00762CC9" w:rsidR="007A416B" w:rsidP="007A416B" w:rsidRDefault="007A416B" w14:paraId="77BE1D52"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Assistance Program funds to qualified multifamily rental owners for housing for persons with </w:t>
            </w:r>
          </w:p>
          <w:p w:rsidRPr="00762CC9" w:rsidR="007A416B" w:rsidP="007A416B" w:rsidRDefault="007A416B" w14:paraId="5377CD72"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disabilities consistent with prescribed statutory and regulatory criteria</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A thorough evaluation </w:t>
            </w:r>
          </w:p>
          <w:p w:rsidRPr="00762CC9" w:rsidR="007A416B" w:rsidP="007A416B" w:rsidRDefault="007A416B" w14:paraId="36117597"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of an applicant's qualifications and capabilities is critical in protecting the Federal </w:t>
            </w:r>
          </w:p>
          <w:p w:rsidRPr="00762CC9" w:rsidR="007A416B" w:rsidP="007A416B" w:rsidRDefault="007A416B" w14:paraId="56D90044"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Government's financial interest and to mitigate any possibility of fraud, waste, or </w:t>
            </w:r>
          </w:p>
          <w:p w:rsidRPr="00762CC9" w:rsidR="007A416B" w:rsidP="007A416B" w:rsidRDefault="007A416B" w14:paraId="5DEC0572"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mismanagement of public funds</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This information will be used to rate and rank applications </w:t>
            </w:r>
          </w:p>
          <w:p w:rsidRPr="00762CC9" w:rsidR="007A416B" w:rsidP="007A416B" w:rsidRDefault="007A416B" w14:paraId="4299D0F6"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which will be collected electronically via grants.gov by the nationally established deadline </w:t>
            </w:r>
          </w:p>
          <w:p w:rsidRPr="00762CC9" w:rsidR="007A416B" w:rsidP="007A416B" w:rsidRDefault="007A416B" w14:paraId="21F25273"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date</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HUD Headquarters will evaluate applications based on established criteria identified in </w:t>
            </w:r>
          </w:p>
          <w:p w:rsidRPr="00762CC9" w:rsidR="007A416B" w:rsidP="007A416B" w:rsidRDefault="007A416B" w14:paraId="6851BA86"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the Notice of Funding Availability (NOFA), rate the applications, and make selection </w:t>
            </w:r>
          </w:p>
          <w:p w:rsidRPr="00762CC9" w:rsidR="007A416B" w:rsidP="007A416B" w:rsidRDefault="007A416B" w14:paraId="226DA217"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recommendations</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This process occurs once a year.</w:t>
            </w:r>
          </w:p>
          <w:p w:rsidRPr="00762CC9" w:rsidR="007A416B" w:rsidP="007A416B" w:rsidRDefault="007A416B" w14:paraId="62F0060C" w14:textId="77777777">
            <w:pPr>
              <w:tabs>
                <w:tab w:val="left" w:pos="720"/>
              </w:tabs>
              <w:spacing w:after="0" w:line="240" w:lineRule="auto"/>
              <w:ind w:left="360"/>
              <w:rPr>
                <w:rFonts w:ascii="Times New Roman" w:hAnsi="Times New Roman" w:eastAsia="MS Mincho" w:cs="Courier New"/>
                <w:color w:val="000000" w:themeColor="text1"/>
                <w:sz w:val="24"/>
                <w:szCs w:val="20"/>
              </w:rPr>
            </w:pPr>
          </w:p>
          <w:p w:rsidRPr="00762CC9" w:rsidR="007A416B" w:rsidP="007A416B" w:rsidRDefault="007A416B" w14:paraId="2D24F551" w14:textId="77777777">
            <w:pPr>
              <w:tabs>
                <w:tab w:val="left" w:pos="720"/>
              </w:tabs>
              <w:spacing w:after="0" w:line="240" w:lineRule="auto"/>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The purpose and use of the components of the application are described below:</w:t>
            </w:r>
          </w:p>
          <w:p w:rsidRPr="00762CC9" w:rsidR="007A416B" w:rsidP="007A416B" w:rsidRDefault="007A416B" w14:paraId="7DE40109" w14:textId="77777777">
            <w:pPr>
              <w:spacing w:after="0" w:line="240" w:lineRule="auto"/>
              <w:ind w:left="360"/>
              <w:outlineLvl w:val="0"/>
              <w:rPr>
                <w:rFonts w:ascii="Times New Roman" w:hAnsi="Times New Roman" w:eastAsia="MS Mincho" w:cs="Courier New"/>
                <w:b/>
                <w:bCs/>
                <w:color w:val="000000" w:themeColor="text1"/>
                <w:sz w:val="24"/>
                <w:szCs w:val="20"/>
              </w:rPr>
            </w:pPr>
          </w:p>
          <w:p w:rsidRPr="00762CC9" w:rsidR="007A416B" w:rsidP="007A416B" w:rsidRDefault="007A416B" w14:paraId="2F08A397" w14:textId="77777777">
            <w:pPr>
              <w:spacing w:after="0" w:line="240" w:lineRule="auto"/>
              <w:outlineLvl w:val="0"/>
              <w:rPr>
                <w:rFonts w:ascii="Times New Roman" w:hAnsi="Times New Roman" w:eastAsia="MS Mincho" w:cs="Courier New"/>
                <w:b/>
                <w:bCs/>
                <w:color w:val="000000" w:themeColor="text1"/>
                <w:sz w:val="24"/>
                <w:szCs w:val="20"/>
              </w:rPr>
            </w:pPr>
            <w:r w:rsidRPr="00762CC9">
              <w:rPr>
                <w:rFonts w:ascii="Times New Roman" w:hAnsi="Times New Roman" w:eastAsia="MS Mincho" w:cs="Courier New"/>
                <w:b/>
                <w:bCs/>
                <w:color w:val="000000" w:themeColor="text1"/>
                <w:sz w:val="24"/>
                <w:szCs w:val="20"/>
              </w:rPr>
              <w:t>Contents of Application Package:</w:t>
            </w:r>
          </w:p>
          <w:p w:rsidRPr="00762CC9" w:rsidR="00BF3A10" w:rsidP="007A416B" w:rsidRDefault="00BF3A10" w14:paraId="7978B24A" w14:textId="77777777">
            <w:pPr>
              <w:spacing w:after="0" w:line="240" w:lineRule="auto"/>
              <w:outlineLvl w:val="0"/>
              <w:rPr>
                <w:rFonts w:ascii="Times New Roman" w:hAnsi="Times New Roman" w:eastAsia="MS Mincho" w:cs="Courier New"/>
                <w:b/>
                <w:bCs/>
                <w:color w:val="000000" w:themeColor="text1"/>
                <w:sz w:val="24"/>
                <w:szCs w:val="20"/>
              </w:rPr>
            </w:pPr>
          </w:p>
          <w:p w:rsidRPr="00762CC9" w:rsidR="00BF3A10" w:rsidP="00BF3A10" w:rsidRDefault="00BF3A10" w14:paraId="265CCA4E" w14:textId="77777777">
            <w:pPr>
              <w:spacing w:after="0" w:line="240" w:lineRule="auto"/>
              <w:outlineLvl w:val="0"/>
              <w:rPr>
                <w:rFonts w:ascii="Times New Roman" w:hAnsi="Times New Roman" w:eastAsia="MS Mincho" w:cs="Courier New"/>
                <w:bCs/>
                <w:color w:val="000000" w:themeColor="text1"/>
                <w:sz w:val="24"/>
                <w:szCs w:val="20"/>
              </w:rPr>
            </w:pPr>
            <w:r w:rsidRPr="00762CC9">
              <w:rPr>
                <w:rFonts w:ascii="Times New Roman" w:hAnsi="Times New Roman" w:eastAsia="MS Mincho" w:cs="Courier New"/>
                <w:b/>
                <w:bCs/>
                <w:color w:val="000000" w:themeColor="text1"/>
                <w:sz w:val="24"/>
                <w:szCs w:val="20"/>
              </w:rPr>
              <w:t xml:space="preserve">Forms:  </w:t>
            </w:r>
            <w:r w:rsidRPr="00762CC9">
              <w:rPr>
                <w:rFonts w:ascii="Times New Roman" w:hAnsi="Times New Roman" w:eastAsia="MS Mincho" w:cs="Courier New"/>
                <w:bCs/>
                <w:color w:val="000000" w:themeColor="text1"/>
                <w:sz w:val="24"/>
                <w:szCs w:val="20"/>
              </w:rPr>
              <w:t>General Application Requirements and Certifications</w:t>
            </w:r>
            <w:proofErr w:type="gramStart"/>
            <w:r w:rsidRPr="00762CC9">
              <w:rPr>
                <w:rFonts w:ascii="Times New Roman" w:hAnsi="Times New Roman" w:eastAsia="MS Mincho" w:cs="Courier New"/>
                <w:bCs/>
                <w:color w:val="000000" w:themeColor="text1"/>
                <w:sz w:val="24"/>
                <w:szCs w:val="20"/>
              </w:rPr>
              <w:t xml:space="preserve">.  </w:t>
            </w:r>
            <w:proofErr w:type="gramEnd"/>
            <w:r w:rsidRPr="00762CC9">
              <w:rPr>
                <w:rFonts w:ascii="Times New Roman" w:hAnsi="Times New Roman" w:eastAsia="MS Mincho" w:cs="Courier New"/>
                <w:bCs/>
                <w:color w:val="000000" w:themeColor="text1"/>
                <w:sz w:val="24"/>
                <w:szCs w:val="20"/>
              </w:rPr>
              <w:t>This section consists of certifications and other supporting documents to be completed by the Section 811 Project Rental Assistance applicant which includes:</w:t>
            </w:r>
          </w:p>
          <w:p w:rsidRPr="00762CC9" w:rsidR="00BF3A10" w:rsidP="00BF3A10" w:rsidRDefault="00BF3A10" w14:paraId="50C9CAE8" w14:textId="77777777">
            <w:pPr>
              <w:overflowPunct w:val="0"/>
              <w:autoSpaceDE w:val="0"/>
              <w:autoSpaceDN w:val="0"/>
              <w:adjustRightInd w:val="0"/>
              <w:spacing w:after="0" w:line="240" w:lineRule="auto"/>
              <w:ind w:left="1440"/>
              <w:textAlignment w:val="baseline"/>
              <w:rPr>
                <w:rFonts w:ascii="Times New Roman" w:hAnsi="Times New Roman"/>
                <w:color w:val="000000" w:themeColor="text1"/>
                <w:sz w:val="24"/>
                <w:szCs w:val="24"/>
              </w:rPr>
            </w:pPr>
          </w:p>
          <w:p w:rsidRPr="00762CC9" w:rsidR="00BF3A10" w:rsidP="00BF3A10" w:rsidRDefault="00BF3A10" w14:paraId="687A0570" w14:textId="77777777">
            <w:pPr>
              <w:numPr>
                <w:ilvl w:val="0"/>
                <w:numId w:val="10"/>
              </w:numPr>
              <w:overflowPunct w:val="0"/>
              <w:autoSpaceDE w:val="0"/>
              <w:autoSpaceDN w:val="0"/>
              <w:adjustRightInd w:val="0"/>
              <w:spacing w:after="0" w:line="240" w:lineRule="auto"/>
              <w:textAlignment w:val="baseline"/>
              <w:rPr>
                <w:rFonts w:ascii="Times New Roman" w:hAnsi="Times New Roman"/>
                <w:bCs/>
                <w:color w:val="000000" w:themeColor="text1"/>
                <w:sz w:val="24"/>
                <w:szCs w:val="24"/>
              </w:rPr>
            </w:pPr>
            <w:r w:rsidRPr="00762CC9">
              <w:rPr>
                <w:rFonts w:ascii="Times New Roman" w:hAnsi="Times New Roman"/>
                <w:color w:val="000000" w:themeColor="text1"/>
                <w:sz w:val="24"/>
                <w:szCs w:val="24"/>
              </w:rPr>
              <w:t>SF424_Application_for_Federal_Assistance</w:t>
            </w:r>
            <w:proofErr w:type="gramStart"/>
            <w:r w:rsidRPr="00762CC9">
              <w:rPr>
                <w:rFonts w:ascii="Times New Roman" w:hAnsi="Times New Roman"/>
                <w:color w:val="000000" w:themeColor="text1"/>
                <w:sz w:val="24"/>
                <w:szCs w:val="24"/>
              </w:rPr>
              <w:t xml:space="preserve">.  </w:t>
            </w:r>
            <w:proofErr w:type="gramEnd"/>
            <w:r w:rsidRPr="00762CC9">
              <w:rPr>
                <w:rFonts w:ascii="Times New Roman" w:hAnsi="Times New Roman"/>
                <w:color w:val="000000" w:themeColor="text1"/>
                <w:sz w:val="24"/>
                <w:szCs w:val="24"/>
              </w:rPr>
              <w:t xml:space="preserve">Applicants must include the </w:t>
            </w:r>
            <w:proofErr w:type="gramStart"/>
            <w:r w:rsidRPr="00762CC9">
              <w:rPr>
                <w:rFonts w:ascii="Times New Roman" w:hAnsi="Times New Roman"/>
                <w:color w:val="000000" w:themeColor="text1"/>
                <w:sz w:val="24"/>
                <w:szCs w:val="24"/>
              </w:rPr>
              <w:t>nine digit</w:t>
            </w:r>
            <w:proofErr w:type="gramEnd"/>
            <w:r w:rsidRPr="00762CC9">
              <w:rPr>
                <w:rFonts w:ascii="Times New Roman" w:hAnsi="Times New Roman"/>
                <w:color w:val="000000" w:themeColor="text1"/>
                <w:sz w:val="24"/>
                <w:szCs w:val="24"/>
              </w:rPr>
              <w:t xml:space="preserve"> ZIP code (ZIP code plus four digits) associated with the applicant address in box 8d of the SF424.</w:t>
            </w:r>
            <w:r w:rsidRPr="00762CC9">
              <w:rPr>
                <w:rFonts w:ascii="Times New Roman" w:hAnsi="Times New Roman"/>
                <w:bCs/>
                <w:color w:val="000000" w:themeColor="text1"/>
                <w:sz w:val="24"/>
                <w:szCs w:val="24"/>
              </w:rPr>
              <w:t xml:space="preserve">  Also, be sure to provide a project name in Line 11 of the SF424 and use the same project name in all references to the application as the information will pre-populate the other forms contained in the application download package.</w:t>
            </w:r>
          </w:p>
          <w:p w:rsidRPr="00762CC9" w:rsidR="00BF3A10" w:rsidP="00BF3A10" w:rsidRDefault="00BF3A10" w14:paraId="2C2F8DC1" w14:textId="77777777">
            <w:pPr>
              <w:numPr>
                <w:ilvl w:val="0"/>
                <w:numId w:val="10"/>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SFLLL-Disclosure of Lobbying Activities</w:t>
            </w:r>
            <w:proofErr w:type="gramStart"/>
            <w:r w:rsidRPr="00762CC9">
              <w:rPr>
                <w:rFonts w:ascii="Times New Roman" w:hAnsi="Times New Roman"/>
                <w:color w:val="000000" w:themeColor="text1"/>
                <w:sz w:val="24"/>
                <w:szCs w:val="24"/>
              </w:rPr>
              <w:t xml:space="preserve">.  </w:t>
            </w:r>
            <w:proofErr w:type="gramEnd"/>
            <w:r w:rsidRPr="00762CC9">
              <w:rPr>
                <w:rFonts w:ascii="Times New Roman" w:hAnsi="Times New Roman"/>
                <w:color w:val="000000" w:themeColor="text1"/>
                <w:sz w:val="24"/>
                <w:szCs w:val="24"/>
              </w:rPr>
              <w:t>Note that federally recognized Indian tribes are not required to submit this form (see the General Section).</w:t>
            </w:r>
          </w:p>
          <w:p w:rsidRPr="00762CC9" w:rsidR="00BF3A10" w:rsidP="00BF3A10" w:rsidRDefault="00BF3A10" w14:paraId="375DE674" w14:textId="77777777">
            <w:pPr>
              <w:numPr>
                <w:ilvl w:val="0"/>
                <w:numId w:val="10"/>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HUD-2880_Applicant_Recipient_Disclosure_Update_Report titled “HUD Applicant Recipient Disclosure Report” on Grants.gov.</w:t>
            </w:r>
          </w:p>
          <w:p w:rsidRPr="00762CC9" w:rsidR="00D52C73" w:rsidP="00D52C73" w:rsidRDefault="00BF3A10" w14:paraId="285EB29B" w14:textId="77777777">
            <w:pPr>
              <w:numPr>
                <w:ilvl w:val="0"/>
                <w:numId w:val="10"/>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Form HUD-92239-PRA, Detailed Budget, which is a budget form for all PRA program funds. </w:t>
            </w:r>
          </w:p>
          <w:p w:rsidRPr="00762CC9" w:rsidR="00D52C73" w:rsidP="00D52C73" w:rsidRDefault="00D52C73" w14:paraId="53F69C34" w14:textId="77777777">
            <w:pPr>
              <w:overflowPunct w:val="0"/>
              <w:autoSpaceDE w:val="0"/>
              <w:autoSpaceDN w:val="0"/>
              <w:adjustRightInd w:val="0"/>
              <w:spacing w:after="0" w:line="240" w:lineRule="auto"/>
              <w:textAlignment w:val="baseline"/>
              <w:rPr>
                <w:rFonts w:ascii="Times New Roman" w:hAnsi="Times New Roman"/>
                <w:color w:val="000000" w:themeColor="text1"/>
                <w:sz w:val="24"/>
                <w:szCs w:val="24"/>
              </w:rPr>
            </w:pPr>
          </w:p>
          <w:p w:rsidRPr="00762CC9" w:rsidR="00D52C73" w:rsidP="00D52C73" w:rsidRDefault="00D52C73" w14:paraId="36D36410" w14:textId="77777777">
            <w:p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Additionally, complete applications must include the following narratives and non-form attachments.</w:t>
            </w:r>
          </w:p>
          <w:p w:rsidRPr="00762CC9" w:rsidR="007A416B" w:rsidP="00BF3A10" w:rsidRDefault="007A416B" w14:paraId="66B2863D" w14:textId="77777777">
            <w:pPr>
              <w:spacing w:after="0" w:line="240" w:lineRule="auto"/>
              <w:outlineLvl w:val="0"/>
              <w:rPr>
                <w:rFonts w:ascii="Times New Roman" w:hAnsi="Times New Roman" w:eastAsia="MS Mincho" w:cs="Courier New"/>
                <w:bCs/>
                <w:color w:val="000000" w:themeColor="text1"/>
                <w:sz w:val="24"/>
                <w:szCs w:val="24"/>
              </w:rPr>
            </w:pPr>
          </w:p>
          <w:p w:rsidRPr="00762CC9" w:rsidR="007A416B" w:rsidP="007A416B" w:rsidRDefault="00D52C73" w14:paraId="69D4B67D" w14:textId="77777777">
            <w:pPr>
              <w:overflowPunct w:val="0"/>
              <w:autoSpaceDE w:val="0"/>
              <w:autoSpaceDN w:val="0"/>
              <w:adjustRightInd w:val="0"/>
              <w:spacing w:after="0" w:line="240" w:lineRule="auto"/>
              <w:textAlignment w:val="baseline"/>
              <w:rPr>
                <w:rFonts w:ascii="Times New Roman" w:hAnsi="Times New Roman"/>
                <w:bCs/>
                <w:color w:val="000000" w:themeColor="text1"/>
                <w:sz w:val="24"/>
                <w:szCs w:val="24"/>
              </w:rPr>
            </w:pPr>
            <w:r w:rsidRPr="00762CC9">
              <w:rPr>
                <w:rFonts w:ascii="Times New Roman" w:hAnsi="Times New Roman"/>
                <w:b/>
                <w:bCs/>
                <w:color w:val="000000" w:themeColor="text1"/>
                <w:sz w:val="24"/>
                <w:szCs w:val="24"/>
              </w:rPr>
              <w:t>Tab A:  Abstract (includes the Narrative for Rating Factor 1</w:t>
            </w:r>
            <w:r w:rsidRPr="00762CC9" w:rsidR="007A416B">
              <w:rPr>
                <w:rFonts w:ascii="Times New Roman" w:hAnsi="Times New Roman"/>
                <w:b/>
                <w:bCs/>
                <w:color w:val="000000" w:themeColor="text1"/>
                <w:sz w:val="24"/>
                <w:szCs w:val="24"/>
              </w:rPr>
              <w:t>– Applicant’s and Applicant’s State Health and Human Services Agency and Applicant’s State Medicaid Office Relevant Experience and Capacity</w:t>
            </w:r>
            <w:r w:rsidRPr="00762CC9">
              <w:rPr>
                <w:rFonts w:ascii="Times New Roman" w:hAnsi="Times New Roman"/>
                <w:b/>
                <w:bCs/>
                <w:color w:val="000000" w:themeColor="text1"/>
                <w:sz w:val="24"/>
                <w:szCs w:val="24"/>
              </w:rPr>
              <w:t>)</w:t>
            </w:r>
            <w:proofErr w:type="gramStart"/>
            <w:r w:rsidRPr="00762CC9" w:rsidR="007A416B">
              <w:rPr>
                <w:rFonts w:ascii="Times New Roman" w:hAnsi="Times New Roman"/>
                <w:b/>
                <w:bCs/>
                <w:color w:val="000000" w:themeColor="text1"/>
                <w:sz w:val="24"/>
                <w:szCs w:val="24"/>
              </w:rPr>
              <w:t>.</w:t>
            </w:r>
            <w:r w:rsidRPr="00762CC9">
              <w:rPr>
                <w:rFonts w:ascii="Times New Roman" w:hAnsi="Times New Roman"/>
                <w:b/>
                <w:bCs/>
                <w:color w:val="000000" w:themeColor="text1"/>
                <w:sz w:val="24"/>
                <w:szCs w:val="24"/>
              </w:rPr>
              <w:t xml:space="preserve">  </w:t>
            </w:r>
            <w:proofErr w:type="gramEnd"/>
            <w:r w:rsidRPr="00762CC9">
              <w:rPr>
                <w:rFonts w:ascii="Times New Roman" w:hAnsi="Times New Roman"/>
                <w:color w:val="000000" w:themeColor="text1"/>
                <w:sz w:val="24"/>
                <w:szCs w:val="24"/>
              </w:rPr>
              <w:t>The abstract must not exceed 5 pages</w:t>
            </w:r>
            <w:proofErr w:type="gramStart"/>
            <w:r w:rsidRPr="00762CC9">
              <w:rPr>
                <w:rFonts w:ascii="Times New Roman" w:hAnsi="Times New Roman"/>
                <w:color w:val="000000" w:themeColor="text1"/>
                <w:sz w:val="24"/>
                <w:szCs w:val="24"/>
              </w:rPr>
              <w:t xml:space="preserve">.  </w:t>
            </w:r>
            <w:proofErr w:type="gramEnd"/>
            <w:r w:rsidRPr="00762CC9">
              <w:rPr>
                <w:rFonts w:ascii="Times New Roman" w:hAnsi="Times New Roman"/>
                <w:color w:val="000000" w:themeColor="text1"/>
                <w:sz w:val="24"/>
                <w:szCs w:val="24"/>
              </w:rPr>
              <w:t xml:space="preserve">The narrative </w:t>
            </w:r>
            <w:r w:rsidRPr="00762CC9" w:rsidR="007A416B">
              <w:rPr>
                <w:rFonts w:ascii="Times New Roman" w:hAnsi="Times New Roman"/>
                <w:bCs/>
                <w:color w:val="000000" w:themeColor="text1"/>
                <w:sz w:val="24"/>
                <w:szCs w:val="24"/>
              </w:rPr>
              <w:t>includes the relevant experience of the management team and key staff and the capacity and readiness of the applicant and the State Health and Human Service/Medicaid Agencies to administer the program.</w:t>
            </w:r>
          </w:p>
          <w:p w:rsidRPr="00762CC9" w:rsidR="00D52C73" w:rsidP="007A416B" w:rsidRDefault="00D52C73" w14:paraId="2069BB92" w14:textId="77777777">
            <w:pPr>
              <w:overflowPunct w:val="0"/>
              <w:autoSpaceDE w:val="0"/>
              <w:autoSpaceDN w:val="0"/>
              <w:adjustRightInd w:val="0"/>
              <w:spacing w:after="0" w:line="240" w:lineRule="auto"/>
              <w:textAlignment w:val="baseline"/>
              <w:rPr>
                <w:rFonts w:ascii="Times New Roman" w:hAnsi="Times New Roman"/>
                <w:bCs/>
                <w:color w:val="000000" w:themeColor="text1"/>
                <w:sz w:val="24"/>
                <w:szCs w:val="24"/>
              </w:rPr>
            </w:pPr>
            <w:r w:rsidRPr="00762CC9">
              <w:rPr>
                <w:rFonts w:ascii="Times New Roman" w:hAnsi="Times New Roman"/>
                <w:b/>
                <w:color w:val="000000" w:themeColor="text1"/>
                <w:sz w:val="24"/>
                <w:szCs w:val="24"/>
              </w:rPr>
              <w:lastRenderedPageBreak/>
              <w:t>Tab B:  Interagency Partnership Agreement</w:t>
            </w:r>
            <w:proofErr w:type="gramStart"/>
            <w:r w:rsidRPr="00762CC9" w:rsidR="008A6017">
              <w:rPr>
                <w:rFonts w:ascii="Times New Roman" w:hAnsi="Times New Roman"/>
                <w:b/>
                <w:color w:val="000000" w:themeColor="text1"/>
                <w:sz w:val="24"/>
                <w:szCs w:val="24"/>
              </w:rPr>
              <w:t xml:space="preserve">.  </w:t>
            </w:r>
            <w:proofErr w:type="gramEnd"/>
            <w:r w:rsidRPr="00762CC9" w:rsidR="008A6017">
              <w:rPr>
                <w:rFonts w:ascii="Times New Roman" w:hAnsi="Times New Roman"/>
                <w:bCs/>
                <w:color w:val="000000" w:themeColor="text1"/>
                <w:sz w:val="24"/>
                <w:szCs w:val="24"/>
              </w:rPr>
              <w:t xml:space="preserve">This includes </w:t>
            </w:r>
            <w:r w:rsidRPr="00762CC9" w:rsidR="008A6017">
              <w:rPr>
                <w:rFonts w:ascii="Times New Roman" w:hAnsi="Times New Roman"/>
                <w:color w:val="000000" w:themeColor="text1"/>
                <w:sz w:val="24"/>
              </w:rPr>
              <w:t>provides evidence of a formal structure for collaboration in participating in the state’s Section 811 PRA program between the state agency or agencies charged with administering state health and human services programs and policies and the state Medicaid program.</w:t>
            </w:r>
          </w:p>
          <w:p w:rsidRPr="00762CC9" w:rsidR="007A416B" w:rsidP="007A416B" w:rsidRDefault="00D52C73" w14:paraId="134D8192" w14:textId="77777777">
            <w:pPr>
              <w:overflowPunct w:val="0"/>
              <w:autoSpaceDE w:val="0"/>
              <w:autoSpaceDN w:val="0"/>
              <w:adjustRightInd w:val="0"/>
              <w:spacing w:after="0" w:line="240" w:lineRule="auto"/>
              <w:textAlignment w:val="baseline"/>
              <w:rPr>
                <w:rFonts w:ascii="Times New Roman" w:hAnsi="Times New Roman"/>
                <w:b/>
                <w:bCs/>
                <w:color w:val="000000" w:themeColor="text1"/>
                <w:sz w:val="24"/>
                <w:szCs w:val="24"/>
              </w:rPr>
            </w:pPr>
            <w:r w:rsidRPr="00762CC9">
              <w:rPr>
                <w:rFonts w:ascii="Times New Roman" w:hAnsi="Times New Roman"/>
                <w:b/>
                <w:bCs/>
                <w:color w:val="000000" w:themeColor="text1"/>
                <w:sz w:val="24"/>
                <w:szCs w:val="24"/>
              </w:rPr>
              <w:t xml:space="preserve">Tab B:  </w:t>
            </w:r>
            <w:r w:rsidRPr="00762CC9" w:rsidR="007A416B">
              <w:rPr>
                <w:rFonts w:ascii="Times New Roman" w:hAnsi="Times New Roman"/>
                <w:b/>
                <w:bCs/>
                <w:color w:val="000000" w:themeColor="text1"/>
                <w:sz w:val="24"/>
                <w:szCs w:val="24"/>
              </w:rPr>
              <w:t>Rating Factor 2 – Need/Extent of the State Program</w:t>
            </w:r>
            <w:proofErr w:type="gramStart"/>
            <w:r w:rsidRPr="00762CC9" w:rsidR="007A416B">
              <w:rPr>
                <w:rFonts w:ascii="Times New Roman" w:hAnsi="Times New Roman"/>
                <w:b/>
                <w:bCs/>
                <w:color w:val="000000" w:themeColor="text1"/>
                <w:sz w:val="24"/>
                <w:szCs w:val="24"/>
              </w:rPr>
              <w:t xml:space="preserve">.  </w:t>
            </w:r>
            <w:proofErr w:type="gramEnd"/>
            <w:r w:rsidRPr="00762CC9" w:rsidR="007A416B">
              <w:rPr>
                <w:rFonts w:ascii="Times New Roman" w:hAnsi="Times New Roman"/>
                <w:bCs/>
                <w:color w:val="000000" w:themeColor="text1"/>
                <w:sz w:val="24"/>
                <w:szCs w:val="24"/>
              </w:rPr>
              <w:t>This includes limited q</w:t>
            </w:r>
            <w:r w:rsidRPr="00762CC9" w:rsidR="007A416B">
              <w:rPr>
                <w:rFonts w:ascii="Times New Roman" w:hAnsi="Times New Roman"/>
                <w:color w:val="000000" w:themeColor="text1"/>
                <w:sz w:val="24"/>
                <w:szCs w:val="24"/>
              </w:rPr>
              <w:t>uantitative analysis and documented need through existing partnerships or resources directed to a specific program or judicial requirement such as Olmstead.</w:t>
            </w:r>
            <w:r w:rsidRPr="00762CC9" w:rsidR="007A416B">
              <w:rPr>
                <w:rFonts w:ascii="Times New Roman" w:hAnsi="Times New Roman"/>
                <w:b/>
                <w:bCs/>
                <w:color w:val="000000" w:themeColor="text1"/>
                <w:sz w:val="24"/>
                <w:szCs w:val="24"/>
              </w:rPr>
              <w:t xml:space="preserve"> </w:t>
            </w:r>
          </w:p>
          <w:p w:rsidRPr="00762CC9" w:rsidR="007A416B" w:rsidP="007A416B" w:rsidRDefault="00D52C73" w14:paraId="1F7073FD" w14:textId="77777777">
            <w:pPr>
              <w:overflowPunct w:val="0"/>
              <w:autoSpaceDE w:val="0"/>
              <w:autoSpaceDN w:val="0"/>
              <w:adjustRightInd w:val="0"/>
              <w:spacing w:after="0" w:line="240" w:lineRule="auto"/>
              <w:textAlignment w:val="baseline"/>
              <w:rPr>
                <w:rFonts w:ascii="Times New Roman" w:hAnsi="Times New Roman"/>
                <w:b/>
                <w:bCs/>
                <w:color w:val="000000" w:themeColor="text1"/>
                <w:sz w:val="24"/>
                <w:szCs w:val="24"/>
              </w:rPr>
            </w:pPr>
            <w:r w:rsidRPr="00762CC9">
              <w:rPr>
                <w:rFonts w:ascii="Times New Roman" w:hAnsi="Times New Roman"/>
                <w:b/>
                <w:bCs/>
                <w:color w:val="000000" w:themeColor="text1"/>
                <w:sz w:val="24"/>
                <w:szCs w:val="24"/>
              </w:rPr>
              <w:t xml:space="preserve">Tab </w:t>
            </w:r>
            <w:r w:rsidRPr="00762CC9" w:rsidR="008A6017">
              <w:rPr>
                <w:rFonts w:ascii="Times New Roman" w:hAnsi="Times New Roman"/>
                <w:b/>
                <w:bCs/>
                <w:color w:val="000000" w:themeColor="text1"/>
                <w:sz w:val="24"/>
                <w:szCs w:val="24"/>
              </w:rPr>
              <w:t>D</w:t>
            </w:r>
            <w:r w:rsidRPr="00762CC9">
              <w:rPr>
                <w:rFonts w:ascii="Times New Roman" w:hAnsi="Times New Roman"/>
                <w:b/>
                <w:bCs/>
                <w:color w:val="000000" w:themeColor="text1"/>
                <w:sz w:val="24"/>
                <w:szCs w:val="24"/>
              </w:rPr>
              <w:t xml:space="preserve">:  </w:t>
            </w:r>
            <w:r w:rsidRPr="00762CC9" w:rsidR="007A416B">
              <w:rPr>
                <w:rFonts w:ascii="Times New Roman" w:hAnsi="Times New Roman"/>
                <w:b/>
                <w:bCs/>
                <w:color w:val="000000" w:themeColor="text1"/>
                <w:sz w:val="24"/>
                <w:szCs w:val="24"/>
              </w:rPr>
              <w:t>Rating Factor 3 - Soundness of Approach/Implementation Plan</w:t>
            </w:r>
            <w:proofErr w:type="gramStart"/>
            <w:r w:rsidRPr="00762CC9" w:rsidR="007A416B">
              <w:rPr>
                <w:rFonts w:ascii="Times New Roman" w:hAnsi="Times New Roman"/>
                <w:b/>
                <w:bCs/>
                <w:color w:val="000000" w:themeColor="text1"/>
                <w:sz w:val="24"/>
                <w:szCs w:val="24"/>
              </w:rPr>
              <w:t xml:space="preserve">.  </w:t>
            </w:r>
            <w:proofErr w:type="gramEnd"/>
            <w:r w:rsidRPr="00762CC9" w:rsidR="007A416B">
              <w:rPr>
                <w:rFonts w:ascii="Times New Roman" w:hAnsi="Times New Roman"/>
                <w:bCs/>
                <w:color w:val="000000" w:themeColor="text1"/>
                <w:sz w:val="24"/>
                <w:szCs w:val="24"/>
              </w:rPr>
              <w:t xml:space="preserve">This focuses on the </w:t>
            </w:r>
            <w:r w:rsidRPr="00762CC9" w:rsidR="007A416B">
              <w:rPr>
                <w:rFonts w:ascii="Times New Roman" w:hAnsi="Times New Roman"/>
                <w:color w:val="000000" w:themeColor="text1"/>
                <w:sz w:val="24"/>
                <w:szCs w:val="24"/>
              </w:rPr>
              <w:t>quality and effectiveness of the housing program and the integration of services</w:t>
            </w:r>
            <w:proofErr w:type="gramStart"/>
            <w:r w:rsidRPr="00762CC9" w:rsidR="007A416B">
              <w:rPr>
                <w:rFonts w:ascii="Times New Roman" w:hAnsi="Times New Roman"/>
                <w:color w:val="000000" w:themeColor="text1"/>
                <w:sz w:val="24"/>
                <w:szCs w:val="24"/>
              </w:rPr>
              <w:t>.</w:t>
            </w:r>
            <w:r w:rsidRPr="00762CC9" w:rsidR="007A416B">
              <w:rPr>
                <w:rFonts w:ascii="Times New Roman" w:hAnsi="Times New Roman"/>
                <w:bCs/>
                <w:color w:val="000000" w:themeColor="text1"/>
                <w:sz w:val="24"/>
                <w:szCs w:val="24"/>
              </w:rPr>
              <w:t xml:space="preserve">  </w:t>
            </w:r>
            <w:proofErr w:type="gramEnd"/>
            <w:r w:rsidRPr="00762CC9" w:rsidR="007A416B">
              <w:rPr>
                <w:rFonts w:ascii="Times New Roman" w:hAnsi="Times New Roman"/>
                <w:bCs/>
                <w:color w:val="000000" w:themeColor="text1"/>
                <w:sz w:val="24"/>
                <w:szCs w:val="24"/>
              </w:rPr>
              <w:t xml:space="preserve">Applicants </w:t>
            </w:r>
            <w:proofErr w:type="gramStart"/>
            <w:r w:rsidRPr="00762CC9" w:rsidR="007A416B">
              <w:rPr>
                <w:rFonts w:ascii="Times New Roman" w:hAnsi="Times New Roman"/>
                <w:bCs/>
                <w:color w:val="000000" w:themeColor="text1"/>
                <w:sz w:val="24"/>
                <w:szCs w:val="24"/>
              </w:rPr>
              <w:t>have to</w:t>
            </w:r>
            <w:proofErr w:type="gramEnd"/>
            <w:r w:rsidRPr="00762CC9" w:rsidR="007A416B">
              <w:rPr>
                <w:rFonts w:ascii="Times New Roman" w:hAnsi="Times New Roman"/>
                <w:bCs/>
                <w:color w:val="000000" w:themeColor="text1"/>
                <w:sz w:val="24"/>
                <w:szCs w:val="24"/>
              </w:rPr>
              <w:t xml:space="preserve"> submit specific details on the program operation, administration, management and oversight.  It also includes the program infrastructure and process and the calculation and justification of the funding request</w:t>
            </w:r>
            <w:proofErr w:type="gramStart"/>
            <w:r w:rsidRPr="00762CC9" w:rsidR="007A416B">
              <w:rPr>
                <w:rFonts w:ascii="Times New Roman" w:hAnsi="Times New Roman"/>
                <w:bCs/>
                <w:color w:val="000000" w:themeColor="text1"/>
                <w:sz w:val="24"/>
                <w:szCs w:val="24"/>
              </w:rPr>
              <w:t xml:space="preserve">.  </w:t>
            </w:r>
            <w:proofErr w:type="gramEnd"/>
          </w:p>
          <w:p w:rsidRPr="00762CC9" w:rsidR="007A416B" w:rsidP="007A416B" w:rsidRDefault="00D52C73" w14:paraId="381E825C" w14:textId="77777777">
            <w:p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b/>
                <w:bCs/>
                <w:color w:val="000000" w:themeColor="text1"/>
                <w:sz w:val="24"/>
                <w:szCs w:val="24"/>
              </w:rPr>
              <w:t xml:space="preserve">Tab </w:t>
            </w:r>
            <w:r w:rsidRPr="00762CC9" w:rsidR="008A6017">
              <w:rPr>
                <w:rFonts w:ascii="Times New Roman" w:hAnsi="Times New Roman"/>
                <w:b/>
                <w:bCs/>
                <w:color w:val="000000" w:themeColor="text1"/>
                <w:sz w:val="24"/>
                <w:szCs w:val="24"/>
              </w:rPr>
              <w:t>E</w:t>
            </w:r>
            <w:r w:rsidRPr="00762CC9">
              <w:rPr>
                <w:rFonts w:ascii="Times New Roman" w:hAnsi="Times New Roman"/>
                <w:b/>
                <w:bCs/>
                <w:color w:val="000000" w:themeColor="text1"/>
                <w:sz w:val="24"/>
                <w:szCs w:val="24"/>
              </w:rPr>
              <w:t xml:space="preserve">:  </w:t>
            </w:r>
            <w:r w:rsidRPr="00762CC9" w:rsidR="007A416B">
              <w:rPr>
                <w:rFonts w:ascii="Times New Roman" w:hAnsi="Times New Roman"/>
                <w:b/>
                <w:bCs/>
                <w:color w:val="000000" w:themeColor="text1"/>
                <w:sz w:val="24"/>
                <w:szCs w:val="24"/>
              </w:rPr>
              <w:t>Rating Factor 5 –</w:t>
            </w:r>
            <w:r w:rsidRPr="00762CC9" w:rsidR="007A416B">
              <w:rPr>
                <w:rFonts w:ascii="Times New Roman" w:hAnsi="Times New Roman"/>
                <w:color w:val="000000" w:themeColor="text1"/>
                <w:sz w:val="20"/>
                <w:szCs w:val="20"/>
              </w:rPr>
              <w:t xml:space="preserve"> </w:t>
            </w:r>
            <w:r w:rsidRPr="00762CC9" w:rsidR="007A416B">
              <w:rPr>
                <w:rFonts w:ascii="Times New Roman" w:hAnsi="Times New Roman"/>
                <w:b/>
                <w:color w:val="000000" w:themeColor="text1"/>
                <w:sz w:val="24"/>
                <w:szCs w:val="24"/>
              </w:rPr>
              <w:t xml:space="preserve">Achieving Results, Program Innovation and Evaluation. </w:t>
            </w:r>
            <w:r w:rsidRPr="00762CC9" w:rsidR="007A416B">
              <w:rPr>
                <w:rFonts w:ascii="Times New Roman" w:hAnsi="Times New Roman"/>
                <w:bCs/>
                <w:color w:val="000000" w:themeColor="text1"/>
                <w:sz w:val="24"/>
                <w:szCs w:val="24"/>
              </w:rPr>
              <w:t xml:space="preserve">This focuses on </w:t>
            </w:r>
            <w:r w:rsidRPr="00762CC9" w:rsidR="008A6017">
              <w:rPr>
                <w:rFonts w:ascii="Times New Roman" w:hAnsi="Times New Roman"/>
                <w:bCs/>
                <w:color w:val="000000" w:themeColor="text1"/>
                <w:sz w:val="24"/>
                <w:szCs w:val="24"/>
              </w:rPr>
              <w:t>i</w:t>
            </w:r>
            <w:r w:rsidRPr="00762CC9" w:rsidR="007A416B">
              <w:rPr>
                <w:rFonts w:ascii="Times New Roman" w:hAnsi="Times New Roman"/>
                <w:bCs/>
                <w:color w:val="000000" w:themeColor="text1"/>
                <w:sz w:val="24"/>
                <w:szCs w:val="24"/>
              </w:rPr>
              <w:t xml:space="preserve">nnovation including the extent </w:t>
            </w:r>
            <w:r w:rsidRPr="00762CC9" w:rsidR="007A416B">
              <w:rPr>
                <w:rFonts w:ascii="Times New Roman" w:hAnsi="Times New Roman"/>
                <w:color w:val="000000" w:themeColor="text1"/>
                <w:sz w:val="24"/>
                <w:szCs w:val="24"/>
              </w:rPr>
              <w:t>to which the proposed approach, system change, or activities are innovative</w:t>
            </w:r>
            <w:proofErr w:type="gramStart"/>
            <w:r w:rsidRPr="00762CC9" w:rsidR="007A416B">
              <w:rPr>
                <w:rFonts w:ascii="Times New Roman" w:hAnsi="Times New Roman"/>
                <w:color w:val="000000" w:themeColor="text1"/>
                <w:sz w:val="24"/>
                <w:szCs w:val="24"/>
              </w:rPr>
              <w:t xml:space="preserve">.  </w:t>
            </w:r>
            <w:proofErr w:type="gramEnd"/>
            <w:r w:rsidRPr="00762CC9" w:rsidR="007A416B">
              <w:rPr>
                <w:rFonts w:ascii="Times New Roman" w:hAnsi="Times New Roman"/>
                <w:color w:val="000000" w:themeColor="text1"/>
                <w:sz w:val="24"/>
                <w:szCs w:val="24"/>
              </w:rPr>
              <w:t>This rating factor also includes expanding cross-cutting policymaking and support knowledge</w:t>
            </w:r>
            <w:proofErr w:type="gramStart"/>
            <w:r w:rsidRPr="00762CC9" w:rsidR="007A416B">
              <w:rPr>
                <w:rFonts w:ascii="Times New Roman" w:hAnsi="Times New Roman"/>
                <w:color w:val="000000" w:themeColor="text1"/>
                <w:sz w:val="24"/>
                <w:szCs w:val="24"/>
              </w:rPr>
              <w:t xml:space="preserve">.  </w:t>
            </w:r>
            <w:proofErr w:type="gramEnd"/>
            <w:r w:rsidRPr="00762CC9" w:rsidR="007A416B">
              <w:rPr>
                <w:rFonts w:ascii="Times New Roman" w:hAnsi="Times New Roman"/>
                <w:color w:val="000000" w:themeColor="text1"/>
                <w:sz w:val="24"/>
                <w:szCs w:val="24"/>
              </w:rPr>
              <w:t xml:space="preserve"> </w:t>
            </w:r>
          </w:p>
          <w:p w:rsidRPr="00762CC9" w:rsidR="007A416B" w:rsidP="007A416B" w:rsidRDefault="008A6017" w14:paraId="057BC7E9" w14:textId="77777777">
            <w:pPr>
              <w:spacing w:after="0" w:line="240" w:lineRule="auto"/>
              <w:outlineLvl w:val="0"/>
              <w:rPr>
                <w:rFonts w:ascii="Times New Roman" w:hAnsi="Times New Roman" w:cs="Courier New"/>
                <w:color w:val="000000" w:themeColor="text1"/>
                <w:sz w:val="24"/>
                <w:szCs w:val="24"/>
              </w:rPr>
            </w:pPr>
            <w:r w:rsidRPr="00762CC9">
              <w:rPr>
                <w:rFonts w:ascii="Times New Roman" w:hAnsi="Times New Roman" w:cs="Courier New"/>
                <w:b/>
                <w:bCs/>
                <w:color w:val="000000" w:themeColor="text1"/>
                <w:sz w:val="24"/>
                <w:szCs w:val="24"/>
              </w:rPr>
              <w:t xml:space="preserve">Tab F: </w:t>
            </w:r>
            <w:r w:rsidRPr="00762CC9" w:rsidR="007A416B">
              <w:rPr>
                <w:rFonts w:ascii="Times New Roman" w:hAnsi="Times New Roman" w:cs="Courier New"/>
                <w:color w:val="000000" w:themeColor="text1"/>
                <w:sz w:val="24"/>
                <w:szCs w:val="24"/>
              </w:rPr>
              <w:t>Attachments</w:t>
            </w:r>
            <w:proofErr w:type="gramStart"/>
            <w:r w:rsidRPr="00762CC9" w:rsidR="007A416B">
              <w:rPr>
                <w:rFonts w:ascii="Times New Roman" w:hAnsi="Times New Roman" w:cs="Courier New"/>
                <w:color w:val="000000" w:themeColor="text1"/>
                <w:sz w:val="24"/>
                <w:szCs w:val="24"/>
              </w:rPr>
              <w:t xml:space="preserve">.  </w:t>
            </w:r>
            <w:proofErr w:type="gramEnd"/>
            <w:r w:rsidRPr="00762CC9" w:rsidR="007A416B">
              <w:rPr>
                <w:rFonts w:ascii="Times New Roman" w:hAnsi="Times New Roman" w:cs="Courier New"/>
                <w:color w:val="000000" w:themeColor="text1"/>
                <w:sz w:val="24"/>
                <w:szCs w:val="24"/>
              </w:rPr>
              <w:t>Applicants need to include letters of intent and any additional information to document its program</w:t>
            </w:r>
            <w:r w:rsidRPr="00762CC9">
              <w:rPr>
                <w:rFonts w:ascii="Times New Roman" w:hAnsi="Times New Roman" w:cs="Courier New"/>
                <w:color w:val="000000" w:themeColor="text1"/>
                <w:sz w:val="24"/>
                <w:szCs w:val="24"/>
              </w:rPr>
              <w:t>.</w:t>
            </w:r>
          </w:p>
          <w:p w:rsidRPr="00762CC9" w:rsidR="007A416B" w:rsidP="001B4FB5" w:rsidRDefault="007A416B" w14:paraId="78B0E9DE" w14:textId="77777777">
            <w:pPr>
              <w:spacing w:after="0" w:line="240" w:lineRule="auto"/>
              <w:rPr>
                <w:rFonts w:ascii="Times New Roman" w:hAnsi="Times New Roman"/>
                <w:b/>
                <w:color w:val="000000" w:themeColor="text1"/>
                <w:sz w:val="24"/>
                <w:szCs w:val="24"/>
              </w:rPr>
            </w:pPr>
          </w:p>
          <w:p w:rsidRPr="00762CC9" w:rsidR="00FA2F70" w:rsidP="001B4FB5" w:rsidRDefault="008A6017" w14:paraId="3608DA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bCs/>
                <w:color w:val="000000" w:themeColor="text1"/>
                <w:sz w:val="24"/>
              </w:rPr>
            </w:pPr>
            <w:r w:rsidRPr="00762CC9">
              <w:rPr>
                <w:rFonts w:ascii="Times New Roman" w:hAnsi="Times New Roman"/>
                <w:b/>
                <w:bCs/>
                <w:color w:val="000000" w:themeColor="text1"/>
                <w:sz w:val="24"/>
              </w:rPr>
              <w:t>Post Award Documentation</w:t>
            </w:r>
          </w:p>
          <w:p w:rsidRPr="00762CC9" w:rsidR="008A6017" w:rsidP="001B4FB5" w:rsidRDefault="008A6017" w14:paraId="0CB89C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bCs/>
                <w:color w:val="000000" w:themeColor="text1"/>
                <w:sz w:val="24"/>
              </w:rPr>
            </w:pPr>
          </w:p>
          <w:p w:rsidRPr="00762CC9" w:rsidR="008A6017" w:rsidP="001B4FB5" w:rsidRDefault="008A6017" w14:paraId="214A23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MS Mincho" w:cs="Courier New"/>
                <w:bCs/>
                <w:color w:val="000000" w:themeColor="text1"/>
                <w:sz w:val="24"/>
                <w:szCs w:val="20"/>
              </w:rPr>
            </w:pPr>
            <w:r w:rsidRPr="00762CC9">
              <w:rPr>
                <w:rFonts w:ascii="Times New Roman" w:hAnsi="Times New Roman"/>
                <w:b/>
                <w:bCs/>
                <w:color w:val="000000" w:themeColor="text1"/>
                <w:sz w:val="24"/>
              </w:rPr>
              <w:t xml:space="preserve">Forms:  </w:t>
            </w:r>
            <w:r w:rsidRPr="00762CC9">
              <w:rPr>
                <w:rFonts w:ascii="Times New Roman" w:hAnsi="Times New Roman" w:eastAsia="MS Mincho" w:cs="Courier New"/>
                <w:bCs/>
                <w:color w:val="000000" w:themeColor="text1"/>
                <w:sz w:val="24"/>
                <w:szCs w:val="20"/>
              </w:rPr>
              <w:t>General Program Requirements and Certifications</w:t>
            </w:r>
            <w:proofErr w:type="gramStart"/>
            <w:r w:rsidRPr="00762CC9">
              <w:rPr>
                <w:rFonts w:ascii="Times New Roman" w:hAnsi="Times New Roman" w:eastAsia="MS Mincho" w:cs="Courier New"/>
                <w:bCs/>
                <w:color w:val="000000" w:themeColor="text1"/>
                <w:sz w:val="24"/>
                <w:szCs w:val="20"/>
              </w:rPr>
              <w:t xml:space="preserve">.  </w:t>
            </w:r>
            <w:proofErr w:type="gramEnd"/>
            <w:r w:rsidRPr="00762CC9">
              <w:rPr>
                <w:rFonts w:ascii="Times New Roman" w:hAnsi="Times New Roman" w:eastAsia="MS Mincho" w:cs="Courier New"/>
                <w:bCs/>
                <w:color w:val="000000" w:themeColor="text1"/>
                <w:sz w:val="24"/>
                <w:szCs w:val="20"/>
              </w:rPr>
              <w:t xml:space="preserve">This section consists of certifications and other supporting documents to be completed by the Section 811 Project Rental Assistance successful applicant </w:t>
            </w:r>
            <w:r w:rsidRPr="00762CC9" w:rsidR="004A2899">
              <w:rPr>
                <w:rFonts w:ascii="Times New Roman" w:hAnsi="Times New Roman" w:eastAsia="MS Mincho" w:cs="Courier New"/>
                <w:bCs/>
                <w:color w:val="000000" w:themeColor="text1"/>
                <w:sz w:val="24"/>
                <w:szCs w:val="20"/>
              </w:rPr>
              <w:t>that is award the grant, which includes</w:t>
            </w:r>
            <w:r w:rsidRPr="00762CC9">
              <w:rPr>
                <w:rFonts w:ascii="Times New Roman" w:hAnsi="Times New Roman" w:eastAsia="MS Mincho" w:cs="Courier New"/>
                <w:bCs/>
                <w:color w:val="000000" w:themeColor="text1"/>
                <w:sz w:val="24"/>
                <w:szCs w:val="20"/>
              </w:rPr>
              <w:t>:</w:t>
            </w:r>
          </w:p>
          <w:p w:rsidRPr="00762CC9" w:rsidR="004A2899" w:rsidP="001B4FB5" w:rsidRDefault="004A2899" w14:paraId="343683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bCs/>
                <w:color w:val="000000" w:themeColor="text1"/>
                <w:sz w:val="24"/>
              </w:rPr>
            </w:pPr>
          </w:p>
          <w:p w:rsidRPr="00762CC9" w:rsidR="008A6017" w:rsidP="004A2899" w:rsidRDefault="008A6017" w14:paraId="2A6727C5"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HUD-93205-PRA, Cooperative Agreement – Grantee and HUD legal document used to provide funds.</w:t>
            </w:r>
          </w:p>
          <w:p w:rsidRPr="00762CC9" w:rsidR="008A6017" w:rsidP="004A2899" w:rsidRDefault="008A6017" w14:paraId="526D7DD1"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Form HUD-92241-PRA, </w:t>
            </w:r>
            <w:r w:rsidRPr="00762CC9">
              <w:rPr>
                <w:rFonts w:ascii="Times New Roman" w:hAnsi="Times New Roman" w:eastAsia="MS Mincho"/>
                <w:color w:val="000000" w:themeColor="text1"/>
                <w:sz w:val="24"/>
                <w:szCs w:val="20"/>
              </w:rPr>
              <w:t>Logic Model/Reporting</w:t>
            </w:r>
            <w:proofErr w:type="gramStart"/>
            <w:r w:rsidRPr="00762CC9">
              <w:rPr>
                <w:rFonts w:ascii="Times New Roman" w:hAnsi="Times New Roman" w:eastAsia="MS Mincho"/>
                <w:color w:val="000000" w:themeColor="text1"/>
                <w:sz w:val="24"/>
                <w:szCs w:val="20"/>
              </w:rPr>
              <w:t xml:space="preserve">.  </w:t>
            </w:r>
            <w:proofErr w:type="gramEnd"/>
            <w:r w:rsidRPr="00762CC9">
              <w:rPr>
                <w:rFonts w:ascii="Times New Roman" w:hAnsi="Times New Roman" w:eastAsia="MS Mincho"/>
                <w:color w:val="000000" w:themeColor="text1"/>
                <w:sz w:val="24"/>
                <w:szCs w:val="20"/>
              </w:rPr>
              <w:t>The requirement of this form supports HUD’s effort of ensuring that programs result in achievement of HUD’s strategic mission.</w:t>
            </w:r>
          </w:p>
          <w:p w:rsidRPr="00762CC9" w:rsidR="008A6017" w:rsidP="004A2899" w:rsidRDefault="008A6017" w14:paraId="4D809F2E"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Quarterly Reports – Grantee reports updating HUD on the program and operational performance using grant funds submitted three times a year.</w:t>
            </w:r>
          </w:p>
          <w:p w:rsidRPr="00762CC9" w:rsidR="008A6017" w:rsidP="004A2899" w:rsidRDefault="008A6017" w14:paraId="5A6782E6"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Annual Reports – Grantee reports submitted annually to update HUD on the program operation and performance.</w:t>
            </w:r>
          </w:p>
          <w:p w:rsidRPr="00762CC9" w:rsidR="008A6017" w:rsidP="004A2899" w:rsidRDefault="008A6017" w14:paraId="50158D91"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HUD-92243-PRA, Affirmative Fair Housing Marketing Plan</w:t>
            </w:r>
          </w:p>
          <w:p w:rsidRPr="00762CC9" w:rsidR="008A6017" w:rsidP="004A2899" w:rsidRDefault="008A6017" w14:paraId="65E4CF9C"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HUD-92236-PRA, Model Lease</w:t>
            </w:r>
          </w:p>
          <w:p w:rsidRPr="00762CC9" w:rsidR="008A6017" w:rsidP="004A2899" w:rsidRDefault="008A6017" w14:paraId="15FD8F02"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HUD-92238-PRA, Use Agreement – Grantee and owners will execute this agreement restricting the income and tenants in the PRA units</w:t>
            </w:r>
          </w:p>
          <w:p w:rsidRPr="00762CC9" w:rsidR="008A6017" w:rsidP="004A2899" w:rsidRDefault="008A6017" w14:paraId="3B63F274"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HUD-92235-PRA, Rental Assistance Contracts Part I- Grantees will execute this document with owners that have PRA units.</w:t>
            </w:r>
          </w:p>
          <w:p w:rsidRPr="00762CC9" w:rsidR="008A6017" w:rsidP="004A2899" w:rsidRDefault="008A6017" w14:paraId="045924DC"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HUD-92237-PRA, Rental Assistance Contract Part II – Grantees will execute this document with owners that have PRA units.</w:t>
            </w:r>
          </w:p>
          <w:p w:rsidRPr="00762CC9" w:rsidR="008A6017" w:rsidP="004A2899" w:rsidRDefault="008A6017" w14:paraId="6AE7C1CB" w14:textId="77777777">
            <w:pPr>
              <w:numPr>
                <w:ilvl w:val="0"/>
                <w:numId w:val="11"/>
              </w:num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762CC9">
              <w:rPr>
                <w:rFonts w:ascii="Times New Roman" w:hAnsi="Times New Roman"/>
                <w:color w:val="000000" w:themeColor="text1"/>
                <w:sz w:val="24"/>
                <w:szCs w:val="24"/>
              </w:rPr>
              <w:t>Form HUD-92240-PRA, Agreement to Enter into Rental Assistance Contract – Grantees will execute this agreement with owners that will have PRA units.</w:t>
            </w:r>
          </w:p>
          <w:p w:rsidRPr="00762CC9" w:rsidR="008A6017" w:rsidP="001B4FB5" w:rsidRDefault="008A6017" w14:paraId="580279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bCs/>
                <w:color w:val="000000" w:themeColor="text1"/>
                <w:sz w:val="24"/>
              </w:rPr>
            </w:pPr>
          </w:p>
        </w:tc>
      </w:tr>
      <w:tr w:rsidRPr="00762CC9" w:rsidR="008968ED" w:rsidTr="00D35DDB" w14:paraId="05F15AB7" w14:textId="77777777">
        <w:tc>
          <w:tcPr>
            <w:tcW w:w="9360" w:type="dxa"/>
            <w:shd w:val="clear" w:color="auto" w:fill="auto"/>
          </w:tcPr>
          <w:p w:rsidRPr="00762CC9" w:rsidR="00FA2F70" w:rsidP="001B4FB5" w:rsidRDefault="00FA2F70" w14:paraId="6CDD6ED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Pr="00762CC9" w:rsidR="00FA2F70" w:rsidP="00FA2F70" w:rsidRDefault="00FA2F70" w14:paraId="1731CBA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762CC9" w:rsidR="008968ED" w:rsidTr="00D35DDB" w14:paraId="5B0DDC66" w14:textId="77777777">
        <w:tc>
          <w:tcPr>
            <w:tcW w:w="9360" w:type="dxa"/>
            <w:shd w:val="clear" w:color="auto" w:fill="auto"/>
          </w:tcPr>
          <w:p w:rsidRPr="00762CC9" w:rsidR="00FA2F70" w:rsidP="001B4FB5" w:rsidRDefault="00FA2F70" w14:paraId="6C5F0089"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w:t>
            </w:r>
            <w:r w:rsidRPr="00762CC9">
              <w:rPr>
                <w:rFonts w:ascii="Times New Roman" w:hAnsi="Times New Roman"/>
                <w:b/>
                <w:color w:val="000000" w:themeColor="text1"/>
                <w:sz w:val="24"/>
                <w:szCs w:val="24"/>
              </w:rPr>
              <w:lastRenderedPageBreak/>
              <w:t xml:space="preserve">forms of information technology, e.g., permitting electronic submission of responses, and the basis for the decision for adopting this means of collection. Also describe any consideration of using information technology to reduce burden. </w:t>
            </w:r>
          </w:p>
          <w:p w:rsidRPr="00762CC9" w:rsidR="004A2899" w:rsidP="001B4FB5" w:rsidRDefault="004A2899" w14:paraId="13A4886D" w14:textId="77777777">
            <w:pPr>
              <w:spacing w:after="0" w:line="240" w:lineRule="auto"/>
              <w:rPr>
                <w:rFonts w:ascii="Times New Roman" w:hAnsi="Times New Roman"/>
                <w:b/>
                <w:color w:val="000000" w:themeColor="text1"/>
                <w:sz w:val="24"/>
                <w:szCs w:val="24"/>
              </w:rPr>
            </w:pPr>
          </w:p>
          <w:p w:rsidRPr="00762CC9" w:rsidR="004A2899" w:rsidP="001B4FB5" w:rsidRDefault="004A2899" w14:paraId="2A126C6E" w14:textId="77777777">
            <w:pPr>
              <w:spacing w:after="0" w:line="240" w:lineRule="auto"/>
              <w:rPr>
                <w:rFonts w:ascii="Times New Roman" w:hAnsi="Times New Roman"/>
                <w:b/>
                <w:color w:val="000000" w:themeColor="text1"/>
                <w:sz w:val="24"/>
                <w:szCs w:val="24"/>
              </w:rPr>
            </w:pPr>
          </w:p>
          <w:p w:rsidRPr="00762CC9" w:rsidR="004A2899" w:rsidP="001B4FB5" w:rsidRDefault="004A2899" w14:paraId="1FD67F98" w14:textId="77777777">
            <w:pPr>
              <w:spacing w:after="0" w:line="240" w:lineRule="auto"/>
              <w:rPr>
                <w:rFonts w:ascii="Times New Roman" w:hAnsi="Times New Roman"/>
                <w:b/>
                <w:color w:val="000000" w:themeColor="text1"/>
                <w:sz w:val="24"/>
                <w:szCs w:val="24"/>
              </w:rPr>
            </w:pPr>
            <w:r w:rsidRPr="00762CC9">
              <w:rPr>
                <w:rFonts w:ascii="Times New Roman" w:hAnsi="Times New Roman" w:eastAsia="MS Mincho"/>
                <w:color w:val="000000" w:themeColor="text1"/>
                <w:sz w:val="24"/>
              </w:rPr>
              <w:t>Applicants must submit their applications electronically through Grants.gov</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All grant applications must be received and validated electronically by Grants.gov no later than the established application submission deadline</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Applicants may not submit paper applications unless the applicant demonstrates good cause may request a waiver from the requirement for electronic submission. Under special circumstances such as preventing a hardship on a small agency, a waiver of the electronic submission may be approved</w:t>
            </w:r>
            <w:proofErr w:type="gramStart"/>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 xml:space="preserve">Applicants seeking a waiver of the electronic submission requirement must make the request in accordance with 24 CFR 5.1005.    Applicants that are granted a waiver of the electronic submission requirement will not be afforded additional time to submit their applications. All other forms not included in the Application Package </w:t>
            </w:r>
            <w:r w:rsidRPr="00762CC9" w:rsidR="000C1D3D">
              <w:rPr>
                <w:rFonts w:ascii="Times New Roman" w:hAnsi="Times New Roman" w:eastAsia="MS Mincho"/>
                <w:color w:val="000000" w:themeColor="text1"/>
                <w:sz w:val="24"/>
              </w:rPr>
              <w:t>may be submitted by email in a document repository email mailbox established by the program office</w:t>
            </w:r>
            <w:proofErr w:type="gramStart"/>
            <w:r w:rsidRPr="00762CC9" w:rsidR="000C1D3D">
              <w:rPr>
                <w:rFonts w:ascii="Times New Roman" w:hAnsi="Times New Roman" w:eastAsia="MS Mincho"/>
                <w:color w:val="000000" w:themeColor="text1"/>
                <w:sz w:val="24"/>
              </w:rPr>
              <w:t>.</w:t>
            </w:r>
            <w:r w:rsidRPr="00762CC9">
              <w:rPr>
                <w:rFonts w:ascii="Times New Roman" w:hAnsi="Times New Roman" w:eastAsia="MS Mincho"/>
                <w:color w:val="000000" w:themeColor="text1"/>
                <w:sz w:val="24"/>
              </w:rPr>
              <w:t xml:space="preserve">  </w:t>
            </w:r>
            <w:proofErr w:type="gramEnd"/>
            <w:r w:rsidRPr="00762CC9">
              <w:rPr>
                <w:rFonts w:ascii="Times New Roman" w:hAnsi="Times New Roman" w:eastAsia="MS Mincho"/>
                <w:color w:val="000000" w:themeColor="text1"/>
                <w:sz w:val="24"/>
              </w:rPr>
              <w:t xml:space="preserve">  </w:t>
            </w:r>
          </w:p>
          <w:p w:rsidRPr="00762CC9" w:rsidR="00FA2F70" w:rsidP="001B4FB5" w:rsidRDefault="00FA2F70" w14:paraId="02E9B693" w14:textId="77777777">
            <w:pPr>
              <w:spacing w:after="0" w:line="240" w:lineRule="auto"/>
              <w:rPr>
                <w:rFonts w:ascii="Times New Roman" w:hAnsi="Times New Roman"/>
                <w:b/>
                <w:color w:val="000000" w:themeColor="text1"/>
                <w:sz w:val="24"/>
                <w:szCs w:val="24"/>
              </w:rPr>
            </w:pPr>
          </w:p>
        </w:tc>
      </w:tr>
      <w:tr w:rsidRPr="00762CC9" w:rsidR="008968ED" w:rsidTr="00D35DDB" w14:paraId="009E7A67" w14:textId="77777777">
        <w:tc>
          <w:tcPr>
            <w:tcW w:w="9360" w:type="dxa"/>
            <w:shd w:val="clear" w:color="auto" w:fill="auto"/>
          </w:tcPr>
          <w:p w:rsidRPr="00762CC9" w:rsidR="00FA2F70" w:rsidP="001B4FB5" w:rsidRDefault="00FA2F70" w14:paraId="3DCD1B56"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5ACA71D2"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0522FA3D" w14:textId="77777777">
        <w:tc>
          <w:tcPr>
            <w:tcW w:w="9360" w:type="dxa"/>
            <w:shd w:val="clear" w:color="auto" w:fill="auto"/>
          </w:tcPr>
          <w:p w:rsidRPr="00762CC9" w:rsidR="00FA2F70" w:rsidP="000C1D3D" w:rsidRDefault="00FA2F70" w14:paraId="237D6C2B"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Pr="00762CC9" w:rsidR="000C1D3D" w:rsidP="001B4FB5" w:rsidRDefault="000C1D3D" w14:paraId="1DAB7BA0" w14:textId="77777777">
            <w:pPr>
              <w:spacing w:after="0" w:line="240" w:lineRule="auto"/>
              <w:rPr>
                <w:rFonts w:ascii="Times New Roman" w:hAnsi="Times New Roman"/>
                <w:b/>
                <w:color w:val="000000" w:themeColor="text1"/>
                <w:sz w:val="24"/>
                <w:szCs w:val="24"/>
              </w:rPr>
            </w:pPr>
          </w:p>
          <w:p w:rsidRPr="00762CC9" w:rsidR="000C1D3D" w:rsidP="000C1D3D" w:rsidRDefault="000C1D3D" w14:paraId="56B25FF9"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No duplication exists in the collection. The Section 811 Project Rental Assistance anticipates </w:t>
            </w:r>
          </w:p>
          <w:p w:rsidRPr="00762CC9" w:rsidR="000C1D3D" w:rsidP="000C1D3D" w:rsidRDefault="000C1D3D" w14:paraId="1418ABCD"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that most items will only be required once from each applicant</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Narrative plans will be </w:t>
            </w:r>
          </w:p>
          <w:p w:rsidRPr="00762CC9" w:rsidR="000C1D3D" w:rsidP="000C1D3D" w:rsidRDefault="000C1D3D" w14:paraId="118390DF"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required once as part of the initial application and revised plans may be required with </w:t>
            </w:r>
          </w:p>
          <w:p w:rsidRPr="00762CC9" w:rsidR="000C1D3D" w:rsidP="000C1D3D" w:rsidRDefault="000C1D3D" w14:paraId="7F5973BB"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additional information at the conclusion of the negotiation period with grant recipients.</w:t>
            </w:r>
          </w:p>
          <w:p w:rsidRPr="00762CC9" w:rsidR="000C1D3D" w:rsidP="001B4FB5" w:rsidRDefault="000C1D3D" w14:paraId="25B9BA08" w14:textId="77777777">
            <w:pPr>
              <w:spacing w:after="0" w:line="240" w:lineRule="auto"/>
              <w:rPr>
                <w:rFonts w:ascii="Times New Roman" w:hAnsi="Times New Roman"/>
                <w:b/>
                <w:color w:val="000000" w:themeColor="text1"/>
                <w:sz w:val="24"/>
                <w:szCs w:val="24"/>
              </w:rPr>
            </w:pPr>
          </w:p>
          <w:p w:rsidRPr="00762CC9" w:rsidR="00FA2F70" w:rsidP="001B4FB5" w:rsidRDefault="00FA2F70" w14:paraId="61228A5D" w14:textId="77777777">
            <w:pPr>
              <w:spacing w:after="0" w:line="240" w:lineRule="auto"/>
              <w:rPr>
                <w:rFonts w:ascii="Times New Roman" w:hAnsi="Times New Roman"/>
                <w:b/>
                <w:color w:val="000000" w:themeColor="text1"/>
                <w:sz w:val="24"/>
                <w:szCs w:val="24"/>
              </w:rPr>
            </w:pPr>
          </w:p>
        </w:tc>
      </w:tr>
      <w:tr w:rsidRPr="00762CC9" w:rsidR="008968ED" w:rsidTr="00D35DDB" w14:paraId="1237562E" w14:textId="77777777">
        <w:tc>
          <w:tcPr>
            <w:tcW w:w="9360" w:type="dxa"/>
            <w:shd w:val="clear" w:color="auto" w:fill="auto"/>
          </w:tcPr>
          <w:p w:rsidRPr="00762CC9" w:rsidR="00FA2F70" w:rsidP="001B4FB5" w:rsidRDefault="00FA2F70" w14:paraId="29E6B194"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6FF1ED4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7FCB9F07" w14:textId="77777777">
        <w:tc>
          <w:tcPr>
            <w:tcW w:w="9360" w:type="dxa"/>
            <w:shd w:val="clear" w:color="auto" w:fill="auto"/>
          </w:tcPr>
          <w:p w:rsidRPr="00762CC9" w:rsidR="00FA2F70" w:rsidP="001B4FB5" w:rsidRDefault="00FA2F70" w14:paraId="2F281947"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Pr="00762CC9" w:rsidR="000C1D3D" w:rsidP="001B4FB5" w:rsidRDefault="000C1D3D" w14:paraId="305E8F09" w14:textId="77777777">
            <w:pPr>
              <w:spacing w:after="0" w:line="240" w:lineRule="auto"/>
              <w:rPr>
                <w:rFonts w:ascii="Times New Roman" w:hAnsi="Times New Roman"/>
                <w:b/>
                <w:color w:val="000000" w:themeColor="text1"/>
                <w:sz w:val="24"/>
                <w:szCs w:val="24"/>
              </w:rPr>
            </w:pPr>
          </w:p>
          <w:p w:rsidRPr="00762CC9" w:rsidR="000C1D3D" w:rsidP="001B4FB5" w:rsidRDefault="000C1D3D" w14:paraId="36A228BB" w14:textId="77777777">
            <w:pPr>
              <w:spacing w:after="0" w:line="240" w:lineRule="auto"/>
              <w:rPr>
                <w:rFonts w:ascii="Times New Roman" w:hAnsi="Times New Roman"/>
                <w:b/>
                <w:color w:val="000000" w:themeColor="text1"/>
                <w:sz w:val="24"/>
                <w:szCs w:val="24"/>
              </w:rPr>
            </w:pPr>
            <w:r w:rsidRPr="00762CC9">
              <w:rPr>
                <w:rFonts w:ascii="Times New Roman" w:hAnsi="Times New Roman" w:eastAsia="MS Mincho"/>
                <w:color w:val="000000" w:themeColor="text1"/>
                <w:sz w:val="24"/>
              </w:rPr>
              <w:t>This information collection will not have a significant economic impact on small entities; however, as noted above in number 3, under special circumstances such as preventing a hardship, a waiver of the electronic submission can be requested by the small entity to reduce a significant economic impact.</w:t>
            </w:r>
          </w:p>
          <w:p w:rsidRPr="00762CC9" w:rsidR="00FA2F70" w:rsidP="001B4FB5" w:rsidRDefault="00FA2F70" w14:paraId="06016D52" w14:textId="77777777">
            <w:pPr>
              <w:spacing w:after="0" w:line="240" w:lineRule="auto"/>
              <w:rPr>
                <w:rFonts w:ascii="Times New Roman" w:hAnsi="Times New Roman"/>
                <w:b/>
                <w:color w:val="000000" w:themeColor="text1"/>
                <w:sz w:val="24"/>
                <w:szCs w:val="24"/>
              </w:rPr>
            </w:pPr>
          </w:p>
        </w:tc>
      </w:tr>
      <w:tr w:rsidRPr="00762CC9" w:rsidR="008968ED" w:rsidTr="00D35DDB" w14:paraId="5188218C" w14:textId="77777777">
        <w:tc>
          <w:tcPr>
            <w:tcW w:w="9360" w:type="dxa"/>
            <w:shd w:val="clear" w:color="auto" w:fill="auto"/>
          </w:tcPr>
          <w:p w:rsidRPr="00762CC9" w:rsidR="00FA2F70" w:rsidP="001B4FB5" w:rsidRDefault="00FA2F70" w14:paraId="41A0D13E"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6E7BD285"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193F7E33" w14:textId="77777777">
        <w:tc>
          <w:tcPr>
            <w:tcW w:w="9360" w:type="dxa"/>
            <w:shd w:val="clear" w:color="auto" w:fill="auto"/>
          </w:tcPr>
          <w:p w:rsidRPr="00762CC9" w:rsidR="00FA2F70" w:rsidP="001B4FB5" w:rsidRDefault="00FA2F70" w14:paraId="1F483047"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Pr="00762CC9" w:rsidR="00FA2F70" w:rsidP="001B4FB5" w:rsidRDefault="00FA2F70" w14:paraId="2F70E64A" w14:textId="77777777">
            <w:pPr>
              <w:spacing w:after="0" w:line="240" w:lineRule="auto"/>
              <w:rPr>
                <w:rFonts w:ascii="Times New Roman" w:hAnsi="Times New Roman"/>
                <w:b/>
                <w:color w:val="000000" w:themeColor="text1"/>
                <w:sz w:val="24"/>
                <w:szCs w:val="24"/>
              </w:rPr>
            </w:pPr>
          </w:p>
        </w:tc>
      </w:tr>
      <w:tr w:rsidRPr="00762CC9" w:rsidR="008968ED" w:rsidTr="00D35DDB" w14:paraId="1685D864" w14:textId="77777777">
        <w:tc>
          <w:tcPr>
            <w:tcW w:w="9360" w:type="dxa"/>
            <w:shd w:val="clear" w:color="auto" w:fill="auto"/>
          </w:tcPr>
          <w:p w:rsidRPr="00762CC9" w:rsidR="000C1D3D" w:rsidP="000C1D3D" w:rsidRDefault="000C1D3D" w14:paraId="33D931C9"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The Department could not comply with the provisions of the law and Federal regulations if the </w:t>
            </w:r>
          </w:p>
          <w:p w:rsidRPr="00762CC9" w:rsidR="000C1D3D" w:rsidP="000C1D3D" w:rsidRDefault="000C1D3D" w14:paraId="2E57BBE5"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collection was eliminated</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This program seeking innovative state strategies to provide </w:t>
            </w:r>
          </w:p>
          <w:p w:rsidRPr="00762CC9" w:rsidR="000C1D3D" w:rsidP="000C1D3D" w:rsidRDefault="000C1D3D" w14:paraId="76D00BCB"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affordable housing to extremely low-income persons with disabilities with access to services</w:t>
            </w:r>
            <w:proofErr w:type="gramStart"/>
            <w:r w:rsidRPr="00762CC9">
              <w:rPr>
                <w:rFonts w:ascii="Times New Roman" w:hAnsi="Times New Roman" w:eastAsia="MS Mincho" w:cs="Courier New"/>
                <w:color w:val="000000" w:themeColor="text1"/>
                <w:sz w:val="24"/>
                <w:szCs w:val="20"/>
              </w:rPr>
              <w:t xml:space="preserve">.  </w:t>
            </w:r>
            <w:proofErr w:type="gramEnd"/>
          </w:p>
          <w:p w:rsidRPr="00762CC9" w:rsidR="000C1D3D" w:rsidP="000C1D3D" w:rsidRDefault="000C1D3D" w14:paraId="26614F27"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lastRenderedPageBreak/>
              <w:t>The application package uses standard OPM and HUD forms to the extent possible</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No other </w:t>
            </w:r>
          </w:p>
          <w:p w:rsidRPr="00762CC9" w:rsidR="000C1D3D" w:rsidP="000C1D3D" w:rsidRDefault="000C1D3D" w14:paraId="7E264DED"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existing forms can be substituted to obtain the required information included in the </w:t>
            </w:r>
          </w:p>
          <w:p w:rsidRPr="00762CC9" w:rsidR="000C1D3D" w:rsidP="000C1D3D" w:rsidRDefault="000C1D3D" w14:paraId="1E88773C"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application</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In the absence of the above information, the Department would not be able to </w:t>
            </w:r>
          </w:p>
          <w:p w:rsidRPr="00762CC9" w:rsidR="000C1D3D" w:rsidP="000C1D3D" w:rsidRDefault="000C1D3D" w14:paraId="7452EF44"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assess the worthiness of applications, determine whether the state programs meet statutory and </w:t>
            </w:r>
          </w:p>
          <w:p w:rsidRPr="00762CC9" w:rsidR="000C1D3D" w:rsidP="000C1D3D" w:rsidRDefault="000C1D3D" w14:paraId="2CB205EE"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regulatory requirements, or make sound judgments regarding the potential risk to the </w:t>
            </w:r>
          </w:p>
          <w:p w:rsidRPr="00762CC9" w:rsidR="000C1D3D" w:rsidP="000C1D3D" w:rsidRDefault="000C1D3D" w14:paraId="449A499C"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Government.</w:t>
            </w:r>
          </w:p>
          <w:p w:rsidRPr="00762CC9" w:rsidR="00FA2F70" w:rsidP="001B4FB5" w:rsidRDefault="00FA2F70" w14:paraId="6E06D0D1"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27CB2E8D"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70841BEC" w14:textId="77777777">
        <w:tc>
          <w:tcPr>
            <w:tcW w:w="9360" w:type="dxa"/>
            <w:shd w:val="clear" w:color="auto" w:fill="auto"/>
          </w:tcPr>
          <w:p w:rsidRPr="00762CC9" w:rsidR="00FA2F70" w:rsidP="001B4FB5" w:rsidRDefault="00FA2F70" w14:paraId="38C58FDF"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7. Explain any special circumstances that would cause an information collection to be conducted in a manner: </w:t>
            </w:r>
          </w:p>
          <w:p w:rsidRPr="00762CC9" w:rsidR="00FA2F70" w:rsidP="001B4FB5" w:rsidRDefault="00FA2F70" w14:paraId="0E2D1DC7" w14:textId="77777777">
            <w:pPr>
              <w:spacing w:after="0" w:line="240" w:lineRule="auto"/>
              <w:rPr>
                <w:rFonts w:ascii="Times New Roman" w:hAnsi="Times New Roman"/>
                <w:b/>
                <w:color w:val="000000" w:themeColor="text1"/>
                <w:sz w:val="24"/>
                <w:szCs w:val="24"/>
              </w:rPr>
            </w:pPr>
          </w:p>
          <w:p w:rsidRPr="00762CC9" w:rsidR="00FA2F70" w:rsidP="001B4FB5" w:rsidRDefault="00FA2F70" w14:paraId="73DC24DF"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requiring</w:t>
            </w:r>
            <w:proofErr w:type="gramEnd"/>
            <w:r w:rsidRPr="00762CC9">
              <w:rPr>
                <w:rFonts w:ascii="Times New Roman" w:hAnsi="Times New Roman"/>
                <w:color w:val="000000" w:themeColor="text1"/>
                <w:sz w:val="24"/>
                <w:szCs w:val="24"/>
              </w:rPr>
              <w:t xml:space="preserve"> respondents to report information to the agency more often than quarterly; </w:t>
            </w:r>
            <w:r w:rsidRPr="00762CC9" w:rsidR="000C1D3D">
              <w:rPr>
                <w:rFonts w:ascii="Times New Roman" w:hAnsi="Times New Roman"/>
                <w:color w:val="000000" w:themeColor="text1"/>
                <w:sz w:val="24"/>
                <w:szCs w:val="24"/>
              </w:rPr>
              <w:t>No.</w:t>
            </w:r>
          </w:p>
          <w:p w:rsidRPr="00762CC9" w:rsidR="00D35DDB" w:rsidP="001B4FB5" w:rsidRDefault="00D35DDB" w14:paraId="5F7F6716" w14:textId="77777777">
            <w:pPr>
              <w:spacing w:after="0" w:line="240" w:lineRule="auto"/>
              <w:rPr>
                <w:rFonts w:ascii="Times New Roman" w:hAnsi="Times New Roman"/>
                <w:color w:val="000000" w:themeColor="text1"/>
                <w:sz w:val="24"/>
                <w:szCs w:val="24"/>
              </w:rPr>
            </w:pPr>
          </w:p>
          <w:p w:rsidRPr="00762CC9" w:rsidR="00FA2F70" w:rsidP="001B4FB5" w:rsidRDefault="00FA2F70" w14:paraId="35A29C5F"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requiring</w:t>
            </w:r>
            <w:proofErr w:type="gramEnd"/>
            <w:r w:rsidRPr="00762CC9">
              <w:rPr>
                <w:rFonts w:ascii="Times New Roman" w:hAnsi="Times New Roman"/>
                <w:color w:val="000000" w:themeColor="text1"/>
                <w:sz w:val="24"/>
                <w:szCs w:val="24"/>
              </w:rPr>
              <w:t xml:space="preserve"> respondents to prepare a written response to a collection of information in fewer than 30 days after receipt of it; </w:t>
            </w:r>
            <w:r w:rsidRPr="00762CC9" w:rsidR="000C1D3D">
              <w:rPr>
                <w:rFonts w:ascii="Times New Roman" w:hAnsi="Times New Roman"/>
                <w:color w:val="000000" w:themeColor="text1"/>
                <w:sz w:val="24"/>
                <w:szCs w:val="24"/>
              </w:rPr>
              <w:t>No.</w:t>
            </w:r>
          </w:p>
          <w:p w:rsidRPr="00762CC9" w:rsidR="00D35DDB" w:rsidP="001B4FB5" w:rsidRDefault="00D35DDB" w14:paraId="3A55B923" w14:textId="77777777">
            <w:pPr>
              <w:spacing w:after="0" w:line="240" w:lineRule="auto"/>
              <w:rPr>
                <w:rFonts w:ascii="Times New Roman" w:hAnsi="Times New Roman"/>
                <w:color w:val="000000" w:themeColor="text1"/>
                <w:sz w:val="24"/>
                <w:szCs w:val="24"/>
              </w:rPr>
            </w:pPr>
          </w:p>
          <w:p w:rsidRPr="00762CC9" w:rsidR="007450FC" w:rsidP="001B4FB5" w:rsidRDefault="00FA2F70" w14:paraId="05AC3847"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requiring</w:t>
            </w:r>
            <w:proofErr w:type="gramEnd"/>
            <w:r w:rsidRPr="00762CC9">
              <w:rPr>
                <w:rFonts w:ascii="Times New Roman" w:hAnsi="Times New Roman"/>
                <w:color w:val="000000" w:themeColor="text1"/>
                <w:sz w:val="24"/>
                <w:szCs w:val="24"/>
              </w:rPr>
              <w:t xml:space="preserve"> respondents to submit more than an original and two copies of any document; </w:t>
            </w:r>
            <w:r w:rsidRPr="00762CC9" w:rsidR="000C1D3D">
              <w:rPr>
                <w:rFonts w:ascii="Times New Roman" w:hAnsi="Times New Roman"/>
                <w:color w:val="000000" w:themeColor="text1"/>
                <w:sz w:val="24"/>
                <w:szCs w:val="24"/>
              </w:rPr>
              <w:t>No.</w:t>
            </w:r>
          </w:p>
          <w:p w:rsidRPr="00762CC9" w:rsidR="007450FC" w:rsidP="001B4FB5" w:rsidRDefault="007450FC" w14:paraId="3AF7B6FD" w14:textId="77777777">
            <w:pPr>
              <w:spacing w:after="0" w:line="240" w:lineRule="auto"/>
              <w:rPr>
                <w:rFonts w:ascii="Times New Roman" w:hAnsi="Times New Roman"/>
                <w:color w:val="000000" w:themeColor="text1"/>
                <w:sz w:val="24"/>
                <w:szCs w:val="24"/>
              </w:rPr>
            </w:pPr>
          </w:p>
          <w:p w:rsidRPr="00762CC9" w:rsidR="00FA2F70" w:rsidP="001B4FB5" w:rsidRDefault="00FA2F70" w14:paraId="4C33CE6B"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requiring</w:t>
            </w:r>
            <w:proofErr w:type="gramEnd"/>
            <w:r w:rsidRPr="00762CC9">
              <w:rPr>
                <w:rFonts w:ascii="Times New Roman" w:hAnsi="Times New Roman"/>
                <w:color w:val="000000" w:themeColor="text1"/>
                <w:sz w:val="24"/>
                <w:szCs w:val="24"/>
              </w:rPr>
              <w:t xml:space="preserve"> respondents to retain records, other than health, medical, government contract, grant-in-aid, or tax records, for more than three years; </w:t>
            </w:r>
            <w:r w:rsidRPr="00762CC9" w:rsidR="000C1D3D">
              <w:rPr>
                <w:rFonts w:ascii="Times New Roman" w:hAnsi="Times New Roman"/>
                <w:color w:val="000000" w:themeColor="text1"/>
                <w:sz w:val="24"/>
                <w:szCs w:val="24"/>
              </w:rPr>
              <w:t>No.</w:t>
            </w:r>
          </w:p>
          <w:p w:rsidRPr="00762CC9" w:rsidR="00D35DDB" w:rsidP="001B4FB5" w:rsidRDefault="00D35DDB" w14:paraId="7A82B5C9" w14:textId="77777777">
            <w:pPr>
              <w:spacing w:after="0" w:line="240" w:lineRule="auto"/>
              <w:rPr>
                <w:rFonts w:ascii="Times New Roman" w:hAnsi="Times New Roman"/>
                <w:color w:val="000000" w:themeColor="text1"/>
                <w:sz w:val="24"/>
                <w:szCs w:val="24"/>
              </w:rPr>
            </w:pPr>
          </w:p>
          <w:p w:rsidRPr="00762CC9" w:rsidR="00FA2F70" w:rsidP="001B4FB5" w:rsidRDefault="00FA2F70" w14:paraId="0384D4D6"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in</w:t>
            </w:r>
            <w:proofErr w:type="gramEnd"/>
            <w:r w:rsidRPr="00762CC9">
              <w:rPr>
                <w:rFonts w:ascii="Times New Roman" w:hAnsi="Times New Roman"/>
                <w:color w:val="000000" w:themeColor="text1"/>
                <w:sz w:val="24"/>
                <w:szCs w:val="24"/>
              </w:rPr>
              <w:t xml:space="preserve"> connection with a statistical survey, that is not designed to produce valid and reliable results that can be generalized to the universe of study; </w:t>
            </w:r>
            <w:r w:rsidRPr="00762CC9" w:rsidR="00232236">
              <w:rPr>
                <w:rFonts w:ascii="Times New Roman" w:hAnsi="Times New Roman"/>
                <w:color w:val="000000" w:themeColor="text1"/>
                <w:sz w:val="24"/>
                <w:szCs w:val="24"/>
              </w:rPr>
              <w:t>No</w:t>
            </w:r>
          </w:p>
          <w:p w:rsidRPr="00762CC9" w:rsidR="00123347" w:rsidP="001B4FB5" w:rsidRDefault="00123347" w14:paraId="19E5D01D" w14:textId="77777777">
            <w:pPr>
              <w:spacing w:after="0" w:line="240" w:lineRule="auto"/>
              <w:rPr>
                <w:rFonts w:ascii="Times New Roman" w:hAnsi="Times New Roman"/>
                <w:color w:val="000000" w:themeColor="text1"/>
                <w:sz w:val="24"/>
                <w:szCs w:val="24"/>
              </w:rPr>
            </w:pPr>
          </w:p>
          <w:p w:rsidRPr="00762CC9" w:rsidR="00FA2F70" w:rsidP="001B4FB5" w:rsidRDefault="00FA2F70" w14:paraId="206DAF1F"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requiring</w:t>
            </w:r>
            <w:proofErr w:type="gramEnd"/>
            <w:r w:rsidRPr="00762CC9">
              <w:rPr>
                <w:rFonts w:ascii="Times New Roman" w:hAnsi="Times New Roman"/>
                <w:color w:val="000000" w:themeColor="text1"/>
                <w:sz w:val="24"/>
                <w:szCs w:val="24"/>
              </w:rPr>
              <w:t xml:space="preserve"> the use of a statistical data classification that has not been reviewed and approved by OMB; </w:t>
            </w:r>
            <w:r w:rsidRPr="00762CC9" w:rsidR="00232236">
              <w:rPr>
                <w:rFonts w:ascii="Times New Roman" w:hAnsi="Times New Roman"/>
                <w:color w:val="000000" w:themeColor="text1"/>
                <w:sz w:val="24"/>
                <w:szCs w:val="24"/>
              </w:rPr>
              <w:t>No.</w:t>
            </w:r>
          </w:p>
          <w:p w:rsidRPr="00762CC9" w:rsidR="00D35DDB" w:rsidP="001B4FB5" w:rsidRDefault="00D35DDB" w14:paraId="2AE3EFC9" w14:textId="77777777">
            <w:pPr>
              <w:spacing w:after="0" w:line="240" w:lineRule="auto"/>
              <w:rPr>
                <w:rFonts w:ascii="Times New Roman" w:hAnsi="Times New Roman"/>
                <w:color w:val="000000" w:themeColor="text1"/>
                <w:sz w:val="24"/>
                <w:szCs w:val="24"/>
              </w:rPr>
            </w:pPr>
          </w:p>
          <w:p w:rsidRPr="00762CC9" w:rsidR="00FA2F70" w:rsidP="001B4FB5" w:rsidRDefault="00FA2F70" w14:paraId="0572BC5A"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that</w:t>
            </w:r>
            <w:proofErr w:type="gramEnd"/>
            <w:r w:rsidRPr="00762CC9">
              <w:rPr>
                <w:rFonts w:ascii="Times New Roman" w:hAnsi="Times New Roman"/>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762CC9" w:rsidR="00232236">
              <w:rPr>
                <w:rFonts w:ascii="Times New Roman" w:hAnsi="Times New Roman"/>
                <w:color w:val="000000" w:themeColor="text1"/>
                <w:sz w:val="24"/>
                <w:szCs w:val="24"/>
              </w:rPr>
              <w:t>No.</w:t>
            </w:r>
          </w:p>
          <w:p w:rsidRPr="00762CC9" w:rsidR="00D35DDB" w:rsidP="001B4FB5" w:rsidRDefault="00D35DDB" w14:paraId="1DB0835E" w14:textId="77777777">
            <w:pPr>
              <w:spacing w:after="0" w:line="240" w:lineRule="auto"/>
              <w:rPr>
                <w:rFonts w:ascii="Times New Roman" w:hAnsi="Times New Roman"/>
                <w:color w:val="000000" w:themeColor="text1"/>
                <w:sz w:val="24"/>
                <w:szCs w:val="24"/>
              </w:rPr>
            </w:pPr>
          </w:p>
          <w:p w:rsidRPr="00762CC9" w:rsidR="00FA2F70" w:rsidP="001B4FB5" w:rsidRDefault="00FA2F70" w14:paraId="17AC693E"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w:t>
            </w:r>
            <w:proofErr w:type="gramStart"/>
            <w:r w:rsidRPr="00762CC9">
              <w:rPr>
                <w:rFonts w:ascii="Times New Roman" w:hAnsi="Times New Roman"/>
                <w:color w:val="000000" w:themeColor="text1"/>
                <w:sz w:val="24"/>
                <w:szCs w:val="24"/>
              </w:rPr>
              <w:t>requiring</w:t>
            </w:r>
            <w:proofErr w:type="gramEnd"/>
            <w:r w:rsidRPr="00762CC9">
              <w:rPr>
                <w:rFonts w:ascii="Times New Roman" w:hAnsi="Times New Roman"/>
                <w:color w:val="000000" w:themeColor="text1"/>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r w:rsidRPr="00762CC9" w:rsidR="00232236">
              <w:rPr>
                <w:rFonts w:ascii="Times New Roman" w:hAnsi="Times New Roman"/>
                <w:color w:val="000000" w:themeColor="text1"/>
                <w:sz w:val="24"/>
                <w:szCs w:val="24"/>
              </w:rPr>
              <w:t>No.</w:t>
            </w:r>
          </w:p>
          <w:p w:rsidRPr="00762CC9" w:rsidR="00FA2F70" w:rsidP="001B4FB5" w:rsidRDefault="00FA2F70" w14:paraId="4C4E3CED" w14:textId="77777777">
            <w:pPr>
              <w:spacing w:after="0" w:line="240" w:lineRule="auto"/>
              <w:rPr>
                <w:rFonts w:ascii="Times New Roman" w:hAnsi="Times New Roman"/>
                <w:b/>
                <w:color w:val="000000" w:themeColor="text1"/>
                <w:sz w:val="24"/>
                <w:szCs w:val="24"/>
              </w:rPr>
            </w:pPr>
          </w:p>
        </w:tc>
      </w:tr>
      <w:tr w:rsidRPr="00762CC9" w:rsidR="008968ED" w:rsidTr="00D35DDB" w14:paraId="2D3050D5" w14:textId="77777777">
        <w:tc>
          <w:tcPr>
            <w:tcW w:w="9360" w:type="dxa"/>
            <w:shd w:val="clear" w:color="auto" w:fill="auto"/>
          </w:tcPr>
          <w:p w:rsidRPr="00762CC9" w:rsidR="00FA2F70" w:rsidP="001B4FB5" w:rsidRDefault="00FA2F70" w14:paraId="1730260C"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3199D73E"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3C62FF" w14:paraId="08348853" w14:textId="77777777">
        <w:tc>
          <w:tcPr>
            <w:tcW w:w="9252" w:type="dxa"/>
            <w:shd w:val="clear" w:color="auto" w:fill="auto"/>
          </w:tcPr>
          <w:p w:rsidRPr="00762CC9" w:rsidR="0021340A" w:rsidP="001B4FB5" w:rsidRDefault="0021340A" w14:paraId="75E33385"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8. If applicable, provide a copy and identify the date and page number of </w:t>
            </w:r>
            <w:proofErr w:type="gramStart"/>
            <w:r w:rsidRPr="00762CC9">
              <w:rPr>
                <w:rFonts w:ascii="Times New Roman" w:hAnsi="Times New Roman"/>
                <w:b/>
                <w:color w:val="000000" w:themeColor="text1"/>
                <w:sz w:val="24"/>
                <w:szCs w:val="24"/>
              </w:rPr>
              <w:t>publication</w:t>
            </w:r>
            <w:proofErr w:type="gramEnd"/>
            <w:r w:rsidRPr="00762CC9">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w:t>
            </w:r>
            <w:r w:rsidRPr="00762CC9">
              <w:rPr>
                <w:rFonts w:ascii="Times New Roman" w:hAnsi="Times New Roman"/>
                <w:b/>
                <w:color w:val="000000" w:themeColor="text1"/>
                <w:sz w:val="24"/>
                <w:szCs w:val="24"/>
              </w:rPr>
              <w:lastRenderedPageBreak/>
              <w:t xml:space="preserve">once every 3 years - even if the collection of information activity is the same as in prior periods. There may be circumstances that may preclude consultation in a specific situation. These circumstances should be explained. </w:t>
            </w:r>
          </w:p>
          <w:p w:rsidRPr="00762CC9" w:rsidR="009B0365" w:rsidP="009B0365" w:rsidRDefault="009B0365" w14:paraId="283C78E4" w14:textId="77777777">
            <w:pPr>
              <w:spacing w:after="0" w:line="240" w:lineRule="auto"/>
              <w:rPr>
                <w:rFonts w:ascii="Times New Roman" w:hAnsi="Times New Roman"/>
                <w:color w:val="000000" w:themeColor="text1"/>
              </w:rPr>
            </w:pPr>
          </w:p>
          <w:p w:rsidRPr="003C62FF" w:rsidR="003C62FF" w:rsidP="003C62FF" w:rsidRDefault="003C62FF" w14:paraId="50BEE0C9" w14:textId="77777777">
            <w:pPr>
              <w:spacing w:after="0" w:line="240" w:lineRule="auto"/>
              <w:rPr>
                <w:rFonts w:ascii="Times New Roman" w:hAnsi="Times New Roman"/>
              </w:rPr>
            </w:pPr>
            <w:bookmarkStart w:name="_Hlk508795324" w:id="0"/>
            <w:r w:rsidRPr="003C62FF">
              <w:rPr>
                <w:rFonts w:ascii="Times New Roman" w:hAnsi="Times New Roman"/>
              </w:rPr>
              <w:t xml:space="preserve">In accordance with 5CFR 1320.8(d), this information collection soliciting public comments was announced in the </w:t>
            </w:r>
            <w:r w:rsidRPr="003C62FF">
              <w:rPr>
                <w:rFonts w:ascii="Times New Roman" w:hAnsi="Times New Roman"/>
                <w:i/>
              </w:rPr>
              <w:t>Federal Register</w:t>
            </w:r>
            <w:r w:rsidRPr="003C62FF">
              <w:rPr>
                <w:rFonts w:ascii="Times New Roman" w:hAnsi="Times New Roman"/>
              </w:rPr>
              <w:t xml:space="preserve"> on </w:t>
            </w:r>
            <w:r w:rsidRPr="003C62FF">
              <w:rPr>
                <w:rFonts w:ascii="Times New Roman" w:hAnsi="Times New Roman"/>
                <w:b/>
              </w:rPr>
              <w:t>December 11, 2020</w:t>
            </w:r>
            <w:r w:rsidRPr="003C62FF">
              <w:rPr>
                <w:rFonts w:ascii="Times New Roman" w:hAnsi="Times New Roman"/>
              </w:rPr>
              <w:t xml:space="preserve">, Volume </w:t>
            </w:r>
            <w:r w:rsidRPr="003C62FF">
              <w:rPr>
                <w:rFonts w:ascii="Times New Roman" w:hAnsi="Times New Roman"/>
                <w:b/>
              </w:rPr>
              <w:t>85</w:t>
            </w:r>
            <w:r w:rsidRPr="003C62FF">
              <w:rPr>
                <w:rFonts w:ascii="Times New Roman" w:hAnsi="Times New Roman"/>
              </w:rPr>
              <w:t xml:space="preserve">, No. </w:t>
            </w:r>
            <w:r w:rsidRPr="003C62FF">
              <w:rPr>
                <w:rFonts w:ascii="Times New Roman" w:hAnsi="Times New Roman"/>
                <w:b/>
              </w:rPr>
              <w:t>239</w:t>
            </w:r>
            <w:r w:rsidRPr="003C62FF">
              <w:rPr>
                <w:rFonts w:ascii="Times New Roman" w:hAnsi="Times New Roman"/>
              </w:rPr>
              <w:t xml:space="preserve">, Pages </w:t>
            </w:r>
            <w:r w:rsidRPr="003C62FF">
              <w:rPr>
                <w:rFonts w:ascii="Times New Roman" w:hAnsi="Times New Roman"/>
                <w:b/>
              </w:rPr>
              <w:t>80133</w:t>
            </w:r>
            <w:proofErr w:type="gramStart"/>
            <w:r w:rsidRPr="003C62FF">
              <w:rPr>
                <w:rFonts w:ascii="Times New Roman" w:hAnsi="Times New Roman"/>
              </w:rPr>
              <w:t xml:space="preserve">.  </w:t>
            </w:r>
            <w:proofErr w:type="gramEnd"/>
            <w:r w:rsidRPr="003C62FF">
              <w:rPr>
                <w:rFonts w:ascii="Times New Roman" w:hAnsi="Times New Roman"/>
              </w:rPr>
              <w:t>(0) Comment received.</w:t>
            </w:r>
          </w:p>
          <w:bookmarkEnd w:id="0"/>
          <w:p w:rsidRPr="00762CC9" w:rsidR="00FA2F70" w:rsidP="001431A7" w:rsidRDefault="00FA2F70" w14:paraId="39ABA061"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65F5592F"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5484A002" w14:textId="77777777">
        <w:tc>
          <w:tcPr>
            <w:tcW w:w="9360" w:type="dxa"/>
            <w:shd w:val="clear" w:color="auto" w:fill="auto"/>
          </w:tcPr>
          <w:p w:rsidRPr="00762CC9" w:rsidR="0021340A" w:rsidP="001B4FB5" w:rsidRDefault="0021340A" w14:paraId="106B41DC"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9. Explain any decision to provide any payment or gift to respondents, other than </w:t>
            </w:r>
            <w:proofErr w:type="spellStart"/>
            <w:r w:rsidRPr="00762CC9">
              <w:rPr>
                <w:rFonts w:ascii="Times New Roman" w:hAnsi="Times New Roman"/>
                <w:b/>
                <w:color w:val="000000" w:themeColor="text1"/>
                <w:sz w:val="24"/>
                <w:szCs w:val="24"/>
              </w:rPr>
              <w:t>reenumeration</w:t>
            </w:r>
            <w:proofErr w:type="spellEnd"/>
            <w:r w:rsidRPr="00762CC9">
              <w:rPr>
                <w:rFonts w:ascii="Times New Roman" w:hAnsi="Times New Roman"/>
                <w:b/>
                <w:color w:val="000000" w:themeColor="text1"/>
                <w:sz w:val="24"/>
                <w:szCs w:val="24"/>
              </w:rPr>
              <w:t xml:space="preserve"> of contractors or grantees. </w:t>
            </w:r>
          </w:p>
          <w:p w:rsidRPr="00762CC9" w:rsidR="0021340A" w:rsidP="001B4FB5" w:rsidRDefault="0021340A" w14:paraId="7DCA49F8" w14:textId="77777777">
            <w:pPr>
              <w:spacing w:after="0" w:line="240" w:lineRule="auto"/>
              <w:rPr>
                <w:rFonts w:ascii="Times New Roman" w:hAnsi="Times New Roman"/>
                <w:color w:val="000000" w:themeColor="text1"/>
                <w:sz w:val="24"/>
                <w:szCs w:val="24"/>
              </w:rPr>
            </w:pPr>
          </w:p>
        </w:tc>
      </w:tr>
      <w:tr w:rsidRPr="00762CC9" w:rsidR="008968ED" w:rsidTr="00D35DDB" w14:paraId="0D07C9B9" w14:textId="77777777">
        <w:tc>
          <w:tcPr>
            <w:tcW w:w="9360" w:type="dxa"/>
            <w:shd w:val="clear" w:color="auto" w:fill="auto"/>
          </w:tcPr>
          <w:p w:rsidRPr="00762CC9" w:rsidR="0021340A" w:rsidP="001B4FB5" w:rsidRDefault="00232236" w14:paraId="7EFB62BC"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Not Applicable</w:t>
            </w:r>
          </w:p>
        </w:tc>
      </w:tr>
    </w:tbl>
    <w:p w:rsidRPr="00762CC9" w:rsidR="00FA2F70" w:rsidP="00FA2F70" w:rsidRDefault="00FA2F70" w14:paraId="7ED288C2"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182D6A4A" w14:textId="77777777">
        <w:tc>
          <w:tcPr>
            <w:tcW w:w="9360" w:type="dxa"/>
            <w:shd w:val="clear" w:color="auto" w:fill="auto"/>
          </w:tcPr>
          <w:p w:rsidRPr="00762CC9" w:rsidR="0021340A" w:rsidP="001B4FB5" w:rsidRDefault="0021340A" w14:paraId="6DD57069"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Pr="00762CC9" w:rsidR="0021340A" w:rsidP="001B4FB5" w:rsidRDefault="0021340A" w14:paraId="304668C0" w14:textId="77777777">
            <w:pPr>
              <w:spacing w:after="0" w:line="240" w:lineRule="auto"/>
              <w:rPr>
                <w:rFonts w:ascii="Times New Roman" w:hAnsi="Times New Roman"/>
                <w:b/>
                <w:color w:val="000000" w:themeColor="text1"/>
                <w:sz w:val="24"/>
                <w:szCs w:val="24"/>
              </w:rPr>
            </w:pPr>
          </w:p>
        </w:tc>
      </w:tr>
      <w:tr w:rsidRPr="00762CC9" w:rsidR="008968ED" w:rsidTr="00D35DDB" w14:paraId="615B56C4" w14:textId="77777777">
        <w:tc>
          <w:tcPr>
            <w:tcW w:w="9360" w:type="dxa"/>
            <w:shd w:val="clear" w:color="auto" w:fill="auto"/>
          </w:tcPr>
          <w:p w:rsidRPr="00762CC9" w:rsidR="00232236" w:rsidP="00232236" w:rsidRDefault="00232236" w14:paraId="215358E0"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HUD does not ensure confidentiality</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Applicants are informed of their privacy rights</w:t>
            </w:r>
            <w:proofErr w:type="gramStart"/>
            <w:r w:rsidRPr="00762CC9">
              <w:rPr>
                <w:rFonts w:ascii="Times New Roman" w:hAnsi="Times New Roman" w:eastAsia="MS Mincho" w:cs="Courier New"/>
                <w:color w:val="000000" w:themeColor="text1"/>
                <w:sz w:val="24"/>
                <w:szCs w:val="20"/>
              </w:rPr>
              <w:t xml:space="preserve">.  </w:t>
            </w:r>
            <w:proofErr w:type="gramEnd"/>
          </w:p>
          <w:p w:rsidRPr="00762CC9" w:rsidR="00232236" w:rsidP="00232236" w:rsidRDefault="00232236" w14:paraId="15854180"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Documentation and other information regarding each application submitted, including any </w:t>
            </w:r>
          </w:p>
          <w:p w:rsidRPr="00762CC9" w:rsidR="00232236" w:rsidP="00232236" w:rsidRDefault="00232236" w14:paraId="342E80DA"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letters of support, will be made available for public inspection for a 5-year period in </w:t>
            </w:r>
          </w:p>
          <w:p w:rsidRPr="00762CC9" w:rsidR="00232236" w:rsidP="00232236" w:rsidRDefault="00232236" w14:paraId="7711EB42"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accordance with the Freedom of information Act (5 U.S.C. 552), and HUD's implementing </w:t>
            </w:r>
          </w:p>
          <w:p w:rsidRPr="00762CC9" w:rsidR="00232236" w:rsidP="00232236" w:rsidRDefault="00232236" w14:paraId="057B286F"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regulations in 24 CFR Part 15.</w:t>
            </w:r>
          </w:p>
          <w:p w:rsidRPr="00762CC9" w:rsidR="0021340A" w:rsidP="001B4FB5" w:rsidRDefault="0021340A" w14:paraId="60CADBB3"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081C76E5"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57348669" w14:textId="77777777">
        <w:tc>
          <w:tcPr>
            <w:tcW w:w="9360" w:type="dxa"/>
            <w:shd w:val="clear" w:color="auto" w:fill="auto"/>
          </w:tcPr>
          <w:p w:rsidRPr="00762CC9" w:rsidR="0021340A" w:rsidP="001B4FB5" w:rsidRDefault="0021340A" w14:paraId="4709F2ED"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62CC9" w:rsidR="0021340A" w:rsidP="001B4FB5" w:rsidRDefault="0021340A" w14:paraId="63B94FBA" w14:textId="77777777">
            <w:pPr>
              <w:spacing w:after="0" w:line="240" w:lineRule="auto"/>
              <w:rPr>
                <w:rFonts w:ascii="Times New Roman" w:hAnsi="Times New Roman"/>
                <w:b/>
                <w:color w:val="000000" w:themeColor="text1"/>
                <w:sz w:val="24"/>
                <w:szCs w:val="24"/>
              </w:rPr>
            </w:pPr>
          </w:p>
        </w:tc>
      </w:tr>
      <w:tr w:rsidRPr="00762CC9" w:rsidR="008968ED" w:rsidTr="00D35DDB" w14:paraId="6ACFB860" w14:textId="77777777">
        <w:tc>
          <w:tcPr>
            <w:tcW w:w="9360" w:type="dxa"/>
            <w:shd w:val="clear" w:color="auto" w:fill="auto"/>
          </w:tcPr>
          <w:p w:rsidRPr="00762CC9" w:rsidR="0021340A" w:rsidP="001B4FB5" w:rsidRDefault="00232236" w14:paraId="15153CF1" w14:textId="77777777">
            <w:pPr>
              <w:spacing w:after="0" w:line="240" w:lineRule="auto"/>
              <w:rPr>
                <w:rFonts w:ascii="Times New Roman" w:hAnsi="Times New Roman"/>
                <w:bCs/>
                <w:color w:val="000000" w:themeColor="text1"/>
                <w:sz w:val="24"/>
                <w:szCs w:val="24"/>
              </w:rPr>
            </w:pPr>
            <w:r w:rsidRPr="00762CC9">
              <w:rPr>
                <w:rFonts w:ascii="Times New Roman" w:hAnsi="Times New Roman"/>
                <w:bCs/>
                <w:color w:val="000000" w:themeColor="text1"/>
                <w:sz w:val="24"/>
                <w:szCs w:val="24"/>
              </w:rPr>
              <w:t>This collection does contain any questions of a sensitive nature.</w:t>
            </w:r>
          </w:p>
        </w:tc>
      </w:tr>
    </w:tbl>
    <w:p w:rsidRPr="00762CC9" w:rsidR="00FA2F70" w:rsidP="00FA2F70" w:rsidRDefault="00FA2F70" w14:paraId="3DE1180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1757"/>
        <w:gridCol w:w="1357"/>
        <w:gridCol w:w="1199"/>
        <w:gridCol w:w="1071"/>
        <w:gridCol w:w="1077"/>
        <w:gridCol w:w="846"/>
        <w:gridCol w:w="1077"/>
        <w:gridCol w:w="868"/>
      </w:tblGrid>
      <w:tr w:rsidRPr="00762CC9" w:rsidR="008968ED" w:rsidTr="00E35BF6" w14:paraId="0132C3E1" w14:textId="77777777">
        <w:tc>
          <w:tcPr>
            <w:tcW w:w="9468" w:type="dxa"/>
            <w:gridSpan w:val="8"/>
            <w:shd w:val="clear" w:color="auto" w:fill="auto"/>
          </w:tcPr>
          <w:p w:rsidRPr="00762CC9" w:rsidR="0021340A" w:rsidP="001B4FB5" w:rsidRDefault="0021340A" w14:paraId="7F62FC89"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12. Provide estimates of the hour burden of the collection of information. The statement should: </w:t>
            </w:r>
          </w:p>
          <w:p w:rsidRPr="00762CC9" w:rsidR="0021340A" w:rsidP="001B4FB5" w:rsidRDefault="0021340A" w14:paraId="137EFE9F" w14:textId="77777777">
            <w:pPr>
              <w:spacing w:after="0" w:line="240" w:lineRule="auto"/>
              <w:rPr>
                <w:rFonts w:ascii="Times New Roman" w:hAnsi="Times New Roman"/>
                <w:b/>
                <w:color w:val="000000" w:themeColor="text1"/>
                <w:sz w:val="24"/>
                <w:szCs w:val="24"/>
              </w:rPr>
            </w:pPr>
          </w:p>
          <w:p w:rsidRPr="00762CC9" w:rsidR="0021340A" w:rsidP="001B4FB5" w:rsidRDefault="0021340A" w14:paraId="09FACE24"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762CC9" w:rsidR="00D35DDB" w:rsidP="001B4FB5" w:rsidRDefault="00D35DDB" w14:paraId="75C2ED47" w14:textId="77777777">
            <w:pPr>
              <w:spacing w:after="0" w:line="240" w:lineRule="auto"/>
              <w:rPr>
                <w:rFonts w:ascii="Times New Roman" w:hAnsi="Times New Roman"/>
                <w:color w:val="000000" w:themeColor="text1"/>
                <w:sz w:val="24"/>
                <w:szCs w:val="24"/>
              </w:rPr>
            </w:pPr>
          </w:p>
          <w:p w:rsidRPr="00762CC9" w:rsidR="0021340A" w:rsidP="001B4FB5" w:rsidRDefault="0021340A" w14:paraId="5215B175"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If this request for approval covers more than one form, provide separate hour burden estimates for each </w:t>
            </w:r>
            <w:proofErr w:type="gramStart"/>
            <w:r w:rsidRPr="00762CC9">
              <w:rPr>
                <w:rFonts w:ascii="Times New Roman" w:hAnsi="Times New Roman"/>
                <w:color w:val="000000" w:themeColor="text1"/>
                <w:sz w:val="24"/>
                <w:szCs w:val="24"/>
              </w:rPr>
              <w:t>form</w:t>
            </w:r>
            <w:proofErr w:type="gramEnd"/>
            <w:r w:rsidRPr="00762CC9">
              <w:rPr>
                <w:rFonts w:ascii="Times New Roman" w:hAnsi="Times New Roman"/>
                <w:color w:val="000000" w:themeColor="text1"/>
                <w:sz w:val="24"/>
                <w:szCs w:val="24"/>
              </w:rPr>
              <w:t xml:space="preserve"> and aggregate the hour burdens in Item 13 of OMB Form 83-I. </w:t>
            </w:r>
          </w:p>
          <w:p w:rsidRPr="00762CC9" w:rsidR="00D35DDB" w:rsidP="001B4FB5" w:rsidRDefault="00D35DDB" w14:paraId="2545A84D" w14:textId="77777777">
            <w:pPr>
              <w:spacing w:after="0" w:line="240" w:lineRule="auto"/>
              <w:rPr>
                <w:rFonts w:ascii="Times New Roman" w:hAnsi="Times New Roman"/>
                <w:color w:val="000000" w:themeColor="text1"/>
                <w:sz w:val="24"/>
                <w:szCs w:val="24"/>
              </w:rPr>
            </w:pPr>
          </w:p>
          <w:p w:rsidRPr="00762CC9" w:rsidR="0021340A" w:rsidP="001B4FB5" w:rsidRDefault="0021340A" w14:paraId="7C5660CB"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w:t>
            </w:r>
            <w:r w:rsidRPr="00762CC9">
              <w:rPr>
                <w:rFonts w:ascii="Times New Roman" w:hAnsi="Times New Roman"/>
                <w:color w:val="000000" w:themeColor="text1"/>
                <w:sz w:val="24"/>
                <w:szCs w:val="24"/>
              </w:rPr>
              <w:lastRenderedPageBreak/>
              <w:t xml:space="preserve">out or paying outside parties for information collection activities should not be included here. Instead, this cost should be included in Item 13. </w:t>
            </w:r>
          </w:p>
          <w:p w:rsidRPr="00762CC9" w:rsidR="00605C42" w:rsidP="001B4FB5" w:rsidRDefault="00605C42" w14:paraId="78842956" w14:textId="77777777">
            <w:pPr>
              <w:spacing w:after="0" w:line="240" w:lineRule="auto"/>
              <w:rPr>
                <w:rFonts w:ascii="Times New Roman" w:hAnsi="Times New Roman"/>
                <w:b/>
                <w:color w:val="000000" w:themeColor="text1"/>
                <w:sz w:val="24"/>
                <w:szCs w:val="24"/>
              </w:rPr>
            </w:pPr>
          </w:p>
        </w:tc>
      </w:tr>
      <w:tr w:rsidRPr="00762CC9" w:rsidR="008968ED" w:rsidTr="00E35BF6" w14:paraId="44FC9CCB" w14:textId="77777777">
        <w:tc>
          <w:tcPr>
            <w:tcW w:w="9468" w:type="dxa"/>
            <w:gridSpan w:val="8"/>
            <w:tcBorders>
              <w:bottom w:val="single" w:color="auto" w:sz="4" w:space="0"/>
            </w:tcBorders>
            <w:shd w:val="clear" w:color="auto" w:fill="auto"/>
          </w:tcPr>
          <w:p w:rsidRPr="00762CC9" w:rsidR="0021340A" w:rsidP="001B4FB5" w:rsidRDefault="0021340A" w14:paraId="13913721" w14:textId="77777777">
            <w:pPr>
              <w:spacing w:after="0" w:line="240" w:lineRule="auto"/>
              <w:rPr>
                <w:rFonts w:ascii="Times New Roman" w:hAnsi="Times New Roman"/>
                <w:b/>
                <w:color w:val="000000" w:themeColor="text1"/>
                <w:sz w:val="24"/>
                <w:szCs w:val="24"/>
              </w:rPr>
            </w:pPr>
          </w:p>
        </w:tc>
      </w:tr>
      <w:tr w:rsidRPr="00762CC9" w:rsidR="008968ED" w:rsidTr="00DD2E38" w14:paraId="06AC16D3"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2A17F8BE" w14:textId="77777777">
            <w:pPr>
              <w:rPr>
                <w:rFonts w:ascii="Helvetica" w:hAnsi="Helvetica"/>
                <w:b/>
                <w:bCs/>
                <w:color w:val="000000" w:themeColor="text1"/>
                <w:sz w:val="18"/>
              </w:rPr>
            </w:pPr>
            <w:r w:rsidRPr="00762CC9">
              <w:rPr>
                <w:rFonts w:ascii="Helvetica" w:hAnsi="Helvetica"/>
                <w:b/>
                <w:bCs/>
                <w:color w:val="000000" w:themeColor="text1"/>
                <w:sz w:val="18"/>
              </w:rPr>
              <w:t>Information Collection</w:t>
            </w:r>
          </w:p>
        </w:tc>
        <w:tc>
          <w:tcPr>
            <w:tcW w:w="1323" w:type="dxa"/>
            <w:tcBorders>
              <w:top w:val="single" w:color="auto" w:sz="4" w:space="0"/>
              <w:left w:val="single" w:color="auto" w:sz="4" w:space="0"/>
              <w:bottom w:val="single" w:color="auto" w:sz="4" w:space="0"/>
              <w:right w:val="single" w:color="auto" w:sz="4" w:space="0"/>
            </w:tcBorders>
            <w:shd w:val="clear" w:color="auto" w:fill="D9D9D9"/>
            <w:vAlign w:val="center"/>
          </w:tcPr>
          <w:p w:rsidRPr="00762CC9" w:rsidR="00A6656E" w:rsidP="00A6656E" w:rsidRDefault="00A6656E" w14:paraId="74AE5CD9"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Number of Respondents</w:t>
            </w:r>
          </w:p>
        </w:tc>
        <w:tc>
          <w:tcPr>
            <w:tcW w:w="1149"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602CEA24" w14:textId="77777777">
            <w:pPr>
              <w:ind w:left="72" w:right="-108"/>
              <w:jc w:val="center"/>
              <w:rPr>
                <w:rFonts w:ascii="Helvetica" w:hAnsi="Helvetica"/>
                <w:b/>
                <w:bCs/>
                <w:color w:val="000000" w:themeColor="text1"/>
                <w:sz w:val="18"/>
              </w:rPr>
            </w:pPr>
            <w:r w:rsidRPr="00762CC9">
              <w:rPr>
                <w:rFonts w:ascii="Helvetica" w:hAnsi="Helvetica"/>
                <w:b/>
                <w:bCs/>
                <w:color w:val="000000" w:themeColor="text1"/>
                <w:sz w:val="18"/>
              </w:rPr>
              <w:t>Frequency of Response</w:t>
            </w:r>
          </w:p>
        </w:tc>
        <w:tc>
          <w:tcPr>
            <w:tcW w:w="1237" w:type="dxa"/>
            <w:tcBorders>
              <w:top w:val="single" w:color="auto" w:sz="4" w:space="0"/>
              <w:left w:val="single" w:color="auto" w:sz="4" w:space="0"/>
              <w:bottom w:val="single" w:color="auto" w:sz="4" w:space="0"/>
              <w:right w:val="single" w:color="auto" w:sz="4" w:space="0"/>
            </w:tcBorders>
            <w:shd w:val="clear" w:color="auto" w:fill="D9D9D9"/>
            <w:vAlign w:val="center"/>
          </w:tcPr>
          <w:p w:rsidRPr="005A3F7A" w:rsidR="00A6656E" w:rsidP="00B106EA" w:rsidRDefault="00A6656E" w14:paraId="361F43EA" w14:textId="77777777">
            <w:pPr>
              <w:jc w:val="center"/>
              <w:rPr>
                <w:rFonts w:ascii="Helvetica" w:hAnsi="Helvetica"/>
                <w:b/>
                <w:bCs/>
                <w:color w:val="000000" w:themeColor="text1"/>
                <w:sz w:val="16"/>
                <w:szCs w:val="16"/>
              </w:rPr>
            </w:pPr>
            <w:r w:rsidRPr="005A3F7A">
              <w:rPr>
                <w:rFonts w:ascii="Helvetica" w:hAnsi="Helvetica"/>
                <w:b/>
                <w:bCs/>
                <w:color w:val="000000" w:themeColor="text1"/>
                <w:sz w:val="16"/>
                <w:szCs w:val="16"/>
              </w:rPr>
              <w:t>Responses Per Year</w:t>
            </w:r>
          </w:p>
        </w:tc>
        <w:tc>
          <w:tcPr>
            <w:tcW w:w="1115" w:type="dxa"/>
            <w:tcBorders>
              <w:top w:val="single" w:color="auto" w:sz="4" w:space="0"/>
              <w:left w:val="single" w:color="auto" w:sz="4" w:space="0"/>
              <w:bottom w:val="single" w:color="auto" w:sz="4" w:space="0"/>
              <w:right w:val="single" w:color="auto" w:sz="4" w:space="0"/>
            </w:tcBorders>
            <w:vAlign w:val="center"/>
          </w:tcPr>
          <w:p w:rsidRPr="00762CC9" w:rsidR="00A6656E" w:rsidP="00A6656E" w:rsidRDefault="00A6656E" w14:paraId="687D43DE"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Burden Hours Per Response</w:t>
            </w:r>
          </w:p>
        </w:tc>
        <w:tc>
          <w:tcPr>
            <w:tcW w:w="856" w:type="dxa"/>
            <w:tcBorders>
              <w:top w:val="single" w:color="auto" w:sz="4" w:space="0"/>
              <w:left w:val="single" w:color="auto" w:sz="4" w:space="0"/>
              <w:bottom w:val="single" w:color="auto" w:sz="4" w:space="0"/>
              <w:right w:val="single" w:color="auto" w:sz="4" w:space="0"/>
            </w:tcBorders>
            <w:shd w:val="clear" w:color="auto" w:fill="D9D9D9"/>
            <w:vAlign w:val="center"/>
          </w:tcPr>
          <w:p w:rsidRPr="00762CC9" w:rsidR="00A6656E" w:rsidP="00A6656E" w:rsidRDefault="00A6656E" w14:paraId="28A19004"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Annual Burden Hours</w:t>
            </w:r>
          </w:p>
        </w:tc>
        <w:tc>
          <w:tcPr>
            <w:tcW w:w="984"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591EA04D"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Hourly Cost per Response</w:t>
            </w:r>
          </w:p>
        </w:tc>
        <w:tc>
          <w:tcPr>
            <w:tcW w:w="1047" w:type="dxa"/>
            <w:tcBorders>
              <w:top w:val="single" w:color="auto" w:sz="4" w:space="0"/>
              <w:left w:val="single" w:color="auto" w:sz="4" w:space="0"/>
              <w:bottom w:val="single" w:color="auto" w:sz="4" w:space="0"/>
              <w:right w:val="single" w:color="auto" w:sz="4" w:space="0"/>
            </w:tcBorders>
          </w:tcPr>
          <w:p w:rsidRPr="00762CC9" w:rsidR="00A6656E" w:rsidP="00B106EA" w:rsidRDefault="00A6656E" w14:paraId="06F88251"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Total Annual Cost</w:t>
            </w:r>
          </w:p>
        </w:tc>
      </w:tr>
      <w:tr w:rsidRPr="00762CC9" w:rsidR="008968ED" w:rsidTr="00DD2E38" w14:paraId="012FB6E7"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1F4F53" w:rsidR="00414F18" w:rsidP="00414F18" w:rsidRDefault="00414F18" w14:paraId="12F45560" w14:textId="77777777">
            <w:pPr>
              <w:rPr>
                <w:rFonts w:ascii="Helvetica" w:hAnsi="Helvetica"/>
                <w:bCs/>
                <w:color w:val="000000" w:themeColor="text1"/>
                <w:sz w:val="18"/>
                <w:highlight w:val="yellow"/>
              </w:rPr>
            </w:pPr>
            <w:bookmarkStart w:name="_Hlk23251697" w:id="1"/>
            <w:bookmarkStart w:name="_Hlk23251590" w:id="2"/>
            <w:r w:rsidRPr="001F4F53">
              <w:rPr>
                <w:rFonts w:ascii="Arial" w:hAnsi="Arial" w:cs="Arial"/>
                <w:color w:val="000000" w:themeColor="text1"/>
                <w:sz w:val="18"/>
                <w:szCs w:val="18"/>
                <w:highlight w:val="yellow"/>
              </w:rPr>
              <w:t>SF-424 Application for Fed. Assistance OMB Approval 4040-0004</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1F4F53" w:rsidR="00414F18" w:rsidP="00414F18" w:rsidRDefault="00136FF5" w14:paraId="427C0A9C" w14:textId="56381C64">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2BAFC822" w14:textId="4A236023">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1F4F53" w:rsidR="00414F18" w:rsidP="00414F18" w:rsidRDefault="00136FF5" w14:paraId="119D8271" w14:textId="6F907B04">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62A1E478" w14:textId="0917F968">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1F4F53" w:rsidR="00414F18" w:rsidP="00414F18" w:rsidRDefault="003C62FF" w14:paraId="77C6AB01" w14:textId="0A683ED0">
            <w:pPr>
              <w:jc w:val="center"/>
              <w:rPr>
                <w:rFonts w:ascii="Helvetica" w:hAnsi="Helvetica"/>
                <w:bCs/>
                <w:color w:val="000000" w:themeColor="text1"/>
                <w:sz w:val="18"/>
                <w:highlight w:val="yellow"/>
              </w:rPr>
            </w:pPr>
            <w:r w:rsidRPr="001F4F53">
              <w:rPr>
                <w:rFonts w:ascii="Arial" w:hAnsi="Arial" w:cs="Arial"/>
                <w:color w:val="000000" w:themeColor="text1"/>
                <w:sz w:val="18"/>
                <w:szCs w:val="18"/>
                <w:highlight w:val="yellow"/>
              </w:rPr>
              <w:t>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1B9B3648" w14:textId="7996DD05">
            <w:pPr>
              <w:jc w:val="right"/>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2C7E37CE" w14:textId="46039D64">
            <w:pPr>
              <w:jc w:val="right"/>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r>
      <w:tr w:rsidRPr="00762CC9" w:rsidR="008968ED" w:rsidTr="00DD2E38" w14:paraId="5A555D10"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1F4F53" w:rsidR="00414F18" w:rsidP="00414F18" w:rsidRDefault="00414F18" w14:paraId="1E885FF6" w14:textId="77777777">
            <w:pPr>
              <w:rPr>
                <w:rFonts w:ascii="Helvetica" w:hAnsi="Helvetica"/>
                <w:bCs/>
                <w:color w:val="000000" w:themeColor="text1"/>
                <w:sz w:val="18"/>
                <w:highlight w:val="yellow"/>
              </w:rPr>
            </w:pPr>
            <w:r w:rsidRPr="001F4F53">
              <w:rPr>
                <w:rFonts w:ascii="Arial" w:hAnsi="Arial" w:cs="Arial"/>
                <w:color w:val="000000" w:themeColor="text1"/>
                <w:sz w:val="18"/>
                <w:szCs w:val="18"/>
                <w:highlight w:val="yellow"/>
              </w:rPr>
              <w:t>SF LLL - Disclosure of Lobbying Activities (0348-0046)</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1F4F53" w:rsidR="00414F18" w:rsidP="00414F18" w:rsidRDefault="00136FF5" w14:paraId="70D62201" w14:textId="1C515365">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61E36A33" w14:textId="134A3881">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1F4F53" w:rsidR="00414F18" w:rsidP="00414F18" w:rsidRDefault="00136FF5" w14:paraId="6C6E0310" w14:textId="7ABEB5C7">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5378632A" w14:textId="42DDFE0A">
            <w:pPr>
              <w:jc w:val="center"/>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1F4F53" w:rsidR="00414F18" w:rsidP="00414F18" w:rsidRDefault="003C62FF" w14:paraId="4C8120E4" w14:textId="6235511A">
            <w:pPr>
              <w:jc w:val="center"/>
              <w:rPr>
                <w:rFonts w:ascii="Helvetica" w:hAnsi="Helvetica"/>
                <w:bCs/>
                <w:color w:val="000000" w:themeColor="text1"/>
                <w:sz w:val="18"/>
                <w:highlight w:val="yellow"/>
              </w:rPr>
            </w:pPr>
            <w:r w:rsidRPr="001F4F53">
              <w:rPr>
                <w:rFonts w:ascii="Arial" w:hAnsi="Arial" w:cs="Arial"/>
                <w:color w:val="000000" w:themeColor="text1"/>
                <w:sz w:val="18"/>
                <w:szCs w:val="18"/>
                <w:highlight w:val="yellow"/>
              </w:rPr>
              <w:t>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10D7B47B" w14:textId="338AE930">
            <w:pPr>
              <w:jc w:val="right"/>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1F4F53" w:rsidR="00414F18" w:rsidP="00414F18" w:rsidRDefault="00136FF5" w14:paraId="3E338A81" w14:textId="2BFA1881">
            <w:pPr>
              <w:jc w:val="right"/>
              <w:rPr>
                <w:rFonts w:ascii="Helvetica" w:hAnsi="Helvetica"/>
                <w:bCs/>
                <w:color w:val="000000" w:themeColor="text1"/>
                <w:sz w:val="18"/>
                <w:highlight w:val="yellow"/>
              </w:rPr>
            </w:pPr>
            <w:r>
              <w:rPr>
                <w:rFonts w:ascii="Arial" w:hAnsi="Arial" w:cs="Arial"/>
                <w:color w:val="000000" w:themeColor="text1"/>
                <w:sz w:val="18"/>
                <w:szCs w:val="18"/>
                <w:highlight w:val="yellow"/>
              </w:rPr>
              <w:t>0</w:t>
            </w:r>
          </w:p>
        </w:tc>
      </w:tr>
      <w:tr w:rsidRPr="00762CC9" w:rsidR="008968ED" w:rsidTr="00DD2E38" w14:paraId="21187283"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17E025BA" w14:textId="77777777">
            <w:pPr>
              <w:rPr>
                <w:rFonts w:ascii="Helvetica" w:hAnsi="Helvetica"/>
                <w:bCs/>
                <w:color w:val="000000" w:themeColor="text1"/>
                <w:sz w:val="18"/>
              </w:rPr>
            </w:pPr>
            <w:r w:rsidRPr="00762CC9">
              <w:rPr>
                <w:rFonts w:ascii="Arial" w:hAnsi="Arial" w:cs="Arial"/>
                <w:color w:val="000000" w:themeColor="text1"/>
                <w:sz w:val="18"/>
                <w:szCs w:val="18"/>
              </w:rPr>
              <w:t xml:space="preserve">HUD-2880 - Applicant/Recipient Disclosure/ Update </w:t>
            </w:r>
            <w:proofErr w:type="gramStart"/>
            <w:r w:rsidRPr="00762CC9">
              <w:rPr>
                <w:rFonts w:ascii="Arial" w:hAnsi="Arial" w:cs="Arial"/>
                <w:color w:val="000000" w:themeColor="text1"/>
                <w:sz w:val="18"/>
                <w:szCs w:val="18"/>
              </w:rPr>
              <w:t>Report  (</w:t>
            </w:r>
            <w:proofErr w:type="gramEnd"/>
            <w:r w:rsidRPr="00762CC9">
              <w:rPr>
                <w:rFonts w:ascii="Arial" w:hAnsi="Arial" w:cs="Arial"/>
                <w:color w:val="000000" w:themeColor="text1"/>
                <w:sz w:val="18"/>
                <w:szCs w:val="18"/>
              </w:rPr>
              <w:t>2510-0011)</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0D140E2A"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5702092"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99E6D89"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DDCFB35" w14:textId="77777777">
            <w:pPr>
              <w:jc w:val="center"/>
              <w:rPr>
                <w:rFonts w:ascii="Helvetica" w:hAnsi="Helvetica"/>
                <w:bCs/>
                <w:color w:val="000000" w:themeColor="text1"/>
                <w:sz w:val="18"/>
              </w:rPr>
            </w:pPr>
            <w:r w:rsidRPr="00762CC9">
              <w:rPr>
                <w:rFonts w:ascii="Arial" w:hAnsi="Arial" w:cs="Arial"/>
                <w:color w:val="000000" w:themeColor="text1"/>
                <w:sz w:val="18"/>
                <w:szCs w:val="18"/>
              </w:rPr>
              <w:t>2</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019E0350" w14:textId="77777777">
            <w:pPr>
              <w:jc w:val="center"/>
              <w:rPr>
                <w:rFonts w:ascii="Helvetica" w:hAnsi="Helvetica"/>
                <w:bCs/>
                <w:color w:val="000000" w:themeColor="text1"/>
                <w:sz w:val="18"/>
              </w:rPr>
            </w:pPr>
            <w:r w:rsidRPr="00762CC9">
              <w:rPr>
                <w:rFonts w:ascii="Arial" w:hAnsi="Arial" w:cs="Arial"/>
                <w:color w:val="000000" w:themeColor="text1"/>
                <w:sz w:val="18"/>
                <w:szCs w:val="18"/>
              </w:rPr>
              <w:t>60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5F1CC7C"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483E8245" w14:textId="77777777">
            <w:pPr>
              <w:jc w:val="right"/>
              <w:rPr>
                <w:rFonts w:ascii="Helvetica" w:hAnsi="Helvetica"/>
                <w:bCs/>
                <w:color w:val="000000" w:themeColor="text1"/>
                <w:sz w:val="18"/>
              </w:rPr>
            </w:pPr>
            <w:r w:rsidRPr="00762CC9">
              <w:rPr>
                <w:rFonts w:ascii="Arial" w:hAnsi="Arial" w:cs="Arial"/>
                <w:color w:val="000000" w:themeColor="text1"/>
                <w:sz w:val="18"/>
                <w:szCs w:val="18"/>
              </w:rPr>
              <w:t>2205</w:t>
            </w:r>
          </w:p>
        </w:tc>
      </w:tr>
      <w:tr w:rsidRPr="00762CC9" w:rsidR="008968ED" w:rsidTr="00DD2E38" w14:paraId="4EE8ED97"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41EDDADD" w14:textId="77777777">
            <w:pPr>
              <w:rPr>
                <w:rFonts w:ascii="Helvetica" w:hAnsi="Helvetica"/>
                <w:bCs/>
                <w:color w:val="000000" w:themeColor="text1"/>
                <w:sz w:val="18"/>
              </w:rPr>
            </w:pPr>
            <w:r w:rsidRPr="00762CC9">
              <w:rPr>
                <w:rFonts w:ascii="Arial" w:hAnsi="Arial" w:cs="Arial"/>
                <w:color w:val="000000" w:themeColor="text1"/>
                <w:sz w:val="18"/>
                <w:szCs w:val="18"/>
              </w:rPr>
              <w:t>HUD-92239 - Detailed Budget</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5CF230DE"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24993A8"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6BB27A28"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3905407A"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19874A2F"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7635B9F3"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62B870F" w14:textId="77777777">
            <w:pPr>
              <w:jc w:val="right"/>
              <w:rPr>
                <w:rFonts w:ascii="Helvetica" w:hAnsi="Helvetica"/>
                <w:bCs/>
                <w:color w:val="000000" w:themeColor="text1"/>
                <w:sz w:val="18"/>
              </w:rPr>
            </w:pPr>
            <w:r w:rsidRPr="00762CC9">
              <w:rPr>
                <w:rFonts w:ascii="Arial" w:hAnsi="Arial" w:cs="Arial"/>
                <w:color w:val="000000" w:themeColor="text1"/>
                <w:sz w:val="18"/>
                <w:szCs w:val="18"/>
              </w:rPr>
              <w:t>1102.5</w:t>
            </w:r>
          </w:p>
        </w:tc>
      </w:tr>
      <w:tr w:rsidRPr="00762CC9" w:rsidR="008968ED" w:rsidTr="00DD2E38" w14:paraId="3AD746F1"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58EF9AF6" w14:textId="77777777">
            <w:pPr>
              <w:rPr>
                <w:rFonts w:ascii="Helvetica" w:hAnsi="Helvetica"/>
                <w:bCs/>
                <w:color w:val="000000" w:themeColor="text1"/>
                <w:sz w:val="18"/>
              </w:rPr>
            </w:pPr>
            <w:r w:rsidRPr="00762CC9">
              <w:rPr>
                <w:rFonts w:ascii="Arial" w:hAnsi="Arial" w:cs="Arial"/>
                <w:color w:val="000000" w:themeColor="text1"/>
                <w:sz w:val="18"/>
                <w:szCs w:val="18"/>
              </w:rPr>
              <w:t>Abstract/Rating Factor 1</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7B18B8CA"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7E760D06"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11DE91E6"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28FDBA1" w14:textId="77777777">
            <w:pPr>
              <w:jc w:val="center"/>
              <w:rPr>
                <w:rFonts w:ascii="Helvetica" w:hAnsi="Helvetica"/>
                <w:bCs/>
                <w:color w:val="000000" w:themeColor="text1"/>
                <w:sz w:val="18"/>
              </w:rPr>
            </w:pPr>
            <w:r w:rsidRPr="00762CC9">
              <w:rPr>
                <w:rFonts w:ascii="Arial" w:hAnsi="Arial" w:cs="Arial"/>
                <w:color w:val="000000" w:themeColor="text1"/>
                <w:sz w:val="18"/>
                <w:szCs w:val="18"/>
              </w:rPr>
              <w:t>5</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03E97660" w14:textId="77777777">
            <w:pPr>
              <w:jc w:val="center"/>
              <w:rPr>
                <w:rFonts w:ascii="Helvetica" w:hAnsi="Helvetica"/>
                <w:bCs/>
                <w:color w:val="000000" w:themeColor="text1"/>
                <w:sz w:val="18"/>
              </w:rPr>
            </w:pPr>
            <w:r w:rsidRPr="00762CC9">
              <w:rPr>
                <w:rFonts w:ascii="Arial" w:hAnsi="Arial" w:cs="Arial"/>
                <w:color w:val="000000" w:themeColor="text1"/>
                <w:sz w:val="18"/>
                <w:szCs w:val="18"/>
              </w:rPr>
              <w:t>150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E6EEDE9"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70A9BD7D" w14:textId="77777777">
            <w:pPr>
              <w:jc w:val="right"/>
              <w:rPr>
                <w:rFonts w:ascii="Helvetica" w:hAnsi="Helvetica"/>
                <w:bCs/>
                <w:color w:val="000000" w:themeColor="text1"/>
                <w:sz w:val="18"/>
              </w:rPr>
            </w:pPr>
            <w:r w:rsidRPr="00762CC9">
              <w:rPr>
                <w:rFonts w:ascii="Arial" w:hAnsi="Arial" w:cs="Arial"/>
                <w:color w:val="000000" w:themeColor="text1"/>
                <w:sz w:val="18"/>
                <w:szCs w:val="18"/>
              </w:rPr>
              <w:t>5512.5</w:t>
            </w:r>
          </w:p>
        </w:tc>
      </w:tr>
      <w:tr w:rsidRPr="00762CC9" w:rsidR="008968ED" w:rsidTr="00DD2E38" w14:paraId="210CC72F"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6FC95FFE" w14:textId="77777777">
            <w:pPr>
              <w:rPr>
                <w:rFonts w:ascii="Arial" w:hAnsi="Arial" w:cs="Arial"/>
                <w:color w:val="000000" w:themeColor="text1"/>
                <w:sz w:val="18"/>
                <w:szCs w:val="18"/>
              </w:rPr>
            </w:pPr>
            <w:r w:rsidRPr="00762CC9">
              <w:rPr>
                <w:rFonts w:ascii="Arial" w:hAnsi="Arial" w:cs="Arial"/>
                <w:color w:val="000000" w:themeColor="text1"/>
                <w:sz w:val="18"/>
                <w:szCs w:val="18"/>
              </w:rPr>
              <w:t>Interagency Partnership Agreement</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1B748850"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609E3469"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304D87B2"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95B928E" w14:textId="77777777">
            <w:pPr>
              <w:jc w:val="center"/>
              <w:rPr>
                <w:rFonts w:ascii="Arial" w:hAnsi="Arial" w:cs="Arial"/>
                <w:color w:val="000000" w:themeColor="text1"/>
                <w:sz w:val="18"/>
                <w:szCs w:val="18"/>
              </w:rPr>
            </w:pPr>
            <w:r w:rsidRPr="00762CC9">
              <w:rPr>
                <w:rFonts w:ascii="Arial" w:hAnsi="Arial" w:cs="Arial"/>
                <w:color w:val="000000" w:themeColor="text1"/>
                <w:sz w:val="18"/>
                <w:szCs w:val="18"/>
              </w:rPr>
              <w:t>5</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391211BA" w14:textId="77777777">
            <w:pPr>
              <w:jc w:val="center"/>
              <w:rPr>
                <w:rFonts w:ascii="Arial" w:hAnsi="Arial" w:cs="Arial"/>
                <w:color w:val="000000" w:themeColor="text1"/>
                <w:sz w:val="18"/>
                <w:szCs w:val="18"/>
              </w:rPr>
            </w:pPr>
            <w:r w:rsidRPr="00762CC9">
              <w:rPr>
                <w:rFonts w:ascii="Arial" w:hAnsi="Arial" w:cs="Arial"/>
                <w:color w:val="000000" w:themeColor="text1"/>
                <w:sz w:val="18"/>
                <w:szCs w:val="18"/>
              </w:rPr>
              <w:t>150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53ED2A2" w14:textId="77777777">
            <w:pPr>
              <w:jc w:val="right"/>
              <w:rPr>
                <w:rFonts w:ascii="Arial" w:hAnsi="Arial" w:cs="Arial"/>
                <w:color w:val="000000" w:themeColor="text1"/>
                <w:sz w:val="18"/>
                <w:szCs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6233DF5" w14:textId="77777777">
            <w:pPr>
              <w:jc w:val="right"/>
              <w:rPr>
                <w:rFonts w:ascii="Arial" w:hAnsi="Arial" w:cs="Arial"/>
                <w:color w:val="000000" w:themeColor="text1"/>
                <w:sz w:val="18"/>
                <w:szCs w:val="18"/>
              </w:rPr>
            </w:pPr>
            <w:r w:rsidRPr="00762CC9">
              <w:rPr>
                <w:rFonts w:ascii="Arial" w:hAnsi="Arial" w:cs="Arial"/>
                <w:color w:val="000000" w:themeColor="text1"/>
                <w:sz w:val="18"/>
                <w:szCs w:val="18"/>
              </w:rPr>
              <w:t>5512.5</w:t>
            </w:r>
          </w:p>
        </w:tc>
      </w:tr>
      <w:tr w:rsidRPr="00762CC9" w:rsidR="008968ED" w:rsidTr="00DD2E38" w14:paraId="176BBC0C"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02420E20" w14:textId="77777777">
            <w:pPr>
              <w:rPr>
                <w:rFonts w:ascii="Helvetica" w:hAnsi="Helvetica"/>
                <w:bCs/>
                <w:color w:val="000000" w:themeColor="text1"/>
                <w:sz w:val="18"/>
              </w:rPr>
            </w:pPr>
            <w:r w:rsidRPr="00762CC9">
              <w:rPr>
                <w:rFonts w:ascii="Helvetica" w:hAnsi="Helvetica"/>
                <w:bCs/>
                <w:color w:val="000000" w:themeColor="text1"/>
                <w:sz w:val="18"/>
              </w:rPr>
              <w:t>Narrative Responses to Rating Factor 2-4</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3B249002"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4B560EB"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3D53C6BA"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1FB9F9E" w14:textId="77777777">
            <w:pPr>
              <w:jc w:val="center"/>
              <w:rPr>
                <w:rFonts w:ascii="Helvetica" w:hAnsi="Helvetica"/>
                <w:bCs/>
                <w:color w:val="000000" w:themeColor="text1"/>
                <w:sz w:val="18"/>
              </w:rPr>
            </w:pPr>
            <w:r w:rsidRPr="00762CC9">
              <w:rPr>
                <w:rFonts w:ascii="Arial" w:hAnsi="Arial" w:cs="Arial"/>
                <w:color w:val="000000" w:themeColor="text1"/>
                <w:sz w:val="18"/>
                <w:szCs w:val="18"/>
              </w:rPr>
              <w:t>20</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3D274644" w14:textId="77777777">
            <w:pPr>
              <w:jc w:val="center"/>
              <w:rPr>
                <w:rFonts w:ascii="Helvetica" w:hAnsi="Helvetica"/>
                <w:bCs/>
                <w:color w:val="000000" w:themeColor="text1"/>
                <w:sz w:val="18"/>
              </w:rPr>
            </w:pPr>
            <w:r w:rsidRPr="00762CC9">
              <w:rPr>
                <w:rFonts w:ascii="Arial" w:hAnsi="Arial" w:cs="Arial"/>
                <w:color w:val="000000" w:themeColor="text1"/>
                <w:sz w:val="18"/>
                <w:szCs w:val="18"/>
              </w:rPr>
              <w:t>600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6BF7EB0"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1B6BF391" w14:textId="77777777">
            <w:pPr>
              <w:jc w:val="right"/>
              <w:rPr>
                <w:rFonts w:ascii="Helvetica" w:hAnsi="Helvetica"/>
                <w:bCs/>
                <w:color w:val="000000" w:themeColor="text1"/>
                <w:sz w:val="18"/>
              </w:rPr>
            </w:pPr>
            <w:r w:rsidRPr="00762CC9">
              <w:rPr>
                <w:rFonts w:ascii="Arial" w:hAnsi="Arial" w:cs="Arial"/>
                <w:color w:val="000000" w:themeColor="text1"/>
                <w:sz w:val="18"/>
                <w:szCs w:val="18"/>
              </w:rPr>
              <w:t>22050</w:t>
            </w:r>
          </w:p>
        </w:tc>
      </w:tr>
      <w:tr w:rsidRPr="00762CC9" w:rsidR="008968ED" w:rsidTr="00DD2E38" w14:paraId="492F6C75"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1B19DEF2" w14:textId="77777777">
            <w:pPr>
              <w:rPr>
                <w:rFonts w:ascii="Helvetica" w:hAnsi="Helvetica"/>
                <w:bCs/>
                <w:color w:val="000000" w:themeColor="text1"/>
                <w:sz w:val="18"/>
              </w:rPr>
            </w:pPr>
            <w:r w:rsidRPr="00762CC9">
              <w:rPr>
                <w:rFonts w:ascii="Arial" w:hAnsi="Arial" w:cs="Arial"/>
                <w:color w:val="000000" w:themeColor="text1"/>
                <w:sz w:val="18"/>
                <w:szCs w:val="18"/>
              </w:rPr>
              <w:t>HUD-92235-PRA HUD-92237-PRA Rental Assistance Contract (Part I and Part II)</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4A8AA170"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43601004"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57534A7C"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8F0C6D" w14:paraId="315D5981" w14:textId="77777777">
            <w:pPr>
              <w:jc w:val="center"/>
              <w:rPr>
                <w:rFonts w:ascii="Helvetica" w:hAnsi="Helvetica"/>
                <w:bCs/>
                <w:color w:val="000000" w:themeColor="text1"/>
                <w:sz w:val="18"/>
              </w:rPr>
            </w:pPr>
            <w:r w:rsidRPr="00762CC9">
              <w:rPr>
                <w:rFonts w:ascii="Helvetica" w:hAnsi="Helvetica"/>
                <w:bCs/>
                <w:color w:val="000000" w:themeColor="text1"/>
                <w:sz w:val="18"/>
              </w:rPr>
              <w:t>4</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8F0C6D" w14:paraId="653F7743" w14:textId="77777777">
            <w:pPr>
              <w:jc w:val="center"/>
              <w:rPr>
                <w:rFonts w:ascii="Helvetica" w:hAnsi="Helvetica"/>
                <w:bCs/>
                <w:color w:val="000000" w:themeColor="text1"/>
                <w:sz w:val="18"/>
              </w:rPr>
            </w:pPr>
            <w:r w:rsidRPr="00762CC9">
              <w:rPr>
                <w:rFonts w:ascii="Helvetica" w:hAnsi="Helvetica"/>
                <w:bCs/>
                <w:color w:val="000000" w:themeColor="text1"/>
                <w:sz w:val="18"/>
              </w:rPr>
              <w:t>1000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4ECF3788"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8F0C6D" w14:paraId="7E922F59" w14:textId="77777777">
            <w:pPr>
              <w:jc w:val="right"/>
              <w:rPr>
                <w:rFonts w:ascii="Helvetica" w:hAnsi="Helvetica"/>
                <w:bCs/>
                <w:color w:val="000000" w:themeColor="text1"/>
                <w:sz w:val="18"/>
              </w:rPr>
            </w:pPr>
            <w:r w:rsidRPr="00762CC9">
              <w:rPr>
                <w:rFonts w:ascii="Helvetica" w:hAnsi="Helvetica"/>
                <w:bCs/>
                <w:color w:val="000000" w:themeColor="text1"/>
                <w:sz w:val="18"/>
              </w:rPr>
              <w:t>36,750</w:t>
            </w:r>
          </w:p>
        </w:tc>
      </w:tr>
      <w:tr w:rsidRPr="00762CC9" w:rsidR="008968ED" w:rsidTr="00DD2E38" w14:paraId="68C726B4"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3B60998C" w14:textId="77777777">
            <w:pPr>
              <w:rPr>
                <w:rFonts w:ascii="Helvetica" w:hAnsi="Helvetica"/>
                <w:bCs/>
                <w:color w:val="000000" w:themeColor="text1"/>
                <w:sz w:val="18"/>
              </w:rPr>
            </w:pPr>
            <w:r w:rsidRPr="00762CC9">
              <w:rPr>
                <w:rFonts w:ascii="Arial" w:hAnsi="Arial" w:cs="Arial"/>
                <w:color w:val="000000" w:themeColor="text1"/>
                <w:sz w:val="18"/>
                <w:szCs w:val="18"/>
              </w:rPr>
              <w:t>HUD-92236-PRA Model Lease</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03EF6FEC" w14:textId="77777777">
            <w:pPr>
              <w:jc w:val="center"/>
              <w:rPr>
                <w:rFonts w:ascii="Helvetica" w:hAnsi="Helvetica"/>
                <w:bCs/>
                <w:color w:val="000000" w:themeColor="text1"/>
                <w:sz w:val="18"/>
              </w:rPr>
            </w:pPr>
            <w:r w:rsidRPr="00762CC9">
              <w:rPr>
                <w:rFonts w:ascii="Arial" w:hAnsi="Arial" w:cs="Arial"/>
                <w:color w:val="000000" w:themeColor="text1"/>
                <w:sz w:val="18"/>
                <w:szCs w:val="18"/>
              </w:rPr>
              <w:t>1250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13A55EF8"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A390657" w14:textId="77777777">
            <w:pPr>
              <w:jc w:val="center"/>
              <w:rPr>
                <w:rFonts w:ascii="Helvetica" w:hAnsi="Helvetica"/>
                <w:bCs/>
                <w:color w:val="000000" w:themeColor="text1"/>
                <w:sz w:val="18"/>
              </w:rPr>
            </w:pPr>
            <w:r w:rsidRPr="00762CC9">
              <w:rPr>
                <w:rFonts w:ascii="Arial" w:hAnsi="Arial" w:cs="Arial"/>
                <w:color w:val="000000" w:themeColor="text1"/>
                <w:sz w:val="18"/>
                <w:szCs w:val="18"/>
              </w:rPr>
              <w:t>1250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8B524EE"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28567277" w14:textId="77777777">
            <w:pPr>
              <w:jc w:val="center"/>
              <w:rPr>
                <w:rFonts w:ascii="Helvetica" w:hAnsi="Helvetica"/>
                <w:bCs/>
                <w:color w:val="000000" w:themeColor="text1"/>
                <w:sz w:val="18"/>
              </w:rPr>
            </w:pPr>
            <w:r w:rsidRPr="00762CC9">
              <w:rPr>
                <w:rFonts w:ascii="Arial" w:hAnsi="Arial" w:cs="Arial"/>
                <w:color w:val="000000" w:themeColor="text1"/>
                <w:sz w:val="18"/>
                <w:szCs w:val="18"/>
              </w:rPr>
              <w:t>1250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1771F4F5"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9CF178D" w14:textId="77777777">
            <w:pPr>
              <w:jc w:val="right"/>
              <w:rPr>
                <w:rFonts w:ascii="Helvetica" w:hAnsi="Helvetica"/>
                <w:bCs/>
                <w:color w:val="000000" w:themeColor="text1"/>
                <w:sz w:val="18"/>
              </w:rPr>
            </w:pPr>
            <w:r w:rsidRPr="00762CC9">
              <w:rPr>
                <w:rFonts w:ascii="Arial" w:hAnsi="Arial" w:cs="Arial"/>
                <w:color w:val="000000" w:themeColor="text1"/>
                <w:sz w:val="18"/>
                <w:szCs w:val="18"/>
              </w:rPr>
              <w:t>45937.5</w:t>
            </w:r>
          </w:p>
        </w:tc>
      </w:tr>
      <w:tr w:rsidRPr="00762CC9" w:rsidR="008968ED" w:rsidTr="00DD2E38" w14:paraId="7A9C0E07"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3B24C738" w14:textId="77777777">
            <w:pPr>
              <w:rPr>
                <w:rFonts w:ascii="Helvetica" w:hAnsi="Helvetica"/>
                <w:bCs/>
                <w:color w:val="000000" w:themeColor="text1"/>
                <w:sz w:val="18"/>
              </w:rPr>
            </w:pPr>
            <w:r w:rsidRPr="00762CC9">
              <w:rPr>
                <w:rFonts w:ascii="Arial" w:hAnsi="Arial" w:cs="Arial"/>
                <w:color w:val="000000" w:themeColor="text1"/>
                <w:sz w:val="18"/>
                <w:szCs w:val="18"/>
              </w:rPr>
              <w:t>HUD-92238-PRA, Use Agreement</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0CFB848A"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81869C4"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B9E508E"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138534F3"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784D0E30"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3F264551"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3A3E1442" w14:textId="77777777">
            <w:pPr>
              <w:jc w:val="right"/>
              <w:rPr>
                <w:rFonts w:ascii="Helvetica" w:hAnsi="Helvetica"/>
                <w:bCs/>
                <w:color w:val="000000" w:themeColor="text1"/>
                <w:sz w:val="18"/>
              </w:rPr>
            </w:pPr>
            <w:r w:rsidRPr="00762CC9">
              <w:rPr>
                <w:rFonts w:ascii="Arial" w:hAnsi="Arial" w:cs="Arial"/>
                <w:color w:val="000000" w:themeColor="text1"/>
                <w:sz w:val="18"/>
                <w:szCs w:val="18"/>
              </w:rPr>
              <w:t>9187.5</w:t>
            </w:r>
          </w:p>
        </w:tc>
      </w:tr>
      <w:tr w:rsidRPr="00762CC9" w:rsidR="008968ED" w:rsidTr="00DD2E38" w14:paraId="3FB91D2A"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4FD30B84" w14:textId="77777777">
            <w:pPr>
              <w:rPr>
                <w:rFonts w:ascii="Helvetica" w:hAnsi="Helvetica"/>
                <w:bCs/>
                <w:color w:val="000000" w:themeColor="text1"/>
                <w:sz w:val="18"/>
              </w:rPr>
            </w:pPr>
            <w:r w:rsidRPr="00762CC9">
              <w:rPr>
                <w:rFonts w:ascii="Arial" w:hAnsi="Arial" w:cs="Arial"/>
                <w:color w:val="000000" w:themeColor="text1"/>
                <w:sz w:val="18"/>
                <w:szCs w:val="18"/>
              </w:rPr>
              <w:t xml:space="preserve">HUD-92240-PRA, Agreement to Enter </w:t>
            </w:r>
            <w:proofErr w:type="gramStart"/>
            <w:r w:rsidRPr="00762CC9">
              <w:rPr>
                <w:rFonts w:ascii="Arial" w:hAnsi="Arial" w:cs="Arial"/>
                <w:color w:val="000000" w:themeColor="text1"/>
                <w:sz w:val="18"/>
                <w:szCs w:val="18"/>
              </w:rPr>
              <w:t>Into</w:t>
            </w:r>
            <w:proofErr w:type="gramEnd"/>
            <w:r w:rsidRPr="00762CC9">
              <w:rPr>
                <w:rFonts w:ascii="Arial" w:hAnsi="Arial" w:cs="Arial"/>
                <w:color w:val="000000" w:themeColor="text1"/>
                <w:sz w:val="18"/>
                <w:szCs w:val="18"/>
              </w:rPr>
              <w:t xml:space="preserve"> Rental Assistance Contract</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6E6DB339"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1817D9C"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5FBC6C5D" w14:textId="77777777">
            <w:pPr>
              <w:jc w:val="center"/>
              <w:rPr>
                <w:rFonts w:ascii="Helvetica" w:hAnsi="Helvetica"/>
                <w:bCs/>
                <w:color w:val="000000" w:themeColor="text1"/>
                <w:sz w:val="18"/>
              </w:rPr>
            </w:pPr>
            <w:r w:rsidRPr="00762CC9">
              <w:rPr>
                <w:rFonts w:ascii="Arial" w:hAnsi="Arial" w:cs="Arial"/>
                <w:color w:val="000000" w:themeColor="text1"/>
                <w:sz w:val="18"/>
                <w:szCs w:val="18"/>
              </w:rPr>
              <w:t>250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A960972" w14:textId="77777777">
            <w:pPr>
              <w:jc w:val="center"/>
              <w:rPr>
                <w:rFonts w:ascii="Helvetica" w:hAnsi="Helvetica"/>
                <w:bCs/>
                <w:color w:val="000000" w:themeColor="text1"/>
                <w:sz w:val="18"/>
              </w:rPr>
            </w:pPr>
            <w:r w:rsidRPr="00762CC9">
              <w:rPr>
                <w:rFonts w:ascii="Arial" w:hAnsi="Arial" w:cs="Arial"/>
                <w:color w:val="000000" w:themeColor="text1"/>
                <w:sz w:val="18"/>
                <w:szCs w:val="18"/>
              </w:rPr>
              <w:t>0.5</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8F541AA" w14:textId="77777777">
            <w:pPr>
              <w:jc w:val="center"/>
              <w:rPr>
                <w:rFonts w:ascii="Helvetica" w:hAnsi="Helvetica"/>
                <w:bCs/>
                <w:color w:val="000000" w:themeColor="text1"/>
                <w:sz w:val="18"/>
              </w:rPr>
            </w:pPr>
            <w:r w:rsidRPr="00762CC9">
              <w:rPr>
                <w:rFonts w:ascii="Arial" w:hAnsi="Arial" w:cs="Arial"/>
                <w:color w:val="000000" w:themeColor="text1"/>
                <w:sz w:val="18"/>
                <w:szCs w:val="18"/>
              </w:rPr>
              <w:t>125</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3E4FC24"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2A99B57" w14:textId="77777777">
            <w:pPr>
              <w:jc w:val="right"/>
              <w:rPr>
                <w:rFonts w:ascii="Helvetica" w:hAnsi="Helvetica"/>
                <w:bCs/>
                <w:color w:val="000000" w:themeColor="text1"/>
                <w:sz w:val="18"/>
              </w:rPr>
            </w:pPr>
            <w:r w:rsidRPr="00762CC9">
              <w:rPr>
                <w:rFonts w:ascii="Arial" w:hAnsi="Arial" w:cs="Arial"/>
                <w:color w:val="000000" w:themeColor="text1"/>
                <w:sz w:val="18"/>
                <w:szCs w:val="18"/>
              </w:rPr>
              <w:t>4593.75</w:t>
            </w:r>
          </w:p>
        </w:tc>
      </w:tr>
      <w:tr w:rsidRPr="00762CC9" w:rsidR="008968ED" w:rsidTr="00DD2E38" w14:paraId="5FDB2EB7"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3BA0B5D1" w14:textId="77777777">
            <w:pPr>
              <w:rPr>
                <w:rFonts w:ascii="Helvetica" w:hAnsi="Helvetica"/>
                <w:bCs/>
                <w:color w:val="000000" w:themeColor="text1"/>
                <w:sz w:val="18"/>
              </w:rPr>
            </w:pPr>
            <w:r w:rsidRPr="00762CC9">
              <w:rPr>
                <w:rFonts w:ascii="Arial" w:hAnsi="Arial" w:cs="Arial"/>
                <w:color w:val="000000" w:themeColor="text1"/>
                <w:sz w:val="18"/>
                <w:szCs w:val="18"/>
              </w:rPr>
              <w:lastRenderedPageBreak/>
              <w:t>HUD-92241-PRA, Logic Model</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1F6BF070"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AF3C68B" w14:textId="77777777">
            <w:pPr>
              <w:jc w:val="center"/>
              <w:rPr>
                <w:rFonts w:ascii="Helvetica" w:hAnsi="Helvetica"/>
                <w:bCs/>
                <w:color w:val="000000" w:themeColor="text1"/>
                <w:sz w:val="18"/>
              </w:rPr>
            </w:pPr>
            <w:r w:rsidRPr="00762CC9">
              <w:rPr>
                <w:rFonts w:ascii="Arial" w:hAnsi="Arial" w:cs="Arial"/>
                <w:color w:val="000000" w:themeColor="text1"/>
                <w:sz w:val="18"/>
                <w:szCs w:val="18"/>
              </w:rPr>
              <w:t>4</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5146B68" w14:textId="77777777">
            <w:pPr>
              <w:jc w:val="center"/>
              <w:rPr>
                <w:rFonts w:ascii="Helvetica" w:hAnsi="Helvetica"/>
                <w:bCs/>
                <w:color w:val="000000" w:themeColor="text1"/>
                <w:sz w:val="18"/>
              </w:rPr>
            </w:pPr>
            <w:r w:rsidRPr="00762CC9">
              <w:rPr>
                <w:rFonts w:ascii="Arial" w:hAnsi="Arial" w:cs="Arial"/>
                <w:color w:val="000000" w:themeColor="text1"/>
                <w:sz w:val="18"/>
                <w:szCs w:val="18"/>
              </w:rPr>
              <w:t>60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3B69555D" w14:textId="77777777">
            <w:pPr>
              <w:jc w:val="center"/>
              <w:rPr>
                <w:rFonts w:ascii="Helvetica" w:hAnsi="Helvetica"/>
                <w:bCs/>
                <w:color w:val="000000" w:themeColor="text1"/>
                <w:sz w:val="18"/>
              </w:rPr>
            </w:pPr>
            <w:r w:rsidRPr="00762CC9">
              <w:rPr>
                <w:rFonts w:ascii="Arial" w:hAnsi="Arial" w:cs="Arial"/>
                <w:color w:val="000000" w:themeColor="text1"/>
                <w:sz w:val="18"/>
                <w:szCs w:val="18"/>
              </w:rPr>
              <w:t>4</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52FCAFCB" w14:textId="77777777">
            <w:pPr>
              <w:jc w:val="center"/>
              <w:rPr>
                <w:rFonts w:ascii="Helvetica" w:hAnsi="Helvetica"/>
                <w:bCs/>
                <w:color w:val="000000" w:themeColor="text1"/>
                <w:sz w:val="18"/>
              </w:rPr>
            </w:pPr>
            <w:r w:rsidRPr="00762CC9">
              <w:rPr>
                <w:rFonts w:ascii="Arial" w:hAnsi="Arial" w:cs="Arial"/>
                <w:color w:val="000000" w:themeColor="text1"/>
                <w:sz w:val="18"/>
                <w:szCs w:val="18"/>
              </w:rPr>
              <w:t>240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42F0E4E0"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E892EF5" w14:textId="77777777">
            <w:pPr>
              <w:jc w:val="right"/>
              <w:rPr>
                <w:rFonts w:ascii="Helvetica" w:hAnsi="Helvetica"/>
                <w:bCs/>
                <w:color w:val="000000" w:themeColor="text1"/>
                <w:sz w:val="18"/>
              </w:rPr>
            </w:pPr>
            <w:r w:rsidRPr="00762CC9">
              <w:rPr>
                <w:rFonts w:ascii="Arial" w:hAnsi="Arial" w:cs="Arial"/>
                <w:color w:val="000000" w:themeColor="text1"/>
                <w:sz w:val="18"/>
                <w:szCs w:val="18"/>
              </w:rPr>
              <w:t>8820</w:t>
            </w:r>
          </w:p>
        </w:tc>
      </w:tr>
      <w:tr w:rsidRPr="00762CC9" w:rsidR="008968ED" w:rsidTr="00DD2E38" w14:paraId="5425BB38"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769C07C8" w14:textId="77777777">
            <w:pPr>
              <w:rPr>
                <w:rFonts w:ascii="Helvetica" w:hAnsi="Helvetica"/>
                <w:bCs/>
                <w:color w:val="000000" w:themeColor="text1"/>
                <w:sz w:val="18"/>
              </w:rPr>
            </w:pPr>
            <w:r w:rsidRPr="00762CC9">
              <w:rPr>
                <w:rFonts w:ascii="Arial" w:hAnsi="Arial" w:cs="Arial"/>
                <w:color w:val="000000" w:themeColor="text1"/>
                <w:sz w:val="18"/>
                <w:szCs w:val="18"/>
              </w:rPr>
              <w:t>HUD-92243-PRA, Affirmative Fair Housing Marketing Plan</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5AE373AC"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62D97C9A"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C8E0818"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7FD96CFD" w14:textId="77777777">
            <w:pPr>
              <w:jc w:val="center"/>
              <w:rPr>
                <w:rFonts w:ascii="Helvetica" w:hAnsi="Helvetica"/>
                <w:bCs/>
                <w:color w:val="000000" w:themeColor="text1"/>
                <w:sz w:val="18"/>
              </w:rPr>
            </w:pPr>
            <w:r w:rsidRPr="00762CC9">
              <w:rPr>
                <w:rFonts w:ascii="Arial" w:hAnsi="Arial" w:cs="Arial"/>
                <w:color w:val="000000" w:themeColor="text1"/>
                <w:sz w:val="18"/>
                <w:szCs w:val="18"/>
              </w:rPr>
              <w:t>2</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533711CE"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2B2FB42"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75DCA47" w14:textId="77777777">
            <w:pPr>
              <w:jc w:val="right"/>
              <w:rPr>
                <w:rFonts w:ascii="Helvetica" w:hAnsi="Helvetica"/>
                <w:bCs/>
                <w:color w:val="000000" w:themeColor="text1"/>
                <w:sz w:val="18"/>
              </w:rPr>
            </w:pPr>
            <w:r w:rsidRPr="00762CC9">
              <w:rPr>
                <w:rFonts w:ascii="Arial" w:hAnsi="Arial" w:cs="Arial"/>
                <w:color w:val="000000" w:themeColor="text1"/>
                <w:sz w:val="18"/>
                <w:szCs w:val="18"/>
              </w:rPr>
              <w:t>1102.5</w:t>
            </w:r>
          </w:p>
        </w:tc>
      </w:tr>
      <w:tr w:rsidRPr="00762CC9" w:rsidR="008968ED" w:rsidTr="00DD2E38" w14:paraId="4CFC1BA9"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468C3161" w14:textId="77777777">
            <w:pPr>
              <w:rPr>
                <w:rFonts w:ascii="Helvetica" w:hAnsi="Helvetica"/>
                <w:bCs/>
                <w:color w:val="000000" w:themeColor="text1"/>
                <w:sz w:val="18"/>
              </w:rPr>
            </w:pPr>
            <w:r w:rsidRPr="00762CC9">
              <w:rPr>
                <w:rFonts w:ascii="Arial" w:hAnsi="Arial" w:cs="Arial"/>
                <w:color w:val="000000" w:themeColor="text1"/>
                <w:sz w:val="18"/>
                <w:szCs w:val="18"/>
              </w:rPr>
              <w:t>HUD-93205-PRA Cooperative Agreement</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0B4F2E82"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77B7E3A6"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64A560DF"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378237BC" w14:textId="77777777">
            <w:pPr>
              <w:jc w:val="center"/>
              <w:rPr>
                <w:rFonts w:ascii="Helvetica" w:hAnsi="Helvetica"/>
                <w:bCs/>
                <w:color w:val="000000" w:themeColor="text1"/>
                <w:sz w:val="18"/>
              </w:rPr>
            </w:pPr>
            <w:r w:rsidRPr="00762CC9">
              <w:rPr>
                <w:rFonts w:ascii="Arial" w:hAnsi="Arial" w:cs="Arial"/>
                <w:color w:val="000000" w:themeColor="text1"/>
                <w:sz w:val="18"/>
                <w:szCs w:val="18"/>
              </w:rPr>
              <w:t>2</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19A0F048" w14:textId="77777777">
            <w:pPr>
              <w:jc w:val="center"/>
              <w:rPr>
                <w:rFonts w:ascii="Helvetica" w:hAnsi="Helvetica"/>
                <w:bCs/>
                <w:color w:val="000000" w:themeColor="text1"/>
                <w:sz w:val="18"/>
              </w:rPr>
            </w:pPr>
            <w:r w:rsidRPr="00762CC9">
              <w:rPr>
                <w:rFonts w:ascii="Arial" w:hAnsi="Arial" w:cs="Arial"/>
                <w:color w:val="000000" w:themeColor="text1"/>
                <w:sz w:val="18"/>
                <w:szCs w:val="18"/>
              </w:rPr>
              <w:t>30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4E2EAA7C"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6F4F36F4" w14:textId="77777777">
            <w:pPr>
              <w:jc w:val="right"/>
              <w:rPr>
                <w:rFonts w:ascii="Helvetica" w:hAnsi="Helvetica"/>
                <w:bCs/>
                <w:color w:val="000000" w:themeColor="text1"/>
                <w:sz w:val="18"/>
              </w:rPr>
            </w:pPr>
            <w:r w:rsidRPr="00762CC9">
              <w:rPr>
                <w:rFonts w:ascii="Arial" w:hAnsi="Arial" w:cs="Arial"/>
                <w:color w:val="000000" w:themeColor="text1"/>
                <w:sz w:val="18"/>
                <w:szCs w:val="18"/>
              </w:rPr>
              <w:t>1102.5</w:t>
            </w:r>
          </w:p>
        </w:tc>
      </w:tr>
      <w:tr w:rsidRPr="00762CC9" w:rsidR="008968ED" w:rsidTr="00DD2E38" w14:paraId="72CB2CD5"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7EBE0752" w14:textId="77777777">
            <w:pPr>
              <w:rPr>
                <w:rFonts w:ascii="Helvetica" w:hAnsi="Helvetica"/>
                <w:bCs/>
                <w:color w:val="000000" w:themeColor="text1"/>
                <w:sz w:val="18"/>
              </w:rPr>
            </w:pPr>
            <w:r w:rsidRPr="00762CC9">
              <w:rPr>
                <w:rFonts w:ascii="Arial" w:hAnsi="Arial" w:cs="Arial"/>
                <w:color w:val="000000" w:themeColor="text1"/>
                <w:sz w:val="18"/>
                <w:szCs w:val="18"/>
              </w:rPr>
              <w:t>Quarterly Reports</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5B2BC854"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39B11BF4" w14:textId="77777777">
            <w:pPr>
              <w:jc w:val="center"/>
              <w:rPr>
                <w:rFonts w:ascii="Helvetica" w:hAnsi="Helvetica"/>
                <w:bCs/>
                <w:color w:val="000000" w:themeColor="text1"/>
                <w:sz w:val="18"/>
              </w:rPr>
            </w:pPr>
            <w:r w:rsidRPr="00762CC9">
              <w:rPr>
                <w:rFonts w:ascii="Arial" w:hAnsi="Arial" w:cs="Arial"/>
                <w:color w:val="000000" w:themeColor="text1"/>
                <w:sz w:val="18"/>
                <w:szCs w:val="18"/>
              </w:rPr>
              <w:t>4</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5A8A2686" w14:textId="77777777">
            <w:pPr>
              <w:jc w:val="center"/>
              <w:rPr>
                <w:rFonts w:ascii="Helvetica" w:hAnsi="Helvetica"/>
                <w:bCs/>
                <w:color w:val="000000" w:themeColor="text1"/>
                <w:sz w:val="18"/>
              </w:rPr>
            </w:pPr>
            <w:r w:rsidRPr="00762CC9">
              <w:rPr>
                <w:rFonts w:ascii="Arial" w:hAnsi="Arial" w:cs="Arial"/>
                <w:color w:val="000000" w:themeColor="text1"/>
                <w:sz w:val="18"/>
                <w:szCs w:val="18"/>
              </w:rPr>
              <w:t>60</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00F4B614" w14:textId="77777777">
            <w:pPr>
              <w:jc w:val="center"/>
              <w:rPr>
                <w:rFonts w:ascii="Helvetica" w:hAnsi="Helvetica"/>
                <w:bCs/>
                <w:color w:val="000000" w:themeColor="text1"/>
                <w:sz w:val="18"/>
              </w:rPr>
            </w:pPr>
            <w:r w:rsidRPr="00762CC9">
              <w:rPr>
                <w:rFonts w:ascii="Arial" w:hAnsi="Arial" w:cs="Arial"/>
                <w:color w:val="000000" w:themeColor="text1"/>
                <w:sz w:val="18"/>
                <w:szCs w:val="18"/>
              </w:rPr>
              <w:t>4</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6F9D71C" w14:textId="0BBF0AFF">
            <w:pPr>
              <w:jc w:val="center"/>
              <w:rPr>
                <w:rFonts w:ascii="Helvetica" w:hAnsi="Helvetica"/>
                <w:bCs/>
                <w:color w:val="000000" w:themeColor="text1"/>
                <w:sz w:val="18"/>
              </w:rPr>
            </w:pPr>
            <w:r w:rsidRPr="00762CC9">
              <w:rPr>
                <w:rFonts w:ascii="Arial" w:hAnsi="Arial" w:cs="Arial"/>
                <w:color w:val="000000" w:themeColor="text1"/>
                <w:sz w:val="18"/>
                <w:szCs w:val="18"/>
              </w:rPr>
              <w:t>2</w:t>
            </w:r>
            <w:r w:rsidR="003C62FF">
              <w:rPr>
                <w:rFonts w:ascii="Arial" w:hAnsi="Arial" w:cs="Arial"/>
                <w:color w:val="000000" w:themeColor="text1"/>
                <w:sz w:val="18"/>
                <w:szCs w:val="18"/>
              </w:rPr>
              <w:t>73</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79BE2FB3"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1038EC3A" w14:textId="77777777">
            <w:pPr>
              <w:jc w:val="right"/>
              <w:rPr>
                <w:rFonts w:ascii="Helvetica" w:hAnsi="Helvetica"/>
                <w:bCs/>
                <w:color w:val="000000" w:themeColor="text1"/>
                <w:sz w:val="18"/>
              </w:rPr>
            </w:pPr>
            <w:r w:rsidRPr="00762CC9">
              <w:rPr>
                <w:rFonts w:ascii="Arial" w:hAnsi="Arial" w:cs="Arial"/>
                <w:color w:val="000000" w:themeColor="text1"/>
                <w:sz w:val="18"/>
                <w:szCs w:val="18"/>
              </w:rPr>
              <w:t>8820</w:t>
            </w:r>
          </w:p>
        </w:tc>
      </w:tr>
      <w:tr w:rsidRPr="00762CC9" w:rsidR="008968ED" w:rsidTr="00DD2E38" w14:paraId="5BA77100"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414F18" w:rsidP="00414F18" w:rsidRDefault="00414F18" w14:paraId="7783D752" w14:textId="77777777">
            <w:pPr>
              <w:rPr>
                <w:rFonts w:ascii="Helvetica" w:hAnsi="Helvetica"/>
                <w:bCs/>
                <w:color w:val="000000" w:themeColor="text1"/>
                <w:sz w:val="18"/>
              </w:rPr>
            </w:pPr>
            <w:r w:rsidRPr="00762CC9">
              <w:rPr>
                <w:rFonts w:ascii="Arial" w:hAnsi="Arial" w:cs="Arial"/>
                <w:color w:val="000000" w:themeColor="text1"/>
                <w:sz w:val="18"/>
                <w:szCs w:val="18"/>
              </w:rPr>
              <w:t>Annual Reports</w:t>
            </w:r>
          </w:p>
        </w:tc>
        <w:tc>
          <w:tcPr>
            <w:tcW w:w="1323" w:type="dxa"/>
            <w:tcBorders>
              <w:top w:val="single" w:color="auto" w:sz="4" w:space="0"/>
              <w:left w:val="nil"/>
              <w:bottom w:val="single" w:color="auto" w:sz="4" w:space="0"/>
              <w:right w:val="single" w:color="auto" w:sz="4" w:space="0"/>
            </w:tcBorders>
            <w:shd w:val="clear" w:color="000000" w:fill="D9D9D9"/>
            <w:vAlign w:val="center"/>
          </w:tcPr>
          <w:p w:rsidRPr="00762CC9" w:rsidR="00414F18" w:rsidP="00414F18" w:rsidRDefault="00414F18" w14:paraId="17E84D04" w14:textId="77777777">
            <w:pPr>
              <w:jc w:val="center"/>
              <w:rPr>
                <w:rFonts w:ascii="Helvetica" w:hAnsi="Helvetica"/>
                <w:bCs/>
                <w:color w:val="000000" w:themeColor="text1"/>
                <w:sz w:val="18"/>
              </w:rPr>
            </w:pPr>
            <w:r w:rsidRPr="00762CC9">
              <w:rPr>
                <w:rFonts w:ascii="Arial" w:hAnsi="Arial" w:cs="Arial"/>
                <w:color w:val="000000" w:themeColor="text1"/>
                <w:sz w:val="18"/>
                <w:szCs w:val="18"/>
              </w:rPr>
              <w:t>15</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45DF5F68" w14:textId="77777777">
            <w:pPr>
              <w:jc w:val="center"/>
              <w:rPr>
                <w:rFonts w:ascii="Helvetica" w:hAnsi="Helvetica"/>
                <w:bCs/>
                <w:color w:val="000000" w:themeColor="text1"/>
                <w:sz w:val="18"/>
              </w:rPr>
            </w:pPr>
            <w:r w:rsidRPr="00762CC9">
              <w:rPr>
                <w:rFonts w:ascii="Arial" w:hAnsi="Arial" w:cs="Arial"/>
                <w:color w:val="000000" w:themeColor="text1"/>
                <w:sz w:val="18"/>
                <w:szCs w:val="18"/>
              </w:rPr>
              <w:t>1</w:t>
            </w:r>
          </w:p>
        </w:tc>
        <w:tc>
          <w:tcPr>
            <w:tcW w:w="1237"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B623B" w14:paraId="255BE12A" w14:textId="51B1A5F2">
            <w:pPr>
              <w:jc w:val="center"/>
              <w:rPr>
                <w:rFonts w:ascii="Helvetica" w:hAnsi="Helvetica"/>
                <w:bCs/>
                <w:color w:val="000000" w:themeColor="text1"/>
                <w:sz w:val="18"/>
              </w:rPr>
            </w:pPr>
            <w:r>
              <w:rPr>
                <w:rFonts w:ascii="Arial" w:hAnsi="Arial" w:cs="Arial"/>
                <w:color w:val="000000" w:themeColor="text1"/>
                <w:sz w:val="18"/>
                <w:szCs w:val="18"/>
              </w:rPr>
              <w:t>7</w:t>
            </w:r>
            <w:r w:rsidRPr="00762CC9" w:rsidR="00414F18">
              <w:rPr>
                <w:rFonts w:ascii="Arial" w:hAnsi="Arial" w:cs="Arial"/>
                <w:color w:val="000000" w:themeColor="text1"/>
                <w:sz w:val="18"/>
                <w:szCs w:val="18"/>
              </w:rPr>
              <w:t>5</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0D9CD91" w14:textId="77777777">
            <w:pPr>
              <w:jc w:val="center"/>
              <w:rPr>
                <w:rFonts w:ascii="Helvetica" w:hAnsi="Helvetica"/>
                <w:bCs/>
                <w:color w:val="000000" w:themeColor="text1"/>
                <w:sz w:val="18"/>
              </w:rPr>
            </w:pPr>
            <w:r w:rsidRPr="00762CC9">
              <w:rPr>
                <w:rFonts w:ascii="Arial" w:hAnsi="Arial" w:cs="Arial"/>
                <w:color w:val="000000" w:themeColor="text1"/>
                <w:sz w:val="18"/>
                <w:szCs w:val="18"/>
              </w:rPr>
              <w:t>4</w:t>
            </w:r>
          </w:p>
        </w:tc>
        <w:tc>
          <w:tcPr>
            <w:tcW w:w="856" w:type="dxa"/>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414F18" w:rsidP="00414F18" w:rsidRDefault="00414F18" w14:paraId="4EB00E30" w14:textId="77777777">
            <w:pPr>
              <w:jc w:val="center"/>
              <w:rPr>
                <w:rFonts w:ascii="Helvetica" w:hAnsi="Helvetica"/>
                <w:bCs/>
                <w:color w:val="000000" w:themeColor="text1"/>
                <w:sz w:val="18"/>
              </w:rPr>
            </w:pPr>
            <w:r w:rsidRPr="00762CC9">
              <w:rPr>
                <w:rFonts w:ascii="Arial" w:hAnsi="Arial" w:cs="Arial"/>
                <w:color w:val="000000" w:themeColor="text1"/>
                <w:sz w:val="18"/>
                <w:szCs w:val="18"/>
              </w:rPr>
              <w:t>60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531D3176" w14:textId="77777777">
            <w:pPr>
              <w:jc w:val="right"/>
              <w:rPr>
                <w:rFonts w:ascii="Helvetica" w:hAnsi="Helvetica"/>
                <w:bCs/>
                <w:color w:val="000000" w:themeColor="text1"/>
                <w:sz w:val="18"/>
              </w:rPr>
            </w:pPr>
            <w:r w:rsidRPr="00762CC9">
              <w:rPr>
                <w:rFonts w:ascii="Arial" w:hAnsi="Arial" w:cs="Arial"/>
                <w:color w:val="000000" w:themeColor="text1"/>
                <w:sz w:val="18"/>
                <w:szCs w:val="18"/>
              </w:rPr>
              <w:t>36.75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414F18" w:rsidP="00414F18" w:rsidRDefault="00414F18" w14:paraId="21FF5688" w14:textId="77777777">
            <w:pPr>
              <w:jc w:val="right"/>
              <w:rPr>
                <w:rFonts w:ascii="Helvetica" w:hAnsi="Helvetica"/>
                <w:bCs/>
                <w:color w:val="000000" w:themeColor="text1"/>
                <w:sz w:val="18"/>
              </w:rPr>
            </w:pPr>
            <w:r w:rsidRPr="00762CC9">
              <w:rPr>
                <w:rFonts w:ascii="Arial" w:hAnsi="Arial" w:cs="Arial"/>
                <w:color w:val="000000" w:themeColor="text1"/>
                <w:sz w:val="18"/>
                <w:szCs w:val="18"/>
              </w:rPr>
              <w:t>2205</w:t>
            </w:r>
          </w:p>
        </w:tc>
      </w:tr>
      <w:bookmarkEnd w:id="1"/>
      <w:tr w:rsidRPr="00762CC9" w:rsidR="008968ED" w:rsidTr="00DD2E38" w14:paraId="6BAE7C20" w14:textId="77777777">
        <w:tblPrEx>
          <w:tblLook w:val="0000" w:firstRow="0" w:lastRow="0" w:firstColumn="0" w:lastColumn="0" w:noHBand="0" w:noVBand="0"/>
        </w:tblPrEx>
        <w:tc>
          <w:tcPr>
            <w:tcW w:w="1757" w:type="dxa"/>
            <w:tcBorders>
              <w:top w:val="single" w:color="auto" w:sz="4" w:space="0"/>
              <w:left w:val="single" w:color="auto" w:sz="4" w:space="0"/>
              <w:bottom w:val="single" w:color="auto" w:sz="4" w:space="0"/>
              <w:right w:val="single" w:color="auto" w:sz="4" w:space="0"/>
            </w:tcBorders>
            <w:vAlign w:val="center"/>
          </w:tcPr>
          <w:p w:rsidRPr="00762CC9" w:rsidR="001D5313" w:rsidP="001D5313" w:rsidRDefault="001D5313" w14:paraId="41A705C9" w14:textId="77777777">
            <w:pPr>
              <w:rPr>
                <w:rFonts w:ascii="Helvetica" w:hAnsi="Helvetica"/>
                <w:b/>
                <w:bCs/>
                <w:color w:val="000000" w:themeColor="text1"/>
                <w:sz w:val="18"/>
              </w:rPr>
            </w:pPr>
            <w:r w:rsidRPr="00762CC9">
              <w:rPr>
                <w:rFonts w:ascii="Helvetica" w:hAnsi="Helvetica"/>
                <w:b/>
                <w:bCs/>
                <w:color w:val="000000" w:themeColor="text1"/>
                <w:sz w:val="18"/>
              </w:rPr>
              <w:t>TOTALS</w:t>
            </w:r>
          </w:p>
        </w:tc>
        <w:tc>
          <w:tcPr>
            <w:tcW w:w="1323" w:type="dxa"/>
            <w:tcBorders>
              <w:top w:val="single" w:color="auto" w:sz="4" w:space="0"/>
              <w:left w:val="single" w:color="auto" w:sz="4" w:space="0"/>
              <w:bottom w:val="single" w:color="auto" w:sz="4" w:space="0"/>
              <w:right w:val="single" w:color="auto" w:sz="4" w:space="0"/>
            </w:tcBorders>
            <w:shd w:val="clear" w:color="auto" w:fill="D9D9D9"/>
            <w:vAlign w:val="center"/>
          </w:tcPr>
          <w:p w:rsidRPr="00762CC9" w:rsidR="001D5313" w:rsidP="001D5313" w:rsidRDefault="00414F18" w14:paraId="3F95C25E" w14:textId="77777777">
            <w:pPr>
              <w:jc w:val="center"/>
              <w:rPr>
                <w:rFonts w:ascii="Helvetica" w:hAnsi="Helvetica"/>
                <w:bCs/>
                <w:color w:val="000000" w:themeColor="text1"/>
                <w:sz w:val="18"/>
              </w:rPr>
            </w:pPr>
            <w:r w:rsidRPr="00762CC9">
              <w:rPr>
                <w:rFonts w:ascii="Helvetica" w:hAnsi="Helvetica"/>
                <w:bCs/>
                <w:color w:val="000000" w:themeColor="text1"/>
                <w:sz w:val="18"/>
              </w:rPr>
              <w:t>2,285</w:t>
            </w:r>
          </w:p>
        </w:tc>
        <w:tc>
          <w:tcPr>
            <w:tcW w:w="1149" w:type="dxa"/>
            <w:tcBorders>
              <w:top w:val="single" w:color="auto" w:sz="4" w:space="0"/>
              <w:left w:val="single" w:color="auto" w:sz="4" w:space="0"/>
              <w:bottom w:val="single" w:color="auto" w:sz="4" w:space="0"/>
              <w:right w:val="single" w:color="auto" w:sz="4" w:space="0"/>
            </w:tcBorders>
            <w:shd w:val="clear" w:color="auto" w:fill="000000"/>
            <w:vAlign w:val="center"/>
          </w:tcPr>
          <w:p w:rsidRPr="00762CC9" w:rsidR="001D5313" w:rsidP="001D5313" w:rsidRDefault="001D5313" w14:paraId="6F4E5B86" w14:textId="77777777">
            <w:pPr>
              <w:jc w:val="center"/>
              <w:rPr>
                <w:rFonts w:ascii="Helvetica" w:hAnsi="Helvetica"/>
                <w:bCs/>
                <w:color w:val="000000" w:themeColor="text1"/>
                <w:sz w:val="18"/>
              </w:rPr>
            </w:pPr>
          </w:p>
        </w:tc>
        <w:tc>
          <w:tcPr>
            <w:tcW w:w="1237" w:type="dxa"/>
            <w:tcBorders>
              <w:top w:val="single" w:color="auto" w:sz="4" w:space="0"/>
              <w:left w:val="single" w:color="auto" w:sz="4" w:space="0"/>
              <w:bottom w:val="single" w:color="auto" w:sz="4" w:space="0"/>
              <w:right w:val="single" w:color="auto" w:sz="4" w:space="0"/>
            </w:tcBorders>
            <w:shd w:val="clear" w:color="auto" w:fill="D9D9D9"/>
            <w:vAlign w:val="center"/>
          </w:tcPr>
          <w:p w:rsidRPr="00762CC9" w:rsidR="001D5313" w:rsidP="001D5313" w:rsidRDefault="00922AD4" w14:paraId="2C1A198B" w14:textId="09251CAC">
            <w:pPr>
              <w:jc w:val="center"/>
              <w:rPr>
                <w:rFonts w:ascii="Helvetica" w:hAnsi="Helvetica"/>
                <w:bCs/>
                <w:color w:val="000000" w:themeColor="text1"/>
                <w:sz w:val="18"/>
              </w:rPr>
            </w:pPr>
            <w:r w:rsidRPr="00922AD4">
              <w:rPr>
                <w:rFonts w:ascii="Helvetica" w:hAnsi="Helvetica"/>
                <w:bCs/>
                <w:color w:val="000000" w:themeColor="text1"/>
                <w:sz w:val="18"/>
              </w:rPr>
              <w:t>2285</w:t>
            </w:r>
          </w:p>
        </w:tc>
        <w:tc>
          <w:tcPr>
            <w:tcW w:w="1115" w:type="dxa"/>
            <w:tcBorders>
              <w:top w:val="single" w:color="auto" w:sz="4" w:space="0"/>
              <w:left w:val="single" w:color="auto" w:sz="4" w:space="0"/>
              <w:bottom w:val="single" w:color="auto" w:sz="4" w:space="0"/>
              <w:right w:val="single" w:color="auto" w:sz="4" w:space="0"/>
            </w:tcBorders>
            <w:shd w:val="clear" w:color="auto" w:fill="000000"/>
            <w:vAlign w:val="center"/>
          </w:tcPr>
          <w:p w:rsidRPr="00762CC9" w:rsidR="001D5313" w:rsidP="001D5313" w:rsidRDefault="001D5313" w14:paraId="0052B8B3" w14:textId="77777777">
            <w:pPr>
              <w:jc w:val="center"/>
              <w:rPr>
                <w:rFonts w:ascii="Helvetica" w:hAnsi="Helvetica"/>
                <w:bCs/>
                <w:color w:val="000000" w:themeColor="text1"/>
                <w:sz w:val="18"/>
              </w:rPr>
            </w:pPr>
          </w:p>
        </w:tc>
        <w:tc>
          <w:tcPr>
            <w:tcW w:w="856" w:type="dxa"/>
            <w:tcBorders>
              <w:top w:val="single" w:color="auto" w:sz="4" w:space="0"/>
              <w:left w:val="single" w:color="auto" w:sz="4" w:space="0"/>
              <w:bottom w:val="single" w:color="auto" w:sz="4" w:space="0"/>
              <w:right w:val="single" w:color="auto" w:sz="4" w:space="0"/>
            </w:tcBorders>
            <w:shd w:val="clear" w:color="auto" w:fill="D9D9D9"/>
            <w:vAlign w:val="center"/>
          </w:tcPr>
          <w:p w:rsidR="001D5313" w:rsidP="003C62FF" w:rsidRDefault="00136FF5" w14:paraId="79DB2D41" w14:textId="7378BFD1">
            <w:pPr>
              <w:spacing w:after="0" w:line="240" w:lineRule="auto"/>
              <w:jc w:val="center"/>
              <w:rPr>
                <w:rFonts w:ascii="Helvetica" w:hAnsi="Helvetica"/>
                <w:bCs/>
                <w:color w:val="000000" w:themeColor="text1"/>
                <w:sz w:val="18"/>
              </w:rPr>
            </w:pPr>
            <w:r>
              <w:rPr>
                <w:rFonts w:ascii="Helvetica" w:hAnsi="Helvetica"/>
                <w:bCs/>
                <w:color w:val="000000" w:themeColor="text1"/>
                <w:sz w:val="18"/>
              </w:rPr>
              <w:fldChar w:fldCharType="begin"/>
            </w:r>
            <w:r>
              <w:rPr>
                <w:rFonts w:ascii="Helvetica" w:hAnsi="Helvetica"/>
                <w:bCs/>
                <w:color w:val="000000" w:themeColor="text1"/>
                <w:sz w:val="18"/>
              </w:rPr>
              <w:instrText xml:space="preserve"> =SUM(ABOVE) </w:instrText>
            </w:r>
            <w:r>
              <w:rPr>
                <w:rFonts w:ascii="Helvetica" w:hAnsi="Helvetica"/>
                <w:bCs/>
                <w:color w:val="000000" w:themeColor="text1"/>
                <w:sz w:val="18"/>
              </w:rPr>
              <w:fldChar w:fldCharType="separate"/>
            </w:r>
            <w:r>
              <w:rPr>
                <w:rFonts w:ascii="Helvetica" w:hAnsi="Helvetica"/>
                <w:bCs/>
                <w:noProof/>
                <w:color w:val="000000" w:themeColor="text1"/>
                <w:sz w:val="18"/>
              </w:rPr>
              <w:t>4248</w:t>
            </w:r>
            <w:r>
              <w:rPr>
                <w:rFonts w:ascii="Helvetica" w:hAnsi="Helvetica"/>
                <w:bCs/>
                <w:color w:val="000000" w:themeColor="text1"/>
                <w:sz w:val="18"/>
              </w:rPr>
              <w:fldChar w:fldCharType="end"/>
            </w:r>
          </w:p>
          <w:p w:rsidRPr="00762CC9" w:rsidR="003C62FF" w:rsidP="003C62FF" w:rsidRDefault="003C62FF" w14:paraId="33F3CDDD" w14:textId="572D246C">
            <w:pPr>
              <w:spacing w:after="0" w:line="240" w:lineRule="auto"/>
              <w:jc w:val="center"/>
              <w:rPr>
                <w:rFonts w:ascii="Helvetica" w:hAnsi="Helvetica"/>
                <w:bCs/>
                <w:color w:val="000000" w:themeColor="text1"/>
                <w:sz w:val="18"/>
              </w:rPr>
            </w:pPr>
          </w:p>
        </w:tc>
        <w:tc>
          <w:tcPr>
            <w:tcW w:w="984" w:type="dxa"/>
            <w:tcBorders>
              <w:top w:val="single" w:color="auto" w:sz="4" w:space="0"/>
              <w:left w:val="single" w:color="auto" w:sz="4" w:space="0"/>
              <w:bottom w:val="single" w:color="auto" w:sz="4" w:space="0"/>
              <w:right w:val="single" w:color="auto" w:sz="4" w:space="0"/>
            </w:tcBorders>
            <w:shd w:val="clear" w:color="auto" w:fill="000000"/>
            <w:vAlign w:val="center"/>
          </w:tcPr>
          <w:p w:rsidRPr="00762CC9" w:rsidR="001D5313" w:rsidP="00605C42" w:rsidRDefault="001D5313" w14:paraId="2B2D545A" w14:textId="77777777">
            <w:pPr>
              <w:jc w:val="center"/>
              <w:rPr>
                <w:rFonts w:ascii="Helvetica" w:hAnsi="Helvetica"/>
                <w:bCs/>
                <w:color w:val="000000" w:themeColor="text1"/>
                <w:sz w:val="18"/>
              </w:rPr>
            </w:pPr>
          </w:p>
        </w:tc>
        <w:tc>
          <w:tcPr>
            <w:tcW w:w="1047" w:type="dxa"/>
            <w:tcBorders>
              <w:top w:val="single" w:color="auto" w:sz="4" w:space="0"/>
              <w:left w:val="single" w:color="auto" w:sz="4" w:space="0"/>
              <w:bottom w:val="single" w:color="auto" w:sz="4" w:space="0"/>
              <w:right w:val="single" w:color="auto" w:sz="4" w:space="0"/>
            </w:tcBorders>
            <w:vAlign w:val="center"/>
          </w:tcPr>
          <w:p w:rsidRPr="00762CC9" w:rsidR="00605C42" w:rsidP="00605C42" w:rsidRDefault="00605C42" w14:paraId="0509DBF6" w14:textId="77777777">
            <w:pPr>
              <w:spacing w:after="0" w:line="240" w:lineRule="auto"/>
              <w:jc w:val="center"/>
              <w:rPr>
                <w:rFonts w:ascii="Arial" w:hAnsi="Arial" w:cs="Arial"/>
                <w:color w:val="000000" w:themeColor="text1"/>
                <w:sz w:val="18"/>
                <w:szCs w:val="18"/>
              </w:rPr>
            </w:pPr>
          </w:p>
          <w:p w:rsidRPr="003C62FF" w:rsidR="00605C42" w:rsidP="00605C42" w:rsidRDefault="00414F18" w14:paraId="664828FB" w14:textId="77777777">
            <w:pPr>
              <w:spacing w:after="0" w:line="240" w:lineRule="auto"/>
              <w:jc w:val="center"/>
              <w:rPr>
                <w:rFonts w:ascii="Arial" w:hAnsi="Arial" w:cs="Arial"/>
                <w:color w:val="000000" w:themeColor="text1"/>
                <w:sz w:val="16"/>
                <w:szCs w:val="16"/>
              </w:rPr>
            </w:pPr>
            <w:r w:rsidRPr="003C62FF">
              <w:rPr>
                <w:rFonts w:ascii="Arial" w:hAnsi="Arial" w:cs="Arial"/>
                <w:color w:val="000000" w:themeColor="text1"/>
                <w:sz w:val="16"/>
                <w:szCs w:val="16"/>
              </w:rPr>
              <w:t>1</w:t>
            </w:r>
            <w:r w:rsidRPr="003C62FF" w:rsidR="008F0C6D">
              <w:rPr>
                <w:rFonts w:ascii="Arial" w:hAnsi="Arial" w:cs="Arial"/>
                <w:color w:val="000000" w:themeColor="text1"/>
                <w:sz w:val="16"/>
                <w:szCs w:val="16"/>
              </w:rPr>
              <w:t>56,114</w:t>
            </w:r>
          </w:p>
          <w:p w:rsidRPr="00762CC9" w:rsidR="001D5313" w:rsidP="00605C42" w:rsidRDefault="001D5313" w14:paraId="7959235C" w14:textId="77777777">
            <w:pPr>
              <w:jc w:val="center"/>
              <w:rPr>
                <w:rFonts w:ascii="Helvetica" w:hAnsi="Helvetica"/>
                <w:bCs/>
                <w:color w:val="000000" w:themeColor="text1"/>
                <w:sz w:val="18"/>
              </w:rPr>
            </w:pPr>
          </w:p>
        </w:tc>
      </w:tr>
      <w:bookmarkEnd w:id="2"/>
    </w:tbl>
    <w:p w:rsidRPr="00762CC9" w:rsidR="00D35DDB" w:rsidP="00FA2F70" w:rsidRDefault="00D35DDB" w14:paraId="1FDCD3A2" w14:textId="77777777">
      <w:pPr>
        <w:spacing w:after="0" w:line="240" w:lineRule="auto"/>
        <w:rPr>
          <w:rFonts w:ascii="Times New Roman" w:hAnsi="Times New Roman"/>
          <w:b/>
          <w:color w:val="000000" w:themeColor="text1"/>
          <w:sz w:val="24"/>
          <w:szCs w:val="24"/>
        </w:rPr>
      </w:pPr>
    </w:p>
    <w:p w:rsidRPr="00762CC9" w:rsidR="00605C42" w:rsidP="00605C42" w:rsidRDefault="00605C42" w14:paraId="75AFB900" w14:textId="77777777">
      <w:pPr>
        <w:spacing w:after="0" w:line="240" w:lineRule="auto"/>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Since Section 811 PRA eligible applicants are approximately 50 states and 5 U.S. territories, and HUD will only accept one application from each state or territory, in any given fiscal year, there never will be more than 55 applications submitted</w:t>
      </w:r>
      <w:proofErr w:type="gramStart"/>
      <w:r w:rsidRPr="00762CC9">
        <w:rPr>
          <w:rFonts w:ascii="Times New Roman" w:hAnsi="Times New Roman" w:eastAsia="MS Mincho" w:cs="Courier New"/>
          <w:color w:val="000000" w:themeColor="text1"/>
          <w:sz w:val="24"/>
          <w:szCs w:val="20"/>
        </w:rPr>
        <w:t>.</w:t>
      </w:r>
      <w:r w:rsidRPr="00762CC9" w:rsidR="00414F18">
        <w:rPr>
          <w:rFonts w:ascii="Times New Roman" w:hAnsi="Times New Roman" w:eastAsia="MS Mincho" w:cs="Courier New"/>
          <w:color w:val="000000" w:themeColor="text1"/>
          <w:sz w:val="24"/>
          <w:szCs w:val="20"/>
        </w:rPr>
        <w:t xml:space="preserve">  </w:t>
      </w:r>
      <w:proofErr w:type="gramEnd"/>
      <w:r w:rsidRPr="00762CC9" w:rsidR="00414F18">
        <w:rPr>
          <w:rFonts w:ascii="Times New Roman" w:hAnsi="Times New Roman" w:eastAsia="MS Mincho" w:cs="Courier New"/>
          <w:color w:val="000000" w:themeColor="text1"/>
          <w:sz w:val="24"/>
          <w:szCs w:val="20"/>
        </w:rPr>
        <w:t>However, based on past application round the program has received at most an average of 30 applications</w:t>
      </w:r>
      <w:proofErr w:type="gramStart"/>
      <w:r w:rsidRPr="00762CC9" w:rsidR="00414F18">
        <w:rPr>
          <w:rFonts w:ascii="Times New Roman" w:hAnsi="Times New Roman" w:eastAsia="MS Mincho" w:cs="Courier New"/>
          <w:color w:val="000000" w:themeColor="text1"/>
          <w:sz w:val="24"/>
          <w:szCs w:val="20"/>
        </w:rPr>
        <w:t xml:space="preserve">.  </w:t>
      </w:r>
      <w:proofErr w:type="gramEnd"/>
    </w:p>
    <w:p w:rsidRPr="00762CC9" w:rsidR="00605C42" w:rsidP="00605C42" w:rsidRDefault="00605C42" w14:paraId="71593C51" w14:textId="77777777">
      <w:pPr>
        <w:spacing w:after="0" w:line="240" w:lineRule="auto"/>
        <w:rPr>
          <w:rFonts w:ascii="Times New Roman" w:hAnsi="Times New Roman" w:eastAsia="MS Mincho" w:cs="Courier New"/>
          <w:color w:val="000000" w:themeColor="text1"/>
          <w:sz w:val="24"/>
          <w:szCs w:val="20"/>
        </w:rPr>
      </w:pPr>
    </w:p>
    <w:p w:rsidRPr="00762CC9" w:rsidR="00605C42" w:rsidP="00605C42" w:rsidRDefault="00605C42" w14:paraId="076BF16E" w14:textId="77777777">
      <w:pPr>
        <w:spacing w:after="0" w:line="240" w:lineRule="auto"/>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The above table provides a listing of only those forms that are completed by the applicants during the application, negotiation, approval, post award and reporting</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It also includes the burden hours that are applicable to the respective narrative requirements, as well</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It is estimated that over a five-year period </w:t>
      </w:r>
      <w:r w:rsidRPr="00762CC9" w:rsidR="00DD2E38">
        <w:rPr>
          <w:rFonts w:ascii="Times New Roman" w:hAnsi="Times New Roman" w:eastAsia="MS Mincho" w:cs="Courier New"/>
          <w:color w:val="000000" w:themeColor="text1"/>
          <w:sz w:val="24"/>
          <w:szCs w:val="20"/>
        </w:rPr>
        <w:t>30</w:t>
      </w:r>
      <w:r w:rsidRPr="00762CC9">
        <w:rPr>
          <w:rFonts w:ascii="Times New Roman" w:hAnsi="Times New Roman" w:eastAsia="MS Mincho" w:cs="Courier New"/>
          <w:color w:val="000000" w:themeColor="text1"/>
          <w:sz w:val="24"/>
          <w:szCs w:val="20"/>
        </w:rPr>
        <w:t xml:space="preserve"> states </w:t>
      </w:r>
      <w:r w:rsidRPr="00762CC9" w:rsidR="00DD2E38">
        <w:rPr>
          <w:rFonts w:ascii="Times New Roman" w:hAnsi="Times New Roman" w:eastAsia="MS Mincho" w:cs="Courier New"/>
          <w:color w:val="000000" w:themeColor="text1"/>
          <w:sz w:val="24"/>
          <w:szCs w:val="20"/>
        </w:rPr>
        <w:t>or</w:t>
      </w:r>
      <w:r w:rsidRPr="00762CC9">
        <w:rPr>
          <w:rFonts w:ascii="Times New Roman" w:hAnsi="Times New Roman" w:eastAsia="MS Mincho" w:cs="Courier New"/>
          <w:color w:val="000000" w:themeColor="text1"/>
          <w:sz w:val="24"/>
          <w:szCs w:val="20"/>
        </w:rPr>
        <w:t xml:space="preserve"> U.S. territories will submit applications</w:t>
      </w:r>
      <w:proofErr w:type="gramStart"/>
      <w:r w:rsidRPr="00762CC9">
        <w:rPr>
          <w:rFonts w:ascii="Times New Roman" w:hAnsi="Times New Roman" w:eastAsia="MS Mincho" w:cs="Courier New"/>
          <w:color w:val="000000" w:themeColor="text1"/>
          <w:sz w:val="24"/>
          <w:szCs w:val="20"/>
        </w:rPr>
        <w:t xml:space="preserve">.  </w:t>
      </w:r>
      <w:proofErr w:type="gramEnd"/>
    </w:p>
    <w:p w:rsidRPr="00762CC9" w:rsidR="00605C42" w:rsidP="00605C42" w:rsidRDefault="00605C42" w14:paraId="5319C221" w14:textId="77777777">
      <w:pPr>
        <w:spacing w:after="0" w:line="240" w:lineRule="auto"/>
        <w:rPr>
          <w:rFonts w:ascii="Times New Roman" w:hAnsi="Times New Roman" w:eastAsia="MS Mincho" w:cs="Courier New"/>
          <w:color w:val="000000" w:themeColor="text1"/>
          <w:sz w:val="24"/>
          <w:szCs w:val="20"/>
          <w:u w:val="single"/>
        </w:rPr>
      </w:pPr>
    </w:p>
    <w:p w:rsidRPr="00762CC9" w:rsidR="00605C42" w:rsidP="00605C42" w:rsidRDefault="00605C42" w14:paraId="1E395C88" w14:textId="77777777">
      <w:pPr>
        <w:spacing w:after="0" w:line="240" w:lineRule="auto"/>
        <w:rPr>
          <w:rFonts w:ascii="Times New Roman" w:hAnsi="Times New Roman" w:eastAsia="MS Mincho" w:cs="Courier New"/>
          <w:color w:val="000000" w:themeColor="text1"/>
          <w:sz w:val="24"/>
          <w:szCs w:val="20"/>
          <w:u w:val="single"/>
        </w:rPr>
      </w:pPr>
      <w:r w:rsidRPr="00762CC9">
        <w:rPr>
          <w:rFonts w:ascii="Times New Roman" w:hAnsi="Times New Roman" w:eastAsia="MS Mincho" w:cs="Courier New"/>
          <w:color w:val="000000" w:themeColor="text1"/>
          <w:sz w:val="24"/>
          <w:szCs w:val="20"/>
          <w:u w:val="single"/>
        </w:rPr>
        <w:t>Reporting Requirements</w:t>
      </w:r>
    </w:p>
    <w:p w:rsidRPr="00762CC9" w:rsidR="00605C42" w:rsidP="00605C42" w:rsidRDefault="00605C42" w14:paraId="199FA081" w14:textId="77777777">
      <w:pPr>
        <w:spacing w:after="0" w:line="240" w:lineRule="auto"/>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Of those that submit applications, it is estimated that there will be approximately 15 selected for approval and will need to submit quarterly and annually</w:t>
      </w:r>
      <w:proofErr w:type="gramStart"/>
      <w:r w:rsidRPr="00762CC9">
        <w:rPr>
          <w:rFonts w:ascii="Times New Roman" w:hAnsi="Times New Roman" w:eastAsia="MS Mincho" w:cs="Courier New"/>
          <w:color w:val="000000" w:themeColor="text1"/>
          <w:sz w:val="24"/>
          <w:szCs w:val="20"/>
        </w:rPr>
        <w:t xml:space="preserve">.  </w:t>
      </w:r>
      <w:proofErr w:type="gramEnd"/>
    </w:p>
    <w:p w:rsidRPr="00762CC9" w:rsidR="00FA2F70" w:rsidP="00FA2F70" w:rsidRDefault="00FA2F70" w14:paraId="1BDD393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793A661F" w14:textId="77777777">
        <w:tc>
          <w:tcPr>
            <w:tcW w:w="9360" w:type="dxa"/>
            <w:shd w:val="clear" w:color="auto" w:fill="auto"/>
          </w:tcPr>
          <w:p w:rsidRPr="00762CC9" w:rsidR="0021340A" w:rsidP="001B4FB5" w:rsidRDefault="0021340A" w14:paraId="10E8262F"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Pr="00762CC9" w:rsidR="0021340A" w:rsidP="001B4FB5" w:rsidRDefault="0021340A" w14:paraId="350D8595" w14:textId="77777777">
            <w:pPr>
              <w:spacing w:after="0" w:line="240" w:lineRule="auto"/>
              <w:rPr>
                <w:rFonts w:ascii="Times New Roman" w:hAnsi="Times New Roman"/>
                <w:b/>
                <w:color w:val="000000" w:themeColor="text1"/>
                <w:sz w:val="24"/>
                <w:szCs w:val="24"/>
              </w:rPr>
            </w:pPr>
          </w:p>
          <w:p w:rsidRPr="00762CC9" w:rsidR="0021340A" w:rsidP="001B4FB5" w:rsidRDefault="0021340A" w14:paraId="62CA7AEC"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62CC9">
              <w:rPr>
                <w:rFonts w:ascii="Times New Roman" w:hAnsi="Times New Roman"/>
                <w:color w:val="000000" w:themeColor="text1"/>
                <w:sz w:val="24"/>
                <w:szCs w:val="24"/>
              </w:rPr>
              <w:t>take into account</w:t>
            </w:r>
            <w:proofErr w:type="gramEnd"/>
            <w:r w:rsidRPr="00762CC9">
              <w:rPr>
                <w:rFonts w:ascii="Times New Roman" w:hAnsi="Times New Roman"/>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62CC9">
              <w:rPr>
                <w:rFonts w:ascii="Times New Roman" w:hAnsi="Times New Roman"/>
                <w:color w:val="000000" w:themeColor="text1"/>
                <w:sz w:val="24"/>
                <w:szCs w:val="24"/>
              </w:rPr>
              <w:t>time period</w:t>
            </w:r>
            <w:proofErr w:type="gramEnd"/>
            <w:r w:rsidRPr="00762CC9">
              <w:rPr>
                <w:rFonts w:ascii="Times New Roman" w:hAnsi="Times New Roman"/>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762CC9">
              <w:rPr>
                <w:rFonts w:ascii="Times New Roman" w:hAnsi="Times New Roman"/>
                <w:color w:val="000000" w:themeColor="text1"/>
                <w:sz w:val="24"/>
                <w:szCs w:val="24"/>
              </w:rPr>
              <w:t>drilling</w:t>
            </w:r>
            <w:proofErr w:type="gramEnd"/>
            <w:r w:rsidRPr="00762CC9">
              <w:rPr>
                <w:rFonts w:ascii="Times New Roman" w:hAnsi="Times New Roman"/>
                <w:color w:val="000000" w:themeColor="text1"/>
                <w:sz w:val="24"/>
                <w:szCs w:val="24"/>
              </w:rPr>
              <w:t xml:space="preserve"> and testing equipment; and record storage facilities. </w:t>
            </w:r>
          </w:p>
          <w:p w:rsidRPr="00762CC9" w:rsidR="0021340A" w:rsidP="001B4FB5" w:rsidRDefault="0021340A" w14:paraId="0CDA88C1" w14:textId="77777777">
            <w:pPr>
              <w:spacing w:after="0" w:line="240" w:lineRule="auto"/>
              <w:rPr>
                <w:rFonts w:ascii="Times New Roman" w:hAnsi="Times New Roman"/>
                <w:color w:val="000000" w:themeColor="text1"/>
                <w:sz w:val="24"/>
                <w:szCs w:val="24"/>
              </w:rPr>
            </w:pPr>
          </w:p>
          <w:p w:rsidRPr="00762CC9" w:rsidR="0021340A" w:rsidP="001B4FB5" w:rsidRDefault="0021340A" w14:paraId="36BCFF7F"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w:t>
            </w:r>
            <w:r w:rsidRPr="00762CC9">
              <w:rPr>
                <w:rFonts w:ascii="Times New Roman" w:hAnsi="Times New Roman"/>
                <w:color w:val="000000" w:themeColor="text1"/>
                <w:sz w:val="24"/>
                <w:szCs w:val="24"/>
              </w:rPr>
              <w:lastRenderedPageBreak/>
              <w:t xml:space="preserve">utilize the 60-day pre-OMB submission public comment </w:t>
            </w:r>
            <w:proofErr w:type="gramStart"/>
            <w:r w:rsidRPr="00762CC9">
              <w:rPr>
                <w:rFonts w:ascii="Times New Roman" w:hAnsi="Times New Roman"/>
                <w:color w:val="000000" w:themeColor="text1"/>
                <w:sz w:val="24"/>
                <w:szCs w:val="24"/>
              </w:rPr>
              <w:t>process</w:t>
            </w:r>
            <w:proofErr w:type="gramEnd"/>
            <w:r w:rsidRPr="00762CC9">
              <w:rPr>
                <w:rFonts w:ascii="Times New Roman" w:hAnsi="Times New Roman"/>
                <w:color w:val="000000" w:themeColor="text1"/>
                <w:sz w:val="24"/>
                <w:szCs w:val="24"/>
              </w:rPr>
              <w:t xml:space="preserve"> and use existing economic or regulatory impact analysis associated with the rulemaking containing the information collection, as appropriate. </w:t>
            </w:r>
          </w:p>
          <w:p w:rsidRPr="00762CC9" w:rsidR="0021340A" w:rsidP="001B4FB5" w:rsidRDefault="0021340A" w14:paraId="0BA28B7F" w14:textId="77777777">
            <w:pPr>
              <w:spacing w:after="0" w:line="240" w:lineRule="auto"/>
              <w:rPr>
                <w:rFonts w:ascii="Times New Roman" w:hAnsi="Times New Roman"/>
                <w:color w:val="000000" w:themeColor="text1"/>
                <w:sz w:val="24"/>
                <w:szCs w:val="24"/>
              </w:rPr>
            </w:pPr>
          </w:p>
          <w:p w:rsidRPr="00762CC9" w:rsidR="0021340A" w:rsidP="001B4FB5" w:rsidRDefault="0021340A" w14:paraId="75CE513D"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762CC9" w:rsidR="0021340A" w:rsidP="001B4FB5" w:rsidRDefault="0021340A" w14:paraId="070F83A8" w14:textId="77777777">
            <w:pPr>
              <w:spacing w:after="0" w:line="240" w:lineRule="auto"/>
              <w:rPr>
                <w:rFonts w:ascii="Times New Roman" w:hAnsi="Times New Roman"/>
                <w:b/>
                <w:color w:val="000000" w:themeColor="text1"/>
                <w:sz w:val="24"/>
                <w:szCs w:val="24"/>
              </w:rPr>
            </w:pPr>
          </w:p>
        </w:tc>
      </w:tr>
      <w:tr w:rsidRPr="00762CC9" w:rsidR="008968ED" w:rsidTr="00D35DDB" w14:paraId="73256575" w14:textId="77777777">
        <w:tc>
          <w:tcPr>
            <w:tcW w:w="9360" w:type="dxa"/>
            <w:shd w:val="clear" w:color="auto" w:fill="auto"/>
          </w:tcPr>
          <w:p w:rsidRPr="00762CC9" w:rsidR="0021340A" w:rsidP="001B4FB5" w:rsidRDefault="00303610" w14:paraId="506CA5E7" w14:textId="77777777">
            <w:pPr>
              <w:spacing w:after="0" w:line="240" w:lineRule="auto"/>
              <w:rPr>
                <w:rFonts w:ascii="Times New Roman" w:hAnsi="Times New Roman"/>
                <w:b/>
                <w:color w:val="000000" w:themeColor="text1"/>
                <w:sz w:val="24"/>
                <w:szCs w:val="24"/>
              </w:rPr>
            </w:pPr>
            <w:r w:rsidRPr="00762CC9">
              <w:rPr>
                <w:rFonts w:ascii="Times New Roman" w:hAnsi="Times New Roman" w:eastAsia="MS Mincho"/>
                <w:color w:val="000000" w:themeColor="text1"/>
                <w:sz w:val="24"/>
              </w:rPr>
              <w:lastRenderedPageBreak/>
              <w:t>There are no additional costs to respondents</w:t>
            </w:r>
            <w:proofErr w:type="gramStart"/>
            <w:r w:rsidRPr="00762CC9">
              <w:rPr>
                <w:rFonts w:ascii="Times New Roman" w:hAnsi="Times New Roman" w:eastAsia="MS Mincho"/>
                <w:color w:val="000000" w:themeColor="text1"/>
                <w:sz w:val="24"/>
              </w:rPr>
              <w:t xml:space="preserve">.  </w:t>
            </w:r>
            <w:proofErr w:type="gramEnd"/>
          </w:p>
        </w:tc>
      </w:tr>
    </w:tbl>
    <w:p w:rsidRPr="00762CC9" w:rsidR="0021340A" w:rsidP="00FA2F70" w:rsidRDefault="0021340A" w14:paraId="7CB231D6"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4A0" w:firstRow="1" w:lastRow="0" w:firstColumn="1" w:lastColumn="0" w:noHBand="0" w:noVBand="1"/>
      </w:tblPr>
      <w:tblGrid>
        <w:gridCol w:w="1440"/>
        <w:gridCol w:w="1440"/>
        <w:gridCol w:w="1170"/>
        <w:gridCol w:w="1260"/>
        <w:gridCol w:w="990"/>
        <w:gridCol w:w="937"/>
        <w:gridCol w:w="53"/>
        <w:gridCol w:w="900"/>
        <w:gridCol w:w="990"/>
        <w:gridCol w:w="17"/>
        <w:gridCol w:w="170"/>
      </w:tblGrid>
      <w:tr w:rsidRPr="00762CC9" w:rsidR="008968ED" w:rsidTr="00303610" w14:paraId="112F9280" w14:textId="77777777">
        <w:tc>
          <w:tcPr>
            <w:tcW w:w="9367" w:type="dxa"/>
            <w:gridSpan w:val="11"/>
            <w:tcBorders>
              <w:top w:val="nil"/>
              <w:left w:val="nil"/>
              <w:bottom w:val="nil"/>
              <w:right w:val="nil"/>
            </w:tcBorders>
            <w:shd w:val="clear" w:color="auto" w:fill="auto"/>
          </w:tcPr>
          <w:p w:rsidRPr="00762CC9" w:rsidR="0021340A" w:rsidP="001B4FB5" w:rsidRDefault="0021340A" w14:paraId="5B2ED427"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762CC9" w:rsidR="0021340A" w:rsidP="001B4FB5" w:rsidRDefault="0021340A" w14:paraId="2E8DCE49" w14:textId="77777777">
            <w:pPr>
              <w:spacing w:after="0" w:line="240" w:lineRule="auto"/>
              <w:rPr>
                <w:rFonts w:ascii="Times New Roman" w:hAnsi="Times New Roman"/>
                <w:color w:val="000000" w:themeColor="text1"/>
                <w:sz w:val="24"/>
                <w:szCs w:val="24"/>
              </w:rPr>
            </w:pPr>
          </w:p>
        </w:tc>
      </w:tr>
      <w:tr w:rsidRPr="00762CC9" w:rsidR="008968ED" w:rsidTr="00303610" w14:paraId="3D5EDB56" w14:textId="77777777">
        <w:tc>
          <w:tcPr>
            <w:tcW w:w="9367" w:type="dxa"/>
            <w:gridSpan w:val="11"/>
            <w:tcBorders>
              <w:top w:val="nil"/>
              <w:left w:val="nil"/>
              <w:bottom w:val="nil"/>
              <w:right w:val="nil"/>
            </w:tcBorders>
            <w:shd w:val="clear" w:color="auto" w:fill="auto"/>
          </w:tcPr>
          <w:p w:rsidRPr="00762CC9" w:rsidR="0021340A" w:rsidP="001B4FB5" w:rsidRDefault="0021340A" w14:paraId="6913F304" w14:textId="77777777">
            <w:pPr>
              <w:spacing w:after="0" w:line="240" w:lineRule="auto"/>
              <w:rPr>
                <w:rFonts w:ascii="Times New Roman" w:hAnsi="Times New Roman"/>
                <w:color w:val="000000" w:themeColor="text1"/>
                <w:sz w:val="24"/>
                <w:szCs w:val="24"/>
              </w:rPr>
            </w:pPr>
          </w:p>
        </w:tc>
      </w:tr>
      <w:tr w:rsidRPr="00762CC9" w:rsidR="008968ED" w:rsidTr="00126AD1" w14:paraId="0C419144" w14:textId="77777777">
        <w:tblPrEx>
          <w:tblBorders>
            <w:insideH w:val="single" w:color="auto" w:sz="4" w:space="0"/>
          </w:tblBorders>
          <w:tblLook w:val="0000" w:firstRow="0" w:lastRow="0" w:firstColumn="0" w:lastColumn="0" w:noHBand="0" w:noVBand="0"/>
        </w:tblPrEx>
        <w:trPr>
          <w:gridAfter w:val="1"/>
          <w:wAfter w:w="170" w:type="dxa"/>
        </w:trPr>
        <w:tc>
          <w:tcPr>
            <w:tcW w:w="1440"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7B1147E2" w14:textId="77777777">
            <w:pPr>
              <w:rPr>
                <w:rFonts w:ascii="Helvetica" w:hAnsi="Helvetica"/>
                <w:b/>
                <w:bCs/>
                <w:color w:val="000000" w:themeColor="text1"/>
                <w:sz w:val="18"/>
              </w:rPr>
            </w:pPr>
            <w:r w:rsidRPr="00762CC9">
              <w:rPr>
                <w:rFonts w:ascii="Helvetica" w:hAnsi="Helvetica"/>
                <w:b/>
                <w:bCs/>
                <w:color w:val="000000" w:themeColor="text1"/>
                <w:sz w:val="18"/>
              </w:rPr>
              <w:t>Information Collection</w:t>
            </w:r>
          </w:p>
        </w:tc>
        <w:tc>
          <w:tcPr>
            <w:tcW w:w="1440"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60FF9A8B"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48D8A0A2" w14:textId="77777777">
            <w:pPr>
              <w:ind w:left="72" w:right="-108"/>
              <w:jc w:val="center"/>
              <w:rPr>
                <w:rFonts w:ascii="Helvetica" w:hAnsi="Helvetica"/>
                <w:b/>
                <w:bCs/>
                <w:color w:val="000000" w:themeColor="text1"/>
                <w:sz w:val="18"/>
              </w:rPr>
            </w:pPr>
            <w:r w:rsidRPr="00762CC9">
              <w:rPr>
                <w:rFonts w:ascii="Helvetica" w:hAnsi="Helvetica"/>
                <w:b/>
                <w:bCs/>
                <w:color w:val="000000" w:themeColor="text1"/>
                <w:sz w:val="18"/>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39975466" w14:textId="77777777">
            <w:pPr>
              <w:jc w:val="center"/>
              <w:rPr>
                <w:rFonts w:ascii="Helvetica" w:hAnsi="Helvetica"/>
                <w:b/>
                <w:bCs/>
                <w:color w:val="000000" w:themeColor="text1"/>
                <w:sz w:val="18"/>
              </w:rPr>
            </w:pPr>
            <w:r w:rsidRPr="00762CC9">
              <w:rPr>
                <w:rFonts w:ascii="Helvetica" w:hAnsi="Helvetica"/>
                <w:b/>
                <w:bCs/>
                <w:color w:val="000000" w:themeColor="text1"/>
                <w:sz w:val="18"/>
              </w:rPr>
              <w:t>Responses Per Year</w:t>
            </w:r>
          </w:p>
        </w:tc>
        <w:tc>
          <w:tcPr>
            <w:tcW w:w="990"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7D8D95F5"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Burden Hours Per Response</w:t>
            </w:r>
          </w:p>
        </w:tc>
        <w:tc>
          <w:tcPr>
            <w:tcW w:w="937" w:type="dxa"/>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3BBECE17"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Annual Burden Hours</w:t>
            </w:r>
          </w:p>
        </w:tc>
        <w:tc>
          <w:tcPr>
            <w:tcW w:w="953" w:type="dxa"/>
            <w:gridSpan w:val="2"/>
            <w:tcBorders>
              <w:top w:val="single" w:color="auto" w:sz="4" w:space="0"/>
              <w:left w:val="single" w:color="auto" w:sz="4" w:space="0"/>
              <w:bottom w:val="single" w:color="auto" w:sz="4" w:space="0"/>
              <w:right w:val="single" w:color="auto" w:sz="4" w:space="0"/>
            </w:tcBorders>
            <w:vAlign w:val="center"/>
          </w:tcPr>
          <w:p w:rsidRPr="00762CC9" w:rsidR="00A6656E" w:rsidP="00B106EA" w:rsidRDefault="00A6656E" w14:paraId="21F52C63"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Hourly Cost per Response</w:t>
            </w:r>
          </w:p>
        </w:tc>
        <w:tc>
          <w:tcPr>
            <w:tcW w:w="1007" w:type="dxa"/>
            <w:gridSpan w:val="2"/>
            <w:tcBorders>
              <w:top w:val="single" w:color="auto" w:sz="4" w:space="0"/>
              <w:left w:val="single" w:color="auto" w:sz="4" w:space="0"/>
              <w:bottom w:val="single" w:color="auto" w:sz="4" w:space="0"/>
              <w:right w:val="single" w:color="auto" w:sz="4" w:space="0"/>
            </w:tcBorders>
            <w:shd w:val="clear" w:color="auto" w:fill="D9D9D9"/>
          </w:tcPr>
          <w:p w:rsidRPr="00762CC9" w:rsidR="00A6656E" w:rsidP="00B106EA" w:rsidRDefault="00A6656E" w14:paraId="55B4983F" w14:textId="77777777">
            <w:pPr>
              <w:ind w:right="-108"/>
              <w:jc w:val="center"/>
              <w:rPr>
                <w:rFonts w:ascii="Helvetica" w:hAnsi="Helvetica"/>
                <w:b/>
                <w:bCs/>
                <w:color w:val="000000" w:themeColor="text1"/>
                <w:sz w:val="18"/>
              </w:rPr>
            </w:pPr>
            <w:r w:rsidRPr="00762CC9">
              <w:rPr>
                <w:rFonts w:ascii="Helvetica" w:hAnsi="Helvetica"/>
                <w:b/>
                <w:bCs/>
                <w:color w:val="000000" w:themeColor="text1"/>
                <w:sz w:val="18"/>
              </w:rPr>
              <w:t>Total Annual Cost</w:t>
            </w:r>
          </w:p>
        </w:tc>
      </w:tr>
      <w:tr w:rsidRPr="00762CC9" w:rsidR="008968ED" w:rsidTr="00527BE6" w14:paraId="4FC8993A" w14:textId="77777777">
        <w:tblPrEx>
          <w:tblBorders>
            <w:top w:val="none" w:color="auto" w:sz="0" w:space="0"/>
            <w:left w:val="none" w:color="auto" w:sz="0" w:space="0"/>
            <w:bottom w:val="none" w:color="auto" w:sz="0" w:space="0"/>
            <w:right w:val="none" w:color="auto" w:sz="0" w:space="0"/>
            <w:insideV w:val="none" w:color="auto" w:sz="0" w:space="0"/>
          </w:tblBorders>
          <w:tblLook w:val="0000" w:firstRow="0" w:lastRow="0" w:firstColumn="0" w:lastColumn="0" w:noHBand="0" w:noVBand="0"/>
        </w:tblPrEx>
        <w:trPr>
          <w:gridAfter w:val="2"/>
          <w:wAfter w:w="187" w:type="dxa"/>
        </w:trPr>
        <w:tc>
          <w:tcPr>
            <w:tcW w:w="1440" w:type="dxa"/>
            <w:tcBorders>
              <w:top w:val="single" w:color="auto" w:sz="4" w:space="0"/>
              <w:left w:val="single" w:color="auto" w:sz="4" w:space="0"/>
              <w:bottom w:val="single" w:color="auto" w:sz="4" w:space="0"/>
              <w:right w:val="single" w:color="auto" w:sz="4" w:space="0"/>
            </w:tcBorders>
            <w:vAlign w:val="center"/>
          </w:tcPr>
          <w:p w:rsidRPr="00762CC9" w:rsidR="003A0EE2" w:rsidP="00527BE6" w:rsidRDefault="003A0EE2" w14:paraId="4A6E9227" w14:textId="77777777">
            <w:pPr>
              <w:rPr>
                <w:rFonts w:ascii="Arial" w:hAnsi="Arial" w:cs="Arial"/>
                <w:color w:val="000000" w:themeColor="text1"/>
                <w:sz w:val="18"/>
                <w:szCs w:val="18"/>
              </w:rPr>
            </w:pPr>
            <w:r w:rsidRPr="00762CC9">
              <w:rPr>
                <w:rFonts w:ascii="Arial" w:hAnsi="Arial" w:cs="Arial"/>
                <w:color w:val="000000" w:themeColor="text1"/>
                <w:sz w:val="18"/>
                <w:szCs w:val="18"/>
              </w:rPr>
              <w:t>TOTALS</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rsidRPr="00762CC9" w:rsidR="003A0EE2" w:rsidP="00527BE6" w:rsidRDefault="00DD2E38" w14:paraId="0EE9C1B4" w14:textId="77777777">
            <w:pPr>
              <w:jc w:val="center"/>
              <w:rPr>
                <w:rFonts w:ascii="Helvetica" w:hAnsi="Helvetica"/>
                <w:bCs/>
                <w:color w:val="000000" w:themeColor="text1"/>
                <w:sz w:val="18"/>
              </w:rPr>
            </w:pPr>
            <w:r w:rsidRPr="00762CC9">
              <w:rPr>
                <w:rFonts w:ascii="Helvetica" w:hAnsi="Helvetica"/>
                <w:bCs/>
                <w:color w:val="000000" w:themeColor="text1"/>
                <w:sz w:val="18"/>
              </w:rPr>
              <w:t>2,285</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762CC9" w:rsidR="003A0EE2" w:rsidP="00527BE6" w:rsidRDefault="003A0EE2" w14:paraId="38B8E092" w14:textId="77777777">
            <w:pPr>
              <w:jc w:val="center"/>
              <w:rPr>
                <w:rFonts w:ascii="Helvetica" w:hAnsi="Helvetica"/>
                <w:bCs/>
                <w:color w:val="000000" w:themeColor="text1"/>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762CC9" w:rsidR="003A0EE2" w:rsidP="00527BE6" w:rsidRDefault="00DD2E38" w14:paraId="278C1423" w14:textId="77777777">
            <w:pPr>
              <w:jc w:val="center"/>
              <w:rPr>
                <w:rFonts w:ascii="Helvetica" w:hAnsi="Helvetica"/>
                <w:bCs/>
                <w:color w:val="000000" w:themeColor="text1"/>
                <w:sz w:val="18"/>
              </w:rPr>
            </w:pPr>
            <w:r w:rsidRPr="00762CC9">
              <w:rPr>
                <w:rFonts w:ascii="Helvetica" w:hAnsi="Helvetica"/>
                <w:bCs/>
                <w:color w:val="000000" w:themeColor="text1"/>
                <w:sz w:val="18"/>
              </w:rPr>
              <w:t>2,375</w:t>
            </w:r>
          </w:p>
        </w:tc>
        <w:tc>
          <w:tcPr>
            <w:tcW w:w="990" w:type="dxa"/>
            <w:tcBorders>
              <w:top w:val="single" w:color="auto" w:sz="4" w:space="0"/>
              <w:left w:val="nil"/>
              <w:bottom w:val="single" w:color="auto" w:sz="4" w:space="0"/>
              <w:right w:val="single" w:color="auto" w:sz="4" w:space="0"/>
            </w:tcBorders>
            <w:shd w:val="clear" w:color="auto" w:fill="000000"/>
            <w:vAlign w:val="center"/>
          </w:tcPr>
          <w:p w:rsidRPr="00762CC9" w:rsidR="003A0EE2" w:rsidP="00527BE6" w:rsidRDefault="003A0EE2" w14:paraId="43ED470D" w14:textId="77777777">
            <w:pPr>
              <w:jc w:val="center"/>
              <w:rPr>
                <w:rFonts w:ascii="Arial" w:hAnsi="Arial" w:cs="Arial"/>
                <w:color w:val="000000" w:themeColor="text1"/>
                <w:sz w:val="18"/>
                <w:szCs w:val="18"/>
              </w:rPr>
            </w:pPr>
          </w:p>
        </w:tc>
        <w:tc>
          <w:tcPr>
            <w:tcW w:w="990" w:type="dxa"/>
            <w:gridSpan w:val="2"/>
            <w:tcBorders>
              <w:top w:val="single" w:color="auto" w:sz="4" w:space="0"/>
              <w:left w:val="single" w:color="auto" w:sz="4" w:space="0"/>
              <w:bottom w:val="single" w:color="auto" w:sz="4" w:space="0"/>
              <w:right w:val="single" w:color="auto" w:sz="4" w:space="0"/>
            </w:tcBorders>
            <w:shd w:val="clear" w:color="000000" w:fill="D9D9D9"/>
            <w:vAlign w:val="center"/>
          </w:tcPr>
          <w:p w:rsidRPr="00762CC9" w:rsidR="003A0EE2" w:rsidP="00527BE6" w:rsidRDefault="008F0C6D" w14:paraId="00CB8A61" w14:textId="77777777">
            <w:pPr>
              <w:jc w:val="center"/>
              <w:rPr>
                <w:rFonts w:ascii="Arial" w:hAnsi="Arial" w:cs="Arial"/>
                <w:color w:val="000000" w:themeColor="text1"/>
                <w:sz w:val="18"/>
                <w:szCs w:val="18"/>
              </w:rPr>
            </w:pPr>
            <w:r w:rsidRPr="00762CC9">
              <w:rPr>
                <w:rFonts w:ascii="Arial" w:hAnsi="Arial" w:cs="Arial"/>
                <w:color w:val="000000" w:themeColor="text1"/>
                <w:sz w:val="18"/>
                <w:szCs w:val="18"/>
              </w:rPr>
              <w:t>4,248</w:t>
            </w:r>
          </w:p>
        </w:tc>
        <w:tc>
          <w:tcPr>
            <w:tcW w:w="900" w:type="dxa"/>
            <w:tcBorders>
              <w:top w:val="single" w:color="auto" w:sz="4" w:space="0"/>
              <w:left w:val="single" w:color="auto" w:sz="4" w:space="0"/>
              <w:bottom w:val="single" w:color="auto" w:sz="4" w:space="0"/>
              <w:right w:val="single" w:color="auto" w:sz="4" w:space="0"/>
            </w:tcBorders>
            <w:shd w:val="clear" w:color="auto" w:fill="000000"/>
            <w:vAlign w:val="center"/>
          </w:tcPr>
          <w:p w:rsidRPr="00762CC9" w:rsidR="003A0EE2" w:rsidP="00527BE6" w:rsidRDefault="003A0EE2" w14:paraId="1B8857C0" w14:textId="77777777">
            <w:pPr>
              <w:jc w:val="right"/>
              <w:rPr>
                <w:rFonts w:ascii="Arial" w:hAnsi="Arial" w:cs="Arial"/>
                <w:color w:val="000000" w:themeColor="text1"/>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762CC9" w:rsidR="003A0EE2" w:rsidP="00527BE6" w:rsidRDefault="00DD2E38" w14:paraId="589B102E" w14:textId="77777777">
            <w:pPr>
              <w:jc w:val="right"/>
              <w:rPr>
                <w:rFonts w:ascii="Arial" w:hAnsi="Arial" w:cs="Arial"/>
                <w:color w:val="000000" w:themeColor="text1"/>
                <w:sz w:val="18"/>
                <w:szCs w:val="18"/>
              </w:rPr>
            </w:pPr>
            <w:r w:rsidRPr="00762CC9">
              <w:rPr>
                <w:rFonts w:ascii="Arial" w:hAnsi="Arial" w:cs="Arial"/>
                <w:color w:val="000000" w:themeColor="text1"/>
                <w:sz w:val="18"/>
                <w:szCs w:val="18"/>
              </w:rPr>
              <w:t>1</w:t>
            </w:r>
            <w:r w:rsidRPr="00762CC9" w:rsidR="008F0C6D">
              <w:rPr>
                <w:rFonts w:ascii="Arial" w:hAnsi="Arial" w:cs="Arial"/>
                <w:color w:val="000000" w:themeColor="text1"/>
                <w:sz w:val="18"/>
                <w:szCs w:val="18"/>
              </w:rPr>
              <w:t>56,114</w:t>
            </w:r>
          </w:p>
        </w:tc>
      </w:tr>
    </w:tbl>
    <w:p w:rsidRPr="00762CC9" w:rsidR="00FA2F70" w:rsidP="00FA2F70" w:rsidRDefault="00FA2F70" w14:paraId="5DAB266D" w14:textId="77777777">
      <w:pPr>
        <w:spacing w:after="0" w:line="240" w:lineRule="auto"/>
        <w:rPr>
          <w:rFonts w:ascii="Times New Roman" w:hAnsi="Times New Roman"/>
          <w:color w:val="000000" w:themeColor="text1"/>
          <w:sz w:val="24"/>
          <w:szCs w:val="24"/>
        </w:rPr>
      </w:pPr>
    </w:p>
    <w:p w:rsidRPr="00762CC9" w:rsidR="003A0EE2" w:rsidP="003A0EE2" w:rsidRDefault="003A0EE2" w14:paraId="09EE1412" w14:textId="77777777">
      <w:pPr>
        <w:spacing w:after="0" w:line="240" w:lineRule="auto"/>
        <w:ind w:left="360" w:hanging="360"/>
        <w:rPr>
          <w:rFonts w:ascii="Times New Roman" w:hAnsi="Times New Roman" w:eastAsia="MS Mincho" w:cs="Courier New"/>
          <w:color w:val="000000" w:themeColor="text1"/>
          <w:sz w:val="24"/>
          <w:szCs w:val="20"/>
        </w:rPr>
      </w:pPr>
      <w:proofErr w:type="gramStart"/>
      <w:r w:rsidRPr="00762CC9">
        <w:rPr>
          <w:rFonts w:ascii="Times New Roman" w:hAnsi="Times New Roman" w:eastAsia="MS Mincho" w:cs="Courier New"/>
          <w:color w:val="000000" w:themeColor="text1"/>
          <w:sz w:val="24"/>
          <w:szCs w:val="20"/>
        </w:rPr>
        <w:t>The majority of</w:t>
      </w:r>
      <w:proofErr w:type="gramEnd"/>
      <w:r w:rsidRPr="00762CC9">
        <w:rPr>
          <w:rFonts w:ascii="Times New Roman" w:hAnsi="Times New Roman" w:eastAsia="MS Mincho" w:cs="Courier New"/>
          <w:color w:val="000000" w:themeColor="text1"/>
          <w:sz w:val="24"/>
          <w:szCs w:val="20"/>
        </w:rPr>
        <w:t xml:space="preserve"> the work involved in reviewing the Section 811 PRA applications is performed </w:t>
      </w:r>
    </w:p>
    <w:p w:rsidRPr="00762CC9" w:rsidR="003A0EE2" w:rsidP="003A0EE2" w:rsidRDefault="003A0EE2" w14:paraId="0D849C4E"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by HUD Headquarters staff</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The significant costs attributable to the promulgation of the </w:t>
      </w:r>
    </w:p>
    <w:p w:rsidRPr="00762CC9" w:rsidR="003A0EE2" w:rsidP="003A0EE2" w:rsidRDefault="003A0EE2" w14:paraId="336D24CB"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application requirements will be the cost involved in reviewing the information submitted by the </w:t>
      </w:r>
    </w:p>
    <w:p w:rsidRPr="00762CC9" w:rsidR="003A0EE2" w:rsidP="003A0EE2" w:rsidRDefault="003A0EE2" w14:paraId="7D294C05"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applicants, negotiating and awarding the grant funds</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The average cost to the Federal </w:t>
      </w:r>
    </w:p>
    <w:p w:rsidRPr="00762CC9" w:rsidR="003A0EE2" w:rsidP="003A0EE2" w:rsidRDefault="003A0EE2" w14:paraId="34565893"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Government is based on an hourly rate of $36.75, at </w:t>
      </w:r>
      <w:r w:rsidRPr="00762CC9" w:rsidR="00414F18">
        <w:rPr>
          <w:rFonts w:ascii="Times New Roman" w:hAnsi="Times New Roman" w:eastAsia="MS Mincho" w:cs="Courier New"/>
          <w:color w:val="000000" w:themeColor="text1"/>
          <w:sz w:val="24"/>
          <w:szCs w:val="20"/>
        </w:rPr>
        <w:t xml:space="preserve">36.74 </w:t>
      </w:r>
      <w:r w:rsidRPr="00762CC9">
        <w:rPr>
          <w:rFonts w:ascii="Times New Roman" w:hAnsi="Times New Roman" w:eastAsia="MS Mincho" w:cs="Courier New"/>
          <w:color w:val="000000" w:themeColor="text1"/>
          <w:sz w:val="24"/>
          <w:szCs w:val="20"/>
        </w:rPr>
        <w:t>hours per application (</w:t>
      </w:r>
      <w:r w:rsidRPr="00762CC9" w:rsidR="00DD2E38">
        <w:rPr>
          <w:rFonts w:ascii="Times New Roman" w:hAnsi="Times New Roman" w:eastAsia="MS Mincho" w:cs="Courier New"/>
          <w:color w:val="000000" w:themeColor="text1"/>
          <w:sz w:val="24"/>
          <w:szCs w:val="20"/>
        </w:rPr>
        <w:t>30</w:t>
      </w:r>
      <w:r w:rsidRPr="00762CC9">
        <w:rPr>
          <w:rFonts w:ascii="Times New Roman" w:hAnsi="Times New Roman" w:eastAsia="MS Mincho" w:cs="Courier New"/>
          <w:color w:val="000000" w:themeColor="text1"/>
          <w:sz w:val="24"/>
          <w:szCs w:val="20"/>
        </w:rPr>
        <w:t xml:space="preserve">) </w:t>
      </w:r>
    </w:p>
    <w:p w:rsidRPr="00762CC9" w:rsidR="003A0EE2" w:rsidP="003A0EE2" w:rsidRDefault="003A0EE2" w14:paraId="6F90C382"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representing a GS-13, step-1 (based on the 2019 General Schedule Base)</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The annual rate is </w:t>
      </w:r>
    </w:p>
    <w:p w:rsidRPr="00762CC9" w:rsidR="003A0EE2" w:rsidP="003A0EE2" w:rsidRDefault="003A0EE2" w14:paraId="1FA956B4"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w:t>
      </w:r>
      <w:r w:rsidRPr="00762CC9" w:rsidR="001F5B8B">
        <w:rPr>
          <w:rFonts w:ascii="Times New Roman" w:hAnsi="Times New Roman" w:eastAsia="MS Mincho" w:cs="Courier New"/>
          <w:color w:val="000000" w:themeColor="text1"/>
          <w:sz w:val="24"/>
          <w:szCs w:val="20"/>
        </w:rPr>
        <w:t xml:space="preserve">76,687. </w:t>
      </w:r>
      <w:r w:rsidRPr="00762CC9">
        <w:rPr>
          <w:rFonts w:ascii="Times New Roman" w:hAnsi="Times New Roman" w:eastAsia="MS Mincho" w:cs="Courier New"/>
          <w:color w:val="000000" w:themeColor="text1"/>
          <w:sz w:val="24"/>
          <w:szCs w:val="20"/>
        </w:rPr>
        <w:t>Total: $</w:t>
      </w:r>
      <w:r w:rsidRPr="00762CC9" w:rsidR="00414F18">
        <w:rPr>
          <w:rFonts w:ascii="Times New Roman" w:hAnsi="Times New Roman" w:eastAsia="MS Mincho" w:cs="Courier New"/>
          <w:color w:val="000000" w:themeColor="text1"/>
          <w:sz w:val="24"/>
          <w:szCs w:val="20"/>
        </w:rPr>
        <w:t>1,350.20</w:t>
      </w:r>
    </w:p>
    <w:p w:rsidRPr="00762CC9" w:rsidR="00D35DDB" w:rsidP="00FA2F70" w:rsidRDefault="00D35DDB" w14:paraId="3E6FF043" w14:textId="77777777">
      <w:pPr>
        <w:spacing w:after="0" w:line="240" w:lineRule="auto"/>
        <w:rPr>
          <w:rFonts w:ascii="Times New Roman" w:hAnsi="Times New Roman"/>
          <w:color w:val="000000" w:themeColor="text1"/>
          <w:sz w:val="24"/>
          <w:szCs w:val="24"/>
        </w:rPr>
      </w:pPr>
    </w:p>
    <w:p w:rsidRPr="00762CC9" w:rsidR="00D35DDB" w:rsidP="00FA2F70" w:rsidRDefault="00D35DDB" w14:paraId="67610F02" w14:textId="77777777">
      <w:pPr>
        <w:spacing w:after="0" w:line="240" w:lineRule="auto"/>
        <w:rPr>
          <w:rFonts w:ascii="Times New Roman" w:hAnsi="Times New Roman"/>
          <w:color w:val="000000" w:themeColor="text1"/>
          <w:sz w:val="24"/>
          <w:szCs w:val="24"/>
        </w:rPr>
      </w:pPr>
    </w:p>
    <w:p w:rsidRPr="00762CC9" w:rsidR="00D35DDB" w:rsidP="00FA2F70" w:rsidRDefault="00D35DDB" w14:paraId="1189A34F"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391A3DCB" w14:textId="77777777">
        <w:tc>
          <w:tcPr>
            <w:tcW w:w="9360" w:type="dxa"/>
            <w:shd w:val="clear" w:color="auto" w:fill="auto"/>
          </w:tcPr>
          <w:p w:rsidRPr="00762CC9" w:rsidR="0021340A" w:rsidP="001B4FB5" w:rsidRDefault="0021340A" w14:paraId="684AD088"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15. Explain the reasons for any program changes or adjustments reported in Items 13 or 14 of the OMB Form 83-I. </w:t>
            </w:r>
          </w:p>
          <w:p w:rsidRPr="00762CC9" w:rsidR="00560E48" w:rsidP="001B4FB5" w:rsidRDefault="00560E48" w14:paraId="192EF283" w14:textId="77777777">
            <w:pPr>
              <w:spacing w:after="0" w:line="240" w:lineRule="auto"/>
              <w:rPr>
                <w:rFonts w:ascii="Times New Roman" w:hAnsi="Times New Roman"/>
                <w:color w:val="000000" w:themeColor="text1"/>
                <w:sz w:val="24"/>
                <w:szCs w:val="24"/>
              </w:rPr>
            </w:pPr>
          </w:p>
        </w:tc>
      </w:tr>
      <w:tr w:rsidRPr="00762CC9" w:rsidR="008968ED" w:rsidTr="00D35DDB" w14:paraId="6013554D" w14:textId="77777777">
        <w:tc>
          <w:tcPr>
            <w:tcW w:w="9360" w:type="dxa"/>
            <w:shd w:val="clear" w:color="auto" w:fill="auto"/>
          </w:tcPr>
          <w:p w:rsidRPr="00762CC9" w:rsidR="001F5B8B" w:rsidP="00D224F7" w:rsidRDefault="00D224F7" w14:paraId="03E76B7D" w14:textId="7C887DD6">
            <w:pPr>
              <w:spacing w:after="0" w:line="240" w:lineRule="auto"/>
              <w:rPr>
                <w:rFonts w:ascii="Times New Roman" w:hAnsi="Times New Roman"/>
                <w:bCs/>
                <w:color w:val="000000" w:themeColor="text1"/>
                <w:sz w:val="24"/>
                <w:szCs w:val="24"/>
              </w:rPr>
            </w:pPr>
            <w:r w:rsidRPr="00D224F7">
              <w:rPr>
                <w:rFonts w:ascii="Times New Roman" w:hAnsi="Times New Roman" w:eastAsia="MS Mincho"/>
                <w:color w:val="000000" w:themeColor="text1"/>
                <w:sz w:val="24"/>
                <w:szCs w:val="20"/>
              </w:rPr>
              <w:t>Reinstatement, with change, of previously approved collection for which approval has expired</w:t>
            </w:r>
            <w:proofErr w:type="gramStart"/>
            <w:r w:rsidRPr="00762CC9" w:rsidR="001F5B8B">
              <w:rPr>
                <w:rFonts w:ascii="Times New Roman" w:hAnsi="Times New Roman" w:eastAsia="MS Mincho"/>
                <w:color w:val="000000" w:themeColor="text1"/>
                <w:sz w:val="24"/>
                <w:szCs w:val="20"/>
              </w:rPr>
              <w:t xml:space="preserve">.  </w:t>
            </w:r>
            <w:proofErr w:type="gramEnd"/>
            <w:r w:rsidRPr="00762CC9" w:rsidR="001F5B8B">
              <w:rPr>
                <w:rFonts w:ascii="Times New Roman" w:hAnsi="Times New Roman" w:eastAsia="MS Mincho"/>
                <w:color w:val="000000" w:themeColor="text1"/>
                <w:sz w:val="24"/>
                <w:szCs w:val="20"/>
              </w:rPr>
              <w:t>Th</w:t>
            </w:r>
            <w:r>
              <w:rPr>
                <w:rFonts w:ascii="Times New Roman" w:hAnsi="Times New Roman" w:eastAsia="MS Mincho"/>
                <w:color w:val="000000" w:themeColor="text1"/>
                <w:sz w:val="24"/>
                <w:szCs w:val="20"/>
              </w:rPr>
              <w:t>e</w:t>
            </w:r>
            <w:r w:rsidRPr="00762CC9" w:rsidR="001F5B8B">
              <w:rPr>
                <w:rFonts w:ascii="Times New Roman" w:hAnsi="Times New Roman" w:eastAsia="MS Mincho"/>
                <w:color w:val="000000" w:themeColor="text1"/>
                <w:sz w:val="24"/>
                <w:szCs w:val="20"/>
              </w:rPr>
              <w:t xml:space="preserve"> c</w:t>
            </w:r>
            <w:r>
              <w:rPr>
                <w:rFonts w:ascii="Times New Roman" w:hAnsi="Times New Roman" w:eastAsia="MS Mincho"/>
                <w:color w:val="000000" w:themeColor="text1"/>
                <w:sz w:val="24"/>
                <w:szCs w:val="20"/>
              </w:rPr>
              <w:t xml:space="preserve">hanges </w:t>
            </w:r>
            <w:proofErr w:type="gramStart"/>
            <w:r w:rsidRPr="00762CC9" w:rsidR="001F5B8B">
              <w:rPr>
                <w:rFonts w:ascii="Times New Roman" w:hAnsi="Times New Roman" w:eastAsia="MS Mincho"/>
                <w:color w:val="000000" w:themeColor="text1"/>
                <w:sz w:val="24"/>
                <w:szCs w:val="20"/>
              </w:rPr>
              <w:t>address</w:t>
            </w:r>
            <w:r>
              <w:rPr>
                <w:rFonts w:ascii="Times New Roman" w:hAnsi="Times New Roman" w:eastAsia="MS Mincho"/>
                <w:color w:val="000000" w:themeColor="text1"/>
                <w:sz w:val="24"/>
                <w:szCs w:val="20"/>
              </w:rPr>
              <w:t>es</w:t>
            </w:r>
            <w:proofErr w:type="gramEnd"/>
            <w:r w:rsidRPr="00762CC9" w:rsidR="001F5B8B">
              <w:rPr>
                <w:rFonts w:ascii="Times New Roman" w:hAnsi="Times New Roman" w:eastAsia="MS Mincho"/>
                <w:color w:val="000000" w:themeColor="text1"/>
                <w:sz w:val="24"/>
                <w:szCs w:val="20"/>
              </w:rPr>
              <w:t xml:space="preserve"> the urgent need to provide housing for those extremely low</w:t>
            </w:r>
            <w:r w:rsidRPr="00762CC9" w:rsidR="00126AD1">
              <w:rPr>
                <w:rFonts w:ascii="Times New Roman" w:hAnsi="Times New Roman" w:eastAsia="MS Mincho"/>
                <w:color w:val="000000" w:themeColor="text1"/>
                <w:sz w:val="24"/>
                <w:szCs w:val="20"/>
              </w:rPr>
              <w:t>-</w:t>
            </w:r>
            <w:r w:rsidRPr="00762CC9" w:rsidR="001F5B8B">
              <w:rPr>
                <w:rFonts w:ascii="Times New Roman" w:hAnsi="Times New Roman" w:eastAsia="MS Mincho"/>
                <w:color w:val="000000" w:themeColor="text1"/>
                <w:sz w:val="24"/>
                <w:szCs w:val="20"/>
              </w:rPr>
              <w:t xml:space="preserve">income persons with disabilities who are in institutions and/or are homeless or at risk of institutionalization and homelessness. </w:t>
            </w:r>
            <w:r w:rsidRPr="00762CC9" w:rsidR="00DD2E38">
              <w:rPr>
                <w:rFonts w:ascii="Times New Roman" w:hAnsi="Times New Roman" w:eastAsia="MS Mincho"/>
                <w:color w:val="000000" w:themeColor="text1"/>
                <w:sz w:val="24"/>
                <w:szCs w:val="20"/>
              </w:rPr>
              <w:t>The reduction of the number of required forms, number of respondents, and burden hours has decreased the total annual cost to the Federal Government</w:t>
            </w:r>
            <w:proofErr w:type="gramStart"/>
            <w:r w:rsidRPr="00762CC9" w:rsidR="00DD2E38">
              <w:rPr>
                <w:rFonts w:ascii="Times New Roman" w:hAnsi="Times New Roman" w:eastAsia="MS Mincho"/>
                <w:color w:val="000000" w:themeColor="text1"/>
                <w:sz w:val="24"/>
                <w:szCs w:val="20"/>
              </w:rPr>
              <w:t>.</w:t>
            </w:r>
            <w:r w:rsidRPr="00762CC9" w:rsidR="001F5B8B">
              <w:rPr>
                <w:rFonts w:ascii="Times New Roman" w:hAnsi="Times New Roman" w:eastAsia="MS Mincho"/>
                <w:color w:val="000000" w:themeColor="text1"/>
                <w:sz w:val="24"/>
                <w:szCs w:val="20"/>
              </w:rPr>
              <w:t xml:space="preserve">  </w:t>
            </w:r>
            <w:proofErr w:type="gramEnd"/>
          </w:p>
        </w:tc>
      </w:tr>
    </w:tbl>
    <w:p w:rsidRPr="00762CC9" w:rsidR="00FA2F70" w:rsidP="00FA2F70" w:rsidRDefault="00FA2F70" w14:paraId="60BC6255"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5A80838D" w14:textId="77777777">
        <w:tc>
          <w:tcPr>
            <w:tcW w:w="9360" w:type="dxa"/>
            <w:shd w:val="clear" w:color="auto" w:fill="auto"/>
          </w:tcPr>
          <w:p w:rsidRPr="00762CC9" w:rsidR="0021340A" w:rsidP="001B4FB5" w:rsidRDefault="0021340A" w14:paraId="36153E48"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w:t>
            </w:r>
            <w:r w:rsidRPr="00762CC9">
              <w:rPr>
                <w:rFonts w:ascii="Times New Roman" w:hAnsi="Times New Roman"/>
                <w:b/>
                <w:color w:val="000000" w:themeColor="text1"/>
                <w:sz w:val="24"/>
                <w:szCs w:val="24"/>
              </w:rPr>
              <w:lastRenderedPageBreak/>
              <w:t xml:space="preserve">of the collection of information, completion of report, publication dates, and other actions. </w:t>
            </w:r>
          </w:p>
          <w:p w:rsidRPr="00762CC9" w:rsidR="0021340A" w:rsidP="001B4FB5" w:rsidRDefault="0021340A" w14:paraId="68031D1B" w14:textId="77777777">
            <w:pPr>
              <w:spacing w:after="0" w:line="240" w:lineRule="auto"/>
              <w:rPr>
                <w:rFonts w:ascii="Times New Roman" w:hAnsi="Times New Roman"/>
                <w:b/>
                <w:color w:val="000000" w:themeColor="text1"/>
                <w:sz w:val="24"/>
                <w:szCs w:val="24"/>
              </w:rPr>
            </w:pPr>
          </w:p>
        </w:tc>
      </w:tr>
      <w:tr w:rsidRPr="00762CC9" w:rsidR="008968ED" w:rsidTr="00D35DDB" w14:paraId="39CB3795" w14:textId="77777777">
        <w:tc>
          <w:tcPr>
            <w:tcW w:w="9360" w:type="dxa"/>
            <w:shd w:val="clear" w:color="auto" w:fill="auto"/>
          </w:tcPr>
          <w:p w:rsidRPr="00762CC9" w:rsidR="00DD2E38" w:rsidP="00DD2E38" w:rsidRDefault="00DD2E38" w14:paraId="0F43A3E6"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lastRenderedPageBreak/>
              <w:t>Collection of this information will not be published</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Each application will be maintained with </w:t>
            </w:r>
          </w:p>
          <w:p w:rsidRPr="00762CC9" w:rsidR="00DD2E38" w:rsidP="00DD2E38" w:rsidRDefault="00DD2E38" w14:paraId="30F362B5"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the HUD program Office in individual project files</w:t>
            </w:r>
            <w:proofErr w:type="gramStart"/>
            <w:r w:rsidRPr="00762CC9">
              <w:rPr>
                <w:rFonts w:ascii="Times New Roman" w:hAnsi="Times New Roman" w:eastAsia="MS Mincho" w:cs="Courier New"/>
                <w:color w:val="000000" w:themeColor="text1"/>
                <w:sz w:val="24"/>
                <w:szCs w:val="20"/>
              </w:rPr>
              <w:t xml:space="preserve">.  </w:t>
            </w:r>
            <w:proofErr w:type="gramEnd"/>
            <w:r w:rsidRPr="00762CC9">
              <w:rPr>
                <w:rFonts w:ascii="Times New Roman" w:hAnsi="Times New Roman" w:eastAsia="MS Mincho" w:cs="Courier New"/>
                <w:color w:val="000000" w:themeColor="text1"/>
                <w:sz w:val="24"/>
                <w:szCs w:val="20"/>
              </w:rPr>
              <w:t xml:space="preserve">However, a list of awardees will be made </w:t>
            </w:r>
          </w:p>
          <w:p w:rsidRPr="00762CC9" w:rsidR="00DD2E38" w:rsidP="00DD2E38" w:rsidRDefault="00DD2E38" w14:paraId="041E7D6B"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 xml:space="preserve">public, usually by </w:t>
            </w:r>
            <w:r w:rsidRPr="00762CC9">
              <w:rPr>
                <w:rFonts w:ascii="Times New Roman" w:hAnsi="Times New Roman" w:eastAsia="MS Mincho" w:cs="Courier New"/>
                <w:i/>
                <w:iCs/>
                <w:color w:val="000000" w:themeColor="text1"/>
                <w:sz w:val="24"/>
                <w:szCs w:val="20"/>
              </w:rPr>
              <w:t xml:space="preserve">Federal Register </w:t>
            </w:r>
            <w:r w:rsidRPr="00762CC9">
              <w:rPr>
                <w:rFonts w:ascii="Times New Roman" w:hAnsi="Times New Roman" w:eastAsia="MS Mincho" w:cs="Courier New"/>
                <w:color w:val="000000" w:themeColor="text1"/>
                <w:sz w:val="24"/>
                <w:szCs w:val="20"/>
              </w:rPr>
              <w:t>publication, upon completion of the selection process.</w:t>
            </w:r>
          </w:p>
          <w:p w:rsidRPr="00762CC9" w:rsidR="0021340A" w:rsidP="001B4FB5" w:rsidRDefault="0021340A" w14:paraId="20BE262C" w14:textId="77777777">
            <w:pPr>
              <w:spacing w:after="0" w:line="240" w:lineRule="auto"/>
              <w:rPr>
                <w:rFonts w:ascii="Times New Roman" w:hAnsi="Times New Roman"/>
                <w:b/>
                <w:color w:val="000000" w:themeColor="text1"/>
                <w:sz w:val="24"/>
                <w:szCs w:val="24"/>
              </w:rPr>
            </w:pPr>
          </w:p>
        </w:tc>
      </w:tr>
    </w:tbl>
    <w:p w:rsidRPr="00762CC9" w:rsidR="00FA2F70" w:rsidP="00FA2F70" w:rsidRDefault="00FA2F70" w14:paraId="4420218D"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68B4C45E" w14:textId="77777777">
        <w:tc>
          <w:tcPr>
            <w:tcW w:w="9360" w:type="dxa"/>
            <w:shd w:val="clear" w:color="auto" w:fill="auto"/>
          </w:tcPr>
          <w:p w:rsidRPr="00762CC9" w:rsidR="0021340A" w:rsidP="001B4FB5" w:rsidRDefault="0021340A" w14:paraId="1FB3F092"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Pr="00762CC9" w:rsidR="0021340A" w:rsidP="001B4FB5" w:rsidRDefault="0021340A" w14:paraId="5520DC6A" w14:textId="77777777">
            <w:pPr>
              <w:spacing w:after="0" w:line="240" w:lineRule="auto"/>
              <w:rPr>
                <w:rFonts w:ascii="Times New Roman" w:hAnsi="Times New Roman"/>
                <w:color w:val="000000" w:themeColor="text1"/>
                <w:sz w:val="24"/>
                <w:szCs w:val="24"/>
              </w:rPr>
            </w:pPr>
          </w:p>
        </w:tc>
      </w:tr>
      <w:tr w:rsidRPr="00762CC9" w:rsidR="008968ED" w:rsidTr="00D35DDB" w14:paraId="44123940" w14:textId="77777777">
        <w:tc>
          <w:tcPr>
            <w:tcW w:w="9360" w:type="dxa"/>
            <w:shd w:val="clear" w:color="auto" w:fill="auto"/>
          </w:tcPr>
          <w:p w:rsidRPr="00762CC9" w:rsidR="00DD2E38" w:rsidP="00DD2E38" w:rsidRDefault="00DD2E38" w14:paraId="79DE3FA2" w14:textId="77777777">
            <w:pPr>
              <w:spacing w:after="0" w:line="240" w:lineRule="auto"/>
              <w:ind w:left="360" w:hanging="360"/>
              <w:rPr>
                <w:rFonts w:ascii="Times New Roman" w:hAnsi="Times New Roman" w:eastAsia="MS Mincho" w:cs="Courier New"/>
                <w:color w:val="000000" w:themeColor="text1"/>
                <w:sz w:val="24"/>
                <w:szCs w:val="20"/>
              </w:rPr>
            </w:pPr>
            <w:r w:rsidRPr="00762CC9">
              <w:rPr>
                <w:rFonts w:ascii="Times New Roman" w:hAnsi="Times New Roman" w:eastAsia="MS Mincho" w:cs="Courier New"/>
                <w:color w:val="000000" w:themeColor="text1"/>
                <w:sz w:val="24"/>
                <w:szCs w:val="20"/>
              </w:rPr>
              <w:t>HUD is not seeking approval to avoid displaying the OMB expiration date.</w:t>
            </w:r>
          </w:p>
          <w:p w:rsidRPr="00762CC9" w:rsidR="0021340A" w:rsidP="001B4FB5" w:rsidRDefault="0021340A" w14:paraId="5E3C22DC" w14:textId="77777777">
            <w:pPr>
              <w:spacing w:after="0" w:line="240" w:lineRule="auto"/>
              <w:rPr>
                <w:rFonts w:ascii="Times New Roman" w:hAnsi="Times New Roman"/>
                <w:color w:val="000000" w:themeColor="text1"/>
                <w:sz w:val="24"/>
                <w:szCs w:val="24"/>
              </w:rPr>
            </w:pPr>
          </w:p>
        </w:tc>
      </w:tr>
    </w:tbl>
    <w:p w:rsidRPr="00762CC9" w:rsidR="00FA2F70" w:rsidP="00FA2F70" w:rsidRDefault="00FA2F70" w14:paraId="0A2B123D"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762CC9" w:rsidR="008968ED" w:rsidTr="00D35DDB" w14:paraId="4DBCEC51" w14:textId="77777777">
        <w:tc>
          <w:tcPr>
            <w:tcW w:w="9360" w:type="dxa"/>
            <w:shd w:val="clear" w:color="auto" w:fill="auto"/>
          </w:tcPr>
          <w:p w:rsidRPr="00762CC9" w:rsidR="0021340A" w:rsidP="001B4FB5" w:rsidRDefault="0021340A" w14:paraId="3167544D" w14:textId="77777777">
            <w:pPr>
              <w:spacing w:after="0" w:line="240" w:lineRule="auto"/>
              <w:rPr>
                <w:rFonts w:ascii="Times New Roman" w:hAnsi="Times New Roman"/>
                <w:b/>
                <w:color w:val="000000" w:themeColor="text1"/>
                <w:sz w:val="24"/>
                <w:szCs w:val="24"/>
              </w:rPr>
            </w:pPr>
            <w:r w:rsidRPr="00762CC9">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Pr="00762CC9" w:rsidR="0021340A" w:rsidP="001B4FB5" w:rsidRDefault="0021340A" w14:paraId="6419D2E8" w14:textId="77777777">
            <w:pPr>
              <w:spacing w:after="0" w:line="240" w:lineRule="auto"/>
              <w:rPr>
                <w:rFonts w:ascii="Times New Roman" w:hAnsi="Times New Roman"/>
                <w:b/>
                <w:color w:val="000000" w:themeColor="text1"/>
                <w:sz w:val="24"/>
                <w:szCs w:val="24"/>
              </w:rPr>
            </w:pPr>
          </w:p>
        </w:tc>
      </w:tr>
      <w:tr w:rsidRPr="00762CC9" w:rsidR="008968ED" w:rsidTr="00D35DDB" w14:paraId="400DDA17" w14:textId="77777777">
        <w:tc>
          <w:tcPr>
            <w:tcW w:w="9360" w:type="dxa"/>
            <w:shd w:val="clear" w:color="auto" w:fill="auto"/>
          </w:tcPr>
          <w:p w:rsidRPr="00762CC9" w:rsidR="0021340A" w:rsidP="001B4FB5" w:rsidRDefault="0021340A" w14:paraId="63C2B7B0" w14:textId="77777777">
            <w:pPr>
              <w:spacing w:after="0" w:line="240" w:lineRule="auto"/>
              <w:rPr>
                <w:rFonts w:ascii="Times New Roman" w:hAnsi="Times New Roman"/>
                <w:b/>
                <w:color w:val="000000" w:themeColor="text1"/>
                <w:sz w:val="24"/>
                <w:szCs w:val="24"/>
              </w:rPr>
            </w:pPr>
          </w:p>
        </w:tc>
      </w:tr>
    </w:tbl>
    <w:p w:rsidRPr="00762CC9" w:rsidR="00DD2E38" w:rsidP="00DD2E38" w:rsidRDefault="00DD2E38" w14:paraId="6E74878F" w14:textId="77777777">
      <w:pPr>
        <w:overflowPunct w:val="0"/>
        <w:autoSpaceDE w:val="0"/>
        <w:autoSpaceDN w:val="0"/>
        <w:adjustRightInd w:val="0"/>
        <w:spacing w:after="0" w:line="240" w:lineRule="auto"/>
        <w:ind w:left="360" w:hanging="360"/>
        <w:textAlignment w:val="baseline"/>
        <w:rPr>
          <w:rFonts w:ascii="Times New Roman" w:hAnsi="Times New Roman" w:eastAsia="MS Mincho"/>
          <w:color w:val="000000" w:themeColor="text1"/>
          <w:sz w:val="24"/>
          <w:szCs w:val="20"/>
        </w:rPr>
      </w:pPr>
      <w:r w:rsidRPr="00762CC9">
        <w:rPr>
          <w:rFonts w:ascii="Times New Roman" w:hAnsi="Times New Roman" w:eastAsia="MS Mincho"/>
          <w:color w:val="000000" w:themeColor="text1"/>
          <w:sz w:val="24"/>
          <w:szCs w:val="20"/>
        </w:rPr>
        <w:t>There are no exceptions to the certification statement identified in Item 19 of the OMB 83-I.</w:t>
      </w:r>
    </w:p>
    <w:p w:rsidRPr="00762CC9" w:rsidR="00075224" w:rsidP="00FA2F70" w:rsidRDefault="00075224" w14:paraId="078165AD" w14:textId="77777777">
      <w:pPr>
        <w:spacing w:after="0" w:line="240" w:lineRule="auto"/>
        <w:rPr>
          <w:rFonts w:ascii="Times New Roman" w:hAnsi="Times New Roman"/>
          <w:color w:val="000000" w:themeColor="text1"/>
          <w:sz w:val="24"/>
          <w:szCs w:val="24"/>
        </w:rPr>
      </w:pPr>
    </w:p>
    <w:p w:rsidRPr="00762CC9" w:rsidR="00FA2F70" w:rsidP="00FA2F70" w:rsidRDefault="00FA2F70" w14:paraId="0A26408B" w14:textId="77777777">
      <w:pPr>
        <w:spacing w:after="0" w:line="240" w:lineRule="auto"/>
        <w:rPr>
          <w:rFonts w:ascii="Times New Roman" w:hAnsi="Times New Roman"/>
          <w:color w:val="000000" w:themeColor="text1"/>
          <w:sz w:val="24"/>
          <w:szCs w:val="24"/>
        </w:rPr>
      </w:pPr>
    </w:p>
    <w:p w:rsidRPr="00762CC9" w:rsidR="00075224" w:rsidP="00FA2F70" w:rsidRDefault="00075224" w14:paraId="7886CBCA" w14:textId="77777777">
      <w:pPr>
        <w:spacing w:after="0" w:line="240" w:lineRule="auto"/>
        <w:rPr>
          <w:rFonts w:ascii="Times New Roman" w:hAnsi="Times New Roman"/>
          <w:b/>
          <w:bCs/>
          <w:color w:val="000000" w:themeColor="text1"/>
          <w:sz w:val="24"/>
          <w:szCs w:val="24"/>
        </w:rPr>
      </w:pPr>
      <w:r w:rsidRPr="00762CC9">
        <w:rPr>
          <w:rFonts w:ascii="Times New Roman" w:hAnsi="Times New Roman"/>
          <w:b/>
          <w:bCs/>
          <w:color w:val="000000" w:themeColor="text1"/>
          <w:sz w:val="24"/>
          <w:szCs w:val="24"/>
        </w:rPr>
        <w:t xml:space="preserve">B. Collections of Information Employing Statistical Methods </w:t>
      </w:r>
    </w:p>
    <w:p w:rsidRPr="00762CC9" w:rsidR="00FA2F70" w:rsidP="00FA2F70" w:rsidRDefault="00FA2F70" w14:paraId="66450688" w14:textId="77777777">
      <w:pPr>
        <w:spacing w:after="0" w:line="240" w:lineRule="auto"/>
        <w:rPr>
          <w:rFonts w:ascii="Times New Roman" w:hAnsi="Times New Roman"/>
          <w:color w:val="000000" w:themeColor="text1"/>
          <w:sz w:val="24"/>
          <w:szCs w:val="24"/>
        </w:rPr>
      </w:pPr>
    </w:p>
    <w:p w:rsidRPr="00762CC9" w:rsidR="00075224" w:rsidP="00FA2F70" w:rsidRDefault="00075224" w14:paraId="01187CE1"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762CC9">
        <w:rPr>
          <w:rFonts w:ascii="Times New Roman" w:hAnsi="Times New Roman"/>
          <w:color w:val="000000" w:themeColor="text1"/>
          <w:sz w:val="24"/>
          <w:szCs w:val="24"/>
        </w:rPr>
        <w:t>extend</w:t>
      </w:r>
      <w:proofErr w:type="spellEnd"/>
      <w:r w:rsidRPr="00762CC9">
        <w:rPr>
          <w:rFonts w:ascii="Times New Roman" w:hAnsi="Times New Roman"/>
          <w:color w:val="000000" w:themeColor="text1"/>
          <w:sz w:val="24"/>
          <w:szCs w:val="24"/>
        </w:rPr>
        <w:t xml:space="preserve"> that it applies to the methods proposed: </w:t>
      </w:r>
    </w:p>
    <w:p w:rsidRPr="00762CC9" w:rsidR="00FA2F70" w:rsidP="00FA2F70" w:rsidRDefault="00FA2F70" w14:paraId="237B85AD" w14:textId="77777777">
      <w:pPr>
        <w:spacing w:after="0" w:line="240" w:lineRule="auto"/>
        <w:rPr>
          <w:rFonts w:ascii="Times New Roman" w:hAnsi="Times New Roman"/>
          <w:color w:val="000000" w:themeColor="text1"/>
          <w:sz w:val="24"/>
          <w:szCs w:val="24"/>
        </w:rPr>
      </w:pPr>
    </w:p>
    <w:p w:rsidRPr="00762CC9" w:rsidR="00075224" w:rsidP="00FA2F70" w:rsidRDefault="00075224" w14:paraId="54C411B1"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762CC9">
        <w:rPr>
          <w:rFonts w:ascii="Times New Roman" w:hAnsi="Times New Roman"/>
          <w:color w:val="000000" w:themeColor="text1"/>
          <w:sz w:val="24"/>
          <w:szCs w:val="24"/>
        </w:rPr>
        <w:t>collection as a whole</w:t>
      </w:r>
      <w:proofErr w:type="gramEnd"/>
      <w:r w:rsidRPr="00762CC9">
        <w:rPr>
          <w:rFonts w:ascii="Times New Roman" w:hAnsi="Times New Roman"/>
          <w:color w:val="000000" w:themeColor="text1"/>
          <w:sz w:val="24"/>
          <w:szCs w:val="24"/>
        </w:rPr>
        <w:t xml:space="preserve">. If the collection had been conducted previously, include the actual response rate achieved during the last collection. </w:t>
      </w:r>
    </w:p>
    <w:p w:rsidRPr="00762CC9" w:rsidR="00FA2F70" w:rsidP="00FA2F70" w:rsidRDefault="00FA2F70" w14:paraId="00E7A276" w14:textId="77777777">
      <w:pPr>
        <w:spacing w:after="0" w:line="240" w:lineRule="auto"/>
        <w:rPr>
          <w:rFonts w:ascii="Times New Roman" w:hAnsi="Times New Roman"/>
          <w:color w:val="000000" w:themeColor="text1"/>
          <w:sz w:val="24"/>
          <w:szCs w:val="24"/>
        </w:rPr>
      </w:pPr>
    </w:p>
    <w:p w:rsidRPr="00762CC9" w:rsidR="00075224" w:rsidP="00FA2F70" w:rsidRDefault="00075224" w14:paraId="51503AEB"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2. Describe the procedures for the collection of information including: </w:t>
      </w:r>
    </w:p>
    <w:p w:rsidRPr="00762CC9" w:rsidR="00075224" w:rsidP="00FA2F70" w:rsidRDefault="00075224" w14:paraId="0DF1301A"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Statistical methodology for stratification and sample selection, </w:t>
      </w:r>
    </w:p>
    <w:p w:rsidRPr="00762CC9" w:rsidR="00075224" w:rsidP="00FA2F70" w:rsidRDefault="00075224" w14:paraId="78CF1582"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Estimation procedure, </w:t>
      </w:r>
    </w:p>
    <w:p w:rsidRPr="00762CC9" w:rsidR="00075224" w:rsidP="00FA2F70" w:rsidRDefault="00075224" w14:paraId="3B7901AE"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Degree of accuracy needed for the purpose described in the justification, </w:t>
      </w:r>
    </w:p>
    <w:p w:rsidRPr="00762CC9" w:rsidR="00075224" w:rsidP="00FA2F70" w:rsidRDefault="00075224" w14:paraId="2C4247F4"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Unusual problems requiring specialized sampling procedures, and </w:t>
      </w:r>
    </w:p>
    <w:p w:rsidRPr="00762CC9" w:rsidR="00075224" w:rsidP="00FA2F70" w:rsidRDefault="00075224" w14:paraId="05CF2A05"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 Any use of periodic (less frequent than annual) data collection cycles to reduce burden. </w:t>
      </w:r>
    </w:p>
    <w:p w:rsidRPr="00762CC9" w:rsidR="00FA2F70" w:rsidP="00FA2F70" w:rsidRDefault="00FA2F70" w14:paraId="778BB524" w14:textId="77777777">
      <w:pPr>
        <w:spacing w:after="0" w:line="240" w:lineRule="auto"/>
        <w:rPr>
          <w:rFonts w:ascii="Times New Roman" w:hAnsi="Times New Roman"/>
          <w:color w:val="000000" w:themeColor="text1"/>
          <w:sz w:val="24"/>
          <w:szCs w:val="24"/>
        </w:rPr>
      </w:pPr>
    </w:p>
    <w:p w:rsidRPr="00762CC9" w:rsidR="00075224" w:rsidP="00FA2F70" w:rsidRDefault="00075224" w14:paraId="45B1102D"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762CC9" w:rsidR="00FA2F70" w:rsidP="00FA2F70" w:rsidRDefault="00FA2F70" w14:paraId="34C66FFB" w14:textId="77777777">
      <w:pPr>
        <w:spacing w:after="0" w:line="240" w:lineRule="auto"/>
        <w:rPr>
          <w:rFonts w:ascii="Times New Roman" w:hAnsi="Times New Roman"/>
          <w:color w:val="000000" w:themeColor="text1"/>
          <w:sz w:val="24"/>
          <w:szCs w:val="24"/>
        </w:rPr>
      </w:pPr>
    </w:p>
    <w:p w:rsidRPr="00762CC9" w:rsidR="00075224" w:rsidP="00FA2F70" w:rsidRDefault="00075224" w14:paraId="3BC2BDA9"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762CC9">
        <w:rPr>
          <w:rFonts w:ascii="Times New Roman" w:hAnsi="Times New Roman"/>
          <w:color w:val="000000" w:themeColor="text1"/>
          <w:sz w:val="24"/>
          <w:szCs w:val="24"/>
        </w:rPr>
        <w:t>test</w:t>
      </w:r>
      <w:proofErr w:type="gramEnd"/>
      <w:r w:rsidRPr="00762CC9">
        <w:rPr>
          <w:rFonts w:ascii="Times New Roman" w:hAnsi="Times New Roman"/>
          <w:color w:val="000000" w:themeColor="text1"/>
          <w:sz w:val="24"/>
          <w:szCs w:val="24"/>
        </w:rPr>
        <w:t xml:space="preserve"> may be submitted for approval separately or in combination with the main collection of information. </w:t>
      </w:r>
    </w:p>
    <w:p w:rsidRPr="00762CC9" w:rsidR="00FA2F70" w:rsidP="00FA2F70" w:rsidRDefault="00FA2F70" w14:paraId="38F2CF31" w14:textId="77777777">
      <w:pPr>
        <w:spacing w:after="0" w:line="240" w:lineRule="auto"/>
        <w:rPr>
          <w:rFonts w:ascii="Times New Roman" w:hAnsi="Times New Roman"/>
          <w:color w:val="000000" w:themeColor="text1"/>
          <w:sz w:val="24"/>
          <w:szCs w:val="24"/>
        </w:rPr>
      </w:pPr>
    </w:p>
    <w:p w:rsidRPr="00762CC9" w:rsidR="00075224" w:rsidP="00FA2F70" w:rsidRDefault="00075224" w14:paraId="560359A0" w14:textId="77777777">
      <w:pPr>
        <w:spacing w:after="0" w:line="240" w:lineRule="auto"/>
        <w:rPr>
          <w:rFonts w:ascii="Times New Roman" w:hAnsi="Times New Roman"/>
          <w:color w:val="000000" w:themeColor="text1"/>
          <w:sz w:val="24"/>
          <w:szCs w:val="24"/>
        </w:rPr>
      </w:pPr>
      <w:r w:rsidRPr="00762CC9">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proofErr w:type="gramStart"/>
      <w:r w:rsidRPr="00762CC9">
        <w:rPr>
          <w:rFonts w:ascii="Times New Roman" w:hAnsi="Times New Roman"/>
          <w:color w:val="000000" w:themeColor="text1"/>
          <w:sz w:val="24"/>
          <w:szCs w:val="24"/>
        </w:rPr>
        <w:t>actually collect</w:t>
      </w:r>
      <w:proofErr w:type="gramEnd"/>
      <w:r w:rsidRPr="00762CC9">
        <w:rPr>
          <w:rFonts w:ascii="Times New Roman" w:hAnsi="Times New Roman"/>
          <w:color w:val="000000" w:themeColor="text1"/>
          <w:sz w:val="24"/>
          <w:szCs w:val="24"/>
        </w:rPr>
        <w:t xml:space="preserve"> and/or analyze the information for the agency. </w:t>
      </w:r>
    </w:p>
    <w:p w:rsidRPr="00762CC9" w:rsidR="0066398E" w:rsidP="00FA2F70" w:rsidRDefault="0066398E" w14:paraId="59922C42" w14:textId="77777777">
      <w:pPr>
        <w:spacing w:after="0" w:line="240" w:lineRule="auto"/>
        <w:rPr>
          <w:rFonts w:ascii="Times New Roman" w:hAnsi="Times New Roman"/>
          <w:color w:val="000000" w:themeColor="text1"/>
          <w:sz w:val="24"/>
          <w:szCs w:val="24"/>
        </w:rPr>
      </w:pPr>
    </w:p>
    <w:p w:rsidRPr="008968ED" w:rsidR="00DD2E38" w:rsidP="00FA2F70" w:rsidRDefault="00DD2E38" w14:paraId="57B8D7B6" w14:textId="77777777">
      <w:pPr>
        <w:spacing w:after="0" w:line="240" w:lineRule="auto"/>
        <w:rPr>
          <w:rFonts w:ascii="Times New Roman" w:hAnsi="Times New Roman"/>
          <w:color w:val="000000" w:themeColor="text1"/>
          <w:sz w:val="24"/>
          <w:szCs w:val="24"/>
        </w:rPr>
      </w:pPr>
      <w:r w:rsidRPr="00762CC9">
        <w:rPr>
          <w:rFonts w:ascii="Times New Roman" w:hAnsi="Times New Roman" w:eastAsia="MS Mincho"/>
          <w:color w:val="000000" w:themeColor="text1"/>
          <w:sz w:val="24"/>
        </w:rPr>
        <w:t>There are no plans to use statistical methods for collecting this information</w:t>
      </w:r>
      <w:proofErr w:type="gramStart"/>
      <w:r w:rsidRPr="00762CC9">
        <w:rPr>
          <w:rFonts w:ascii="Times New Roman" w:hAnsi="Times New Roman" w:eastAsia="MS Mincho"/>
          <w:color w:val="000000" w:themeColor="text1"/>
          <w:sz w:val="24"/>
        </w:rPr>
        <w:t>.</w:t>
      </w:r>
      <w:r w:rsidRPr="008968ED">
        <w:rPr>
          <w:rFonts w:ascii="Times New Roman" w:hAnsi="Times New Roman" w:eastAsia="MS Mincho"/>
          <w:color w:val="000000" w:themeColor="text1"/>
          <w:sz w:val="24"/>
        </w:rPr>
        <w:t xml:space="preserve">  </w:t>
      </w:r>
      <w:proofErr w:type="gramEnd"/>
    </w:p>
    <w:sectPr w:rsidRPr="008968ED" w:rsidR="00DD2E38" w:rsidSect="00075224">
      <w:footerReference w:type="even" r:id="rId7"/>
      <w:footerReference w:type="default" r:id="rId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E3C2" w14:textId="77777777" w:rsidR="00FD3668" w:rsidRDefault="00FD3668" w:rsidP="00075224">
      <w:pPr>
        <w:spacing w:after="0" w:line="240" w:lineRule="auto"/>
      </w:pPr>
      <w:r>
        <w:separator/>
      </w:r>
    </w:p>
  </w:endnote>
  <w:endnote w:type="continuationSeparator" w:id="0">
    <w:p w14:paraId="09D4D01C" w14:textId="77777777" w:rsidR="00FD3668" w:rsidRDefault="00FD3668"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5BEF"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1B4DC43B"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27EF"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14:paraId="67E4D882"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555B" w14:textId="77777777" w:rsidR="00FD3668" w:rsidRDefault="00FD3668" w:rsidP="00075224">
      <w:pPr>
        <w:spacing w:after="0" w:line="240" w:lineRule="auto"/>
      </w:pPr>
      <w:r>
        <w:separator/>
      </w:r>
    </w:p>
  </w:footnote>
  <w:footnote w:type="continuationSeparator" w:id="0">
    <w:p w14:paraId="4572EE17" w14:textId="77777777" w:rsidR="00FD3668" w:rsidRDefault="00FD3668"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28E5E3A"/>
    <w:multiLevelType w:val="hybridMultilevel"/>
    <w:tmpl w:val="3A74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52ECA"/>
    <w:multiLevelType w:val="hybridMultilevel"/>
    <w:tmpl w:val="D0D4D5EE"/>
    <w:lvl w:ilvl="0" w:tplc="C74C68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56E95"/>
    <w:multiLevelType w:val="hybridMultilevel"/>
    <w:tmpl w:val="F8F6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A3FE5"/>
    <w:multiLevelType w:val="hybridMultilevel"/>
    <w:tmpl w:val="4F0E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15:restartNumberingAfterBreak="0">
    <w:nsid w:val="7E2E02CF"/>
    <w:multiLevelType w:val="hybridMultilevel"/>
    <w:tmpl w:val="16DEA6B8"/>
    <w:lvl w:ilvl="0" w:tplc="638C7D12">
      <w:start w:val="1"/>
      <w:numFmt w:val="decimal"/>
      <w:lvlText w:val="%1."/>
      <w:lvlJc w:val="left"/>
      <w:pPr>
        <w:ind w:left="720" w:hanging="360"/>
      </w:pPr>
      <w:rPr>
        <w:rFonts w:hint="default"/>
        <w:b/>
        <w:sz w:val="20"/>
      </w:rPr>
    </w:lvl>
    <w:lvl w:ilvl="1" w:tplc="90522F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9"/>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7545"/>
    <w:rsid w:val="00075224"/>
    <w:rsid w:val="000B4874"/>
    <w:rsid w:val="000C1D3D"/>
    <w:rsid w:val="000C62BB"/>
    <w:rsid w:val="000D7FD0"/>
    <w:rsid w:val="00102AFA"/>
    <w:rsid w:val="00123347"/>
    <w:rsid w:val="00126AD1"/>
    <w:rsid w:val="00136FF5"/>
    <w:rsid w:val="001431A7"/>
    <w:rsid w:val="00164BAE"/>
    <w:rsid w:val="00167FD2"/>
    <w:rsid w:val="00174045"/>
    <w:rsid w:val="001B4FB5"/>
    <w:rsid w:val="001C6560"/>
    <w:rsid w:val="001D5313"/>
    <w:rsid w:val="001E70FC"/>
    <w:rsid w:val="001F4F53"/>
    <w:rsid w:val="001F5B8B"/>
    <w:rsid w:val="0021340A"/>
    <w:rsid w:val="00232236"/>
    <w:rsid w:val="00276A7E"/>
    <w:rsid w:val="0029110D"/>
    <w:rsid w:val="00296DF2"/>
    <w:rsid w:val="002C3CD8"/>
    <w:rsid w:val="00303610"/>
    <w:rsid w:val="00320358"/>
    <w:rsid w:val="00397DF1"/>
    <w:rsid w:val="003A0EE2"/>
    <w:rsid w:val="003C400F"/>
    <w:rsid w:val="003C62FF"/>
    <w:rsid w:val="003D3048"/>
    <w:rsid w:val="003E620C"/>
    <w:rsid w:val="003F4D24"/>
    <w:rsid w:val="00414F18"/>
    <w:rsid w:val="004939BF"/>
    <w:rsid w:val="004A2899"/>
    <w:rsid w:val="004B623B"/>
    <w:rsid w:val="004C478E"/>
    <w:rsid w:val="004D0A64"/>
    <w:rsid w:val="0050120C"/>
    <w:rsid w:val="00527BE6"/>
    <w:rsid w:val="00560E48"/>
    <w:rsid w:val="00591573"/>
    <w:rsid w:val="005A3F7A"/>
    <w:rsid w:val="005A6EB8"/>
    <w:rsid w:val="005D21A4"/>
    <w:rsid w:val="00605C42"/>
    <w:rsid w:val="0066398E"/>
    <w:rsid w:val="00666CF0"/>
    <w:rsid w:val="006717F4"/>
    <w:rsid w:val="006A21D9"/>
    <w:rsid w:val="00711F61"/>
    <w:rsid w:val="00715087"/>
    <w:rsid w:val="00741B05"/>
    <w:rsid w:val="007450FC"/>
    <w:rsid w:val="0075410C"/>
    <w:rsid w:val="00760CC6"/>
    <w:rsid w:val="00762CC9"/>
    <w:rsid w:val="00797FB9"/>
    <w:rsid w:val="007A11B8"/>
    <w:rsid w:val="007A416B"/>
    <w:rsid w:val="007D5F3B"/>
    <w:rsid w:val="007E5300"/>
    <w:rsid w:val="008968ED"/>
    <w:rsid w:val="008A6017"/>
    <w:rsid w:val="008F0C6D"/>
    <w:rsid w:val="008F50CD"/>
    <w:rsid w:val="00922458"/>
    <w:rsid w:val="00922AD4"/>
    <w:rsid w:val="00934001"/>
    <w:rsid w:val="009419D6"/>
    <w:rsid w:val="00945C6A"/>
    <w:rsid w:val="009814CB"/>
    <w:rsid w:val="00982371"/>
    <w:rsid w:val="009A3A5E"/>
    <w:rsid w:val="009B0365"/>
    <w:rsid w:val="009E118C"/>
    <w:rsid w:val="00A33DED"/>
    <w:rsid w:val="00A352F3"/>
    <w:rsid w:val="00A6656E"/>
    <w:rsid w:val="00A72517"/>
    <w:rsid w:val="00A80199"/>
    <w:rsid w:val="00AA04EA"/>
    <w:rsid w:val="00AE2E96"/>
    <w:rsid w:val="00B004A7"/>
    <w:rsid w:val="00B106EA"/>
    <w:rsid w:val="00B7253E"/>
    <w:rsid w:val="00BF3A10"/>
    <w:rsid w:val="00CB45ED"/>
    <w:rsid w:val="00D127E8"/>
    <w:rsid w:val="00D224F7"/>
    <w:rsid w:val="00D35DDB"/>
    <w:rsid w:val="00D52C73"/>
    <w:rsid w:val="00D720B2"/>
    <w:rsid w:val="00DC1E6C"/>
    <w:rsid w:val="00DD2E38"/>
    <w:rsid w:val="00DE7165"/>
    <w:rsid w:val="00DF2C79"/>
    <w:rsid w:val="00E35BF6"/>
    <w:rsid w:val="00E53DE7"/>
    <w:rsid w:val="00E75880"/>
    <w:rsid w:val="00EA7C8E"/>
    <w:rsid w:val="00F17541"/>
    <w:rsid w:val="00FA2F70"/>
    <w:rsid w:val="00FD3668"/>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1CA8"/>
  <w15:chartTrackingRefBased/>
  <w15:docId w15:val="{AD7E8153-22EE-4DC1-B198-6CD10AEF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A416B"/>
    <w:pPr>
      <w:spacing w:after="0" w:line="240" w:lineRule="auto"/>
    </w:pPr>
    <w:rPr>
      <w:rFonts w:ascii="Courier New" w:hAnsi="Courier New" w:cs="Courier New"/>
      <w:sz w:val="20"/>
      <w:szCs w:val="20"/>
    </w:rPr>
  </w:style>
  <w:style w:type="character" w:customStyle="1" w:styleId="PlainTextChar">
    <w:name w:val="Plain Text Char"/>
    <w:link w:val="PlainText"/>
    <w:rsid w:val="007A416B"/>
    <w:rPr>
      <w:rFonts w:ascii="Courier New" w:hAnsi="Courier New" w:cs="Courier New"/>
    </w:rPr>
  </w:style>
  <w:style w:type="character" w:styleId="CommentReference">
    <w:name w:val="annotation reference"/>
    <w:rsid w:val="00605C42"/>
    <w:rPr>
      <w:sz w:val="16"/>
      <w:szCs w:val="16"/>
    </w:rPr>
  </w:style>
  <w:style w:type="paragraph" w:styleId="CommentText">
    <w:name w:val="annotation text"/>
    <w:basedOn w:val="Normal"/>
    <w:link w:val="CommentTextChar"/>
    <w:rsid w:val="00605C42"/>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CommentTextChar">
    <w:name w:val="Comment Text Char"/>
    <w:link w:val="CommentText"/>
    <w:rsid w:val="00605C4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F4F53"/>
    <w:pPr>
      <w:overflowPunct/>
      <w:autoSpaceDE/>
      <w:autoSpaceDN/>
      <w:adjustRightInd/>
      <w:spacing w:after="20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1F4F53"/>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267387">
      <w:bodyDiv w:val="1"/>
      <w:marLeft w:val="0"/>
      <w:marRight w:val="0"/>
      <w:marTop w:val="0"/>
      <w:marBottom w:val="0"/>
      <w:divBdr>
        <w:top w:val="none" w:sz="0" w:space="0" w:color="auto"/>
        <w:left w:val="none" w:sz="0" w:space="0" w:color="auto"/>
        <w:bottom w:val="none" w:sz="0" w:space="0" w:color="auto"/>
        <w:right w:val="none" w:sz="0" w:space="0" w:color="auto"/>
      </w:divBdr>
    </w:div>
    <w:div w:id="1167287653">
      <w:bodyDiv w:val="1"/>
      <w:marLeft w:val="0"/>
      <w:marRight w:val="0"/>
      <w:marTop w:val="0"/>
      <w:marBottom w:val="0"/>
      <w:divBdr>
        <w:top w:val="none" w:sz="0" w:space="0" w:color="auto"/>
        <w:left w:val="none" w:sz="0" w:space="0" w:color="auto"/>
        <w:bottom w:val="none" w:sz="0" w:space="0" w:color="auto"/>
        <w:right w:val="none" w:sz="0" w:space="0" w:color="auto"/>
      </w:divBdr>
    </w:div>
    <w:div w:id="1578397313">
      <w:bodyDiv w:val="1"/>
      <w:marLeft w:val="0"/>
      <w:marRight w:val="0"/>
      <w:marTop w:val="0"/>
      <w:marBottom w:val="0"/>
      <w:divBdr>
        <w:top w:val="none" w:sz="0" w:space="0" w:color="auto"/>
        <w:left w:val="none" w:sz="0" w:space="0" w:color="auto"/>
        <w:bottom w:val="none" w:sz="0" w:space="0" w:color="auto"/>
        <w:right w:val="none" w:sz="0" w:space="0" w:color="auto"/>
      </w:divBdr>
    </w:div>
    <w:div w:id="1744453986">
      <w:bodyDiv w:val="1"/>
      <w:marLeft w:val="0"/>
      <w:marRight w:val="0"/>
      <w:marTop w:val="0"/>
      <w:marBottom w:val="0"/>
      <w:divBdr>
        <w:top w:val="none" w:sz="0" w:space="0" w:color="auto"/>
        <w:left w:val="none" w:sz="0" w:space="0" w:color="auto"/>
        <w:bottom w:val="none" w:sz="0" w:space="0" w:color="auto"/>
        <w:right w:val="none" w:sz="0" w:space="0" w:color="auto"/>
      </w:divBdr>
    </w:div>
    <w:div w:id="1801193776">
      <w:bodyDiv w:val="1"/>
      <w:marLeft w:val="0"/>
      <w:marRight w:val="0"/>
      <w:marTop w:val="0"/>
      <w:marBottom w:val="0"/>
      <w:divBdr>
        <w:top w:val="none" w:sz="0" w:space="0" w:color="auto"/>
        <w:left w:val="none" w:sz="0" w:space="0" w:color="auto"/>
        <w:bottom w:val="none" w:sz="0" w:space="0" w:color="auto"/>
        <w:right w:val="none" w:sz="0" w:space="0" w:color="auto"/>
      </w:divBdr>
    </w:div>
    <w:div w:id="19376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4042</Words>
  <Characters>23044</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2</cp:revision>
  <cp:lastPrinted>2018-10-25T21:48:00Z</cp:lastPrinted>
  <dcterms:created xsi:type="dcterms:W3CDTF">2021-11-09T19:32:00Z</dcterms:created>
  <dcterms:modified xsi:type="dcterms:W3CDTF">2021-11-09T19:32:00Z</dcterms:modified>
</cp:coreProperties>
</file>