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14B9" w:rsidP="000F14B9" w:rsidRDefault="000F14B9" w14:paraId="53BEDD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r w:rsidRPr="00E2682D">
        <w:rPr>
          <w:b/>
          <w:sz w:val="22"/>
          <w:szCs w:val="22"/>
        </w:rPr>
        <w:t>Supporting Statement for Paperwork Reduction Act Submissions</w:t>
      </w:r>
    </w:p>
    <w:p w:rsidR="00CD6057" w:rsidP="000F14B9" w:rsidRDefault="00CD6057" w14:paraId="5C33CB30" w14:textId="4A879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r w:rsidRPr="00CD6057">
        <w:rPr>
          <w:b/>
          <w:sz w:val="22"/>
          <w:szCs w:val="22"/>
        </w:rPr>
        <w:t xml:space="preserve">Community Development Block Grant (CDBG) </w:t>
      </w:r>
      <w:r w:rsidR="00CC4A15">
        <w:rPr>
          <w:b/>
          <w:sz w:val="22"/>
          <w:szCs w:val="22"/>
        </w:rPr>
        <w:t>Entitlement Program</w:t>
      </w:r>
    </w:p>
    <w:p w:rsidRPr="00E2682D" w:rsidR="00CD6057" w:rsidP="000F14B9" w:rsidRDefault="00CD6057" w14:paraId="4A06CD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r>
        <w:rPr>
          <w:b/>
          <w:sz w:val="22"/>
          <w:szCs w:val="22"/>
        </w:rPr>
        <w:t>OMB #2506-0077</w:t>
      </w:r>
    </w:p>
    <w:p w:rsidRPr="00E2682D" w:rsidR="000F14B9" w:rsidP="000F14B9" w:rsidRDefault="000F14B9" w14:paraId="020671E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szCs w:val="22"/>
        </w:rPr>
      </w:pPr>
    </w:p>
    <w:p w:rsidRPr="00E2682D" w:rsidR="000F14B9" w:rsidP="000F14B9" w:rsidRDefault="000F14B9" w14:paraId="4C4C92EB" w14:textId="77777777">
      <w:pPr>
        <w:pStyle w:val="Heading1"/>
        <w:tabs>
          <w:tab w:val="left" w:pos="360"/>
        </w:tabs>
        <w:rPr>
          <w:sz w:val="22"/>
          <w:szCs w:val="22"/>
        </w:rPr>
      </w:pPr>
      <w:r w:rsidRPr="00E2682D">
        <w:rPr>
          <w:sz w:val="22"/>
          <w:szCs w:val="22"/>
        </w:rPr>
        <w:t>A.</w:t>
      </w:r>
      <w:r w:rsidRPr="00E2682D">
        <w:rPr>
          <w:sz w:val="22"/>
          <w:szCs w:val="22"/>
        </w:rPr>
        <w:tab/>
        <w:t>Justification</w:t>
      </w:r>
    </w:p>
    <w:p w:rsidRPr="00E2682D" w:rsidR="000F14B9" w:rsidP="000F14B9" w:rsidRDefault="000F14B9" w14:paraId="30AD1FB6" w14:textId="77777777">
      <w:pPr>
        <w:rPr>
          <w:sz w:val="22"/>
          <w:szCs w:val="22"/>
        </w:rPr>
      </w:pPr>
    </w:p>
    <w:p w:rsidRPr="00E2682D" w:rsidR="000F14B9" w:rsidP="000F14B9" w:rsidRDefault="000F14B9" w14:paraId="7CA64787" w14:textId="77777777">
      <w:pPr>
        <w:pStyle w:val="Heading1"/>
        <w:ind w:left="360"/>
        <w:rPr>
          <w:sz w:val="22"/>
          <w:szCs w:val="22"/>
        </w:rPr>
      </w:pPr>
      <w:r w:rsidRPr="00E2682D">
        <w:rPr>
          <w:sz w:val="22"/>
          <w:szCs w:val="22"/>
        </w:rPr>
        <w:t>Introduction</w:t>
      </w:r>
    </w:p>
    <w:p w:rsidRPr="00E2682D" w:rsidR="000F14B9" w:rsidP="000F14B9" w:rsidRDefault="000F14B9" w14:paraId="12131203" w14:textId="77777777">
      <w:pPr>
        <w:ind w:left="360"/>
        <w:rPr>
          <w:sz w:val="22"/>
          <w:szCs w:val="22"/>
        </w:rPr>
      </w:pPr>
    </w:p>
    <w:p w:rsidR="000F14B9" w:rsidP="000F14B9" w:rsidRDefault="000F14B9" w14:paraId="00A6BC42" w14:textId="3F813E6E">
      <w:pPr>
        <w:pStyle w:val="BodyTextIndent"/>
        <w:ind w:left="360"/>
        <w:rPr>
          <w:sz w:val="22"/>
          <w:szCs w:val="22"/>
        </w:rPr>
      </w:pPr>
      <w:r w:rsidRPr="00E2682D">
        <w:rPr>
          <w:sz w:val="22"/>
          <w:szCs w:val="22"/>
        </w:rPr>
        <w:t xml:space="preserve">This submission </w:t>
      </w:r>
      <w:r>
        <w:rPr>
          <w:sz w:val="22"/>
          <w:szCs w:val="22"/>
        </w:rPr>
        <w:t xml:space="preserve">is to request </w:t>
      </w:r>
      <w:bookmarkStart w:name="_Hlk513465139" w:id="0"/>
      <w:r w:rsidR="00CE2D76">
        <w:rPr>
          <w:sz w:val="22"/>
          <w:szCs w:val="22"/>
        </w:rPr>
        <w:t>a</w:t>
      </w:r>
      <w:r>
        <w:rPr>
          <w:sz w:val="22"/>
          <w:szCs w:val="22"/>
        </w:rPr>
        <w:t xml:space="preserve"> </w:t>
      </w:r>
      <w:r w:rsidR="00CC4A15">
        <w:rPr>
          <w:sz w:val="22"/>
          <w:szCs w:val="22"/>
        </w:rPr>
        <w:t>reinstatement with change</w:t>
      </w:r>
      <w:r w:rsidR="00CE2D76">
        <w:rPr>
          <w:sz w:val="22"/>
          <w:szCs w:val="22"/>
        </w:rPr>
        <w:t xml:space="preserve"> of a </w:t>
      </w:r>
      <w:r w:rsidR="0057124C">
        <w:rPr>
          <w:sz w:val="22"/>
          <w:szCs w:val="22"/>
        </w:rPr>
        <w:t>previously</w:t>
      </w:r>
      <w:r>
        <w:rPr>
          <w:sz w:val="22"/>
          <w:szCs w:val="22"/>
        </w:rPr>
        <w:t xml:space="preserve"> approved information collection </w:t>
      </w:r>
      <w:bookmarkEnd w:id="0"/>
      <w:r>
        <w:rPr>
          <w:sz w:val="22"/>
          <w:szCs w:val="22"/>
        </w:rPr>
        <w:t xml:space="preserve">for the reporting burden associated with information that </w:t>
      </w:r>
      <w:bookmarkStart w:name="_Hlk513123580" w:id="1"/>
      <w:r>
        <w:rPr>
          <w:sz w:val="22"/>
          <w:szCs w:val="22"/>
        </w:rPr>
        <w:t xml:space="preserve">Community Development Block Grant (CDBG) grantees </w:t>
      </w:r>
      <w:bookmarkEnd w:id="1"/>
      <w:r>
        <w:rPr>
          <w:sz w:val="22"/>
          <w:szCs w:val="22"/>
        </w:rPr>
        <w:t xml:space="preserve">will report in the Integrated Disbursement and Information System (IDIS) for CDBG-assisted activities, recordkeeping requirements, and reporting requirements, which will enable HUD to track program progress.  </w:t>
      </w:r>
      <w:r w:rsidRPr="00E2682D">
        <w:rPr>
          <w:sz w:val="22"/>
          <w:szCs w:val="22"/>
        </w:rPr>
        <w:t xml:space="preserve">This submission is limited to the reporting burden under the CDBG entitlement program, which is covered by OMB control number 2506-0077.  </w:t>
      </w:r>
    </w:p>
    <w:p w:rsidRPr="00E2682D" w:rsidR="000F14B9" w:rsidP="000F14B9" w:rsidRDefault="000F14B9" w14:paraId="1790E82D" w14:textId="4B29C32B">
      <w:pPr>
        <w:rPr>
          <w:sz w:val="22"/>
          <w:szCs w:val="22"/>
        </w:rPr>
      </w:pPr>
    </w:p>
    <w:p w:rsidRPr="00E2682D" w:rsidR="000F14B9" w:rsidP="000F14B9" w:rsidRDefault="000F14B9" w14:paraId="2D27C2AB" w14:textId="77777777">
      <w:pPr>
        <w:tabs>
          <w:tab w:val="left" w:pos="360"/>
        </w:tabs>
        <w:ind w:left="360" w:hanging="360"/>
        <w:rPr>
          <w:sz w:val="22"/>
          <w:szCs w:val="22"/>
        </w:rPr>
      </w:pPr>
      <w:r w:rsidRPr="00E2682D">
        <w:rPr>
          <w:sz w:val="22"/>
          <w:szCs w:val="22"/>
        </w:rPr>
        <w:t>1.</w:t>
      </w:r>
      <w:r w:rsidRPr="00E2682D">
        <w:rPr>
          <w:sz w:val="22"/>
          <w:szCs w:val="22"/>
        </w:rPr>
        <w:tab/>
        <w:t>Need for the Information Collection</w:t>
      </w:r>
    </w:p>
    <w:p w:rsidR="000F14B9" w:rsidP="000F14B9" w:rsidRDefault="000F14B9" w14:paraId="6963E190" w14:textId="77777777">
      <w:pPr>
        <w:ind w:left="360"/>
        <w:rPr>
          <w:sz w:val="22"/>
          <w:szCs w:val="22"/>
        </w:rPr>
      </w:pPr>
    </w:p>
    <w:p w:rsidRPr="003511AE" w:rsidR="000F14B9" w:rsidP="000F14B9" w:rsidRDefault="000F14B9" w14:paraId="37D145CA" w14:textId="77777777">
      <w:pPr>
        <w:pStyle w:val="BodyTextIndent"/>
        <w:ind w:left="360"/>
        <w:rPr>
          <w:sz w:val="22"/>
          <w:szCs w:val="22"/>
        </w:rPr>
      </w:pPr>
      <w:r w:rsidRPr="003511AE">
        <w:rPr>
          <w:sz w:val="22"/>
          <w:szCs w:val="22"/>
        </w:rPr>
        <w:t xml:space="preserve">This request identifies the estimated reporting burden associated with information that CDBG entitlement grantees will report in IDIS for CDBG-assisted activities, recordkeeping requirements, and reporting requirements.  </w:t>
      </w:r>
      <w:r w:rsidRPr="00364A56">
        <w:rPr>
          <w:sz w:val="22"/>
          <w:szCs w:val="22"/>
        </w:rPr>
        <w:t>Grantees are encouraged to update their accomplishments in IDIS on a quarterly basis.</w:t>
      </w:r>
      <w:r w:rsidRPr="003511AE">
        <w:rPr>
          <w:sz w:val="22"/>
          <w:szCs w:val="22"/>
        </w:rPr>
        <w:t xml:space="preserve">  In addition, grantees are required to retain records necessary to document compliance with statutory and regulatory requirements, Executive Orders, </w:t>
      </w:r>
      <w:r>
        <w:rPr>
          <w:sz w:val="22"/>
          <w:szCs w:val="22"/>
        </w:rPr>
        <w:t>2 CFR part 200 requirements</w:t>
      </w:r>
      <w:r w:rsidRPr="003511AE">
        <w:rPr>
          <w:sz w:val="22"/>
          <w:szCs w:val="22"/>
        </w:rPr>
        <w:t>, and determinations required to be made by grantees as a determination of eligibility.  Grantees are required to prepare and submit their Consolidated Annual Performance and Evaluation Reports, which demonstrate the progress grantees make in carrying out CDBG-assisted activities listed in their consolidated plans.  This report is due to HUD 90 days after the end of the grantee’s program year.  The information required for any particular activity is generally based on the eligibility of the activity and which of the three national objectives (</w:t>
      </w:r>
      <w:r w:rsidRPr="00364A56">
        <w:rPr>
          <w:sz w:val="22"/>
          <w:szCs w:val="22"/>
        </w:rPr>
        <w:t>benefit low- and moderate-income persons; eliminate/prevent slums or blight; or meet an urgent need</w:t>
      </w:r>
      <w:r w:rsidRPr="003511AE">
        <w:rPr>
          <w:sz w:val="22"/>
          <w:szCs w:val="22"/>
        </w:rPr>
        <w:t xml:space="preserve">) the grantee has determined that the activity will address. </w:t>
      </w:r>
    </w:p>
    <w:p w:rsidRPr="003511AE" w:rsidR="000F14B9" w:rsidP="000F14B9" w:rsidRDefault="000F14B9" w14:paraId="726F2AE6" w14:textId="77777777">
      <w:pPr>
        <w:ind w:left="360"/>
        <w:rPr>
          <w:sz w:val="22"/>
          <w:szCs w:val="22"/>
        </w:rPr>
      </w:pPr>
    </w:p>
    <w:p w:rsidRPr="003511AE" w:rsidR="000F14B9" w:rsidP="000F14B9" w:rsidRDefault="000F14B9" w14:paraId="2DCDB590" w14:textId="77777777">
      <w:pPr>
        <w:ind w:left="360"/>
        <w:rPr>
          <w:sz w:val="22"/>
          <w:szCs w:val="22"/>
        </w:rPr>
      </w:pPr>
      <w:r w:rsidRPr="003511AE">
        <w:rPr>
          <w:sz w:val="22"/>
          <w:szCs w:val="22"/>
        </w:rPr>
        <w:t>The statutory and regulatory provisions that govern the record keeping and reporting requirements for the CDBG entitlement program are:</w:t>
      </w:r>
    </w:p>
    <w:p w:rsidRPr="00364A56" w:rsidR="000F14B9" w:rsidP="000F14B9" w:rsidRDefault="000F14B9" w14:paraId="47BB2077" w14:textId="77777777">
      <w:pPr>
        <w:numPr>
          <w:ilvl w:val="0"/>
          <w:numId w:val="1"/>
        </w:numPr>
        <w:ind w:left="540" w:hanging="180"/>
        <w:rPr>
          <w:sz w:val="22"/>
          <w:szCs w:val="22"/>
        </w:rPr>
      </w:pPr>
      <w:r w:rsidRPr="003511AE">
        <w:rPr>
          <w:sz w:val="22"/>
          <w:szCs w:val="22"/>
        </w:rPr>
        <w:t xml:space="preserve">24 CFR 570.506 requires the </w:t>
      </w:r>
      <w:r w:rsidRPr="00364A56">
        <w:rPr>
          <w:sz w:val="22"/>
          <w:szCs w:val="22"/>
        </w:rPr>
        <w:t>retention of records necessary to document compliance with statutory and regulatory requirements, Executive Orders, 2 CFR part 200 requirements, and determinations required to be made by grantees as a condition of eligibility.</w:t>
      </w:r>
    </w:p>
    <w:p w:rsidR="000F14B9" w:rsidP="000F14B9" w:rsidRDefault="000F14B9" w14:paraId="70D9562F" w14:textId="77777777">
      <w:pPr>
        <w:numPr>
          <w:ilvl w:val="0"/>
          <w:numId w:val="1"/>
        </w:numPr>
        <w:ind w:left="540" w:hanging="180"/>
        <w:rPr>
          <w:sz w:val="22"/>
          <w:szCs w:val="22"/>
        </w:rPr>
      </w:pPr>
      <w:r w:rsidRPr="00364A56">
        <w:rPr>
          <w:sz w:val="22"/>
          <w:szCs w:val="22"/>
        </w:rPr>
        <w:t>24 CFR 570.507 requires that each grantee submit an annual performance and evaluation report which shall be in accordance with 24 CFR part 91, and 24 CFR 91.520 requires each grantee that has an approved consolidated plan to annually report, in a form prescribed by HUD, on the progress that it has made in carrying out its consolidated plan (which includes activities carried out under the</w:t>
      </w:r>
      <w:r w:rsidRPr="00E2682D">
        <w:rPr>
          <w:sz w:val="22"/>
          <w:szCs w:val="22"/>
        </w:rPr>
        <w:t xml:space="preserve"> CDBG entitlement program).  The report is submitted to HUD within 90 days after the end of the grantee’s program year.  Entitlement grantees are required by Section 104(e) of the Housing and Community Development Act of 1974, as amended (HCDA), to submit a performance report, which is necessary for the Secretary to perform an annual review of performance, as required by that section of the law, as well as provide information necessary for HUD to report on the results of the use of funds awarded under the CDBG program.  Grantees are required to input accomplishment data at least annually to comply with this annual reporting requirement, but they are also strongly encouraged to update data on accomplishments in IDIS on a quarterly basis.</w:t>
      </w:r>
    </w:p>
    <w:p w:rsidR="000F14B9" w:rsidP="000F14B9" w:rsidRDefault="000F14B9" w14:paraId="5CCC4AEC" w14:textId="77777777">
      <w:pPr>
        <w:rPr>
          <w:sz w:val="22"/>
          <w:szCs w:val="22"/>
        </w:rPr>
      </w:pPr>
    </w:p>
    <w:p w:rsidRPr="005B3ED4" w:rsidR="000F14B9" w:rsidP="000F14B9" w:rsidRDefault="000F14B9" w14:paraId="246337B2" w14:textId="77777777">
      <w:pPr>
        <w:ind w:left="360"/>
        <w:rPr>
          <w:sz w:val="22"/>
          <w:szCs w:val="22"/>
        </w:rPr>
      </w:pPr>
      <w:r w:rsidRPr="00E32308">
        <w:rPr>
          <w:sz w:val="22"/>
          <w:szCs w:val="22"/>
        </w:rPr>
        <w:t xml:space="preserve">The </w:t>
      </w:r>
      <w:r>
        <w:rPr>
          <w:sz w:val="22"/>
          <w:szCs w:val="22"/>
        </w:rPr>
        <w:t xml:space="preserve">recordkeeping </w:t>
      </w:r>
      <w:r w:rsidRPr="00E32308">
        <w:rPr>
          <w:sz w:val="22"/>
          <w:szCs w:val="22"/>
        </w:rPr>
        <w:t xml:space="preserve">regulations for the CDBG entitlement program may be found at 24 CFR 570.506. </w:t>
      </w:r>
      <w:r>
        <w:rPr>
          <w:sz w:val="22"/>
          <w:szCs w:val="22"/>
        </w:rPr>
        <w:t xml:space="preserve"> </w:t>
      </w:r>
      <w:r w:rsidRPr="00364A56">
        <w:rPr>
          <w:sz w:val="22"/>
          <w:szCs w:val="22"/>
        </w:rPr>
        <w:t xml:space="preserve">Minimally, CDBG entitlement grantees are required to provide a full description of each activity </w:t>
      </w:r>
      <w:r w:rsidRPr="00364A56">
        <w:rPr>
          <w:sz w:val="22"/>
          <w:szCs w:val="22"/>
        </w:rPr>
        <w:lastRenderedPageBreak/>
        <w:t>assisted with CDBG funds; its location (if relevant); amount of CDBG funds budgeted, obligated, and expended</w:t>
      </w:r>
      <w:r w:rsidRPr="005B3ED4">
        <w:rPr>
          <w:sz w:val="22"/>
          <w:szCs w:val="22"/>
        </w:rPr>
        <w:t xml:space="preserve"> for each activity; and the provision under subpart C of the regulations (Eligible Activities, which lists eligible activities, ineligible activities, national objectives, guidelines for selecting economic development projects, and prohibition on use of assistance for employment relocation activities); and the </w:t>
      </w:r>
      <w:r w:rsidRPr="00364A56">
        <w:rPr>
          <w:sz w:val="22"/>
          <w:szCs w:val="22"/>
        </w:rPr>
        <w:t>national objective (listed in 24 CFR 570.208) that was met for each activity.  Grantees are required to keep records as detailed in 24 CFR 570.506(b), which identify the</w:t>
      </w:r>
      <w:r w:rsidRPr="005B3ED4">
        <w:rPr>
          <w:sz w:val="22"/>
          <w:szCs w:val="22"/>
        </w:rPr>
        <w:t xml:space="preserve"> documentation that must be kept to prove national objective compliance for each activity</w:t>
      </w:r>
      <w:r w:rsidRPr="00961009">
        <w:rPr>
          <w:sz w:val="22"/>
          <w:szCs w:val="22"/>
        </w:rPr>
        <w:t>.  Records must also be kept documenting change of use of real property; compliance with acquisition, displacement, relocation and replacement housing, if applicable; fair housing and equal opportunity records; and financial records.</w:t>
      </w:r>
      <w:r w:rsidRPr="005B3ED4">
        <w:rPr>
          <w:sz w:val="22"/>
          <w:szCs w:val="22"/>
        </w:rPr>
        <w:t xml:space="preserve">  These records must be kept for four years in accordance with 24 CFR 570.502(a)(16).  Additional information on record retention may be found at 2 CFR 200.333.</w:t>
      </w:r>
    </w:p>
    <w:p w:rsidRPr="005B3ED4" w:rsidR="000F14B9" w:rsidP="000F14B9" w:rsidRDefault="000F14B9" w14:paraId="0D5C7A17" w14:textId="77777777">
      <w:pPr>
        <w:ind w:left="360"/>
        <w:rPr>
          <w:sz w:val="22"/>
          <w:szCs w:val="22"/>
        </w:rPr>
      </w:pPr>
    </w:p>
    <w:p w:rsidRPr="005B3ED4" w:rsidR="000F14B9" w:rsidP="000F14B9" w:rsidRDefault="000F14B9" w14:paraId="2FC47057" w14:textId="77777777">
      <w:pPr>
        <w:tabs>
          <w:tab w:val="left" w:pos="360"/>
        </w:tabs>
        <w:rPr>
          <w:sz w:val="22"/>
          <w:szCs w:val="22"/>
        </w:rPr>
      </w:pPr>
      <w:r w:rsidRPr="005B3ED4">
        <w:rPr>
          <w:sz w:val="22"/>
          <w:szCs w:val="22"/>
        </w:rPr>
        <w:t>2.</w:t>
      </w:r>
      <w:r w:rsidRPr="005B3ED4">
        <w:rPr>
          <w:sz w:val="22"/>
          <w:szCs w:val="22"/>
        </w:rPr>
        <w:tab/>
        <w:t>How the information is or will be used:</w:t>
      </w:r>
    </w:p>
    <w:p w:rsidRPr="005B3ED4" w:rsidR="000F14B9" w:rsidP="000F14B9" w:rsidRDefault="000F14B9" w14:paraId="1E1684FC" w14:textId="77777777">
      <w:pPr>
        <w:rPr>
          <w:sz w:val="22"/>
          <w:szCs w:val="22"/>
        </w:rPr>
      </w:pPr>
    </w:p>
    <w:p w:rsidRPr="005B3ED4" w:rsidR="000F14B9" w:rsidP="000F14B9" w:rsidRDefault="000F14B9" w14:paraId="60F8870B" w14:textId="77777777">
      <w:pPr>
        <w:ind w:left="360"/>
        <w:rPr>
          <w:sz w:val="22"/>
          <w:szCs w:val="22"/>
        </w:rPr>
      </w:pPr>
      <w:r w:rsidRPr="005B3ED4">
        <w:rPr>
          <w:sz w:val="22"/>
          <w:szCs w:val="22"/>
        </w:rPr>
        <w:t xml:space="preserve">This request identifies the estimated reporting burden associated with additional information that CDBG entitlement grantees will report in IDIS for CDBG-assisted activities.  </w:t>
      </w:r>
      <w:r w:rsidRPr="009C7DBF">
        <w:rPr>
          <w:sz w:val="22"/>
          <w:szCs w:val="22"/>
        </w:rPr>
        <w:t>The information required for any particular activity is generally based on the eligibility of the activity and which of the three national objectives</w:t>
      </w:r>
      <w:r w:rsidRPr="005B3ED4">
        <w:rPr>
          <w:sz w:val="22"/>
          <w:szCs w:val="22"/>
        </w:rPr>
        <w:t xml:space="preserve"> (benefit low- and moderate-income persons; eliminate/prevent slums or blight; or meet an urgent need) the grantee has determined that the activity will address.  Grantees provide information in IDIS that documents the outputs obtained from individual activities, and the performance measurement data will enable HUD to report on the outcomes that result from the use of CDBG funds.  </w:t>
      </w:r>
      <w:r w:rsidRPr="009C3DB5">
        <w:rPr>
          <w:sz w:val="22"/>
          <w:szCs w:val="22"/>
        </w:rPr>
        <w:t>DIS and performance reports are used by HUD to monitor grantee performance and to report to Congress and others on the CDBG program.</w:t>
      </w:r>
    </w:p>
    <w:p w:rsidRPr="005B3ED4" w:rsidR="000F14B9" w:rsidP="000F14B9" w:rsidRDefault="000F14B9" w14:paraId="3961A67C" w14:textId="77777777">
      <w:pPr>
        <w:rPr>
          <w:sz w:val="22"/>
          <w:szCs w:val="22"/>
        </w:rPr>
      </w:pPr>
    </w:p>
    <w:p w:rsidRPr="005B3ED4" w:rsidR="000F14B9" w:rsidP="000F14B9" w:rsidRDefault="000F14B9" w14:paraId="723CB5B1" w14:textId="77777777">
      <w:pPr>
        <w:pStyle w:val="BodyTextIndent2"/>
        <w:rPr>
          <w:sz w:val="22"/>
          <w:szCs w:val="22"/>
        </w:rPr>
      </w:pPr>
      <w:r w:rsidRPr="005B3ED4">
        <w:rPr>
          <w:sz w:val="22"/>
          <w:szCs w:val="22"/>
        </w:rPr>
        <w:t>3.</w:t>
      </w:r>
      <w:r w:rsidRPr="005B3ED4">
        <w:rPr>
          <w:sz w:val="22"/>
          <w:szCs w:val="22"/>
        </w:rPr>
        <w:tab/>
        <w:t>Describe whether, and to what extent, the collection of information involves the use of automated, electronic, mechanical or other technological collection techniques, or other forms of information technology.</w:t>
      </w:r>
    </w:p>
    <w:p w:rsidRPr="005B3ED4" w:rsidR="000F14B9" w:rsidP="000F14B9" w:rsidRDefault="000F14B9" w14:paraId="1E132E8E" w14:textId="77777777">
      <w:pPr>
        <w:rPr>
          <w:sz w:val="22"/>
          <w:szCs w:val="22"/>
        </w:rPr>
      </w:pPr>
    </w:p>
    <w:p w:rsidRPr="005B3ED4" w:rsidR="000F14B9" w:rsidP="000F14B9" w:rsidRDefault="000F14B9" w14:paraId="60EDBCC0" w14:textId="77777777">
      <w:pPr>
        <w:ind w:left="360"/>
        <w:rPr>
          <w:sz w:val="22"/>
          <w:szCs w:val="22"/>
        </w:rPr>
      </w:pPr>
      <w:r w:rsidRPr="005B3ED4">
        <w:rPr>
          <w:sz w:val="22"/>
          <w:szCs w:val="22"/>
        </w:rPr>
        <w:t xml:space="preserve">IDIS is an electronic system that grantees use to report information to HUD on their use of CDBG funds, and to prepare and submit requests for drawdowns of funds from their lines of credit.  Grantees can input information about their CDBG-assisted activities, including accomplishments, into IDIS on an on-going basis throughout their program year.  </w:t>
      </w:r>
      <w:r w:rsidRPr="009C3DB5">
        <w:rPr>
          <w:sz w:val="22"/>
          <w:szCs w:val="22"/>
        </w:rPr>
        <w:t>The use of IDIS eliminates duplication of information and reduces inconsistent reporting.</w:t>
      </w:r>
      <w:r w:rsidRPr="005B3ED4">
        <w:rPr>
          <w:sz w:val="22"/>
          <w:szCs w:val="22"/>
        </w:rPr>
        <w:t xml:space="preserve">  Grantees can generate reports from IDIS to more readily inform constituents of how CDBG funds are used, and HUD can easily access the information in IDIS for management and oversight purposes.  IDIS is the only electronic method by which records are kept.  However, 2 CFR 200.335 prescribes other methods of recordkeeping.  Paper records are kept for documentation purposes for when grantees are monitored by HUD for CDBG program compliance.</w:t>
      </w:r>
    </w:p>
    <w:p w:rsidRPr="005B3ED4" w:rsidR="000F14B9" w:rsidP="000F14B9" w:rsidRDefault="000F14B9" w14:paraId="1B6EF050" w14:textId="77777777">
      <w:pPr>
        <w:ind w:left="360"/>
        <w:rPr>
          <w:sz w:val="22"/>
          <w:szCs w:val="22"/>
        </w:rPr>
      </w:pPr>
    </w:p>
    <w:p w:rsidR="002F3D4E" w:rsidP="000F14B9" w:rsidRDefault="000F14B9" w14:paraId="0A05E962" w14:textId="77777777">
      <w:pPr>
        <w:numPr>
          <w:ilvl w:val="0"/>
          <w:numId w:val="2"/>
        </w:numPr>
        <w:tabs>
          <w:tab w:val="clear" w:pos="720"/>
          <w:tab w:val="num" w:pos="360"/>
        </w:tabs>
        <w:ind w:left="360"/>
        <w:rPr>
          <w:sz w:val="22"/>
          <w:szCs w:val="22"/>
        </w:rPr>
      </w:pPr>
      <w:r w:rsidRPr="005B3ED4">
        <w:rPr>
          <w:sz w:val="22"/>
          <w:szCs w:val="22"/>
        </w:rPr>
        <w:t xml:space="preserve">Describe efforts to identify duplication. </w:t>
      </w:r>
    </w:p>
    <w:p w:rsidR="002F3D4E" w:rsidP="002F3D4E" w:rsidRDefault="002F3D4E" w14:paraId="1FD7108C" w14:textId="77777777">
      <w:pPr>
        <w:ind w:left="360"/>
        <w:rPr>
          <w:sz w:val="22"/>
          <w:szCs w:val="22"/>
        </w:rPr>
      </w:pPr>
    </w:p>
    <w:p w:rsidRPr="002F3D4E" w:rsidR="000F14B9" w:rsidP="002F3D4E" w:rsidRDefault="000F14B9" w14:paraId="18A28A54" w14:textId="77777777">
      <w:pPr>
        <w:ind w:left="360"/>
        <w:rPr>
          <w:sz w:val="22"/>
          <w:szCs w:val="22"/>
        </w:rPr>
      </w:pPr>
      <w:r w:rsidRPr="002F3D4E">
        <w:rPr>
          <w:sz w:val="22"/>
          <w:szCs w:val="22"/>
        </w:rPr>
        <w:t xml:space="preserve"> No duplication of effort is caused by this information collection request.</w:t>
      </w:r>
    </w:p>
    <w:p w:rsidRPr="005B3ED4" w:rsidR="000F14B9" w:rsidP="000F14B9" w:rsidRDefault="000F14B9" w14:paraId="2EA16639" w14:textId="77777777">
      <w:pPr>
        <w:rPr>
          <w:sz w:val="22"/>
          <w:szCs w:val="22"/>
        </w:rPr>
      </w:pPr>
    </w:p>
    <w:p w:rsidRPr="005B3ED4" w:rsidR="000F14B9" w:rsidP="000F14B9" w:rsidRDefault="000F14B9" w14:paraId="00DB6AE8" w14:textId="77777777">
      <w:pPr>
        <w:numPr>
          <w:ilvl w:val="0"/>
          <w:numId w:val="2"/>
        </w:numPr>
        <w:tabs>
          <w:tab w:val="clear" w:pos="720"/>
          <w:tab w:val="num" w:pos="360"/>
        </w:tabs>
        <w:ind w:left="360"/>
        <w:rPr>
          <w:sz w:val="22"/>
          <w:szCs w:val="22"/>
        </w:rPr>
      </w:pPr>
      <w:r w:rsidRPr="005B3ED4">
        <w:rPr>
          <w:sz w:val="22"/>
          <w:szCs w:val="22"/>
        </w:rPr>
        <w:t xml:space="preserve">Impact on small businesses or other small entities.  </w:t>
      </w:r>
    </w:p>
    <w:p w:rsidRPr="005B3ED4" w:rsidR="000F14B9" w:rsidP="000F14B9" w:rsidRDefault="000F14B9" w14:paraId="7CA103B8" w14:textId="77777777">
      <w:pPr>
        <w:ind w:left="360"/>
        <w:rPr>
          <w:sz w:val="22"/>
          <w:szCs w:val="22"/>
        </w:rPr>
      </w:pPr>
    </w:p>
    <w:p w:rsidRPr="005B3ED4" w:rsidR="000F14B9" w:rsidP="000F14B9" w:rsidRDefault="000F14B9" w14:paraId="4818A7F3" w14:textId="77777777">
      <w:pPr>
        <w:pStyle w:val="BodyTextIndent3"/>
        <w:ind w:left="360"/>
        <w:rPr>
          <w:sz w:val="22"/>
          <w:szCs w:val="22"/>
        </w:rPr>
      </w:pPr>
      <w:r w:rsidRPr="005B3ED4">
        <w:rPr>
          <w:sz w:val="22"/>
          <w:szCs w:val="22"/>
        </w:rPr>
        <w:t xml:space="preserve">Small entities include “a small organization that is any not-for-profit enterprise that is independently owned and operated and is not dominant in its field” and “a small government jurisdiction which is a government of a city, county, town, township, school district, or special district with a population of less than 50,000.”  </w:t>
      </w:r>
      <w:r w:rsidRPr="00954316">
        <w:rPr>
          <w:sz w:val="22"/>
          <w:szCs w:val="22"/>
        </w:rPr>
        <w:t>Most CDBG entitlement grantees are metropolitan cities with a population of 50,000 or more.</w:t>
      </w:r>
      <w:r w:rsidRPr="005B3ED4">
        <w:rPr>
          <w:sz w:val="22"/>
          <w:szCs w:val="22"/>
        </w:rPr>
        <w:t xml:space="preserve">  However, the HCDA also makes eligible, as CDBG entitlement grantees, principal cities of metropolitan areas, as defined by the Office of Management and Budget (OMB); a principal </w:t>
      </w:r>
      <w:r w:rsidRPr="005B3ED4">
        <w:rPr>
          <w:sz w:val="22"/>
          <w:szCs w:val="22"/>
        </w:rPr>
        <w:lastRenderedPageBreak/>
        <w:t>city does not have to meet the 50,000 - population threshold.  Therefore</w:t>
      </w:r>
      <w:r w:rsidRPr="00491BB5">
        <w:rPr>
          <w:sz w:val="22"/>
          <w:szCs w:val="22"/>
        </w:rPr>
        <w:t>, when a city is identified as a principal city by OMB, it becomes eligible to become a CDBG entitlement grantee.  There are currently 270 CDBG entitlement grantees with populations of less than 50,000.  When a community elects to take its status as an entitlement grantee and receive an annual allocation of CDBG funds, it is required to comply with the reporting and recordkeeping requirements of the program.  As previously described, grantees must also use IDIS to report on their use of CDBG funds and to request drawdowns of funds from their lines of credit.  HUD provides new grantees with access to IDIS, and grantees are allowed to use 20 percent of each grant for the costs of administering their CDBG program.</w:t>
      </w:r>
      <w:r w:rsidRPr="005B3ED4">
        <w:rPr>
          <w:sz w:val="22"/>
          <w:szCs w:val="22"/>
        </w:rPr>
        <w:t xml:space="preserve">  </w:t>
      </w:r>
    </w:p>
    <w:p w:rsidRPr="005B3ED4" w:rsidR="000F14B9" w:rsidP="000F14B9" w:rsidRDefault="000F14B9" w14:paraId="74EFEF43" w14:textId="77777777">
      <w:pPr>
        <w:ind w:left="360"/>
        <w:rPr>
          <w:sz w:val="22"/>
          <w:szCs w:val="22"/>
        </w:rPr>
      </w:pPr>
    </w:p>
    <w:p w:rsidRPr="005B3ED4" w:rsidR="000F14B9" w:rsidP="000F14B9" w:rsidRDefault="000F14B9" w14:paraId="33BAE350" w14:textId="77777777">
      <w:pPr>
        <w:ind w:left="360"/>
        <w:rPr>
          <w:sz w:val="22"/>
          <w:szCs w:val="22"/>
        </w:rPr>
      </w:pPr>
      <w:r w:rsidRPr="005B3ED4">
        <w:rPr>
          <w:sz w:val="22"/>
          <w:szCs w:val="22"/>
        </w:rPr>
        <w:t>Many CDBG entitlement grantees provide assistance to non-profit organizations to carry out eligible activities.  Those non-profit organizations are required to provide the grantee with the information the grantee needs to document the compliance of the activity with program requirements and to allow the grantee to report the use of funds in IDIS.  Information on required reporting and recordkeeping is identified in the written subrecipient agreement executed between the grantee and the non-profit.</w:t>
      </w:r>
    </w:p>
    <w:p w:rsidRPr="005B3ED4" w:rsidR="000F14B9" w:rsidP="000F14B9" w:rsidRDefault="000F14B9" w14:paraId="23AF4536" w14:textId="77777777">
      <w:pPr>
        <w:ind w:left="360"/>
        <w:rPr>
          <w:sz w:val="22"/>
          <w:szCs w:val="22"/>
        </w:rPr>
      </w:pPr>
    </w:p>
    <w:p w:rsidRPr="005B3ED4" w:rsidR="000F14B9" w:rsidP="000F14B9" w:rsidRDefault="000F14B9" w14:paraId="15FEF798" w14:textId="77777777">
      <w:pPr>
        <w:numPr>
          <w:ilvl w:val="0"/>
          <w:numId w:val="2"/>
        </w:numPr>
        <w:tabs>
          <w:tab w:val="clear" w:pos="720"/>
          <w:tab w:val="num" w:pos="360"/>
        </w:tabs>
        <w:ind w:left="360"/>
        <w:rPr>
          <w:sz w:val="22"/>
          <w:szCs w:val="22"/>
        </w:rPr>
      </w:pPr>
      <w:r w:rsidRPr="005B3ED4">
        <w:rPr>
          <w:sz w:val="22"/>
          <w:szCs w:val="22"/>
        </w:rPr>
        <w:t>Describe the consequence to Federal program or policy activities if the collection is not conducted or is conducted less frequently.</w:t>
      </w:r>
    </w:p>
    <w:p w:rsidRPr="005B3ED4" w:rsidR="000F14B9" w:rsidP="000F14B9" w:rsidRDefault="000F14B9" w14:paraId="716D46ED" w14:textId="77777777">
      <w:pPr>
        <w:rPr>
          <w:sz w:val="22"/>
          <w:szCs w:val="22"/>
        </w:rPr>
      </w:pPr>
    </w:p>
    <w:p w:rsidRPr="005B3ED4" w:rsidR="000F14B9" w:rsidP="000F14B9" w:rsidRDefault="000F14B9" w14:paraId="0846E198" w14:textId="77777777">
      <w:pPr>
        <w:tabs>
          <w:tab w:val="left" w:pos="360"/>
        </w:tabs>
        <w:ind w:left="360"/>
        <w:rPr>
          <w:sz w:val="22"/>
          <w:szCs w:val="22"/>
        </w:rPr>
      </w:pPr>
      <w:r w:rsidRPr="005B3ED4">
        <w:rPr>
          <w:sz w:val="22"/>
          <w:szCs w:val="22"/>
        </w:rPr>
        <w:t xml:space="preserve">If no records are collected on this aspect of the program, </w:t>
      </w:r>
      <w:r w:rsidRPr="009C3DB5">
        <w:rPr>
          <w:sz w:val="22"/>
          <w:szCs w:val="22"/>
        </w:rPr>
        <w:t>program performance/regulatory compliance will not be able to be determined.</w:t>
      </w:r>
      <w:r w:rsidRPr="005B3ED4">
        <w:rPr>
          <w:sz w:val="22"/>
          <w:szCs w:val="22"/>
        </w:rPr>
        <w:t xml:space="preserve">  Title I </w:t>
      </w:r>
      <w:r>
        <w:rPr>
          <w:sz w:val="22"/>
          <w:szCs w:val="22"/>
        </w:rPr>
        <w:t xml:space="preserve">of the HCDA </w:t>
      </w:r>
      <w:r w:rsidRPr="005B3ED4">
        <w:rPr>
          <w:sz w:val="22"/>
          <w:szCs w:val="22"/>
        </w:rPr>
        <w:t xml:space="preserve">precludes a less frequent information collection.  </w:t>
      </w:r>
      <w:r w:rsidRPr="00EA5744">
        <w:rPr>
          <w:sz w:val="22"/>
          <w:szCs w:val="22"/>
        </w:rPr>
        <w:t>More importantly, the information being collected is the minimum necessary to implement the statute and achieve its stated purposes and objective.</w:t>
      </w:r>
    </w:p>
    <w:p w:rsidRPr="005B3ED4" w:rsidR="000F14B9" w:rsidP="000F14B9" w:rsidRDefault="000F14B9" w14:paraId="2249427C" w14:textId="77777777">
      <w:pPr>
        <w:tabs>
          <w:tab w:val="left" w:pos="360"/>
        </w:tabs>
        <w:ind w:left="360"/>
        <w:rPr>
          <w:sz w:val="22"/>
          <w:szCs w:val="22"/>
        </w:rPr>
      </w:pPr>
    </w:p>
    <w:p w:rsidRPr="005B3ED4" w:rsidR="000F14B9" w:rsidP="000F14B9" w:rsidRDefault="000F14B9" w14:paraId="6F8866B6" w14:textId="77777777">
      <w:pPr>
        <w:ind w:left="360"/>
        <w:rPr>
          <w:sz w:val="22"/>
          <w:szCs w:val="22"/>
        </w:rPr>
      </w:pPr>
      <w:r w:rsidRPr="005B3ED4">
        <w:rPr>
          <w:sz w:val="22"/>
          <w:szCs w:val="22"/>
        </w:rPr>
        <w:t>Entitlement grantees are required by Section 104(e) of the HCDA to submit a performance report, which is necessary for the Secretary to perform an annual review of performance required by that section of the law, as well as providing the information to Congress, upon request.</w:t>
      </w:r>
    </w:p>
    <w:p w:rsidRPr="005B3ED4" w:rsidR="000F14B9" w:rsidP="000F14B9" w:rsidRDefault="000F14B9" w14:paraId="5ED941E3" w14:textId="77777777">
      <w:pPr>
        <w:ind w:left="360"/>
        <w:rPr>
          <w:sz w:val="22"/>
          <w:szCs w:val="22"/>
        </w:rPr>
      </w:pPr>
    </w:p>
    <w:p w:rsidR="000F14B9" w:rsidP="000F14B9" w:rsidRDefault="000F14B9" w14:paraId="4FC17F59" w14:textId="77777777">
      <w:pPr>
        <w:numPr>
          <w:ilvl w:val="0"/>
          <w:numId w:val="2"/>
        </w:numPr>
        <w:tabs>
          <w:tab w:val="clear" w:pos="720"/>
          <w:tab w:val="num" w:pos="360"/>
        </w:tabs>
        <w:ind w:left="360"/>
        <w:rPr>
          <w:sz w:val="22"/>
          <w:szCs w:val="22"/>
        </w:rPr>
      </w:pPr>
      <w:r w:rsidRPr="005B3ED4">
        <w:rPr>
          <w:sz w:val="22"/>
          <w:szCs w:val="22"/>
        </w:rPr>
        <w:t>Explain any special circumstances that would cause an information collection to be conducted in a manner (eight items listed that would impose additional workload burden on recipients).</w:t>
      </w:r>
    </w:p>
    <w:p w:rsidR="006B571E" w:rsidP="006B571E" w:rsidRDefault="006B571E" w14:paraId="4D3F6A06" w14:textId="77777777">
      <w:pPr>
        <w:ind w:left="360"/>
        <w:rPr>
          <w:sz w:val="22"/>
          <w:szCs w:val="22"/>
        </w:rPr>
      </w:pPr>
    </w:p>
    <w:p w:rsidR="006B571E" w:rsidP="006B571E" w:rsidRDefault="00491E8E" w14:paraId="14D34937" w14:textId="77777777">
      <w:pPr>
        <w:pStyle w:val="ListParagraph"/>
        <w:numPr>
          <w:ilvl w:val="0"/>
          <w:numId w:val="3"/>
        </w:numPr>
        <w:ind w:left="720"/>
        <w:rPr>
          <w:sz w:val="22"/>
          <w:szCs w:val="22"/>
        </w:rPr>
      </w:pPr>
      <w:r w:rsidRPr="006B571E">
        <w:rPr>
          <w:sz w:val="22"/>
          <w:szCs w:val="22"/>
        </w:rPr>
        <w:t>requiring respondents to report information to the agency more than quarterly; N/A</w:t>
      </w:r>
    </w:p>
    <w:p w:rsidR="006B571E" w:rsidP="006B571E" w:rsidRDefault="00491E8E" w14:paraId="08AC7F14" w14:textId="77777777">
      <w:pPr>
        <w:pStyle w:val="ListParagraph"/>
        <w:numPr>
          <w:ilvl w:val="0"/>
          <w:numId w:val="3"/>
        </w:numPr>
        <w:ind w:left="720"/>
        <w:rPr>
          <w:sz w:val="22"/>
          <w:szCs w:val="22"/>
        </w:rPr>
      </w:pPr>
      <w:r w:rsidRPr="006B571E">
        <w:rPr>
          <w:sz w:val="22"/>
          <w:szCs w:val="22"/>
        </w:rPr>
        <w:t>requiring respondents to prepare a written response to a collection of information in fewer than 30 days after receipt of it; N/A</w:t>
      </w:r>
    </w:p>
    <w:p w:rsidR="006B571E" w:rsidP="00491E8E" w:rsidRDefault="00491E8E" w14:paraId="5C93C94D" w14:textId="77777777">
      <w:pPr>
        <w:pStyle w:val="ListParagraph"/>
        <w:numPr>
          <w:ilvl w:val="0"/>
          <w:numId w:val="3"/>
        </w:numPr>
        <w:ind w:left="360" w:firstLine="0"/>
        <w:rPr>
          <w:sz w:val="22"/>
          <w:szCs w:val="22"/>
        </w:rPr>
      </w:pPr>
      <w:r w:rsidRPr="006B571E">
        <w:rPr>
          <w:sz w:val="22"/>
          <w:szCs w:val="22"/>
        </w:rPr>
        <w:t>requiring respondents to submit more than an original and two copies of any document; N/A</w:t>
      </w:r>
    </w:p>
    <w:p w:rsidR="006B571E" w:rsidP="00491E8E" w:rsidRDefault="00491E8E" w14:paraId="2C9E812A" w14:textId="77777777">
      <w:pPr>
        <w:pStyle w:val="ListParagraph"/>
        <w:numPr>
          <w:ilvl w:val="0"/>
          <w:numId w:val="3"/>
        </w:numPr>
        <w:ind w:left="360" w:firstLine="0"/>
        <w:rPr>
          <w:sz w:val="22"/>
          <w:szCs w:val="22"/>
        </w:rPr>
      </w:pPr>
      <w:r w:rsidRPr="006B571E">
        <w:rPr>
          <w:sz w:val="22"/>
          <w:szCs w:val="22"/>
        </w:rPr>
        <w:t>requiring respondents to retain records other than health, medical, government contract, grant-in-</w:t>
      </w:r>
    </w:p>
    <w:p w:rsidR="006B571E" w:rsidP="006B571E" w:rsidRDefault="00491E8E" w14:paraId="57CDFB34" w14:textId="77777777">
      <w:pPr>
        <w:pStyle w:val="ListParagraph"/>
        <w:ind w:left="360" w:firstLine="360"/>
        <w:rPr>
          <w:sz w:val="22"/>
          <w:szCs w:val="22"/>
        </w:rPr>
      </w:pPr>
      <w:r w:rsidRPr="006B571E">
        <w:rPr>
          <w:sz w:val="22"/>
          <w:szCs w:val="22"/>
        </w:rPr>
        <w:t>aid, or tax records for more than three years; N/A</w:t>
      </w:r>
    </w:p>
    <w:p w:rsidR="006B571E" w:rsidP="006B571E" w:rsidRDefault="00491E8E" w14:paraId="142AD6A8" w14:textId="77777777">
      <w:pPr>
        <w:pStyle w:val="ListParagraph"/>
        <w:numPr>
          <w:ilvl w:val="0"/>
          <w:numId w:val="3"/>
        </w:numPr>
        <w:ind w:left="720"/>
        <w:rPr>
          <w:sz w:val="22"/>
          <w:szCs w:val="22"/>
        </w:rPr>
      </w:pPr>
      <w:r w:rsidRPr="006B571E">
        <w:rPr>
          <w:sz w:val="22"/>
          <w:szCs w:val="22"/>
        </w:rPr>
        <w:t>in connection with a statistical survey, that is not designed to produce valid and reliable results than can be generalized to the universe of study; N/A</w:t>
      </w:r>
    </w:p>
    <w:p w:rsidR="006B571E" w:rsidP="006B571E" w:rsidRDefault="00491E8E" w14:paraId="4A799990" w14:textId="77777777">
      <w:pPr>
        <w:pStyle w:val="ListParagraph"/>
        <w:numPr>
          <w:ilvl w:val="0"/>
          <w:numId w:val="3"/>
        </w:numPr>
        <w:ind w:left="360" w:firstLine="0"/>
        <w:rPr>
          <w:sz w:val="22"/>
          <w:szCs w:val="22"/>
        </w:rPr>
      </w:pPr>
      <w:r w:rsidRPr="006B571E">
        <w:rPr>
          <w:sz w:val="22"/>
          <w:szCs w:val="22"/>
        </w:rPr>
        <w:t>requiring the use of a statistical data classification that has not been reviewed and approved</w:t>
      </w:r>
    </w:p>
    <w:p w:rsidR="006B571E" w:rsidP="006B571E" w:rsidRDefault="00491E8E" w14:paraId="3604FB6F" w14:textId="77777777">
      <w:pPr>
        <w:pStyle w:val="ListParagraph"/>
        <w:ind w:left="360" w:firstLine="360"/>
        <w:rPr>
          <w:sz w:val="22"/>
          <w:szCs w:val="22"/>
        </w:rPr>
      </w:pPr>
      <w:r w:rsidRPr="006B571E">
        <w:rPr>
          <w:sz w:val="22"/>
          <w:szCs w:val="22"/>
        </w:rPr>
        <w:t>by OMB; N/A</w:t>
      </w:r>
    </w:p>
    <w:p w:rsidR="006B571E" w:rsidP="006B571E" w:rsidRDefault="00491E8E" w14:paraId="782EAE28" w14:textId="77777777">
      <w:pPr>
        <w:pStyle w:val="ListParagraph"/>
        <w:numPr>
          <w:ilvl w:val="0"/>
          <w:numId w:val="3"/>
        </w:numPr>
        <w:ind w:left="360" w:firstLine="0"/>
        <w:rPr>
          <w:sz w:val="22"/>
          <w:szCs w:val="22"/>
        </w:rPr>
      </w:pPr>
      <w:r w:rsidRPr="006B571E">
        <w:rPr>
          <w:sz w:val="22"/>
          <w:szCs w:val="22"/>
        </w:rPr>
        <w:t>that includes a pledge of confidentiality that is not supported by authority established in statute or</w:t>
      </w:r>
    </w:p>
    <w:p w:rsidR="006B571E" w:rsidP="006B571E" w:rsidRDefault="00491E8E" w14:paraId="31DC36C2" w14:textId="77777777">
      <w:pPr>
        <w:pStyle w:val="ListParagraph"/>
        <w:ind w:left="360" w:firstLine="360"/>
        <w:rPr>
          <w:sz w:val="22"/>
          <w:szCs w:val="22"/>
        </w:rPr>
      </w:pPr>
      <w:r w:rsidRPr="006B571E">
        <w:rPr>
          <w:sz w:val="22"/>
          <w:szCs w:val="22"/>
        </w:rPr>
        <w:t xml:space="preserve">regulation, that is not supported by disclosure and data security policies that are consistent with </w:t>
      </w:r>
    </w:p>
    <w:p w:rsidR="006B571E" w:rsidP="006B571E" w:rsidRDefault="00491E8E" w14:paraId="682D7EA0" w14:textId="77777777">
      <w:pPr>
        <w:pStyle w:val="ListParagraph"/>
        <w:ind w:left="360" w:firstLine="360"/>
        <w:rPr>
          <w:sz w:val="22"/>
          <w:szCs w:val="22"/>
        </w:rPr>
      </w:pPr>
      <w:r w:rsidRPr="006B571E">
        <w:rPr>
          <w:sz w:val="22"/>
          <w:szCs w:val="22"/>
        </w:rPr>
        <w:t xml:space="preserve">the pledge, or which unnecessarily impedes sharing of data with other agencies for compatible </w:t>
      </w:r>
    </w:p>
    <w:p w:rsidR="006B571E" w:rsidP="006B571E" w:rsidRDefault="00491E8E" w14:paraId="345FAB46" w14:textId="77777777">
      <w:pPr>
        <w:pStyle w:val="ListParagraph"/>
        <w:ind w:left="360" w:firstLine="360"/>
        <w:rPr>
          <w:sz w:val="22"/>
          <w:szCs w:val="22"/>
        </w:rPr>
      </w:pPr>
      <w:r w:rsidRPr="006B571E">
        <w:rPr>
          <w:sz w:val="22"/>
          <w:szCs w:val="22"/>
        </w:rPr>
        <w:t xml:space="preserve">confidential use; or N/A </w:t>
      </w:r>
    </w:p>
    <w:p w:rsidR="006B571E" w:rsidP="006B571E" w:rsidRDefault="006B571E" w14:paraId="553A6C87" w14:textId="77777777">
      <w:pPr>
        <w:pStyle w:val="ListParagraph"/>
        <w:ind w:left="360" w:firstLine="360"/>
        <w:rPr>
          <w:sz w:val="22"/>
          <w:szCs w:val="22"/>
        </w:rPr>
      </w:pPr>
    </w:p>
    <w:p w:rsidR="006B571E" w:rsidP="006B571E" w:rsidRDefault="006B571E" w14:paraId="3D62578D" w14:textId="77777777">
      <w:pPr>
        <w:pStyle w:val="ListParagraph"/>
        <w:ind w:left="360" w:firstLine="360"/>
        <w:rPr>
          <w:sz w:val="22"/>
          <w:szCs w:val="22"/>
        </w:rPr>
      </w:pPr>
    </w:p>
    <w:p w:rsidR="006B571E" w:rsidP="006B571E" w:rsidRDefault="006B571E" w14:paraId="00C59445" w14:textId="77777777">
      <w:pPr>
        <w:pStyle w:val="ListParagraph"/>
        <w:ind w:left="360" w:firstLine="360"/>
        <w:rPr>
          <w:sz w:val="22"/>
          <w:szCs w:val="22"/>
        </w:rPr>
      </w:pPr>
    </w:p>
    <w:p w:rsidR="006B571E" w:rsidP="006B571E" w:rsidRDefault="006B571E" w14:paraId="36D5B897" w14:textId="77777777">
      <w:pPr>
        <w:pStyle w:val="ListParagraph"/>
        <w:ind w:left="360" w:firstLine="360"/>
        <w:rPr>
          <w:sz w:val="22"/>
          <w:szCs w:val="22"/>
        </w:rPr>
      </w:pPr>
    </w:p>
    <w:p w:rsidR="006B571E" w:rsidP="006B571E" w:rsidRDefault="006B571E" w14:paraId="40174210" w14:textId="77777777">
      <w:pPr>
        <w:pStyle w:val="ListParagraph"/>
        <w:ind w:left="360" w:firstLine="360"/>
        <w:rPr>
          <w:sz w:val="22"/>
          <w:szCs w:val="22"/>
        </w:rPr>
      </w:pPr>
    </w:p>
    <w:p w:rsidR="006B571E" w:rsidP="006B571E" w:rsidRDefault="00491E8E" w14:paraId="574E3082" w14:textId="77777777">
      <w:pPr>
        <w:pStyle w:val="ListParagraph"/>
        <w:numPr>
          <w:ilvl w:val="0"/>
          <w:numId w:val="3"/>
        </w:numPr>
        <w:ind w:left="360" w:firstLine="0"/>
        <w:rPr>
          <w:sz w:val="22"/>
          <w:szCs w:val="22"/>
        </w:rPr>
      </w:pPr>
      <w:r w:rsidRPr="006B571E">
        <w:rPr>
          <w:sz w:val="22"/>
          <w:szCs w:val="22"/>
        </w:rPr>
        <w:lastRenderedPageBreak/>
        <w:t xml:space="preserve">requiring respondents to submit proprietary trade secret, or other confidential information unless </w:t>
      </w:r>
    </w:p>
    <w:p w:rsidR="006B571E" w:rsidP="006B571E" w:rsidRDefault="00491E8E" w14:paraId="6DA7DD1D" w14:textId="77777777">
      <w:pPr>
        <w:pStyle w:val="ListParagraph"/>
        <w:ind w:left="360" w:firstLine="360"/>
        <w:rPr>
          <w:sz w:val="22"/>
          <w:szCs w:val="22"/>
        </w:rPr>
      </w:pPr>
      <w:r w:rsidRPr="006B571E">
        <w:rPr>
          <w:sz w:val="22"/>
          <w:szCs w:val="22"/>
        </w:rPr>
        <w:t xml:space="preserve">the agency can demonstrate that it has instituted procedures to protect the information's </w:t>
      </w:r>
    </w:p>
    <w:p w:rsidRPr="006B571E" w:rsidR="00491E8E" w:rsidP="006B571E" w:rsidRDefault="00491E8E" w14:paraId="5BDAA555" w14:textId="77777777">
      <w:pPr>
        <w:pStyle w:val="ListParagraph"/>
        <w:ind w:left="360" w:firstLine="360"/>
        <w:rPr>
          <w:sz w:val="22"/>
          <w:szCs w:val="22"/>
        </w:rPr>
      </w:pPr>
      <w:r w:rsidRPr="006B571E">
        <w:rPr>
          <w:sz w:val="22"/>
          <w:szCs w:val="22"/>
        </w:rPr>
        <w:t>confidentiality to the extent permitted by law</w:t>
      </w:r>
      <w:r w:rsidRPr="006B571E" w:rsidR="00725888">
        <w:rPr>
          <w:sz w:val="22"/>
          <w:szCs w:val="22"/>
        </w:rPr>
        <w:t>.</w:t>
      </w:r>
      <w:r w:rsidRPr="006B571E">
        <w:rPr>
          <w:sz w:val="22"/>
          <w:szCs w:val="22"/>
        </w:rPr>
        <w:t xml:space="preserve">  N/A</w:t>
      </w:r>
    </w:p>
    <w:p w:rsidRPr="005B3ED4" w:rsidR="000F14B9" w:rsidP="000F14B9" w:rsidRDefault="000F14B9" w14:paraId="6E059B32" w14:textId="77777777">
      <w:pPr>
        <w:rPr>
          <w:sz w:val="22"/>
          <w:szCs w:val="22"/>
        </w:rPr>
      </w:pPr>
    </w:p>
    <w:p w:rsidRPr="005B3ED4" w:rsidR="000F14B9" w:rsidP="000F14B9" w:rsidRDefault="000F14B9" w14:paraId="681FCDE4" w14:textId="77777777">
      <w:pPr>
        <w:ind w:left="360"/>
        <w:rPr>
          <w:sz w:val="22"/>
          <w:szCs w:val="22"/>
        </w:rPr>
      </w:pPr>
      <w:r w:rsidRPr="005B3ED4">
        <w:rPr>
          <w:sz w:val="22"/>
          <w:szCs w:val="22"/>
        </w:rPr>
        <w:t>There are no special circumstances that would cause this information collection to be conducted in a manner that would impose one or more of the additional requirements identified under this item.</w:t>
      </w:r>
    </w:p>
    <w:p w:rsidRPr="005B3ED4" w:rsidR="000F14B9" w:rsidP="000F14B9" w:rsidRDefault="000F14B9" w14:paraId="272A8011" w14:textId="77777777">
      <w:pPr>
        <w:tabs>
          <w:tab w:val="left" w:pos="360"/>
        </w:tabs>
        <w:ind w:left="360" w:hanging="360"/>
        <w:rPr>
          <w:sz w:val="22"/>
          <w:szCs w:val="22"/>
        </w:rPr>
      </w:pPr>
    </w:p>
    <w:p w:rsidRPr="005B3ED4" w:rsidR="000F14B9" w:rsidP="000F14B9" w:rsidRDefault="000F14B9" w14:paraId="247FD6A8" w14:textId="173E35B2">
      <w:pPr>
        <w:numPr>
          <w:ilvl w:val="0"/>
          <w:numId w:val="2"/>
        </w:numPr>
        <w:tabs>
          <w:tab w:val="left" w:pos="360"/>
        </w:tabs>
        <w:ind w:left="360"/>
        <w:rPr>
          <w:sz w:val="22"/>
          <w:szCs w:val="22"/>
        </w:rPr>
      </w:pPr>
      <w:r w:rsidRPr="005B3ED4">
        <w:rPr>
          <w:sz w:val="22"/>
          <w:szCs w:val="22"/>
        </w:rPr>
        <w:t>HUD published a notice describing the Paperwork Reduction Act Submission in the Federal Register on</w:t>
      </w:r>
      <w:r>
        <w:rPr>
          <w:sz w:val="22"/>
          <w:szCs w:val="22"/>
        </w:rPr>
        <w:t xml:space="preserve"> </w:t>
      </w:r>
      <w:r w:rsidR="00D24E6E">
        <w:rPr>
          <w:sz w:val="22"/>
          <w:szCs w:val="22"/>
        </w:rPr>
        <w:t>August 18, 2021, vol 86, page 46265</w:t>
      </w:r>
      <w:r w:rsidR="004B29E6">
        <w:rPr>
          <w:sz w:val="22"/>
          <w:szCs w:val="22"/>
        </w:rPr>
        <w:t xml:space="preserve"> </w:t>
      </w:r>
      <w:r w:rsidRPr="005B3ED4">
        <w:rPr>
          <w:sz w:val="22"/>
          <w:szCs w:val="22"/>
        </w:rPr>
        <w:t>for 60 days, and no comments were received.</w:t>
      </w:r>
    </w:p>
    <w:p w:rsidRPr="005B3ED4" w:rsidR="000F14B9" w:rsidP="000F14B9" w:rsidRDefault="000F14B9" w14:paraId="575AB3A3" w14:textId="77777777">
      <w:pPr>
        <w:tabs>
          <w:tab w:val="left" w:pos="360"/>
        </w:tabs>
        <w:ind w:left="360" w:hanging="360"/>
        <w:rPr>
          <w:sz w:val="22"/>
          <w:szCs w:val="22"/>
        </w:rPr>
      </w:pPr>
    </w:p>
    <w:p w:rsidR="000F14B9" w:rsidP="000F14B9" w:rsidRDefault="000F14B9" w14:paraId="4DAA4E6E" w14:textId="77777777">
      <w:pPr>
        <w:numPr>
          <w:ilvl w:val="0"/>
          <w:numId w:val="2"/>
        </w:numPr>
        <w:tabs>
          <w:tab w:val="left" w:pos="360"/>
        </w:tabs>
        <w:ind w:left="360"/>
        <w:rPr>
          <w:sz w:val="22"/>
          <w:szCs w:val="22"/>
        </w:rPr>
      </w:pPr>
      <w:r w:rsidRPr="005B3ED4">
        <w:rPr>
          <w:sz w:val="22"/>
          <w:szCs w:val="22"/>
        </w:rPr>
        <w:t>Explain any decision to provide any payment or gift to respondents and the basis for the assurance in statute, regulation, or agency policy.</w:t>
      </w:r>
    </w:p>
    <w:p w:rsidR="00A830F3" w:rsidP="00A830F3" w:rsidRDefault="00A830F3" w14:paraId="198FA01D" w14:textId="77777777">
      <w:pPr>
        <w:pStyle w:val="ListParagraph"/>
        <w:rPr>
          <w:sz w:val="22"/>
          <w:szCs w:val="22"/>
        </w:rPr>
      </w:pPr>
    </w:p>
    <w:p w:rsidRPr="005B3ED4" w:rsidR="000F14B9" w:rsidP="000F14B9" w:rsidRDefault="000F14B9" w14:paraId="35FE3D52" w14:textId="77777777">
      <w:pPr>
        <w:tabs>
          <w:tab w:val="left" w:pos="360"/>
        </w:tabs>
        <w:ind w:left="360" w:hanging="360"/>
        <w:rPr>
          <w:sz w:val="22"/>
          <w:szCs w:val="22"/>
        </w:rPr>
      </w:pPr>
      <w:r w:rsidRPr="005B3ED4">
        <w:rPr>
          <w:sz w:val="22"/>
          <w:szCs w:val="22"/>
        </w:rPr>
        <w:tab/>
        <w:t>Not applicable.  No payment or gifts are provided to any respondents for any information.</w:t>
      </w:r>
    </w:p>
    <w:p w:rsidRPr="005B3ED4" w:rsidR="000F14B9" w:rsidP="000F14B9" w:rsidRDefault="000F14B9" w14:paraId="758342E2" w14:textId="77777777">
      <w:pPr>
        <w:tabs>
          <w:tab w:val="left" w:pos="360"/>
        </w:tabs>
        <w:ind w:left="360" w:hanging="360"/>
        <w:rPr>
          <w:sz w:val="22"/>
          <w:szCs w:val="22"/>
        </w:rPr>
      </w:pPr>
    </w:p>
    <w:p w:rsidR="000F14B9" w:rsidP="000F14B9" w:rsidRDefault="000F14B9" w14:paraId="47A9DEF9" w14:textId="77777777">
      <w:pPr>
        <w:numPr>
          <w:ilvl w:val="0"/>
          <w:numId w:val="2"/>
        </w:numPr>
        <w:tabs>
          <w:tab w:val="left" w:pos="360"/>
        </w:tabs>
        <w:ind w:left="360"/>
        <w:rPr>
          <w:sz w:val="22"/>
          <w:szCs w:val="22"/>
        </w:rPr>
      </w:pPr>
      <w:r w:rsidRPr="005B3ED4">
        <w:rPr>
          <w:sz w:val="22"/>
          <w:szCs w:val="22"/>
        </w:rPr>
        <w:t>Describe any assurance of confidentiality provided to respondents and the basis for the assurance in statute, regulation, or agency policy.</w:t>
      </w:r>
    </w:p>
    <w:p w:rsidRPr="005B3ED4" w:rsidR="00A830F3" w:rsidP="00A830F3" w:rsidRDefault="00A830F3" w14:paraId="5ADBCE7F" w14:textId="77777777">
      <w:pPr>
        <w:tabs>
          <w:tab w:val="left" w:pos="360"/>
        </w:tabs>
        <w:ind w:left="360"/>
        <w:rPr>
          <w:sz w:val="22"/>
          <w:szCs w:val="22"/>
        </w:rPr>
      </w:pPr>
    </w:p>
    <w:p w:rsidRPr="005B3ED4" w:rsidR="000F14B9" w:rsidP="000F14B9" w:rsidRDefault="000F14B9" w14:paraId="3D8DC863" w14:textId="77777777">
      <w:pPr>
        <w:tabs>
          <w:tab w:val="left" w:pos="360"/>
        </w:tabs>
        <w:ind w:left="360" w:hanging="360"/>
        <w:rPr>
          <w:sz w:val="22"/>
          <w:szCs w:val="22"/>
        </w:rPr>
      </w:pPr>
      <w:r w:rsidRPr="005B3ED4">
        <w:rPr>
          <w:sz w:val="22"/>
          <w:szCs w:val="22"/>
        </w:rPr>
        <w:tab/>
        <w:t>24 CFR 570.508 of the CDBG regulations states that grantees shall provide citizens with reasonable access to records regarding the past use of CDBG funds, consistent with applicable State and local laws regarding privacy and obligations of confidentiality.</w:t>
      </w:r>
    </w:p>
    <w:p w:rsidRPr="005B3ED4" w:rsidR="000F14B9" w:rsidP="000F14B9" w:rsidRDefault="000F14B9" w14:paraId="034D472C" w14:textId="77777777">
      <w:pPr>
        <w:tabs>
          <w:tab w:val="left" w:pos="360"/>
        </w:tabs>
        <w:ind w:left="360" w:hanging="360"/>
        <w:rPr>
          <w:sz w:val="22"/>
          <w:szCs w:val="22"/>
        </w:rPr>
      </w:pPr>
    </w:p>
    <w:p w:rsidRPr="005B3ED4" w:rsidR="000F14B9" w:rsidP="000F14B9" w:rsidRDefault="000F14B9" w14:paraId="46B02838" w14:textId="77777777">
      <w:pPr>
        <w:numPr>
          <w:ilvl w:val="0"/>
          <w:numId w:val="2"/>
        </w:numPr>
        <w:tabs>
          <w:tab w:val="left" w:pos="360"/>
        </w:tabs>
        <w:ind w:left="360"/>
        <w:rPr>
          <w:sz w:val="22"/>
          <w:szCs w:val="22"/>
        </w:rPr>
      </w:pPr>
      <w:r w:rsidRPr="005B3ED4">
        <w:rPr>
          <w:sz w:val="22"/>
          <w:szCs w:val="22"/>
        </w:rPr>
        <w:t>Provide additional justification for any questions of a sensitive nature.</w:t>
      </w:r>
    </w:p>
    <w:p w:rsidR="006B571E" w:rsidP="006B571E" w:rsidRDefault="006B571E" w14:paraId="6F03BFE3" w14:textId="77777777">
      <w:pPr>
        <w:tabs>
          <w:tab w:val="left" w:pos="360"/>
        </w:tabs>
        <w:ind w:left="360"/>
        <w:rPr>
          <w:sz w:val="22"/>
          <w:szCs w:val="22"/>
        </w:rPr>
      </w:pPr>
    </w:p>
    <w:p w:rsidRPr="005B3ED4" w:rsidR="000F14B9" w:rsidP="000F14B9" w:rsidRDefault="006B571E" w14:paraId="7DE56C9C" w14:textId="77777777">
      <w:pPr>
        <w:tabs>
          <w:tab w:val="left" w:pos="360"/>
        </w:tabs>
        <w:ind w:left="360" w:hanging="360"/>
        <w:rPr>
          <w:sz w:val="22"/>
          <w:szCs w:val="22"/>
        </w:rPr>
      </w:pPr>
      <w:r>
        <w:rPr>
          <w:sz w:val="22"/>
          <w:szCs w:val="22"/>
        </w:rPr>
        <w:tab/>
      </w:r>
      <w:r w:rsidRPr="005B3ED4" w:rsidR="000F14B9">
        <w:rPr>
          <w:sz w:val="22"/>
          <w:szCs w:val="22"/>
        </w:rPr>
        <w:t xml:space="preserve">Not applicable.  </w:t>
      </w:r>
      <w:r w:rsidRPr="009C3DB5" w:rsidR="000F14B9">
        <w:rPr>
          <w:sz w:val="22"/>
          <w:szCs w:val="22"/>
        </w:rPr>
        <w:t>The information collection request does not include any sensitive questions.</w:t>
      </w:r>
    </w:p>
    <w:p w:rsidRPr="005B3ED4" w:rsidR="000F14B9" w:rsidP="000F14B9" w:rsidRDefault="000F14B9" w14:paraId="65849455" w14:textId="77777777">
      <w:pPr>
        <w:tabs>
          <w:tab w:val="left" w:pos="360"/>
        </w:tabs>
        <w:ind w:left="360" w:hanging="360"/>
        <w:rPr>
          <w:sz w:val="22"/>
          <w:szCs w:val="22"/>
        </w:rPr>
      </w:pPr>
    </w:p>
    <w:p w:rsidR="000F14B9" w:rsidP="000F14B9" w:rsidRDefault="000F14B9" w14:paraId="2A3B5DDE" w14:textId="77777777">
      <w:pPr>
        <w:numPr>
          <w:ilvl w:val="0"/>
          <w:numId w:val="2"/>
        </w:numPr>
        <w:tabs>
          <w:tab w:val="left" w:pos="360"/>
        </w:tabs>
        <w:spacing w:after="120"/>
        <w:ind w:left="360"/>
        <w:rPr>
          <w:sz w:val="22"/>
          <w:szCs w:val="22"/>
        </w:rPr>
      </w:pPr>
      <w:r w:rsidRPr="005B3ED4">
        <w:rPr>
          <w:sz w:val="22"/>
          <w:szCs w:val="22"/>
        </w:rPr>
        <w:t>Provide estimates of the hour burden of the collection of information.</w:t>
      </w:r>
    </w:p>
    <w:p w:rsidR="00526EF9" w:rsidP="00526EF9" w:rsidRDefault="00526EF9" w14:paraId="428CD116" w14:textId="77777777">
      <w:pPr>
        <w:tabs>
          <w:tab w:val="left" w:pos="360"/>
        </w:tabs>
        <w:spacing w:after="120"/>
        <w:rPr>
          <w:sz w:val="22"/>
          <w:szCs w:val="22"/>
        </w:rPr>
      </w:pPr>
    </w:p>
    <w:tbl>
      <w:tblPr>
        <w:tblW w:w="0" w:type="auto"/>
        <w:tblInd w:w="-370" w:type="dxa"/>
        <w:tblCellMar>
          <w:left w:w="0" w:type="dxa"/>
          <w:right w:w="0" w:type="dxa"/>
        </w:tblCellMar>
        <w:tblLook w:val="04A0" w:firstRow="1" w:lastRow="0" w:firstColumn="1" w:lastColumn="0" w:noHBand="0" w:noVBand="1"/>
      </w:tblPr>
      <w:tblGrid>
        <w:gridCol w:w="1563"/>
        <w:gridCol w:w="1306"/>
        <w:gridCol w:w="1128"/>
        <w:gridCol w:w="1095"/>
        <w:gridCol w:w="1018"/>
        <w:gridCol w:w="1116"/>
        <w:gridCol w:w="1018"/>
        <w:gridCol w:w="1466"/>
      </w:tblGrid>
      <w:tr w:rsidRPr="00526EF9" w:rsidR="00712DD3" w:rsidTr="006C501B" w14:paraId="626089D8" w14:textId="77777777">
        <w:tc>
          <w:tcPr>
            <w:tcW w:w="17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26EF9" w:rsidR="00526EF9" w:rsidP="00526EF9" w:rsidRDefault="002D218D" w14:paraId="2F3DFEC0" w14:textId="77777777">
            <w:pPr>
              <w:adjustRightInd/>
              <w:jc w:val="center"/>
              <w:textAlignment w:val="auto"/>
              <w:rPr>
                <w:rFonts w:eastAsia="Calibri"/>
                <w:b/>
                <w:bCs/>
                <w:color w:val="000000"/>
              </w:rPr>
            </w:pPr>
            <w:bookmarkStart w:name="_Hlk516738023" w:id="2"/>
            <w:r>
              <w:rPr>
                <w:rFonts w:eastAsia="Calibri"/>
                <w:b/>
                <w:bCs/>
                <w:color w:val="000000"/>
              </w:rPr>
              <w:t>Task</w:t>
            </w:r>
          </w:p>
        </w:tc>
        <w:tc>
          <w:tcPr>
            <w:tcW w:w="115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26EF9" w:rsidR="00526EF9" w:rsidP="00526EF9" w:rsidRDefault="00526EF9" w14:paraId="7862E9B5" w14:textId="77777777">
            <w:pPr>
              <w:adjustRightInd/>
              <w:jc w:val="center"/>
              <w:textAlignment w:val="auto"/>
              <w:rPr>
                <w:rFonts w:eastAsia="Calibri"/>
                <w:b/>
                <w:bCs/>
                <w:color w:val="000000"/>
              </w:rPr>
            </w:pPr>
            <w:r w:rsidRPr="00526EF9">
              <w:rPr>
                <w:rFonts w:eastAsia="Calibri"/>
                <w:b/>
                <w:bCs/>
                <w:color w:val="000000"/>
              </w:rPr>
              <w:t>Number of Respondents</w:t>
            </w:r>
          </w:p>
        </w:tc>
        <w:tc>
          <w:tcPr>
            <w:tcW w:w="11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26EF9" w:rsidR="00526EF9" w:rsidP="00526EF9" w:rsidRDefault="00526EF9" w14:paraId="05ACBC6B" w14:textId="77777777">
            <w:pPr>
              <w:adjustRightInd/>
              <w:jc w:val="center"/>
              <w:textAlignment w:val="auto"/>
              <w:rPr>
                <w:rFonts w:eastAsia="Calibri"/>
                <w:b/>
                <w:bCs/>
                <w:color w:val="000000"/>
              </w:rPr>
            </w:pPr>
            <w:r w:rsidRPr="00526EF9">
              <w:rPr>
                <w:rFonts w:eastAsia="Calibri"/>
                <w:b/>
                <w:bCs/>
                <w:color w:val="000000"/>
              </w:rPr>
              <w:t>Frequency of Response</w:t>
            </w:r>
          </w:p>
        </w:tc>
        <w:tc>
          <w:tcPr>
            <w:tcW w:w="109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26EF9" w:rsidR="00526EF9" w:rsidP="00526EF9" w:rsidRDefault="00526EF9" w14:paraId="4EC50B7E" w14:textId="77777777">
            <w:pPr>
              <w:overflowPunct/>
              <w:autoSpaceDE/>
              <w:adjustRightInd/>
              <w:jc w:val="center"/>
              <w:textAlignment w:val="auto"/>
              <w:rPr>
                <w:rFonts w:eastAsia="Calibri"/>
                <w:b/>
                <w:bCs/>
                <w:color w:val="000000"/>
              </w:rPr>
            </w:pPr>
            <w:r w:rsidRPr="00526EF9">
              <w:rPr>
                <w:rFonts w:eastAsia="Calibri"/>
                <w:b/>
                <w:bCs/>
                <w:color w:val="000000"/>
              </w:rPr>
              <w:t>Responses</w:t>
            </w:r>
          </w:p>
          <w:p w:rsidRPr="00526EF9" w:rsidR="00526EF9" w:rsidP="00526EF9" w:rsidRDefault="00526EF9" w14:paraId="7856CA92" w14:textId="77777777">
            <w:pPr>
              <w:adjustRightInd/>
              <w:jc w:val="center"/>
              <w:textAlignment w:val="auto"/>
              <w:rPr>
                <w:rFonts w:eastAsia="Calibri"/>
                <w:b/>
                <w:bCs/>
                <w:color w:val="000000"/>
              </w:rPr>
            </w:pPr>
            <w:r w:rsidRPr="00526EF9">
              <w:rPr>
                <w:rFonts w:eastAsia="Calibri"/>
                <w:b/>
                <w:bCs/>
                <w:color w:val="000000"/>
              </w:rPr>
              <w:t>Per Annum</w:t>
            </w:r>
          </w:p>
        </w:tc>
        <w:tc>
          <w:tcPr>
            <w:tcW w:w="10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26EF9" w:rsidR="00526EF9" w:rsidP="00526EF9" w:rsidRDefault="00526EF9" w14:paraId="34A62F29" w14:textId="77777777">
            <w:pPr>
              <w:adjustRightInd/>
              <w:jc w:val="center"/>
              <w:textAlignment w:val="auto"/>
              <w:rPr>
                <w:rFonts w:eastAsia="Calibri"/>
                <w:b/>
                <w:bCs/>
                <w:color w:val="000000"/>
              </w:rPr>
            </w:pPr>
            <w:r w:rsidRPr="00526EF9">
              <w:rPr>
                <w:rFonts w:eastAsia="Calibri"/>
                <w:b/>
                <w:bCs/>
                <w:color w:val="000000"/>
              </w:rPr>
              <w:t>Burden Hour Per Response</w:t>
            </w:r>
          </w:p>
        </w:tc>
        <w:tc>
          <w:tcPr>
            <w:tcW w:w="111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26EF9" w:rsidR="00526EF9" w:rsidP="00526EF9" w:rsidRDefault="00526EF9" w14:paraId="666C15ED" w14:textId="77777777">
            <w:pPr>
              <w:adjustRightInd/>
              <w:jc w:val="center"/>
              <w:textAlignment w:val="auto"/>
              <w:rPr>
                <w:rFonts w:eastAsia="Calibri"/>
                <w:b/>
                <w:bCs/>
                <w:color w:val="000000"/>
              </w:rPr>
            </w:pPr>
            <w:r w:rsidRPr="00526EF9">
              <w:rPr>
                <w:rFonts w:eastAsia="Calibri"/>
                <w:b/>
                <w:bCs/>
                <w:color w:val="000000"/>
              </w:rPr>
              <w:t>Annual Burden Hours</w:t>
            </w:r>
          </w:p>
        </w:tc>
        <w:tc>
          <w:tcPr>
            <w:tcW w:w="10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26EF9" w:rsidR="00526EF9" w:rsidP="00526EF9" w:rsidRDefault="00526EF9" w14:paraId="5B9223BA" w14:textId="77777777">
            <w:pPr>
              <w:adjustRightInd/>
              <w:jc w:val="center"/>
              <w:textAlignment w:val="auto"/>
              <w:rPr>
                <w:rFonts w:eastAsia="Calibri"/>
                <w:b/>
                <w:bCs/>
                <w:color w:val="000000"/>
              </w:rPr>
            </w:pPr>
            <w:r w:rsidRPr="00526EF9">
              <w:rPr>
                <w:rFonts w:eastAsia="Calibri"/>
                <w:b/>
                <w:bCs/>
                <w:color w:val="000000"/>
              </w:rPr>
              <w:t>Hourly Cost Per Response</w:t>
            </w:r>
          </w:p>
        </w:tc>
        <w:tc>
          <w:tcPr>
            <w:tcW w:w="146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26EF9" w:rsidR="00526EF9" w:rsidP="00526EF9" w:rsidRDefault="00526EF9" w14:paraId="10716F5D" w14:textId="77777777">
            <w:pPr>
              <w:overflowPunct/>
              <w:autoSpaceDE/>
              <w:adjustRightInd/>
              <w:jc w:val="center"/>
              <w:textAlignment w:val="auto"/>
              <w:rPr>
                <w:rFonts w:eastAsia="Calibri"/>
                <w:b/>
                <w:bCs/>
                <w:color w:val="000000"/>
              </w:rPr>
            </w:pPr>
            <w:r w:rsidRPr="00526EF9">
              <w:rPr>
                <w:rFonts w:eastAsia="Calibri"/>
                <w:b/>
                <w:bCs/>
                <w:color w:val="000000"/>
              </w:rPr>
              <w:t>Annual Cost</w:t>
            </w:r>
          </w:p>
          <w:p w:rsidRPr="00526EF9" w:rsidR="00526EF9" w:rsidP="00526EF9" w:rsidRDefault="00526EF9" w14:paraId="6AC9FFA0" w14:textId="77777777">
            <w:pPr>
              <w:adjustRightInd/>
              <w:jc w:val="center"/>
              <w:textAlignment w:val="auto"/>
              <w:rPr>
                <w:rFonts w:eastAsia="Calibri"/>
                <w:b/>
                <w:bCs/>
                <w:color w:val="000000"/>
              </w:rPr>
            </w:pPr>
          </w:p>
        </w:tc>
      </w:tr>
      <w:tr w:rsidRPr="00526EF9" w:rsidR="00712DD3" w:rsidTr="006C501B" w14:paraId="78AAF83A" w14:textId="77777777">
        <w:tc>
          <w:tcPr>
            <w:tcW w:w="17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A5262" w:rsidR="002D218D" w:rsidP="002D218D" w:rsidRDefault="002D218D" w14:paraId="2C9512E3" w14:textId="60DA78D4">
            <w:pPr>
              <w:adjustRightInd/>
              <w:jc w:val="both"/>
              <w:textAlignment w:val="auto"/>
              <w:rPr>
                <w:rFonts w:eastAsia="Calibri"/>
                <w:bCs/>
                <w:color w:val="000000"/>
              </w:rPr>
            </w:pPr>
            <w:r w:rsidRPr="00BA5262">
              <w:rPr>
                <w:rFonts w:eastAsia="Calibri"/>
                <w:bCs/>
                <w:color w:val="000000"/>
              </w:rPr>
              <w:t>Current Inventory:</w:t>
            </w:r>
          </w:p>
          <w:p w:rsidRPr="00526EF9" w:rsidR="002D218D" w:rsidP="002D218D" w:rsidRDefault="002D218D" w14:paraId="6E026C1F" w14:textId="77777777">
            <w:pPr>
              <w:adjustRightInd/>
              <w:textAlignment w:val="auto"/>
              <w:rPr>
                <w:rFonts w:eastAsia="Calibri"/>
                <w:b/>
                <w:bCs/>
                <w:color w:val="000000"/>
              </w:rPr>
            </w:pPr>
            <w:r w:rsidRPr="00BA5262">
              <w:rPr>
                <w:rFonts w:eastAsia="Calibri"/>
                <w:bCs/>
                <w:color w:val="000000"/>
              </w:rPr>
              <w:t>Recordkeeping</w:t>
            </w:r>
            <w:r>
              <w:rPr>
                <w:rFonts w:eastAsia="Calibri"/>
                <w:bCs/>
                <w:color w:val="000000"/>
              </w:rPr>
              <w:t xml:space="preserve"> </w:t>
            </w:r>
            <w:r w:rsidRPr="00BA5262">
              <w:rPr>
                <w:rFonts w:eastAsia="Calibri"/>
                <w:bCs/>
                <w:color w:val="000000"/>
              </w:rPr>
              <w:t>pursuant to 24</w:t>
            </w:r>
            <w:r>
              <w:rPr>
                <w:rFonts w:eastAsia="Calibri"/>
                <w:bCs/>
                <w:color w:val="000000"/>
              </w:rPr>
              <w:t xml:space="preserve"> </w:t>
            </w:r>
            <w:r w:rsidRPr="00BA5262">
              <w:rPr>
                <w:rFonts w:eastAsia="Calibri"/>
                <w:bCs/>
                <w:color w:val="000000"/>
              </w:rPr>
              <w:t>CFR 570.506</w:t>
            </w:r>
          </w:p>
        </w:tc>
        <w:tc>
          <w:tcPr>
            <w:tcW w:w="1155"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D218D" w:rsidR="002D218D" w:rsidP="002D218D" w:rsidRDefault="002D218D" w14:paraId="6DFAE369" w14:textId="2C786CAA">
            <w:pPr>
              <w:adjustRightInd/>
              <w:jc w:val="center"/>
              <w:textAlignment w:val="auto"/>
              <w:rPr>
                <w:rFonts w:eastAsia="Calibri"/>
                <w:bCs/>
                <w:color w:val="000000"/>
              </w:rPr>
            </w:pPr>
            <w:r w:rsidRPr="002D218D">
              <w:rPr>
                <w:rFonts w:eastAsia="Calibri"/>
                <w:bCs/>
                <w:color w:val="000000"/>
              </w:rPr>
              <w:t>1,2</w:t>
            </w:r>
            <w:r w:rsidR="004B29E6">
              <w:rPr>
                <w:rFonts w:eastAsia="Calibri"/>
                <w:bCs/>
                <w:color w:val="000000"/>
              </w:rPr>
              <w:t>27</w:t>
            </w:r>
            <w:r w:rsidRPr="002D218D">
              <w:rPr>
                <w:rFonts w:eastAsia="Calibri"/>
                <w:bCs/>
                <w:color w:val="000000"/>
              </w:rPr>
              <w:t>.00</w:t>
            </w:r>
          </w:p>
        </w:tc>
        <w:tc>
          <w:tcPr>
            <w:tcW w:w="112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2D218D" w14:paraId="4CF3209D" w14:textId="77777777">
            <w:pPr>
              <w:adjustRightInd/>
              <w:jc w:val="center"/>
              <w:textAlignment w:val="auto"/>
              <w:rPr>
                <w:rFonts w:eastAsia="Calibri"/>
                <w:bCs/>
                <w:color w:val="000000"/>
              </w:rPr>
            </w:pPr>
            <w:r w:rsidRPr="0026220C">
              <w:rPr>
                <w:rFonts w:eastAsia="Calibri"/>
                <w:bCs/>
                <w:color w:val="000000"/>
              </w:rPr>
              <w:t>1.00</w:t>
            </w:r>
          </w:p>
        </w:tc>
        <w:tc>
          <w:tcPr>
            <w:tcW w:w="109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2D218D" w14:paraId="26370F6A" w14:textId="49F9E4F6">
            <w:pPr>
              <w:overflowPunct/>
              <w:autoSpaceDE/>
              <w:adjustRightInd/>
              <w:jc w:val="center"/>
              <w:textAlignment w:val="auto"/>
              <w:rPr>
                <w:rFonts w:eastAsia="Calibri"/>
                <w:bCs/>
                <w:color w:val="000000"/>
              </w:rPr>
            </w:pPr>
            <w:r w:rsidRPr="0026220C">
              <w:rPr>
                <w:rFonts w:eastAsia="Calibri"/>
                <w:bCs/>
                <w:color w:val="000000"/>
              </w:rPr>
              <w:t>1</w:t>
            </w:r>
            <w:r w:rsidR="0026220C">
              <w:rPr>
                <w:rFonts w:eastAsia="Calibri"/>
                <w:bCs/>
                <w:color w:val="000000"/>
              </w:rPr>
              <w:t>,</w:t>
            </w:r>
            <w:r w:rsidRPr="0026220C">
              <w:rPr>
                <w:rFonts w:eastAsia="Calibri"/>
                <w:bCs/>
                <w:color w:val="000000"/>
              </w:rPr>
              <w:t>2</w:t>
            </w:r>
            <w:r w:rsidR="004B29E6">
              <w:rPr>
                <w:rFonts w:eastAsia="Calibri"/>
                <w:bCs/>
                <w:color w:val="000000"/>
              </w:rPr>
              <w:t>27</w:t>
            </w:r>
            <w:r w:rsidRPr="0026220C">
              <w:rPr>
                <w:rFonts w:eastAsia="Calibri"/>
                <w:bCs/>
                <w:color w:val="000000"/>
              </w:rPr>
              <w:t>.00</w:t>
            </w:r>
          </w:p>
        </w:tc>
        <w:tc>
          <w:tcPr>
            <w:tcW w:w="101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9234F8" w14:paraId="295709F6" w14:textId="77777777">
            <w:pPr>
              <w:adjustRightInd/>
              <w:jc w:val="center"/>
              <w:textAlignment w:val="auto"/>
              <w:rPr>
                <w:rFonts w:eastAsia="Calibri"/>
                <w:bCs/>
                <w:color w:val="000000"/>
              </w:rPr>
            </w:pPr>
            <w:r>
              <w:rPr>
                <w:rFonts w:eastAsia="Calibri"/>
                <w:bCs/>
                <w:color w:val="000000"/>
              </w:rPr>
              <w:t>129.</w:t>
            </w:r>
            <w:r w:rsidR="00712DD3">
              <w:rPr>
                <w:rFonts w:eastAsia="Calibri"/>
                <w:bCs/>
                <w:color w:val="000000"/>
              </w:rPr>
              <w:t>0</w:t>
            </w:r>
            <w:r>
              <w:rPr>
                <w:rFonts w:eastAsia="Calibri"/>
                <w:bCs/>
                <w:color w:val="000000"/>
              </w:rPr>
              <w:t>0</w:t>
            </w:r>
          </w:p>
        </w:tc>
        <w:tc>
          <w:tcPr>
            <w:tcW w:w="111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712DD3" w14:paraId="0B25DB8B" w14:textId="5B2D6886">
            <w:pPr>
              <w:adjustRightInd/>
              <w:jc w:val="center"/>
              <w:textAlignment w:val="auto"/>
              <w:rPr>
                <w:rFonts w:eastAsia="Calibri"/>
                <w:bCs/>
                <w:color w:val="000000"/>
              </w:rPr>
            </w:pPr>
            <w:r>
              <w:rPr>
                <w:rFonts w:eastAsia="Calibri"/>
                <w:bCs/>
                <w:color w:val="000000"/>
              </w:rPr>
              <w:t>15</w:t>
            </w:r>
            <w:r w:rsidR="004B29E6">
              <w:rPr>
                <w:rFonts w:eastAsia="Calibri"/>
                <w:bCs/>
                <w:color w:val="000000"/>
              </w:rPr>
              <w:t>8,283</w:t>
            </w:r>
            <w:r>
              <w:rPr>
                <w:rFonts w:eastAsia="Calibri"/>
                <w:bCs/>
                <w:color w:val="000000"/>
              </w:rPr>
              <w:t>.00</w:t>
            </w:r>
          </w:p>
        </w:tc>
        <w:tc>
          <w:tcPr>
            <w:tcW w:w="101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0A15C0" w14:paraId="46640750" w14:textId="77777777">
            <w:pPr>
              <w:adjustRightInd/>
              <w:jc w:val="center"/>
              <w:textAlignment w:val="auto"/>
              <w:rPr>
                <w:rFonts w:eastAsia="Calibri"/>
                <w:bCs/>
                <w:color w:val="000000"/>
              </w:rPr>
            </w:pPr>
            <w:r>
              <w:rPr>
                <w:rFonts w:eastAsia="Calibri"/>
                <w:bCs/>
                <w:color w:val="000000"/>
              </w:rPr>
              <w:t>35.16</w:t>
            </w:r>
          </w:p>
        </w:tc>
        <w:tc>
          <w:tcPr>
            <w:tcW w:w="146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C52ACC" w:rsidR="002D218D" w:rsidP="00526EF9" w:rsidRDefault="00236724" w14:paraId="06795B29" w14:textId="77958375">
            <w:pPr>
              <w:overflowPunct/>
              <w:autoSpaceDE/>
              <w:adjustRightInd/>
              <w:jc w:val="center"/>
              <w:textAlignment w:val="auto"/>
              <w:rPr>
                <w:rFonts w:eastAsia="Calibri"/>
                <w:b/>
                <w:bCs/>
                <w:color w:val="000000"/>
              </w:rPr>
            </w:pPr>
            <w:r>
              <w:rPr>
                <w:rFonts w:eastAsia="Calibri"/>
                <w:b/>
                <w:bCs/>
                <w:color w:val="000000"/>
              </w:rPr>
              <w:t>$</w:t>
            </w:r>
            <w:r w:rsidR="003F02E3">
              <w:rPr>
                <w:rFonts w:eastAsia="Calibri"/>
                <w:b/>
                <w:bCs/>
                <w:color w:val="000000"/>
              </w:rPr>
              <w:t>5</w:t>
            </w:r>
            <w:r w:rsidR="000A15C0">
              <w:rPr>
                <w:rFonts w:eastAsia="Calibri"/>
                <w:b/>
                <w:bCs/>
                <w:color w:val="000000"/>
              </w:rPr>
              <w:t>,</w:t>
            </w:r>
            <w:r w:rsidR="004B29E6">
              <w:rPr>
                <w:rFonts w:eastAsia="Calibri"/>
                <w:b/>
                <w:bCs/>
                <w:color w:val="000000"/>
              </w:rPr>
              <w:t>565,230.28</w:t>
            </w:r>
          </w:p>
        </w:tc>
      </w:tr>
      <w:tr w:rsidRPr="00526EF9" w:rsidR="00712DD3" w:rsidTr="006C501B" w14:paraId="74238659" w14:textId="77777777">
        <w:trPr>
          <w:trHeight w:val="988"/>
        </w:trPr>
        <w:tc>
          <w:tcPr>
            <w:tcW w:w="17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A5262" w:rsidR="002D218D" w:rsidP="002D218D" w:rsidRDefault="002D218D" w14:paraId="5201BC16" w14:textId="77777777">
            <w:pPr>
              <w:adjustRightInd/>
              <w:textAlignment w:val="auto"/>
              <w:rPr>
                <w:rFonts w:eastAsia="Calibri"/>
                <w:bCs/>
                <w:color w:val="000000"/>
              </w:rPr>
            </w:pPr>
            <w:r w:rsidRPr="00BA5262">
              <w:rPr>
                <w:rFonts w:eastAsia="Calibri"/>
                <w:bCs/>
                <w:color w:val="000000"/>
              </w:rPr>
              <w:t>Reporting pursuant to 24 CFR 570.507</w:t>
            </w:r>
            <w:r>
              <w:rPr>
                <w:rFonts w:eastAsia="Calibri"/>
                <w:bCs/>
                <w:color w:val="000000"/>
              </w:rPr>
              <w:t xml:space="preserve">, </w:t>
            </w:r>
            <w:r w:rsidRPr="00BA5262">
              <w:rPr>
                <w:rFonts w:eastAsia="Calibri"/>
                <w:bCs/>
                <w:color w:val="000000"/>
              </w:rPr>
              <w:t xml:space="preserve">24 CFR 570.200 (e) and 570.506(c) </w:t>
            </w:r>
          </w:p>
          <w:p w:rsidRPr="00526EF9" w:rsidR="002D218D" w:rsidP="002D218D" w:rsidRDefault="002D218D" w14:paraId="27996AF1" w14:textId="77777777">
            <w:pPr>
              <w:adjustRightInd/>
              <w:textAlignment w:val="auto"/>
              <w:rPr>
                <w:rFonts w:eastAsia="Calibri"/>
                <w:b/>
                <w:bCs/>
                <w:color w:val="000000"/>
              </w:rPr>
            </w:pPr>
          </w:p>
        </w:tc>
        <w:tc>
          <w:tcPr>
            <w:tcW w:w="1155"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D218D" w:rsidR="002D218D" w:rsidP="00526EF9" w:rsidRDefault="002D218D" w14:paraId="43A855F3" w14:textId="415C907D">
            <w:pPr>
              <w:adjustRightInd/>
              <w:jc w:val="center"/>
              <w:textAlignment w:val="auto"/>
              <w:rPr>
                <w:rFonts w:eastAsia="Calibri"/>
                <w:bCs/>
                <w:color w:val="000000"/>
              </w:rPr>
            </w:pPr>
            <w:r w:rsidRPr="002D218D">
              <w:rPr>
                <w:rFonts w:eastAsia="Calibri"/>
                <w:bCs/>
                <w:color w:val="000000"/>
              </w:rPr>
              <w:t>1</w:t>
            </w:r>
            <w:r w:rsidR="00C52ACC">
              <w:rPr>
                <w:rFonts w:eastAsia="Calibri"/>
                <w:bCs/>
                <w:color w:val="000000"/>
              </w:rPr>
              <w:t>,</w:t>
            </w:r>
            <w:r w:rsidRPr="002D218D">
              <w:rPr>
                <w:rFonts w:eastAsia="Calibri"/>
                <w:bCs/>
                <w:color w:val="000000"/>
              </w:rPr>
              <w:t>2</w:t>
            </w:r>
            <w:r w:rsidR="004B29E6">
              <w:rPr>
                <w:rFonts w:eastAsia="Calibri"/>
                <w:bCs/>
                <w:color w:val="000000"/>
              </w:rPr>
              <w:t>27</w:t>
            </w:r>
            <w:r w:rsidRPr="002D218D">
              <w:rPr>
                <w:rFonts w:eastAsia="Calibri"/>
                <w:bCs/>
                <w:color w:val="000000"/>
              </w:rPr>
              <w:t>.00</w:t>
            </w:r>
          </w:p>
        </w:tc>
        <w:tc>
          <w:tcPr>
            <w:tcW w:w="112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712DD3" w14:paraId="2BF6202C" w14:textId="77777777">
            <w:pPr>
              <w:adjustRightInd/>
              <w:jc w:val="center"/>
              <w:textAlignment w:val="auto"/>
              <w:rPr>
                <w:rFonts w:eastAsia="Calibri"/>
                <w:bCs/>
                <w:color w:val="000000"/>
              </w:rPr>
            </w:pPr>
            <w:r>
              <w:rPr>
                <w:rFonts w:eastAsia="Calibri"/>
                <w:bCs/>
                <w:color w:val="000000"/>
              </w:rPr>
              <w:t>4</w:t>
            </w:r>
          </w:p>
        </w:tc>
        <w:tc>
          <w:tcPr>
            <w:tcW w:w="109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26220C" w14:paraId="1C3D0A1C" w14:textId="73C3BCFF">
            <w:pPr>
              <w:overflowPunct/>
              <w:autoSpaceDE/>
              <w:adjustRightInd/>
              <w:jc w:val="center"/>
              <w:textAlignment w:val="auto"/>
              <w:rPr>
                <w:rFonts w:eastAsia="Calibri"/>
                <w:bCs/>
                <w:color w:val="000000"/>
              </w:rPr>
            </w:pPr>
            <w:r w:rsidRPr="0026220C">
              <w:rPr>
                <w:rFonts w:eastAsia="Calibri"/>
                <w:bCs/>
                <w:color w:val="000000"/>
              </w:rPr>
              <w:t>4,</w:t>
            </w:r>
            <w:r w:rsidR="004B29E6">
              <w:rPr>
                <w:rFonts w:eastAsia="Calibri"/>
                <w:bCs/>
                <w:color w:val="000000"/>
              </w:rPr>
              <w:t>908</w:t>
            </w:r>
            <w:r w:rsidRPr="0026220C">
              <w:rPr>
                <w:rFonts w:eastAsia="Calibri"/>
                <w:bCs/>
                <w:color w:val="000000"/>
              </w:rPr>
              <w:t>.00</w:t>
            </w:r>
          </w:p>
        </w:tc>
        <w:tc>
          <w:tcPr>
            <w:tcW w:w="101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9234F8" w14:paraId="6CB98AA4" w14:textId="77777777">
            <w:pPr>
              <w:adjustRightInd/>
              <w:jc w:val="center"/>
              <w:textAlignment w:val="auto"/>
              <w:rPr>
                <w:rFonts w:eastAsia="Calibri"/>
                <w:bCs/>
                <w:color w:val="000000"/>
              </w:rPr>
            </w:pPr>
            <w:r>
              <w:rPr>
                <w:rFonts w:eastAsia="Calibri"/>
                <w:bCs/>
                <w:color w:val="000000"/>
              </w:rPr>
              <w:t>78.50</w:t>
            </w:r>
          </w:p>
        </w:tc>
        <w:tc>
          <w:tcPr>
            <w:tcW w:w="111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2D218D" w:rsidP="00526EF9" w:rsidRDefault="001F3E65" w14:paraId="2508B7CE" w14:textId="38AF47F9">
            <w:pPr>
              <w:adjustRightInd/>
              <w:jc w:val="center"/>
              <w:textAlignment w:val="auto"/>
              <w:rPr>
                <w:rFonts w:eastAsia="Calibri"/>
                <w:bCs/>
                <w:color w:val="000000"/>
              </w:rPr>
            </w:pPr>
            <w:r>
              <w:rPr>
                <w:rFonts w:eastAsia="Calibri"/>
                <w:bCs/>
                <w:color w:val="000000"/>
              </w:rPr>
              <w:t>385,278.0</w:t>
            </w:r>
            <w:r w:rsidRPr="0026220C" w:rsidR="0026220C">
              <w:rPr>
                <w:rFonts w:eastAsia="Calibri"/>
                <w:bCs/>
                <w:color w:val="000000"/>
              </w:rPr>
              <w:t>0</w:t>
            </w:r>
          </w:p>
          <w:p w:rsidRPr="0026220C" w:rsidR="009234F8" w:rsidP="00526EF9" w:rsidRDefault="009234F8" w14:paraId="5A8027FC" w14:textId="77777777">
            <w:pPr>
              <w:adjustRightInd/>
              <w:jc w:val="center"/>
              <w:textAlignment w:val="auto"/>
              <w:rPr>
                <w:rFonts w:eastAsia="Calibri"/>
                <w:bCs/>
                <w:color w:val="000000"/>
              </w:rPr>
            </w:pPr>
          </w:p>
        </w:tc>
        <w:tc>
          <w:tcPr>
            <w:tcW w:w="101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0A15C0" w14:paraId="018AD9B3" w14:textId="77777777">
            <w:pPr>
              <w:adjustRightInd/>
              <w:jc w:val="center"/>
              <w:textAlignment w:val="auto"/>
              <w:rPr>
                <w:rFonts w:eastAsia="Calibri"/>
                <w:bCs/>
                <w:color w:val="000000"/>
              </w:rPr>
            </w:pPr>
            <w:r>
              <w:rPr>
                <w:rFonts w:eastAsia="Calibri"/>
                <w:bCs/>
                <w:color w:val="000000"/>
              </w:rPr>
              <w:t>35.16</w:t>
            </w:r>
          </w:p>
        </w:tc>
        <w:tc>
          <w:tcPr>
            <w:tcW w:w="146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26EF9" w:rsidR="002D218D" w:rsidP="00526EF9" w:rsidRDefault="00236724" w14:paraId="46CE51C3" w14:textId="46AD8376">
            <w:pPr>
              <w:overflowPunct/>
              <w:autoSpaceDE/>
              <w:adjustRightInd/>
              <w:jc w:val="center"/>
              <w:textAlignment w:val="auto"/>
              <w:rPr>
                <w:rFonts w:eastAsia="Calibri"/>
                <w:b/>
                <w:bCs/>
                <w:color w:val="000000"/>
              </w:rPr>
            </w:pPr>
            <w:r>
              <w:rPr>
                <w:rFonts w:eastAsia="Calibri"/>
                <w:b/>
                <w:bCs/>
                <w:color w:val="000000"/>
              </w:rPr>
              <w:t>$</w:t>
            </w:r>
            <w:r w:rsidR="000A15C0">
              <w:rPr>
                <w:rFonts w:eastAsia="Calibri"/>
                <w:b/>
                <w:bCs/>
                <w:color w:val="000000"/>
              </w:rPr>
              <w:t>13,</w:t>
            </w:r>
            <w:r w:rsidR="001F3E65">
              <w:rPr>
                <w:rFonts w:eastAsia="Calibri"/>
                <w:b/>
                <w:bCs/>
                <w:color w:val="000000"/>
              </w:rPr>
              <w:t>546,374.</w:t>
            </w:r>
            <w:r w:rsidR="003F1A52">
              <w:rPr>
                <w:rFonts w:eastAsia="Calibri"/>
                <w:b/>
                <w:bCs/>
                <w:color w:val="000000"/>
              </w:rPr>
              <w:t>48</w:t>
            </w:r>
          </w:p>
        </w:tc>
      </w:tr>
      <w:tr w:rsidRPr="00526EF9" w:rsidR="00712DD3" w:rsidTr="006C501B" w14:paraId="7B2C6A03" w14:textId="77777777">
        <w:tc>
          <w:tcPr>
            <w:tcW w:w="17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26EF9" w:rsidR="002D218D" w:rsidP="002D218D" w:rsidRDefault="002D218D" w14:paraId="11E5E7D7" w14:textId="77777777">
            <w:pPr>
              <w:adjustRightInd/>
              <w:textAlignment w:val="auto"/>
              <w:rPr>
                <w:rFonts w:eastAsia="Calibri"/>
                <w:b/>
                <w:bCs/>
                <w:color w:val="000000"/>
              </w:rPr>
            </w:pPr>
            <w:r w:rsidRPr="00BA5262">
              <w:rPr>
                <w:rFonts w:eastAsia="Calibri"/>
                <w:bCs/>
                <w:color w:val="000000"/>
              </w:rPr>
              <w:t>Entitlement communities maintain required documentation</w:t>
            </w:r>
          </w:p>
        </w:tc>
        <w:tc>
          <w:tcPr>
            <w:tcW w:w="1155"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D218D" w:rsidR="002D218D" w:rsidP="00526EF9" w:rsidRDefault="002D218D" w14:paraId="3BFBDEF9" w14:textId="0DB17F99">
            <w:pPr>
              <w:adjustRightInd/>
              <w:jc w:val="center"/>
              <w:textAlignment w:val="auto"/>
              <w:rPr>
                <w:rFonts w:eastAsia="Calibri"/>
                <w:bCs/>
                <w:color w:val="000000"/>
              </w:rPr>
            </w:pPr>
            <w:r w:rsidRPr="002D218D">
              <w:rPr>
                <w:rFonts w:eastAsia="Calibri"/>
                <w:bCs/>
                <w:color w:val="000000"/>
              </w:rPr>
              <w:t>1,2</w:t>
            </w:r>
            <w:r w:rsidR="001F3E65">
              <w:rPr>
                <w:rFonts w:eastAsia="Calibri"/>
                <w:bCs/>
                <w:color w:val="000000"/>
              </w:rPr>
              <w:t>27</w:t>
            </w:r>
            <w:r w:rsidRPr="002D218D">
              <w:rPr>
                <w:rFonts w:eastAsia="Calibri"/>
                <w:bCs/>
                <w:color w:val="000000"/>
              </w:rPr>
              <w:t>.00</w:t>
            </w:r>
          </w:p>
        </w:tc>
        <w:tc>
          <w:tcPr>
            <w:tcW w:w="112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26220C" w14:paraId="48A5D551" w14:textId="77777777">
            <w:pPr>
              <w:adjustRightInd/>
              <w:jc w:val="center"/>
              <w:textAlignment w:val="auto"/>
              <w:rPr>
                <w:rFonts w:eastAsia="Calibri"/>
                <w:bCs/>
                <w:color w:val="000000"/>
              </w:rPr>
            </w:pPr>
            <w:r w:rsidRPr="0026220C">
              <w:rPr>
                <w:rFonts w:eastAsia="Calibri"/>
                <w:bCs/>
                <w:color w:val="000000"/>
              </w:rPr>
              <w:t>1.00</w:t>
            </w:r>
          </w:p>
        </w:tc>
        <w:tc>
          <w:tcPr>
            <w:tcW w:w="109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26220C" w14:paraId="1CF55C9E" w14:textId="7ED19E8B">
            <w:pPr>
              <w:overflowPunct/>
              <w:autoSpaceDE/>
              <w:adjustRightInd/>
              <w:jc w:val="center"/>
              <w:textAlignment w:val="auto"/>
              <w:rPr>
                <w:rFonts w:eastAsia="Calibri"/>
                <w:bCs/>
                <w:color w:val="000000"/>
              </w:rPr>
            </w:pPr>
            <w:r w:rsidRPr="0026220C">
              <w:rPr>
                <w:rFonts w:eastAsia="Calibri"/>
                <w:bCs/>
                <w:color w:val="000000"/>
              </w:rPr>
              <w:t>1,2</w:t>
            </w:r>
            <w:r w:rsidR="001F3E65">
              <w:rPr>
                <w:rFonts w:eastAsia="Calibri"/>
                <w:bCs/>
                <w:color w:val="000000"/>
              </w:rPr>
              <w:t>27</w:t>
            </w:r>
            <w:r w:rsidRPr="0026220C">
              <w:rPr>
                <w:rFonts w:eastAsia="Calibri"/>
                <w:bCs/>
                <w:color w:val="000000"/>
              </w:rPr>
              <w:t>.00</w:t>
            </w:r>
          </w:p>
        </w:tc>
        <w:tc>
          <w:tcPr>
            <w:tcW w:w="101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9234F8" w14:paraId="0BEEEB39" w14:textId="77777777">
            <w:pPr>
              <w:adjustRightInd/>
              <w:jc w:val="center"/>
              <w:textAlignment w:val="auto"/>
              <w:rPr>
                <w:rFonts w:eastAsia="Calibri"/>
                <w:bCs/>
                <w:color w:val="000000"/>
              </w:rPr>
            </w:pPr>
            <w:r>
              <w:rPr>
                <w:rFonts w:eastAsia="Calibri"/>
                <w:bCs/>
                <w:color w:val="000000"/>
              </w:rPr>
              <w:t>25.00</w:t>
            </w:r>
          </w:p>
        </w:tc>
        <w:tc>
          <w:tcPr>
            <w:tcW w:w="111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712DD3" w14:paraId="67C2AAAB" w14:textId="371FD8A6">
            <w:pPr>
              <w:adjustRightInd/>
              <w:jc w:val="center"/>
              <w:textAlignment w:val="auto"/>
              <w:rPr>
                <w:rFonts w:eastAsia="Calibri"/>
                <w:bCs/>
                <w:color w:val="000000"/>
              </w:rPr>
            </w:pPr>
            <w:r>
              <w:rPr>
                <w:rFonts w:eastAsia="Calibri"/>
                <w:bCs/>
                <w:color w:val="000000"/>
              </w:rPr>
              <w:t>30,</w:t>
            </w:r>
            <w:r w:rsidR="001F3E65">
              <w:rPr>
                <w:rFonts w:eastAsia="Calibri"/>
                <w:bCs/>
                <w:color w:val="000000"/>
              </w:rPr>
              <w:t>675.</w:t>
            </w:r>
            <w:r>
              <w:rPr>
                <w:rFonts w:eastAsia="Calibri"/>
                <w:bCs/>
                <w:color w:val="000000"/>
              </w:rPr>
              <w:t>00</w:t>
            </w:r>
          </w:p>
        </w:tc>
        <w:tc>
          <w:tcPr>
            <w:tcW w:w="101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6220C" w:rsidR="002D218D" w:rsidP="00526EF9" w:rsidRDefault="000A15C0" w14:paraId="321A4E78" w14:textId="77777777">
            <w:pPr>
              <w:adjustRightInd/>
              <w:jc w:val="center"/>
              <w:textAlignment w:val="auto"/>
              <w:rPr>
                <w:rFonts w:eastAsia="Calibri"/>
                <w:bCs/>
                <w:color w:val="000000"/>
              </w:rPr>
            </w:pPr>
            <w:r>
              <w:rPr>
                <w:rFonts w:eastAsia="Calibri"/>
                <w:bCs/>
                <w:color w:val="000000"/>
              </w:rPr>
              <w:t>35.16</w:t>
            </w:r>
          </w:p>
        </w:tc>
        <w:tc>
          <w:tcPr>
            <w:tcW w:w="146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26EF9" w:rsidR="002D218D" w:rsidP="00526EF9" w:rsidRDefault="00236724" w14:paraId="36411E19" w14:textId="4BF01259">
            <w:pPr>
              <w:overflowPunct/>
              <w:autoSpaceDE/>
              <w:adjustRightInd/>
              <w:jc w:val="center"/>
              <w:textAlignment w:val="auto"/>
              <w:rPr>
                <w:rFonts w:eastAsia="Calibri"/>
                <w:b/>
                <w:bCs/>
                <w:color w:val="000000"/>
              </w:rPr>
            </w:pPr>
            <w:r>
              <w:rPr>
                <w:rFonts w:eastAsia="Calibri"/>
                <w:b/>
                <w:bCs/>
                <w:color w:val="000000"/>
              </w:rPr>
              <w:t>$</w:t>
            </w:r>
            <w:r w:rsidR="000A15C0">
              <w:rPr>
                <w:rFonts w:eastAsia="Calibri"/>
                <w:b/>
                <w:bCs/>
                <w:color w:val="000000"/>
              </w:rPr>
              <w:t>1,0</w:t>
            </w:r>
            <w:r w:rsidR="001F3E65">
              <w:rPr>
                <w:rFonts w:eastAsia="Calibri"/>
                <w:b/>
                <w:bCs/>
                <w:color w:val="000000"/>
              </w:rPr>
              <w:t>78,533</w:t>
            </w:r>
            <w:r w:rsidR="000A15C0">
              <w:rPr>
                <w:rFonts w:eastAsia="Calibri"/>
                <w:b/>
                <w:bCs/>
                <w:color w:val="000000"/>
              </w:rPr>
              <w:t>.00</w:t>
            </w:r>
          </w:p>
        </w:tc>
      </w:tr>
      <w:tr w:rsidRPr="00526EF9" w:rsidR="00712DD3" w:rsidTr="006C501B" w14:paraId="20F10280" w14:textId="77777777">
        <w:tc>
          <w:tcPr>
            <w:tcW w:w="1710" w:type="dxa"/>
            <w:tcBorders>
              <w:top w:val="nil"/>
              <w:left w:val="single" w:color="auto" w:sz="8" w:space="0"/>
              <w:bottom w:val="nil"/>
              <w:right w:val="single" w:color="auto" w:sz="8" w:space="0"/>
            </w:tcBorders>
            <w:tcMar>
              <w:top w:w="0" w:type="dxa"/>
              <w:left w:w="108" w:type="dxa"/>
              <w:bottom w:w="0" w:type="dxa"/>
              <w:right w:w="108" w:type="dxa"/>
            </w:tcMar>
          </w:tcPr>
          <w:p w:rsidRPr="00526EF9" w:rsidR="00526EF9" w:rsidP="00526EF9" w:rsidRDefault="00526EF9" w14:paraId="71EBF97C" w14:textId="77777777">
            <w:pPr>
              <w:adjustRightInd/>
              <w:textAlignment w:val="auto"/>
              <w:rPr>
                <w:rFonts w:eastAsia="Calibri"/>
                <w:b/>
                <w:bCs/>
                <w:color w:val="000000"/>
              </w:rPr>
            </w:pPr>
          </w:p>
        </w:tc>
        <w:tc>
          <w:tcPr>
            <w:tcW w:w="1155" w:type="dxa"/>
            <w:tcBorders>
              <w:top w:val="nil"/>
              <w:left w:val="nil"/>
              <w:bottom w:val="nil"/>
              <w:right w:val="single" w:color="auto" w:sz="8" w:space="0"/>
            </w:tcBorders>
            <w:tcMar>
              <w:top w:w="0" w:type="dxa"/>
              <w:left w:w="108" w:type="dxa"/>
              <w:bottom w:w="0" w:type="dxa"/>
              <w:right w:w="108" w:type="dxa"/>
            </w:tcMar>
          </w:tcPr>
          <w:p w:rsidRPr="0026220C" w:rsidR="00526EF9" w:rsidP="00526EF9" w:rsidRDefault="002D218D" w14:paraId="04CF08C1" w14:textId="4B352A37">
            <w:pPr>
              <w:adjustRightInd/>
              <w:jc w:val="center"/>
              <w:textAlignment w:val="auto"/>
              <w:rPr>
                <w:rFonts w:eastAsia="Calibri"/>
                <w:b/>
                <w:bCs/>
                <w:color w:val="000000"/>
              </w:rPr>
            </w:pPr>
            <w:r w:rsidRPr="0026220C">
              <w:rPr>
                <w:rFonts w:eastAsia="Calibri"/>
                <w:b/>
                <w:bCs/>
                <w:color w:val="000000"/>
              </w:rPr>
              <w:t>1,2</w:t>
            </w:r>
            <w:r w:rsidR="001F3E65">
              <w:rPr>
                <w:rFonts w:eastAsia="Calibri"/>
                <w:b/>
                <w:bCs/>
                <w:color w:val="000000"/>
              </w:rPr>
              <w:t>27</w:t>
            </w:r>
            <w:r w:rsidRPr="0026220C">
              <w:rPr>
                <w:rFonts w:eastAsia="Calibri"/>
                <w:b/>
                <w:bCs/>
                <w:color w:val="000000"/>
              </w:rPr>
              <w:t>.00</w:t>
            </w:r>
          </w:p>
        </w:tc>
        <w:tc>
          <w:tcPr>
            <w:tcW w:w="1129" w:type="dxa"/>
            <w:tcBorders>
              <w:top w:val="nil"/>
              <w:left w:val="nil"/>
              <w:bottom w:val="nil"/>
              <w:right w:val="single" w:color="auto" w:sz="8" w:space="0"/>
            </w:tcBorders>
            <w:tcMar>
              <w:top w:w="0" w:type="dxa"/>
              <w:left w:w="108" w:type="dxa"/>
              <w:bottom w:w="0" w:type="dxa"/>
              <w:right w:w="108" w:type="dxa"/>
            </w:tcMar>
          </w:tcPr>
          <w:p w:rsidRPr="00526EF9" w:rsidR="00526EF9" w:rsidP="00526EF9" w:rsidRDefault="00526EF9" w14:paraId="158F8D96" w14:textId="77777777">
            <w:pPr>
              <w:adjustRightInd/>
              <w:jc w:val="center"/>
              <w:textAlignment w:val="auto"/>
              <w:rPr>
                <w:rFonts w:eastAsia="Calibri"/>
                <w:b/>
                <w:bCs/>
                <w:color w:val="000000"/>
              </w:rPr>
            </w:pPr>
          </w:p>
        </w:tc>
        <w:tc>
          <w:tcPr>
            <w:tcW w:w="1096" w:type="dxa"/>
            <w:tcBorders>
              <w:top w:val="nil"/>
              <w:left w:val="nil"/>
              <w:bottom w:val="nil"/>
              <w:right w:val="single" w:color="auto" w:sz="8" w:space="0"/>
            </w:tcBorders>
            <w:tcMar>
              <w:top w:w="0" w:type="dxa"/>
              <w:left w:w="108" w:type="dxa"/>
              <w:bottom w:w="0" w:type="dxa"/>
              <w:right w:w="108" w:type="dxa"/>
            </w:tcMar>
          </w:tcPr>
          <w:p w:rsidRPr="0026220C" w:rsidR="00526EF9" w:rsidP="00526EF9" w:rsidRDefault="00526EF9" w14:paraId="3F37732E" w14:textId="77777777">
            <w:pPr>
              <w:adjustRightInd/>
              <w:jc w:val="center"/>
              <w:textAlignment w:val="auto"/>
              <w:rPr>
                <w:rFonts w:eastAsia="Calibri"/>
                <w:b/>
                <w:bCs/>
                <w:color w:val="000000"/>
              </w:rPr>
            </w:pPr>
          </w:p>
        </w:tc>
        <w:tc>
          <w:tcPr>
            <w:tcW w:w="1019" w:type="dxa"/>
            <w:tcBorders>
              <w:top w:val="nil"/>
              <w:left w:val="nil"/>
              <w:bottom w:val="nil"/>
              <w:right w:val="single" w:color="auto" w:sz="8" w:space="0"/>
            </w:tcBorders>
            <w:tcMar>
              <w:top w:w="0" w:type="dxa"/>
              <w:left w:w="108" w:type="dxa"/>
              <w:bottom w:w="0" w:type="dxa"/>
              <w:right w:w="108" w:type="dxa"/>
            </w:tcMar>
          </w:tcPr>
          <w:p w:rsidRPr="00526EF9" w:rsidR="00526EF9" w:rsidP="00526EF9" w:rsidRDefault="00526EF9" w14:paraId="4D4A94AF" w14:textId="77777777">
            <w:pPr>
              <w:adjustRightInd/>
              <w:jc w:val="center"/>
              <w:textAlignment w:val="auto"/>
              <w:rPr>
                <w:rFonts w:eastAsia="Calibri"/>
                <w:b/>
                <w:bCs/>
                <w:color w:val="000000"/>
              </w:rPr>
            </w:pPr>
          </w:p>
        </w:tc>
        <w:tc>
          <w:tcPr>
            <w:tcW w:w="1116" w:type="dxa"/>
            <w:tcBorders>
              <w:top w:val="nil"/>
              <w:left w:val="nil"/>
              <w:bottom w:val="nil"/>
              <w:right w:val="single" w:color="auto" w:sz="8" w:space="0"/>
            </w:tcBorders>
            <w:tcMar>
              <w:top w:w="0" w:type="dxa"/>
              <w:left w:w="108" w:type="dxa"/>
              <w:bottom w:w="0" w:type="dxa"/>
              <w:right w:w="108" w:type="dxa"/>
            </w:tcMar>
          </w:tcPr>
          <w:p w:rsidRPr="00526EF9" w:rsidR="00526EF9" w:rsidP="00526EF9" w:rsidRDefault="001F3E65" w14:paraId="4136E9C5" w14:textId="765BB9FA">
            <w:pPr>
              <w:adjustRightInd/>
              <w:jc w:val="center"/>
              <w:textAlignment w:val="auto"/>
              <w:rPr>
                <w:rFonts w:eastAsia="Calibri"/>
                <w:b/>
                <w:bCs/>
                <w:color w:val="000000"/>
              </w:rPr>
            </w:pPr>
            <w:r>
              <w:rPr>
                <w:rFonts w:eastAsia="Calibri"/>
                <w:b/>
                <w:bCs/>
                <w:color w:val="000000"/>
              </w:rPr>
              <w:t>574,236</w:t>
            </w:r>
            <w:r w:rsidR="00712DD3">
              <w:rPr>
                <w:rFonts w:eastAsia="Calibri"/>
                <w:b/>
                <w:bCs/>
                <w:color w:val="000000"/>
              </w:rPr>
              <w:t>.00</w:t>
            </w:r>
          </w:p>
        </w:tc>
        <w:tc>
          <w:tcPr>
            <w:tcW w:w="1019" w:type="dxa"/>
            <w:tcBorders>
              <w:top w:val="nil"/>
              <w:left w:val="nil"/>
              <w:bottom w:val="nil"/>
              <w:right w:val="single" w:color="auto" w:sz="8" w:space="0"/>
            </w:tcBorders>
            <w:tcMar>
              <w:top w:w="0" w:type="dxa"/>
              <w:left w:w="108" w:type="dxa"/>
              <w:bottom w:w="0" w:type="dxa"/>
              <w:right w:w="108" w:type="dxa"/>
            </w:tcMar>
          </w:tcPr>
          <w:p w:rsidRPr="00526EF9" w:rsidR="00526EF9" w:rsidP="00526EF9" w:rsidRDefault="00526EF9" w14:paraId="72B30F7E" w14:textId="77777777">
            <w:pPr>
              <w:adjustRightInd/>
              <w:jc w:val="right"/>
              <w:textAlignment w:val="auto"/>
              <w:rPr>
                <w:rFonts w:eastAsia="Calibri"/>
                <w:b/>
                <w:bCs/>
                <w:color w:val="000000"/>
              </w:rPr>
            </w:pPr>
          </w:p>
        </w:tc>
        <w:tc>
          <w:tcPr>
            <w:tcW w:w="1466" w:type="dxa"/>
            <w:tcBorders>
              <w:top w:val="nil"/>
              <w:left w:val="nil"/>
              <w:bottom w:val="nil"/>
              <w:right w:val="single" w:color="auto" w:sz="8" w:space="0"/>
            </w:tcBorders>
            <w:tcMar>
              <w:top w:w="0" w:type="dxa"/>
              <w:left w:w="108" w:type="dxa"/>
              <w:bottom w:w="0" w:type="dxa"/>
              <w:right w:w="108" w:type="dxa"/>
            </w:tcMar>
          </w:tcPr>
          <w:p w:rsidRPr="00526EF9" w:rsidR="00526EF9" w:rsidP="00526EF9" w:rsidRDefault="00236724" w14:paraId="5A664850" w14:textId="41BD062A">
            <w:pPr>
              <w:adjustRightInd/>
              <w:jc w:val="right"/>
              <w:textAlignment w:val="auto"/>
              <w:rPr>
                <w:rFonts w:eastAsia="Calibri"/>
                <w:b/>
                <w:bCs/>
                <w:color w:val="000000"/>
              </w:rPr>
            </w:pPr>
            <w:r>
              <w:rPr>
                <w:rFonts w:eastAsia="Calibri"/>
                <w:b/>
                <w:bCs/>
                <w:color w:val="000000"/>
              </w:rPr>
              <w:t>$</w:t>
            </w:r>
            <w:r w:rsidR="001F3E65">
              <w:rPr>
                <w:rFonts w:eastAsia="Calibri"/>
                <w:b/>
                <w:bCs/>
                <w:color w:val="000000"/>
              </w:rPr>
              <w:t>20,190,137.</w:t>
            </w:r>
            <w:r w:rsidR="003F1A52">
              <w:rPr>
                <w:rFonts w:eastAsia="Calibri"/>
                <w:b/>
                <w:bCs/>
                <w:color w:val="000000"/>
              </w:rPr>
              <w:t>76</w:t>
            </w:r>
          </w:p>
        </w:tc>
      </w:tr>
      <w:tr w:rsidRPr="00526EF9" w:rsidR="00712DD3" w:rsidTr="006C501B" w14:paraId="24874A5E" w14:textId="77777777">
        <w:trPr>
          <w:trHeight w:val="80"/>
        </w:trPr>
        <w:tc>
          <w:tcPr>
            <w:tcW w:w="171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26EF9" w:rsidR="002D218D" w:rsidP="00526EF9" w:rsidRDefault="002D218D" w14:paraId="58F9AF62" w14:textId="77777777">
            <w:pPr>
              <w:adjustRightInd/>
              <w:textAlignment w:val="auto"/>
              <w:rPr>
                <w:rFonts w:eastAsia="Calibri"/>
                <w:b/>
                <w:bCs/>
                <w:color w:val="000000"/>
              </w:rPr>
            </w:pPr>
            <w:r>
              <w:rPr>
                <w:rFonts w:eastAsia="Calibri"/>
                <w:b/>
                <w:bCs/>
                <w:color w:val="000000"/>
              </w:rPr>
              <w:t>Total</w:t>
            </w:r>
          </w:p>
        </w:tc>
        <w:tc>
          <w:tcPr>
            <w:tcW w:w="1155" w:type="dxa"/>
            <w:tcBorders>
              <w:top w:val="nil"/>
              <w:left w:val="nil"/>
              <w:bottom w:val="single" w:color="auto" w:sz="8" w:space="0"/>
              <w:right w:val="single" w:color="auto" w:sz="8" w:space="0"/>
            </w:tcBorders>
            <w:tcMar>
              <w:top w:w="0" w:type="dxa"/>
              <w:left w:w="108" w:type="dxa"/>
              <w:bottom w:w="0" w:type="dxa"/>
              <w:right w:w="108" w:type="dxa"/>
            </w:tcMar>
          </w:tcPr>
          <w:p w:rsidRPr="00526EF9" w:rsidR="002D218D" w:rsidP="00526EF9" w:rsidRDefault="002D218D" w14:paraId="7DCA15FE" w14:textId="77777777">
            <w:pPr>
              <w:adjustRightInd/>
              <w:jc w:val="center"/>
              <w:textAlignment w:val="auto"/>
              <w:rPr>
                <w:rFonts w:eastAsia="Calibri"/>
                <w:b/>
                <w:bCs/>
                <w:color w:val="000000"/>
              </w:rPr>
            </w:pPr>
          </w:p>
        </w:tc>
        <w:tc>
          <w:tcPr>
            <w:tcW w:w="1129" w:type="dxa"/>
            <w:tcBorders>
              <w:top w:val="nil"/>
              <w:left w:val="nil"/>
              <w:bottom w:val="single" w:color="auto" w:sz="8" w:space="0"/>
              <w:right w:val="single" w:color="auto" w:sz="8" w:space="0"/>
            </w:tcBorders>
            <w:tcMar>
              <w:top w:w="0" w:type="dxa"/>
              <w:left w:w="108" w:type="dxa"/>
              <w:bottom w:w="0" w:type="dxa"/>
              <w:right w:w="108" w:type="dxa"/>
            </w:tcMar>
          </w:tcPr>
          <w:p w:rsidRPr="00526EF9" w:rsidR="002D218D" w:rsidP="00526EF9" w:rsidRDefault="002D218D" w14:paraId="4CBAB7D8" w14:textId="77777777">
            <w:pPr>
              <w:adjustRightInd/>
              <w:jc w:val="center"/>
              <w:textAlignment w:val="auto"/>
              <w:rPr>
                <w:rFonts w:eastAsia="Calibri"/>
                <w:b/>
                <w:bCs/>
                <w:color w:val="000000"/>
              </w:rPr>
            </w:pPr>
          </w:p>
        </w:tc>
        <w:tc>
          <w:tcPr>
            <w:tcW w:w="1096" w:type="dxa"/>
            <w:tcBorders>
              <w:top w:val="nil"/>
              <w:left w:val="nil"/>
              <w:bottom w:val="single" w:color="auto" w:sz="8" w:space="0"/>
              <w:right w:val="single" w:color="auto" w:sz="8" w:space="0"/>
            </w:tcBorders>
            <w:tcMar>
              <w:top w:w="0" w:type="dxa"/>
              <w:left w:w="108" w:type="dxa"/>
              <w:bottom w:w="0" w:type="dxa"/>
              <w:right w:w="108" w:type="dxa"/>
            </w:tcMar>
          </w:tcPr>
          <w:p w:rsidRPr="0026220C" w:rsidR="002D218D" w:rsidP="00526EF9" w:rsidRDefault="002D218D" w14:paraId="322BBC00" w14:textId="77777777">
            <w:pPr>
              <w:adjustRightInd/>
              <w:jc w:val="center"/>
              <w:textAlignment w:val="auto"/>
              <w:rPr>
                <w:rFonts w:eastAsia="Calibri"/>
                <w:bCs/>
                <w:color w:val="000000"/>
              </w:rPr>
            </w:pPr>
          </w:p>
        </w:tc>
        <w:tc>
          <w:tcPr>
            <w:tcW w:w="1019" w:type="dxa"/>
            <w:tcBorders>
              <w:top w:val="nil"/>
              <w:left w:val="nil"/>
              <w:bottom w:val="single" w:color="auto" w:sz="8" w:space="0"/>
              <w:right w:val="single" w:color="auto" w:sz="8" w:space="0"/>
            </w:tcBorders>
            <w:tcMar>
              <w:top w:w="0" w:type="dxa"/>
              <w:left w:w="108" w:type="dxa"/>
              <w:bottom w:w="0" w:type="dxa"/>
              <w:right w:w="108" w:type="dxa"/>
            </w:tcMar>
          </w:tcPr>
          <w:p w:rsidRPr="00526EF9" w:rsidR="002D218D" w:rsidP="00526EF9" w:rsidRDefault="002D218D" w14:paraId="52D8205E" w14:textId="77777777">
            <w:pPr>
              <w:adjustRightInd/>
              <w:jc w:val="center"/>
              <w:textAlignment w:val="auto"/>
              <w:rPr>
                <w:rFonts w:eastAsia="Calibri"/>
                <w:b/>
                <w:bCs/>
                <w:color w:val="000000"/>
              </w:rPr>
            </w:pP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rsidRPr="00526EF9" w:rsidR="002D218D" w:rsidP="00526EF9" w:rsidRDefault="002D218D" w14:paraId="485EA438" w14:textId="77777777">
            <w:pPr>
              <w:adjustRightInd/>
              <w:jc w:val="center"/>
              <w:textAlignment w:val="auto"/>
              <w:rPr>
                <w:rFonts w:eastAsia="Calibri"/>
                <w:b/>
                <w:bCs/>
                <w:color w:val="000000"/>
              </w:rPr>
            </w:pPr>
          </w:p>
        </w:tc>
        <w:tc>
          <w:tcPr>
            <w:tcW w:w="1019" w:type="dxa"/>
            <w:tcBorders>
              <w:top w:val="nil"/>
              <w:left w:val="nil"/>
              <w:bottom w:val="single" w:color="auto" w:sz="8" w:space="0"/>
              <w:right w:val="single" w:color="auto" w:sz="8" w:space="0"/>
            </w:tcBorders>
            <w:tcMar>
              <w:top w:w="0" w:type="dxa"/>
              <w:left w:w="108" w:type="dxa"/>
              <w:bottom w:w="0" w:type="dxa"/>
              <w:right w:w="108" w:type="dxa"/>
            </w:tcMar>
          </w:tcPr>
          <w:p w:rsidRPr="00526EF9" w:rsidR="002D218D" w:rsidP="00526EF9" w:rsidRDefault="002D218D" w14:paraId="71CECBA9" w14:textId="77777777">
            <w:pPr>
              <w:adjustRightInd/>
              <w:jc w:val="right"/>
              <w:textAlignment w:val="auto"/>
              <w:rPr>
                <w:rFonts w:eastAsia="Calibri"/>
                <w:b/>
                <w:bCs/>
                <w:color w:val="000000"/>
              </w:rPr>
            </w:pPr>
          </w:p>
        </w:tc>
        <w:tc>
          <w:tcPr>
            <w:tcW w:w="1466" w:type="dxa"/>
            <w:tcBorders>
              <w:top w:val="nil"/>
              <w:left w:val="nil"/>
              <w:bottom w:val="single" w:color="auto" w:sz="8" w:space="0"/>
              <w:right w:val="single" w:color="auto" w:sz="8" w:space="0"/>
            </w:tcBorders>
            <w:tcMar>
              <w:top w:w="0" w:type="dxa"/>
              <w:left w:w="108" w:type="dxa"/>
              <w:bottom w:w="0" w:type="dxa"/>
              <w:right w:w="108" w:type="dxa"/>
            </w:tcMar>
          </w:tcPr>
          <w:p w:rsidRPr="00526EF9" w:rsidR="002D218D" w:rsidP="00526EF9" w:rsidRDefault="002D218D" w14:paraId="25681200" w14:textId="77777777">
            <w:pPr>
              <w:adjustRightInd/>
              <w:jc w:val="right"/>
              <w:textAlignment w:val="auto"/>
              <w:rPr>
                <w:rFonts w:eastAsia="Calibri"/>
                <w:b/>
                <w:bCs/>
                <w:color w:val="000000"/>
              </w:rPr>
            </w:pPr>
          </w:p>
        </w:tc>
      </w:tr>
      <w:bookmarkEnd w:id="2"/>
    </w:tbl>
    <w:p w:rsidR="006B571E" w:rsidP="0026220C" w:rsidRDefault="006B571E" w14:paraId="753CACBF" w14:textId="77777777">
      <w:pPr>
        <w:pStyle w:val="BodyTextIndent2"/>
        <w:ind w:left="0" w:firstLine="0"/>
        <w:rPr>
          <w:sz w:val="22"/>
          <w:szCs w:val="22"/>
        </w:rPr>
      </w:pPr>
    </w:p>
    <w:p w:rsidR="00C52ACC" w:rsidP="000F14B9" w:rsidRDefault="00C52ACC" w14:paraId="33BC08DC" w14:textId="77777777">
      <w:pPr>
        <w:pStyle w:val="BodyTextIndent2"/>
        <w:rPr>
          <w:sz w:val="22"/>
          <w:szCs w:val="22"/>
        </w:rPr>
      </w:pPr>
    </w:p>
    <w:p w:rsidR="00C52ACC" w:rsidP="000F14B9" w:rsidRDefault="00C52ACC" w14:paraId="4FACA1EF" w14:textId="77777777">
      <w:pPr>
        <w:pStyle w:val="BodyTextIndent2"/>
        <w:rPr>
          <w:sz w:val="22"/>
          <w:szCs w:val="22"/>
        </w:rPr>
      </w:pPr>
    </w:p>
    <w:p w:rsidR="00712DD3" w:rsidP="000F14B9" w:rsidRDefault="00712DD3" w14:paraId="2CCD28A4" w14:textId="77777777">
      <w:pPr>
        <w:pStyle w:val="BodyTextIndent2"/>
        <w:rPr>
          <w:sz w:val="22"/>
          <w:szCs w:val="22"/>
        </w:rPr>
      </w:pPr>
    </w:p>
    <w:p w:rsidR="00712DD3" w:rsidP="000F14B9" w:rsidRDefault="00712DD3" w14:paraId="559CD4BF" w14:textId="77777777">
      <w:pPr>
        <w:pStyle w:val="BodyTextIndent2"/>
        <w:rPr>
          <w:sz w:val="22"/>
          <w:szCs w:val="22"/>
        </w:rPr>
      </w:pPr>
    </w:p>
    <w:p w:rsidR="002310B7" w:rsidP="002310B7" w:rsidRDefault="000F14B9" w14:paraId="7C9A93ED" w14:textId="77777777">
      <w:pPr>
        <w:pStyle w:val="BodyTextIndent2"/>
        <w:numPr>
          <w:ilvl w:val="0"/>
          <w:numId w:val="2"/>
        </w:numPr>
        <w:rPr>
          <w:sz w:val="22"/>
          <w:szCs w:val="22"/>
        </w:rPr>
      </w:pPr>
      <w:r w:rsidRPr="005B3ED4">
        <w:rPr>
          <w:sz w:val="22"/>
          <w:szCs w:val="22"/>
        </w:rPr>
        <w:t>No other costs than stated in #12 above.</w:t>
      </w:r>
    </w:p>
    <w:p w:rsidR="002310B7" w:rsidP="002310B7" w:rsidRDefault="002310B7" w14:paraId="5129E48E" w14:textId="77777777">
      <w:pPr>
        <w:pStyle w:val="BodyTextIndent2"/>
        <w:ind w:left="720" w:firstLine="0"/>
        <w:rPr>
          <w:sz w:val="22"/>
          <w:szCs w:val="22"/>
        </w:rPr>
      </w:pPr>
    </w:p>
    <w:p w:rsidRPr="002310B7" w:rsidR="000F14B9" w:rsidP="002310B7" w:rsidRDefault="00862396" w14:paraId="4F32065C" w14:textId="77777777">
      <w:pPr>
        <w:pStyle w:val="BodyTextIndent2"/>
        <w:numPr>
          <w:ilvl w:val="0"/>
          <w:numId w:val="2"/>
        </w:numPr>
        <w:rPr>
          <w:sz w:val="22"/>
          <w:szCs w:val="22"/>
        </w:rPr>
      </w:pPr>
      <w:r w:rsidRPr="002310B7">
        <w:rPr>
          <w:sz w:val="22"/>
          <w:szCs w:val="22"/>
        </w:rPr>
        <w:t>E</w:t>
      </w:r>
      <w:r w:rsidRPr="002310B7" w:rsidR="000F14B9">
        <w:rPr>
          <w:sz w:val="22"/>
          <w:szCs w:val="22"/>
        </w:rPr>
        <w:t>stimates of annualized cost to the Federal Government.</w:t>
      </w:r>
    </w:p>
    <w:p w:rsidR="00526EF9" w:rsidP="00526EF9" w:rsidRDefault="00526EF9" w14:paraId="4D2ACB0B" w14:textId="77777777">
      <w:pPr>
        <w:pStyle w:val="BodyTextIndent2"/>
        <w:rPr>
          <w:sz w:val="22"/>
          <w:szCs w:val="22"/>
        </w:rPr>
      </w:pPr>
    </w:p>
    <w:p w:rsidR="00526EF9" w:rsidP="00526EF9" w:rsidRDefault="00526EF9" w14:paraId="7DBC33BE" w14:textId="77777777">
      <w:pPr>
        <w:pStyle w:val="BodyTextIndent2"/>
        <w:rPr>
          <w:sz w:val="22"/>
          <w:szCs w:val="22"/>
        </w:rPr>
      </w:pPr>
      <w:r>
        <w:rPr>
          <w:sz w:val="22"/>
          <w:szCs w:val="22"/>
        </w:rPr>
        <w:tab/>
      </w:r>
    </w:p>
    <w:tbl>
      <w:tblPr>
        <w:tblW w:w="0" w:type="auto"/>
        <w:tblInd w:w="-10" w:type="dxa"/>
        <w:tblCellMar>
          <w:left w:w="0" w:type="dxa"/>
          <w:right w:w="0" w:type="dxa"/>
        </w:tblCellMar>
        <w:tblLook w:val="04A0" w:firstRow="1" w:lastRow="0" w:firstColumn="1" w:lastColumn="0" w:noHBand="0" w:noVBand="1"/>
      </w:tblPr>
      <w:tblGrid>
        <w:gridCol w:w="1307"/>
        <w:gridCol w:w="1306"/>
        <w:gridCol w:w="1127"/>
        <w:gridCol w:w="1094"/>
        <w:gridCol w:w="1017"/>
        <w:gridCol w:w="1016"/>
        <w:gridCol w:w="1017"/>
        <w:gridCol w:w="1466"/>
      </w:tblGrid>
      <w:tr w:rsidRPr="00526EF9" w:rsidR="0026220C" w:rsidTr="006C501B" w14:paraId="7376606B" w14:textId="77777777">
        <w:tc>
          <w:tcPr>
            <w:tcW w:w="13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26EF9" w:rsidR="00526EF9" w:rsidP="00526EF9" w:rsidRDefault="00526EF9" w14:paraId="3819FC8E" w14:textId="77777777">
            <w:pPr>
              <w:adjustRightInd/>
              <w:jc w:val="center"/>
              <w:textAlignment w:val="auto"/>
              <w:rPr>
                <w:rFonts w:eastAsia="Calibri"/>
                <w:b/>
                <w:bCs/>
                <w:color w:val="000000"/>
              </w:rPr>
            </w:pPr>
            <w:r w:rsidRPr="00526EF9">
              <w:rPr>
                <w:rFonts w:eastAsia="Calibri"/>
                <w:b/>
                <w:bCs/>
                <w:color w:val="000000"/>
              </w:rPr>
              <w:t>Information Collection</w:t>
            </w:r>
          </w:p>
        </w:tc>
        <w:tc>
          <w:tcPr>
            <w:tcW w:w="13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26EF9" w:rsidR="00526EF9" w:rsidP="00526EF9" w:rsidRDefault="00526EF9" w14:paraId="57FAA93A" w14:textId="77777777">
            <w:pPr>
              <w:adjustRightInd/>
              <w:jc w:val="center"/>
              <w:textAlignment w:val="auto"/>
              <w:rPr>
                <w:rFonts w:eastAsia="Calibri"/>
                <w:b/>
                <w:bCs/>
                <w:color w:val="000000"/>
              </w:rPr>
            </w:pPr>
            <w:r w:rsidRPr="00526EF9">
              <w:rPr>
                <w:rFonts w:eastAsia="Calibri"/>
                <w:b/>
                <w:bCs/>
                <w:color w:val="000000"/>
              </w:rPr>
              <w:t>Number of Respondents</w:t>
            </w:r>
          </w:p>
        </w:tc>
        <w:tc>
          <w:tcPr>
            <w:tcW w:w="112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26EF9" w:rsidR="00526EF9" w:rsidP="00526EF9" w:rsidRDefault="00526EF9" w14:paraId="463B0783" w14:textId="77777777">
            <w:pPr>
              <w:adjustRightInd/>
              <w:jc w:val="center"/>
              <w:textAlignment w:val="auto"/>
              <w:rPr>
                <w:rFonts w:eastAsia="Calibri"/>
                <w:b/>
                <w:bCs/>
                <w:color w:val="000000"/>
              </w:rPr>
            </w:pPr>
            <w:r w:rsidRPr="00526EF9">
              <w:rPr>
                <w:rFonts w:eastAsia="Calibri"/>
                <w:b/>
                <w:bCs/>
                <w:color w:val="000000"/>
              </w:rPr>
              <w:t>Frequency of Response</w:t>
            </w:r>
          </w:p>
        </w:tc>
        <w:tc>
          <w:tcPr>
            <w:tcW w:w="108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26EF9" w:rsidR="00526EF9" w:rsidP="00526EF9" w:rsidRDefault="00526EF9" w14:paraId="619C0694" w14:textId="77777777">
            <w:pPr>
              <w:overflowPunct/>
              <w:autoSpaceDE/>
              <w:adjustRightInd/>
              <w:jc w:val="center"/>
              <w:textAlignment w:val="auto"/>
              <w:rPr>
                <w:rFonts w:eastAsia="Calibri"/>
                <w:b/>
                <w:bCs/>
                <w:color w:val="000000"/>
              </w:rPr>
            </w:pPr>
            <w:r w:rsidRPr="00526EF9">
              <w:rPr>
                <w:rFonts w:eastAsia="Calibri"/>
                <w:b/>
                <w:bCs/>
                <w:color w:val="000000"/>
              </w:rPr>
              <w:t>Responses</w:t>
            </w:r>
          </w:p>
          <w:p w:rsidRPr="00526EF9" w:rsidR="00526EF9" w:rsidP="00526EF9" w:rsidRDefault="00526EF9" w14:paraId="39B53B60" w14:textId="77777777">
            <w:pPr>
              <w:adjustRightInd/>
              <w:jc w:val="center"/>
              <w:textAlignment w:val="auto"/>
              <w:rPr>
                <w:rFonts w:eastAsia="Calibri"/>
                <w:b/>
                <w:bCs/>
                <w:color w:val="000000"/>
              </w:rPr>
            </w:pPr>
            <w:r w:rsidRPr="00526EF9">
              <w:rPr>
                <w:rFonts w:eastAsia="Calibri"/>
                <w:b/>
                <w:bCs/>
                <w:color w:val="000000"/>
              </w:rPr>
              <w:t>Per Annum</w:t>
            </w:r>
          </w:p>
        </w:tc>
        <w:tc>
          <w:tcPr>
            <w:tcW w:w="101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26EF9" w:rsidR="00526EF9" w:rsidP="00526EF9" w:rsidRDefault="00526EF9" w14:paraId="78B3A305" w14:textId="77777777">
            <w:pPr>
              <w:adjustRightInd/>
              <w:jc w:val="center"/>
              <w:textAlignment w:val="auto"/>
              <w:rPr>
                <w:rFonts w:eastAsia="Calibri"/>
                <w:b/>
                <w:bCs/>
                <w:color w:val="000000"/>
              </w:rPr>
            </w:pPr>
            <w:r w:rsidRPr="00526EF9">
              <w:rPr>
                <w:rFonts w:eastAsia="Calibri"/>
                <w:b/>
                <w:bCs/>
                <w:color w:val="000000"/>
              </w:rPr>
              <w:t>Burden Hour Per Response</w:t>
            </w:r>
          </w:p>
        </w:tc>
        <w:tc>
          <w:tcPr>
            <w:tcW w:w="101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26EF9" w:rsidR="00526EF9" w:rsidP="00526EF9" w:rsidRDefault="00526EF9" w14:paraId="1E81EC28" w14:textId="77777777">
            <w:pPr>
              <w:adjustRightInd/>
              <w:jc w:val="center"/>
              <w:textAlignment w:val="auto"/>
              <w:rPr>
                <w:rFonts w:eastAsia="Calibri"/>
                <w:b/>
                <w:bCs/>
                <w:color w:val="000000"/>
              </w:rPr>
            </w:pPr>
            <w:r w:rsidRPr="00526EF9">
              <w:rPr>
                <w:rFonts w:eastAsia="Calibri"/>
                <w:b/>
                <w:bCs/>
                <w:color w:val="000000"/>
              </w:rPr>
              <w:t>Annual Burden Hours</w:t>
            </w:r>
          </w:p>
        </w:tc>
        <w:tc>
          <w:tcPr>
            <w:tcW w:w="101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26EF9" w:rsidR="00526EF9" w:rsidP="00526EF9" w:rsidRDefault="00526EF9" w14:paraId="794D7F63" w14:textId="77777777">
            <w:pPr>
              <w:adjustRightInd/>
              <w:jc w:val="center"/>
              <w:textAlignment w:val="auto"/>
              <w:rPr>
                <w:rFonts w:eastAsia="Calibri"/>
                <w:b/>
                <w:bCs/>
                <w:color w:val="000000"/>
              </w:rPr>
            </w:pPr>
            <w:r w:rsidRPr="00526EF9">
              <w:rPr>
                <w:rFonts w:eastAsia="Calibri"/>
                <w:b/>
                <w:bCs/>
                <w:color w:val="000000"/>
              </w:rPr>
              <w:t>Hourly Cost Per Response</w:t>
            </w:r>
          </w:p>
        </w:tc>
        <w:tc>
          <w:tcPr>
            <w:tcW w:w="145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526EF9" w:rsidR="00526EF9" w:rsidP="00526EF9" w:rsidRDefault="00526EF9" w14:paraId="2D1CF665" w14:textId="77777777">
            <w:pPr>
              <w:overflowPunct/>
              <w:autoSpaceDE/>
              <w:adjustRightInd/>
              <w:jc w:val="center"/>
              <w:textAlignment w:val="auto"/>
              <w:rPr>
                <w:rFonts w:eastAsia="Calibri"/>
                <w:b/>
                <w:bCs/>
                <w:color w:val="000000"/>
              </w:rPr>
            </w:pPr>
            <w:r w:rsidRPr="00526EF9">
              <w:rPr>
                <w:rFonts w:eastAsia="Calibri"/>
                <w:b/>
                <w:bCs/>
                <w:color w:val="000000"/>
              </w:rPr>
              <w:t>Annual Cost</w:t>
            </w:r>
          </w:p>
          <w:p w:rsidRPr="00526EF9" w:rsidR="00526EF9" w:rsidP="00526EF9" w:rsidRDefault="00526EF9" w14:paraId="4B255D3A" w14:textId="77777777">
            <w:pPr>
              <w:adjustRightInd/>
              <w:jc w:val="center"/>
              <w:textAlignment w:val="auto"/>
              <w:rPr>
                <w:rFonts w:eastAsia="Calibri"/>
                <w:b/>
                <w:bCs/>
                <w:color w:val="000000"/>
              </w:rPr>
            </w:pPr>
          </w:p>
        </w:tc>
      </w:tr>
      <w:tr w:rsidRPr="00526EF9" w:rsidR="0026220C" w:rsidTr="006C501B" w14:paraId="6AECB5C2" w14:textId="77777777">
        <w:tc>
          <w:tcPr>
            <w:tcW w:w="134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26EF9" w:rsidR="00526EF9" w:rsidP="00526EF9" w:rsidRDefault="0026220C" w14:paraId="1F5DEDB9" w14:textId="77777777">
            <w:pPr>
              <w:adjustRightInd/>
              <w:textAlignment w:val="auto"/>
              <w:rPr>
                <w:rFonts w:eastAsia="Calibri"/>
                <w:b/>
                <w:bCs/>
                <w:color w:val="000000"/>
              </w:rPr>
            </w:pPr>
            <w:r>
              <w:rPr>
                <w:rFonts w:eastAsia="Calibri"/>
                <w:b/>
                <w:bCs/>
                <w:color w:val="000000"/>
              </w:rPr>
              <w:t>2506-0077</w:t>
            </w:r>
          </w:p>
        </w:tc>
        <w:tc>
          <w:tcPr>
            <w:tcW w:w="1300" w:type="dxa"/>
            <w:tcBorders>
              <w:top w:val="nil"/>
              <w:left w:val="nil"/>
              <w:bottom w:val="single" w:color="auto" w:sz="8" w:space="0"/>
              <w:right w:val="single" w:color="auto" w:sz="8" w:space="0"/>
            </w:tcBorders>
            <w:tcMar>
              <w:top w:w="0" w:type="dxa"/>
              <w:left w:w="108" w:type="dxa"/>
              <w:bottom w:w="0" w:type="dxa"/>
              <w:right w:w="108" w:type="dxa"/>
            </w:tcMar>
          </w:tcPr>
          <w:p w:rsidRPr="00526EF9" w:rsidR="00526EF9" w:rsidP="00526EF9" w:rsidRDefault="0026220C" w14:paraId="717587A1" w14:textId="6A16B556">
            <w:pPr>
              <w:adjustRightInd/>
              <w:jc w:val="center"/>
              <w:textAlignment w:val="auto"/>
              <w:rPr>
                <w:rFonts w:eastAsia="Calibri"/>
                <w:b/>
                <w:bCs/>
                <w:color w:val="000000"/>
              </w:rPr>
            </w:pPr>
            <w:r>
              <w:rPr>
                <w:rFonts w:eastAsia="Calibri"/>
                <w:b/>
                <w:bCs/>
                <w:color w:val="000000"/>
              </w:rPr>
              <w:t>1,2</w:t>
            </w:r>
            <w:r w:rsidR="004B29E6">
              <w:rPr>
                <w:rFonts w:eastAsia="Calibri"/>
                <w:b/>
                <w:bCs/>
                <w:color w:val="000000"/>
              </w:rPr>
              <w:t>27.</w:t>
            </w:r>
            <w:r>
              <w:rPr>
                <w:rFonts w:eastAsia="Calibri"/>
                <w:b/>
                <w:bCs/>
                <w:color w:val="000000"/>
              </w:rPr>
              <w:t>00</w:t>
            </w:r>
          </w:p>
        </w:tc>
        <w:tc>
          <w:tcPr>
            <w:tcW w:w="1122" w:type="dxa"/>
            <w:tcBorders>
              <w:top w:val="nil"/>
              <w:left w:val="nil"/>
              <w:bottom w:val="single" w:color="auto" w:sz="8" w:space="0"/>
              <w:right w:val="single" w:color="auto" w:sz="8" w:space="0"/>
            </w:tcBorders>
            <w:tcMar>
              <w:top w:w="0" w:type="dxa"/>
              <w:left w:w="108" w:type="dxa"/>
              <w:bottom w:w="0" w:type="dxa"/>
              <w:right w:w="108" w:type="dxa"/>
            </w:tcMar>
          </w:tcPr>
          <w:p w:rsidRPr="00526EF9" w:rsidR="00526EF9" w:rsidP="00526EF9" w:rsidRDefault="0026220C" w14:paraId="44E118E2" w14:textId="77777777">
            <w:pPr>
              <w:adjustRightInd/>
              <w:jc w:val="center"/>
              <w:textAlignment w:val="auto"/>
              <w:rPr>
                <w:rFonts w:eastAsia="Calibri"/>
                <w:b/>
                <w:bCs/>
                <w:color w:val="000000"/>
              </w:rPr>
            </w:pPr>
            <w:r>
              <w:rPr>
                <w:rFonts w:eastAsia="Calibri"/>
                <w:b/>
                <w:bCs/>
                <w:color w:val="000000"/>
              </w:rPr>
              <w:t>1.00</w:t>
            </w:r>
          </w:p>
        </w:tc>
        <w:tc>
          <w:tcPr>
            <w:tcW w:w="1089" w:type="dxa"/>
            <w:tcBorders>
              <w:top w:val="nil"/>
              <w:left w:val="nil"/>
              <w:bottom w:val="single" w:color="auto" w:sz="8" w:space="0"/>
              <w:right w:val="single" w:color="auto" w:sz="8" w:space="0"/>
            </w:tcBorders>
            <w:tcMar>
              <w:top w:w="0" w:type="dxa"/>
              <w:left w:w="108" w:type="dxa"/>
              <w:bottom w:w="0" w:type="dxa"/>
              <w:right w:w="108" w:type="dxa"/>
            </w:tcMar>
          </w:tcPr>
          <w:p w:rsidRPr="00526EF9" w:rsidR="00526EF9" w:rsidP="00526EF9" w:rsidRDefault="0026220C" w14:paraId="0A847770" w14:textId="0E40B9F3">
            <w:pPr>
              <w:adjustRightInd/>
              <w:jc w:val="center"/>
              <w:textAlignment w:val="auto"/>
              <w:rPr>
                <w:rFonts w:eastAsia="Calibri"/>
                <w:b/>
                <w:bCs/>
                <w:color w:val="000000"/>
              </w:rPr>
            </w:pPr>
            <w:r>
              <w:rPr>
                <w:rFonts w:eastAsia="Calibri"/>
                <w:b/>
                <w:bCs/>
                <w:color w:val="000000"/>
              </w:rPr>
              <w:t>1,2</w:t>
            </w:r>
            <w:r w:rsidR="004B29E6">
              <w:rPr>
                <w:rFonts w:eastAsia="Calibri"/>
                <w:b/>
                <w:bCs/>
                <w:color w:val="000000"/>
              </w:rPr>
              <w:t>27</w:t>
            </w:r>
            <w:r>
              <w:rPr>
                <w:rFonts w:eastAsia="Calibri"/>
                <w:b/>
                <w:bCs/>
                <w:color w:val="000000"/>
              </w:rPr>
              <w:t>.00</w:t>
            </w:r>
          </w:p>
        </w:tc>
        <w:tc>
          <w:tcPr>
            <w:tcW w:w="1012" w:type="dxa"/>
            <w:tcBorders>
              <w:top w:val="nil"/>
              <w:left w:val="nil"/>
              <w:bottom w:val="single" w:color="auto" w:sz="8" w:space="0"/>
              <w:right w:val="single" w:color="auto" w:sz="8" w:space="0"/>
            </w:tcBorders>
            <w:tcMar>
              <w:top w:w="0" w:type="dxa"/>
              <w:left w:w="108" w:type="dxa"/>
              <w:bottom w:w="0" w:type="dxa"/>
              <w:right w:w="108" w:type="dxa"/>
            </w:tcMar>
          </w:tcPr>
          <w:p w:rsidRPr="00526EF9" w:rsidR="00526EF9" w:rsidP="00526EF9" w:rsidRDefault="00712DD3" w14:paraId="16E6B54B" w14:textId="77777777">
            <w:pPr>
              <w:adjustRightInd/>
              <w:jc w:val="center"/>
              <w:textAlignment w:val="auto"/>
              <w:rPr>
                <w:rFonts w:eastAsia="Calibri"/>
                <w:b/>
                <w:bCs/>
                <w:color w:val="000000"/>
              </w:rPr>
            </w:pPr>
            <w:r>
              <w:rPr>
                <w:rFonts w:eastAsia="Calibri"/>
                <w:b/>
                <w:bCs/>
                <w:color w:val="000000"/>
              </w:rPr>
              <w:t>77.50</w:t>
            </w:r>
            <w:r w:rsidR="00C82917">
              <w:rPr>
                <w:rFonts w:eastAsia="Calibri"/>
                <w:b/>
                <w:bCs/>
                <w:color w:val="000000"/>
              </w:rPr>
              <w:t>**</w:t>
            </w:r>
          </w:p>
        </w:tc>
        <w:tc>
          <w:tcPr>
            <w:tcW w:w="1011" w:type="dxa"/>
            <w:tcBorders>
              <w:top w:val="nil"/>
              <w:left w:val="nil"/>
              <w:bottom w:val="single" w:color="auto" w:sz="8" w:space="0"/>
              <w:right w:val="single" w:color="auto" w:sz="8" w:space="0"/>
            </w:tcBorders>
            <w:tcMar>
              <w:top w:w="0" w:type="dxa"/>
              <w:left w:w="108" w:type="dxa"/>
              <w:bottom w:w="0" w:type="dxa"/>
              <w:right w:w="108" w:type="dxa"/>
            </w:tcMar>
          </w:tcPr>
          <w:p w:rsidRPr="00526EF9" w:rsidR="00526EF9" w:rsidP="00526EF9" w:rsidRDefault="00712DD3" w14:paraId="2BC5BB2A" w14:textId="1DE5826C">
            <w:pPr>
              <w:adjustRightInd/>
              <w:jc w:val="center"/>
              <w:textAlignment w:val="auto"/>
              <w:rPr>
                <w:rFonts w:eastAsia="Calibri"/>
                <w:b/>
                <w:bCs/>
                <w:color w:val="000000"/>
              </w:rPr>
            </w:pPr>
            <w:r>
              <w:rPr>
                <w:rFonts w:eastAsia="Calibri"/>
                <w:b/>
                <w:bCs/>
                <w:color w:val="000000"/>
              </w:rPr>
              <w:t>9</w:t>
            </w:r>
            <w:r w:rsidR="004520A2">
              <w:rPr>
                <w:rFonts w:eastAsia="Calibri"/>
                <w:b/>
                <w:bCs/>
                <w:color w:val="000000"/>
              </w:rPr>
              <w:t>5,092.5</w:t>
            </w:r>
            <w:r>
              <w:rPr>
                <w:rFonts w:eastAsia="Calibri"/>
                <w:b/>
                <w:bCs/>
                <w:color w:val="000000"/>
              </w:rPr>
              <w:t>0</w:t>
            </w:r>
          </w:p>
        </w:tc>
        <w:tc>
          <w:tcPr>
            <w:tcW w:w="1012" w:type="dxa"/>
            <w:tcBorders>
              <w:top w:val="nil"/>
              <w:left w:val="nil"/>
              <w:bottom w:val="single" w:color="auto" w:sz="8" w:space="0"/>
              <w:right w:val="single" w:color="auto" w:sz="8" w:space="0"/>
            </w:tcBorders>
            <w:tcMar>
              <w:top w:w="0" w:type="dxa"/>
              <w:left w:w="108" w:type="dxa"/>
              <w:bottom w:w="0" w:type="dxa"/>
              <w:right w:w="108" w:type="dxa"/>
            </w:tcMar>
          </w:tcPr>
          <w:p w:rsidRPr="00526EF9" w:rsidR="00526EF9" w:rsidP="00526EF9" w:rsidRDefault="004B29E6" w14:paraId="5BAA0795" w14:textId="7399B08B">
            <w:pPr>
              <w:adjustRightInd/>
              <w:jc w:val="right"/>
              <w:textAlignment w:val="auto"/>
              <w:rPr>
                <w:rFonts w:eastAsia="Calibri"/>
                <w:b/>
                <w:bCs/>
                <w:color w:val="000000"/>
              </w:rPr>
            </w:pPr>
            <w:r>
              <w:rPr>
                <w:rFonts w:eastAsia="Calibri"/>
                <w:b/>
                <w:bCs/>
                <w:color w:val="000000"/>
              </w:rPr>
              <w:t>41.78</w:t>
            </w:r>
          </w:p>
        </w:tc>
        <w:tc>
          <w:tcPr>
            <w:tcW w:w="1459" w:type="dxa"/>
            <w:tcBorders>
              <w:top w:val="nil"/>
              <w:left w:val="nil"/>
              <w:bottom w:val="single" w:color="auto" w:sz="8" w:space="0"/>
              <w:right w:val="single" w:color="auto" w:sz="8" w:space="0"/>
            </w:tcBorders>
            <w:tcMar>
              <w:top w:w="0" w:type="dxa"/>
              <w:left w:w="108" w:type="dxa"/>
              <w:bottom w:w="0" w:type="dxa"/>
              <w:right w:w="108" w:type="dxa"/>
            </w:tcMar>
          </w:tcPr>
          <w:p w:rsidRPr="00526EF9" w:rsidR="00526EF9" w:rsidP="00526EF9" w:rsidRDefault="0026220C" w14:paraId="24F1CA5A" w14:textId="56625953">
            <w:pPr>
              <w:adjustRightInd/>
              <w:jc w:val="right"/>
              <w:textAlignment w:val="auto"/>
              <w:rPr>
                <w:rFonts w:eastAsia="Calibri"/>
                <w:b/>
                <w:bCs/>
                <w:color w:val="000000"/>
              </w:rPr>
            </w:pPr>
            <w:r>
              <w:rPr>
                <w:rFonts w:eastAsia="Calibri"/>
                <w:b/>
                <w:bCs/>
                <w:color w:val="000000"/>
              </w:rPr>
              <w:t>$</w:t>
            </w:r>
            <w:r w:rsidR="00712DD3">
              <w:rPr>
                <w:rFonts w:eastAsia="Calibri"/>
                <w:b/>
                <w:bCs/>
                <w:color w:val="000000"/>
              </w:rPr>
              <w:t>3,</w:t>
            </w:r>
            <w:r w:rsidR="004520A2">
              <w:rPr>
                <w:rFonts w:eastAsia="Calibri"/>
                <w:b/>
                <w:bCs/>
                <w:color w:val="000000"/>
              </w:rPr>
              <w:t>972,964.65</w:t>
            </w:r>
            <w:r>
              <w:rPr>
                <w:rFonts w:eastAsia="Calibri"/>
                <w:b/>
                <w:bCs/>
                <w:color w:val="000000"/>
              </w:rPr>
              <w:t>*</w:t>
            </w:r>
          </w:p>
        </w:tc>
      </w:tr>
    </w:tbl>
    <w:p w:rsidR="00C82917" w:rsidP="000F14B9" w:rsidRDefault="00C82917" w14:paraId="1605D63B" w14:textId="77777777">
      <w:pPr>
        <w:tabs>
          <w:tab w:val="left" w:pos="360"/>
        </w:tabs>
        <w:ind w:left="360" w:hanging="360"/>
        <w:rPr>
          <w:sz w:val="22"/>
          <w:szCs w:val="22"/>
        </w:rPr>
      </w:pPr>
    </w:p>
    <w:p w:rsidR="000F14B9" w:rsidP="000F14B9" w:rsidRDefault="000F14B9" w14:paraId="78F8478F" w14:textId="56DEEC83">
      <w:pPr>
        <w:tabs>
          <w:tab w:val="left" w:pos="360"/>
        </w:tabs>
        <w:ind w:left="360" w:hanging="360"/>
        <w:rPr>
          <w:sz w:val="22"/>
          <w:szCs w:val="22"/>
        </w:rPr>
      </w:pPr>
      <w:r w:rsidRPr="005B3ED4">
        <w:rPr>
          <w:sz w:val="22"/>
          <w:szCs w:val="22"/>
        </w:rPr>
        <w:t>*GS 12, step 1 (20</w:t>
      </w:r>
      <w:r w:rsidR="004B29E6">
        <w:rPr>
          <w:sz w:val="22"/>
          <w:szCs w:val="22"/>
        </w:rPr>
        <w:t>21</w:t>
      </w:r>
      <w:r w:rsidRPr="005B3ED4">
        <w:rPr>
          <w:sz w:val="22"/>
          <w:szCs w:val="22"/>
        </w:rPr>
        <w:t xml:space="preserve"> OMB tables)</w:t>
      </w:r>
      <w:r w:rsidR="00712DD3">
        <w:rPr>
          <w:sz w:val="22"/>
          <w:szCs w:val="22"/>
        </w:rPr>
        <w:t xml:space="preserve">  </w:t>
      </w:r>
    </w:p>
    <w:p w:rsidR="00C82917" w:rsidP="000F14B9" w:rsidRDefault="00C82917" w14:paraId="67DE26A4" w14:textId="77777777">
      <w:pPr>
        <w:tabs>
          <w:tab w:val="left" w:pos="360"/>
        </w:tabs>
        <w:ind w:left="360" w:hanging="360"/>
        <w:rPr>
          <w:sz w:val="22"/>
          <w:szCs w:val="22"/>
        </w:rPr>
      </w:pPr>
    </w:p>
    <w:p w:rsidRPr="005B3ED4" w:rsidR="00712DD3" w:rsidP="000F14B9" w:rsidRDefault="00712DD3" w14:paraId="507D5EC8" w14:textId="77777777">
      <w:pPr>
        <w:tabs>
          <w:tab w:val="left" w:pos="360"/>
        </w:tabs>
        <w:ind w:left="360" w:hanging="360"/>
        <w:rPr>
          <w:sz w:val="22"/>
          <w:szCs w:val="22"/>
        </w:rPr>
      </w:pPr>
      <w:r>
        <w:rPr>
          <w:sz w:val="22"/>
          <w:szCs w:val="22"/>
        </w:rPr>
        <w:t>** 77.50 is the media</w:t>
      </w:r>
      <w:r w:rsidR="00C82917">
        <w:rPr>
          <w:sz w:val="22"/>
          <w:szCs w:val="22"/>
        </w:rPr>
        <w:t>n</w:t>
      </w:r>
      <w:r>
        <w:rPr>
          <w:sz w:val="22"/>
          <w:szCs w:val="22"/>
        </w:rPr>
        <w:t xml:space="preserve"> burden hour response</w:t>
      </w:r>
      <w:r w:rsidR="00C82917">
        <w:rPr>
          <w:sz w:val="22"/>
          <w:szCs w:val="22"/>
        </w:rPr>
        <w:t>.</w:t>
      </w:r>
    </w:p>
    <w:p w:rsidRPr="005B3ED4" w:rsidR="000F14B9" w:rsidP="000F14B9" w:rsidRDefault="000F14B9" w14:paraId="74AA0C80" w14:textId="77777777">
      <w:pPr>
        <w:tabs>
          <w:tab w:val="left" w:pos="360"/>
        </w:tabs>
        <w:ind w:left="360" w:hanging="360"/>
        <w:rPr>
          <w:sz w:val="22"/>
          <w:szCs w:val="22"/>
        </w:rPr>
      </w:pPr>
    </w:p>
    <w:p w:rsidRPr="005B3ED4" w:rsidR="000F14B9" w:rsidP="000F14B9" w:rsidRDefault="000F14B9" w14:paraId="3AAE6F47" w14:textId="34D614B4">
      <w:pPr>
        <w:tabs>
          <w:tab w:val="left" w:pos="360"/>
        </w:tabs>
        <w:ind w:left="360" w:hanging="360"/>
        <w:rPr>
          <w:sz w:val="22"/>
          <w:szCs w:val="22"/>
        </w:rPr>
      </w:pPr>
      <w:r w:rsidRPr="005B3ED4">
        <w:rPr>
          <w:sz w:val="22"/>
          <w:szCs w:val="22"/>
        </w:rPr>
        <w:t>15.</w:t>
      </w:r>
      <w:r w:rsidRPr="005B3ED4">
        <w:rPr>
          <w:sz w:val="22"/>
          <w:szCs w:val="22"/>
        </w:rPr>
        <w:tab/>
      </w:r>
      <w:r w:rsidR="00187788">
        <w:rPr>
          <w:sz w:val="22"/>
          <w:szCs w:val="22"/>
        </w:rPr>
        <w:t>This</w:t>
      </w:r>
      <w:r w:rsidRPr="005B3ED4" w:rsidR="00187788">
        <w:rPr>
          <w:sz w:val="22"/>
          <w:szCs w:val="22"/>
        </w:rPr>
        <w:t xml:space="preserve"> </w:t>
      </w:r>
      <w:r w:rsidR="00CE2D76">
        <w:rPr>
          <w:sz w:val="22"/>
          <w:szCs w:val="22"/>
        </w:rPr>
        <w:t xml:space="preserve">is a </w:t>
      </w:r>
      <w:r w:rsidR="00E35F2F">
        <w:rPr>
          <w:sz w:val="22"/>
          <w:szCs w:val="22"/>
        </w:rPr>
        <w:t>reinstatement</w:t>
      </w:r>
      <w:r w:rsidR="00CE2D76">
        <w:rPr>
          <w:sz w:val="22"/>
          <w:szCs w:val="22"/>
        </w:rPr>
        <w:t xml:space="preserve"> of a </w:t>
      </w:r>
      <w:r w:rsidR="0057124C">
        <w:rPr>
          <w:sz w:val="22"/>
          <w:szCs w:val="22"/>
        </w:rPr>
        <w:t>previously</w:t>
      </w:r>
      <w:r w:rsidR="00CE2D76">
        <w:rPr>
          <w:sz w:val="22"/>
          <w:szCs w:val="22"/>
        </w:rPr>
        <w:t xml:space="preserve"> approved </w:t>
      </w:r>
      <w:r w:rsidRPr="005B3ED4">
        <w:rPr>
          <w:sz w:val="22"/>
          <w:szCs w:val="22"/>
        </w:rPr>
        <w:t xml:space="preserve">collection for the CDBG entitlement program </w:t>
      </w:r>
      <w:r w:rsidR="00CE2D76">
        <w:rPr>
          <w:sz w:val="22"/>
          <w:szCs w:val="22"/>
        </w:rPr>
        <w:t xml:space="preserve">which </w:t>
      </w:r>
      <w:r w:rsidRPr="005B3ED4">
        <w:rPr>
          <w:sz w:val="22"/>
          <w:szCs w:val="22"/>
        </w:rPr>
        <w:t>was increased to 5</w:t>
      </w:r>
      <w:r>
        <w:rPr>
          <w:sz w:val="22"/>
          <w:szCs w:val="22"/>
        </w:rPr>
        <w:t>6</w:t>
      </w:r>
      <w:r w:rsidR="00712DD3">
        <w:rPr>
          <w:sz w:val="22"/>
          <w:szCs w:val="22"/>
        </w:rPr>
        <w:t>5</w:t>
      </w:r>
      <w:r>
        <w:rPr>
          <w:sz w:val="22"/>
          <w:szCs w:val="22"/>
        </w:rPr>
        <w:t>,</w:t>
      </w:r>
      <w:r w:rsidR="00712DD3">
        <w:rPr>
          <w:sz w:val="22"/>
          <w:szCs w:val="22"/>
        </w:rPr>
        <w:t>812</w:t>
      </w:r>
      <w:r w:rsidRPr="005B3ED4">
        <w:rPr>
          <w:sz w:val="22"/>
          <w:szCs w:val="22"/>
        </w:rPr>
        <w:t xml:space="preserve"> i</w:t>
      </w:r>
      <w:r w:rsidR="00470E4D">
        <w:rPr>
          <w:sz w:val="22"/>
          <w:szCs w:val="22"/>
        </w:rPr>
        <w:t xml:space="preserve">n </w:t>
      </w:r>
      <w:r w:rsidR="00712DD3">
        <w:rPr>
          <w:sz w:val="22"/>
          <w:szCs w:val="22"/>
        </w:rPr>
        <w:t>2</w:t>
      </w:r>
      <w:r w:rsidRPr="005B3ED4">
        <w:rPr>
          <w:sz w:val="22"/>
          <w:szCs w:val="22"/>
        </w:rPr>
        <w:t>01</w:t>
      </w:r>
      <w:r>
        <w:rPr>
          <w:sz w:val="22"/>
          <w:szCs w:val="22"/>
        </w:rPr>
        <w:t>8</w:t>
      </w:r>
      <w:r w:rsidRPr="005B3ED4">
        <w:rPr>
          <w:sz w:val="22"/>
          <w:szCs w:val="22"/>
        </w:rPr>
        <w:t xml:space="preserve"> because of the increase in the number of CDBG entitlement grantees.  On or around July 1 of every year, the Census Bureau issues updated population estimates.  </w:t>
      </w:r>
      <w:r w:rsidRPr="00CB7DEA">
        <w:rPr>
          <w:sz w:val="22"/>
          <w:szCs w:val="22"/>
        </w:rPr>
        <w:t>Cities, towns, and villages that are identified by Census as having a population of 50,000 or more are considered potential new entitlement communities.</w:t>
      </w:r>
      <w:r w:rsidRPr="005B3ED4">
        <w:rPr>
          <w:sz w:val="22"/>
          <w:szCs w:val="22"/>
        </w:rPr>
        <w:t xml:space="preserve">  An average of ten potentially new entitlement communities, in addition to potential new entitlement communities that were identified in previous years, are identified.  These communities are given the option of accepting or deferring entitlement status.  Not all communities accept entitlement status, so they remain on the list of potentially new entitlements. </w:t>
      </w:r>
    </w:p>
    <w:p w:rsidRPr="005B3ED4" w:rsidR="000F14B9" w:rsidP="000F14B9" w:rsidRDefault="000F14B9" w14:paraId="50EFDC78" w14:textId="77777777">
      <w:pPr>
        <w:tabs>
          <w:tab w:val="left" w:pos="360"/>
        </w:tabs>
        <w:ind w:left="360" w:hanging="360"/>
        <w:rPr>
          <w:sz w:val="22"/>
          <w:szCs w:val="22"/>
        </w:rPr>
      </w:pPr>
    </w:p>
    <w:p w:rsidRPr="005B3ED4" w:rsidR="000F14B9" w:rsidP="000F14B9" w:rsidRDefault="000F14B9" w14:paraId="1CE9D418" w14:textId="77777777">
      <w:pPr>
        <w:tabs>
          <w:tab w:val="left" w:pos="360"/>
        </w:tabs>
        <w:ind w:left="360" w:hanging="360"/>
        <w:rPr>
          <w:sz w:val="22"/>
          <w:szCs w:val="22"/>
        </w:rPr>
      </w:pPr>
      <w:r w:rsidRPr="005B3ED4">
        <w:rPr>
          <w:sz w:val="22"/>
          <w:szCs w:val="22"/>
        </w:rPr>
        <w:t>16.</w:t>
      </w:r>
      <w:r w:rsidRPr="005B3ED4">
        <w:rPr>
          <w:sz w:val="22"/>
          <w:szCs w:val="22"/>
        </w:rPr>
        <w:tab/>
        <w:t>The information collected is not to statistical use not does its collection use statistical methods, however, the information is provided to Congress, upon request.</w:t>
      </w:r>
    </w:p>
    <w:p w:rsidRPr="005B3ED4" w:rsidR="000F14B9" w:rsidP="000F14B9" w:rsidRDefault="000F14B9" w14:paraId="517A50CB" w14:textId="77777777">
      <w:pPr>
        <w:tabs>
          <w:tab w:val="left" w:pos="360"/>
        </w:tabs>
        <w:ind w:left="360" w:hanging="360"/>
        <w:rPr>
          <w:sz w:val="22"/>
          <w:szCs w:val="22"/>
        </w:rPr>
      </w:pPr>
    </w:p>
    <w:p w:rsidRPr="005B3ED4" w:rsidR="000F14B9" w:rsidP="000F14B9" w:rsidRDefault="000F14B9" w14:paraId="5C7A5ECD" w14:textId="77777777">
      <w:pPr>
        <w:tabs>
          <w:tab w:val="left" w:pos="360"/>
        </w:tabs>
        <w:ind w:left="360" w:hanging="360"/>
        <w:rPr>
          <w:sz w:val="22"/>
          <w:szCs w:val="22"/>
        </w:rPr>
      </w:pPr>
      <w:r w:rsidRPr="005B3ED4">
        <w:rPr>
          <w:sz w:val="22"/>
          <w:szCs w:val="22"/>
        </w:rPr>
        <w:t>17.</w:t>
      </w:r>
      <w:r w:rsidRPr="005B3ED4">
        <w:rPr>
          <w:sz w:val="22"/>
          <w:szCs w:val="22"/>
        </w:rPr>
        <w:tab/>
        <w:t>HUD is not seeking approval to not display the expiration date for OMB approval of the information collection.</w:t>
      </w:r>
    </w:p>
    <w:p w:rsidRPr="005B3ED4" w:rsidR="000F14B9" w:rsidP="000F14B9" w:rsidRDefault="000F14B9" w14:paraId="5D93BD41" w14:textId="77777777">
      <w:pPr>
        <w:tabs>
          <w:tab w:val="left" w:pos="360"/>
        </w:tabs>
        <w:ind w:left="360" w:hanging="360"/>
        <w:rPr>
          <w:sz w:val="22"/>
          <w:szCs w:val="22"/>
        </w:rPr>
      </w:pPr>
    </w:p>
    <w:p w:rsidR="00D769B9" w:rsidP="000F14B9" w:rsidRDefault="000F14B9" w14:paraId="07D05E34" w14:textId="77777777">
      <w:r w:rsidRPr="005B3ED4">
        <w:rPr>
          <w:sz w:val="22"/>
          <w:szCs w:val="22"/>
        </w:rPr>
        <w:t>18.</w:t>
      </w:r>
      <w:r w:rsidR="00745A08">
        <w:rPr>
          <w:sz w:val="22"/>
          <w:szCs w:val="22"/>
        </w:rPr>
        <w:t xml:space="preserve">  </w:t>
      </w:r>
      <w:r w:rsidRPr="005B3ED4">
        <w:rPr>
          <w:sz w:val="22"/>
          <w:szCs w:val="22"/>
        </w:rPr>
        <w:t>There are no exceptions to the signed certific</w:t>
      </w:r>
      <w:r w:rsidR="005B2C40">
        <w:rPr>
          <w:sz w:val="22"/>
          <w:szCs w:val="22"/>
        </w:rPr>
        <w:t>ation.</w:t>
      </w:r>
    </w:p>
    <w:sectPr w:rsidR="00D769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5247D" w14:textId="77777777" w:rsidR="007E27DE" w:rsidRDefault="007E27DE" w:rsidP="00D62788">
      <w:r>
        <w:separator/>
      </w:r>
    </w:p>
  </w:endnote>
  <w:endnote w:type="continuationSeparator" w:id="0">
    <w:p w14:paraId="0A834207" w14:textId="77777777" w:rsidR="007E27DE" w:rsidRDefault="007E27DE" w:rsidP="00D6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810D" w14:textId="77777777" w:rsidR="00D62788" w:rsidRDefault="00D62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E928" w14:textId="77777777" w:rsidR="00D62788" w:rsidRDefault="00D627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B6B3" w14:textId="77777777" w:rsidR="00D62788" w:rsidRDefault="00D62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2117" w14:textId="77777777" w:rsidR="007E27DE" w:rsidRDefault="007E27DE" w:rsidP="00D62788">
      <w:r>
        <w:separator/>
      </w:r>
    </w:p>
  </w:footnote>
  <w:footnote w:type="continuationSeparator" w:id="0">
    <w:p w14:paraId="26EBE24A" w14:textId="77777777" w:rsidR="007E27DE" w:rsidRDefault="007E27DE" w:rsidP="00D6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9C47" w14:textId="77777777" w:rsidR="00D62788" w:rsidRDefault="00D62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CFF2" w14:textId="77777777" w:rsidR="00D62788" w:rsidRDefault="00D627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829E" w14:textId="77777777" w:rsidR="00D62788" w:rsidRDefault="00D62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6BE"/>
    <w:multiLevelType w:val="hybridMultilevel"/>
    <w:tmpl w:val="830CD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221673"/>
    <w:multiLevelType w:val="hybridMultilevel"/>
    <w:tmpl w:val="408A73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6C72CD"/>
    <w:multiLevelType w:val="hybridMultilevel"/>
    <w:tmpl w:val="14EE6C7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11BC8"/>
    <w:multiLevelType w:val="hybridMultilevel"/>
    <w:tmpl w:val="F5B4B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AC407D"/>
    <w:multiLevelType w:val="multilevel"/>
    <w:tmpl w:val="819C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00174"/>
    <w:multiLevelType w:val="hybridMultilevel"/>
    <w:tmpl w:val="CC40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513A41"/>
    <w:multiLevelType w:val="multilevel"/>
    <w:tmpl w:val="2FB2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567100"/>
    <w:multiLevelType w:val="hybridMultilevel"/>
    <w:tmpl w:val="0B00400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B9"/>
    <w:rsid w:val="00084D3C"/>
    <w:rsid w:val="000A15C0"/>
    <w:rsid w:val="000B3EE7"/>
    <w:rsid w:val="000F14B9"/>
    <w:rsid w:val="001438C5"/>
    <w:rsid w:val="00144ACD"/>
    <w:rsid w:val="0015077C"/>
    <w:rsid w:val="0015635B"/>
    <w:rsid w:val="001820F3"/>
    <w:rsid w:val="001826EF"/>
    <w:rsid w:val="00187788"/>
    <w:rsid w:val="00190500"/>
    <w:rsid w:val="0019087D"/>
    <w:rsid w:val="001A7514"/>
    <w:rsid w:val="001B7EC5"/>
    <w:rsid w:val="001C08FC"/>
    <w:rsid w:val="001E6654"/>
    <w:rsid w:val="001F3E65"/>
    <w:rsid w:val="00220D81"/>
    <w:rsid w:val="002310B7"/>
    <w:rsid w:val="00236724"/>
    <w:rsid w:val="0026220C"/>
    <w:rsid w:val="00274A2D"/>
    <w:rsid w:val="002C317C"/>
    <w:rsid w:val="002D218D"/>
    <w:rsid w:val="002F3D4E"/>
    <w:rsid w:val="002F59CB"/>
    <w:rsid w:val="00332D7A"/>
    <w:rsid w:val="00334DE8"/>
    <w:rsid w:val="00344025"/>
    <w:rsid w:val="003554E2"/>
    <w:rsid w:val="00364A56"/>
    <w:rsid w:val="003A309C"/>
    <w:rsid w:val="003B3F98"/>
    <w:rsid w:val="003D673C"/>
    <w:rsid w:val="003E1504"/>
    <w:rsid w:val="003F02E3"/>
    <w:rsid w:val="003F1A52"/>
    <w:rsid w:val="004119B1"/>
    <w:rsid w:val="0043173F"/>
    <w:rsid w:val="00434FB1"/>
    <w:rsid w:val="0045162D"/>
    <w:rsid w:val="004520A2"/>
    <w:rsid w:val="00470E4D"/>
    <w:rsid w:val="00475DBE"/>
    <w:rsid w:val="00491BB5"/>
    <w:rsid w:val="00491E8E"/>
    <w:rsid w:val="004B29E6"/>
    <w:rsid w:val="004B3B52"/>
    <w:rsid w:val="004B67E1"/>
    <w:rsid w:val="005057FC"/>
    <w:rsid w:val="00526EF9"/>
    <w:rsid w:val="0057124C"/>
    <w:rsid w:val="005B2C40"/>
    <w:rsid w:val="005E2D5C"/>
    <w:rsid w:val="00613CB0"/>
    <w:rsid w:val="00652544"/>
    <w:rsid w:val="0067375C"/>
    <w:rsid w:val="00693DEA"/>
    <w:rsid w:val="006A334D"/>
    <w:rsid w:val="006B571E"/>
    <w:rsid w:val="006C2AAA"/>
    <w:rsid w:val="006C501B"/>
    <w:rsid w:val="006F5B26"/>
    <w:rsid w:val="00712DD3"/>
    <w:rsid w:val="00713AA0"/>
    <w:rsid w:val="00725888"/>
    <w:rsid w:val="00726271"/>
    <w:rsid w:val="00745A08"/>
    <w:rsid w:val="00781A79"/>
    <w:rsid w:val="007E27DE"/>
    <w:rsid w:val="008322F6"/>
    <w:rsid w:val="00847FA0"/>
    <w:rsid w:val="00862396"/>
    <w:rsid w:val="00883CEC"/>
    <w:rsid w:val="008A4CC8"/>
    <w:rsid w:val="008B4B61"/>
    <w:rsid w:val="008B5A02"/>
    <w:rsid w:val="009234F8"/>
    <w:rsid w:val="009452DF"/>
    <w:rsid w:val="009508E9"/>
    <w:rsid w:val="00954316"/>
    <w:rsid w:val="00961009"/>
    <w:rsid w:val="00964DFA"/>
    <w:rsid w:val="00974B0E"/>
    <w:rsid w:val="00985411"/>
    <w:rsid w:val="00991E5A"/>
    <w:rsid w:val="009B0A19"/>
    <w:rsid w:val="009C3DB5"/>
    <w:rsid w:val="009C7DBF"/>
    <w:rsid w:val="009E4E60"/>
    <w:rsid w:val="00A04DE3"/>
    <w:rsid w:val="00A20630"/>
    <w:rsid w:val="00A40D0B"/>
    <w:rsid w:val="00A46700"/>
    <w:rsid w:val="00A51038"/>
    <w:rsid w:val="00A830F3"/>
    <w:rsid w:val="00AD64EE"/>
    <w:rsid w:val="00B06730"/>
    <w:rsid w:val="00B43DF3"/>
    <w:rsid w:val="00B60A4B"/>
    <w:rsid w:val="00BA5262"/>
    <w:rsid w:val="00BB41DF"/>
    <w:rsid w:val="00BC342E"/>
    <w:rsid w:val="00BD304D"/>
    <w:rsid w:val="00BF0163"/>
    <w:rsid w:val="00C0165A"/>
    <w:rsid w:val="00C038FE"/>
    <w:rsid w:val="00C31C93"/>
    <w:rsid w:val="00C52ACC"/>
    <w:rsid w:val="00C82917"/>
    <w:rsid w:val="00C83E40"/>
    <w:rsid w:val="00CA5A6B"/>
    <w:rsid w:val="00CB7DEA"/>
    <w:rsid w:val="00CC4A15"/>
    <w:rsid w:val="00CD5455"/>
    <w:rsid w:val="00CD6057"/>
    <w:rsid w:val="00CE2D76"/>
    <w:rsid w:val="00D10C28"/>
    <w:rsid w:val="00D11400"/>
    <w:rsid w:val="00D24E6E"/>
    <w:rsid w:val="00D34AA2"/>
    <w:rsid w:val="00D62788"/>
    <w:rsid w:val="00D769B9"/>
    <w:rsid w:val="00D76A69"/>
    <w:rsid w:val="00D822CF"/>
    <w:rsid w:val="00D8504C"/>
    <w:rsid w:val="00DC75CD"/>
    <w:rsid w:val="00DF1EEB"/>
    <w:rsid w:val="00DF3912"/>
    <w:rsid w:val="00DF514B"/>
    <w:rsid w:val="00E04E0B"/>
    <w:rsid w:val="00E35F2F"/>
    <w:rsid w:val="00E544CB"/>
    <w:rsid w:val="00E956C5"/>
    <w:rsid w:val="00E97DCD"/>
    <w:rsid w:val="00EA5744"/>
    <w:rsid w:val="00EF478B"/>
    <w:rsid w:val="00EF4825"/>
    <w:rsid w:val="00F1201D"/>
    <w:rsid w:val="00F80E9C"/>
    <w:rsid w:val="00FC2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EA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B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F14B9"/>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4B9"/>
    <w:rPr>
      <w:rFonts w:ascii="Times New Roman" w:eastAsia="Times New Roman" w:hAnsi="Times New Roman" w:cs="Times New Roman"/>
      <w:b/>
      <w:bCs/>
      <w:sz w:val="24"/>
      <w:szCs w:val="24"/>
    </w:rPr>
  </w:style>
  <w:style w:type="paragraph" w:styleId="BodyTextIndent">
    <w:name w:val="Body Text Indent"/>
    <w:basedOn w:val="Normal"/>
    <w:link w:val="BodyTextIndentChar"/>
    <w:rsid w:val="000F14B9"/>
    <w:pPr>
      <w:overflowPunct/>
      <w:autoSpaceDE/>
      <w:autoSpaceDN/>
      <w:adjustRightInd/>
      <w:ind w:left="2160"/>
      <w:textAlignment w:val="auto"/>
    </w:pPr>
    <w:rPr>
      <w:sz w:val="24"/>
      <w:szCs w:val="24"/>
    </w:rPr>
  </w:style>
  <w:style w:type="character" w:customStyle="1" w:styleId="BodyTextIndentChar">
    <w:name w:val="Body Text Indent Char"/>
    <w:basedOn w:val="DefaultParagraphFont"/>
    <w:link w:val="BodyTextIndent"/>
    <w:rsid w:val="000F14B9"/>
    <w:rPr>
      <w:rFonts w:ascii="Times New Roman" w:eastAsia="Times New Roman" w:hAnsi="Times New Roman" w:cs="Times New Roman"/>
      <w:sz w:val="24"/>
      <w:szCs w:val="24"/>
    </w:rPr>
  </w:style>
  <w:style w:type="paragraph" w:styleId="BodyTextIndent2">
    <w:name w:val="Body Text Indent 2"/>
    <w:basedOn w:val="Normal"/>
    <w:link w:val="BodyTextIndent2Char"/>
    <w:rsid w:val="000F14B9"/>
    <w:pPr>
      <w:tabs>
        <w:tab w:val="left" w:pos="360"/>
      </w:tabs>
      <w:ind w:left="360" w:hanging="360"/>
    </w:pPr>
    <w:rPr>
      <w:sz w:val="18"/>
    </w:rPr>
  </w:style>
  <w:style w:type="character" w:customStyle="1" w:styleId="BodyTextIndent2Char">
    <w:name w:val="Body Text Indent 2 Char"/>
    <w:basedOn w:val="DefaultParagraphFont"/>
    <w:link w:val="BodyTextIndent2"/>
    <w:rsid w:val="000F14B9"/>
    <w:rPr>
      <w:rFonts w:ascii="Times New Roman" w:eastAsia="Times New Roman" w:hAnsi="Times New Roman" w:cs="Times New Roman"/>
      <w:sz w:val="18"/>
      <w:szCs w:val="20"/>
    </w:rPr>
  </w:style>
  <w:style w:type="paragraph" w:styleId="BodyTextIndent3">
    <w:name w:val="Body Text Indent 3"/>
    <w:basedOn w:val="Normal"/>
    <w:link w:val="BodyTextIndent3Char"/>
    <w:rsid w:val="000F14B9"/>
    <w:pPr>
      <w:ind w:left="480"/>
    </w:pPr>
  </w:style>
  <w:style w:type="character" w:customStyle="1" w:styleId="BodyTextIndent3Char">
    <w:name w:val="Body Text Indent 3 Char"/>
    <w:basedOn w:val="DefaultParagraphFont"/>
    <w:link w:val="BodyTextIndent3"/>
    <w:rsid w:val="000F14B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04E0B"/>
    <w:rPr>
      <w:sz w:val="16"/>
      <w:szCs w:val="16"/>
    </w:rPr>
  </w:style>
  <w:style w:type="paragraph" w:styleId="CommentText">
    <w:name w:val="annotation text"/>
    <w:basedOn w:val="Normal"/>
    <w:link w:val="CommentTextChar"/>
    <w:uiPriority w:val="99"/>
    <w:unhideWhenUsed/>
    <w:rsid w:val="00E04E0B"/>
  </w:style>
  <w:style w:type="character" w:customStyle="1" w:styleId="CommentTextChar">
    <w:name w:val="Comment Text Char"/>
    <w:basedOn w:val="DefaultParagraphFont"/>
    <w:link w:val="CommentText"/>
    <w:uiPriority w:val="99"/>
    <w:rsid w:val="00E04E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E0B"/>
    <w:rPr>
      <w:b/>
      <w:bCs/>
    </w:rPr>
  </w:style>
  <w:style w:type="character" w:customStyle="1" w:styleId="CommentSubjectChar">
    <w:name w:val="Comment Subject Char"/>
    <w:basedOn w:val="CommentTextChar"/>
    <w:link w:val="CommentSubject"/>
    <w:uiPriority w:val="99"/>
    <w:semiHidden/>
    <w:rsid w:val="00E04E0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4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0B"/>
    <w:rPr>
      <w:rFonts w:ascii="Segoe UI" w:eastAsia="Times New Roman" w:hAnsi="Segoe UI" w:cs="Segoe UI"/>
      <w:sz w:val="18"/>
      <w:szCs w:val="18"/>
    </w:rPr>
  </w:style>
  <w:style w:type="paragraph" w:styleId="ListParagraph">
    <w:name w:val="List Paragraph"/>
    <w:basedOn w:val="Normal"/>
    <w:uiPriority w:val="34"/>
    <w:qFormat/>
    <w:rsid w:val="00A830F3"/>
    <w:pPr>
      <w:ind w:left="720"/>
      <w:contextualSpacing/>
    </w:pPr>
  </w:style>
  <w:style w:type="paragraph" w:styleId="NoSpacing">
    <w:name w:val="No Spacing"/>
    <w:uiPriority w:val="1"/>
    <w:qFormat/>
    <w:rsid w:val="00A830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B06730"/>
    <w:rPr>
      <w:sz w:val="24"/>
      <w:szCs w:val="24"/>
    </w:rPr>
  </w:style>
  <w:style w:type="paragraph" w:styleId="Header">
    <w:name w:val="header"/>
    <w:basedOn w:val="Normal"/>
    <w:link w:val="HeaderChar"/>
    <w:uiPriority w:val="99"/>
    <w:unhideWhenUsed/>
    <w:rsid w:val="00D62788"/>
    <w:pPr>
      <w:tabs>
        <w:tab w:val="center" w:pos="4680"/>
        <w:tab w:val="right" w:pos="9360"/>
      </w:tabs>
    </w:pPr>
  </w:style>
  <w:style w:type="character" w:customStyle="1" w:styleId="HeaderChar">
    <w:name w:val="Header Char"/>
    <w:basedOn w:val="DefaultParagraphFont"/>
    <w:link w:val="Header"/>
    <w:uiPriority w:val="99"/>
    <w:rsid w:val="00D6278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62788"/>
    <w:pPr>
      <w:tabs>
        <w:tab w:val="center" w:pos="4680"/>
        <w:tab w:val="right" w:pos="9360"/>
      </w:tabs>
    </w:pPr>
  </w:style>
  <w:style w:type="character" w:customStyle="1" w:styleId="FooterChar">
    <w:name w:val="Footer Char"/>
    <w:basedOn w:val="DefaultParagraphFont"/>
    <w:link w:val="Footer"/>
    <w:uiPriority w:val="99"/>
    <w:rsid w:val="00D6278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7361">
      <w:bodyDiv w:val="1"/>
      <w:marLeft w:val="0"/>
      <w:marRight w:val="0"/>
      <w:marTop w:val="0"/>
      <w:marBottom w:val="0"/>
      <w:divBdr>
        <w:top w:val="none" w:sz="0" w:space="0" w:color="auto"/>
        <w:left w:val="none" w:sz="0" w:space="0" w:color="auto"/>
        <w:bottom w:val="none" w:sz="0" w:space="0" w:color="auto"/>
        <w:right w:val="none" w:sz="0" w:space="0" w:color="auto"/>
      </w:divBdr>
    </w:div>
    <w:div w:id="1380468858">
      <w:bodyDiv w:val="1"/>
      <w:marLeft w:val="0"/>
      <w:marRight w:val="0"/>
      <w:marTop w:val="0"/>
      <w:marBottom w:val="0"/>
      <w:divBdr>
        <w:top w:val="none" w:sz="0" w:space="0" w:color="auto"/>
        <w:left w:val="none" w:sz="0" w:space="0" w:color="auto"/>
        <w:bottom w:val="none" w:sz="0" w:space="0" w:color="auto"/>
        <w:right w:val="none" w:sz="0" w:space="0" w:color="auto"/>
      </w:divBdr>
    </w:div>
    <w:div w:id="1508204192">
      <w:bodyDiv w:val="1"/>
      <w:marLeft w:val="0"/>
      <w:marRight w:val="0"/>
      <w:marTop w:val="0"/>
      <w:marBottom w:val="0"/>
      <w:divBdr>
        <w:top w:val="none" w:sz="0" w:space="0" w:color="auto"/>
        <w:left w:val="none" w:sz="0" w:space="0" w:color="auto"/>
        <w:bottom w:val="none" w:sz="0" w:space="0" w:color="auto"/>
        <w:right w:val="none" w:sz="0" w:space="0" w:color="auto"/>
      </w:divBdr>
    </w:div>
    <w:div w:id="21206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2021-10-20T16:35:00Z</dcterms:created>
  <dcterms:modified xsi:type="dcterms:W3CDTF">2021-10-20T16:35:00Z</dcterms:modified>
</cp:coreProperties>
</file>