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7D1C" w:rsidR="002B4534" w:rsidP="006F7D1C" w:rsidRDefault="002B4534" w14:paraId="7BDD768A" w14:textId="77777777">
      <w:pPr>
        <w:tabs>
          <w:tab w:val="left" w:pos="360"/>
          <w:tab w:val="left" w:pos="720"/>
        </w:tabs>
        <w:jc w:val="center"/>
        <w:rPr>
          <w:rFonts w:ascii="Arial" w:hAnsi="Arial" w:cs="Arial"/>
        </w:rPr>
      </w:pPr>
      <w:r w:rsidRPr="006F7D1C">
        <w:rPr>
          <w:rFonts w:ascii="Arial" w:hAnsi="Arial" w:cs="Arial"/>
        </w:rPr>
        <w:t>Supporting Statement for Department of Veterans Affairs (VA)</w:t>
      </w:r>
    </w:p>
    <w:p w:rsidRPr="006F7D1C" w:rsidR="002B4534" w:rsidP="006F7D1C" w:rsidRDefault="002B4534" w14:paraId="7A198164" w14:textId="77777777">
      <w:pPr>
        <w:tabs>
          <w:tab w:val="left" w:pos="360"/>
          <w:tab w:val="left" w:pos="720"/>
        </w:tabs>
        <w:jc w:val="center"/>
        <w:rPr>
          <w:rFonts w:ascii="Arial" w:hAnsi="Arial" w:cs="Arial"/>
        </w:rPr>
      </w:pPr>
      <w:r w:rsidRPr="006F7D1C">
        <w:rPr>
          <w:rFonts w:ascii="Arial" w:hAnsi="Arial" w:cs="Arial"/>
        </w:rPr>
        <w:t>Acquisition Regulation (</w:t>
      </w:r>
      <w:bookmarkStart w:name="_Hlk520723450" w:id="0"/>
      <w:r w:rsidRPr="006F7D1C">
        <w:rPr>
          <w:rFonts w:ascii="Arial" w:hAnsi="Arial" w:cs="Arial"/>
        </w:rPr>
        <w:t>VAAR) Clauses 852.237-7</w:t>
      </w:r>
      <w:r w:rsidR="0038333F">
        <w:rPr>
          <w:rFonts w:ascii="Arial" w:hAnsi="Arial" w:cs="Arial"/>
        </w:rPr>
        <w:t>0</w:t>
      </w:r>
      <w:r w:rsidRPr="006F7D1C">
        <w:rPr>
          <w:rFonts w:ascii="Arial" w:hAnsi="Arial" w:cs="Arial"/>
        </w:rPr>
        <w:t>,</w:t>
      </w:r>
    </w:p>
    <w:p w:rsidRPr="006F7D1C" w:rsidR="002B4534" w:rsidP="006F7D1C" w:rsidRDefault="002B4534" w14:paraId="3F85E3DF" w14:textId="77777777">
      <w:pPr>
        <w:tabs>
          <w:tab w:val="left" w:pos="360"/>
          <w:tab w:val="left" w:pos="720"/>
        </w:tabs>
        <w:jc w:val="center"/>
        <w:rPr>
          <w:rFonts w:ascii="Arial" w:hAnsi="Arial" w:cs="Arial"/>
        </w:rPr>
      </w:pPr>
      <w:r w:rsidRPr="006F7D1C">
        <w:rPr>
          <w:rFonts w:ascii="Arial" w:hAnsi="Arial" w:cs="Arial"/>
        </w:rPr>
        <w:t>Indemnification and Medical Liability Insurance,</w:t>
      </w:r>
    </w:p>
    <w:p w:rsidRPr="006F7D1C" w:rsidR="002B4534" w:rsidP="006F7D1C" w:rsidRDefault="00F662DD" w14:paraId="0E83B64F" w14:textId="77777777">
      <w:pPr>
        <w:tabs>
          <w:tab w:val="left" w:pos="360"/>
          <w:tab w:val="left" w:pos="720"/>
        </w:tabs>
        <w:jc w:val="center"/>
        <w:rPr>
          <w:rFonts w:ascii="Arial" w:hAnsi="Arial" w:cs="Arial"/>
        </w:rPr>
      </w:pPr>
      <w:r>
        <w:rPr>
          <w:rFonts w:ascii="Arial" w:hAnsi="Arial" w:cs="Arial"/>
        </w:rPr>
        <w:t>852.228-71</w:t>
      </w:r>
      <w:r w:rsidRPr="006F7D1C" w:rsidR="002B4534">
        <w:rPr>
          <w:rFonts w:ascii="Arial" w:hAnsi="Arial" w:cs="Arial"/>
        </w:rPr>
        <w:t>, Indemnification and Insurance</w:t>
      </w:r>
      <w:bookmarkEnd w:id="0"/>
    </w:p>
    <w:p w:rsidRPr="006F7D1C" w:rsidR="00681169" w:rsidP="006F7D1C" w:rsidRDefault="00681169" w14:paraId="6DF5B56F" w14:textId="77777777">
      <w:pPr>
        <w:tabs>
          <w:tab w:val="left" w:pos="360"/>
          <w:tab w:val="left" w:pos="720"/>
        </w:tabs>
        <w:jc w:val="center"/>
        <w:rPr>
          <w:rFonts w:ascii="Arial" w:hAnsi="Arial" w:cs="Arial"/>
          <w:caps/>
        </w:rPr>
      </w:pPr>
      <w:r>
        <w:rPr>
          <w:rFonts w:ascii="Arial" w:hAnsi="Arial" w:cs="Arial"/>
        </w:rPr>
        <w:t>OMB Control No. 2900-0590</w:t>
      </w:r>
    </w:p>
    <w:p w:rsidRPr="006F7D1C" w:rsidR="002B4534" w:rsidP="006F7D1C" w:rsidRDefault="002B4534" w14:paraId="063E6122" w14:textId="77777777">
      <w:pPr>
        <w:tabs>
          <w:tab w:val="left" w:pos="360"/>
          <w:tab w:val="left" w:pos="720"/>
        </w:tabs>
        <w:rPr>
          <w:rFonts w:ascii="Arial" w:hAnsi="Arial" w:cs="Arial"/>
        </w:rPr>
      </w:pPr>
    </w:p>
    <w:p w:rsidRPr="006F7D1C" w:rsidR="002B4534" w:rsidP="006F7D1C" w:rsidRDefault="002B4534" w14:paraId="222107EE" w14:textId="77777777">
      <w:pPr>
        <w:tabs>
          <w:tab w:val="left" w:pos="360"/>
          <w:tab w:val="left" w:pos="720"/>
        </w:tabs>
        <w:rPr>
          <w:rFonts w:ascii="Arial" w:hAnsi="Arial" w:cs="Arial"/>
        </w:rPr>
      </w:pPr>
      <w:r w:rsidRPr="006F7D1C">
        <w:rPr>
          <w:rFonts w:ascii="Arial" w:hAnsi="Arial" w:cs="Arial"/>
        </w:rPr>
        <w:t xml:space="preserve">A.  </w:t>
      </w:r>
      <w:r w:rsidRPr="006F7D1C">
        <w:rPr>
          <w:rFonts w:ascii="Arial" w:hAnsi="Arial" w:cs="Arial"/>
          <w:u w:val="single"/>
        </w:rPr>
        <w:t>Justification</w:t>
      </w:r>
    </w:p>
    <w:p w:rsidRPr="006F7D1C" w:rsidR="002B4534" w:rsidP="006F7D1C" w:rsidRDefault="002B4534" w14:paraId="683A003D" w14:textId="77777777">
      <w:pPr>
        <w:tabs>
          <w:tab w:val="left" w:pos="360"/>
          <w:tab w:val="left" w:pos="720"/>
        </w:tabs>
        <w:rPr>
          <w:rFonts w:ascii="Arial" w:hAnsi="Arial" w:cs="Arial"/>
        </w:rPr>
      </w:pPr>
    </w:p>
    <w:p w:rsidRPr="00690A23" w:rsidR="00690A23" w:rsidP="006F7D1C" w:rsidRDefault="00690A23" w14:paraId="142808A4" w14:textId="77777777">
      <w:pPr>
        <w:tabs>
          <w:tab w:val="left" w:pos="360"/>
          <w:tab w:val="left" w:pos="720"/>
        </w:tabs>
        <w:rPr>
          <w:rFonts w:ascii="Arial" w:hAnsi="Arial" w:cs="Arial"/>
          <w:b/>
        </w:rPr>
      </w:pPr>
      <w:r w:rsidRPr="00690A23">
        <w:rPr>
          <w:rFonts w:ascii="Arial" w:hAnsi="Arial" w:cs="Arial"/>
          <w:b/>
        </w:rPr>
        <w:t xml:space="preserve">1. </w:t>
      </w:r>
      <w:r w:rsidRPr="00690A23">
        <w:rPr>
          <w:rFonts w:ascii="Arial" w:hAnsi="Arial" w:cs="Arial"/>
          <w:b/>
        </w:rPr>
        <w:tab/>
        <w:t>Explain the circumstances that make the collection of information necessary.  Identify legal or administrative requirements that necessitate the collection of information.</w:t>
      </w:r>
    </w:p>
    <w:p w:rsidR="00690A23" w:rsidP="006F7D1C" w:rsidRDefault="00690A23" w14:paraId="5EE0454E" w14:textId="77777777">
      <w:pPr>
        <w:tabs>
          <w:tab w:val="left" w:pos="360"/>
          <w:tab w:val="left" w:pos="720"/>
        </w:tabs>
        <w:rPr>
          <w:rFonts w:ascii="Arial" w:hAnsi="Arial" w:cs="Arial"/>
        </w:rPr>
      </w:pPr>
    </w:p>
    <w:p w:rsidR="002B4534" w:rsidP="0038333F" w:rsidRDefault="0038333F" w14:paraId="5CCFB759" w14:textId="5026B45F">
      <w:pPr>
        <w:tabs>
          <w:tab w:val="left" w:pos="360"/>
          <w:tab w:val="left" w:pos="720"/>
        </w:tabs>
        <w:rPr>
          <w:rFonts w:ascii="Arial" w:hAnsi="Arial" w:cs="Arial"/>
        </w:rPr>
      </w:pPr>
      <w:r w:rsidRPr="0038333F">
        <w:rPr>
          <w:rFonts w:ascii="Arial" w:hAnsi="Arial" w:cs="Arial"/>
        </w:rPr>
        <w:t xml:space="preserve">As of result of </w:t>
      </w:r>
      <w:r w:rsidR="0072742C">
        <w:rPr>
          <w:rFonts w:ascii="Arial" w:hAnsi="Arial" w:cs="Arial"/>
        </w:rPr>
        <w:t>proposed rule RIN 2900-AR06</w:t>
      </w:r>
      <w:r w:rsidR="0026101E">
        <w:rPr>
          <w:rFonts w:ascii="Arial" w:hAnsi="Arial" w:cs="Arial"/>
        </w:rPr>
        <w:t xml:space="preserve"> </w:t>
      </w:r>
      <w:r w:rsidR="0072742C">
        <w:rPr>
          <w:rFonts w:ascii="Arial" w:hAnsi="Arial" w:cs="Arial"/>
        </w:rPr>
        <w:t xml:space="preserve">posted to the Federal Register </w:t>
      </w:r>
      <w:r w:rsidR="0026101E">
        <w:rPr>
          <w:rFonts w:ascii="Arial" w:hAnsi="Arial" w:cs="Arial"/>
        </w:rPr>
        <w:t>(87FR13598)</w:t>
      </w:r>
      <w:r w:rsidR="0072742C">
        <w:rPr>
          <w:rFonts w:ascii="Arial" w:hAnsi="Arial" w:cs="Arial"/>
        </w:rPr>
        <w:t xml:space="preserve"> on</w:t>
      </w:r>
      <w:r w:rsidR="0026101E">
        <w:rPr>
          <w:rFonts w:ascii="Arial" w:hAnsi="Arial" w:cs="Arial"/>
        </w:rPr>
        <w:t xml:space="preserve"> March 9, 2022</w:t>
      </w:r>
      <w:r w:rsidRPr="0038333F">
        <w:rPr>
          <w:rFonts w:ascii="Arial" w:hAnsi="Arial" w:cs="Arial"/>
        </w:rPr>
        <w:t>, this Paperwork Reduction Act (PRA) submission request</w:t>
      </w:r>
      <w:r w:rsidR="00AD41D8">
        <w:rPr>
          <w:rFonts w:ascii="Arial" w:hAnsi="Arial" w:cs="Arial"/>
        </w:rPr>
        <w:t xml:space="preserve"> to </w:t>
      </w:r>
      <w:r w:rsidRPr="0038333F">
        <w:rPr>
          <w:rFonts w:ascii="Arial" w:hAnsi="Arial" w:cs="Arial"/>
        </w:rPr>
        <w:t>remo</w:t>
      </w:r>
      <w:r w:rsidR="00AD41D8">
        <w:rPr>
          <w:rFonts w:ascii="Arial" w:hAnsi="Arial" w:cs="Arial"/>
        </w:rPr>
        <w:t>ve</w:t>
      </w:r>
      <w:r w:rsidRPr="0038333F">
        <w:rPr>
          <w:rFonts w:ascii="Arial" w:hAnsi="Arial" w:cs="Arial"/>
        </w:rPr>
        <w:t xml:space="preserve"> one of the clauses from the Office of Management and Budget (OMB) approval No. 2900-0590, specifically for VAAR clause 852.207-70, Report of Employment Under Commercial Activities to reflect the </w:t>
      </w:r>
      <w:r>
        <w:rPr>
          <w:rFonts w:ascii="Arial" w:hAnsi="Arial" w:cs="Arial"/>
        </w:rPr>
        <w:t>discontinuation of</w:t>
      </w:r>
      <w:r w:rsidRPr="0038333F">
        <w:rPr>
          <w:rFonts w:ascii="Arial" w:hAnsi="Arial" w:cs="Arial"/>
        </w:rPr>
        <w:t xml:space="preserve"> 852.207-70, as well as the prescriptions for the clause at 807.304-77 and 873.110, paragraph (f).</w:t>
      </w:r>
      <w:r>
        <w:rPr>
          <w:rFonts w:ascii="Arial" w:hAnsi="Arial" w:cs="Arial"/>
        </w:rPr>
        <w:t xml:space="preserve">  No changes for </w:t>
      </w:r>
      <w:r w:rsidRPr="0038333F">
        <w:rPr>
          <w:rFonts w:ascii="Arial" w:hAnsi="Arial" w:cs="Arial"/>
        </w:rPr>
        <w:t>VAAR</w:t>
      </w:r>
      <w:r>
        <w:rPr>
          <w:rFonts w:ascii="Arial" w:hAnsi="Arial" w:cs="Arial"/>
        </w:rPr>
        <w:t xml:space="preserve"> Clauses 852.237-70,</w:t>
      </w:r>
      <w:r w:rsidRPr="0038333F">
        <w:rPr>
          <w:rFonts w:ascii="Arial" w:hAnsi="Arial" w:cs="Arial"/>
        </w:rPr>
        <w:t xml:space="preserve"> Indemnification </w:t>
      </w:r>
      <w:r>
        <w:rPr>
          <w:rFonts w:ascii="Arial" w:hAnsi="Arial" w:cs="Arial"/>
        </w:rPr>
        <w:t xml:space="preserve">and Medical Liability Insurance and </w:t>
      </w:r>
      <w:r w:rsidRPr="0038333F">
        <w:rPr>
          <w:rFonts w:ascii="Arial" w:hAnsi="Arial" w:cs="Arial"/>
        </w:rPr>
        <w:t>852.228-71, Indemnification and Insurance</w:t>
      </w:r>
      <w:r w:rsidR="00526D03">
        <w:rPr>
          <w:rFonts w:ascii="Arial" w:hAnsi="Arial" w:cs="Arial"/>
        </w:rPr>
        <w:t>.</w:t>
      </w:r>
    </w:p>
    <w:p w:rsidR="00526D03" w:rsidP="0038333F" w:rsidRDefault="00526D03" w14:paraId="27B9AE65" w14:textId="77777777">
      <w:pPr>
        <w:tabs>
          <w:tab w:val="left" w:pos="360"/>
          <w:tab w:val="left" w:pos="720"/>
        </w:tabs>
        <w:rPr>
          <w:rFonts w:ascii="Arial" w:hAnsi="Arial" w:cs="Arial"/>
        </w:rPr>
      </w:pPr>
    </w:p>
    <w:p w:rsidRPr="006F7D1C" w:rsidR="00526D03" w:rsidP="0038333F" w:rsidRDefault="00D336E2" w14:paraId="19642319" w14:textId="567EA5E2">
      <w:pPr>
        <w:tabs>
          <w:tab w:val="left" w:pos="360"/>
          <w:tab w:val="left" w:pos="720"/>
        </w:tabs>
        <w:rPr>
          <w:rFonts w:ascii="Arial" w:hAnsi="Arial" w:cs="Arial"/>
        </w:rPr>
      </w:pPr>
      <w:r>
        <w:rPr>
          <w:rFonts w:ascii="Arial" w:hAnsi="Arial" w:cs="Arial"/>
        </w:rPr>
        <w:t>Currently, OMB Control number 2900-0590 contains three VAAR clauses, 852.207-70, 852.237-70,</w:t>
      </w:r>
      <w:r w:rsidR="009D0EC1">
        <w:rPr>
          <w:rFonts w:ascii="Arial" w:hAnsi="Arial" w:cs="Arial"/>
        </w:rPr>
        <w:t xml:space="preserve"> and</w:t>
      </w:r>
      <w:r>
        <w:rPr>
          <w:rFonts w:ascii="Arial" w:hAnsi="Arial" w:cs="Arial"/>
        </w:rPr>
        <w:t xml:space="preserve"> 852.228-71. </w:t>
      </w:r>
      <w:r w:rsidR="00526D03">
        <w:rPr>
          <w:rFonts w:ascii="Arial" w:hAnsi="Arial" w:cs="Arial"/>
        </w:rPr>
        <w:t xml:space="preserve">The </w:t>
      </w:r>
      <w:r w:rsidRPr="00526D03" w:rsidR="00526D03">
        <w:rPr>
          <w:rFonts w:ascii="Arial" w:hAnsi="Arial" w:cs="Arial"/>
        </w:rPr>
        <w:t xml:space="preserve">removal </w:t>
      </w:r>
      <w:r w:rsidR="00526D03">
        <w:rPr>
          <w:rFonts w:ascii="Arial" w:hAnsi="Arial" w:cs="Arial"/>
        </w:rPr>
        <w:t>of VAAR clause 852.207-70 from this OMB control number will remove</w:t>
      </w:r>
      <w:r w:rsidR="009D0EC1">
        <w:rPr>
          <w:rFonts w:ascii="Arial" w:hAnsi="Arial" w:cs="Arial"/>
        </w:rPr>
        <w:t xml:space="preserve"> </w:t>
      </w:r>
      <w:r w:rsidRPr="00526D03" w:rsidR="00526D03">
        <w:rPr>
          <w:rFonts w:ascii="Arial" w:hAnsi="Arial" w:cs="Arial"/>
        </w:rPr>
        <w:t>1</w:t>
      </w:r>
      <w:r w:rsidR="00AD41D8">
        <w:rPr>
          <w:rFonts w:ascii="Arial" w:hAnsi="Arial" w:cs="Arial"/>
        </w:rPr>
        <w:t>5</w:t>
      </w:r>
      <w:r w:rsidRPr="00526D03" w:rsidR="00526D03">
        <w:rPr>
          <w:rFonts w:ascii="Arial" w:hAnsi="Arial" w:cs="Arial"/>
        </w:rPr>
        <w:t xml:space="preserve"> estimated annual burden hours and an annual cost savings to respondents of $4</w:t>
      </w:r>
      <w:r w:rsidR="00AD41D8">
        <w:rPr>
          <w:rFonts w:ascii="Arial" w:hAnsi="Arial" w:cs="Arial"/>
        </w:rPr>
        <w:t>28.85</w:t>
      </w:r>
      <w:r w:rsidR="00526D03">
        <w:rPr>
          <w:rFonts w:ascii="Arial" w:hAnsi="Arial" w:cs="Arial"/>
        </w:rPr>
        <w:t xml:space="preserve"> that are currently </w:t>
      </w:r>
      <w:r w:rsidR="009D0EC1">
        <w:rPr>
          <w:rFonts w:ascii="Arial" w:hAnsi="Arial" w:cs="Arial"/>
        </w:rPr>
        <w:t>reflected</w:t>
      </w:r>
      <w:r w:rsidR="00526D03">
        <w:rPr>
          <w:rFonts w:ascii="Arial" w:hAnsi="Arial" w:cs="Arial"/>
        </w:rPr>
        <w:t xml:space="preserve"> in OIRA/OMB information collection inventory.</w:t>
      </w:r>
      <w:r>
        <w:rPr>
          <w:rFonts w:ascii="Arial" w:hAnsi="Arial" w:cs="Arial"/>
        </w:rPr>
        <w:t xml:space="preserve"> However, due to </w:t>
      </w:r>
      <w:r w:rsidR="009D0EC1">
        <w:rPr>
          <w:rFonts w:ascii="Arial" w:hAnsi="Arial" w:cs="Arial"/>
        </w:rPr>
        <w:t xml:space="preserve">the fact that </w:t>
      </w:r>
      <w:r>
        <w:rPr>
          <w:rFonts w:ascii="Arial" w:hAnsi="Arial" w:cs="Arial"/>
        </w:rPr>
        <w:t>this OMB control number contains two additional VAAR clauses</w:t>
      </w:r>
      <w:r w:rsidR="009D0EC1">
        <w:rPr>
          <w:rFonts w:ascii="Arial" w:hAnsi="Arial" w:cs="Arial"/>
        </w:rPr>
        <w:t>, as well as</w:t>
      </w:r>
      <w:r>
        <w:rPr>
          <w:rFonts w:ascii="Arial" w:hAnsi="Arial" w:cs="Arial"/>
        </w:rPr>
        <w:t xml:space="preserve"> the increase of the </w:t>
      </w:r>
      <w:r w:rsidR="009D0EC1">
        <w:rPr>
          <w:rFonts w:ascii="Arial" w:hAnsi="Arial" w:cs="Arial"/>
        </w:rPr>
        <w:t>Bureau of Labor Statistics (</w:t>
      </w:r>
      <w:r>
        <w:rPr>
          <w:rFonts w:ascii="Arial" w:hAnsi="Arial" w:cs="Arial"/>
        </w:rPr>
        <w:t>BLS</w:t>
      </w:r>
      <w:r w:rsidR="009D0EC1">
        <w:rPr>
          <w:rFonts w:ascii="Arial" w:hAnsi="Arial" w:cs="Arial"/>
        </w:rPr>
        <w:t>)</w:t>
      </w:r>
      <w:r>
        <w:rPr>
          <w:rFonts w:ascii="Arial" w:hAnsi="Arial" w:cs="Arial"/>
        </w:rPr>
        <w:t xml:space="preserve"> hourly rate in May 2020, the net decrease of public burden cost for this OMB </w:t>
      </w:r>
      <w:r w:rsidR="009D0EC1">
        <w:rPr>
          <w:rFonts w:ascii="Arial" w:hAnsi="Arial" w:cs="Arial"/>
        </w:rPr>
        <w:t>c</w:t>
      </w:r>
      <w:r>
        <w:rPr>
          <w:rFonts w:ascii="Arial" w:hAnsi="Arial" w:cs="Arial"/>
        </w:rPr>
        <w:t>ontrol number is $268.85. Refer to Item 15 for more information.</w:t>
      </w:r>
    </w:p>
    <w:p w:rsidRPr="006F7D1C" w:rsidR="002B4534" w:rsidP="006F7D1C" w:rsidRDefault="002B4534" w14:paraId="31A337B8" w14:textId="77777777">
      <w:pPr>
        <w:tabs>
          <w:tab w:val="left" w:pos="360"/>
          <w:tab w:val="left" w:pos="720"/>
        </w:tabs>
        <w:rPr>
          <w:rFonts w:ascii="Arial" w:hAnsi="Arial" w:cs="Arial"/>
        </w:rPr>
      </w:pPr>
    </w:p>
    <w:p w:rsidRPr="00690A23" w:rsidR="00EF3163" w:rsidP="006F7D1C" w:rsidRDefault="00690A23" w14:paraId="5D9D6C2D" w14:textId="77777777">
      <w:pPr>
        <w:tabs>
          <w:tab w:val="left" w:pos="360"/>
          <w:tab w:val="left" w:pos="720"/>
        </w:tabs>
        <w:rPr>
          <w:rFonts w:ascii="Arial" w:hAnsi="Arial" w:cs="Arial"/>
          <w:b/>
        </w:rPr>
      </w:pPr>
      <w:r w:rsidRPr="00690A23">
        <w:rPr>
          <w:rFonts w:ascii="Arial" w:hAnsi="Arial" w:cs="Arial"/>
          <w:b/>
        </w:rPr>
        <w:t xml:space="preserve">2. Indicate how, by whom, and for what purposes the information is to be used; indicate actual use the agency has made of the information received from current collection. </w:t>
      </w:r>
      <w:r w:rsidRPr="00690A23" w:rsidR="002B4534">
        <w:rPr>
          <w:rFonts w:ascii="Arial" w:hAnsi="Arial" w:cs="Arial"/>
          <w:b/>
        </w:rPr>
        <w:t xml:space="preserve">  </w:t>
      </w:r>
    </w:p>
    <w:p w:rsidRPr="006F7D1C" w:rsidR="00EF3163" w:rsidP="006F7D1C" w:rsidRDefault="00EF3163" w14:paraId="7B4BEE7C" w14:textId="77777777">
      <w:pPr>
        <w:tabs>
          <w:tab w:val="left" w:pos="360"/>
          <w:tab w:val="left" w:pos="720"/>
        </w:tabs>
        <w:rPr>
          <w:rFonts w:ascii="Arial" w:hAnsi="Arial" w:cs="Arial"/>
        </w:rPr>
      </w:pPr>
    </w:p>
    <w:p w:rsidRPr="006F7D1C" w:rsidR="00841FA8" w:rsidP="00841FA8" w:rsidRDefault="00841FA8" w14:paraId="2B08F9B8" w14:textId="77777777">
      <w:pPr>
        <w:tabs>
          <w:tab w:val="left" w:pos="360"/>
          <w:tab w:val="left" w:pos="720"/>
        </w:tabs>
        <w:rPr>
          <w:rFonts w:ascii="Arial" w:hAnsi="Arial" w:cs="Arial"/>
        </w:rPr>
      </w:pPr>
      <w:r>
        <w:rPr>
          <w:rFonts w:ascii="Arial" w:hAnsi="Arial" w:cs="Arial"/>
        </w:rPr>
        <w:t>a</w:t>
      </w:r>
      <w:r w:rsidRPr="006F7D1C" w:rsidR="00EF3163">
        <w:rPr>
          <w:rFonts w:ascii="Arial" w:hAnsi="Arial" w:cs="Arial"/>
        </w:rPr>
        <w:t xml:space="preserve">.  </w:t>
      </w:r>
      <w:r w:rsidRPr="006F7D1C" w:rsidR="002B4534">
        <w:rPr>
          <w:rFonts w:ascii="Arial" w:hAnsi="Arial" w:cs="Arial"/>
        </w:rPr>
        <w:t>VAAR clause 852.237-7</w:t>
      </w:r>
      <w:r w:rsidR="0038333F">
        <w:rPr>
          <w:rFonts w:ascii="Arial" w:hAnsi="Arial" w:cs="Arial"/>
        </w:rPr>
        <w:t>0</w:t>
      </w:r>
      <w:r w:rsidRPr="006F7D1C" w:rsidR="002B4534">
        <w:rPr>
          <w:rFonts w:ascii="Arial" w:hAnsi="Arial" w:cs="Arial"/>
        </w:rPr>
        <w:t xml:space="preserve">, Indemnification and Medical Liability Insurance, is used in lieu of </w:t>
      </w:r>
      <w:r w:rsidRPr="006F7D1C">
        <w:rPr>
          <w:rFonts w:ascii="Arial" w:hAnsi="Arial" w:cs="Arial"/>
        </w:rPr>
        <w:t xml:space="preserve">Federal Acquisition Regulation </w:t>
      </w:r>
      <w:r>
        <w:rPr>
          <w:rFonts w:ascii="Arial" w:hAnsi="Arial" w:cs="Arial"/>
        </w:rPr>
        <w:t>(</w:t>
      </w:r>
      <w:r w:rsidRPr="006F7D1C" w:rsidR="00EF3163">
        <w:rPr>
          <w:rFonts w:ascii="Arial" w:hAnsi="Arial" w:cs="Arial"/>
          <w:color w:val="000000"/>
        </w:rPr>
        <w:t>FAR</w:t>
      </w:r>
      <w:r>
        <w:rPr>
          <w:rFonts w:ascii="Arial" w:hAnsi="Arial" w:cs="Arial"/>
          <w:color w:val="000000"/>
        </w:rPr>
        <w:t>)</w:t>
      </w:r>
      <w:r w:rsidRPr="006F7D1C" w:rsidR="00EF3163">
        <w:rPr>
          <w:rFonts w:ascii="Arial" w:hAnsi="Arial" w:cs="Arial"/>
        </w:rPr>
        <w:t xml:space="preserve"> </w:t>
      </w:r>
      <w:r w:rsidRPr="006F7D1C" w:rsidR="002B4534">
        <w:rPr>
          <w:rFonts w:ascii="Arial" w:hAnsi="Arial" w:cs="Arial"/>
        </w:rPr>
        <w:t xml:space="preserve">clause 52.237-7, Indemnification and Medical Liability Insurance, in solicitations and contracts for the acquisition of non-personal health care services.  It requires the apparent successful bidder/offeror, upon the </w:t>
      </w:r>
      <w:r w:rsidRPr="006F7D1C">
        <w:rPr>
          <w:rFonts w:ascii="Arial" w:hAnsi="Arial" w:cs="Arial"/>
        </w:rPr>
        <w:t xml:space="preserve">request of the contracting officer, prior to contract award, to furnish evidence of insurability of the offeror and/or all health-care providers who will perform under the contract.  In addition, the clause requires the contractor, prior to commencement of services under the contract, to provide Certificates of Insurance or insurance policies evidencing that the firm possesses the types and amounts of insurance required by the solicitation.  The </w:t>
      </w:r>
      <w:r w:rsidRPr="006F7D1C">
        <w:rPr>
          <w:rFonts w:ascii="Arial" w:hAnsi="Arial" w:cs="Arial"/>
        </w:rPr>
        <w:lastRenderedPageBreak/>
        <w:t xml:space="preserve">information is required </w:t>
      </w:r>
      <w:r w:rsidR="0038333F">
        <w:rPr>
          <w:rFonts w:ascii="Arial" w:hAnsi="Arial" w:cs="Arial"/>
        </w:rPr>
        <w:t>to</w:t>
      </w:r>
      <w:r w:rsidRPr="006F7D1C">
        <w:rPr>
          <w:rFonts w:ascii="Arial" w:hAnsi="Arial" w:cs="Arial"/>
        </w:rPr>
        <w:t xml:space="preserve"> protect VA by ensuring that the firm to which award may be made and the individuals who may provide health care </w:t>
      </w:r>
      <w:r>
        <w:rPr>
          <w:rFonts w:ascii="Arial" w:hAnsi="Arial" w:cs="Arial"/>
        </w:rPr>
        <w:t xml:space="preserve">services </w:t>
      </w:r>
      <w:r w:rsidRPr="006F7D1C">
        <w:rPr>
          <w:rFonts w:ascii="Arial" w:hAnsi="Arial" w:cs="Arial"/>
        </w:rPr>
        <w:t xml:space="preserve">under the contract are insurable and that, following award, the contractor and its employees </w:t>
      </w:r>
      <w:r>
        <w:rPr>
          <w:rFonts w:ascii="Arial" w:hAnsi="Arial" w:cs="Arial"/>
        </w:rPr>
        <w:t xml:space="preserve">will continue to </w:t>
      </w:r>
      <w:r w:rsidRPr="006F7D1C">
        <w:rPr>
          <w:rFonts w:ascii="Arial" w:hAnsi="Arial" w:cs="Arial"/>
        </w:rPr>
        <w:t xml:space="preserve">possess the types and amounts of insurance required by the solicitation.  It helps ensure that VA will not be held liable for any negligent acts of the contractor or its employees and ensures that VA and VA beneficiaries </w:t>
      </w:r>
      <w:r>
        <w:rPr>
          <w:rFonts w:ascii="Arial" w:hAnsi="Arial" w:cs="Arial"/>
        </w:rPr>
        <w:t>will be</w:t>
      </w:r>
      <w:r w:rsidRPr="006F7D1C">
        <w:rPr>
          <w:rFonts w:ascii="Arial" w:hAnsi="Arial" w:cs="Arial"/>
        </w:rPr>
        <w:t xml:space="preserve"> protected by adequate insurance coverage.</w:t>
      </w:r>
    </w:p>
    <w:p w:rsidR="00971488" w:rsidP="006F7D1C" w:rsidRDefault="00971488" w14:paraId="1260C643" w14:textId="77777777">
      <w:pPr>
        <w:tabs>
          <w:tab w:val="left" w:pos="360"/>
          <w:tab w:val="left" w:pos="720"/>
        </w:tabs>
        <w:rPr>
          <w:rFonts w:ascii="Arial" w:hAnsi="Arial" w:cs="Arial"/>
        </w:rPr>
      </w:pPr>
    </w:p>
    <w:p w:rsidRPr="006F7D1C" w:rsidR="002B4534" w:rsidP="006F7D1C" w:rsidRDefault="00841FA8" w14:paraId="25A2B795" w14:textId="77777777">
      <w:pPr>
        <w:tabs>
          <w:tab w:val="left" w:pos="360"/>
          <w:tab w:val="left" w:pos="720"/>
        </w:tabs>
        <w:rPr>
          <w:rFonts w:ascii="Arial" w:hAnsi="Arial" w:cs="Arial"/>
        </w:rPr>
      </w:pPr>
      <w:r>
        <w:rPr>
          <w:rFonts w:ascii="Arial" w:hAnsi="Arial" w:cs="Arial"/>
        </w:rPr>
        <w:t>b</w:t>
      </w:r>
      <w:r w:rsidRPr="006F7D1C">
        <w:rPr>
          <w:rFonts w:ascii="Arial" w:hAnsi="Arial" w:cs="Arial"/>
        </w:rPr>
        <w:t xml:space="preserve">.  VAAR clause </w:t>
      </w:r>
      <w:r w:rsidR="00F662DD">
        <w:rPr>
          <w:rFonts w:ascii="Arial" w:hAnsi="Arial" w:cs="Arial"/>
        </w:rPr>
        <w:t>852.22</w:t>
      </w:r>
      <w:r w:rsidR="0038333F">
        <w:rPr>
          <w:rFonts w:ascii="Arial" w:hAnsi="Arial" w:cs="Arial"/>
        </w:rPr>
        <w:t>8-71</w:t>
      </w:r>
      <w:r w:rsidRPr="006F7D1C">
        <w:rPr>
          <w:rFonts w:ascii="Arial" w:hAnsi="Arial" w:cs="Arial"/>
        </w:rPr>
        <w:t>, Indemnification and Insurance, is used in solicitations for vehicle or aircraft services.  It requires the apparent successful bidder/offeror, prior to contract award, to furnish evidence that the firm possesses the types and amounts of insurance required by the solicitation.  This evidence is in the form of a certificate from the firm's insurance company.  The information is</w:t>
      </w:r>
      <w:r>
        <w:rPr>
          <w:rFonts w:ascii="Arial" w:hAnsi="Arial" w:cs="Arial"/>
        </w:rPr>
        <w:t xml:space="preserve"> </w:t>
      </w:r>
      <w:r w:rsidRPr="006F7D1C" w:rsidR="002B4534">
        <w:rPr>
          <w:rFonts w:ascii="Arial" w:hAnsi="Arial" w:cs="Arial"/>
        </w:rPr>
        <w:t>required to protect VA by ensuring that the firm to which award will be made possesses the types and amounts of insurance required by the solicitation.  It helps ensure that VA will not be held liable for any negligent acts of the contractor and ensures that VA beneficiaries and the public are protected by adequate insurance coverage.</w:t>
      </w:r>
    </w:p>
    <w:p w:rsidR="002B4534" w:rsidP="006F7D1C" w:rsidRDefault="002B4534" w14:paraId="6E698E4A" w14:textId="77777777">
      <w:pPr>
        <w:tabs>
          <w:tab w:val="left" w:pos="360"/>
          <w:tab w:val="left" w:pos="720"/>
        </w:tabs>
        <w:rPr>
          <w:rFonts w:ascii="Arial" w:hAnsi="Arial" w:cs="Arial"/>
        </w:rPr>
      </w:pPr>
    </w:p>
    <w:p w:rsidRPr="00690A23" w:rsidR="00690A23" w:rsidP="006F7D1C" w:rsidRDefault="00690A23" w14:paraId="6284B1CE" w14:textId="77777777">
      <w:pPr>
        <w:tabs>
          <w:tab w:val="left" w:pos="360"/>
          <w:tab w:val="left" w:pos="720"/>
        </w:tabs>
        <w:rPr>
          <w:rFonts w:ascii="Arial" w:hAnsi="Arial" w:cs="Arial"/>
          <w:b/>
        </w:rPr>
      </w:pPr>
      <w:r w:rsidRPr="00690A23">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0A23" w:rsidP="006F7D1C" w:rsidRDefault="00690A23" w14:paraId="17A60EAB" w14:textId="77777777">
      <w:pPr>
        <w:tabs>
          <w:tab w:val="left" w:pos="360"/>
          <w:tab w:val="left" w:pos="720"/>
        </w:tabs>
        <w:rPr>
          <w:rFonts w:ascii="Arial" w:hAnsi="Arial" w:cs="Arial"/>
        </w:rPr>
      </w:pPr>
    </w:p>
    <w:p w:rsidRPr="006F7D1C" w:rsidR="002B4534" w:rsidP="006F7D1C" w:rsidRDefault="002B4534" w14:paraId="588D8000" w14:textId="77777777">
      <w:pPr>
        <w:tabs>
          <w:tab w:val="left" w:pos="360"/>
          <w:tab w:val="left" w:pos="720"/>
        </w:tabs>
        <w:rPr>
          <w:rFonts w:ascii="Arial" w:hAnsi="Arial" w:cs="Arial"/>
        </w:rPr>
      </w:pPr>
      <w:r w:rsidRPr="006F7D1C">
        <w:rPr>
          <w:rFonts w:ascii="Arial" w:hAnsi="Arial" w:cs="Arial"/>
        </w:rPr>
        <w:t>Collection efforts do not involve the use of automation.  The information required is specific and unique to each solicitation.</w:t>
      </w:r>
    </w:p>
    <w:p w:rsidRPr="006F7D1C" w:rsidR="002B4534" w:rsidP="006F7D1C" w:rsidRDefault="002B4534" w14:paraId="47745D96" w14:textId="77777777">
      <w:pPr>
        <w:tabs>
          <w:tab w:val="left" w:pos="360"/>
          <w:tab w:val="left" w:pos="720"/>
        </w:tabs>
        <w:rPr>
          <w:rFonts w:ascii="Arial" w:hAnsi="Arial" w:cs="Arial"/>
        </w:rPr>
      </w:pPr>
    </w:p>
    <w:p w:rsidRPr="00690A23" w:rsidR="00690A23" w:rsidP="006F7D1C" w:rsidRDefault="00690A23" w14:paraId="5637184F" w14:textId="77777777">
      <w:pPr>
        <w:tabs>
          <w:tab w:val="left" w:pos="360"/>
          <w:tab w:val="left" w:pos="720"/>
        </w:tabs>
        <w:rPr>
          <w:rFonts w:ascii="Arial" w:hAnsi="Arial" w:cs="Arial"/>
          <w:b/>
        </w:rPr>
      </w:pPr>
      <w:r w:rsidRPr="00690A23">
        <w:rPr>
          <w:rFonts w:ascii="Arial" w:hAnsi="Arial" w:cs="Arial"/>
          <w:b/>
        </w:rPr>
        <w:t>4. Describe efforts to identify duplication.  Show specifically why any similar information already available cannot be used or modified for use for the purposes described in Item 2 above.</w:t>
      </w:r>
    </w:p>
    <w:p w:rsidR="00690A23" w:rsidP="006F7D1C" w:rsidRDefault="00690A23" w14:paraId="1AAC8038" w14:textId="77777777">
      <w:pPr>
        <w:tabs>
          <w:tab w:val="left" w:pos="360"/>
          <w:tab w:val="left" w:pos="720"/>
        </w:tabs>
        <w:rPr>
          <w:rFonts w:ascii="Arial" w:hAnsi="Arial" w:cs="Arial"/>
        </w:rPr>
      </w:pPr>
    </w:p>
    <w:p w:rsidRPr="006F7D1C" w:rsidR="002B4534" w:rsidP="006F7D1C" w:rsidRDefault="002B4534" w14:paraId="66BF9EF0" w14:textId="77777777">
      <w:pPr>
        <w:tabs>
          <w:tab w:val="left" w:pos="360"/>
          <w:tab w:val="left" w:pos="720"/>
        </w:tabs>
        <w:rPr>
          <w:rFonts w:ascii="Arial" w:hAnsi="Arial" w:cs="Arial"/>
        </w:rPr>
      </w:pPr>
      <w:r w:rsidRPr="006F7D1C">
        <w:rPr>
          <w:rFonts w:ascii="Arial" w:hAnsi="Arial" w:cs="Arial"/>
        </w:rPr>
        <w:t xml:space="preserve">There are no duplicated efforts.  The information is required either prior to award of each new contract or following award.  Only up-to-date information on current insurance coverage is acceptable.  </w:t>
      </w:r>
    </w:p>
    <w:p w:rsidRPr="006F7D1C" w:rsidR="002B4534" w:rsidP="006F7D1C" w:rsidRDefault="002B4534" w14:paraId="604138AC" w14:textId="77777777">
      <w:pPr>
        <w:tabs>
          <w:tab w:val="left" w:pos="360"/>
          <w:tab w:val="left" w:pos="720"/>
        </w:tabs>
        <w:rPr>
          <w:rFonts w:ascii="Arial" w:hAnsi="Arial" w:cs="Arial"/>
        </w:rPr>
      </w:pPr>
    </w:p>
    <w:p w:rsidR="00690A23" w:rsidP="006F7D1C" w:rsidRDefault="00690A23" w14:paraId="4128165F" w14:textId="77777777">
      <w:pPr>
        <w:tabs>
          <w:tab w:val="left" w:pos="360"/>
          <w:tab w:val="left" w:pos="720"/>
        </w:tabs>
        <w:rPr>
          <w:rFonts w:ascii="Arial" w:hAnsi="Arial" w:cs="Arial"/>
        </w:rPr>
      </w:pPr>
      <w:r w:rsidRPr="00690A23">
        <w:rPr>
          <w:noProof/>
        </w:rPr>
        <w:drawing>
          <wp:inline distT="0" distB="0" distL="0" distR="0" wp14:anchorId="037E4E70" wp14:editId="1F93D17E">
            <wp:extent cx="54864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350520"/>
                    </a:xfrm>
                    <a:prstGeom prst="rect">
                      <a:avLst/>
                    </a:prstGeom>
                    <a:noFill/>
                    <a:ln>
                      <a:noFill/>
                    </a:ln>
                  </pic:spPr>
                </pic:pic>
              </a:graphicData>
            </a:graphic>
          </wp:inline>
        </w:drawing>
      </w:r>
    </w:p>
    <w:p w:rsidR="00690A23" w:rsidP="006F7D1C" w:rsidRDefault="00690A23" w14:paraId="39EF05F7" w14:textId="77777777">
      <w:pPr>
        <w:tabs>
          <w:tab w:val="left" w:pos="360"/>
          <w:tab w:val="left" w:pos="720"/>
        </w:tabs>
        <w:rPr>
          <w:rFonts w:ascii="Arial" w:hAnsi="Arial" w:cs="Arial"/>
        </w:rPr>
      </w:pPr>
    </w:p>
    <w:p w:rsidRPr="006F7D1C" w:rsidR="002B4534" w:rsidP="006F7D1C" w:rsidRDefault="002B4534" w14:paraId="21C4AB33" w14:textId="77777777">
      <w:pPr>
        <w:tabs>
          <w:tab w:val="left" w:pos="360"/>
          <w:tab w:val="left" w:pos="720"/>
        </w:tabs>
        <w:rPr>
          <w:rFonts w:ascii="Arial" w:hAnsi="Arial" w:cs="Arial"/>
        </w:rPr>
      </w:pPr>
      <w:r w:rsidRPr="006F7D1C">
        <w:rPr>
          <w:rFonts w:ascii="Arial" w:hAnsi="Arial" w:cs="Arial"/>
        </w:rPr>
        <w:t xml:space="preserve">There is no significant impact on small businesses.  </w:t>
      </w:r>
    </w:p>
    <w:p w:rsidRPr="006F7D1C" w:rsidR="002B4534" w:rsidP="006F7D1C" w:rsidRDefault="002B4534" w14:paraId="10E88E89" w14:textId="77777777">
      <w:pPr>
        <w:tabs>
          <w:tab w:val="left" w:pos="360"/>
          <w:tab w:val="left" w:pos="720"/>
        </w:tabs>
        <w:rPr>
          <w:rFonts w:ascii="Arial" w:hAnsi="Arial" w:cs="Arial"/>
        </w:rPr>
      </w:pPr>
    </w:p>
    <w:p w:rsidRPr="00690A23" w:rsidR="00690A23" w:rsidP="006F7D1C" w:rsidRDefault="00690A23" w14:paraId="44B0CA6D" w14:textId="77777777">
      <w:pPr>
        <w:tabs>
          <w:tab w:val="left" w:pos="360"/>
          <w:tab w:val="left" w:pos="720"/>
        </w:tabs>
        <w:rPr>
          <w:rFonts w:ascii="Arial" w:hAnsi="Arial" w:cs="Arial"/>
          <w:b/>
        </w:rPr>
      </w:pPr>
      <w:r w:rsidRPr="00690A23">
        <w:rPr>
          <w:rFonts w:ascii="Arial" w:hAnsi="Arial" w:cs="Arial"/>
          <w:b/>
        </w:rPr>
        <w:t>6. Describe the consequences to Federal program or policy activities if the collection is not conducted or is conducted less frequently as well as any technical or legal obstacles to reducing burden.</w:t>
      </w:r>
    </w:p>
    <w:p w:rsidR="00690A23" w:rsidP="006F7D1C" w:rsidRDefault="00690A23" w14:paraId="4D529B54" w14:textId="77777777">
      <w:pPr>
        <w:tabs>
          <w:tab w:val="left" w:pos="360"/>
          <w:tab w:val="left" w:pos="720"/>
        </w:tabs>
        <w:rPr>
          <w:rFonts w:ascii="Arial" w:hAnsi="Arial" w:cs="Arial"/>
        </w:rPr>
      </w:pPr>
    </w:p>
    <w:p w:rsidR="009D0EC1" w:rsidP="006F7D1C" w:rsidRDefault="002B4534" w14:paraId="4E6A1371" w14:textId="77777777">
      <w:pPr>
        <w:tabs>
          <w:tab w:val="left" w:pos="360"/>
          <w:tab w:val="left" w:pos="720"/>
        </w:tabs>
        <w:rPr>
          <w:rFonts w:ascii="Arial" w:hAnsi="Arial" w:cs="Arial"/>
        </w:rPr>
      </w:pPr>
      <w:r w:rsidRPr="006F7D1C">
        <w:rPr>
          <w:rFonts w:ascii="Arial" w:hAnsi="Arial" w:cs="Arial"/>
        </w:rPr>
        <w:lastRenderedPageBreak/>
        <w:t>For clauses 852.237-7</w:t>
      </w:r>
      <w:r w:rsidR="0038333F">
        <w:rPr>
          <w:rFonts w:ascii="Arial" w:hAnsi="Arial" w:cs="Arial"/>
        </w:rPr>
        <w:t>0</w:t>
      </w:r>
      <w:r w:rsidRPr="006F7D1C">
        <w:rPr>
          <w:rFonts w:ascii="Arial" w:hAnsi="Arial" w:cs="Arial"/>
        </w:rPr>
        <w:t xml:space="preserve"> and </w:t>
      </w:r>
      <w:r w:rsidR="0038333F">
        <w:rPr>
          <w:rFonts w:ascii="Arial" w:hAnsi="Arial" w:cs="Arial"/>
        </w:rPr>
        <w:t>852.228-71</w:t>
      </w:r>
      <w:r w:rsidRPr="006F7D1C">
        <w:rPr>
          <w:rFonts w:ascii="Arial" w:hAnsi="Arial" w:cs="Arial"/>
        </w:rPr>
        <w:t xml:space="preserve">, failure to collect the information would have a negative impact on VA’s ability to ensure that VA will not be held liable for any negligent acts of the contractor </w:t>
      </w:r>
      <w:r w:rsidR="00841FA8">
        <w:rPr>
          <w:rFonts w:ascii="Arial" w:hAnsi="Arial" w:cs="Arial"/>
        </w:rPr>
        <w:t xml:space="preserve">or its employees </w:t>
      </w:r>
      <w:r w:rsidRPr="006F7D1C">
        <w:rPr>
          <w:rFonts w:ascii="Arial" w:hAnsi="Arial" w:cs="Arial"/>
        </w:rPr>
        <w:t>and that VA beneficiaries and the public are protected by adequate insurance coverage.</w:t>
      </w:r>
    </w:p>
    <w:p w:rsidR="0038333F" w:rsidP="006F7D1C" w:rsidRDefault="002B4534" w14:paraId="751DB649" w14:textId="42338B0C">
      <w:pPr>
        <w:tabs>
          <w:tab w:val="left" w:pos="360"/>
          <w:tab w:val="left" w:pos="720"/>
        </w:tabs>
        <w:rPr>
          <w:rFonts w:ascii="Arial" w:hAnsi="Arial" w:cs="Arial"/>
        </w:rPr>
      </w:pPr>
      <w:r w:rsidRPr="006F7D1C">
        <w:rPr>
          <w:rFonts w:ascii="Arial" w:hAnsi="Arial" w:cs="Arial"/>
        </w:rPr>
        <w:t xml:space="preserve">  </w:t>
      </w:r>
    </w:p>
    <w:p w:rsidRPr="006F7D1C" w:rsidR="002B4534" w:rsidP="006F7D1C" w:rsidRDefault="00690A23" w14:paraId="0FE70762" w14:textId="77777777">
      <w:pPr>
        <w:tabs>
          <w:tab w:val="left" w:pos="360"/>
          <w:tab w:val="left" w:pos="720"/>
        </w:tabs>
        <w:rPr>
          <w:rFonts w:ascii="Arial" w:hAnsi="Arial" w:cs="Arial"/>
        </w:rPr>
      </w:pPr>
      <w:r w:rsidRPr="00690A23">
        <w:rPr>
          <w:noProof/>
        </w:rPr>
        <w:drawing>
          <wp:inline distT="0" distB="0" distL="0" distR="0" wp14:anchorId="04D88819" wp14:editId="01E9D8D7">
            <wp:extent cx="54864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1752600"/>
                    </a:xfrm>
                    <a:prstGeom prst="rect">
                      <a:avLst/>
                    </a:prstGeom>
                    <a:noFill/>
                    <a:ln>
                      <a:noFill/>
                    </a:ln>
                  </pic:spPr>
                </pic:pic>
              </a:graphicData>
            </a:graphic>
          </wp:inline>
        </w:drawing>
      </w:r>
      <w:r w:rsidRPr="006F7D1C" w:rsidR="002B4534">
        <w:rPr>
          <w:rFonts w:ascii="Arial" w:hAnsi="Arial" w:cs="Arial"/>
        </w:rPr>
        <w:t xml:space="preserve"> </w:t>
      </w:r>
    </w:p>
    <w:p w:rsidRPr="006F7D1C" w:rsidR="002B4534" w:rsidP="006F7D1C" w:rsidRDefault="002B4534" w14:paraId="2D12EDA1" w14:textId="77777777">
      <w:pPr>
        <w:tabs>
          <w:tab w:val="left" w:pos="360"/>
          <w:tab w:val="left" w:pos="720"/>
        </w:tabs>
        <w:rPr>
          <w:rFonts w:ascii="Arial" w:hAnsi="Arial" w:cs="Arial"/>
        </w:rPr>
      </w:pPr>
    </w:p>
    <w:p w:rsidRPr="006F7D1C" w:rsidR="002B4534" w:rsidP="006F7D1C" w:rsidRDefault="002B4534" w14:paraId="4A3307B7" w14:textId="77777777">
      <w:pPr>
        <w:tabs>
          <w:tab w:val="left" w:pos="360"/>
          <w:tab w:val="left" w:pos="720"/>
        </w:tabs>
        <w:rPr>
          <w:rFonts w:ascii="Arial" w:hAnsi="Arial" w:cs="Arial"/>
        </w:rPr>
      </w:pPr>
      <w:r w:rsidRPr="006F7D1C">
        <w:rPr>
          <w:rFonts w:ascii="Arial" w:hAnsi="Arial" w:cs="Arial"/>
        </w:rPr>
        <w:tab/>
        <w:t>Depending on the clause, the information is needed prior to the award of each solicitation or contract, as circumstances warrant, or following contract award, rather than quarterly.  For clauses 852.237-7</w:t>
      </w:r>
      <w:r w:rsidR="0038333F">
        <w:rPr>
          <w:rFonts w:ascii="Arial" w:hAnsi="Arial" w:cs="Arial"/>
        </w:rPr>
        <w:t>0</w:t>
      </w:r>
      <w:r w:rsidRPr="006F7D1C">
        <w:rPr>
          <w:rFonts w:ascii="Arial" w:hAnsi="Arial" w:cs="Arial"/>
        </w:rPr>
        <w:t xml:space="preserve"> and </w:t>
      </w:r>
      <w:r w:rsidR="0038333F">
        <w:rPr>
          <w:rFonts w:ascii="Arial" w:hAnsi="Arial" w:cs="Arial"/>
        </w:rPr>
        <w:t>852.228-71</w:t>
      </w:r>
      <w:r w:rsidRPr="006F7D1C">
        <w:rPr>
          <w:rFonts w:ascii="Arial" w:hAnsi="Arial" w:cs="Arial"/>
        </w:rPr>
        <w:t xml:space="preserve">, insurance coverage can change from day to day.  The insurance certificate must state that the contractor’s insurance will not be cancelled without prior notification to VA.  The information is only required once for each contract award and may cover a multi-year period unless the insurance changes. </w:t>
      </w:r>
      <w:r w:rsidR="0038333F">
        <w:rPr>
          <w:rFonts w:ascii="Arial" w:hAnsi="Arial" w:cs="Arial"/>
        </w:rPr>
        <w:t xml:space="preserve"> Only one original is required</w:t>
      </w:r>
      <w:r w:rsidR="00B72D8A">
        <w:rPr>
          <w:rFonts w:ascii="Arial" w:hAnsi="Arial" w:cs="Arial"/>
        </w:rPr>
        <w:t>.  There are not records of retention requirements.  It does not require the submission of proprietary information nor a pledge of confidentiality.</w:t>
      </w:r>
    </w:p>
    <w:p w:rsidRPr="006F7D1C" w:rsidR="002B4534" w:rsidP="006F7D1C" w:rsidRDefault="002B4534" w14:paraId="22BBC33C" w14:textId="77777777">
      <w:pPr>
        <w:tabs>
          <w:tab w:val="left" w:pos="360"/>
          <w:tab w:val="left" w:pos="720"/>
        </w:tabs>
        <w:rPr>
          <w:rFonts w:ascii="Arial" w:hAnsi="Arial" w:cs="Arial"/>
        </w:rPr>
      </w:pPr>
    </w:p>
    <w:p w:rsidRPr="006F7D1C" w:rsidR="002B4534" w:rsidP="006F7D1C" w:rsidRDefault="00B72D8A" w14:paraId="183DA0C7" w14:textId="77777777">
      <w:pPr>
        <w:tabs>
          <w:tab w:val="left" w:pos="360"/>
          <w:tab w:val="left" w:pos="720"/>
        </w:tabs>
        <w:rPr>
          <w:rFonts w:ascii="Arial" w:hAnsi="Arial" w:cs="Arial"/>
        </w:rPr>
      </w:pPr>
      <w:r>
        <w:rPr>
          <w:rFonts w:ascii="Arial" w:hAnsi="Arial" w:cs="Arial"/>
        </w:rPr>
        <w:tab/>
      </w:r>
      <w:r w:rsidR="0038333F">
        <w:rPr>
          <w:rFonts w:ascii="Arial" w:hAnsi="Arial" w:cs="Arial"/>
        </w:rPr>
        <w:t xml:space="preserve"> </w:t>
      </w:r>
      <w:r w:rsidR="00134EEC">
        <w:rPr>
          <w:rFonts w:ascii="Arial" w:hAnsi="Arial" w:cs="Arial"/>
        </w:rPr>
        <w:t>(1</w:t>
      </w:r>
      <w:r w:rsidR="00971488">
        <w:rPr>
          <w:rFonts w:ascii="Arial" w:hAnsi="Arial" w:cs="Arial"/>
        </w:rPr>
        <w:t>)</w:t>
      </w:r>
      <w:r w:rsidRPr="006F7D1C" w:rsidR="002B4534">
        <w:rPr>
          <w:rFonts w:ascii="Arial" w:hAnsi="Arial" w:cs="Arial"/>
        </w:rPr>
        <w:t xml:space="preserve">  For clause 852.237-7</w:t>
      </w:r>
      <w:r w:rsidR="0038333F">
        <w:rPr>
          <w:rFonts w:ascii="Arial" w:hAnsi="Arial" w:cs="Arial"/>
        </w:rPr>
        <w:t>0</w:t>
      </w:r>
      <w:r w:rsidRPr="006F7D1C" w:rsidR="002B4534">
        <w:rPr>
          <w:rFonts w:ascii="Arial" w:hAnsi="Arial" w:cs="Arial"/>
        </w:rPr>
        <w:t>, the information is submitted prior to each contract award, if requested by the contracting officer, or after award and prior to commencement of services.  The time for response may vary, but the sooner the offeror can submit the data, the sooner the offeror can be awarded a contract or commence providing services.  It is in the best interest of the offeror to expedite submission of the data.</w:t>
      </w:r>
    </w:p>
    <w:p w:rsidR="002B4534" w:rsidP="006F7D1C" w:rsidRDefault="002B4534" w14:paraId="0F4DACD1" w14:textId="77777777">
      <w:pPr>
        <w:tabs>
          <w:tab w:val="left" w:pos="360"/>
          <w:tab w:val="left" w:pos="720"/>
        </w:tabs>
        <w:rPr>
          <w:rFonts w:ascii="Arial" w:hAnsi="Arial" w:cs="Arial"/>
        </w:rPr>
      </w:pPr>
    </w:p>
    <w:p w:rsidRPr="006F7D1C" w:rsidR="002B4534" w:rsidP="006F7D1C" w:rsidRDefault="00971488" w14:paraId="31EB7C15" w14:textId="77777777">
      <w:pPr>
        <w:tabs>
          <w:tab w:val="left" w:pos="360"/>
          <w:tab w:val="left" w:pos="720"/>
        </w:tabs>
        <w:rPr>
          <w:rFonts w:ascii="Arial" w:hAnsi="Arial" w:cs="Arial"/>
        </w:rPr>
      </w:pPr>
      <w:r>
        <w:rPr>
          <w:rFonts w:ascii="Arial" w:hAnsi="Arial" w:cs="Arial"/>
        </w:rPr>
        <w:tab/>
      </w:r>
      <w:r w:rsidR="00134EEC">
        <w:rPr>
          <w:rFonts w:ascii="Arial" w:hAnsi="Arial" w:cs="Arial"/>
        </w:rPr>
        <w:t>(2</w:t>
      </w:r>
      <w:r>
        <w:rPr>
          <w:rFonts w:ascii="Arial" w:hAnsi="Arial" w:cs="Arial"/>
        </w:rPr>
        <w:t xml:space="preserve">)  </w:t>
      </w:r>
      <w:r w:rsidRPr="006F7D1C" w:rsidR="002B4534">
        <w:rPr>
          <w:rFonts w:ascii="Arial" w:hAnsi="Arial" w:cs="Arial"/>
        </w:rPr>
        <w:t xml:space="preserve">For clause </w:t>
      </w:r>
      <w:r w:rsidR="0038333F">
        <w:rPr>
          <w:rFonts w:ascii="Arial" w:hAnsi="Arial" w:cs="Arial"/>
        </w:rPr>
        <w:t>852.228-7</w:t>
      </w:r>
      <w:r w:rsidR="00C576F7">
        <w:rPr>
          <w:rFonts w:ascii="Arial" w:hAnsi="Arial" w:cs="Arial"/>
        </w:rPr>
        <w:t>1</w:t>
      </w:r>
      <w:r w:rsidRPr="006F7D1C" w:rsidR="002B4534">
        <w:rPr>
          <w:rFonts w:ascii="Arial" w:hAnsi="Arial" w:cs="Arial"/>
        </w:rPr>
        <w:t>, the information is submitted prior to each contract award.  The time for response may vary, but the sooner the offeror can submit the data, the sooner the offeror can be awarded a contract.  It is in the best interest of the offeror to expedite submission of the data.</w:t>
      </w:r>
    </w:p>
    <w:p w:rsidRPr="006F7D1C" w:rsidR="00DB75AF" w:rsidP="00B72D8A" w:rsidRDefault="00DB75AF" w14:paraId="32040746" w14:textId="77777777">
      <w:pPr>
        <w:tabs>
          <w:tab w:val="left" w:pos="360"/>
          <w:tab w:val="left" w:pos="720"/>
        </w:tabs>
        <w:rPr>
          <w:rFonts w:ascii="Arial" w:hAnsi="Arial" w:cs="Arial"/>
        </w:rPr>
      </w:pPr>
    </w:p>
    <w:p w:rsidRPr="00690A23" w:rsidR="00690A23" w:rsidP="00690A23" w:rsidRDefault="00690A23" w14:paraId="5F97D382" w14:textId="77777777">
      <w:pPr>
        <w:tabs>
          <w:tab w:val="left" w:pos="360"/>
          <w:tab w:val="left" w:pos="720"/>
        </w:tabs>
        <w:rPr>
          <w:rFonts w:ascii="Arial" w:hAnsi="Arial" w:cs="Arial"/>
          <w:b/>
        </w:rPr>
      </w:pPr>
      <w:r w:rsidRPr="00690A23">
        <w:rPr>
          <w:rFonts w:ascii="Arial" w:hAnsi="Arial" w:cs="Arial"/>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90A23" w:rsidP="006F7D1C" w:rsidRDefault="00690A23" w14:paraId="5E99FC37" w14:textId="77777777">
      <w:pPr>
        <w:tabs>
          <w:tab w:val="left" w:pos="360"/>
          <w:tab w:val="left" w:pos="720"/>
        </w:tabs>
        <w:rPr>
          <w:rFonts w:ascii="Arial" w:hAnsi="Arial" w:cs="Arial"/>
        </w:rPr>
      </w:pPr>
    </w:p>
    <w:p w:rsidRPr="006F7D1C" w:rsidR="002B4534" w:rsidP="006F7D1C" w:rsidRDefault="0026101E" w14:paraId="546DA997" w14:textId="5319FD45">
      <w:pPr>
        <w:tabs>
          <w:tab w:val="left" w:pos="360"/>
          <w:tab w:val="left" w:pos="720"/>
        </w:tabs>
        <w:rPr>
          <w:rFonts w:ascii="Arial" w:hAnsi="Arial" w:cs="Arial"/>
        </w:rPr>
      </w:pPr>
      <w:r>
        <w:rPr>
          <w:rFonts w:ascii="Arial" w:hAnsi="Arial" w:cs="Arial"/>
        </w:rPr>
        <w:lastRenderedPageBreak/>
        <w:t>P</w:t>
      </w:r>
      <w:r>
        <w:rPr>
          <w:rFonts w:ascii="Arial" w:hAnsi="Arial" w:cs="Arial"/>
        </w:rPr>
        <w:t>roposed rule RIN 2900-AR06 posted to the Federal Register (87FR13598) on March 9, 2022</w:t>
      </w:r>
      <w:r>
        <w:rPr>
          <w:rFonts w:ascii="Arial" w:hAnsi="Arial" w:cs="Arial"/>
        </w:rPr>
        <w:t>.</w:t>
      </w:r>
    </w:p>
    <w:p w:rsidRPr="006F7D1C" w:rsidR="002B4534" w:rsidP="006F7D1C" w:rsidRDefault="002B4534" w14:paraId="0E0FD702" w14:textId="77777777">
      <w:pPr>
        <w:tabs>
          <w:tab w:val="left" w:pos="360"/>
          <w:tab w:val="left" w:pos="720"/>
        </w:tabs>
        <w:rPr>
          <w:rFonts w:ascii="Arial" w:hAnsi="Arial" w:cs="Arial"/>
        </w:rPr>
      </w:pPr>
    </w:p>
    <w:p w:rsidRPr="00690A23" w:rsidR="00690A23" w:rsidP="00690A23" w:rsidRDefault="00690A23" w14:paraId="10B81057" w14:textId="77777777">
      <w:pPr>
        <w:tabs>
          <w:tab w:val="left" w:pos="547"/>
          <w:tab w:val="left" w:pos="1080"/>
          <w:tab w:val="left" w:pos="1627"/>
          <w:tab w:val="left" w:pos="2160"/>
          <w:tab w:val="left" w:pos="2880"/>
        </w:tabs>
        <w:rPr>
          <w:rFonts w:ascii="Arial" w:hAnsi="Arial"/>
        </w:rPr>
      </w:pPr>
      <w:r w:rsidRPr="00690A23">
        <w:rPr>
          <w:rFonts w:ascii="Arial" w:hAnsi="Arial"/>
          <w:b/>
        </w:rPr>
        <w:t>9</w:t>
      </w:r>
      <w:r w:rsidRPr="00690A23">
        <w:rPr>
          <w:rFonts w:ascii="Arial" w:hAnsi="Arial"/>
        </w:rPr>
        <w:t xml:space="preserve">. </w:t>
      </w:r>
      <w:r w:rsidRPr="00690A23">
        <w:rPr>
          <w:rFonts w:ascii="Arial" w:hAnsi="Arial"/>
          <w:b/>
        </w:rPr>
        <w:t>Explain any decision to provide any payment or gift to respondents, other than remuneration of contractors or grantees.</w:t>
      </w:r>
    </w:p>
    <w:p w:rsidR="00690A23" w:rsidP="006F7D1C" w:rsidRDefault="00690A23" w14:paraId="00579E52" w14:textId="77777777">
      <w:pPr>
        <w:tabs>
          <w:tab w:val="left" w:pos="360"/>
          <w:tab w:val="left" w:pos="720"/>
        </w:tabs>
        <w:rPr>
          <w:rFonts w:ascii="Arial" w:hAnsi="Arial" w:cs="Arial"/>
        </w:rPr>
      </w:pPr>
    </w:p>
    <w:p w:rsidRPr="006F7D1C" w:rsidR="002B4534" w:rsidP="006F7D1C" w:rsidRDefault="002B4534" w14:paraId="3C61528E" w14:textId="77777777">
      <w:pPr>
        <w:tabs>
          <w:tab w:val="left" w:pos="360"/>
          <w:tab w:val="left" w:pos="720"/>
        </w:tabs>
        <w:rPr>
          <w:rFonts w:ascii="Arial" w:hAnsi="Arial" w:cs="Arial"/>
        </w:rPr>
      </w:pPr>
      <w:r w:rsidRPr="006F7D1C">
        <w:rPr>
          <w:rFonts w:ascii="Arial" w:hAnsi="Arial" w:cs="Arial"/>
        </w:rPr>
        <w:t>No payments or gifts will be provided.</w:t>
      </w:r>
    </w:p>
    <w:p w:rsidRPr="006F7D1C" w:rsidR="002B4534" w:rsidP="006F7D1C" w:rsidRDefault="002B4534" w14:paraId="7CA8F636" w14:textId="77777777">
      <w:pPr>
        <w:tabs>
          <w:tab w:val="left" w:pos="360"/>
          <w:tab w:val="left" w:pos="720"/>
        </w:tabs>
        <w:rPr>
          <w:rFonts w:ascii="Arial" w:hAnsi="Arial" w:cs="Arial"/>
        </w:rPr>
      </w:pPr>
    </w:p>
    <w:p w:rsidRPr="0092104A" w:rsidR="0092104A" w:rsidP="0092104A" w:rsidRDefault="0092104A" w14:paraId="78FA8208" w14:textId="77777777">
      <w:pPr>
        <w:tabs>
          <w:tab w:val="left" w:pos="547"/>
          <w:tab w:val="left" w:pos="1080"/>
          <w:tab w:val="left" w:pos="1627"/>
          <w:tab w:val="left" w:pos="2160"/>
          <w:tab w:val="left" w:pos="2880"/>
        </w:tabs>
        <w:rPr>
          <w:rFonts w:ascii="Arial" w:hAnsi="Arial"/>
          <w:b/>
        </w:rPr>
      </w:pPr>
      <w:r w:rsidRPr="0092104A">
        <w:rPr>
          <w:rFonts w:ascii="Arial" w:hAnsi="Arial"/>
          <w:b/>
        </w:rPr>
        <w:t>10. Describe any assurance of confidentiality provided to respondents and the basis for the assurance in statute, regulation, or agency policy.</w:t>
      </w:r>
    </w:p>
    <w:p w:rsidR="0092104A" w:rsidP="006F7D1C" w:rsidRDefault="0092104A" w14:paraId="3D5B5608" w14:textId="77777777">
      <w:pPr>
        <w:tabs>
          <w:tab w:val="left" w:pos="360"/>
          <w:tab w:val="left" w:pos="720"/>
        </w:tabs>
        <w:rPr>
          <w:rFonts w:ascii="Arial" w:hAnsi="Arial" w:cs="Arial"/>
        </w:rPr>
      </w:pPr>
    </w:p>
    <w:p w:rsidR="002B4534" w:rsidP="006F7D1C" w:rsidRDefault="002B4534" w14:paraId="740044C0" w14:textId="77777777">
      <w:pPr>
        <w:tabs>
          <w:tab w:val="left" w:pos="360"/>
          <w:tab w:val="left" w:pos="720"/>
        </w:tabs>
        <w:rPr>
          <w:rFonts w:ascii="Arial" w:hAnsi="Arial" w:cs="Arial"/>
        </w:rPr>
      </w:pPr>
      <w:r w:rsidRPr="006F7D1C">
        <w:rPr>
          <w:rFonts w:ascii="Arial" w:hAnsi="Arial" w:cs="Arial"/>
        </w:rPr>
        <w:t>No assurances of confidentiality will be provided to respondents.</w:t>
      </w:r>
    </w:p>
    <w:p w:rsidRPr="006F7D1C" w:rsidR="0085425C" w:rsidP="006F7D1C" w:rsidRDefault="0085425C" w14:paraId="495A5D68" w14:textId="77777777">
      <w:pPr>
        <w:tabs>
          <w:tab w:val="left" w:pos="360"/>
          <w:tab w:val="left" w:pos="720"/>
        </w:tabs>
        <w:rPr>
          <w:rFonts w:ascii="Arial" w:hAnsi="Arial" w:cs="Arial"/>
        </w:rPr>
      </w:pPr>
    </w:p>
    <w:p w:rsidRPr="0092104A" w:rsidR="0092104A" w:rsidP="0092104A" w:rsidRDefault="0092104A" w14:paraId="2ABE28BD" w14:textId="77777777">
      <w:pPr>
        <w:rPr>
          <w:rFonts w:ascii="Arial" w:hAnsi="Arial"/>
          <w:b/>
        </w:rPr>
      </w:pPr>
      <w:r w:rsidRPr="0092104A">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6F7D1C" w:rsidR="002B4534" w:rsidP="006F7D1C" w:rsidRDefault="002B4534" w14:paraId="5C2D98D9" w14:textId="77777777">
      <w:pPr>
        <w:tabs>
          <w:tab w:val="left" w:pos="360"/>
          <w:tab w:val="left" w:pos="720"/>
        </w:tabs>
        <w:rPr>
          <w:rFonts w:ascii="Arial" w:hAnsi="Arial" w:cs="Arial"/>
        </w:rPr>
      </w:pPr>
    </w:p>
    <w:p w:rsidRPr="006F7D1C" w:rsidR="002B4534" w:rsidP="006F7D1C" w:rsidRDefault="002B4534" w14:paraId="5C4DB3E4" w14:textId="77777777">
      <w:pPr>
        <w:tabs>
          <w:tab w:val="left" w:pos="360"/>
          <w:tab w:val="left" w:pos="720"/>
        </w:tabs>
        <w:rPr>
          <w:rFonts w:ascii="Arial" w:hAnsi="Arial" w:cs="Arial"/>
        </w:rPr>
      </w:pPr>
      <w:r w:rsidRPr="006F7D1C">
        <w:rPr>
          <w:rFonts w:ascii="Arial" w:hAnsi="Arial" w:cs="Arial"/>
        </w:rPr>
        <w:t>The request for information does not include any questions of a sensitive nature.</w:t>
      </w:r>
    </w:p>
    <w:p w:rsidRPr="006F7D1C" w:rsidR="002B4534" w:rsidP="006F7D1C" w:rsidRDefault="002B4534" w14:paraId="2BFB23B8" w14:textId="77777777">
      <w:pPr>
        <w:tabs>
          <w:tab w:val="left" w:pos="360"/>
          <w:tab w:val="left" w:pos="720"/>
        </w:tabs>
        <w:rPr>
          <w:rFonts w:ascii="Arial" w:hAnsi="Arial" w:cs="Arial"/>
        </w:rPr>
      </w:pPr>
    </w:p>
    <w:p w:rsidRPr="0092104A" w:rsidR="0092104A" w:rsidP="0092104A" w:rsidRDefault="0092104A" w14:paraId="5C962747" w14:textId="77777777">
      <w:pPr>
        <w:tabs>
          <w:tab w:val="left" w:pos="547"/>
          <w:tab w:val="left" w:pos="1080"/>
          <w:tab w:val="left" w:pos="1627"/>
          <w:tab w:val="left" w:pos="2160"/>
          <w:tab w:val="left" w:pos="2880"/>
        </w:tabs>
        <w:rPr>
          <w:rFonts w:ascii="Arial" w:hAnsi="Arial"/>
          <w:b/>
        </w:rPr>
      </w:pPr>
      <w:r w:rsidRPr="0092104A">
        <w:rPr>
          <w:rFonts w:ascii="Arial" w:hAnsi="Arial"/>
          <w:b/>
        </w:rPr>
        <w:t>12.</w:t>
      </w:r>
      <w:r w:rsidRPr="0092104A">
        <w:rPr>
          <w:rFonts w:ascii="Arial" w:hAnsi="Arial"/>
          <w:b/>
        </w:rPr>
        <w:tab/>
        <w:t>Estimate of the hour burden of the collection of information:</w:t>
      </w:r>
    </w:p>
    <w:p w:rsidR="0092104A" w:rsidP="006F7D1C" w:rsidRDefault="0092104A" w14:paraId="076DBC0B" w14:textId="77777777">
      <w:pPr>
        <w:tabs>
          <w:tab w:val="left" w:pos="360"/>
          <w:tab w:val="left" w:pos="720"/>
        </w:tabs>
        <w:rPr>
          <w:rFonts w:ascii="Arial" w:hAnsi="Arial" w:cs="Arial"/>
        </w:rPr>
      </w:pPr>
    </w:p>
    <w:p w:rsidRPr="002D4957" w:rsidR="00B72D8A" w:rsidP="00B72D8A" w:rsidRDefault="00B72D8A" w14:paraId="17D39F08" w14:textId="77777777">
      <w:pPr>
        <w:pStyle w:val="BodyText"/>
        <w:tabs>
          <w:tab w:val="left" w:pos="1242"/>
        </w:tabs>
        <w:spacing w:line="244" w:lineRule="auto"/>
        <w:ind w:right="1157"/>
        <w:rPr>
          <w:rFonts w:ascii="Arial" w:hAnsi="Arial" w:cs="Arial"/>
          <w:b/>
          <w:w w:val="105"/>
        </w:rPr>
      </w:pPr>
      <w:r w:rsidRPr="002D4957">
        <w:rPr>
          <w:rFonts w:ascii="Arial" w:hAnsi="Arial" w:cs="Arial"/>
          <w:u w:val="single"/>
        </w:rPr>
        <w:t>The following data is for clause 852.237-70, Indemnification and Medical Liability Insurance</w:t>
      </w:r>
      <w:r w:rsidRPr="002D4957">
        <w:rPr>
          <w:rFonts w:ascii="Arial" w:hAnsi="Arial" w:cs="Arial"/>
        </w:rPr>
        <w:t>:</w:t>
      </w:r>
    </w:p>
    <w:p w:rsidRPr="002D4957" w:rsidR="00B72D8A" w:rsidP="00B72D8A" w:rsidRDefault="00B72D8A" w14:paraId="2C88AFC1" w14:textId="77777777">
      <w:pPr>
        <w:spacing w:before="8" w:line="260" w:lineRule="exact"/>
        <w:rPr>
          <w:rFonts w:ascii="Arial" w:hAnsi="Arial" w:cs="Arial"/>
        </w:rPr>
      </w:pP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1890"/>
      </w:tblGrid>
      <w:tr w:rsidRPr="002D4957" w:rsidR="00B72D8A" w:rsidTr="007A5FD2" w14:paraId="1DD52C1F" w14:textId="77777777">
        <w:trPr>
          <w:trHeight w:val="583" w:hRule="exact"/>
        </w:trPr>
        <w:tc>
          <w:tcPr>
            <w:tcW w:w="1394" w:type="dxa"/>
            <w:tcBorders>
              <w:top w:val="single" w:color="000000" w:sz="6" w:space="0"/>
              <w:left w:val="single" w:color="000000" w:sz="6" w:space="0"/>
              <w:bottom w:val="single" w:color="000000" w:sz="6" w:space="0"/>
              <w:right w:val="single" w:color="000000" w:sz="6" w:space="0"/>
            </w:tcBorders>
            <w:vAlign w:val="center"/>
          </w:tcPr>
          <w:p w:rsidRPr="002D4957" w:rsidR="00B72D8A" w:rsidP="007A5FD2" w:rsidRDefault="00B72D8A" w14:paraId="12CB3B49" w14:textId="77777777">
            <w:pPr>
              <w:ind w:left="176"/>
              <w:rPr>
                <w:rFonts w:ascii="Arial" w:hAnsi="Arial" w:eastAsia="Arial" w:cs="Arial"/>
              </w:rPr>
            </w:pPr>
            <w:r w:rsidRPr="002D4957">
              <w:rPr>
                <w:rFonts w:ascii="Arial" w:hAnsi="Arial" w:eastAsia="Arial" w:cs="Arial"/>
              </w:rPr>
              <w:t>No. of respondents</w:t>
            </w:r>
          </w:p>
        </w:tc>
        <w:tc>
          <w:tcPr>
            <w:tcW w:w="1890" w:type="dxa"/>
            <w:tcBorders>
              <w:top w:val="single" w:color="000000" w:sz="6" w:space="0"/>
              <w:left w:val="single" w:color="000000" w:sz="6" w:space="0"/>
              <w:bottom w:val="single" w:color="000000" w:sz="6" w:space="0"/>
              <w:right w:val="single" w:color="000000" w:sz="6" w:space="0"/>
            </w:tcBorders>
            <w:vAlign w:val="center"/>
          </w:tcPr>
          <w:p w:rsidRPr="002D4957" w:rsidR="00B72D8A" w:rsidP="007A5FD2" w:rsidRDefault="00B72D8A" w14:paraId="19AE0D87" w14:textId="77777777">
            <w:pPr>
              <w:ind w:left="176"/>
              <w:rPr>
                <w:rFonts w:ascii="Arial" w:hAnsi="Arial" w:eastAsia="Arial" w:cs="Arial"/>
              </w:rPr>
            </w:pPr>
            <w:r w:rsidRPr="002D4957">
              <w:rPr>
                <w:rFonts w:ascii="Arial" w:hAnsi="Arial" w:eastAsia="Arial" w:cs="Arial"/>
              </w:rPr>
              <w:t>x No. of responses</w:t>
            </w:r>
          </w:p>
        </w:tc>
        <w:tc>
          <w:tcPr>
            <w:tcW w:w="28" w:type="dxa"/>
            <w:vMerge w:val="restart"/>
            <w:tcBorders>
              <w:top w:val="single" w:color="000000" w:sz="6" w:space="0"/>
              <w:left w:val="single" w:color="000000" w:sz="6" w:space="0"/>
              <w:right w:val="nil"/>
            </w:tcBorders>
            <w:vAlign w:val="center"/>
          </w:tcPr>
          <w:p w:rsidRPr="002D4957" w:rsidR="00B72D8A" w:rsidP="007A5FD2" w:rsidRDefault="00B72D8A" w14:paraId="4549BBC0" w14:textId="77777777">
            <w:pPr>
              <w:ind w:left="176"/>
              <w:rPr>
                <w:rFonts w:ascii="Arial" w:hAnsi="Arial" w:eastAsia="Arial" w:cs="Arial"/>
              </w:rPr>
            </w:pPr>
          </w:p>
        </w:tc>
        <w:tc>
          <w:tcPr>
            <w:tcW w:w="1355" w:type="dxa"/>
            <w:tcBorders>
              <w:top w:val="single" w:color="000000" w:sz="6" w:space="0"/>
              <w:left w:val="nil"/>
              <w:bottom w:val="single" w:color="000000" w:sz="3" w:space="0"/>
              <w:right w:val="single" w:color="000000" w:sz="6" w:space="0"/>
            </w:tcBorders>
            <w:vAlign w:val="center"/>
          </w:tcPr>
          <w:p w:rsidRPr="002D4957" w:rsidR="00B72D8A" w:rsidP="007A5FD2" w:rsidRDefault="00B72D8A" w14:paraId="38B48812" w14:textId="77777777">
            <w:pPr>
              <w:ind w:left="176"/>
              <w:rPr>
                <w:rFonts w:ascii="Arial" w:hAnsi="Arial" w:eastAsia="Arial" w:cs="Arial"/>
              </w:rPr>
            </w:pPr>
            <w:r w:rsidRPr="002D4957">
              <w:rPr>
                <w:rFonts w:ascii="Arial" w:hAnsi="Arial" w:eastAsia="Arial" w:cs="Arial"/>
              </w:rPr>
              <w:t>x No. of minutes</w:t>
            </w:r>
          </w:p>
        </w:tc>
        <w:tc>
          <w:tcPr>
            <w:tcW w:w="1137" w:type="dxa"/>
            <w:vMerge w:val="restart"/>
            <w:tcBorders>
              <w:top w:val="single" w:color="000000" w:sz="6" w:space="0"/>
              <w:left w:val="single" w:color="000000" w:sz="6" w:space="0"/>
              <w:right w:val="single" w:color="000000" w:sz="6" w:space="0"/>
            </w:tcBorders>
            <w:vAlign w:val="center"/>
          </w:tcPr>
          <w:p w:rsidRPr="002D4957" w:rsidR="00B72D8A" w:rsidP="007A5FD2" w:rsidRDefault="00B72D8A" w14:paraId="00D4F3C8" w14:textId="77777777">
            <w:pPr>
              <w:ind w:left="176"/>
              <w:rPr>
                <w:rFonts w:ascii="Arial" w:hAnsi="Arial" w:eastAsia="Arial" w:cs="Arial"/>
              </w:rPr>
            </w:pPr>
          </w:p>
          <w:p w:rsidRPr="002D4957" w:rsidR="00B72D8A" w:rsidP="007A5FD2" w:rsidRDefault="00B72D8A" w14:paraId="0498FFF3" w14:textId="77777777">
            <w:pPr>
              <w:ind w:left="176"/>
              <w:rPr>
                <w:rFonts w:ascii="Arial" w:hAnsi="Arial" w:eastAsia="Arial" w:cs="Arial"/>
              </w:rPr>
            </w:pPr>
            <w:r w:rsidRPr="002D4957">
              <w:rPr>
                <w:rFonts w:ascii="Arial" w:hAnsi="Arial" w:eastAsia="Arial" w:cs="Arial"/>
              </w:rPr>
              <w:t>÷by 60</w:t>
            </w:r>
          </w:p>
          <w:p w:rsidRPr="002D4957" w:rsidR="00B72D8A" w:rsidP="007A5FD2" w:rsidRDefault="00B72D8A" w14:paraId="7C9FBAE8" w14:textId="77777777">
            <w:pPr>
              <w:ind w:left="176"/>
              <w:rPr>
                <w:rFonts w:ascii="Arial" w:hAnsi="Arial" w:eastAsia="Arial" w:cs="Arial"/>
              </w:rPr>
            </w:pPr>
          </w:p>
        </w:tc>
        <w:tc>
          <w:tcPr>
            <w:tcW w:w="1890" w:type="dxa"/>
            <w:tcBorders>
              <w:top w:val="single" w:color="000000" w:sz="6" w:space="0"/>
              <w:left w:val="single" w:color="000000" w:sz="6" w:space="0"/>
              <w:bottom w:val="single" w:color="000000" w:sz="3" w:space="0"/>
              <w:right w:val="single" w:color="000000" w:sz="6" w:space="0"/>
            </w:tcBorders>
            <w:vAlign w:val="center"/>
          </w:tcPr>
          <w:p w:rsidRPr="002D4957" w:rsidR="00B72D8A" w:rsidP="007A5FD2" w:rsidRDefault="00B72D8A" w14:paraId="16D2535F" w14:textId="77777777">
            <w:pPr>
              <w:ind w:left="176"/>
              <w:rPr>
                <w:rFonts w:ascii="Arial" w:hAnsi="Arial" w:eastAsia="Arial" w:cs="Arial"/>
              </w:rPr>
            </w:pPr>
            <w:r w:rsidRPr="002D4957">
              <w:rPr>
                <w:rFonts w:ascii="Arial" w:hAnsi="Arial" w:eastAsia="Arial" w:cs="Arial"/>
              </w:rPr>
              <w:t>Number of Burden Hours</w:t>
            </w:r>
          </w:p>
        </w:tc>
      </w:tr>
      <w:tr w:rsidRPr="002D4957" w:rsidR="00B72D8A" w:rsidTr="007A5FD2" w14:paraId="548F0447" w14:textId="77777777">
        <w:trPr>
          <w:trHeight w:val="846" w:hRule="exact"/>
        </w:trPr>
        <w:tc>
          <w:tcPr>
            <w:tcW w:w="1394" w:type="dxa"/>
            <w:tcBorders>
              <w:top w:val="single" w:color="000000" w:sz="6" w:space="0"/>
              <w:left w:val="single" w:color="000000" w:sz="6" w:space="0"/>
              <w:bottom w:val="single" w:color="000000" w:sz="3" w:space="0"/>
              <w:right w:val="single" w:color="000000" w:sz="6" w:space="0"/>
            </w:tcBorders>
            <w:vAlign w:val="center"/>
          </w:tcPr>
          <w:p w:rsidRPr="002D4957" w:rsidR="00B72D8A" w:rsidP="007A5FD2" w:rsidRDefault="00B72D8A" w14:paraId="160A551D" w14:textId="77777777">
            <w:pPr>
              <w:ind w:left="176"/>
              <w:rPr>
                <w:rFonts w:ascii="Arial" w:hAnsi="Arial" w:eastAsia="Arial" w:cs="Arial"/>
              </w:rPr>
            </w:pPr>
            <w:r w:rsidRPr="002D4957">
              <w:rPr>
                <w:rFonts w:ascii="Arial" w:hAnsi="Arial" w:eastAsia="Arial" w:cs="Arial"/>
              </w:rPr>
              <w:t>1500</w:t>
            </w:r>
          </w:p>
        </w:tc>
        <w:tc>
          <w:tcPr>
            <w:tcW w:w="1890" w:type="dxa"/>
            <w:tcBorders>
              <w:top w:val="single" w:color="000000" w:sz="6" w:space="0"/>
              <w:left w:val="single" w:color="000000" w:sz="6" w:space="0"/>
              <w:bottom w:val="single" w:color="000000" w:sz="3" w:space="0"/>
              <w:right w:val="single" w:color="000000" w:sz="6" w:space="0"/>
            </w:tcBorders>
            <w:vAlign w:val="center"/>
          </w:tcPr>
          <w:p w:rsidRPr="002D4957" w:rsidR="00B72D8A" w:rsidP="007A5FD2" w:rsidRDefault="00B72D8A" w14:paraId="257007B0" w14:textId="77777777">
            <w:pPr>
              <w:ind w:left="176"/>
              <w:rPr>
                <w:rFonts w:ascii="Arial" w:hAnsi="Arial" w:eastAsia="Arial" w:cs="Arial"/>
              </w:rPr>
            </w:pPr>
            <w:r w:rsidRPr="002D4957">
              <w:rPr>
                <w:rFonts w:ascii="Arial" w:hAnsi="Arial" w:eastAsia="Arial" w:cs="Arial"/>
              </w:rPr>
              <w:t xml:space="preserve">1 per each contract awarded </w:t>
            </w:r>
          </w:p>
        </w:tc>
        <w:tc>
          <w:tcPr>
            <w:tcW w:w="28" w:type="dxa"/>
            <w:vMerge/>
            <w:tcBorders>
              <w:left w:val="single" w:color="000000" w:sz="6" w:space="0"/>
              <w:bottom w:val="single" w:color="000000" w:sz="3" w:space="0"/>
              <w:right w:val="nil"/>
            </w:tcBorders>
            <w:vAlign w:val="center"/>
          </w:tcPr>
          <w:p w:rsidRPr="002D4957" w:rsidR="00B72D8A" w:rsidP="007A5FD2" w:rsidRDefault="00B72D8A" w14:paraId="55E3AFB8" w14:textId="77777777">
            <w:pPr>
              <w:ind w:left="176"/>
              <w:rPr>
                <w:rFonts w:ascii="Arial" w:hAnsi="Arial" w:eastAsia="Arial" w:cs="Arial"/>
              </w:rPr>
            </w:pPr>
          </w:p>
        </w:tc>
        <w:tc>
          <w:tcPr>
            <w:tcW w:w="1355" w:type="dxa"/>
            <w:tcBorders>
              <w:top w:val="single" w:color="000000" w:sz="3" w:space="0"/>
              <w:left w:val="nil"/>
              <w:bottom w:val="single" w:color="000000" w:sz="3" w:space="0"/>
              <w:right w:val="single" w:color="000000" w:sz="6" w:space="0"/>
            </w:tcBorders>
            <w:vAlign w:val="center"/>
          </w:tcPr>
          <w:p w:rsidRPr="002D4957" w:rsidR="00B72D8A" w:rsidP="007A5FD2" w:rsidRDefault="00B72D8A" w14:paraId="1AD91C4F" w14:textId="77777777">
            <w:pPr>
              <w:ind w:left="176"/>
              <w:rPr>
                <w:rFonts w:ascii="Arial" w:hAnsi="Arial" w:eastAsia="Arial" w:cs="Arial"/>
              </w:rPr>
            </w:pPr>
            <w:r w:rsidRPr="002D4957">
              <w:rPr>
                <w:rFonts w:ascii="Arial" w:hAnsi="Arial" w:eastAsia="Arial" w:cs="Arial"/>
              </w:rPr>
              <w:t>30</w:t>
            </w:r>
          </w:p>
        </w:tc>
        <w:tc>
          <w:tcPr>
            <w:tcW w:w="1137" w:type="dxa"/>
            <w:vMerge/>
            <w:tcBorders>
              <w:left w:val="single" w:color="000000" w:sz="6" w:space="0"/>
              <w:bottom w:val="single" w:color="000000" w:sz="3" w:space="0"/>
              <w:right w:val="single" w:color="000000" w:sz="6" w:space="0"/>
            </w:tcBorders>
            <w:vAlign w:val="center"/>
          </w:tcPr>
          <w:p w:rsidRPr="002D4957" w:rsidR="00B72D8A" w:rsidP="007A5FD2" w:rsidRDefault="00B72D8A" w14:paraId="161FBCD9" w14:textId="77777777">
            <w:pPr>
              <w:ind w:left="176"/>
              <w:rPr>
                <w:rFonts w:ascii="Arial" w:hAnsi="Arial" w:eastAsia="Arial" w:cs="Arial"/>
              </w:rPr>
            </w:pPr>
          </w:p>
        </w:tc>
        <w:tc>
          <w:tcPr>
            <w:tcW w:w="1890" w:type="dxa"/>
            <w:tcBorders>
              <w:top w:val="single" w:color="000000" w:sz="3" w:space="0"/>
              <w:left w:val="single" w:color="000000" w:sz="6" w:space="0"/>
              <w:bottom w:val="single" w:color="000000" w:sz="3" w:space="0"/>
              <w:right w:val="single" w:color="000000" w:sz="6" w:space="0"/>
            </w:tcBorders>
            <w:vAlign w:val="center"/>
          </w:tcPr>
          <w:p w:rsidRPr="002D4957" w:rsidR="00B72D8A" w:rsidP="007A5FD2" w:rsidRDefault="00B72D8A" w14:paraId="5A9C8282" w14:textId="77777777">
            <w:pPr>
              <w:ind w:left="176"/>
              <w:rPr>
                <w:rFonts w:ascii="Arial" w:hAnsi="Arial" w:eastAsia="Arial" w:cs="Arial"/>
              </w:rPr>
            </w:pPr>
          </w:p>
          <w:p w:rsidRPr="002D4957" w:rsidR="00B72D8A" w:rsidP="007A5FD2" w:rsidRDefault="00B72D8A" w14:paraId="41479F7A" w14:textId="77777777">
            <w:pPr>
              <w:ind w:left="176"/>
              <w:rPr>
                <w:rFonts w:ascii="Arial" w:hAnsi="Arial" w:eastAsia="Arial" w:cs="Arial"/>
              </w:rPr>
            </w:pPr>
            <w:r w:rsidRPr="002D4957">
              <w:rPr>
                <w:rFonts w:ascii="Arial" w:hAnsi="Arial" w:eastAsia="Arial" w:cs="Arial"/>
              </w:rPr>
              <w:t>750</w:t>
            </w:r>
          </w:p>
          <w:p w:rsidRPr="002D4957" w:rsidR="00B72D8A" w:rsidP="007A5FD2" w:rsidRDefault="00B72D8A" w14:paraId="73BDD486" w14:textId="77777777">
            <w:pPr>
              <w:ind w:left="176"/>
              <w:rPr>
                <w:rFonts w:ascii="Arial" w:hAnsi="Arial" w:eastAsia="Arial" w:cs="Arial"/>
              </w:rPr>
            </w:pPr>
          </w:p>
        </w:tc>
      </w:tr>
    </w:tbl>
    <w:p w:rsidRPr="002D4957" w:rsidR="00B72D8A" w:rsidP="00B72D8A" w:rsidRDefault="00B72D8A" w14:paraId="0DA3EB57" w14:textId="77777777">
      <w:pPr>
        <w:spacing w:before="7" w:line="200" w:lineRule="exact"/>
        <w:rPr>
          <w:rFonts w:ascii="Arial" w:hAnsi="Arial" w:cs="Arial"/>
        </w:rPr>
      </w:pPr>
    </w:p>
    <w:p w:rsidRPr="00F23208" w:rsidR="00211FEE" w:rsidP="00211FEE" w:rsidRDefault="00211FEE" w14:paraId="64883063" w14:textId="53AEB407">
      <w:pPr>
        <w:tabs>
          <w:tab w:val="left" w:pos="360"/>
          <w:tab w:val="left" w:pos="720"/>
        </w:tabs>
        <w:rPr>
          <w:rFonts w:ascii="Arial" w:hAnsi="Arial" w:cs="Arial"/>
        </w:rPr>
      </w:pPr>
      <w:r w:rsidRPr="00F23208">
        <w:rPr>
          <w:rFonts w:ascii="Arial" w:hAnsi="Arial" w:cs="Arial"/>
        </w:rPr>
        <w:t xml:space="preserve">Estimated annualized cost:  $ </w:t>
      </w:r>
      <w:r w:rsidR="00D77872">
        <w:rPr>
          <w:rFonts w:ascii="Arial" w:hAnsi="Arial" w:cs="Arial"/>
        </w:rPr>
        <w:t>21,562.50</w:t>
      </w:r>
      <w:r w:rsidRPr="00F23208">
        <w:rPr>
          <w:rFonts w:ascii="Arial" w:hAnsi="Arial" w:cs="Arial"/>
        </w:rPr>
        <w:t xml:space="preserve"> (750 hours at $</w:t>
      </w:r>
      <w:r w:rsidR="00D77872">
        <w:rPr>
          <w:rFonts w:ascii="Arial" w:hAnsi="Arial" w:cs="Arial"/>
        </w:rPr>
        <w:t>28.75</w:t>
      </w:r>
      <w:r w:rsidRPr="00F23208">
        <w:rPr>
          <w:rFonts w:ascii="Arial" w:hAnsi="Arial" w:cs="Arial"/>
        </w:rPr>
        <w:t xml:space="preserve"> per hour.  </w:t>
      </w:r>
      <w:bookmarkStart w:name="_Hlk526063177" w:id="1"/>
      <w:r w:rsidRPr="00F23208">
        <w:rPr>
          <w:rFonts w:ascii="Arial" w:hAnsi="Arial" w:cs="Arial"/>
        </w:rPr>
        <w:t xml:space="preserve">This is based on the Bureau of Labor Statistics </w:t>
      </w:r>
      <w:r w:rsidR="00B13EEC">
        <w:rPr>
          <w:rFonts w:ascii="Arial" w:hAnsi="Arial" w:cs="Arial"/>
        </w:rPr>
        <w:t xml:space="preserve">(BLS) </w:t>
      </w:r>
      <w:r w:rsidRPr="00F23208">
        <w:rPr>
          <w:rFonts w:ascii="Arial" w:hAnsi="Arial" w:cs="Arial"/>
        </w:rPr>
        <w:t>May 20</w:t>
      </w:r>
      <w:r w:rsidR="00FC7597">
        <w:rPr>
          <w:rFonts w:ascii="Arial" w:hAnsi="Arial" w:cs="Arial"/>
        </w:rPr>
        <w:t>20</w:t>
      </w:r>
      <w:r w:rsidRPr="00F23208">
        <w:rPr>
          <w:rFonts w:ascii="Arial" w:hAnsi="Arial" w:cs="Arial"/>
        </w:rPr>
        <w:t xml:space="preserve"> Occupational Employment and Wages code 43-4199, </w:t>
      </w:r>
      <w:r w:rsidRPr="0081520B">
        <w:rPr>
          <w:rFonts w:ascii="Arial" w:hAnsi="Arial" w:cs="Arial"/>
        </w:rPr>
        <w:t>Information and Record Clerks (</w:t>
      </w:r>
      <w:hyperlink w:history="1" r:id="rId6">
        <w:r w:rsidRPr="0081520B" w:rsidR="0081520B">
          <w:rPr>
            <w:rStyle w:val="Hyperlink"/>
            <w:rFonts w:ascii="Arial" w:hAnsi="Arial" w:cs="Arial"/>
          </w:rPr>
          <w:t>https://www.bls.gov/oes/current/oes434199.htm</w:t>
        </w:r>
      </w:hyperlink>
      <w:r w:rsidRPr="0081520B" w:rsidR="0081520B">
        <w:rPr>
          <w:rFonts w:ascii="Arial" w:hAnsi="Arial" w:cs="Arial"/>
        </w:rPr>
        <w:t xml:space="preserve"> </w:t>
      </w:r>
      <w:r w:rsidRPr="0081520B">
        <w:rPr>
          <w:rFonts w:ascii="Arial" w:hAnsi="Arial" w:cs="Arial"/>
        </w:rPr>
        <w:t>)</w:t>
      </w:r>
      <w:r w:rsidRPr="00F23208">
        <w:rPr>
          <w:rFonts w:ascii="Arial" w:hAnsi="Arial" w:cs="Arial"/>
        </w:rPr>
        <w:t xml:space="preserve"> </w:t>
      </w:r>
      <w:r w:rsidR="00D77872">
        <w:rPr>
          <w:rFonts w:ascii="Arial" w:hAnsi="Arial" w:cs="Arial"/>
        </w:rPr>
        <w:t xml:space="preserve">Mean Hourly Wage </w:t>
      </w:r>
      <w:r w:rsidRPr="00F23208">
        <w:rPr>
          <w:rFonts w:ascii="Arial" w:hAnsi="Arial" w:cs="Arial"/>
        </w:rPr>
        <w:t>of $</w:t>
      </w:r>
      <w:r w:rsidR="00D77872">
        <w:rPr>
          <w:rFonts w:ascii="Arial" w:hAnsi="Arial" w:cs="Arial"/>
        </w:rPr>
        <w:t>21.10</w:t>
      </w:r>
      <w:r w:rsidR="00FC7597">
        <w:rPr>
          <w:rFonts w:ascii="Arial" w:hAnsi="Arial" w:cs="Arial"/>
        </w:rPr>
        <w:t xml:space="preserve"> plus 36.25% fringe benefits per </w:t>
      </w:r>
      <w:r w:rsidRPr="00FC7597" w:rsidR="00FC7597">
        <w:rPr>
          <w:rFonts w:ascii="Arial" w:hAnsi="Arial" w:cs="Arial"/>
        </w:rPr>
        <w:t xml:space="preserve">OMB Memo </w:t>
      </w:r>
      <w:r w:rsidR="00B13EEC">
        <w:rPr>
          <w:rFonts w:ascii="Arial" w:hAnsi="Arial" w:cs="Arial"/>
        </w:rPr>
        <w:t>M</w:t>
      </w:r>
      <w:r w:rsidRPr="00FC7597" w:rsidR="00FC7597">
        <w:rPr>
          <w:rFonts w:ascii="Arial" w:hAnsi="Arial" w:cs="Arial"/>
        </w:rPr>
        <w:t>-08-13 dated March 11, 2008.</w:t>
      </w:r>
      <w:bookmarkEnd w:id="1"/>
      <w:r w:rsidRPr="00F23208">
        <w:rPr>
          <w:rFonts w:ascii="Arial" w:hAnsi="Arial" w:cs="Arial"/>
        </w:rPr>
        <w:t xml:space="preserve"> </w:t>
      </w:r>
    </w:p>
    <w:p w:rsidRPr="002D4957" w:rsidR="0085425C" w:rsidP="00B72D8A" w:rsidRDefault="0085425C" w14:paraId="57B52041" w14:textId="77777777">
      <w:pPr>
        <w:spacing w:before="7" w:line="200" w:lineRule="exact"/>
        <w:rPr>
          <w:rFonts w:ascii="Arial" w:hAnsi="Arial" w:cs="Arial"/>
        </w:rPr>
      </w:pPr>
    </w:p>
    <w:p w:rsidRPr="002D4957" w:rsidR="00B72D8A" w:rsidP="00B72D8A" w:rsidRDefault="00B72D8A" w14:paraId="5AA332BB" w14:textId="77777777">
      <w:pPr>
        <w:tabs>
          <w:tab w:val="left" w:pos="360"/>
          <w:tab w:val="left" w:pos="720"/>
        </w:tabs>
        <w:rPr>
          <w:rFonts w:ascii="Arial" w:hAnsi="Arial" w:cs="Arial"/>
        </w:rPr>
      </w:pPr>
      <w:r w:rsidRPr="002D4957">
        <w:rPr>
          <w:rFonts w:ascii="Arial" w:hAnsi="Arial" w:cs="Arial"/>
          <w:u w:val="single"/>
        </w:rPr>
        <w:t>The following data is for clause 852.228-71, Indemnification and Insurance</w:t>
      </w:r>
      <w:r w:rsidRPr="002D4957">
        <w:rPr>
          <w:rFonts w:ascii="Arial" w:hAnsi="Arial" w:cs="Arial"/>
        </w:rPr>
        <w:t>:</w:t>
      </w:r>
    </w:p>
    <w:p w:rsidRPr="002D4957" w:rsidR="00B72D8A" w:rsidP="00B72D8A" w:rsidRDefault="00B72D8A" w14:paraId="41DE16F6" w14:textId="77777777">
      <w:pPr>
        <w:spacing w:before="7" w:line="200" w:lineRule="exact"/>
        <w:rPr>
          <w:rFonts w:ascii="Arial" w:hAnsi="Arial" w:cs="Arial"/>
        </w:rPr>
      </w:pP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1890"/>
      </w:tblGrid>
      <w:tr w:rsidRPr="002D4957" w:rsidR="00B72D8A" w:rsidTr="007A5FD2" w14:paraId="7DC00C8B" w14:textId="77777777">
        <w:trPr>
          <w:trHeight w:val="583" w:hRule="exact"/>
        </w:trPr>
        <w:tc>
          <w:tcPr>
            <w:tcW w:w="1394" w:type="dxa"/>
            <w:tcBorders>
              <w:top w:val="single" w:color="000000" w:sz="6" w:space="0"/>
              <w:left w:val="single" w:color="000000" w:sz="6" w:space="0"/>
              <w:bottom w:val="single" w:color="000000" w:sz="6" w:space="0"/>
              <w:right w:val="single" w:color="000000" w:sz="6" w:space="0"/>
            </w:tcBorders>
            <w:vAlign w:val="center"/>
          </w:tcPr>
          <w:p w:rsidRPr="002D4957" w:rsidR="00B72D8A" w:rsidP="007A5FD2" w:rsidRDefault="00B72D8A" w14:paraId="0023ABD8" w14:textId="77777777">
            <w:pPr>
              <w:ind w:left="176"/>
              <w:rPr>
                <w:rFonts w:ascii="Arial" w:hAnsi="Arial" w:eastAsia="Arial" w:cs="Arial"/>
              </w:rPr>
            </w:pPr>
            <w:r w:rsidRPr="002D4957">
              <w:rPr>
                <w:rFonts w:ascii="Arial" w:hAnsi="Arial" w:eastAsia="Arial" w:cs="Arial"/>
              </w:rPr>
              <w:t>No. of respondents</w:t>
            </w:r>
          </w:p>
        </w:tc>
        <w:tc>
          <w:tcPr>
            <w:tcW w:w="1890" w:type="dxa"/>
            <w:tcBorders>
              <w:top w:val="single" w:color="000000" w:sz="6" w:space="0"/>
              <w:left w:val="single" w:color="000000" w:sz="6" w:space="0"/>
              <w:bottom w:val="single" w:color="000000" w:sz="6" w:space="0"/>
              <w:right w:val="single" w:color="000000" w:sz="6" w:space="0"/>
            </w:tcBorders>
            <w:vAlign w:val="center"/>
          </w:tcPr>
          <w:p w:rsidRPr="002D4957" w:rsidR="00B72D8A" w:rsidP="007A5FD2" w:rsidRDefault="00B72D8A" w14:paraId="73843417" w14:textId="77777777">
            <w:pPr>
              <w:ind w:left="176"/>
              <w:rPr>
                <w:rFonts w:ascii="Arial" w:hAnsi="Arial" w:eastAsia="Arial" w:cs="Arial"/>
              </w:rPr>
            </w:pPr>
            <w:r w:rsidRPr="002D4957">
              <w:rPr>
                <w:rFonts w:ascii="Arial" w:hAnsi="Arial" w:eastAsia="Arial" w:cs="Arial"/>
              </w:rPr>
              <w:t>x No. of responses</w:t>
            </w:r>
          </w:p>
        </w:tc>
        <w:tc>
          <w:tcPr>
            <w:tcW w:w="28" w:type="dxa"/>
            <w:vMerge w:val="restart"/>
            <w:tcBorders>
              <w:top w:val="single" w:color="000000" w:sz="6" w:space="0"/>
              <w:left w:val="single" w:color="000000" w:sz="6" w:space="0"/>
              <w:right w:val="nil"/>
            </w:tcBorders>
            <w:vAlign w:val="center"/>
          </w:tcPr>
          <w:p w:rsidRPr="002D4957" w:rsidR="00B72D8A" w:rsidP="007A5FD2" w:rsidRDefault="00B72D8A" w14:paraId="31CF4028" w14:textId="77777777">
            <w:pPr>
              <w:ind w:left="176"/>
              <w:rPr>
                <w:rFonts w:ascii="Arial" w:hAnsi="Arial" w:eastAsia="Arial" w:cs="Arial"/>
              </w:rPr>
            </w:pPr>
          </w:p>
        </w:tc>
        <w:tc>
          <w:tcPr>
            <w:tcW w:w="1355" w:type="dxa"/>
            <w:tcBorders>
              <w:top w:val="single" w:color="000000" w:sz="6" w:space="0"/>
              <w:left w:val="nil"/>
              <w:bottom w:val="single" w:color="000000" w:sz="3" w:space="0"/>
              <w:right w:val="single" w:color="000000" w:sz="6" w:space="0"/>
            </w:tcBorders>
            <w:vAlign w:val="center"/>
          </w:tcPr>
          <w:p w:rsidRPr="002D4957" w:rsidR="00B72D8A" w:rsidP="007A5FD2" w:rsidRDefault="00B72D8A" w14:paraId="76DD12AC" w14:textId="77777777">
            <w:pPr>
              <w:ind w:left="176"/>
              <w:rPr>
                <w:rFonts w:ascii="Arial" w:hAnsi="Arial" w:eastAsia="Arial" w:cs="Arial"/>
              </w:rPr>
            </w:pPr>
            <w:r w:rsidRPr="002D4957">
              <w:rPr>
                <w:rFonts w:ascii="Arial" w:hAnsi="Arial" w:eastAsia="Arial" w:cs="Arial"/>
              </w:rPr>
              <w:t>x No. of minutes</w:t>
            </w:r>
          </w:p>
        </w:tc>
        <w:tc>
          <w:tcPr>
            <w:tcW w:w="1137" w:type="dxa"/>
            <w:vMerge w:val="restart"/>
            <w:tcBorders>
              <w:top w:val="single" w:color="000000" w:sz="6" w:space="0"/>
              <w:left w:val="single" w:color="000000" w:sz="6" w:space="0"/>
              <w:right w:val="single" w:color="000000" w:sz="6" w:space="0"/>
            </w:tcBorders>
            <w:vAlign w:val="center"/>
          </w:tcPr>
          <w:p w:rsidRPr="002D4957" w:rsidR="00B72D8A" w:rsidP="007A5FD2" w:rsidRDefault="00B72D8A" w14:paraId="1A225004" w14:textId="77777777">
            <w:pPr>
              <w:ind w:left="176"/>
              <w:rPr>
                <w:rFonts w:ascii="Arial" w:hAnsi="Arial" w:eastAsia="Arial" w:cs="Arial"/>
              </w:rPr>
            </w:pPr>
          </w:p>
          <w:p w:rsidRPr="002D4957" w:rsidR="00B72D8A" w:rsidP="007A5FD2" w:rsidRDefault="00B72D8A" w14:paraId="316462ED" w14:textId="77777777">
            <w:pPr>
              <w:ind w:left="176"/>
              <w:rPr>
                <w:rFonts w:ascii="Arial" w:hAnsi="Arial" w:eastAsia="Arial" w:cs="Arial"/>
              </w:rPr>
            </w:pPr>
            <w:r w:rsidRPr="002D4957">
              <w:rPr>
                <w:rFonts w:ascii="Arial" w:hAnsi="Arial" w:eastAsia="Arial" w:cs="Arial"/>
              </w:rPr>
              <w:t>÷by 60</w:t>
            </w:r>
          </w:p>
          <w:p w:rsidRPr="002D4957" w:rsidR="00B72D8A" w:rsidP="007A5FD2" w:rsidRDefault="00B72D8A" w14:paraId="7333DDC9" w14:textId="77777777">
            <w:pPr>
              <w:ind w:left="176"/>
              <w:rPr>
                <w:rFonts w:ascii="Arial" w:hAnsi="Arial" w:eastAsia="Arial" w:cs="Arial"/>
              </w:rPr>
            </w:pPr>
          </w:p>
        </w:tc>
        <w:tc>
          <w:tcPr>
            <w:tcW w:w="1890" w:type="dxa"/>
            <w:tcBorders>
              <w:top w:val="single" w:color="000000" w:sz="6" w:space="0"/>
              <w:left w:val="single" w:color="000000" w:sz="6" w:space="0"/>
              <w:bottom w:val="single" w:color="000000" w:sz="3" w:space="0"/>
              <w:right w:val="single" w:color="000000" w:sz="6" w:space="0"/>
            </w:tcBorders>
            <w:vAlign w:val="center"/>
          </w:tcPr>
          <w:p w:rsidRPr="002D4957" w:rsidR="00B72D8A" w:rsidP="007A5FD2" w:rsidRDefault="00B72D8A" w14:paraId="27D050FF" w14:textId="77777777">
            <w:pPr>
              <w:ind w:left="176"/>
              <w:rPr>
                <w:rFonts w:ascii="Arial" w:hAnsi="Arial" w:eastAsia="Arial" w:cs="Arial"/>
              </w:rPr>
            </w:pPr>
            <w:r w:rsidRPr="002D4957">
              <w:rPr>
                <w:rFonts w:ascii="Arial" w:hAnsi="Arial" w:eastAsia="Arial" w:cs="Arial"/>
              </w:rPr>
              <w:lastRenderedPageBreak/>
              <w:t>Number of Burden Hours</w:t>
            </w:r>
          </w:p>
        </w:tc>
      </w:tr>
      <w:tr w:rsidRPr="002D4957" w:rsidR="00B72D8A" w:rsidTr="007A5FD2" w14:paraId="6B4BD72B" w14:textId="77777777">
        <w:trPr>
          <w:trHeight w:val="846" w:hRule="exact"/>
        </w:trPr>
        <w:tc>
          <w:tcPr>
            <w:tcW w:w="1394" w:type="dxa"/>
            <w:tcBorders>
              <w:top w:val="single" w:color="000000" w:sz="6" w:space="0"/>
              <w:left w:val="single" w:color="000000" w:sz="6" w:space="0"/>
              <w:bottom w:val="single" w:color="000000" w:sz="3" w:space="0"/>
              <w:right w:val="single" w:color="000000" w:sz="6" w:space="0"/>
            </w:tcBorders>
            <w:vAlign w:val="center"/>
          </w:tcPr>
          <w:p w:rsidRPr="002D4957" w:rsidR="00B72D8A" w:rsidP="007A5FD2" w:rsidRDefault="00B72D8A" w14:paraId="4BAE1C64" w14:textId="77777777">
            <w:pPr>
              <w:ind w:left="176"/>
              <w:rPr>
                <w:rFonts w:ascii="Arial" w:hAnsi="Arial" w:eastAsia="Arial" w:cs="Arial"/>
              </w:rPr>
            </w:pPr>
            <w:r w:rsidRPr="002D4957">
              <w:rPr>
                <w:rFonts w:ascii="Arial" w:hAnsi="Arial" w:eastAsia="Arial" w:cs="Arial"/>
              </w:rPr>
              <w:lastRenderedPageBreak/>
              <w:t xml:space="preserve"> 500</w:t>
            </w:r>
          </w:p>
        </w:tc>
        <w:tc>
          <w:tcPr>
            <w:tcW w:w="1890" w:type="dxa"/>
            <w:tcBorders>
              <w:top w:val="single" w:color="000000" w:sz="6" w:space="0"/>
              <w:left w:val="single" w:color="000000" w:sz="6" w:space="0"/>
              <w:bottom w:val="single" w:color="000000" w:sz="3" w:space="0"/>
              <w:right w:val="single" w:color="000000" w:sz="6" w:space="0"/>
            </w:tcBorders>
            <w:vAlign w:val="center"/>
          </w:tcPr>
          <w:p w:rsidRPr="002D4957" w:rsidR="00B72D8A" w:rsidP="007A5FD2" w:rsidRDefault="00B72D8A" w14:paraId="718417BE" w14:textId="77777777">
            <w:pPr>
              <w:ind w:left="176"/>
              <w:rPr>
                <w:rFonts w:ascii="Arial" w:hAnsi="Arial" w:eastAsia="Arial" w:cs="Arial"/>
              </w:rPr>
            </w:pPr>
            <w:r w:rsidRPr="002D4957">
              <w:rPr>
                <w:rFonts w:ascii="Arial" w:hAnsi="Arial" w:eastAsia="Arial" w:cs="Arial"/>
              </w:rPr>
              <w:t xml:space="preserve">1 per each contract awarded </w:t>
            </w:r>
          </w:p>
        </w:tc>
        <w:tc>
          <w:tcPr>
            <w:tcW w:w="28" w:type="dxa"/>
            <w:vMerge/>
            <w:tcBorders>
              <w:left w:val="single" w:color="000000" w:sz="6" w:space="0"/>
              <w:bottom w:val="single" w:color="000000" w:sz="3" w:space="0"/>
              <w:right w:val="nil"/>
            </w:tcBorders>
            <w:vAlign w:val="center"/>
          </w:tcPr>
          <w:p w:rsidRPr="002D4957" w:rsidR="00B72D8A" w:rsidP="007A5FD2" w:rsidRDefault="00B72D8A" w14:paraId="738FD80B" w14:textId="77777777">
            <w:pPr>
              <w:ind w:left="176"/>
              <w:rPr>
                <w:rFonts w:ascii="Arial" w:hAnsi="Arial" w:eastAsia="Arial" w:cs="Arial"/>
              </w:rPr>
            </w:pPr>
          </w:p>
        </w:tc>
        <w:tc>
          <w:tcPr>
            <w:tcW w:w="1355" w:type="dxa"/>
            <w:tcBorders>
              <w:top w:val="single" w:color="000000" w:sz="3" w:space="0"/>
              <w:left w:val="nil"/>
              <w:bottom w:val="single" w:color="000000" w:sz="3" w:space="0"/>
              <w:right w:val="single" w:color="000000" w:sz="6" w:space="0"/>
            </w:tcBorders>
            <w:vAlign w:val="center"/>
          </w:tcPr>
          <w:p w:rsidRPr="002D4957" w:rsidR="00B72D8A" w:rsidP="007A5FD2" w:rsidRDefault="00B72D8A" w14:paraId="7060204B" w14:textId="77777777">
            <w:pPr>
              <w:ind w:left="176"/>
              <w:rPr>
                <w:rFonts w:ascii="Arial" w:hAnsi="Arial" w:eastAsia="Arial" w:cs="Arial"/>
              </w:rPr>
            </w:pPr>
            <w:r w:rsidRPr="002D4957">
              <w:rPr>
                <w:rFonts w:ascii="Arial" w:hAnsi="Arial" w:eastAsia="Arial" w:cs="Arial"/>
              </w:rPr>
              <w:t>30</w:t>
            </w:r>
          </w:p>
        </w:tc>
        <w:tc>
          <w:tcPr>
            <w:tcW w:w="1137" w:type="dxa"/>
            <w:vMerge/>
            <w:tcBorders>
              <w:left w:val="single" w:color="000000" w:sz="6" w:space="0"/>
              <w:bottom w:val="single" w:color="000000" w:sz="3" w:space="0"/>
              <w:right w:val="single" w:color="000000" w:sz="6" w:space="0"/>
            </w:tcBorders>
            <w:vAlign w:val="center"/>
          </w:tcPr>
          <w:p w:rsidRPr="002D4957" w:rsidR="00B72D8A" w:rsidP="007A5FD2" w:rsidRDefault="00B72D8A" w14:paraId="32C3D8A7" w14:textId="77777777">
            <w:pPr>
              <w:ind w:left="176"/>
              <w:rPr>
                <w:rFonts w:ascii="Arial" w:hAnsi="Arial" w:eastAsia="Arial" w:cs="Arial"/>
              </w:rPr>
            </w:pPr>
          </w:p>
        </w:tc>
        <w:tc>
          <w:tcPr>
            <w:tcW w:w="1890" w:type="dxa"/>
            <w:tcBorders>
              <w:top w:val="single" w:color="000000" w:sz="3" w:space="0"/>
              <w:left w:val="single" w:color="000000" w:sz="6" w:space="0"/>
              <w:bottom w:val="single" w:color="000000" w:sz="3" w:space="0"/>
              <w:right w:val="single" w:color="000000" w:sz="6" w:space="0"/>
            </w:tcBorders>
            <w:vAlign w:val="center"/>
          </w:tcPr>
          <w:p w:rsidRPr="002D4957" w:rsidR="00B72D8A" w:rsidP="007A5FD2" w:rsidRDefault="00B72D8A" w14:paraId="1E5B5ECE" w14:textId="77777777">
            <w:pPr>
              <w:ind w:left="176"/>
              <w:rPr>
                <w:rFonts w:ascii="Arial" w:hAnsi="Arial" w:eastAsia="Arial" w:cs="Arial"/>
              </w:rPr>
            </w:pPr>
          </w:p>
          <w:p w:rsidRPr="002D4957" w:rsidR="00B72D8A" w:rsidP="007A5FD2" w:rsidRDefault="00B72D8A" w14:paraId="3250BA09" w14:textId="77777777">
            <w:pPr>
              <w:ind w:left="176"/>
              <w:rPr>
                <w:rFonts w:ascii="Arial" w:hAnsi="Arial" w:eastAsia="Arial" w:cs="Arial"/>
              </w:rPr>
            </w:pPr>
            <w:r w:rsidRPr="002D4957">
              <w:rPr>
                <w:rFonts w:ascii="Arial" w:hAnsi="Arial" w:eastAsia="Arial" w:cs="Arial"/>
              </w:rPr>
              <w:t>250</w:t>
            </w:r>
          </w:p>
          <w:p w:rsidRPr="002D4957" w:rsidR="00B72D8A" w:rsidP="007A5FD2" w:rsidRDefault="00B72D8A" w14:paraId="5DFDC3C2" w14:textId="77777777">
            <w:pPr>
              <w:ind w:left="176"/>
              <w:rPr>
                <w:rFonts w:ascii="Arial" w:hAnsi="Arial" w:eastAsia="Arial" w:cs="Arial"/>
              </w:rPr>
            </w:pPr>
          </w:p>
        </w:tc>
      </w:tr>
    </w:tbl>
    <w:p w:rsidRPr="002D4957" w:rsidR="00B72D8A" w:rsidP="00B72D8A" w:rsidRDefault="00B72D8A" w14:paraId="578A89D3" w14:textId="77777777">
      <w:pPr>
        <w:spacing w:before="7" w:line="200" w:lineRule="exact"/>
        <w:rPr>
          <w:rFonts w:ascii="Arial" w:hAnsi="Arial" w:cs="Arial"/>
        </w:rPr>
      </w:pPr>
    </w:p>
    <w:p w:rsidRPr="00F23208" w:rsidR="00FC7597" w:rsidP="00FC7597" w:rsidRDefault="00211FEE" w14:paraId="63EBCB76" w14:textId="4AD38EE8">
      <w:pPr>
        <w:tabs>
          <w:tab w:val="left" w:pos="360"/>
          <w:tab w:val="left" w:pos="720"/>
        </w:tabs>
        <w:rPr>
          <w:rFonts w:ascii="Arial" w:hAnsi="Arial" w:cs="Arial"/>
        </w:rPr>
      </w:pPr>
      <w:r w:rsidRPr="00F23208">
        <w:rPr>
          <w:rFonts w:ascii="Arial" w:hAnsi="Arial" w:cs="Arial"/>
        </w:rPr>
        <w:t>Estimated annualized cost:  $</w:t>
      </w:r>
      <w:r w:rsidR="00D77872">
        <w:rPr>
          <w:rFonts w:ascii="Arial" w:hAnsi="Arial" w:cs="Arial"/>
        </w:rPr>
        <w:t>7,187.50</w:t>
      </w:r>
      <w:r w:rsidRPr="00F23208">
        <w:rPr>
          <w:rFonts w:ascii="Arial" w:hAnsi="Arial" w:cs="Arial"/>
        </w:rPr>
        <w:t xml:space="preserve"> (250 hours at $</w:t>
      </w:r>
      <w:r w:rsidR="00D77872">
        <w:rPr>
          <w:rFonts w:ascii="Arial" w:hAnsi="Arial" w:cs="Arial"/>
        </w:rPr>
        <w:t>28.75</w:t>
      </w:r>
      <w:r w:rsidRPr="00F23208">
        <w:rPr>
          <w:rFonts w:ascii="Arial" w:hAnsi="Arial" w:cs="Arial"/>
        </w:rPr>
        <w:t xml:space="preserve"> per hour.  This is based on the Bureau of Labor Statistics May 20</w:t>
      </w:r>
      <w:r w:rsidR="0055200C">
        <w:rPr>
          <w:rFonts w:ascii="Arial" w:hAnsi="Arial" w:cs="Arial"/>
        </w:rPr>
        <w:t>20</w:t>
      </w:r>
      <w:r w:rsidRPr="00F23208">
        <w:rPr>
          <w:rFonts w:ascii="Arial" w:hAnsi="Arial" w:cs="Arial"/>
        </w:rPr>
        <w:t xml:space="preserve"> Occupational Employment and Wages code 43-4199, Information and Record Clerks (</w:t>
      </w:r>
      <w:hyperlink w:history="1" r:id="rId7">
        <w:r w:rsidRPr="0081520B" w:rsidR="0081520B">
          <w:rPr>
            <w:rStyle w:val="Hyperlink"/>
            <w:rFonts w:ascii="Arial" w:hAnsi="Arial" w:cs="Arial"/>
          </w:rPr>
          <w:t>https://www.bls.gov/oes/current/oes434199.htm</w:t>
        </w:r>
      </w:hyperlink>
      <w:r w:rsidRPr="0081520B" w:rsidR="0081520B">
        <w:rPr>
          <w:rFonts w:ascii="Arial" w:hAnsi="Arial" w:cs="Arial"/>
        </w:rPr>
        <w:t xml:space="preserve"> </w:t>
      </w:r>
      <w:r w:rsidRPr="0081520B">
        <w:rPr>
          <w:rFonts w:ascii="Arial" w:hAnsi="Arial" w:cs="Arial"/>
        </w:rPr>
        <w:t>)</w:t>
      </w:r>
      <w:r w:rsidRPr="00F23208">
        <w:rPr>
          <w:rFonts w:ascii="Arial" w:hAnsi="Arial" w:cs="Arial"/>
        </w:rPr>
        <w:t xml:space="preserve"> </w:t>
      </w:r>
      <w:r w:rsidR="00D77872">
        <w:rPr>
          <w:rFonts w:ascii="Arial" w:hAnsi="Arial" w:cs="Arial"/>
        </w:rPr>
        <w:t xml:space="preserve">Mean Hourly Wage </w:t>
      </w:r>
      <w:r w:rsidRPr="00F23208" w:rsidR="00D77872">
        <w:rPr>
          <w:rFonts w:ascii="Arial" w:hAnsi="Arial" w:cs="Arial"/>
        </w:rPr>
        <w:t>of $</w:t>
      </w:r>
      <w:r w:rsidR="00D77872">
        <w:rPr>
          <w:rFonts w:ascii="Arial" w:hAnsi="Arial" w:cs="Arial"/>
        </w:rPr>
        <w:t xml:space="preserve">21.10 </w:t>
      </w:r>
      <w:r w:rsidR="00FC7597">
        <w:rPr>
          <w:rFonts w:ascii="Arial" w:hAnsi="Arial" w:cs="Arial"/>
        </w:rPr>
        <w:t xml:space="preserve"> </w:t>
      </w:r>
      <w:bookmarkStart w:name="_Hlk79565271" w:id="2"/>
      <w:r w:rsidR="00FC7597">
        <w:rPr>
          <w:rFonts w:ascii="Arial" w:hAnsi="Arial" w:cs="Arial"/>
        </w:rPr>
        <w:t xml:space="preserve">plus 36.25% fringe benefits per </w:t>
      </w:r>
      <w:r w:rsidRPr="00FC7597" w:rsidR="00FC7597">
        <w:rPr>
          <w:rFonts w:ascii="Arial" w:hAnsi="Arial" w:cs="Arial"/>
        </w:rPr>
        <w:t xml:space="preserve">OMB Memo </w:t>
      </w:r>
      <w:r w:rsidR="00B13EEC">
        <w:rPr>
          <w:rFonts w:ascii="Arial" w:hAnsi="Arial" w:cs="Arial"/>
        </w:rPr>
        <w:t>M</w:t>
      </w:r>
      <w:r w:rsidRPr="00FC7597" w:rsidR="00FC7597">
        <w:rPr>
          <w:rFonts w:ascii="Arial" w:hAnsi="Arial" w:cs="Arial"/>
        </w:rPr>
        <w:t>-08-13 dated March 11, 2008</w:t>
      </w:r>
      <w:bookmarkEnd w:id="2"/>
      <w:r w:rsidRPr="00FC7597" w:rsidR="00FC7597">
        <w:rPr>
          <w:rFonts w:ascii="Arial" w:hAnsi="Arial" w:cs="Arial"/>
        </w:rPr>
        <w:t>.</w:t>
      </w:r>
      <w:r w:rsidRPr="00F23208" w:rsidR="00FC7597">
        <w:rPr>
          <w:rFonts w:ascii="Arial" w:hAnsi="Arial" w:cs="Arial"/>
        </w:rPr>
        <w:t xml:space="preserve"> </w:t>
      </w:r>
    </w:p>
    <w:p w:rsidRPr="006F7D1C" w:rsidR="00DB75AF" w:rsidP="00DB75AF" w:rsidRDefault="00211FEE" w14:paraId="510439C9" w14:textId="67E953FE">
      <w:pPr>
        <w:tabs>
          <w:tab w:val="left" w:pos="360"/>
          <w:tab w:val="left" w:pos="720"/>
        </w:tabs>
        <w:rPr>
          <w:rFonts w:ascii="Arial" w:hAnsi="Arial" w:cs="Arial"/>
        </w:rPr>
      </w:pPr>
      <w:r w:rsidRPr="0085425C">
        <w:rPr>
          <w:rFonts w:ascii="Arial" w:hAnsi="Arial" w:cs="Arial"/>
        </w:rPr>
        <w:t xml:space="preserve"> </w:t>
      </w:r>
    </w:p>
    <w:p w:rsidR="002B4534" w:rsidP="006F7D1C" w:rsidRDefault="00526D03" w14:paraId="2A29B5A7" w14:textId="77777777">
      <w:pPr>
        <w:tabs>
          <w:tab w:val="left" w:pos="360"/>
          <w:tab w:val="left" w:pos="720"/>
        </w:tabs>
        <w:rPr>
          <w:rFonts w:ascii="Arial" w:hAnsi="Arial" w:cs="Arial"/>
        </w:rPr>
      </w:pPr>
      <w:r>
        <w:rPr>
          <w:rFonts w:ascii="Arial" w:hAnsi="Arial" w:cs="Arial"/>
        </w:rPr>
        <w:t>Total estimated annual burden hours are 1,000.</w:t>
      </w:r>
    </w:p>
    <w:p w:rsidR="00526D03" w:rsidP="006F7D1C" w:rsidRDefault="00526D03" w14:paraId="1D2A9525" w14:textId="77777777">
      <w:pPr>
        <w:tabs>
          <w:tab w:val="left" w:pos="360"/>
          <w:tab w:val="left" w:pos="720"/>
        </w:tabs>
        <w:rPr>
          <w:rFonts w:ascii="Arial" w:hAnsi="Arial" w:cs="Arial"/>
        </w:rPr>
      </w:pPr>
      <w:r>
        <w:rPr>
          <w:rFonts w:ascii="Arial" w:hAnsi="Arial" w:cs="Arial"/>
        </w:rPr>
        <w:t>Total estimated annual number of respondents are 2,000.</w:t>
      </w:r>
    </w:p>
    <w:p w:rsidRPr="006F7D1C" w:rsidR="00526D03" w:rsidP="006F7D1C" w:rsidRDefault="00526D03" w14:paraId="05A87F3E" w14:textId="54AA5AA3">
      <w:pPr>
        <w:tabs>
          <w:tab w:val="left" w:pos="360"/>
          <w:tab w:val="left" w:pos="720"/>
        </w:tabs>
        <w:rPr>
          <w:rFonts w:ascii="Arial" w:hAnsi="Arial" w:cs="Arial"/>
        </w:rPr>
      </w:pPr>
      <w:r>
        <w:rPr>
          <w:rFonts w:ascii="Arial" w:hAnsi="Arial" w:cs="Arial"/>
        </w:rPr>
        <w:t xml:space="preserve">Total estimated annual cost </w:t>
      </w:r>
      <w:r w:rsidR="00D26848">
        <w:rPr>
          <w:rFonts w:ascii="Arial" w:hAnsi="Arial" w:cs="Arial"/>
        </w:rPr>
        <w:t>to respondents is $</w:t>
      </w:r>
      <w:r w:rsidR="00211FEE">
        <w:rPr>
          <w:rFonts w:ascii="Arial" w:hAnsi="Arial" w:cs="Arial"/>
        </w:rPr>
        <w:t>28,</w:t>
      </w:r>
      <w:r w:rsidR="0081520B">
        <w:rPr>
          <w:rFonts w:ascii="Arial" w:hAnsi="Arial" w:cs="Arial"/>
        </w:rPr>
        <w:t>7</w:t>
      </w:r>
      <w:r w:rsidR="007F6AEF">
        <w:rPr>
          <w:rFonts w:ascii="Arial" w:hAnsi="Arial" w:cs="Arial"/>
        </w:rPr>
        <w:t>5</w:t>
      </w:r>
      <w:r w:rsidR="0081520B">
        <w:rPr>
          <w:rFonts w:ascii="Arial" w:hAnsi="Arial" w:cs="Arial"/>
        </w:rPr>
        <w:t>0</w:t>
      </w:r>
      <w:r w:rsidR="00A81106">
        <w:rPr>
          <w:rFonts w:ascii="Arial" w:hAnsi="Arial" w:cs="Arial"/>
        </w:rPr>
        <w:t>.</w:t>
      </w:r>
    </w:p>
    <w:p w:rsidRPr="006F7D1C" w:rsidR="002B4534" w:rsidP="006F7D1C" w:rsidRDefault="002B4534" w14:paraId="2C2615FC" w14:textId="77777777">
      <w:pPr>
        <w:tabs>
          <w:tab w:val="left" w:pos="360"/>
          <w:tab w:val="left" w:pos="720"/>
        </w:tabs>
        <w:rPr>
          <w:rFonts w:ascii="Arial" w:hAnsi="Arial" w:cs="Arial"/>
        </w:rPr>
      </w:pPr>
      <w:r w:rsidRPr="006F7D1C">
        <w:rPr>
          <w:rFonts w:ascii="Arial" w:hAnsi="Arial" w:cs="Arial"/>
        </w:rPr>
        <w:tab/>
      </w:r>
    </w:p>
    <w:p w:rsidRPr="0092104A" w:rsidR="0092104A" w:rsidP="0092104A" w:rsidRDefault="0092104A" w14:paraId="4C2641AF" w14:textId="77777777">
      <w:pPr>
        <w:rPr>
          <w:rFonts w:ascii="Arial" w:hAnsi="Arial"/>
          <w:b/>
        </w:rPr>
      </w:pPr>
      <w:r w:rsidRPr="0092104A">
        <w:rPr>
          <w:rFonts w:ascii="Arial" w:hAnsi="Arial"/>
          <w:b/>
        </w:rPr>
        <w:t>13. Provide an estimate of the total annual cost burden to respondents or recordkeepers resulting from the collection of information.  (Do not include the cost of any hour burden shown in Items 12 and 14).</w:t>
      </w:r>
    </w:p>
    <w:p w:rsidRPr="006F7D1C" w:rsidR="002B4534" w:rsidP="006F7D1C" w:rsidRDefault="002B4534" w14:paraId="72B2A7F2" w14:textId="77777777">
      <w:pPr>
        <w:tabs>
          <w:tab w:val="left" w:pos="360"/>
          <w:tab w:val="left" w:pos="720"/>
        </w:tabs>
        <w:rPr>
          <w:rFonts w:ascii="Arial" w:hAnsi="Arial" w:cs="Arial"/>
        </w:rPr>
      </w:pPr>
    </w:p>
    <w:p w:rsidR="002B4534" w:rsidP="006F7D1C" w:rsidRDefault="002B4534" w14:paraId="4AE1D2CB" w14:textId="77777777">
      <w:pPr>
        <w:tabs>
          <w:tab w:val="left" w:pos="360"/>
          <w:tab w:val="left" w:pos="720"/>
        </w:tabs>
        <w:rPr>
          <w:rFonts w:ascii="Arial" w:hAnsi="Arial" w:cs="Arial"/>
        </w:rPr>
      </w:pPr>
      <w:r w:rsidRPr="006F7D1C">
        <w:rPr>
          <w:rFonts w:ascii="Arial" w:hAnsi="Arial" w:cs="Arial"/>
        </w:rPr>
        <w:tab/>
        <w:t>There are no capital costs or operating or maintenance costs.</w:t>
      </w:r>
      <w:r w:rsidR="00A81106">
        <w:rPr>
          <w:rFonts w:ascii="Arial" w:hAnsi="Arial" w:cs="Arial"/>
        </w:rPr>
        <w:t xml:space="preserve"> </w:t>
      </w:r>
      <w:r w:rsidRPr="006F7D1C">
        <w:rPr>
          <w:rFonts w:ascii="Arial" w:hAnsi="Arial" w:cs="Arial"/>
        </w:rPr>
        <w:t>Costs are not expected to vary widely.</w:t>
      </w:r>
      <w:r w:rsidR="00A81106">
        <w:rPr>
          <w:rFonts w:ascii="Arial" w:hAnsi="Arial" w:cs="Arial"/>
        </w:rPr>
        <w:t xml:space="preserve">  T</w:t>
      </w:r>
      <w:r w:rsidRPr="006F7D1C">
        <w:rPr>
          <w:rFonts w:ascii="Arial" w:hAnsi="Arial" w:cs="Arial"/>
        </w:rPr>
        <w:t>here are no equipment costs.</w:t>
      </w:r>
    </w:p>
    <w:p w:rsidRPr="006F7D1C" w:rsidR="00A81106" w:rsidP="006F7D1C" w:rsidRDefault="00A81106" w14:paraId="54609488" w14:textId="77777777">
      <w:pPr>
        <w:tabs>
          <w:tab w:val="left" w:pos="360"/>
          <w:tab w:val="left" w:pos="720"/>
        </w:tabs>
        <w:rPr>
          <w:rFonts w:ascii="Arial" w:hAnsi="Arial" w:cs="Arial"/>
        </w:rPr>
      </w:pPr>
    </w:p>
    <w:p w:rsidRPr="0092104A" w:rsidR="0092104A" w:rsidP="0092104A" w:rsidRDefault="0092104A" w14:paraId="182EF6A2" w14:textId="77777777">
      <w:pPr>
        <w:tabs>
          <w:tab w:val="left" w:pos="360"/>
          <w:tab w:val="left" w:pos="720"/>
        </w:tabs>
        <w:rPr>
          <w:rFonts w:ascii="Arial" w:hAnsi="Arial" w:cs="Arial"/>
          <w:b/>
        </w:rPr>
      </w:pPr>
      <w:r w:rsidRPr="0092104A">
        <w:rPr>
          <w:rFonts w:ascii="Arial" w:hAnsi="Arial" w:cs="Arial"/>
          <w:b/>
        </w:rPr>
        <w:t>14.</w:t>
      </w:r>
      <w:r w:rsidRPr="0092104A">
        <w:rPr>
          <w:rFonts w:ascii="Arial" w:hAnsi="Arial" w:cs="Arial"/>
          <w:b/>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6F7D1C" w:rsidR="002B4534" w:rsidP="006F7D1C" w:rsidRDefault="002B4534" w14:paraId="5CB8546E" w14:textId="77777777">
      <w:pPr>
        <w:tabs>
          <w:tab w:val="left" w:pos="360"/>
          <w:tab w:val="left" w:pos="720"/>
        </w:tabs>
        <w:rPr>
          <w:rFonts w:ascii="Arial" w:hAnsi="Arial" w:cs="Arial"/>
        </w:rPr>
      </w:pPr>
    </w:p>
    <w:p w:rsidRPr="005F5203" w:rsidR="00211FEE" w:rsidP="00211FEE" w:rsidRDefault="00211FEE" w14:paraId="268BE6EA" w14:textId="42451BA3">
      <w:pPr>
        <w:rPr>
          <w:rFonts w:ascii="Arial" w:hAnsi="Arial" w:eastAsia="Arial" w:cs="Arial"/>
        </w:rPr>
      </w:pPr>
      <w:r w:rsidRPr="005F5203">
        <w:rPr>
          <w:rFonts w:ascii="Arial" w:hAnsi="Arial" w:cs="Arial"/>
        </w:rPr>
        <w:t xml:space="preserve">For clause 852.237-70, Indemnification and Medical Liability Insurance, </w:t>
      </w:r>
      <w:r w:rsidRPr="005F5203">
        <w:rPr>
          <w:rFonts w:ascii="Arial" w:hAnsi="Arial" w:eastAsia="Arial" w:cs="Arial"/>
        </w:rPr>
        <w:t xml:space="preserve">Estimated annualized cost to the Government:  </w:t>
      </w:r>
      <w:r w:rsidRPr="004D52DE">
        <w:rPr>
          <w:rFonts w:ascii="Arial" w:hAnsi="Arial" w:eastAsia="Arial" w:cs="Arial"/>
        </w:rPr>
        <w:t>$</w:t>
      </w:r>
      <w:r w:rsidR="00A25F40">
        <w:rPr>
          <w:rFonts w:ascii="Arial" w:hAnsi="Arial" w:eastAsia="Arial" w:cs="Arial"/>
        </w:rPr>
        <w:t>30,</w:t>
      </w:r>
      <w:r w:rsidR="00027DAF">
        <w:rPr>
          <w:rFonts w:ascii="Arial" w:hAnsi="Arial" w:eastAsia="Arial" w:cs="Arial"/>
        </w:rPr>
        <w:t>922.50</w:t>
      </w:r>
      <w:r w:rsidRPr="004D52DE">
        <w:rPr>
          <w:rFonts w:ascii="Arial" w:hAnsi="Arial" w:eastAsia="Arial" w:cs="Arial"/>
        </w:rPr>
        <w:t xml:space="preserve"> (750 hours at $ </w:t>
      </w:r>
      <w:r w:rsidR="00027DAF">
        <w:rPr>
          <w:rFonts w:ascii="Arial" w:hAnsi="Arial" w:eastAsia="Arial" w:cs="Arial"/>
        </w:rPr>
        <w:t>41.23</w:t>
      </w:r>
      <w:r w:rsidRPr="004D52DE">
        <w:rPr>
          <w:rFonts w:ascii="Arial" w:hAnsi="Arial" w:eastAsia="Arial" w:cs="Arial"/>
        </w:rPr>
        <w:t xml:space="preserve"> per hour)</w:t>
      </w:r>
      <w:r>
        <w:rPr>
          <w:rFonts w:ascii="Arial" w:hAnsi="Arial" w:eastAsia="Arial" w:cs="Arial"/>
        </w:rPr>
        <w:t>.</w:t>
      </w:r>
      <w:r w:rsidRPr="005F5203">
        <w:rPr>
          <w:rFonts w:ascii="Arial" w:hAnsi="Arial" w:eastAsia="Arial" w:cs="Arial"/>
        </w:rPr>
        <w:t xml:space="preserve">  It is estimated that the review and statement will be prepared by a Journeyman Contract Specialist equivalent to a GS-11.  Based on </w:t>
      </w:r>
      <w:r>
        <w:rPr>
          <w:rFonts w:ascii="Arial" w:hAnsi="Arial" w:eastAsia="Arial" w:cs="Arial"/>
        </w:rPr>
        <w:t>OPM 20</w:t>
      </w:r>
      <w:r w:rsidR="0081520B">
        <w:rPr>
          <w:rFonts w:ascii="Arial" w:hAnsi="Arial" w:eastAsia="Arial" w:cs="Arial"/>
        </w:rPr>
        <w:t>2</w:t>
      </w:r>
      <w:r w:rsidR="00027DAF">
        <w:rPr>
          <w:rFonts w:ascii="Arial" w:hAnsi="Arial" w:eastAsia="Arial" w:cs="Arial"/>
        </w:rPr>
        <w:t>1</w:t>
      </w:r>
      <w:r>
        <w:rPr>
          <w:rFonts w:ascii="Arial" w:hAnsi="Arial" w:eastAsia="Arial" w:cs="Arial"/>
        </w:rPr>
        <w:t xml:space="preserve"> General Schedule </w:t>
      </w:r>
      <w:r w:rsidRPr="0081520B">
        <w:rPr>
          <w:rFonts w:ascii="Arial" w:hAnsi="Arial" w:eastAsia="Arial" w:cs="Arial"/>
        </w:rPr>
        <w:t>(</w:t>
      </w:r>
      <w:hyperlink w:history="1" r:id="rId8">
        <w:r w:rsidR="00E747A3">
          <w:rPr>
            <w:rStyle w:val="Hyperlink"/>
          </w:rPr>
          <w:t>SALARY TABLE 2021-GS (opm.gov)</w:t>
        </w:r>
      </w:hyperlink>
      <w:r w:rsidRPr="0081520B">
        <w:rPr>
          <w:rFonts w:ascii="Arial" w:hAnsi="Arial" w:eastAsia="Arial" w:cs="Arial"/>
        </w:rPr>
        <w:t>)</w:t>
      </w:r>
      <w:r>
        <w:rPr>
          <w:rFonts w:ascii="Arial" w:hAnsi="Arial" w:eastAsia="Arial" w:cs="Arial"/>
        </w:rPr>
        <w:t xml:space="preserve"> of </w:t>
      </w:r>
      <w:r w:rsidRPr="005F5203">
        <w:rPr>
          <w:rFonts w:ascii="Arial" w:hAnsi="Arial" w:eastAsia="Arial" w:cs="Arial"/>
        </w:rPr>
        <w:t xml:space="preserve">a GS-11, step 5 salary, plus 36.25% per OMB Memo M-08-13 dated March 11, 2008.  The information is evaluated upon receipt.    </w:t>
      </w:r>
    </w:p>
    <w:p w:rsidR="002B4534" w:rsidP="006F7D1C" w:rsidRDefault="002B4534" w14:paraId="60266883" w14:textId="77777777">
      <w:pPr>
        <w:tabs>
          <w:tab w:val="left" w:pos="360"/>
          <w:tab w:val="left" w:pos="720"/>
        </w:tabs>
        <w:rPr>
          <w:rFonts w:ascii="Arial" w:hAnsi="Arial" w:cs="Arial"/>
        </w:rPr>
      </w:pPr>
    </w:p>
    <w:p w:rsidR="00211FEE" w:rsidP="00211FEE" w:rsidRDefault="00211FEE" w14:paraId="3C844AB3" w14:textId="142406A5">
      <w:pPr>
        <w:rPr>
          <w:rFonts w:ascii="Arial" w:hAnsi="Arial" w:eastAsia="Arial" w:cs="Arial"/>
        </w:rPr>
      </w:pPr>
      <w:r w:rsidRPr="005F5203">
        <w:rPr>
          <w:rFonts w:ascii="Arial" w:hAnsi="Arial" w:cs="Arial"/>
        </w:rPr>
        <w:t xml:space="preserve">For clause 852.228-71, Indemnification and Insurance, </w:t>
      </w:r>
      <w:r w:rsidRPr="005F5203">
        <w:rPr>
          <w:rFonts w:ascii="Arial" w:hAnsi="Arial" w:eastAsia="Arial" w:cs="Arial"/>
        </w:rPr>
        <w:t xml:space="preserve">Estimated annualized cost to the Government:  </w:t>
      </w:r>
      <w:r w:rsidRPr="004D52DE">
        <w:rPr>
          <w:rFonts w:ascii="Arial" w:hAnsi="Arial" w:eastAsia="Arial" w:cs="Arial"/>
        </w:rPr>
        <w:t>$</w:t>
      </w:r>
      <w:r w:rsidR="00A25F40">
        <w:rPr>
          <w:rFonts w:ascii="Arial" w:hAnsi="Arial" w:eastAsia="Arial" w:cs="Arial"/>
        </w:rPr>
        <w:t>10,</w:t>
      </w:r>
      <w:r w:rsidR="00027DAF">
        <w:rPr>
          <w:rFonts w:ascii="Arial" w:hAnsi="Arial" w:eastAsia="Arial" w:cs="Arial"/>
        </w:rPr>
        <w:t>307.50</w:t>
      </w:r>
      <w:r w:rsidRPr="004D52DE">
        <w:rPr>
          <w:rFonts w:ascii="Arial" w:hAnsi="Arial" w:eastAsia="Arial" w:cs="Arial"/>
        </w:rPr>
        <w:t xml:space="preserve"> (250 hours at $ </w:t>
      </w:r>
      <w:r w:rsidR="00027DAF">
        <w:rPr>
          <w:rFonts w:ascii="Arial" w:hAnsi="Arial" w:eastAsia="Arial" w:cs="Arial"/>
        </w:rPr>
        <w:t>41.23</w:t>
      </w:r>
      <w:r w:rsidRPr="004D52DE">
        <w:rPr>
          <w:rFonts w:ascii="Arial" w:hAnsi="Arial" w:eastAsia="Arial" w:cs="Arial"/>
        </w:rPr>
        <w:t xml:space="preserve"> per hour).</w:t>
      </w:r>
      <w:r w:rsidRPr="005F5203">
        <w:rPr>
          <w:rFonts w:ascii="Arial" w:hAnsi="Arial" w:eastAsia="Arial" w:cs="Arial"/>
        </w:rPr>
        <w:t xml:space="preserve">  It is estimated that the review and statement will be prepared by a Journeyman Contract Specialist equivalent to a GS-11.  Based on </w:t>
      </w:r>
      <w:r>
        <w:rPr>
          <w:rFonts w:ascii="Arial" w:hAnsi="Arial" w:eastAsia="Arial" w:cs="Arial"/>
        </w:rPr>
        <w:t>OPM 20</w:t>
      </w:r>
      <w:r w:rsidR="00A25F40">
        <w:rPr>
          <w:rFonts w:ascii="Arial" w:hAnsi="Arial" w:eastAsia="Arial" w:cs="Arial"/>
        </w:rPr>
        <w:t>2</w:t>
      </w:r>
      <w:r w:rsidR="00027DAF">
        <w:rPr>
          <w:rFonts w:ascii="Arial" w:hAnsi="Arial" w:eastAsia="Arial" w:cs="Arial"/>
        </w:rPr>
        <w:t>1</w:t>
      </w:r>
      <w:r>
        <w:rPr>
          <w:rFonts w:ascii="Arial" w:hAnsi="Arial" w:eastAsia="Arial" w:cs="Arial"/>
        </w:rPr>
        <w:t xml:space="preserve"> General Schedule (</w:t>
      </w:r>
      <w:hyperlink w:history="1" r:id="rId9">
        <w:r w:rsidR="00027DAF">
          <w:rPr>
            <w:rStyle w:val="Hyperlink"/>
          </w:rPr>
          <w:t>SALARY TABLE 2021-GS (opm.gov)</w:t>
        </w:r>
      </w:hyperlink>
      <w:r w:rsidR="00A25F40">
        <w:rPr>
          <w:rFonts w:ascii="Arial" w:hAnsi="Arial" w:eastAsia="Arial" w:cs="Arial"/>
        </w:rPr>
        <w:t xml:space="preserve"> </w:t>
      </w:r>
      <w:r>
        <w:rPr>
          <w:rFonts w:ascii="Arial" w:hAnsi="Arial" w:eastAsia="Arial" w:cs="Arial"/>
        </w:rPr>
        <w:t xml:space="preserve">) </w:t>
      </w:r>
      <w:r w:rsidRPr="005F5203">
        <w:rPr>
          <w:rFonts w:ascii="Arial" w:hAnsi="Arial" w:eastAsia="Arial" w:cs="Arial"/>
        </w:rPr>
        <w:t xml:space="preserve">a GS-11, step 5 salary, plus 36.25% per OMB Memo M-08-13 dated March 11, 2008.  The information is evaluated upon receipt.    </w:t>
      </w:r>
    </w:p>
    <w:p w:rsidR="000C2166" w:rsidP="00211FEE" w:rsidRDefault="000C2166" w14:paraId="3A327817" w14:textId="77777777">
      <w:pPr>
        <w:rPr>
          <w:rFonts w:ascii="Arial" w:hAnsi="Arial" w:eastAsia="Arial" w:cs="Arial"/>
        </w:rPr>
      </w:pPr>
    </w:p>
    <w:p w:rsidR="000C2166" w:rsidP="000C2166" w:rsidRDefault="000C2166" w14:paraId="3D35D3A3" w14:textId="77777777">
      <w:pPr>
        <w:tabs>
          <w:tab w:val="left" w:pos="360"/>
          <w:tab w:val="left" w:pos="720"/>
        </w:tabs>
        <w:rPr>
          <w:rFonts w:ascii="Arial" w:hAnsi="Arial" w:cs="Arial"/>
        </w:rPr>
      </w:pPr>
      <w:r>
        <w:rPr>
          <w:rFonts w:ascii="Arial" w:hAnsi="Arial" w:cs="Arial"/>
        </w:rPr>
        <w:t>Total estimated annual burden hours are 1,000.</w:t>
      </w:r>
    </w:p>
    <w:p w:rsidR="000C2166" w:rsidP="000C2166" w:rsidRDefault="000C2166" w14:paraId="5504E06A" w14:textId="77777777">
      <w:pPr>
        <w:tabs>
          <w:tab w:val="left" w:pos="360"/>
          <w:tab w:val="left" w:pos="720"/>
        </w:tabs>
        <w:rPr>
          <w:rFonts w:ascii="Arial" w:hAnsi="Arial" w:cs="Arial"/>
        </w:rPr>
      </w:pPr>
      <w:r>
        <w:rPr>
          <w:rFonts w:ascii="Arial" w:hAnsi="Arial" w:cs="Arial"/>
        </w:rPr>
        <w:t>Total estimated annual number of respondents are 2,000.</w:t>
      </w:r>
    </w:p>
    <w:p w:rsidRPr="000C2166" w:rsidR="000C2166" w:rsidP="000C2166" w:rsidRDefault="000C2166" w14:paraId="3722384C" w14:textId="3EFBF3C4">
      <w:pPr>
        <w:tabs>
          <w:tab w:val="left" w:pos="360"/>
          <w:tab w:val="left" w:pos="720"/>
        </w:tabs>
        <w:rPr>
          <w:rFonts w:ascii="Arial" w:hAnsi="Arial" w:cs="Arial"/>
        </w:rPr>
      </w:pPr>
      <w:r>
        <w:rPr>
          <w:rFonts w:ascii="Arial" w:hAnsi="Arial" w:cs="Arial"/>
        </w:rPr>
        <w:lastRenderedPageBreak/>
        <w:t>Total estimated annual cost to respondents is $4</w:t>
      </w:r>
      <w:r w:rsidR="00027DAF">
        <w:rPr>
          <w:rFonts w:ascii="Arial" w:hAnsi="Arial" w:cs="Arial"/>
        </w:rPr>
        <w:t>1</w:t>
      </w:r>
      <w:r>
        <w:rPr>
          <w:rFonts w:ascii="Arial" w:hAnsi="Arial" w:cs="Arial"/>
        </w:rPr>
        <w:t>,</w:t>
      </w:r>
      <w:r w:rsidR="00027DAF">
        <w:rPr>
          <w:rFonts w:ascii="Arial" w:hAnsi="Arial" w:cs="Arial"/>
        </w:rPr>
        <w:t>230</w:t>
      </w:r>
      <w:r>
        <w:rPr>
          <w:rFonts w:ascii="Arial" w:hAnsi="Arial" w:cs="Arial"/>
        </w:rPr>
        <w:t>.</w:t>
      </w:r>
    </w:p>
    <w:p w:rsidRPr="006F7D1C" w:rsidR="009C3527" w:rsidP="006F7D1C" w:rsidRDefault="009C3527" w14:paraId="36D683C4" w14:textId="77777777">
      <w:pPr>
        <w:tabs>
          <w:tab w:val="left" w:pos="360"/>
          <w:tab w:val="left" w:pos="720"/>
        </w:tabs>
        <w:rPr>
          <w:rFonts w:ascii="Arial" w:hAnsi="Arial" w:cs="Arial"/>
        </w:rPr>
      </w:pPr>
    </w:p>
    <w:p w:rsidRPr="0092104A" w:rsidR="0092104A" w:rsidP="0092104A" w:rsidRDefault="0092104A" w14:paraId="5E89CCF8" w14:textId="77777777">
      <w:pPr>
        <w:tabs>
          <w:tab w:val="left" w:pos="360"/>
          <w:tab w:val="left" w:pos="720"/>
        </w:tabs>
        <w:rPr>
          <w:rFonts w:ascii="Arial" w:hAnsi="Arial" w:cs="Arial"/>
          <w:b/>
        </w:rPr>
      </w:pPr>
      <w:r w:rsidRPr="0092104A">
        <w:rPr>
          <w:rFonts w:ascii="Arial" w:hAnsi="Arial" w:cs="Arial"/>
          <w:b/>
        </w:rPr>
        <w:t>15.</w:t>
      </w:r>
      <w:r w:rsidRPr="0092104A">
        <w:rPr>
          <w:rFonts w:ascii="Arial" w:hAnsi="Arial" w:cs="Arial"/>
          <w:b/>
        </w:rPr>
        <w:tab/>
      </w:r>
      <w:r>
        <w:rPr>
          <w:rFonts w:ascii="Arial" w:hAnsi="Arial" w:cs="Arial"/>
          <w:b/>
        </w:rPr>
        <w:t xml:space="preserve"> </w:t>
      </w:r>
      <w:r w:rsidRPr="0092104A">
        <w:rPr>
          <w:rFonts w:ascii="Arial" w:hAnsi="Arial" w:cs="Arial"/>
          <w:b/>
        </w:rPr>
        <w:t>Explain the reason for any burden hour changes since the last submission.</w:t>
      </w:r>
    </w:p>
    <w:p w:rsidR="0092104A" w:rsidP="006F7D1C" w:rsidRDefault="0092104A" w14:paraId="67892CF8" w14:textId="77777777">
      <w:pPr>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335"/>
        <w:gridCol w:w="1890"/>
        <w:gridCol w:w="1710"/>
        <w:gridCol w:w="2695"/>
      </w:tblGrid>
      <w:tr w:rsidR="00A25F40" w:rsidTr="00A25F40" w14:paraId="03B582FE" w14:textId="77777777">
        <w:tc>
          <w:tcPr>
            <w:tcW w:w="2335" w:type="dxa"/>
          </w:tcPr>
          <w:p w:rsidR="00A25F40" w:rsidP="00EF56A0" w:rsidRDefault="00A25F40" w14:paraId="148F0EFF" w14:textId="77777777">
            <w:pPr>
              <w:tabs>
                <w:tab w:val="left" w:pos="360"/>
                <w:tab w:val="left" w:pos="720"/>
              </w:tabs>
              <w:rPr>
                <w:rFonts w:ascii="Arial" w:hAnsi="Arial" w:cs="Arial"/>
              </w:rPr>
            </w:pPr>
            <w:r>
              <w:rPr>
                <w:rFonts w:ascii="Arial" w:hAnsi="Arial" w:cs="Arial"/>
              </w:rPr>
              <w:t>Clause</w:t>
            </w:r>
          </w:p>
        </w:tc>
        <w:tc>
          <w:tcPr>
            <w:tcW w:w="1890" w:type="dxa"/>
          </w:tcPr>
          <w:p w:rsidR="00A25F40" w:rsidP="00EF56A0" w:rsidRDefault="00A25F40" w14:paraId="4F3F0B80" w14:textId="77777777">
            <w:pPr>
              <w:tabs>
                <w:tab w:val="left" w:pos="360"/>
                <w:tab w:val="left" w:pos="720"/>
              </w:tabs>
              <w:rPr>
                <w:rFonts w:ascii="Arial" w:hAnsi="Arial" w:cs="Arial"/>
              </w:rPr>
            </w:pPr>
            <w:r>
              <w:rPr>
                <w:rFonts w:ascii="Arial" w:hAnsi="Arial" w:cs="Arial"/>
              </w:rPr>
              <w:t>OMB Inventory</w:t>
            </w:r>
          </w:p>
        </w:tc>
        <w:tc>
          <w:tcPr>
            <w:tcW w:w="1710" w:type="dxa"/>
          </w:tcPr>
          <w:p w:rsidR="00A25F40" w:rsidP="00EF56A0" w:rsidRDefault="00A25F40" w14:paraId="40A9168D" w14:textId="77777777">
            <w:pPr>
              <w:tabs>
                <w:tab w:val="left" w:pos="360"/>
                <w:tab w:val="left" w:pos="720"/>
              </w:tabs>
              <w:rPr>
                <w:rFonts w:ascii="Arial" w:hAnsi="Arial" w:cs="Arial"/>
              </w:rPr>
            </w:pPr>
            <w:r>
              <w:rPr>
                <w:rFonts w:ascii="Arial" w:hAnsi="Arial" w:cs="Arial"/>
              </w:rPr>
              <w:t>New</w:t>
            </w:r>
          </w:p>
        </w:tc>
        <w:tc>
          <w:tcPr>
            <w:tcW w:w="2695" w:type="dxa"/>
          </w:tcPr>
          <w:p w:rsidR="00A25F40" w:rsidP="00EF56A0" w:rsidRDefault="00A25F40" w14:paraId="31D2EC06" w14:textId="77777777">
            <w:pPr>
              <w:tabs>
                <w:tab w:val="left" w:pos="360"/>
                <w:tab w:val="left" w:pos="720"/>
              </w:tabs>
              <w:rPr>
                <w:rFonts w:ascii="Arial" w:hAnsi="Arial" w:cs="Arial"/>
              </w:rPr>
            </w:pPr>
            <w:r>
              <w:rPr>
                <w:rFonts w:ascii="Arial" w:hAnsi="Arial" w:cs="Arial"/>
              </w:rPr>
              <w:t>Explanation</w:t>
            </w:r>
          </w:p>
        </w:tc>
      </w:tr>
      <w:tr w:rsidR="00A25F40" w:rsidTr="00A25F40" w14:paraId="71029FCD" w14:textId="77777777">
        <w:tc>
          <w:tcPr>
            <w:tcW w:w="2335" w:type="dxa"/>
          </w:tcPr>
          <w:p w:rsidRPr="00A25F40" w:rsidR="00A25F40" w:rsidP="00EF56A0" w:rsidRDefault="00A25F40" w14:paraId="656EF175" w14:textId="77777777">
            <w:pPr>
              <w:tabs>
                <w:tab w:val="left" w:pos="360"/>
                <w:tab w:val="left" w:pos="720"/>
              </w:tabs>
              <w:rPr>
                <w:rFonts w:ascii="Arial" w:hAnsi="Arial" w:cs="Arial"/>
              </w:rPr>
            </w:pPr>
            <w:r w:rsidRPr="00A25F40">
              <w:rPr>
                <w:rFonts w:ascii="Arial" w:hAnsi="Arial" w:cs="Arial"/>
              </w:rPr>
              <w:t>852.237-70</w:t>
            </w:r>
            <w:r>
              <w:rPr>
                <w:rFonts w:ascii="Arial" w:hAnsi="Arial" w:cs="Arial"/>
              </w:rPr>
              <w:t xml:space="preserve"> (Bk</w:t>
            </w:r>
            <w:r w:rsidR="00FC015D">
              <w:rPr>
                <w:rFonts w:ascii="Arial" w:hAnsi="Arial" w:cs="Arial"/>
              </w:rPr>
              <w:t xml:space="preserve"> </w:t>
            </w:r>
            <w:r>
              <w:rPr>
                <w:rFonts w:ascii="Arial" w:hAnsi="Arial" w:cs="Arial"/>
              </w:rPr>
              <w:t>12)</w:t>
            </w:r>
          </w:p>
        </w:tc>
        <w:tc>
          <w:tcPr>
            <w:tcW w:w="1890" w:type="dxa"/>
          </w:tcPr>
          <w:p w:rsidR="00A25F40" w:rsidP="00EF56A0" w:rsidRDefault="00A25F40" w14:paraId="6C3215A1" w14:textId="77777777">
            <w:pPr>
              <w:tabs>
                <w:tab w:val="left" w:pos="360"/>
                <w:tab w:val="left" w:pos="720"/>
              </w:tabs>
              <w:rPr>
                <w:rFonts w:ascii="Arial" w:hAnsi="Arial" w:cs="Arial"/>
              </w:rPr>
            </w:pPr>
            <w:r>
              <w:rPr>
                <w:rFonts w:ascii="Arial" w:hAnsi="Arial" w:cs="Arial"/>
              </w:rPr>
              <w:t>$21,442.50</w:t>
            </w:r>
          </w:p>
        </w:tc>
        <w:tc>
          <w:tcPr>
            <w:tcW w:w="1710" w:type="dxa"/>
          </w:tcPr>
          <w:p w:rsidR="00A25F40" w:rsidP="00EF56A0" w:rsidRDefault="00A25F40" w14:paraId="5874B28E" w14:textId="5273FD0B">
            <w:pPr>
              <w:tabs>
                <w:tab w:val="left" w:pos="360"/>
                <w:tab w:val="left" w:pos="720"/>
              </w:tabs>
              <w:rPr>
                <w:rFonts w:ascii="Arial" w:hAnsi="Arial" w:cs="Arial"/>
              </w:rPr>
            </w:pPr>
            <w:r>
              <w:rPr>
                <w:rFonts w:ascii="Arial" w:hAnsi="Arial" w:cs="Arial"/>
              </w:rPr>
              <w:t>$</w:t>
            </w:r>
            <w:r w:rsidR="00D77872">
              <w:rPr>
                <w:rFonts w:ascii="Arial" w:hAnsi="Arial" w:cs="Arial"/>
              </w:rPr>
              <w:t>21,562.50</w:t>
            </w:r>
          </w:p>
        </w:tc>
        <w:tc>
          <w:tcPr>
            <w:tcW w:w="2695" w:type="dxa"/>
          </w:tcPr>
          <w:p w:rsidR="00A25F40" w:rsidP="00EF56A0" w:rsidRDefault="00A25F40" w14:paraId="0FF2CF2D" w14:textId="2BEC28BC">
            <w:pPr>
              <w:tabs>
                <w:tab w:val="left" w:pos="360"/>
                <w:tab w:val="left" w:pos="720"/>
              </w:tabs>
              <w:rPr>
                <w:rFonts w:ascii="Arial" w:hAnsi="Arial" w:cs="Arial"/>
              </w:rPr>
            </w:pPr>
            <w:r>
              <w:rPr>
                <w:rFonts w:ascii="Arial" w:hAnsi="Arial" w:cs="Arial"/>
              </w:rPr>
              <w:t>Increase in BLS Rate</w:t>
            </w:r>
          </w:p>
        </w:tc>
      </w:tr>
      <w:tr w:rsidR="00A25F40" w:rsidTr="00A25F40" w14:paraId="18CC4DE5" w14:textId="77777777">
        <w:tc>
          <w:tcPr>
            <w:tcW w:w="2335" w:type="dxa"/>
          </w:tcPr>
          <w:p w:rsidR="00A25F40" w:rsidP="00EF56A0" w:rsidRDefault="00FC015D" w14:paraId="0CB96CFE" w14:textId="77777777">
            <w:pPr>
              <w:tabs>
                <w:tab w:val="left" w:pos="360"/>
                <w:tab w:val="left" w:pos="720"/>
              </w:tabs>
              <w:rPr>
                <w:rFonts w:ascii="Arial" w:hAnsi="Arial" w:cs="Arial"/>
              </w:rPr>
            </w:pPr>
            <w:r w:rsidRPr="005F5203">
              <w:rPr>
                <w:rFonts w:ascii="Arial" w:hAnsi="Arial" w:cs="Arial"/>
              </w:rPr>
              <w:t>852.228-71</w:t>
            </w:r>
            <w:r>
              <w:rPr>
                <w:rFonts w:ascii="Arial" w:hAnsi="Arial" w:cs="Arial"/>
              </w:rPr>
              <w:t xml:space="preserve"> (Bk 12)</w:t>
            </w:r>
          </w:p>
        </w:tc>
        <w:tc>
          <w:tcPr>
            <w:tcW w:w="1890" w:type="dxa"/>
          </w:tcPr>
          <w:p w:rsidR="00A25F40" w:rsidP="00EF56A0" w:rsidRDefault="00FC015D" w14:paraId="409706F1" w14:textId="77777777">
            <w:pPr>
              <w:tabs>
                <w:tab w:val="left" w:pos="360"/>
                <w:tab w:val="left" w:pos="720"/>
              </w:tabs>
              <w:rPr>
                <w:rFonts w:ascii="Arial" w:hAnsi="Arial" w:cs="Arial"/>
              </w:rPr>
            </w:pPr>
            <w:r>
              <w:rPr>
                <w:rFonts w:ascii="Arial" w:hAnsi="Arial" w:cs="Arial"/>
              </w:rPr>
              <w:t>$7,147.50</w:t>
            </w:r>
          </w:p>
        </w:tc>
        <w:tc>
          <w:tcPr>
            <w:tcW w:w="1710" w:type="dxa"/>
          </w:tcPr>
          <w:p w:rsidR="00A25F40" w:rsidP="00EF56A0" w:rsidRDefault="00FC015D" w14:paraId="7CF22E01" w14:textId="102294D5">
            <w:pPr>
              <w:tabs>
                <w:tab w:val="left" w:pos="360"/>
                <w:tab w:val="left" w:pos="720"/>
              </w:tabs>
              <w:rPr>
                <w:rFonts w:ascii="Arial" w:hAnsi="Arial" w:cs="Arial"/>
              </w:rPr>
            </w:pPr>
            <w:r>
              <w:rPr>
                <w:rFonts w:ascii="Arial" w:hAnsi="Arial" w:cs="Arial"/>
              </w:rPr>
              <w:t>$</w:t>
            </w:r>
            <w:r w:rsidR="00D77872">
              <w:rPr>
                <w:rFonts w:ascii="Arial" w:hAnsi="Arial" w:cs="Arial"/>
              </w:rPr>
              <w:t>7,187.50</w:t>
            </w:r>
          </w:p>
        </w:tc>
        <w:tc>
          <w:tcPr>
            <w:tcW w:w="2695" w:type="dxa"/>
          </w:tcPr>
          <w:p w:rsidR="00A25F40" w:rsidP="00EF56A0" w:rsidRDefault="00FC015D" w14:paraId="71DBD020" w14:textId="1DE3885E">
            <w:pPr>
              <w:tabs>
                <w:tab w:val="left" w:pos="360"/>
                <w:tab w:val="left" w:pos="720"/>
              </w:tabs>
              <w:rPr>
                <w:rFonts w:ascii="Arial" w:hAnsi="Arial" w:cs="Arial"/>
              </w:rPr>
            </w:pPr>
            <w:r>
              <w:rPr>
                <w:rFonts w:ascii="Arial" w:hAnsi="Arial" w:cs="Arial"/>
              </w:rPr>
              <w:t>Increase in BLS Rate</w:t>
            </w:r>
          </w:p>
        </w:tc>
      </w:tr>
      <w:tr w:rsidR="00A25F40" w:rsidTr="00A25F40" w14:paraId="1068E30B" w14:textId="77777777">
        <w:tc>
          <w:tcPr>
            <w:tcW w:w="2335" w:type="dxa"/>
          </w:tcPr>
          <w:p w:rsidR="00A25F40" w:rsidP="00EF56A0" w:rsidRDefault="00FC015D" w14:paraId="70D4FDD0" w14:textId="77777777">
            <w:pPr>
              <w:tabs>
                <w:tab w:val="left" w:pos="360"/>
                <w:tab w:val="left" w:pos="720"/>
              </w:tabs>
              <w:rPr>
                <w:rFonts w:ascii="Arial" w:hAnsi="Arial" w:cs="Arial"/>
              </w:rPr>
            </w:pPr>
            <w:r>
              <w:rPr>
                <w:rFonts w:ascii="Arial" w:hAnsi="Arial" w:cs="Arial"/>
              </w:rPr>
              <w:t>852.207-70 (Bk 12)</w:t>
            </w:r>
          </w:p>
        </w:tc>
        <w:tc>
          <w:tcPr>
            <w:tcW w:w="1890" w:type="dxa"/>
          </w:tcPr>
          <w:p w:rsidR="00A25F40" w:rsidP="00EF56A0" w:rsidRDefault="00FC015D" w14:paraId="361A1A89" w14:textId="77777777">
            <w:pPr>
              <w:tabs>
                <w:tab w:val="left" w:pos="360"/>
                <w:tab w:val="left" w:pos="720"/>
              </w:tabs>
              <w:rPr>
                <w:rFonts w:ascii="Arial" w:hAnsi="Arial" w:cs="Arial"/>
              </w:rPr>
            </w:pPr>
            <w:r>
              <w:rPr>
                <w:rFonts w:ascii="Arial" w:hAnsi="Arial" w:cs="Arial"/>
              </w:rPr>
              <w:t>$428.85</w:t>
            </w:r>
          </w:p>
        </w:tc>
        <w:tc>
          <w:tcPr>
            <w:tcW w:w="1710" w:type="dxa"/>
          </w:tcPr>
          <w:p w:rsidR="00A25F40" w:rsidP="00EF56A0" w:rsidRDefault="00FC015D" w14:paraId="2278CAEB" w14:textId="77777777">
            <w:pPr>
              <w:tabs>
                <w:tab w:val="left" w:pos="360"/>
                <w:tab w:val="left" w:pos="720"/>
              </w:tabs>
              <w:rPr>
                <w:rFonts w:ascii="Arial" w:hAnsi="Arial" w:cs="Arial"/>
              </w:rPr>
            </w:pPr>
            <w:r>
              <w:rPr>
                <w:rFonts w:ascii="Arial" w:hAnsi="Arial" w:cs="Arial"/>
              </w:rPr>
              <w:t>0</w:t>
            </w:r>
          </w:p>
        </w:tc>
        <w:tc>
          <w:tcPr>
            <w:tcW w:w="2695" w:type="dxa"/>
          </w:tcPr>
          <w:p w:rsidR="00A25F40" w:rsidP="00EF56A0" w:rsidRDefault="00FC015D" w14:paraId="0F0D6859" w14:textId="77777777">
            <w:pPr>
              <w:tabs>
                <w:tab w:val="left" w:pos="360"/>
                <w:tab w:val="left" w:pos="720"/>
              </w:tabs>
              <w:rPr>
                <w:rFonts w:ascii="Arial" w:hAnsi="Arial" w:cs="Arial"/>
              </w:rPr>
            </w:pPr>
            <w:r>
              <w:rPr>
                <w:rFonts w:ascii="Arial" w:hAnsi="Arial" w:cs="Arial"/>
              </w:rPr>
              <w:t>Discontinue used</w:t>
            </w:r>
          </w:p>
        </w:tc>
      </w:tr>
      <w:tr w:rsidR="00A25F40" w:rsidTr="00A25F40" w14:paraId="3E0C5220" w14:textId="77777777">
        <w:tc>
          <w:tcPr>
            <w:tcW w:w="2335" w:type="dxa"/>
          </w:tcPr>
          <w:p w:rsidR="00A25F40" w:rsidP="00EF56A0" w:rsidRDefault="00FC015D" w14:paraId="22DAE621" w14:textId="77777777">
            <w:pPr>
              <w:tabs>
                <w:tab w:val="left" w:pos="360"/>
                <w:tab w:val="left" w:pos="720"/>
              </w:tabs>
              <w:rPr>
                <w:rFonts w:ascii="Arial" w:hAnsi="Arial" w:cs="Arial"/>
              </w:rPr>
            </w:pPr>
            <w:r>
              <w:rPr>
                <w:rFonts w:ascii="Arial" w:hAnsi="Arial" w:cs="Arial"/>
              </w:rPr>
              <w:t>Sub-Total</w:t>
            </w:r>
          </w:p>
        </w:tc>
        <w:tc>
          <w:tcPr>
            <w:tcW w:w="1890" w:type="dxa"/>
          </w:tcPr>
          <w:p w:rsidR="00A25F40" w:rsidP="00EF56A0" w:rsidRDefault="00FC7597" w14:paraId="42BB3E41" w14:textId="0370B9BD">
            <w:pPr>
              <w:tabs>
                <w:tab w:val="left" w:pos="360"/>
                <w:tab w:val="left" w:pos="720"/>
              </w:tabs>
              <w:rPr>
                <w:rFonts w:ascii="Arial" w:hAnsi="Arial" w:cs="Arial"/>
              </w:rPr>
            </w:pPr>
            <w:r>
              <w:rPr>
                <w:rFonts w:ascii="Arial" w:hAnsi="Arial" w:cs="Arial"/>
              </w:rPr>
              <w:t>$29,018.85</w:t>
            </w:r>
          </w:p>
        </w:tc>
        <w:tc>
          <w:tcPr>
            <w:tcW w:w="1710" w:type="dxa"/>
          </w:tcPr>
          <w:p w:rsidR="00A25F40" w:rsidP="00EF56A0" w:rsidRDefault="00D77872" w14:paraId="24501B48" w14:textId="7FE56B30">
            <w:pPr>
              <w:tabs>
                <w:tab w:val="left" w:pos="360"/>
                <w:tab w:val="left" w:pos="720"/>
              </w:tabs>
              <w:rPr>
                <w:rFonts w:ascii="Arial" w:hAnsi="Arial" w:cs="Arial"/>
              </w:rPr>
            </w:pPr>
            <w:r>
              <w:rPr>
                <w:rFonts w:ascii="Arial" w:hAnsi="Arial" w:cs="Arial"/>
              </w:rPr>
              <w:t>28,750.00</w:t>
            </w:r>
          </w:p>
        </w:tc>
        <w:tc>
          <w:tcPr>
            <w:tcW w:w="2695" w:type="dxa"/>
          </w:tcPr>
          <w:p w:rsidR="00A25F40" w:rsidP="00EF56A0" w:rsidRDefault="00A25F40" w14:paraId="30336090" w14:textId="77777777">
            <w:pPr>
              <w:tabs>
                <w:tab w:val="left" w:pos="360"/>
                <w:tab w:val="left" w:pos="720"/>
              </w:tabs>
              <w:rPr>
                <w:rFonts w:ascii="Arial" w:hAnsi="Arial" w:cs="Arial"/>
              </w:rPr>
            </w:pPr>
          </w:p>
        </w:tc>
      </w:tr>
      <w:tr w:rsidR="00A25F40" w:rsidTr="00FC015D" w14:paraId="375FA0EF" w14:textId="77777777">
        <w:tc>
          <w:tcPr>
            <w:tcW w:w="2335" w:type="dxa"/>
            <w:tcBorders>
              <w:bottom w:val="nil"/>
            </w:tcBorders>
          </w:tcPr>
          <w:p w:rsidR="00A25F40" w:rsidP="00EF56A0" w:rsidRDefault="00A25F40" w14:paraId="79B758FB" w14:textId="77777777">
            <w:pPr>
              <w:tabs>
                <w:tab w:val="left" w:pos="360"/>
                <w:tab w:val="left" w:pos="720"/>
              </w:tabs>
              <w:rPr>
                <w:rFonts w:ascii="Arial" w:hAnsi="Arial" w:cs="Arial"/>
              </w:rPr>
            </w:pPr>
          </w:p>
        </w:tc>
        <w:tc>
          <w:tcPr>
            <w:tcW w:w="1890" w:type="dxa"/>
            <w:tcBorders>
              <w:bottom w:val="nil"/>
            </w:tcBorders>
          </w:tcPr>
          <w:p w:rsidR="00A25F40" w:rsidP="00EF56A0" w:rsidRDefault="00A25F40" w14:paraId="09DDA0B4" w14:textId="77777777">
            <w:pPr>
              <w:tabs>
                <w:tab w:val="left" w:pos="360"/>
                <w:tab w:val="left" w:pos="720"/>
              </w:tabs>
              <w:rPr>
                <w:rFonts w:ascii="Arial" w:hAnsi="Arial" w:cs="Arial"/>
              </w:rPr>
            </w:pPr>
          </w:p>
        </w:tc>
        <w:tc>
          <w:tcPr>
            <w:tcW w:w="1710" w:type="dxa"/>
          </w:tcPr>
          <w:p w:rsidR="00A25F40" w:rsidP="00EF56A0" w:rsidRDefault="00A25F40" w14:paraId="166AD543" w14:textId="77777777">
            <w:pPr>
              <w:tabs>
                <w:tab w:val="left" w:pos="360"/>
                <w:tab w:val="left" w:pos="720"/>
              </w:tabs>
              <w:rPr>
                <w:rFonts w:ascii="Arial" w:hAnsi="Arial" w:cs="Arial"/>
              </w:rPr>
            </w:pPr>
          </w:p>
        </w:tc>
        <w:tc>
          <w:tcPr>
            <w:tcW w:w="2695" w:type="dxa"/>
          </w:tcPr>
          <w:p w:rsidR="00A25F40" w:rsidP="00EF56A0" w:rsidRDefault="00A25F40" w14:paraId="1B8423D7" w14:textId="77777777">
            <w:pPr>
              <w:tabs>
                <w:tab w:val="left" w:pos="360"/>
                <w:tab w:val="left" w:pos="720"/>
              </w:tabs>
              <w:rPr>
                <w:rFonts w:ascii="Arial" w:hAnsi="Arial" w:cs="Arial"/>
              </w:rPr>
            </w:pPr>
          </w:p>
        </w:tc>
      </w:tr>
      <w:tr w:rsidR="00A25F40" w:rsidTr="00FC015D" w14:paraId="79C72500" w14:textId="77777777">
        <w:tc>
          <w:tcPr>
            <w:tcW w:w="2335" w:type="dxa"/>
            <w:tcBorders>
              <w:top w:val="nil"/>
              <w:left w:val="nil"/>
              <w:bottom w:val="nil"/>
            </w:tcBorders>
          </w:tcPr>
          <w:p w:rsidRPr="00FC015D" w:rsidR="00A25F40" w:rsidP="00FC015D" w:rsidRDefault="00FC015D" w14:paraId="6AADC2A5" w14:textId="3CF35058">
            <w:pPr>
              <w:tabs>
                <w:tab w:val="left" w:pos="360"/>
                <w:tab w:val="left" w:pos="720"/>
              </w:tabs>
              <w:jc w:val="right"/>
              <w:rPr>
                <w:rFonts w:ascii="Arial" w:hAnsi="Arial" w:cs="Arial"/>
                <w:b/>
                <w:bCs/>
              </w:rPr>
            </w:pPr>
            <w:r w:rsidRPr="00FC015D">
              <w:rPr>
                <w:rFonts w:ascii="Arial" w:hAnsi="Arial" w:cs="Arial"/>
                <w:b/>
                <w:bCs/>
              </w:rPr>
              <w:t xml:space="preserve">Net </w:t>
            </w:r>
            <w:r w:rsidR="00D77872">
              <w:rPr>
                <w:rFonts w:ascii="Arial" w:hAnsi="Arial" w:cs="Arial"/>
                <w:b/>
                <w:bCs/>
              </w:rPr>
              <w:t>De</w:t>
            </w:r>
            <w:r w:rsidRPr="00FC015D">
              <w:rPr>
                <w:rFonts w:ascii="Arial" w:hAnsi="Arial" w:cs="Arial"/>
                <w:b/>
                <w:bCs/>
              </w:rPr>
              <w:t>crease</w:t>
            </w:r>
          </w:p>
        </w:tc>
        <w:tc>
          <w:tcPr>
            <w:tcW w:w="1890" w:type="dxa"/>
            <w:tcBorders>
              <w:top w:val="nil"/>
              <w:bottom w:val="nil"/>
              <w:right w:val="nil"/>
            </w:tcBorders>
          </w:tcPr>
          <w:p w:rsidRPr="00FC015D" w:rsidR="00A25F40" w:rsidP="00EF56A0" w:rsidRDefault="00FC015D" w14:paraId="27111B45" w14:textId="07B72EF8">
            <w:pPr>
              <w:tabs>
                <w:tab w:val="left" w:pos="360"/>
                <w:tab w:val="left" w:pos="720"/>
              </w:tabs>
              <w:rPr>
                <w:rFonts w:ascii="Arial" w:hAnsi="Arial" w:cs="Arial"/>
                <w:b/>
                <w:bCs/>
              </w:rPr>
            </w:pPr>
            <w:r w:rsidRPr="00FC015D">
              <w:rPr>
                <w:rFonts w:ascii="Arial" w:hAnsi="Arial" w:cs="Arial"/>
                <w:b/>
                <w:bCs/>
              </w:rPr>
              <w:t>$</w:t>
            </w:r>
            <w:r w:rsidR="00D77872">
              <w:rPr>
                <w:rFonts w:ascii="Arial" w:hAnsi="Arial" w:cs="Arial"/>
                <w:b/>
                <w:bCs/>
              </w:rPr>
              <w:t>268.85</w:t>
            </w:r>
          </w:p>
        </w:tc>
        <w:tc>
          <w:tcPr>
            <w:tcW w:w="1710" w:type="dxa"/>
            <w:tcBorders>
              <w:left w:val="nil"/>
            </w:tcBorders>
          </w:tcPr>
          <w:p w:rsidR="00A25F40" w:rsidP="00EF56A0" w:rsidRDefault="00A25F40" w14:paraId="564FEC0C" w14:textId="77777777">
            <w:pPr>
              <w:tabs>
                <w:tab w:val="left" w:pos="360"/>
                <w:tab w:val="left" w:pos="720"/>
              </w:tabs>
              <w:rPr>
                <w:rFonts w:ascii="Arial" w:hAnsi="Arial" w:cs="Arial"/>
              </w:rPr>
            </w:pPr>
          </w:p>
        </w:tc>
        <w:tc>
          <w:tcPr>
            <w:tcW w:w="2695" w:type="dxa"/>
          </w:tcPr>
          <w:p w:rsidR="00A25F40" w:rsidP="00EF56A0" w:rsidRDefault="00A25F40" w14:paraId="531F7B39" w14:textId="77777777">
            <w:pPr>
              <w:tabs>
                <w:tab w:val="left" w:pos="360"/>
                <w:tab w:val="left" w:pos="720"/>
              </w:tabs>
              <w:rPr>
                <w:rFonts w:ascii="Arial" w:hAnsi="Arial" w:cs="Arial"/>
              </w:rPr>
            </w:pPr>
          </w:p>
        </w:tc>
      </w:tr>
      <w:tr w:rsidR="00A25F40" w:rsidTr="00FC015D" w14:paraId="0A8B1319" w14:textId="77777777">
        <w:tc>
          <w:tcPr>
            <w:tcW w:w="2335" w:type="dxa"/>
            <w:tcBorders>
              <w:top w:val="nil"/>
            </w:tcBorders>
          </w:tcPr>
          <w:p w:rsidR="00A25F40" w:rsidP="00EF56A0" w:rsidRDefault="00A25F40" w14:paraId="67E37565" w14:textId="77777777">
            <w:pPr>
              <w:tabs>
                <w:tab w:val="left" w:pos="360"/>
                <w:tab w:val="left" w:pos="720"/>
              </w:tabs>
              <w:rPr>
                <w:rFonts w:ascii="Arial" w:hAnsi="Arial" w:cs="Arial"/>
              </w:rPr>
            </w:pPr>
          </w:p>
        </w:tc>
        <w:tc>
          <w:tcPr>
            <w:tcW w:w="1890" w:type="dxa"/>
            <w:tcBorders>
              <w:top w:val="nil"/>
            </w:tcBorders>
          </w:tcPr>
          <w:p w:rsidR="00A25F40" w:rsidP="00EF56A0" w:rsidRDefault="00A25F40" w14:paraId="1C1BA266" w14:textId="77777777">
            <w:pPr>
              <w:tabs>
                <w:tab w:val="left" w:pos="360"/>
                <w:tab w:val="left" w:pos="720"/>
              </w:tabs>
              <w:rPr>
                <w:rFonts w:ascii="Arial" w:hAnsi="Arial" w:cs="Arial"/>
              </w:rPr>
            </w:pPr>
          </w:p>
        </w:tc>
        <w:tc>
          <w:tcPr>
            <w:tcW w:w="1710" w:type="dxa"/>
          </w:tcPr>
          <w:p w:rsidR="00A25F40" w:rsidP="00EF56A0" w:rsidRDefault="00A25F40" w14:paraId="6B31DC73" w14:textId="77777777">
            <w:pPr>
              <w:tabs>
                <w:tab w:val="left" w:pos="360"/>
                <w:tab w:val="left" w:pos="720"/>
              </w:tabs>
              <w:rPr>
                <w:rFonts w:ascii="Arial" w:hAnsi="Arial" w:cs="Arial"/>
              </w:rPr>
            </w:pPr>
          </w:p>
        </w:tc>
        <w:tc>
          <w:tcPr>
            <w:tcW w:w="2695" w:type="dxa"/>
          </w:tcPr>
          <w:p w:rsidR="00A25F40" w:rsidP="00EF56A0" w:rsidRDefault="00A25F40" w14:paraId="72E306DC" w14:textId="77777777">
            <w:pPr>
              <w:tabs>
                <w:tab w:val="left" w:pos="360"/>
                <w:tab w:val="left" w:pos="720"/>
              </w:tabs>
              <w:rPr>
                <w:rFonts w:ascii="Arial" w:hAnsi="Arial" w:cs="Arial"/>
              </w:rPr>
            </w:pPr>
          </w:p>
        </w:tc>
      </w:tr>
    </w:tbl>
    <w:p w:rsidR="00A25F40" w:rsidP="00EF56A0" w:rsidRDefault="00A25F40" w14:paraId="14684C39" w14:textId="77777777">
      <w:pPr>
        <w:tabs>
          <w:tab w:val="left" w:pos="360"/>
          <w:tab w:val="left" w:pos="720"/>
        </w:tabs>
        <w:rPr>
          <w:rFonts w:ascii="Arial" w:hAnsi="Arial" w:cs="Arial"/>
        </w:rPr>
      </w:pPr>
    </w:p>
    <w:p w:rsidRPr="006F7D1C" w:rsidR="00EF56A0" w:rsidP="00EF56A0" w:rsidRDefault="00EF56A0" w14:paraId="0040EBA5" w14:textId="317F4D83">
      <w:pPr>
        <w:tabs>
          <w:tab w:val="left" w:pos="360"/>
          <w:tab w:val="left" w:pos="720"/>
        </w:tabs>
        <w:rPr>
          <w:rFonts w:ascii="Arial" w:hAnsi="Arial" w:cs="Arial"/>
        </w:rPr>
      </w:pPr>
      <w:r>
        <w:rPr>
          <w:rFonts w:ascii="Arial" w:hAnsi="Arial" w:cs="Arial"/>
        </w:rPr>
        <w:t xml:space="preserve">As a result of proposed rule </w:t>
      </w:r>
      <w:r w:rsidR="005B478F">
        <w:rPr>
          <w:rFonts w:ascii="Arial" w:hAnsi="Arial" w:cs="Arial"/>
        </w:rPr>
        <w:t xml:space="preserve">RIN 2900-AR06, </w:t>
      </w:r>
      <w:r>
        <w:rPr>
          <w:rFonts w:ascii="Arial" w:hAnsi="Arial" w:cs="Arial"/>
        </w:rPr>
        <w:t xml:space="preserve">VAAR Case 2014-V003, the </w:t>
      </w:r>
      <w:r w:rsidRPr="00526D03">
        <w:rPr>
          <w:rFonts w:ascii="Arial" w:hAnsi="Arial" w:cs="Arial"/>
        </w:rPr>
        <w:t xml:space="preserve">removal </w:t>
      </w:r>
      <w:r>
        <w:rPr>
          <w:rFonts w:ascii="Arial" w:hAnsi="Arial" w:cs="Arial"/>
        </w:rPr>
        <w:t>of VAAR clause 852.207-70 from this OMB control number will remove</w:t>
      </w:r>
      <w:r w:rsidRPr="00526D03">
        <w:rPr>
          <w:rFonts w:ascii="Arial" w:hAnsi="Arial" w:cs="Arial"/>
        </w:rPr>
        <w:t>15 estimated annual burden hours and an annual cost savings to respondents of $4</w:t>
      </w:r>
      <w:r w:rsidR="00AD41D8">
        <w:rPr>
          <w:rFonts w:ascii="Arial" w:hAnsi="Arial" w:cs="Arial"/>
        </w:rPr>
        <w:t xml:space="preserve">28.85 </w:t>
      </w:r>
      <w:r>
        <w:rPr>
          <w:rFonts w:ascii="Arial" w:hAnsi="Arial" w:cs="Arial"/>
        </w:rPr>
        <w:t xml:space="preserve">that are currently </w:t>
      </w:r>
      <w:r w:rsidR="00B13EEC">
        <w:rPr>
          <w:rFonts w:ascii="Arial" w:hAnsi="Arial" w:cs="Arial"/>
        </w:rPr>
        <w:t>reflected</w:t>
      </w:r>
      <w:r>
        <w:rPr>
          <w:rFonts w:ascii="Arial" w:hAnsi="Arial" w:cs="Arial"/>
        </w:rPr>
        <w:t xml:space="preserve"> in OIRA/OMB information collection inventory.</w:t>
      </w:r>
      <w:r w:rsidR="00FC7597">
        <w:rPr>
          <w:rFonts w:ascii="Arial" w:hAnsi="Arial" w:cs="Arial"/>
        </w:rPr>
        <w:t xml:space="preserve">  However, </w:t>
      </w:r>
      <w:proofErr w:type="gramStart"/>
      <w:r w:rsidR="00FC7597">
        <w:rPr>
          <w:rFonts w:ascii="Arial" w:hAnsi="Arial" w:cs="Arial"/>
        </w:rPr>
        <w:t xml:space="preserve">due to </w:t>
      </w:r>
      <w:r w:rsidR="00B13EEC">
        <w:rPr>
          <w:rFonts w:ascii="Arial" w:hAnsi="Arial" w:cs="Arial"/>
        </w:rPr>
        <w:t>the fact that</w:t>
      </w:r>
      <w:proofErr w:type="gramEnd"/>
      <w:r w:rsidR="00B13EEC">
        <w:rPr>
          <w:rFonts w:ascii="Arial" w:hAnsi="Arial" w:cs="Arial"/>
        </w:rPr>
        <w:t xml:space="preserve"> </w:t>
      </w:r>
      <w:r w:rsidR="00FC7597">
        <w:rPr>
          <w:rFonts w:ascii="Arial" w:hAnsi="Arial" w:cs="Arial"/>
        </w:rPr>
        <w:t xml:space="preserve">this OMB control number contains two additional VAAR clauses and the increase </w:t>
      </w:r>
      <w:r w:rsidR="00B13EEC">
        <w:rPr>
          <w:rFonts w:ascii="Arial" w:hAnsi="Arial" w:cs="Arial"/>
        </w:rPr>
        <w:t>in</w:t>
      </w:r>
      <w:r w:rsidR="00FC7597">
        <w:rPr>
          <w:rFonts w:ascii="Arial" w:hAnsi="Arial" w:cs="Arial"/>
        </w:rPr>
        <w:t xml:space="preserve"> the BLS hourly</w:t>
      </w:r>
      <w:r w:rsidR="00D77872">
        <w:rPr>
          <w:rFonts w:ascii="Arial" w:hAnsi="Arial" w:cs="Arial"/>
        </w:rPr>
        <w:t xml:space="preserve"> rate in May 2020, the net decrease of public burden cost for this OMB </w:t>
      </w:r>
      <w:r w:rsidR="00B13EEC">
        <w:rPr>
          <w:rFonts w:ascii="Arial" w:hAnsi="Arial" w:cs="Arial"/>
        </w:rPr>
        <w:t>c</w:t>
      </w:r>
      <w:r w:rsidR="00D77872">
        <w:rPr>
          <w:rFonts w:ascii="Arial" w:hAnsi="Arial" w:cs="Arial"/>
        </w:rPr>
        <w:t>ontrol number is $268.85.</w:t>
      </w:r>
    </w:p>
    <w:p w:rsidRPr="006F7D1C" w:rsidR="002B4534" w:rsidP="006F7D1C" w:rsidRDefault="002B4534" w14:paraId="559CD09D" w14:textId="77777777">
      <w:pPr>
        <w:tabs>
          <w:tab w:val="left" w:pos="360"/>
          <w:tab w:val="left" w:pos="720"/>
        </w:tabs>
        <w:rPr>
          <w:rFonts w:ascii="Arial" w:hAnsi="Arial" w:cs="Arial"/>
        </w:rPr>
      </w:pPr>
    </w:p>
    <w:p w:rsidRPr="0092104A" w:rsidR="0092104A" w:rsidP="0092104A" w:rsidRDefault="0092104A" w14:paraId="7BFBEF4C" w14:textId="77777777">
      <w:pPr>
        <w:tabs>
          <w:tab w:val="left" w:pos="360"/>
          <w:tab w:val="left" w:pos="720"/>
        </w:tabs>
        <w:rPr>
          <w:rFonts w:ascii="Arial" w:hAnsi="Arial" w:cs="Arial"/>
          <w:b/>
        </w:rPr>
      </w:pPr>
      <w:r w:rsidRPr="0092104A">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104A" w:rsidP="006F7D1C" w:rsidRDefault="0092104A" w14:paraId="0B184427" w14:textId="77777777">
      <w:pPr>
        <w:tabs>
          <w:tab w:val="left" w:pos="360"/>
          <w:tab w:val="left" w:pos="720"/>
        </w:tabs>
        <w:rPr>
          <w:rFonts w:ascii="Arial" w:hAnsi="Arial" w:cs="Arial"/>
        </w:rPr>
      </w:pPr>
    </w:p>
    <w:p w:rsidRPr="006F7D1C" w:rsidR="002B4534" w:rsidP="006F7D1C" w:rsidRDefault="002B4534" w14:paraId="3CFB444A" w14:textId="77777777">
      <w:pPr>
        <w:tabs>
          <w:tab w:val="left" w:pos="360"/>
          <w:tab w:val="left" w:pos="720"/>
        </w:tabs>
        <w:rPr>
          <w:rFonts w:ascii="Arial" w:hAnsi="Arial" w:cs="Arial"/>
        </w:rPr>
      </w:pPr>
      <w:r w:rsidRPr="006F7D1C">
        <w:rPr>
          <w:rFonts w:ascii="Arial" w:hAnsi="Arial" w:cs="Arial"/>
        </w:rPr>
        <w:t>The results will not be published.</w:t>
      </w:r>
    </w:p>
    <w:p w:rsidRPr="006F7D1C" w:rsidR="002B4534" w:rsidP="006F7D1C" w:rsidRDefault="002B4534" w14:paraId="0E77A699" w14:textId="77777777">
      <w:pPr>
        <w:tabs>
          <w:tab w:val="left" w:pos="360"/>
          <w:tab w:val="left" w:pos="720"/>
        </w:tabs>
        <w:rPr>
          <w:rFonts w:ascii="Arial" w:hAnsi="Arial" w:cs="Arial"/>
        </w:rPr>
      </w:pPr>
    </w:p>
    <w:p w:rsidRPr="0092104A" w:rsidR="0092104A" w:rsidP="006F7D1C" w:rsidRDefault="0092104A" w14:paraId="1F3EFBA6" w14:textId="77777777">
      <w:pPr>
        <w:tabs>
          <w:tab w:val="left" w:pos="360"/>
          <w:tab w:val="left" w:pos="720"/>
        </w:tabs>
        <w:rPr>
          <w:rFonts w:ascii="Arial" w:hAnsi="Arial" w:cs="Arial"/>
          <w:b/>
        </w:rPr>
      </w:pPr>
      <w:r w:rsidRPr="0092104A">
        <w:rPr>
          <w:rFonts w:ascii="Arial" w:hAnsi="Arial" w:cs="Arial"/>
          <w:b/>
        </w:rPr>
        <w:t xml:space="preserve">17. If seeking approval to omit the expiration date for OMB approval of the information collection, explain the reasons that display would be inappropriate. </w:t>
      </w:r>
    </w:p>
    <w:p w:rsidR="0092104A" w:rsidP="006F7D1C" w:rsidRDefault="0092104A" w14:paraId="4E48CE65" w14:textId="77777777">
      <w:pPr>
        <w:tabs>
          <w:tab w:val="left" w:pos="360"/>
          <w:tab w:val="left" w:pos="720"/>
        </w:tabs>
        <w:rPr>
          <w:rFonts w:ascii="Arial" w:hAnsi="Arial" w:cs="Arial"/>
        </w:rPr>
      </w:pPr>
    </w:p>
    <w:p w:rsidRPr="00F23208" w:rsidR="009952DC" w:rsidP="009952DC" w:rsidRDefault="009952DC" w14:paraId="5A22D048" w14:textId="77777777">
      <w:pPr>
        <w:pStyle w:val="Heading2"/>
        <w:rPr>
          <w:rFonts w:ascii="Arial" w:hAnsi="Arial" w:eastAsia="Arial" w:cs="Arial"/>
          <w:color w:val="auto"/>
          <w:w w:val="105"/>
          <w:sz w:val="24"/>
          <w:szCs w:val="24"/>
        </w:rPr>
      </w:pPr>
      <w:r w:rsidRPr="00F23208">
        <w:rPr>
          <w:rFonts w:ascii="Arial" w:hAnsi="Arial" w:eastAsia="Arial" w:cs="Arial"/>
          <w:color w:val="auto"/>
          <w:w w:val="105"/>
          <w:sz w:val="24"/>
          <w:szCs w:val="24"/>
        </w:rPr>
        <w:t>VA will display the expiration date for OMB approval of the information collection.</w:t>
      </w:r>
    </w:p>
    <w:p w:rsidRPr="006F7D1C" w:rsidR="002B4534" w:rsidP="006F7D1C" w:rsidRDefault="002B4534" w14:paraId="049D40F6" w14:textId="77777777">
      <w:pPr>
        <w:tabs>
          <w:tab w:val="left" w:pos="360"/>
          <w:tab w:val="left" w:pos="720"/>
        </w:tabs>
        <w:rPr>
          <w:rFonts w:ascii="Arial" w:hAnsi="Arial" w:cs="Arial"/>
        </w:rPr>
      </w:pPr>
    </w:p>
    <w:p w:rsidRPr="0092104A" w:rsidR="0092104A" w:rsidP="0092104A" w:rsidRDefault="0092104A" w14:paraId="1FD1D8F0" w14:textId="77777777">
      <w:pPr>
        <w:tabs>
          <w:tab w:val="left" w:pos="360"/>
          <w:tab w:val="left" w:pos="720"/>
        </w:tabs>
        <w:rPr>
          <w:rFonts w:ascii="Arial" w:hAnsi="Arial" w:cs="Arial"/>
          <w:b/>
        </w:rPr>
      </w:pPr>
      <w:r w:rsidRPr="0092104A">
        <w:rPr>
          <w:rFonts w:ascii="Arial" w:hAnsi="Arial" w:cs="Arial"/>
          <w:b/>
        </w:rPr>
        <w:t>18. Explain each exception to the certification statement identified in Item 19, “Certification for Paperwork Reduction Act Submissions,” of OMB 83-I.</w:t>
      </w:r>
    </w:p>
    <w:p w:rsidR="0092104A" w:rsidP="006F7D1C" w:rsidRDefault="0092104A" w14:paraId="507C322C" w14:textId="77777777">
      <w:pPr>
        <w:tabs>
          <w:tab w:val="left" w:pos="360"/>
          <w:tab w:val="left" w:pos="720"/>
        </w:tabs>
        <w:rPr>
          <w:rFonts w:ascii="Arial" w:hAnsi="Arial" w:cs="Arial"/>
        </w:rPr>
      </w:pPr>
    </w:p>
    <w:p w:rsidRPr="006F7D1C" w:rsidR="002B4534" w:rsidP="006F7D1C" w:rsidRDefault="002B4534" w14:paraId="479DAAA9" w14:textId="77777777">
      <w:pPr>
        <w:tabs>
          <w:tab w:val="left" w:pos="360"/>
          <w:tab w:val="left" w:pos="720"/>
        </w:tabs>
        <w:rPr>
          <w:rFonts w:ascii="Arial" w:hAnsi="Arial" w:cs="Arial"/>
        </w:rPr>
      </w:pPr>
      <w:r w:rsidRPr="006F7D1C">
        <w:rPr>
          <w:rFonts w:ascii="Arial" w:hAnsi="Arial" w:cs="Arial"/>
        </w:rPr>
        <w:t>This submission does not contain any exceptions to the certification statements.</w:t>
      </w:r>
    </w:p>
    <w:p w:rsidRPr="006F7D1C" w:rsidR="002B4534" w:rsidP="006F7D1C" w:rsidRDefault="002B4534" w14:paraId="06A8E5B9" w14:textId="77777777">
      <w:pPr>
        <w:tabs>
          <w:tab w:val="left" w:pos="360"/>
          <w:tab w:val="left" w:pos="720"/>
        </w:tabs>
        <w:rPr>
          <w:rFonts w:ascii="Arial" w:hAnsi="Arial" w:cs="Arial"/>
        </w:rPr>
      </w:pPr>
    </w:p>
    <w:p w:rsidRPr="0092104A" w:rsidR="0092104A" w:rsidP="0092104A" w:rsidRDefault="0092104A" w14:paraId="188192E5" w14:textId="77777777">
      <w:pPr>
        <w:tabs>
          <w:tab w:val="left" w:pos="360"/>
          <w:tab w:val="left" w:pos="720"/>
        </w:tabs>
        <w:rPr>
          <w:rFonts w:ascii="Arial" w:hAnsi="Arial" w:cs="Arial"/>
          <w:b/>
        </w:rPr>
      </w:pPr>
      <w:r w:rsidRPr="0092104A">
        <w:rPr>
          <w:rFonts w:ascii="Arial" w:hAnsi="Arial" w:cs="Arial"/>
          <w:b/>
        </w:rPr>
        <w:t>B.  Statistical Methods</w:t>
      </w:r>
    </w:p>
    <w:p w:rsidR="0092104A" w:rsidP="006F7D1C" w:rsidRDefault="0092104A" w14:paraId="3DED26DF" w14:textId="77777777">
      <w:pPr>
        <w:tabs>
          <w:tab w:val="left" w:pos="360"/>
          <w:tab w:val="left" w:pos="720"/>
        </w:tabs>
        <w:rPr>
          <w:rFonts w:ascii="Arial" w:hAnsi="Arial" w:cs="Arial"/>
        </w:rPr>
      </w:pPr>
    </w:p>
    <w:p w:rsidRPr="006F7D1C" w:rsidR="002B4534" w:rsidP="006F7D1C" w:rsidRDefault="002B4534" w14:paraId="6435EAD1" w14:textId="61709183">
      <w:pPr>
        <w:tabs>
          <w:tab w:val="left" w:pos="360"/>
          <w:tab w:val="left" w:pos="720"/>
        </w:tabs>
        <w:rPr>
          <w:rFonts w:ascii="Arial" w:hAnsi="Arial" w:cs="Arial"/>
        </w:rPr>
      </w:pPr>
      <w:r w:rsidRPr="006F7D1C">
        <w:rPr>
          <w:rFonts w:ascii="Arial" w:hAnsi="Arial" w:cs="Arial"/>
        </w:rPr>
        <w:t>Statistical methods will not be employed.</w:t>
      </w:r>
    </w:p>
    <w:sectPr w:rsidRPr="006F7D1C" w:rsidR="002B4534" w:rsidSect="00B7190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D5"/>
    <w:rsid w:val="000171B8"/>
    <w:rsid w:val="00027DAF"/>
    <w:rsid w:val="00082564"/>
    <w:rsid w:val="000C2166"/>
    <w:rsid w:val="000E422B"/>
    <w:rsid w:val="00134EEC"/>
    <w:rsid w:val="001573FB"/>
    <w:rsid w:val="001D1CC5"/>
    <w:rsid w:val="001E13CD"/>
    <w:rsid w:val="00211FEE"/>
    <w:rsid w:val="00217B0F"/>
    <w:rsid w:val="0026101E"/>
    <w:rsid w:val="002B4534"/>
    <w:rsid w:val="002D3BFD"/>
    <w:rsid w:val="002E1751"/>
    <w:rsid w:val="00315E7B"/>
    <w:rsid w:val="00327D8A"/>
    <w:rsid w:val="0038333F"/>
    <w:rsid w:val="003F333E"/>
    <w:rsid w:val="00473BD2"/>
    <w:rsid w:val="00526D03"/>
    <w:rsid w:val="0055200C"/>
    <w:rsid w:val="00574952"/>
    <w:rsid w:val="00583237"/>
    <w:rsid w:val="005B478F"/>
    <w:rsid w:val="005D0766"/>
    <w:rsid w:val="005E2524"/>
    <w:rsid w:val="00681169"/>
    <w:rsid w:val="00690A23"/>
    <w:rsid w:val="006B7F60"/>
    <w:rsid w:val="006C4030"/>
    <w:rsid w:val="006F7D1C"/>
    <w:rsid w:val="0072742C"/>
    <w:rsid w:val="00764408"/>
    <w:rsid w:val="00786F27"/>
    <w:rsid w:val="007C1CEC"/>
    <w:rsid w:val="007F6AEF"/>
    <w:rsid w:val="0081520B"/>
    <w:rsid w:val="008361D4"/>
    <w:rsid w:val="00841FA8"/>
    <w:rsid w:val="00842DD5"/>
    <w:rsid w:val="008450B7"/>
    <w:rsid w:val="0085425C"/>
    <w:rsid w:val="008A7660"/>
    <w:rsid w:val="008D70AF"/>
    <w:rsid w:val="008E360E"/>
    <w:rsid w:val="0092104A"/>
    <w:rsid w:val="009434DB"/>
    <w:rsid w:val="00971488"/>
    <w:rsid w:val="009952DC"/>
    <w:rsid w:val="009C3527"/>
    <w:rsid w:val="009D0EC1"/>
    <w:rsid w:val="009F2D08"/>
    <w:rsid w:val="00A25F40"/>
    <w:rsid w:val="00A40195"/>
    <w:rsid w:val="00A537A0"/>
    <w:rsid w:val="00A81106"/>
    <w:rsid w:val="00A959EA"/>
    <w:rsid w:val="00AD41D8"/>
    <w:rsid w:val="00AE2127"/>
    <w:rsid w:val="00B13EEC"/>
    <w:rsid w:val="00B37468"/>
    <w:rsid w:val="00B71905"/>
    <w:rsid w:val="00B72D8A"/>
    <w:rsid w:val="00B85FE3"/>
    <w:rsid w:val="00BC0156"/>
    <w:rsid w:val="00BE1E80"/>
    <w:rsid w:val="00C576F7"/>
    <w:rsid w:val="00C91DC1"/>
    <w:rsid w:val="00D218D9"/>
    <w:rsid w:val="00D26848"/>
    <w:rsid w:val="00D336E2"/>
    <w:rsid w:val="00D4286B"/>
    <w:rsid w:val="00D477C4"/>
    <w:rsid w:val="00D7502B"/>
    <w:rsid w:val="00D77872"/>
    <w:rsid w:val="00DB75AF"/>
    <w:rsid w:val="00E747A3"/>
    <w:rsid w:val="00EF3163"/>
    <w:rsid w:val="00EF56A0"/>
    <w:rsid w:val="00F36BE8"/>
    <w:rsid w:val="00F65F52"/>
    <w:rsid w:val="00F662DD"/>
    <w:rsid w:val="00FC015D"/>
    <w:rsid w:val="00FC7597"/>
    <w:rsid w:val="00FE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A36AA"/>
  <w15:docId w15:val="{D2BC91DF-ECA6-4CC6-8DBC-E363227C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905"/>
    <w:rPr>
      <w:sz w:val="24"/>
      <w:szCs w:val="24"/>
    </w:rPr>
  </w:style>
  <w:style w:type="paragraph" w:styleId="Heading2">
    <w:name w:val="heading 2"/>
    <w:basedOn w:val="Normal"/>
    <w:next w:val="Normal"/>
    <w:link w:val="Heading2Char"/>
    <w:uiPriority w:val="9"/>
    <w:unhideWhenUsed/>
    <w:qFormat/>
    <w:rsid w:val="009952DC"/>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1905"/>
    <w:pPr>
      <w:tabs>
        <w:tab w:val="left" w:pos="432"/>
      </w:tabs>
    </w:pPr>
    <w:rPr>
      <w:szCs w:val="20"/>
    </w:rPr>
  </w:style>
  <w:style w:type="paragraph" w:styleId="BodyText2">
    <w:name w:val="Body Text 2"/>
    <w:basedOn w:val="Normal"/>
    <w:rsid w:val="00B71905"/>
    <w:pPr>
      <w:ind w:right="-360"/>
    </w:pPr>
    <w:rPr>
      <w:rFonts w:ascii="Arial" w:hAnsi="Arial"/>
      <w:szCs w:val="20"/>
    </w:rPr>
  </w:style>
  <w:style w:type="paragraph" w:styleId="BodyText3">
    <w:name w:val="Body Text 3"/>
    <w:basedOn w:val="Normal"/>
    <w:rsid w:val="00B71905"/>
    <w:pPr>
      <w:tabs>
        <w:tab w:val="left" w:pos="360"/>
        <w:tab w:val="left" w:pos="720"/>
      </w:tabs>
      <w:ind w:right="-180"/>
    </w:pPr>
    <w:rPr>
      <w:rFonts w:ascii="Arial" w:hAnsi="Arial"/>
      <w:szCs w:val="20"/>
    </w:rPr>
  </w:style>
  <w:style w:type="character" w:styleId="Hyperlink">
    <w:name w:val="Hyperlink"/>
    <w:basedOn w:val="DefaultParagraphFont"/>
    <w:unhideWhenUsed/>
    <w:rsid w:val="00B72D8A"/>
    <w:rPr>
      <w:color w:val="0000FF" w:themeColor="hyperlink"/>
      <w:u w:val="single"/>
    </w:rPr>
  </w:style>
  <w:style w:type="character" w:styleId="FollowedHyperlink">
    <w:name w:val="FollowedHyperlink"/>
    <w:basedOn w:val="DefaultParagraphFont"/>
    <w:semiHidden/>
    <w:unhideWhenUsed/>
    <w:rsid w:val="00EF56A0"/>
    <w:rPr>
      <w:color w:val="800080" w:themeColor="followedHyperlink"/>
      <w:u w:val="single"/>
    </w:rPr>
  </w:style>
  <w:style w:type="character" w:customStyle="1" w:styleId="Heading2Char">
    <w:name w:val="Heading 2 Char"/>
    <w:basedOn w:val="DefaultParagraphFont"/>
    <w:link w:val="Heading2"/>
    <w:uiPriority w:val="9"/>
    <w:rsid w:val="009952D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rsid w:val="00B85FE3"/>
    <w:rPr>
      <w:rFonts w:ascii="Segoe UI" w:hAnsi="Segoe UI" w:cs="Segoe UI"/>
      <w:sz w:val="18"/>
      <w:szCs w:val="18"/>
    </w:rPr>
  </w:style>
  <w:style w:type="character" w:customStyle="1" w:styleId="BalloonTextChar">
    <w:name w:val="Balloon Text Char"/>
    <w:basedOn w:val="DefaultParagraphFont"/>
    <w:link w:val="BalloonText"/>
    <w:rsid w:val="00B85FE3"/>
    <w:rPr>
      <w:rFonts w:ascii="Segoe UI" w:hAnsi="Segoe UI" w:cs="Segoe UI"/>
      <w:sz w:val="18"/>
      <w:szCs w:val="18"/>
    </w:rPr>
  </w:style>
  <w:style w:type="character" w:styleId="UnresolvedMention">
    <w:name w:val="Unresolved Mention"/>
    <w:basedOn w:val="DefaultParagraphFont"/>
    <w:uiPriority w:val="99"/>
    <w:semiHidden/>
    <w:unhideWhenUsed/>
    <w:rsid w:val="0081520B"/>
    <w:rPr>
      <w:color w:val="605E5C"/>
      <w:shd w:val="clear" w:color="auto" w:fill="E1DFDD"/>
    </w:rPr>
  </w:style>
  <w:style w:type="table" w:styleId="TableGrid">
    <w:name w:val="Table Grid"/>
    <w:basedOn w:val="TableNormal"/>
    <w:rsid w:val="00A2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pdf" TargetMode="External"/><Relationship Id="rId3" Type="http://schemas.openxmlformats.org/officeDocument/2006/relationships/webSettings" Target="webSettings.xml"/><Relationship Id="rId7" Type="http://schemas.openxmlformats.org/officeDocument/2006/relationships/hyperlink" Target="https://www.bls.gov/oes/current/oes43419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s.gov/oes/current/oes434199.htm" TargetMode="External"/><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s://www.opm.gov/policy-data-oversight/pay-leave/salaries-wages/salary-tables/pdf/2021/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Payne, Sterai C.  (C-M JV/Cadre)</cp:lastModifiedBy>
  <cp:revision>4</cp:revision>
  <cp:lastPrinted>2008-01-29T15:40:00Z</cp:lastPrinted>
  <dcterms:created xsi:type="dcterms:W3CDTF">2022-03-09T19:26:00Z</dcterms:created>
  <dcterms:modified xsi:type="dcterms:W3CDTF">2022-03-09T19:42:00Z</dcterms:modified>
</cp:coreProperties>
</file>