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0A1A" w:rsidR="00C40A1A" w:rsidP="00C40A1A" w:rsidRDefault="00C40A1A">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bookmarkStart w:name="_GoBack" w:id="0"/>
      <w:bookmarkEnd w:id="0"/>
      <w:r w:rsidRPr="00C40A1A">
        <w:rPr>
          <w:rFonts w:ascii="Times New Roman" w:hAnsi="Times New Roman"/>
          <w:szCs w:val="24"/>
        </w:rPr>
        <w:t>SUPPORTING STATEMENT</w:t>
      </w:r>
    </w:p>
    <w:p w:rsidRPr="00B37694" w:rsidR="00B37694" w:rsidP="000014B9" w:rsidRDefault="00FA05C6">
      <w:pPr>
        <w:widowControl/>
        <w:tabs>
          <w:tab w:val="center" w:pos="5112"/>
        </w:tabs>
        <w:jc w:val="center"/>
        <w:rPr>
          <w:rFonts w:ascii="Times New Roman" w:hAnsi="Times New Roman"/>
        </w:rPr>
      </w:pPr>
      <w:r w:rsidRPr="00FA05C6">
        <w:rPr>
          <w:rFonts w:ascii="Times New Roman" w:hAnsi="Times New Roman"/>
        </w:rPr>
        <w:t xml:space="preserve">PRIVACY OF CONSUMER FINANCIAL INFORMATION </w:t>
      </w:r>
    </w:p>
    <w:p w:rsidRPr="00C40A1A" w:rsidR="00C40A1A" w:rsidP="00915517" w:rsidRDefault="0091551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sidR="00C40A1A">
        <w:rPr>
          <w:rFonts w:ascii="Times New Roman" w:hAnsi="Times New Roman"/>
          <w:szCs w:val="24"/>
        </w:rPr>
        <w:t>(OMB Control No. 3064-0</w:t>
      </w:r>
      <w:r w:rsidR="00A55F32">
        <w:rPr>
          <w:rFonts w:ascii="Times New Roman" w:hAnsi="Times New Roman"/>
          <w:szCs w:val="24"/>
        </w:rPr>
        <w:t>1</w:t>
      </w:r>
      <w:r w:rsidR="00FA05C6">
        <w:rPr>
          <w:rFonts w:ascii="Times New Roman" w:hAnsi="Times New Roman"/>
          <w:szCs w:val="24"/>
        </w:rPr>
        <w:t>36</w:t>
      </w:r>
      <w:r w:rsidRPr="00C40A1A" w:rsidR="00C40A1A">
        <w:rPr>
          <w:rFonts w:ascii="Times New Roman" w:hAnsi="Times New Roman"/>
          <w:szCs w:val="24"/>
        </w:rPr>
        <w:t>)</w:t>
      </w: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rsidRDefault="00D07D24">
      <w:pPr>
        <w:widowControl/>
        <w:autoSpaceDE w:val="0"/>
        <w:autoSpaceDN w:val="0"/>
        <w:adjustRightInd w:val="0"/>
        <w:rPr>
          <w:rFonts w:ascii="Times New Roman" w:hAnsi="Times New Roman"/>
          <w:szCs w:val="24"/>
        </w:rPr>
      </w:pPr>
    </w:p>
    <w:p w:rsidR="00B10980" w:rsidP="00583579" w:rsidRDefault="00FA05C6">
      <w:pPr>
        <w:widowControl/>
        <w:autoSpaceDE w:val="0"/>
        <w:autoSpaceDN w:val="0"/>
        <w:adjustRightInd w:val="0"/>
        <w:rPr>
          <w:rFonts w:ascii="Times New Roman" w:hAnsi="Times New Roman"/>
          <w:szCs w:val="24"/>
        </w:rPr>
      </w:pPr>
      <w:r w:rsidRPr="00FA05C6">
        <w:rPr>
          <w:rFonts w:ascii="Times New Roman" w:hAnsi="Times New Roman"/>
          <w:bCs/>
          <w:szCs w:val="24"/>
        </w:rPr>
        <w:t xml:space="preserve">The Federal Deposit Insurance Corporation (FDIC) is requesting a three-year renewal of the information collection for its collection (3064-0136) associated with privacy of consumer </w:t>
      </w:r>
      <w:proofErr w:type="gramStart"/>
      <w:r w:rsidRPr="00FA05C6">
        <w:rPr>
          <w:rFonts w:ascii="Times New Roman" w:hAnsi="Times New Roman"/>
          <w:bCs/>
          <w:szCs w:val="24"/>
        </w:rPr>
        <w:t>financial</w:t>
      </w:r>
      <w:proofErr w:type="gramEnd"/>
      <w:r w:rsidRPr="00FA05C6">
        <w:rPr>
          <w:rFonts w:ascii="Times New Roman" w:hAnsi="Times New Roman"/>
          <w:bCs/>
          <w:szCs w:val="24"/>
        </w:rPr>
        <w:t xml:space="preserve"> information.  The current clearance for the collection expires on </w:t>
      </w:r>
      <w:r>
        <w:rPr>
          <w:rFonts w:ascii="Times New Roman" w:hAnsi="Times New Roman"/>
          <w:bCs/>
          <w:szCs w:val="24"/>
        </w:rPr>
        <w:t>March 31, 2022</w:t>
      </w:r>
      <w:r w:rsidRPr="00FA05C6">
        <w:rPr>
          <w:rFonts w:ascii="Times New Roman" w:hAnsi="Times New Roman"/>
          <w:bCs/>
          <w:szCs w:val="24"/>
        </w:rPr>
        <w:t xml:space="preserve">.  There is no change in the method or substance of the collection.  </w:t>
      </w:r>
    </w:p>
    <w:p w:rsidR="000014B9" w:rsidP="00583579" w:rsidRDefault="000014B9">
      <w:pPr>
        <w:widowControl/>
        <w:autoSpaceDE w:val="0"/>
        <w:autoSpaceDN w:val="0"/>
        <w:adjustRightInd w:val="0"/>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JUSTIFICATION</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rsidRDefault="00F146F1">
      <w:pPr>
        <w:widowControl/>
        <w:rPr>
          <w:rFonts w:ascii="Times New Roman" w:hAnsi="Times New Roman"/>
        </w:rPr>
      </w:pPr>
    </w:p>
    <w:p w:rsidRPr="00FA4D5D" w:rsidR="00FA4D5D" w:rsidP="000014B9" w:rsidRDefault="00635EB1">
      <w:pPr>
        <w:widowControl/>
        <w:ind w:left="1440"/>
        <w:rPr>
          <w:rFonts w:ascii="Times New Roman" w:hAnsi="Times New Roman"/>
        </w:rPr>
      </w:pPr>
      <w:r w:rsidRPr="00635EB1">
        <w:rPr>
          <w:rFonts w:ascii="Times New Roman" w:hAnsi="Times New Roman"/>
        </w:rPr>
        <w:t>The elements of this information collection are required under section 504 of the Gramm-Leach-Bliley Act (Act), Public Law No. 106-102.  Section 502 of the Act prohibits a financial institution from disclosing nonpublic personal information about a consumer to nonaffiliated third parties unless the institution satisfies various disclosure requirements (i.e., provides a privacy notice and opt out notice) and the consumer has not elected to opt out of the disclosure.  Section 504 requires the Office of the Comptroller of the Currency, Board of Governors of the Federal Reserve System, Federal Deposit Insurance Corporation, Office of Thrift Supervision, National Credit Union Administration, Federal Trade Commission, and Securities and Exchange Commission to issue regulations as necessary to implement the notice requirements and restrictions.  The agencies issued final regulations on June 1, 2000 (65 FR 35162), and obtained OMB approval to collect the information in conjunction with that rulemaking.  In December 2011, the CFPB recodified in Regulation P, 12 CFR Part 1016, the implementing regulations that were previously issued by the aforementioned agencies in 2000 (see 12 CFR 1016.1(b)).</w:t>
      </w:r>
      <w:r w:rsidRPr="00FA4D5D" w:rsidR="00FA4D5D">
        <w:rPr>
          <w:rFonts w:ascii="Times New Roman" w:hAnsi="Times New Roman"/>
        </w:rPr>
        <w:t xml:space="preserve">     </w:t>
      </w:r>
    </w:p>
    <w:p w:rsidR="0024672A" w:rsidP="00FA4D5D" w:rsidRDefault="0024672A">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rsidRDefault="00F146F1">
      <w:pPr>
        <w:widowControl/>
        <w:rPr>
          <w:rFonts w:ascii="Times New Roman" w:hAnsi="Times New Roman"/>
        </w:rPr>
      </w:pPr>
    </w:p>
    <w:p w:rsidR="00F146F1" w:rsidP="000014B9" w:rsidRDefault="00635EB1">
      <w:pPr>
        <w:widowControl/>
        <w:ind w:left="1440"/>
        <w:rPr>
          <w:rFonts w:ascii="Times New Roman" w:hAnsi="Times New Roman"/>
        </w:rPr>
      </w:pPr>
      <w:r w:rsidRPr="00635EB1">
        <w:rPr>
          <w:rFonts w:ascii="Times New Roman" w:hAnsi="Times New Roman"/>
        </w:rPr>
        <w:t>Consumers use the privacy notice information to determine whether they want personal information disclosed to third parties that are not affiliated with the institution.  Further, consumers use the opt-out notice mechanism to advise the bank of their wishes regarding disclosure of their personal information.  Institutions use the opt-out information to determine the wishes of their consumers and to act appropriately</w:t>
      </w:r>
      <w:r>
        <w:rPr>
          <w:rFonts w:ascii="Times New Roman" w:hAnsi="Times New Roman"/>
        </w:rPr>
        <w:t>.</w:t>
      </w:r>
    </w:p>
    <w:p w:rsidR="00FA4D5D" w:rsidP="00FA4D5D" w:rsidRDefault="00FA4D5D">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rsidRDefault="00F146F1">
      <w:pPr>
        <w:widowControl/>
        <w:rPr>
          <w:rFonts w:ascii="Times New Roman" w:hAnsi="Times New Roman"/>
        </w:rPr>
      </w:pPr>
    </w:p>
    <w:p w:rsidR="00F146F1" w:rsidRDefault="00635EB1">
      <w:pPr>
        <w:widowControl/>
        <w:ind w:left="1440"/>
        <w:rPr>
          <w:rFonts w:ascii="Times New Roman" w:hAnsi="Times New Roman"/>
        </w:rPr>
      </w:pPr>
      <w:r w:rsidRPr="00635EB1">
        <w:rPr>
          <w:rFonts w:ascii="Times New Roman" w:hAnsi="Times New Roman"/>
        </w:rPr>
        <w:t xml:space="preserve">The collections are disclosures, filings from consumers, and internal institution records.  Institutions are not prohibited from using any technology that facilitates </w:t>
      </w:r>
      <w:r w:rsidRPr="00635EB1">
        <w:rPr>
          <w:rFonts w:ascii="Times New Roman" w:hAnsi="Times New Roman"/>
        </w:rPr>
        <w:lastRenderedPageBreak/>
        <w:t>consumer understanding and response and that permits review, as appropriate, by examiners</w:t>
      </w:r>
      <w:r w:rsidRPr="00FA4D5D" w:rsidR="00FA4D5D">
        <w:rPr>
          <w:rFonts w:ascii="Times New Roman" w:hAnsi="Times New Roman"/>
        </w:rPr>
        <w:t>.</w:t>
      </w:r>
      <w:r w:rsidR="00F146F1">
        <w:rPr>
          <w:rFonts w:ascii="Times New Roman" w:hAnsi="Times New Roman"/>
        </w:rPr>
        <w:t xml:space="preserve">  </w:t>
      </w:r>
    </w:p>
    <w:p w:rsidR="00F146F1" w:rsidRDefault="00F146F1">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rsidRDefault="00F146F1">
      <w:pPr>
        <w:widowControl/>
        <w:rPr>
          <w:rFonts w:ascii="Times New Roman" w:hAnsi="Times New Roman"/>
        </w:rPr>
      </w:pPr>
    </w:p>
    <w:p w:rsidR="00F146F1" w:rsidP="00FA4D5D" w:rsidRDefault="00621A3B">
      <w:pPr>
        <w:widowControl/>
        <w:ind w:left="1440"/>
        <w:rPr>
          <w:rFonts w:ascii="Times New Roman" w:hAnsi="Times New Roman"/>
        </w:rPr>
      </w:pPr>
      <w:r w:rsidRPr="00621A3B">
        <w:rPr>
          <w:rFonts w:ascii="Times New Roman" w:hAnsi="Times New Roman"/>
        </w:rPr>
        <w:t>The information required by this collection is not available elsewhere.</w:t>
      </w:r>
    </w:p>
    <w:p w:rsidR="00ED4700" w:rsidRDefault="00ED4700">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rsidRDefault="00F146F1">
      <w:pPr>
        <w:widowControl/>
        <w:rPr>
          <w:rFonts w:ascii="Times New Roman" w:hAnsi="Times New Roman"/>
        </w:rPr>
      </w:pPr>
    </w:p>
    <w:p w:rsidR="00621A3B" w:rsidP="00621A3B" w:rsidRDefault="001C1BA8">
      <w:pPr>
        <w:widowControl/>
        <w:ind w:left="1440"/>
        <w:rPr>
          <w:rFonts w:ascii="Times New Roman" w:hAnsi="Times New Roman"/>
        </w:rPr>
      </w:pPr>
      <w:r w:rsidRPr="001C1BA8">
        <w:rPr>
          <w:rFonts w:ascii="Times New Roman" w:hAnsi="Times New Roman"/>
        </w:rPr>
        <w:t>The information collections do not impose any significant burden beyond that required by the statute.  Because of the statutory requirements, there are no significant alternatives that minimize burden on small institutions</w:t>
      </w:r>
      <w:r w:rsidRPr="00621A3B" w:rsidR="00621A3B">
        <w:rPr>
          <w:rFonts w:ascii="Times New Roman" w:hAnsi="Times New Roman"/>
        </w:rPr>
        <w:t xml:space="preserve">. </w:t>
      </w:r>
    </w:p>
    <w:p w:rsidR="001C1BA8" w:rsidP="00621A3B" w:rsidRDefault="001C1BA8">
      <w:pPr>
        <w:widowControl/>
        <w:ind w:left="1440"/>
        <w:rPr>
          <w:rFonts w:ascii="Times New Roman" w:hAnsi="Times New Roman"/>
        </w:rPr>
      </w:pPr>
    </w:p>
    <w:p w:rsidRPr="00745164" w:rsidR="00745164" w:rsidP="00745164" w:rsidRDefault="001C1BA8">
      <w:pPr>
        <w:snapToGrid w:val="0"/>
        <w:ind w:left="1440"/>
        <w:rPr>
          <w:rFonts w:ascii="Times New Roman" w:hAnsi="Times New Roman" w:eastAsia="Calibri"/>
          <w:snapToGrid/>
          <w:szCs w:val="24"/>
        </w:rPr>
      </w:pPr>
      <w:r w:rsidRPr="005D1420">
        <w:rPr>
          <w:rFonts w:ascii="Times New Roman" w:hAnsi="Times New Roman"/>
        </w:rPr>
        <w:t xml:space="preserve">This collection </w:t>
      </w:r>
      <w:r>
        <w:rPr>
          <w:rFonts w:ascii="Times New Roman" w:hAnsi="Times New Roman"/>
        </w:rPr>
        <w:t>has</w:t>
      </w:r>
      <w:r w:rsidRPr="005D1420">
        <w:rPr>
          <w:rFonts w:ascii="Times New Roman" w:hAnsi="Times New Roman"/>
        </w:rPr>
        <w:t xml:space="preserve"> a significant impact on a substantial number of small entities.</w:t>
      </w:r>
      <w:r>
        <w:rPr>
          <w:rFonts w:ascii="Times New Roman" w:hAnsi="Times New Roman"/>
        </w:rPr>
        <w:t xml:space="preserve">  </w:t>
      </w:r>
      <w:r w:rsidRPr="00745164" w:rsidR="00745164">
        <w:rPr>
          <w:rFonts w:ascii="Times New Roman" w:hAnsi="Times New Roman" w:eastAsia="Calibri"/>
          <w:snapToGrid/>
          <w:szCs w:val="24"/>
        </w:rPr>
        <w:t>In particular, according to Call Report data as of September 31, 2021, there were 3,177 FDIC-supervised institutions.  2,250 of these entities have total assets of less than $600 million therefore meeting the Small Business Administration’s definition of a “small entity.”</w:t>
      </w:r>
    </w:p>
    <w:p w:rsidR="004A75C2" w:rsidP="004A75C2" w:rsidRDefault="004A75C2">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rsidRDefault="00F146F1">
      <w:pPr>
        <w:widowControl/>
        <w:rPr>
          <w:rFonts w:ascii="Times New Roman" w:hAnsi="Times New Roman"/>
        </w:rPr>
      </w:pPr>
    </w:p>
    <w:p w:rsidR="00F146F1" w:rsidRDefault="00D677B6">
      <w:pPr>
        <w:widowControl/>
        <w:ind w:left="1440"/>
        <w:rPr>
          <w:rFonts w:ascii="Times New Roman" w:hAnsi="Times New Roman"/>
        </w:rPr>
      </w:pPr>
      <w:r w:rsidRPr="00D677B6">
        <w:rPr>
          <w:rFonts w:ascii="Times New Roman" w:hAnsi="Times New Roman"/>
        </w:rPr>
        <w:t>The collection in the regulation closely follows the Gramm-Leach-Bliley Act, which requires institutions to provide an updated and annually restated notice to their customers of their privacy policies and practices, and to permit consumers to opt-out of disclosure of their personal information.</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rsidRDefault="00F146F1">
      <w:pPr>
        <w:widowControl/>
        <w:rPr>
          <w:rFonts w:ascii="Times New Roman" w:hAnsi="Times New Roman"/>
        </w:rPr>
      </w:pPr>
    </w:p>
    <w:p w:rsidR="00F146F1" w:rsidP="00820109" w:rsidRDefault="002423D4">
      <w:pPr>
        <w:widowControl/>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w:t>
      </w:r>
      <w:proofErr w:type="gramStart"/>
      <w:r w:rsidRPr="00366534">
        <w:rPr>
          <w:rFonts w:ascii="Times New Roman" w:hAnsi="Times New Roman"/>
          <w:bCs/>
          <w:iCs/>
        </w:rPr>
        <w:t>)(</w:t>
      </w:r>
      <w:proofErr w:type="gramEnd"/>
      <w:r w:rsidRPr="00366534">
        <w:rPr>
          <w:rFonts w:ascii="Times New Roman" w:hAnsi="Times New Roman"/>
          <w:bCs/>
          <w:iCs/>
        </w:rPr>
        <w:t>2).</w:t>
      </w:r>
    </w:p>
    <w:p w:rsidR="00F146F1" w:rsidRDefault="00F146F1">
      <w:pPr>
        <w:widowControl/>
        <w:ind w:left="576"/>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Efforts to consult with persons outside the agency:</w:t>
      </w:r>
    </w:p>
    <w:p w:rsidRPr="00280958" w:rsidR="00F146F1" w:rsidP="00280958" w:rsidRDefault="00F146F1">
      <w:pPr>
        <w:widowControl/>
        <w:ind w:left="1440"/>
        <w:rPr>
          <w:rFonts w:ascii="Times New Roman" w:hAnsi="Times New Roman"/>
        </w:rPr>
      </w:pPr>
    </w:p>
    <w:p w:rsidR="00F146F1" w:rsidP="00280958" w:rsidRDefault="002423D4">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0014B9">
        <w:rPr>
          <w:rFonts w:ascii="Times New Roman" w:hAnsi="Times New Roman"/>
        </w:rPr>
        <w:t>December 6, 2021 (86</w:t>
      </w:r>
      <w:r>
        <w:rPr>
          <w:rFonts w:ascii="Times New Roman" w:hAnsi="Times New Roman"/>
        </w:rPr>
        <w:t xml:space="preserve"> FR </w:t>
      </w:r>
      <w:r w:rsidR="000014B9">
        <w:rPr>
          <w:rFonts w:ascii="Times New Roman" w:hAnsi="Times New Roman"/>
        </w:rPr>
        <w:t>69033</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Pr="00280958" w:rsidR="00280958" w:rsidP="00280958" w:rsidRDefault="00280958">
      <w:pPr>
        <w:pStyle w:val="Footer"/>
        <w:widowControl/>
        <w:tabs>
          <w:tab w:val="clear" w:pos="4320"/>
          <w:tab w:val="clear" w:pos="8640"/>
        </w:tabs>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rsidRDefault="00F146F1">
      <w:pPr>
        <w:widowControl/>
        <w:rPr>
          <w:rFonts w:ascii="Times New Roman" w:hAnsi="Times New Roman"/>
        </w:rPr>
      </w:pPr>
    </w:p>
    <w:p w:rsidR="00F146F1" w:rsidRDefault="00712BA4">
      <w:pPr>
        <w:widowControl/>
        <w:ind w:left="720" w:firstLine="720"/>
        <w:rPr>
          <w:rFonts w:ascii="Times New Roman" w:hAnsi="Times New Roman"/>
        </w:rPr>
      </w:pPr>
      <w:r w:rsidRPr="00712BA4">
        <w:rPr>
          <w:rFonts w:ascii="Times New Roman" w:hAnsi="Times New Roman"/>
        </w:rPr>
        <w:t>Not applicable.</w:t>
      </w:r>
      <w:r w:rsidR="00F146F1">
        <w:rPr>
          <w:rFonts w:ascii="Times New Roman" w:hAnsi="Times New Roman"/>
        </w:rPr>
        <w:t xml:space="preserve"> </w:t>
      </w:r>
    </w:p>
    <w:p w:rsidR="00573F81" w:rsidP="00E57520" w:rsidRDefault="00573F8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rsidRDefault="00F146F1">
      <w:pPr>
        <w:widowControl/>
        <w:ind w:left="576"/>
        <w:rPr>
          <w:rFonts w:ascii="Times New Roman" w:hAnsi="Times New Roman"/>
        </w:rPr>
      </w:pPr>
    </w:p>
    <w:p w:rsidR="00F146F1" w:rsidRDefault="00E57520">
      <w:pPr>
        <w:widowControl/>
        <w:ind w:left="1440"/>
        <w:rPr>
          <w:rFonts w:ascii="Times New Roman" w:hAnsi="Times New Roman"/>
        </w:rPr>
      </w:pPr>
      <w:r w:rsidRPr="00E57520">
        <w:rPr>
          <w:rFonts w:ascii="Times New Roman" w:hAnsi="Times New Roman"/>
        </w:rPr>
        <w:lastRenderedPageBreak/>
        <w:t>Any information deemed to be of a confidential nature would be exempt from public disclosure in accordance with the provisions of the Freedom of Information Act (5 U.S.C. 552).</w:t>
      </w:r>
      <w:r w:rsidR="00F146F1">
        <w:rPr>
          <w:rFonts w:ascii="Times New Roman" w:hAnsi="Times New Roman"/>
        </w:rPr>
        <w:t xml:space="preserve">  </w:t>
      </w:r>
    </w:p>
    <w:p w:rsidR="00621A3B" w:rsidRDefault="00621A3B">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rsidRDefault="00F146F1">
      <w:pPr>
        <w:widowControl/>
        <w:rPr>
          <w:rFonts w:ascii="Times New Roman" w:hAnsi="Times New Roman"/>
        </w:rPr>
      </w:pPr>
    </w:p>
    <w:p w:rsidR="009D2562" w:rsidP="009D2562" w:rsidRDefault="00621A3B">
      <w:pPr>
        <w:widowControl/>
        <w:ind w:left="1440"/>
        <w:rPr>
          <w:rFonts w:ascii="Times New Roman" w:hAnsi="Times New Roman"/>
        </w:rPr>
      </w:pPr>
      <w:r w:rsidRPr="00621A3B">
        <w:rPr>
          <w:rFonts w:ascii="Times New Roman" w:hAnsi="Times New Roman"/>
        </w:rPr>
        <w:t>No questions of a sensitive nature are included in the collection.</w:t>
      </w:r>
    </w:p>
    <w:p w:rsidR="002423D4" w:rsidP="00820109" w:rsidRDefault="002423D4">
      <w:pPr>
        <w:widowControl/>
        <w:rPr>
          <w:rFonts w:ascii="Times New Roman" w:hAnsi="Times New Roman" w:eastAsia="Calibri"/>
        </w:rPr>
      </w:pPr>
    </w:p>
    <w:p w:rsidRPr="00621A3B" w:rsidR="00F146F1" w:rsidP="00F175D5" w:rsidRDefault="002423D4">
      <w:pPr>
        <w:widowControl/>
        <w:numPr>
          <w:ilvl w:val="0"/>
          <w:numId w:val="4"/>
        </w:numPr>
        <w:rPr>
          <w:rFonts w:ascii="Times New Roman" w:hAnsi="Times New Roman"/>
        </w:rPr>
      </w:pPr>
      <w:bookmarkStart w:name="_DV_M10" w:id="1"/>
      <w:bookmarkEnd w:id="1"/>
      <w:r w:rsidRPr="009234BE">
        <w:rPr>
          <w:rFonts w:ascii="Times New Roman" w:hAnsi="Times New Roman"/>
          <w:u w:val="single"/>
        </w:rPr>
        <w:t>Estimate of hour burden including annualized hourly costs:</w:t>
      </w:r>
    </w:p>
    <w:p w:rsidRPr="00745164" w:rsidR="00621A3B" w:rsidP="00621A3B" w:rsidRDefault="00621A3B">
      <w:pPr>
        <w:widowControl/>
        <w:ind w:left="720"/>
        <w:rPr>
          <w:rFonts w:ascii="Times New Roman" w:hAnsi="Times New Roman"/>
        </w:rPr>
      </w:pPr>
    </w:p>
    <w:tbl>
      <w:tblPr>
        <w:tblW w:w="10480" w:type="dxa"/>
        <w:jc w:val="center"/>
        <w:tblLook w:val="04A0" w:firstRow="1" w:lastRow="0" w:firstColumn="1" w:lastColumn="0" w:noHBand="0" w:noVBand="1"/>
      </w:tblPr>
      <w:tblGrid>
        <w:gridCol w:w="1841"/>
        <w:gridCol w:w="2058"/>
        <w:gridCol w:w="1409"/>
        <w:gridCol w:w="1289"/>
        <w:gridCol w:w="1323"/>
        <w:gridCol w:w="1033"/>
        <w:gridCol w:w="1527"/>
      </w:tblGrid>
      <w:tr w:rsidRPr="00D677B6" w:rsidR="00D677B6" w:rsidTr="00121FED">
        <w:trPr>
          <w:trHeight w:val="300"/>
          <w:jc w:val="center"/>
        </w:trPr>
        <w:tc>
          <w:tcPr>
            <w:tcW w:w="10480"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D677B6" w:rsidR="00D677B6" w:rsidP="00D677B6" w:rsidRDefault="00D677B6">
            <w:pPr>
              <w:suppressAutoHyphens/>
              <w:autoSpaceDE w:val="0"/>
              <w:autoSpaceDN w:val="0"/>
              <w:spacing w:after="240" w:line="260" w:lineRule="exact"/>
              <w:ind w:right="-86"/>
              <w:jc w:val="center"/>
              <w:rPr>
                <w:rFonts w:ascii="Times New Roman" w:hAnsi="Times New Roman"/>
                <w:b/>
                <w:bCs/>
                <w:snapToGrid/>
                <w:color w:val="000000"/>
                <w:sz w:val="20"/>
              </w:rPr>
            </w:pPr>
            <w:r w:rsidRPr="00D677B6">
              <w:rPr>
                <w:rFonts w:ascii="Times New Roman" w:hAnsi="Times New Roman"/>
                <w:b/>
                <w:bCs/>
                <w:snapToGrid/>
                <w:color w:val="000000"/>
                <w:sz w:val="20"/>
              </w:rPr>
              <w:t>Summary of Estimated Annual Burden (OMB No. 3064-0136)</w:t>
            </w:r>
            <w:r w:rsidRPr="00D677B6">
              <w:rPr>
                <w:rFonts w:ascii="Times New Roman" w:hAnsi="Times New Roman"/>
                <w:snapToGrid/>
                <w:color w:val="000000"/>
                <w:sz w:val="20"/>
              </w:rPr>
              <w:t> </w:t>
            </w:r>
          </w:p>
        </w:tc>
      </w:tr>
      <w:tr w:rsidRPr="00D677B6" w:rsidR="00D677B6" w:rsidTr="00121FED">
        <w:trPr>
          <w:trHeight w:val="840"/>
          <w:jc w:val="center"/>
        </w:trPr>
        <w:tc>
          <w:tcPr>
            <w:tcW w:w="1940" w:type="dxa"/>
            <w:tcBorders>
              <w:top w:val="nil"/>
              <w:left w:val="single" w:color="auto" w:sz="8" w:space="0"/>
              <w:bottom w:val="single" w:color="auto" w:sz="8" w:space="0"/>
              <w:right w:val="single" w:color="auto" w:sz="8" w:space="0"/>
            </w:tcBorders>
            <w:shd w:val="clear" w:color="000000" w:fill="D9D9D9"/>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Information Collection Description</w:t>
            </w:r>
          </w:p>
        </w:tc>
        <w:tc>
          <w:tcPr>
            <w:tcW w:w="2180" w:type="dxa"/>
            <w:tcBorders>
              <w:top w:val="nil"/>
              <w:left w:val="nil"/>
              <w:bottom w:val="single" w:color="auto" w:sz="8" w:space="0"/>
              <w:right w:val="single" w:color="auto" w:sz="8" w:space="0"/>
            </w:tcBorders>
            <w:shd w:val="clear" w:color="000000" w:fill="D9D9D9"/>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Type of Burden (Obligation to Respond) </w:t>
            </w:r>
          </w:p>
        </w:tc>
        <w:tc>
          <w:tcPr>
            <w:tcW w:w="1460" w:type="dxa"/>
            <w:tcBorders>
              <w:top w:val="nil"/>
              <w:left w:val="nil"/>
              <w:bottom w:val="single" w:color="auto" w:sz="8" w:space="0"/>
              <w:right w:val="single" w:color="auto" w:sz="8" w:space="0"/>
            </w:tcBorders>
            <w:shd w:val="clear" w:color="000000" w:fill="D9D9D9"/>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Frequency of Response </w:t>
            </w:r>
          </w:p>
        </w:tc>
        <w:tc>
          <w:tcPr>
            <w:tcW w:w="1240" w:type="dxa"/>
            <w:tcBorders>
              <w:top w:val="nil"/>
              <w:left w:val="nil"/>
              <w:bottom w:val="single" w:color="auto" w:sz="8" w:space="0"/>
              <w:right w:val="single" w:color="auto" w:sz="8" w:space="0"/>
            </w:tcBorders>
            <w:shd w:val="clear" w:color="000000" w:fill="D9D9D9"/>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Number of Respondents </w:t>
            </w:r>
          </w:p>
        </w:tc>
        <w:tc>
          <w:tcPr>
            <w:tcW w:w="1340" w:type="dxa"/>
            <w:tcBorders>
              <w:top w:val="nil"/>
              <w:left w:val="nil"/>
              <w:bottom w:val="single" w:color="auto" w:sz="8" w:space="0"/>
              <w:right w:val="single" w:color="auto" w:sz="8" w:space="0"/>
            </w:tcBorders>
            <w:shd w:val="clear" w:color="000000" w:fill="D9D9D9"/>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Number of Responses per Respondent </w:t>
            </w:r>
          </w:p>
        </w:tc>
        <w:tc>
          <w:tcPr>
            <w:tcW w:w="960" w:type="dxa"/>
            <w:tcBorders>
              <w:top w:val="nil"/>
              <w:left w:val="nil"/>
              <w:bottom w:val="single" w:color="auto" w:sz="8" w:space="0"/>
              <w:right w:val="single" w:color="auto" w:sz="8" w:space="0"/>
            </w:tcBorders>
            <w:shd w:val="clear" w:color="000000" w:fill="D9D9D9"/>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Hours per Response </w:t>
            </w:r>
          </w:p>
        </w:tc>
        <w:tc>
          <w:tcPr>
            <w:tcW w:w="1360" w:type="dxa"/>
            <w:tcBorders>
              <w:top w:val="nil"/>
              <w:left w:val="nil"/>
              <w:bottom w:val="single" w:color="auto" w:sz="8" w:space="0"/>
              <w:right w:val="single" w:color="auto" w:sz="8" w:space="0"/>
            </w:tcBorders>
            <w:shd w:val="clear" w:color="000000" w:fill="D9D9D9"/>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Annual Burden (Hours) </w:t>
            </w:r>
          </w:p>
        </w:tc>
      </w:tr>
      <w:tr w:rsidRPr="00D677B6" w:rsidR="00D677B6" w:rsidTr="00121FED">
        <w:trPr>
          <w:trHeight w:val="600"/>
          <w:jc w:val="center"/>
        </w:trPr>
        <w:tc>
          <w:tcPr>
            <w:tcW w:w="1940" w:type="dxa"/>
            <w:tcBorders>
              <w:top w:val="nil"/>
              <w:left w:val="single" w:color="auto" w:sz="8" w:space="0"/>
              <w:bottom w:val="single" w:color="auto" w:sz="8" w:space="0"/>
              <w:right w:val="single" w:color="auto" w:sz="8" w:space="0"/>
            </w:tcBorders>
            <w:shd w:val="clear" w:color="auto" w:fill="auto"/>
            <w:vAlign w:val="center"/>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Initial Notice to Consumers</w:t>
            </w:r>
          </w:p>
        </w:tc>
        <w:tc>
          <w:tcPr>
            <w:tcW w:w="218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Third Party Disclosure (Mandatory)</w:t>
            </w:r>
          </w:p>
        </w:tc>
        <w:tc>
          <w:tcPr>
            <w:tcW w:w="14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On Occasion</w:t>
            </w:r>
          </w:p>
        </w:tc>
        <w:tc>
          <w:tcPr>
            <w:tcW w:w="124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94</w:t>
            </w:r>
          </w:p>
        </w:tc>
        <w:tc>
          <w:tcPr>
            <w:tcW w:w="134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1.4</w:t>
            </w:r>
          </w:p>
        </w:tc>
        <w:tc>
          <w:tcPr>
            <w:tcW w:w="9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60</w:t>
            </w:r>
          </w:p>
        </w:tc>
        <w:tc>
          <w:tcPr>
            <w:tcW w:w="13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7,896</w:t>
            </w:r>
          </w:p>
        </w:tc>
      </w:tr>
      <w:tr w:rsidRPr="00D677B6" w:rsidR="00D677B6" w:rsidTr="00121FED">
        <w:trPr>
          <w:trHeight w:val="600"/>
          <w:jc w:val="center"/>
        </w:trPr>
        <w:tc>
          <w:tcPr>
            <w:tcW w:w="1940" w:type="dxa"/>
            <w:tcBorders>
              <w:top w:val="nil"/>
              <w:left w:val="single" w:color="auto" w:sz="8" w:space="0"/>
              <w:bottom w:val="single" w:color="auto" w:sz="8" w:space="0"/>
              <w:right w:val="single" w:color="auto" w:sz="8" w:space="0"/>
            </w:tcBorders>
            <w:shd w:val="clear" w:color="auto" w:fill="auto"/>
            <w:vAlign w:val="center"/>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Opt-out Notice</w:t>
            </w:r>
          </w:p>
        </w:tc>
        <w:tc>
          <w:tcPr>
            <w:tcW w:w="218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Third Party Disclosure (Mandatory)</w:t>
            </w:r>
          </w:p>
        </w:tc>
        <w:tc>
          <w:tcPr>
            <w:tcW w:w="14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On Occasion</w:t>
            </w:r>
          </w:p>
        </w:tc>
        <w:tc>
          <w:tcPr>
            <w:tcW w:w="124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314</w:t>
            </w:r>
          </w:p>
        </w:tc>
        <w:tc>
          <w:tcPr>
            <w:tcW w:w="134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1</w:t>
            </w:r>
          </w:p>
        </w:tc>
        <w:tc>
          <w:tcPr>
            <w:tcW w:w="9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8</w:t>
            </w:r>
          </w:p>
        </w:tc>
        <w:tc>
          <w:tcPr>
            <w:tcW w:w="13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2,512</w:t>
            </w:r>
          </w:p>
        </w:tc>
      </w:tr>
      <w:tr w:rsidRPr="00D677B6" w:rsidR="00D677B6" w:rsidTr="00121FED">
        <w:trPr>
          <w:trHeight w:val="600"/>
          <w:jc w:val="center"/>
        </w:trPr>
        <w:tc>
          <w:tcPr>
            <w:tcW w:w="1940" w:type="dxa"/>
            <w:tcBorders>
              <w:top w:val="nil"/>
              <w:left w:val="single" w:color="auto" w:sz="8" w:space="0"/>
              <w:bottom w:val="single" w:color="auto" w:sz="8" w:space="0"/>
              <w:right w:val="single" w:color="auto" w:sz="8" w:space="0"/>
            </w:tcBorders>
            <w:shd w:val="clear" w:color="auto" w:fill="auto"/>
            <w:vAlign w:val="center"/>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Annual Notice and Change in Terms</w:t>
            </w:r>
          </w:p>
        </w:tc>
        <w:tc>
          <w:tcPr>
            <w:tcW w:w="218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Third Party Disclosure (Mandatory)</w:t>
            </w:r>
          </w:p>
        </w:tc>
        <w:tc>
          <w:tcPr>
            <w:tcW w:w="14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Annual</w:t>
            </w:r>
          </w:p>
        </w:tc>
        <w:tc>
          <w:tcPr>
            <w:tcW w:w="124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534</w:t>
            </w:r>
          </w:p>
        </w:tc>
        <w:tc>
          <w:tcPr>
            <w:tcW w:w="134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1</w:t>
            </w:r>
          </w:p>
        </w:tc>
        <w:tc>
          <w:tcPr>
            <w:tcW w:w="9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8</w:t>
            </w:r>
          </w:p>
        </w:tc>
        <w:tc>
          <w:tcPr>
            <w:tcW w:w="13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4,272</w:t>
            </w:r>
          </w:p>
        </w:tc>
      </w:tr>
      <w:tr w:rsidRPr="00D677B6" w:rsidR="00D677B6" w:rsidTr="00121FED">
        <w:trPr>
          <w:trHeight w:val="600"/>
          <w:jc w:val="center"/>
        </w:trPr>
        <w:tc>
          <w:tcPr>
            <w:tcW w:w="1940" w:type="dxa"/>
            <w:tcBorders>
              <w:top w:val="nil"/>
              <w:left w:val="single" w:color="auto" w:sz="8" w:space="0"/>
              <w:bottom w:val="single" w:color="auto" w:sz="8" w:space="0"/>
              <w:right w:val="single" w:color="auto" w:sz="8" w:space="0"/>
            </w:tcBorders>
            <w:shd w:val="clear" w:color="auto" w:fill="auto"/>
            <w:vAlign w:val="center"/>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 xml:space="preserve">Consumer Opt-out </w:t>
            </w:r>
          </w:p>
        </w:tc>
        <w:tc>
          <w:tcPr>
            <w:tcW w:w="218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Third Party Disclosure (Voluntary)</w:t>
            </w:r>
          </w:p>
        </w:tc>
        <w:tc>
          <w:tcPr>
            <w:tcW w:w="14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On Occasion</w:t>
            </w:r>
          </w:p>
        </w:tc>
        <w:tc>
          <w:tcPr>
            <w:tcW w:w="124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435,225</w:t>
            </w:r>
          </w:p>
        </w:tc>
        <w:tc>
          <w:tcPr>
            <w:tcW w:w="134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1</w:t>
            </w:r>
          </w:p>
        </w:tc>
        <w:tc>
          <w:tcPr>
            <w:tcW w:w="9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0.25</w:t>
            </w:r>
          </w:p>
        </w:tc>
        <w:tc>
          <w:tcPr>
            <w:tcW w:w="13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108,806.25</w:t>
            </w:r>
          </w:p>
        </w:tc>
      </w:tr>
      <w:tr w:rsidRPr="00D677B6" w:rsidR="00D677B6" w:rsidTr="00121FED">
        <w:trPr>
          <w:trHeight w:val="300"/>
          <w:jc w:val="center"/>
        </w:trPr>
        <w:tc>
          <w:tcPr>
            <w:tcW w:w="912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Total Annual Burden (Hours): </w:t>
            </w:r>
          </w:p>
        </w:tc>
        <w:tc>
          <w:tcPr>
            <w:tcW w:w="1360" w:type="dxa"/>
            <w:tcBorders>
              <w:top w:val="nil"/>
              <w:left w:val="nil"/>
              <w:bottom w:val="single" w:color="auto" w:sz="8" w:space="0"/>
              <w:right w:val="single" w:color="auto"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123,486.25</w:t>
            </w:r>
          </w:p>
        </w:tc>
      </w:tr>
      <w:tr w:rsidRPr="00D677B6" w:rsidR="00D677B6" w:rsidTr="00121FED">
        <w:trPr>
          <w:trHeight w:val="300"/>
          <w:jc w:val="center"/>
        </w:trPr>
        <w:tc>
          <w:tcPr>
            <w:tcW w:w="10480"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Source: FDIC. </w:t>
            </w:r>
          </w:p>
        </w:tc>
      </w:tr>
    </w:tbl>
    <w:p w:rsidRPr="00745164" w:rsidR="00F146F1" w:rsidRDefault="00F146F1">
      <w:pPr>
        <w:widowControl/>
        <w:rPr>
          <w:rFonts w:ascii="Times New Roman" w:hAnsi="Times New Roman"/>
          <w:sz w:val="22"/>
          <w:szCs w:val="22"/>
        </w:rPr>
      </w:pPr>
    </w:p>
    <w:p w:rsidRPr="00745164" w:rsidR="00D677B6" w:rsidP="000F36F0" w:rsidRDefault="00D677B6">
      <w:pPr>
        <w:tabs>
          <w:tab w:val="left" w:pos="-1440"/>
        </w:tabs>
        <w:spacing w:line="360" w:lineRule="auto"/>
        <w:ind w:left="720"/>
        <w:contextualSpacing/>
        <w:rPr>
          <w:rFonts w:ascii="Times New Roman" w:hAnsi="Times New Roman"/>
        </w:rPr>
      </w:pPr>
    </w:p>
    <w:tbl>
      <w:tblPr>
        <w:tblW w:w="10540" w:type="dxa"/>
        <w:jc w:val="center"/>
        <w:tblLook w:val="04A0" w:firstRow="1" w:lastRow="0" w:firstColumn="1" w:lastColumn="0" w:noHBand="0" w:noVBand="1"/>
      </w:tblPr>
      <w:tblGrid>
        <w:gridCol w:w="3180"/>
        <w:gridCol w:w="1640"/>
        <w:gridCol w:w="1140"/>
        <w:gridCol w:w="1700"/>
        <w:gridCol w:w="1180"/>
        <w:gridCol w:w="1700"/>
      </w:tblGrid>
      <w:tr w:rsidRPr="00D677B6" w:rsidR="00D677B6" w:rsidTr="00121FED">
        <w:trPr>
          <w:trHeight w:val="600"/>
          <w:jc w:val="center"/>
        </w:trPr>
        <w:tc>
          <w:tcPr>
            <w:tcW w:w="10540" w:type="dxa"/>
            <w:gridSpan w:val="6"/>
            <w:tcBorders>
              <w:top w:val="single" w:color="auto" w:sz="4" w:space="0"/>
              <w:left w:val="single" w:color="auto" w:sz="4" w:space="0"/>
              <w:bottom w:val="nil"/>
              <w:right w:val="single" w:color="000000" w:sz="4" w:space="0"/>
            </w:tcBorders>
            <w:shd w:val="clear" w:color="auto" w:fill="auto"/>
            <w:vAlign w:val="center"/>
            <w:hideMark/>
          </w:tcPr>
          <w:p w:rsidRPr="00D677B6" w:rsidR="00D677B6" w:rsidP="00D677B6" w:rsidRDefault="00D677B6">
            <w:pPr>
              <w:suppressAutoHyphens/>
              <w:autoSpaceDE w:val="0"/>
              <w:autoSpaceDN w:val="0"/>
              <w:spacing w:after="240" w:line="260" w:lineRule="exact"/>
              <w:ind w:right="-86"/>
              <w:jc w:val="center"/>
              <w:rPr>
                <w:rFonts w:ascii="Times New Roman" w:hAnsi="Times New Roman"/>
                <w:b/>
                <w:bCs/>
                <w:snapToGrid/>
                <w:color w:val="000000"/>
                <w:sz w:val="20"/>
              </w:rPr>
            </w:pPr>
            <w:r w:rsidRPr="00D677B6">
              <w:rPr>
                <w:rFonts w:ascii="Times New Roman" w:hAnsi="Times New Roman"/>
                <w:b/>
                <w:bCs/>
                <w:snapToGrid/>
                <w:color w:val="000000"/>
                <w:sz w:val="20"/>
              </w:rPr>
              <w:t>Occupation and Hourly Compensation Associated with Privacy of Consumer Financial Information ICR (3064-0136)</w:t>
            </w:r>
          </w:p>
        </w:tc>
      </w:tr>
      <w:tr w:rsidRPr="00D677B6" w:rsidR="00D677B6" w:rsidTr="00121FED">
        <w:trPr>
          <w:trHeight w:val="600"/>
          <w:jc w:val="center"/>
        </w:trPr>
        <w:tc>
          <w:tcPr>
            <w:tcW w:w="4820"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Information collection component: </w:t>
            </w:r>
          </w:p>
        </w:tc>
        <w:tc>
          <w:tcPr>
            <w:tcW w:w="2840" w:type="dxa"/>
            <w:gridSpan w:val="2"/>
            <w:tcBorders>
              <w:top w:val="single" w:color="auto" w:sz="8" w:space="0"/>
              <w:left w:val="nil"/>
              <w:bottom w:val="single" w:color="auto" w:sz="8" w:space="0"/>
              <w:right w:val="single" w:color="000000" w:sz="8" w:space="0"/>
            </w:tcBorders>
            <w:shd w:val="clear" w:color="auto" w:fill="auto"/>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 xml:space="preserve">Consumer Opt-out </w:t>
            </w:r>
          </w:p>
        </w:tc>
        <w:tc>
          <w:tcPr>
            <w:tcW w:w="2880" w:type="dxa"/>
            <w:gridSpan w:val="2"/>
            <w:tcBorders>
              <w:top w:val="single" w:color="auto" w:sz="8" w:space="0"/>
              <w:left w:val="nil"/>
              <w:bottom w:val="single" w:color="auto" w:sz="8" w:space="0"/>
              <w:right w:val="single" w:color="000000" w:sz="8" w:space="0"/>
            </w:tcBorders>
            <w:shd w:val="clear" w:color="auto" w:fill="auto"/>
            <w:noWrap/>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Other Components</w:t>
            </w:r>
          </w:p>
        </w:tc>
      </w:tr>
      <w:tr w:rsidRPr="00D677B6" w:rsidR="00D677B6" w:rsidTr="00121FED">
        <w:trPr>
          <w:trHeight w:val="828"/>
          <w:jc w:val="center"/>
        </w:trPr>
        <w:tc>
          <w:tcPr>
            <w:tcW w:w="3180" w:type="dxa"/>
            <w:tcBorders>
              <w:top w:val="single" w:color="auto" w:sz="8" w:space="0"/>
              <w:left w:val="single" w:color="auto" w:sz="8" w:space="0"/>
              <w:bottom w:val="single" w:color="auto" w:sz="4" w:space="0"/>
              <w:right w:val="single" w:color="auto" w:sz="4" w:space="0"/>
            </w:tcBorders>
            <w:shd w:val="clear" w:color="000000" w:fill="D0CECE"/>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Estimated Category of Personnel Responsible for Complying with the PRA Burden</w:t>
            </w:r>
          </w:p>
        </w:tc>
        <w:tc>
          <w:tcPr>
            <w:tcW w:w="1640" w:type="dxa"/>
            <w:tcBorders>
              <w:top w:val="single" w:color="auto" w:sz="8" w:space="0"/>
              <w:left w:val="nil"/>
              <w:bottom w:val="single" w:color="auto" w:sz="4" w:space="0"/>
              <w:right w:val="nil"/>
            </w:tcBorders>
            <w:shd w:val="clear" w:color="000000" w:fill="D0CECE"/>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Total Estimated Hourly Compensation</w:t>
            </w:r>
          </w:p>
        </w:tc>
        <w:tc>
          <w:tcPr>
            <w:tcW w:w="1140" w:type="dxa"/>
            <w:tcBorders>
              <w:top w:val="single" w:color="auto" w:sz="8" w:space="0"/>
              <w:left w:val="single" w:color="auto" w:sz="8" w:space="0"/>
              <w:bottom w:val="single" w:color="auto" w:sz="4" w:space="0"/>
              <w:right w:val="single" w:color="auto" w:sz="4" w:space="0"/>
            </w:tcBorders>
            <w:shd w:val="clear" w:color="000000" w:fill="D0CECE"/>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Estimated Weights</w:t>
            </w:r>
          </w:p>
        </w:tc>
        <w:tc>
          <w:tcPr>
            <w:tcW w:w="1700" w:type="dxa"/>
            <w:tcBorders>
              <w:top w:val="single" w:color="auto" w:sz="8" w:space="0"/>
              <w:left w:val="nil"/>
              <w:bottom w:val="single" w:color="auto" w:sz="4" w:space="0"/>
              <w:right w:val="single" w:color="auto" w:sz="8" w:space="0"/>
            </w:tcBorders>
            <w:shd w:val="clear" w:color="000000" w:fill="D0CECE"/>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Estimated Total Weighted Labor Cost Component</w:t>
            </w:r>
          </w:p>
        </w:tc>
        <w:tc>
          <w:tcPr>
            <w:tcW w:w="1180" w:type="dxa"/>
            <w:tcBorders>
              <w:top w:val="single" w:color="auto" w:sz="8" w:space="0"/>
              <w:left w:val="nil"/>
              <w:bottom w:val="single" w:color="auto" w:sz="4" w:space="0"/>
              <w:right w:val="single" w:color="auto" w:sz="4" w:space="0"/>
            </w:tcBorders>
            <w:shd w:val="clear" w:color="000000" w:fill="D0CECE"/>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Estimated Weights</w:t>
            </w:r>
          </w:p>
        </w:tc>
        <w:tc>
          <w:tcPr>
            <w:tcW w:w="1700" w:type="dxa"/>
            <w:tcBorders>
              <w:top w:val="single" w:color="auto" w:sz="8" w:space="0"/>
              <w:left w:val="nil"/>
              <w:bottom w:val="single" w:color="auto" w:sz="4" w:space="0"/>
              <w:right w:val="single" w:color="auto" w:sz="8" w:space="0"/>
            </w:tcBorders>
            <w:shd w:val="clear" w:color="000000" w:fill="D0CECE"/>
            <w:vAlign w:val="center"/>
            <w:hideMark/>
          </w:tcPr>
          <w:p w:rsidRPr="00D677B6" w:rsidR="00D677B6" w:rsidP="00D677B6" w:rsidRDefault="00D677B6">
            <w:pPr>
              <w:widowControl/>
              <w:jc w:val="center"/>
              <w:rPr>
                <w:rFonts w:ascii="Times New Roman" w:hAnsi="Times New Roman"/>
                <w:snapToGrid/>
                <w:color w:val="000000"/>
                <w:sz w:val="20"/>
              </w:rPr>
            </w:pPr>
            <w:r w:rsidRPr="00D677B6">
              <w:rPr>
                <w:rFonts w:ascii="Times New Roman" w:hAnsi="Times New Roman"/>
                <w:snapToGrid/>
                <w:color w:val="000000"/>
                <w:sz w:val="20"/>
              </w:rPr>
              <w:t>Estimated Total Weighted Labor Cost Component</w:t>
            </w:r>
          </w:p>
        </w:tc>
      </w:tr>
      <w:tr w:rsidRPr="00D677B6" w:rsidR="00D677B6" w:rsidTr="00121FED">
        <w:trPr>
          <w:trHeight w:val="288"/>
          <w:jc w:val="center"/>
        </w:trPr>
        <w:tc>
          <w:tcPr>
            <w:tcW w:w="318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Executives and Managers*</w:t>
            </w:r>
          </w:p>
        </w:tc>
        <w:tc>
          <w:tcPr>
            <w:tcW w:w="1640" w:type="dxa"/>
            <w:tcBorders>
              <w:top w:val="nil"/>
              <w:left w:val="nil"/>
              <w:bottom w:val="single" w:color="auto" w:sz="4" w:space="0"/>
              <w:right w:val="nil"/>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$131.09 </w:t>
            </w:r>
          </w:p>
        </w:tc>
        <w:tc>
          <w:tcPr>
            <w:tcW w:w="114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2%</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$2.62 </w:t>
            </w:r>
          </w:p>
        </w:tc>
        <w:tc>
          <w:tcPr>
            <w:tcW w:w="1180" w:type="dxa"/>
            <w:tcBorders>
              <w:top w:val="nil"/>
              <w:left w:val="nil"/>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2%</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$2.62 </w:t>
            </w:r>
          </w:p>
        </w:tc>
      </w:tr>
      <w:tr w:rsidRPr="00D677B6" w:rsidR="00D677B6" w:rsidTr="00121FED">
        <w:trPr>
          <w:trHeight w:val="288"/>
          <w:jc w:val="center"/>
        </w:trPr>
        <w:tc>
          <w:tcPr>
            <w:tcW w:w="318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Lawyers**</w:t>
            </w:r>
          </w:p>
        </w:tc>
        <w:tc>
          <w:tcPr>
            <w:tcW w:w="1640" w:type="dxa"/>
            <w:tcBorders>
              <w:top w:val="nil"/>
              <w:left w:val="nil"/>
              <w:bottom w:val="single" w:color="auto" w:sz="4" w:space="0"/>
              <w:right w:val="nil"/>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$156.79 </w:t>
            </w:r>
          </w:p>
        </w:tc>
        <w:tc>
          <w:tcPr>
            <w:tcW w:w="114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3%</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$4.70 </w:t>
            </w:r>
          </w:p>
        </w:tc>
        <w:tc>
          <w:tcPr>
            <w:tcW w:w="1180" w:type="dxa"/>
            <w:tcBorders>
              <w:top w:val="nil"/>
              <w:left w:val="nil"/>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3%</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$4.70 </w:t>
            </w:r>
          </w:p>
        </w:tc>
      </w:tr>
      <w:tr w:rsidRPr="00D677B6" w:rsidR="00D677B6" w:rsidTr="00121FED">
        <w:trPr>
          <w:trHeight w:val="288"/>
          <w:jc w:val="center"/>
        </w:trPr>
        <w:tc>
          <w:tcPr>
            <w:tcW w:w="318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Compliance Officer***</w:t>
            </w:r>
          </w:p>
        </w:tc>
        <w:tc>
          <w:tcPr>
            <w:tcW w:w="1640" w:type="dxa"/>
            <w:tcBorders>
              <w:top w:val="nil"/>
              <w:left w:val="nil"/>
              <w:bottom w:val="single" w:color="auto" w:sz="4" w:space="0"/>
              <w:right w:val="nil"/>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$69.38 </w:t>
            </w:r>
          </w:p>
        </w:tc>
        <w:tc>
          <w:tcPr>
            <w:tcW w:w="114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3%</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$2.08 </w:t>
            </w:r>
          </w:p>
        </w:tc>
        <w:tc>
          <w:tcPr>
            <w:tcW w:w="1180" w:type="dxa"/>
            <w:tcBorders>
              <w:top w:val="nil"/>
              <w:left w:val="nil"/>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5%</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$3.47 </w:t>
            </w:r>
          </w:p>
        </w:tc>
      </w:tr>
      <w:tr w:rsidRPr="00D677B6" w:rsidR="00D677B6" w:rsidTr="00121FED">
        <w:trPr>
          <w:trHeight w:val="288"/>
          <w:jc w:val="center"/>
        </w:trPr>
        <w:tc>
          <w:tcPr>
            <w:tcW w:w="318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IT Specialists†</w:t>
            </w:r>
          </w:p>
        </w:tc>
        <w:tc>
          <w:tcPr>
            <w:tcW w:w="1640" w:type="dxa"/>
            <w:tcBorders>
              <w:top w:val="nil"/>
              <w:left w:val="nil"/>
              <w:bottom w:val="single" w:color="auto" w:sz="4" w:space="0"/>
              <w:right w:val="nil"/>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$96.71 </w:t>
            </w:r>
          </w:p>
        </w:tc>
        <w:tc>
          <w:tcPr>
            <w:tcW w:w="114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3%</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$2.90 </w:t>
            </w:r>
          </w:p>
        </w:tc>
        <w:tc>
          <w:tcPr>
            <w:tcW w:w="1180" w:type="dxa"/>
            <w:tcBorders>
              <w:top w:val="nil"/>
              <w:left w:val="nil"/>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5%</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$4.84 </w:t>
            </w:r>
          </w:p>
        </w:tc>
      </w:tr>
      <w:tr w:rsidRPr="00D677B6" w:rsidR="00D677B6" w:rsidTr="00121FED">
        <w:trPr>
          <w:trHeight w:val="288"/>
          <w:jc w:val="center"/>
        </w:trPr>
        <w:tc>
          <w:tcPr>
            <w:tcW w:w="318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Financial Analysts††</w:t>
            </w:r>
          </w:p>
        </w:tc>
        <w:tc>
          <w:tcPr>
            <w:tcW w:w="1640" w:type="dxa"/>
            <w:tcBorders>
              <w:top w:val="nil"/>
              <w:left w:val="nil"/>
              <w:bottom w:val="single" w:color="auto" w:sz="4" w:space="0"/>
              <w:right w:val="nil"/>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$84.43 </w:t>
            </w:r>
          </w:p>
        </w:tc>
        <w:tc>
          <w:tcPr>
            <w:tcW w:w="114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0%</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$0.00 </w:t>
            </w:r>
          </w:p>
        </w:tc>
        <w:tc>
          <w:tcPr>
            <w:tcW w:w="1180" w:type="dxa"/>
            <w:tcBorders>
              <w:top w:val="nil"/>
              <w:left w:val="nil"/>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85%</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$71.77 </w:t>
            </w:r>
          </w:p>
        </w:tc>
      </w:tr>
      <w:tr w:rsidRPr="00D677B6" w:rsidR="00D677B6" w:rsidTr="00121FED">
        <w:trPr>
          <w:trHeight w:val="288"/>
          <w:jc w:val="center"/>
        </w:trPr>
        <w:tc>
          <w:tcPr>
            <w:tcW w:w="318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Clerical‡</w:t>
            </w:r>
          </w:p>
        </w:tc>
        <w:tc>
          <w:tcPr>
            <w:tcW w:w="1640" w:type="dxa"/>
            <w:tcBorders>
              <w:top w:val="nil"/>
              <w:left w:val="nil"/>
              <w:bottom w:val="single" w:color="auto" w:sz="4" w:space="0"/>
              <w:right w:val="nil"/>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$35.62 </w:t>
            </w:r>
          </w:p>
        </w:tc>
        <w:tc>
          <w:tcPr>
            <w:tcW w:w="1140" w:type="dxa"/>
            <w:tcBorders>
              <w:top w:val="nil"/>
              <w:left w:val="single" w:color="auto" w:sz="8" w:space="0"/>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89%</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$31.70 </w:t>
            </w:r>
          </w:p>
        </w:tc>
        <w:tc>
          <w:tcPr>
            <w:tcW w:w="1180" w:type="dxa"/>
            <w:tcBorders>
              <w:top w:val="nil"/>
              <w:left w:val="nil"/>
              <w:bottom w:val="single" w:color="auto" w:sz="4"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0%</w:t>
            </w:r>
          </w:p>
        </w:tc>
        <w:tc>
          <w:tcPr>
            <w:tcW w:w="1700" w:type="dxa"/>
            <w:tcBorders>
              <w:top w:val="nil"/>
              <w:left w:val="nil"/>
              <w:bottom w:val="single" w:color="auto" w:sz="4"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 xml:space="preserve">$0.00 </w:t>
            </w:r>
          </w:p>
        </w:tc>
      </w:tr>
      <w:tr w:rsidRPr="00D677B6" w:rsidR="00D677B6" w:rsidTr="00121FED">
        <w:trPr>
          <w:trHeight w:val="630"/>
          <w:jc w:val="center"/>
        </w:trPr>
        <w:tc>
          <w:tcPr>
            <w:tcW w:w="4820" w:type="dxa"/>
            <w:gridSpan w:val="2"/>
            <w:tcBorders>
              <w:top w:val="single" w:color="auto" w:sz="4" w:space="0"/>
              <w:left w:val="single" w:color="auto" w:sz="8" w:space="0"/>
              <w:bottom w:val="single" w:color="auto" w:sz="8" w:space="0"/>
              <w:right w:val="nil"/>
            </w:tcBorders>
            <w:shd w:val="clear" w:color="auto" w:fill="auto"/>
            <w:vAlign w:val="bottom"/>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Total Estimated Weighted Average Hourly Compensation Rates:</w:t>
            </w:r>
          </w:p>
        </w:tc>
        <w:tc>
          <w:tcPr>
            <w:tcW w:w="1140" w:type="dxa"/>
            <w:tcBorders>
              <w:top w:val="nil"/>
              <w:left w:val="single" w:color="auto" w:sz="8" w:space="0"/>
              <w:bottom w:val="single" w:color="auto" w:sz="8"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100%</w:t>
            </w:r>
          </w:p>
        </w:tc>
        <w:tc>
          <w:tcPr>
            <w:tcW w:w="1700" w:type="dxa"/>
            <w:tcBorders>
              <w:top w:val="nil"/>
              <w:left w:val="nil"/>
              <w:bottom w:val="single" w:color="auto" w:sz="8"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$44.00</w:t>
            </w:r>
          </w:p>
        </w:tc>
        <w:tc>
          <w:tcPr>
            <w:tcW w:w="1180" w:type="dxa"/>
            <w:tcBorders>
              <w:top w:val="nil"/>
              <w:left w:val="nil"/>
              <w:bottom w:val="single" w:color="auto" w:sz="8" w:space="0"/>
              <w:right w:val="single" w:color="auto" w:sz="4"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100%</w:t>
            </w:r>
          </w:p>
        </w:tc>
        <w:tc>
          <w:tcPr>
            <w:tcW w:w="1700" w:type="dxa"/>
            <w:tcBorders>
              <w:top w:val="nil"/>
              <w:left w:val="nil"/>
              <w:bottom w:val="single" w:color="auto" w:sz="8" w:space="0"/>
              <w:right w:val="single" w:color="auto" w:sz="8" w:space="0"/>
            </w:tcBorders>
            <w:shd w:val="clear" w:color="auto" w:fill="auto"/>
            <w:noWrap/>
            <w:vAlign w:val="bottom"/>
            <w:hideMark/>
          </w:tcPr>
          <w:p w:rsidRPr="00D677B6" w:rsidR="00D677B6" w:rsidP="00D677B6" w:rsidRDefault="00D677B6">
            <w:pPr>
              <w:widowControl/>
              <w:jc w:val="right"/>
              <w:rPr>
                <w:rFonts w:ascii="Times New Roman" w:hAnsi="Times New Roman"/>
                <w:snapToGrid/>
                <w:color w:val="000000"/>
                <w:sz w:val="20"/>
              </w:rPr>
            </w:pPr>
            <w:r w:rsidRPr="00D677B6">
              <w:rPr>
                <w:rFonts w:ascii="Times New Roman" w:hAnsi="Times New Roman"/>
                <w:snapToGrid/>
                <w:color w:val="000000"/>
                <w:sz w:val="20"/>
              </w:rPr>
              <w:t>$87.40</w:t>
            </w:r>
          </w:p>
        </w:tc>
      </w:tr>
      <w:tr w:rsidRPr="00D677B6" w:rsidR="00D677B6" w:rsidTr="00121FED">
        <w:trPr>
          <w:trHeight w:val="960"/>
          <w:jc w:val="center"/>
        </w:trPr>
        <w:tc>
          <w:tcPr>
            <w:tcW w:w="10540" w:type="dxa"/>
            <w:gridSpan w:val="6"/>
            <w:tcBorders>
              <w:top w:val="nil"/>
              <w:left w:val="nil"/>
              <w:bottom w:val="nil"/>
              <w:right w:val="nil"/>
            </w:tcBorders>
            <w:shd w:val="clear" w:color="auto" w:fill="auto"/>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lastRenderedPageBreak/>
              <w:t>Source: Bureau of Labor Statistics: "National Industry-Specific Occupational Employment and Wage Estimates: Industry: Credit Intermediation and Related Activities (5221 And 5223 only)" (May 2020), Employer Cost of Employee Compensation (June 2021), Consumer Price Index (June 2021).</w:t>
            </w:r>
          </w:p>
        </w:tc>
      </w:tr>
      <w:tr w:rsidRPr="00D677B6" w:rsidR="00D677B6" w:rsidTr="00121FED">
        <w:trPr>
          <w:trHeight w:val="1776"/>
          <w:jc w:val="center"/>
        </w:trPr>
        <w:tc>
          <w:tcPr>
            <w:tcW w:w="10540" w:type="dxa"/>
            <w:gridSpan w:val="6"/>
            <w:tcBorders>
              <w:top w:val="nil"/>
              <w:left w:val="nil"/>
              <w:bottom w:val="nil"/>
              <w:right w:val="nil"/>
            </w:tcBorders>
            <w:shd w:val="clear" w:color="auto" w:fill="auto"/>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Note: The 75th percentile wage information reported by the BLS in the Specific Occupational Employment and Wage Estimates does not include health benefits and other non-monetary benefits. According to the June 2021 Employer Cost of Employee Compensation data compensation rates for health and other benefits are 33.3 percent of total compensation. Additionally, the wage has been adjusted for inflation according BLS data on the Consumer Price Index for Urban Consumers (CPI-U) so that it is contemporaneous with the non-wage compensation statistic. The inflation rate was 5.97 percent between May 2020 and June 2021.</w:t>
            </w:r>
          </w:p>
        </w:tc>
      </w:tr>
      <w:tr w:rsidRPr="00D677B6" w:rsidR="00D677B6" w:rsidTr="00121FED">
        <w:trPr>
          <w:trHeight w:val="288"/>
          <w:jc w:val="center"/>
        </w:trPr>
        <w:tc>
          <w:tcPr>
            <w:tcW w:w="10540" w:type="dxa"/>
            <w:gridSpan w:val="6"/>
            <w:tcBorders>
              <w:top w:val="nil"/>
              <w:left w:val="nil"/>
              <w:bottom w:val="nil"/>
              <w:right w:val="nil"/>
            </w:tcBorders>
            <w:shd w:val="clear" w:color="auto" w:fill="auto"/>
            <w:noWrap/>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     Occupation (SOC Code): Management Occupations (110000)</w:t>
            </w:r>
          </w:p>
        </w:tc>
      </w:tr>
      <w:tr w:rsidRPr="00D677B6" w:rsidR="00D677B6" w:rsidTr="00121FED">
        <w:trPr>
          <w:trHeight w:val="288"/>
          <w:jc w:val="center"/>
        </w:trPr>
        <w:tc>
          <w:tcPr>
            <w:tcW w:w="10540" w:type="dxa"/>
            <w:gridSpan w:val="6"/>
            <w:tcBorders>
              <w:top w:val="nil"/>
              <w:left w:val="nil"/>
              <w:bottom w:val="nil"/>
              <w:right w:val="nil"/>
            </w:tcBorders>
            <w:shd w:val="clear" w:color="auto" w:fill="auto"/>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   Occupation (SOC Code): Legal Occupations (230000)</w:t>
            </w:r>
          </w:p>
        </w:tc>
      </w:tr>
      <w:tr w:rsidRPr="00D677B6" w:rsidR="00D677B6" w:rsidTr="00121FED">
        <w:trPr>
          <w:trHeight w:val="288"/>
          <w:jc w:val="center"/>
        </w:trPr>
        <w:tc>
          <w:tcPr>
            <w:tcW w:w="10540" w:type="dxa"/>
            <w:gridSpan w:val="6"/>
            <w:tcBorders>
              <w:top w:val="nil"/>
              <w:left w:val="nil"/>
              <w:bottom w:val="nil"/>
              <w:right w:val="nil"/>
            </w:tcBorders>
            <w:shd w:val="clear" w:color="auto" w:fill="auto"/>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 Occupation (SOC Code): Compliance Officers(131040)</w:t>
            </w:r>
          </w:p>
        </w:tc>
      </w:tr>
      <w:tr w:rsidRPr="00D677B6" w:rsidR="00D677B6" w:rsidTr="00121FED">
        <w:trPr>
          <w:trHeight w:val="552"/>
          <w:jc w:val="center"/>
        </w:trPr>
        <w:tc>
          <w:tcPr>
            <w:tcW w:w="10540" w:type="dxa"/>
            <w:gridSpan w:val="6"/>
            <w:tcBorders>
              <w:top w:val="nil"/>
              <w:left w:val="nil"/>
              <w:bottom w:val="nil"/>
              <w:right w:val="nil"/>
            </w:tcBorders>
            <w:shd w:val="clear" w:color="auto" w:fill="auto"/>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     Occupation (SOC Code): Computer and Mathematical Occupations (150000)</w:t>
            </w:r>
          </w:p>
        </w:tc>
      </w:tr>
      <w:tr w:rsidRPr="00D677B6" w:rsidR="00D677B6" w:rsidTr="00121FED">
        <w:trPr>
          <w:trHeight w:val="570"/>
          <w:jc w:val="center"/>
        </w:trPr>
        <w:tc>
          <w:tcPr>
            <w:tcW w:w="10540" w:type="dxa"/>
            <w:gridSpan w:val="6"/>
            <w:tcBorders>
              <w:top w:val="nil"/>
              <w:left w:val="nil"/>
              <w:bottom w:val="nil"/>
              <w:right w:val="nil"/>
            </w:tcBorders>
            <w:shd w:val="clear" w:color="auto" w:fill="auto"/>
            <w:hideMark/>
          </w:tcPr>
          <w:p w:rsidRPr="00D677B6"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   Occupation (SOC Code): Financial and Investment Analysts, Financial Risk Specialists, and Financial Specialists, All Other (132098)</w:t>
            </w:r>
          </w:p>
        </w:tc>
      </w:tr>
      <w:tr w:rsidRPr="00D677B6" w:rsidR="00D677B6" w:rsidTr="00121FED">
        <w:trPr>
          <w:trHeight w:val="396"/>
          <w:jc w:val="center"/>
        </w:trPr>
        <w:tc>
          <w:tcPr>
            <w:tcW w:w="10540" w:type="dxa"/>
            <w:gridSpan w:val="6"/>
            <w:tcBorders>
              <w:top w:val="nil"/>
              <w:left w:val="nil"/>
              <w:bottom w:val="nil"/>
              <w:right w:val="nil"/>
            </w:tcBorders>
            <w:shd w:val="clear" w:color="auto" w:fill="auto"/>
            <w:hideMark/>
          </w:tcPr>
          <w:p w:rsidRPr="00745164" w:rsidR="00D677B6" w:rsidP="00D677B6" w:rsidRDefault="00D677B6">
            <w:pPr>
              <w:widowControl/>
              <w:rPr>
                <w:rFonts w:ascii="Times New Roman" w:hAnsi="Times New Roman"/>
                <w:snapToGrid/>
                <w:color w:val="000000"/>
                <w:sz w:val="20"/>
              </w:rPr>
            </w:pPr>
            <w:r w:rsidRPr="00D677B6">
              <w:rPr>
                <w:rFonts w:ascii="Times New Roman" w:hAnsi="Times New Roman"/>
                <w:snapToGrid/>
                <w:color w:val="000000"/>
                <w:sz w:val="20"/>
              </w:rPr>
              <w:t>‡    Occupation (SOC Code): Office and Administrative Support Occupations(430000)</w:t>
            </w:r>
          </w:p>
          <w:p w:rsidRPr="00D677B6" w:rsidR="00745164" w:rsidP="00D677B6" w:rsidRDefault="00745164">
            <w:pPr>
              <w:widowControl/>
              <w:rPr>
                <w:rFonts w:ascii="Times New Roman" w:hAnsi="Times New Roman"/>
                <w:snapToGrid/>
                <w:color w:val="000000"/>
                <w:sz w:val="20"/>
              </w:rPr>
            </w:pPr>
          </w:p>
        </w:tc>
      </w:tr>
    </w:tbl>
    <w:p w:rsidRPr="00745164" w:rsidR="00745164" w:rsidP="00745164" w:rsidRDefault="00745164">
      <w:pPr>
        <w:tabs>
          <w:tab w:val="left" w:pos="480"/>
          <w:tab w:val="left" w:pos="1080"/>
        </w:tabs>
        <w:suppressAutoHyphens/>
        <w:ind w:left="1080"/>
        <w:rPr>
          <w:rFonts w:ascii="Times New Roman" w:hAnsi="Times New Roman"/>
        </w:rPr>
      </w:pPr>
    </w:p>
    <w:tbl>
      <w:tblPr>
        <w:tblW w:w="7319" w:type="dxa"/>
        <w:jc w:val="center"/>
        <w:tblLook w:val="04A0" w:firstRow="1" w:lastRow="0" w:firstColumn="1" w:lastColumn="0" w:noHBand="0" w:noVBand="1"/>
      </w:tblPr>
      <w:tblGrid>
        <w:gridCol w:w="1998"/>
        <w:gridCol w:w="1864"/>
        <w:gridCol w:w="1728"/>
        <w:gridCol w:w="1729"/>
      </w:tblGrid>
      <w:tr w:rsidRPr="00745164" w:rsidR="00745164" w:rsidTr="00745164">
        <w:trPr>
          <w:trHeight w:val="145"/>
          <w:jc w:val="center"/>
        </w:trPr>
        <w:tc>
          <w:tcPr>
            <w:tcW w:w="7319"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45164" w:rsidR="00745164" w:rsidP="00745164" w:rsidRDefault="00745164">
            <w:pPr>
              <w:widowControl/>
              <w:jc w:val="center"/>
              <w:rPr>
                <w:rFonts w:ascii="Times New Roman" w:hAnsi="Times New Roman"/>
                <w:b/>
                <w:bCs/>
                <w:snapToGrid/>
                <w:color w:val="000000"/>
                <w:sz w:val="20"/>
              </w:rPr>
            </w:pPr>
            <w:r w:rsidRPr="00745164">
              <w:rPr>
                <w:rFonts w:ascii="Times New Roman" w:hAnsi="Times New Roman"/>
                <w:b/>
                <w:bCs/>
                <w:snapToGrid/>
                <w:color w:val="000000"/>
                <w:sz w:val="20"/>
              </w:rPr>
              <w:t>Estimated Labor Cost Associated with 3064-0136</w:t>
            </w:r>
          </w:p>
        </w:tc>
      </w:tr>
      <w:tr w:rsidRPr="00745164" w:rsidR="00745164" w:rsidTr="00745164">
        <w:trPr>
          <w:trHeight w:val="448"/>
          <w:jc w:val="center"/>
        </w:trPr>
        <w:tc>
          <w:tcPr>
            <w:tcW w:w="1998" w:type="dxa"/>
            <w:tcBorders>
              <w:top w:val="nil"/>
              <w:left w:val="single" w:color="auto" w:sz="4" w:space="0"/>
              <w:bottom w:val="single" w:color="auto" w:sz="4" w:space="0"/>
              <w:right w:val="single" w:color="auto" w:sz="4" w:space="0"/>
            </w:tcBorders>
            <w:shd w:val="clear" w:color="auto" w:fill="auto"/>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Information Collection Description</w:t>
            </w:r>
          </w:p>
        </w:tc>
        <w:tc>
          <w:tcPr>
            <w:tcW w:w="1863" w:type="dxa"/>
            <w:tcBorders>
              <w:top w:val="nil"/>
              <w:left w:val="nil"/>
              <w:bottom w:val="single" w:color="auto" w:sz="4" w:space="0"/>
              <w:right w:val="single" w:color="auto" w:sz="4" w:space="0"/>
            </w:tcBorders>
            <w:shd w:val="clear" w:color="auto" w:fill="auto"/>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Estimated Hourly Compensation Cost</w:t>
            </w:r>
          </w:p>
        </w:tc>
        <w:tc>
          <w:tcPr>
            <w:tcW w:w="1728" w:type="dxa"/>
            <w:tcBorders>
              <w:top w:val="nil"/>
              <w:left w:val="nil"/>
              <w:bottom w:val="single" w:color="auto" w:sz="4" w:space="0"/>
              <w:right w:val="single" w:color="auto" w:sz="4" w:space="0"/>
            </w:tcBorders>
            <w:shd w:val="clear" w:color="auto" w:fill="auto"/>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Estimated Annual Hourly Burden</w:t>
            </w:r>
          </w:p>
        </w:tc>
        <w:tc>
          <w:tcPr>
            <w:tcW w:w="1728" w:type="dxa"/>
            <w:tcBorders>
              <w:top w:val="nil"/>
              <w:left w:val="nil"/>
              <w:bottom w:val="single" w:color="auto" w:sz="4" w:space="0"/>
              <w:right w:val="single" w:color="auto" w:sz="4" w:space="0"/>
            </w:tcBorders>
            <w:shd w:val="clear" w:color="auto" w:fill="auto"/>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Estimated Annual Labor Cost</w:t>
            </w:r>
          </w:p>
        </w:tc>
      </w:tr>
      <w:tr w:rsidRPr="00745164" w:rsidR="00745164" w:rsidTr="00745164">
        <w:trPr>
          <w:trHeight w:val="278"/>
          <w:jc w:val="center"/>
        </w:trPr>
        <w:tc>
          <w:tcPr>
            <w:tcW w:w="1998" w:type="dxa"/>
            <w:tcBorders>
              <w:top w:val="nil"/>
              <w:left w:val="single" w:color="auto" w:sz="4" w:space="0"/>
              <w:bottom w:val="single" w:color="auto" w:sz="4" w:space="0"/>
              <w:right w:val="single" w:color="auto" w:sz="4" w:space="0"/>
            </w:tcBorders>
            <w:shd w:val="clear" w:color="auto" w:fill="auto"/>
            <w:vAlign w:val="center"/>
            <w:hideMark/>
          </w:tcPr>
          <w:p w:rsidRPr="00745164" w:rsidR="00745164" w:rsidP="00745164" w:rsidRDefault="00745164">
            <w:pPr>
              <w:widowControl/>
              <w:rPr>
                <w:rFonts w:ascii="Times New Roman" w:hAnsi="Times New Roman"/>
                <w:snapToGrid/>
                <w:color w:val="000000"/>
                <w:sz w:val="20"/>
              </w:rPr>
            </w:pPr>
            <w:r w:rsidRPr="00745164">
              <w:rPr>
                <w:rFonts w:ascii="Times New Roman" w:hAnsi="Times New Roman"/>
                <w:snapToGrid/>
                <w:color w:val="000000"/>
                <w:sz w:val="20"/>
              </w:rPr>
              <w:t>Initial Notice to Consumers</w:t>
            </w:r>
          </w:p>
        </w:tc>
        <w:tc>
          <w:tcPr>
            <w:tcW w:w="1863"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$87.40</w:t>
            </w:r>
          </w:p>
        </w:tc>
        <w:tc>
          <w:tcPr>
            <w:tcW w:w="1728"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7,896</w:t>
            </w:r>
          </w:p>
        </w:tc>
        <w:tc>
          <w:tcPr>
            <w:tcW w:w="1728"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$690,110.40</w:t>
            </w:r>
          </w:p>
        </w:tc>
      </w:tr>
      <w:tr w:rsidRPr="00745164" w:rsidR="00745164" w:rsidTr="00745164">
        <w:trPr>
          <w:trHeight w:val="145"/>
          <w:jc w:val="center"/>
        </w:trPr>
        <w:tc>
          <w:tcPr>
            <w:tcW w:w="1998" w:type="dxa"/>
            <w:tcBorders>
              <w:top w:val="nil"/>
              <w:left w:val="single" w:color="auto" w:sz="4" w:space="0"/>
              <w:bottom w:val="single" w:color="auto" w:sz="4" w:space="0"/>
              <w:right w:val="single" w:color="auto" w:sz="4" w:space="0"/>
            </w:tcBorders>
            <w:shd w:val="clear" w:color="auto" w:fill="auto"/>
            <w:vAlign w:val="center"/>
            <w:hideMark/>
          </w:tcPr>
          <w:p w:rsidRPr="00745164" w:rsidR="00745164" w:rsidP="00745164" w:rsidRDefault="00745164">
            <w:pPr>
              <w:widowControl/>
              <w:rPr>
                <w:rFonts w:ascii="Times New Roman" w:hAnsi="Times New Roman"/>
                <w:snapToGrid/>
                <w:color w:val="000000"/>
                <w:sz w:val="20"/>
              </w:rPr>
            </w:pPr>
            <w:r w:rsidRPr="00745164">
              <w:rPr>
                <w:rFonts w:ascii="Times New Roman" w:hAnsi="Times New Roman"/>
                <w:snapToGrid/>
                <w:color w:val="000000"/>
                <w:sz w:val="20"/>
              </w:rPr>
              <w:t>Opt-out Notice</w:t>
            </w:r>
          </w:p>
        </w:tc>
        <w:tc>
          <w:tcPr>
            <w:tcW w:w="1863"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$87.40</w:t>
            </w:r>
          </w:p>
        </w:tc>
        <w:tc>
          <w:tcPr>
            <w:tcW w:w="1728"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2,512</w:t>
            </w:r>
          </w:p>
        </w:tc>
        <w:tc>
          <w:tcPr>
            <w:tcW w:w="1728"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$219,548.80</w:t>
            </w:r>
          </w:p>
        </w:tc>
      </w:tr>
      <w:tr w:rsidRPr="00745164" w:rsidR="00745164" w:rsidTr="00745164">
        <w:trPr>
          <w:trHeight w:val="278"/>
          <w:jc w:val="center"/>
        </w:trPr>
        <w:tc>
          <w:tcPr>
            <w:tcW w:w="1998" w:type="dxa"/>
            <w:tcBorders>
              <w:top w:val="nil"/>
              <w:left w:val="single" w:color="auto" w:sz="4" w:space="0"/>
              <w:bottom w:val="single" w:color="auto" w:sz="4" w:space="0"/>
              <w:right w:val="single" w:color="auto" w:sz="4" w:space="0"/>
            </w:tcBorders>
            <w:shd w:val="clear" w:color="auto" w:fill="auto"/>
            <w:vAlign w:val="center"/>
            <w:hideMark/>
          </w:tcPr>
          <w:p w:rsidRPr="00745164" w:rsidR="00745164" w:rsidP="00745164" w:rsidRDefault="00745164">
            <w:pPr>
              <w:widowControl/>
              <w:rPr>
                <w:rFonts w:ascii="Times New Roman" w:hAnsi="Times New Roman"/>
                <w:snapToGrid/>
                <w:color w:val="000000"/>
                <w:sz w:val="20"/>
              </w:rPr>
            </w:pPr>
            <w:r w:rsidRPr="00745164">
              <w:rPr>
                <w:rFonts w:ascii="Times New Roman" w:hAnsi="Times New Roman"/>
                <w:snapToGrid/>
                <w:color w:val="000000"/>
                <w:sz w:val="20"/>
              </w:rPr>
              <w:t>Annual Notice and Change in Terms</w:t>
            </w:r>
          </w:p>
        </w:tc>
        <w:tc>
          <w:tcPr>
            <w:tcW w:w="1863"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$87.40</w:t>
            </w:r>
          </w:p>
        </w:tc>
        <w:tc>
          <w:tcPr>
            <w:tcW w:w="1728"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4,272</w:t>
            </w:r>
          </w:p>
        </w:tc>
        <w:tc>
          <w:tcPr>
            <w:tcW w:w="1728"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$373,372.80</w:t>
            </w:r>
          </w:p>
        </w:tc>
      </w:tr>
      <w:tr w:rsidRPr="00745164" w:rsidR="00745164" w:rsidTr="00745164">
        <w:trPr>
          <w:trHeight w:val="278"/>
          <w:jc w:val="center"/>
        </w:trPr>
        <w:tc>
          <w:tcPr>
            <w:tcW w:w="1998" w:type="dxa"/>
            <w:tcBorders>
              <w:top w:val="nil"/>
              <w:left w:val="single" w:color="auto" w:sz="4" w:space="0"/>
              <w:bottom w:val="single" w:color="auto" w:sz="4" w:space="0"/>
              <w:right w:val="single" w:color="auto" w:sz="4" w:space="0"/>
            </w:tcBorders>
            <w:shd w:val="clear" w:color="auto" w:fill="auto"/>
            <w:vAlign w:val="center"/>
            <w:hideMark/>
          </w:tcPr>
          <w:p w:rsidRPr="00745164" w:rsidR="00745164" w:rsidP="00745164" w:rsidRDefault="00745164">
            <w:pPr>
              <w:widowControl/>
              <w:rPr>
                <w:rFonts w:ascii="Times New Roman" w:hAnsi="Times New Roman"/>
                <w:snapToGrid/>
                <w:color w:val="000000"/>
                <w:sz w:val="20"/>
              </w:rPr>
            </w:pPr>
            <w:bookmarkStart w:name="_Hlk87595955" w:id="2"/>
            <w:r w:rsidRPr="00745164">
              <w:rPr>
                <w:rFonts w:ascii="Times New Roman" w:hAnsi="Times New Roman"/>
                <w:snapToGrid/>
                <w:color w:val="000000"/>
                <w:sz w:val="20"/>
              </w:rPr>
              <w:t xml:space="preserve">Consumer Opt-out </w:t>
            </w:r>
          </w:p>
        </w:tc>
        <w:tc>
          <w:tcPr>
            <w:tcW w:w="1863"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$44.00</w:t>
            </w:r>
          </w:p>
        </w:tc>
        <w:tc>
          <w:tcPr>
            <w:tcW w:w="1728"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108,806.25</w:t>
            </w:r>
          </w:p>
        </w:tc>
        <w:tc>
          <w:tcPr>
            <w:tcW w:w="1728" w:type="dxa"/>
            <w:tcBorders>
              <w:top w:val="nil"/>
              <w:left w:val="nil"/>
              <w:bottom w:val="single" w:color="auto" w:sz="4" w:space="0"/>
              <w:right w:val="single" w:color="auto" w:sz="4" w:space="0"/>
            </w:tcBorders>
            <w:shd w:val="clear" w:color="auto" w:fill="auto"/>
            <w:noWrap/>
            <w:vAlign w:val="center"/>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$4,787,475.00</w:t>
            </w:r>
          </w:p>
        </w:tc>
      </w:tr>
      <w:bookmarkEnd w:id="2"/>
      <w:tr w:rsidRPr="00745164" w:rsidR="00745164" w:rsidTr="00745164">
        <w:trPr>
          <w:trHeight w:val="145"/>
          <w:jc w:val="center"/>
        </w:trPr>
        <w:tc>
          <w:tcPr>
            <w:tcW w:w="3862"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745164" w:rsidR="00745164" w:rsidP="00745164" w:rsidRDefault="00745164">
            <w:pPr>
              <w:widowControl/>
              <w:jc w:val="right"/>
              <w:rPr>
                <w:rFonts w:ascii="Times New Roman" w:hAnsi="Times New Roman"/>
                <w:snapToGrid/>
                <w:color w:val="000000"/>
                <w:sz w:val="20"/>
              </w:rPr>
            </w:pPr>
            <w:r w:rsidRPr="00745164">
              <w:rPr>
                <w:rFonts w:ascii="Times New Roman" w:hAnsi="Times New Roman"/>
                <w:snapToGrid/>
                <w:color w:val="000000"/>
                <w:sz w:val="20"/>
              </w:rPr>
              <w:t>Totals</w:t>
            </w:r>
          </w:p>
        </w:tc>
        <w:tc>
          <w:tcPr>
            <w:tcW w:w="1728" w:type="dxa"/>
            <w:tcBorders>
              <w:top w:val="nil"/>
              <w:left w:val="nil"/>
              <w:bottom w:val="single" w:color="auto" w:sz="4" w:space="0"/>
              <w:right w:val="single" w:color="auto" w:sz="4" w:space="0"/>
            </w:tcBorders>
            <w:shd w:val="clear" w:color="auto" w:fill="auto"/>
            <w:noWrap/>
            <w:vAlign w:val="bottom"/>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123,486.25</w:t>
            </w:r>
          </w:p>
        </w:tc>
        <w:tc>
          <w:tcPr>
            <w:tcW w:w="1728" w:type="dxa"/>
            <w:tcBorders>
              <w:top w:val="nil"/>
              <w:left w:val="nil"/>
              <w:bottom w:val="single" w:color="auto" w:sz="4" w:space="0"/>
              <w:right w:val="single" w:color="auto" w:sz="4" w:space="0"/>
            </w:tcBorders>
            <w:shd w:val="clear" w:color="auto" w:fill="auto"/>
            <w:noWrap/>
            <w:vAlign w:val="bottom"/>
            <w:hideMark/>
          </w:tcPr>
          <w:p w:rsidRPr="00745164" w:rsidR="00745164" w:rsidP="00745164" w:rsidRDefault="00745164">
            <w:pPr>
              <w:widowControl/>
              <w:jc w:val="center"/>
              <w:rPr>
                <w:rFonts w:ascii="Times New Roman" w:hAnsi="Times New Roman"/>
                <w:snapToGrid/>
                <w:color w:val="000000"/>
                <w:sz w:val="20"/>
              </w:rPr>
            </w:pPr>
            <w:r w:rsidRPr="00745164">
              <w:rPr>
                <w:rFonts w:ascii="Times New Roman" w:hAnsi="Times New Roman"/>
                <w:snapToGrid/>
                <w:color w:val="000000"/>
                <w:sz w:val="20"/>
              </w:rPr>
              <w:t>$6,070,507.00</w:t>
            </w:r>
          </w:p>
        </w:tc>
      </w:tr>
    </w:tbl>
    <w:p w:rsidRPr="00745164" w:rsidR="00745164" w:rsidP="00745164" w:rsidRDefault="00745164">
      <w:pPr>
        <w:tabs>
          <w:tab w:val="left" w:pos="480"/>
          <w:tab w:val="left" w:pos="1080"/>
        </w:tabs>
        <w:suppressAutoHyphens/>
        <w:ind w:left="1080"/>
        <w:rPr>
          <w:rFonts w:ascii="Times New Roman" w:hAnsi="Times New Roman"/>
        </w:rPr>
      </w:pPr>
    </w:p>
    <w:p w:rsidRPr="00745164" w:rsidR="00F146F1" w:rsidP="002423D4" w:rsidRDefault="002423D4">
      <w:pPr>
        <w:numPr>
          <w:ilvl w:val="0"/>
          <w:numId w:val="4"/>
        </w:numPr>
        <w:tabs>
          <w:tab w:val="left" w:pos="480"/>
          <w:tab w:val="left" w:pos="1080"/>
        </w:tabs>
        <w:suppressAutoHyphens/>
        <w:rPr>
          <w:rFonts w:ascii="Times New Roman" w:hAnsi="Times New Roman"/>
        </w:rPr>
      </w:pPr>
      <w:r w:rsidRPr="00745164">
        <w:rPr>
          <w:rFonts w:ascii="Times New Roman" w:hAnsi="Times New Roman"/>
          <w:u w:val="single"/>
        </w:rPr>
        <w:t>Estimate of start-up cost to respondents:</w:t>
      </w:r>
    </w:p>
    <w:p w:rsidRPr="00745164" w:rsidR="00F146F1" w:rsidRDefault="00F146F1">
      <w:pPr>
        <w:widowControl/>
        <w:rPr>
          <w:rFonts w:ascii="Times New Roman" w:hAnsi="Times New Roman"/>
        </w:rPr>
      </w:pPr>
    </w:p>
    <w:p w:rsidRPr="00745164" w:rsidR="00F146F1" w:rsidRDefault="002423D4">
      <w:pPr>
        <w:widowControl/>
        <w:ind w:left="720" w:firstLine="720"/>
        <w:rPr>
          <w:rFonts w:ascii="Times New Roman" w:hAnsi="Times New Roman"/>
        </w:rPr>
      </w:pPr>
      <w:r w:rsidRPr="00745164">
        <w:rPr>
          <w:rFonts w:ascii="Times New Roman" w:hAnsi="Times New Roman"/>
        </w:rPr>
        <w:t>There are no anticipated capital, start-up, or operating costs.</w:t>
      </w:r>
    </w:p>
    <w:p w:rsidRPr="00745164" w:rsidR="00F146F1" w:rsidRDefault="00F146F1">
      <w:pPr>
        <w:widowControl/>
        <w:rPr>
          <w:rFonts w:ascii="Times New Roman" w:hAnsi="Times New Roman"/>
        </w:rPr>
      </w:pPr>
    </w:p>
    <w:p w:rsidRPr="00745164" w:rsidR="00F146F1" w:rsidP="00F175D5" w:rsidRDefault="002423D4">
      <w:pPr>
        <w:widowControl/>
        <w:numPr>
          <w:ilvl w:val="0"/>
          <w:numId w:val="4"/>
        </w:numPr>
        <w:rPr>
          <w:rFonts w:ascii="Times New Roman" w:hAnsi="Times New Roman"/>
        </w:rPr>
      </w:pPr>
      <w:r w:rsidRPr="00745164">
        <w:rPr>
          <w:rFonts w:ascii="Times New Roman" w:hAnsi="Times New Roman"/>
          <w:color w:val="000000"/>
          <w:u w:val="single"/>
        </w:rPr>
        <w:t>Estimates of annualized cost to the federal government:</w:t>
      </w:r>
    </w:p>
    <w:p w:rsidRPr="00745164" w:rsidR="00F146F1" w:rsidRDefault="00F146F1">
      <w:pPr>
        <w:widowControl/>
        <w:rPr>
          <w:rFonts w:ascii="Times New Roman" w:hAnsi="Times New Roman"/>
        </w:rPr>
      </w:pPr>
    </w:p>
    <w:p w:rsidRPr="00745164" w:rsidR="00F146F1" w:rsidRDefault="00F146F1">
      <w:pPr>
        <w:widowControl/>
        <w:ind w:left="1440"/>
        <w:rPr>
          <w:rFonts w:ascii="Times New Roman" w:hAnsi="Times New Roman"/>
        </w:rPr>
      </w:pPr>
      <w:r w:rsidRPr="00745164">
        <w:rPr>
          <w:rFonts w:ascii="Times New Roman" w:hAnsi="Times New Roman"/>
        </w:rPr>
        <w:t xml:space="preserve">None. </w:t>
      </w:r>
    </w:p>
    <w:p w:rsidR="00F146F1" w:rsidRDefault="00F146F1">
      <w:pPr>
        <w:widowControl/>
        <w:ind w:left="1440"/>
        <w:rPr>
          <w:rFonts w:ascii="Times New Roman" w:hAnsi="Times New Roman"/>
        </w:rPr>
      </w:pPr>
    </w:p>
    <w:p w:rsidRPr="009234BE" w:rsidR="00F146F1" w:rsidP="002423D4" w:rsidRDefault="002423D4">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Analysis of change in burden:</w:t>
      </w:r>
    </w:p>
    <w:p w:rsidR="00F146F1" w:rsidRDefault="00F146F1">
      <w:pPr>
        <w:widowControl/>
        <w:rPr>
          <w:rFonts w:ascii="Times New Roman" w:hAnsi="Times New Roman"/>
        </w:rPr>
      </w:pPr>
    </w:p>
    <w:p w:rsidRPr="00821720" w:rsidR="00821720" w:rsidP="00821720" w:rsidRDefault="001F2335">
      <w:pPr>
        <w:tabs>
          <w:tab w:val="left" w:pos="-1440"/>
        </w:tabs>
        <w:ind w:left="1440"/>
        <w:rPr>
          <w:rFonts w:ascii="Times New Roman" w:hAnsi="Times New Roman"/>
          <w:spacing w:val="-3"/>
        </w:rPr>
      </w:pPr>
      <w:r w:rsidRPr="00705CF0">
        <w:rPr>
          <w:rFonts w:ascii="Times New Roman" w:hAnsi="Times New Roman"/>
          <w:spacing w:val="-3"/>
        </w:rPr>
        <w:t xml:space="preserve">There is no change in the method or substance of the collection.  The overall </w:t>
      </w:r>
      <w:r w:rsidR="00705CF0">
        <w:rPr>
          <w:rFonts w:ascii="Times New Roman" w:hAnsi="Times New Roman"/>
          <w:spacing w:val="-3"/>
        </w:rPr>
        <w:t>decrease</w:t>
      </w:r>
      <w:r w:rsidRPr="00705CF0">
        <w:rPr>
          <w:rFonts w:ascii="Times New Roman" w:hAnsi="Times New Roman"/>
          <w:spacing w:val="-3"/>
        </w:rPr>
        <w:t xml:space="preserve"> in burden hours (from </w:t>
      </w:r>
      <w:r w:rsidRPr="00705CF0" w:rsidR="00705CF0">
        <w:rPr>
          <w:rFonts w:ascii="Times New Roman" w:hAnsi="Times New Roman"/>
          <w:spacing w:val="-3"/>
        </w:rPr>
        <w:t>141,326.25</w:t>
      </w:r>
      <w:r w:rsidRPr="00705CF0">
        <w:rPr>
          <w:rFonts w:ascii="Times New Roman" w:hAnsi="Times New Roman"/>
          <w:spacing w:val="-3"/>
        </w:rPr>
        <w:t xml:space="preserve"> hours to </w:t>
      </w:r>
      <w:r w:rsidRPr="00705CF0" w:rsidR="00705CF0">
        <w:rPr>
          <w:rFonts w:ascii="Times New Roman" w:hAnsi="Times New Roman"/>
          <w:spacing w:val="-3"/>
          <w:lang w:bidi="en-US"/>
        </w:rPr>
        <w:t xml:space="preserve">123,486.25 </w:t>
      </w:r>
      <w:r w:rsidRPr="00705CF0" w:rsidR="00705CF0">
        <w:rPr>
          <w:rFonts w:ascii="Times New Roman" w:hAnsi="Times New Roman"/>
          <w:spacing w:val="-3"/>
        </w:rPr>
        <w:t>hours</w:t>
      </w:r>
      <w:r w:rsidRPr="00705CF0">
        <w:rPr>
          <w:rFonts w:ascii="Times New Roman" w:hAnsi="Times New Roman"/>
          <w:spacing w:val="-3"/>
        </w:rPr>
        <w:t xml:space="preserve">) is the result of economic fluctuation.  </w:t>
      </w:r>
      <w:r w:rsidRPr="00705CF0" w:rsidR="00821720">
        <w:rPr>
          <w:rFonts w:ascii="Times New Roman" w:hAnsi="Times New Roman"/>
          <w:spacing w:val="-3"/>
        </w:rPr>
        <w:t xml:space="preserve">In particular, the </w:t>
      </w:r>
      <w:r w:rsidRPr="00705CF0" w:rsidR="00705CF0">
        <w:rPr>
          <w:rFonts w:ascii="Times New Roman" w:hAnsi="Times New Roman"/>
          <w:spacing w:val="-3"/>
          <w:lang w:bidi="en-US"/>
        </w:rPr>
        <w:t xml:space="preserve">respondents to the Consumer Opt-out component increased </w:t>
      </w:r>
      <w:r w:rsidR="00705CF0">
        <w:rPr>
          <w:rFonts w:ascii="Times New Roman" w:hAnsi="Times New Roman"/>
          <w:spacing w:val="-3"/>
          <w:lang w:bidi="en-US"/>
        </w:rPr>
        <w:t>and</w:t>
      </w:r>
      <w:r w:rsidRPr="00705CF0" w:rsidR="00705CF0">
        <w:rPr>
          <w:rFonts w:ascii="Times New Roman" w:hAnsi="Times New Roman"/>
          <w:spacing w:val="-3"/>
          <w:lang w:bidi="en-US"/>
        </w:rPr>
        <w:t xml:space="preserve"> the number of respondents to the other components declined</w:t>
      </w:r>
      <w:r w:rsidRPr="00705CF0" w:rsidR="00821720">
        <w:rPr>
          <w:rFonts w:ascii="Times New Roman" w:hAnsi="Times New Roman"/>
          <w:spacing w:val="-3"/>
        </w:rPr>
        <w:t>.</w:t>
      </w:r>
      <w:r w:rsidRPr="00821720" w:rsidR="00821720">
        <w:rPr>
          <w:rFonts w:ascii="Times New Roman" w:hAnsi="Times New Roman"/>
          <w:spacing w:val="-3"/>
        </w:rPr>
        <w:t xml:space="preserve">  </w:t>
      </w:r>
    </w:p>
    <w:p w:rsidR="00D5774D" w:rsidP="003548EB" w:rsidRDefault="00D5774D">
      <w:pPr>
        <w:widowControl/>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lastRenderedPageBreak/>
        <w:t>Information regarding collections whose results are planned to be published for statistical use:</w:t>
      </w:r>
    </w:p>
    <w:p w:rsidR="00F146F1" w:rsidRDefault="00F146F1">
      <w:pPr>
        <w:widowControl/>
        <w:rPr>
          <w:rFonts w:ascii="Times New Roman" w:hAnsi="Times New Roman"/>
        </w:rPr>
      </w:pPr>
    </w:p>
    <w:p w:rsidR="00820109" w:rsidP="00573F81" w:rsidRDefault="00573F81">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rsidRDefault="00820109">
      <w:pPr>
        <w:widowControl/>
        <w:rPr>
          <w:rFonts w:ascii="Times New Roman" w:hAnsi="Times New Roman"/>
        </w:rPr>
      </w:pPr>
    </w:p>
    <w:p w:rsidR="00F146F1" w:rsidP="00F175D5" w:rsidRDefault="00C856F6">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rsidRDefault="00F146F1">
      <w:pPr>
        <w:widowControl/>
        <w:rPr>
          <w:rFonts w:ascii="Times New Roman" w:hAnsi="Times New Roman"/>
        </w:rPr>
      </w:pPr>
    </w:p>
    <w:p w:rsidRPr="008F47F2" w:rsidR="008F47F2" w:rsidP="008F47F2" w:rsidRDefault="008F47F2">
      <w:pPr>
        <w:widowControl/>
        <w:ind w:left="1296" w:firstLine="144"/>
        <w:rPr>
          <w:rFonts w:ascii="Times New Roman" w:hAnsi="Times New Roman"/>
        </w:rPr>
      </w:pPr>
      <w:r w:rsidRPr="008F47F2">
        <w:rPr>
          <w:rFonts w:ascii="Times New Roman" w:hAnsi="Times New Roman"/>
        </w:rPr>
        <w:t>This information collection is contained in a regulation.</w:t>
      </w:r>
    </w:p>
    <w:p w:rsidR="00EC31FD" w:rsidP="00820109" w:rsidRDefault="00EC31FD">
      <w:pPr>
        <w:widowControl/>
        <w:ind w:left="1296" w:firstLine="144"/>
        <w:rPr>
          <w:rFonts w:ascii="Times New Roman" w:hAnsi="Times New Roman"/>
        </w:rPr>
      </w:pPr>
    </w:p>
    <w:p w:rsidR="00F146F1" w:rsidP="00F175D5" w:rsidRDefault="00C856F6">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rsidRDefault="00F146F1">
      <w:pPr>
        <w:widowControl/>
        <w:rPr>
          <w:rFonts w:ascii="Times New Roman" w:hAnsi="Times New Roman"/>
        </w:rPr>
      </w:pPr>
    </w:p>
    <w:p w:rsidR="00F146F1" w:rsidRDefault="00F146F1">
      <w:pPr>
        <w:widowControl/>
        <w:ind w:left="1296" w:firstLine="144"/>
        <w:rPr>
          <w:rFonts w:ascii="Times New Roman" w:hAnsi="Times New Roman"/>
        </w:rPr>
      </w:pPr>
      <w:r>
        <w:rPr>
          <w:rFonts w:ascii="Times New Roman" w:hAnsi="Times New Roman"/>
        </w:rPr>
        <w:t xml:space="preserve">None. </w:t>
      </w:r>
    </w:p>
    <w:p w:rsidR="00F146F1" w:rsidRDefault="00F146F1">
      <w:pPr>
        <w:pStyle w:val="Footer"/>
        <w:widowControl/>
        <w:tabs>
          <w:tab w:val="clear" w:pos="4320"/>
          <w:tab w:val="clear" w:pos="8640"/>
        </w:tabs>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STATISTICAL METHODS</w:t>
      </w:r>
    </w:p>
    <w:p w:rsidR="00F146F1" w:rsidRDefault="00F146F1">
      <w:pPr>
        <w:widowControl/>
        <w:rPr>
          <w:rFonts w:ascii="Times New Roman" w:hAnsi="Times New Roman"/>
        </w:rPr>
      </w:pPr>
    </w:p>
    <w:p w:rsidR="00F146F1" w:rsidRDefault="00C856F6">
      <w:pPr>
        <w:ind w:firstLine="720"/>
      </w:pPr>
      <w:r>
        <w:rPr>
          <w:rFonts w:ascii="Times New Roman" w:hAnsi="Times New Roman"/>
        </w:rPr>
        <w:t>Statistical methods are not employed in this collection.</w:t>
      </w:r>
    </w:p>
    <w:sectPr w:rsidR="00F146F1" w:rsidSect="00B91D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FED" w:rsidRDefault="00121FED" w:rsidP="00FE0498">
      <w:r>
        <w:separator/>
      </w:r>
    </w:p>
  </w:endnote>
  <w:endnote w:type="continuationSeparator" w:id="0">
    <w:p w:rsidR="00121FED" w:rsidRDefault="00121FED" w:rsidP="00FE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B6E" w:rsidRPr="00AB4B6E" w:rsidRDefault="00AB4B6E">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2C2F7B">
      <w:rPr>
        <w:rFonts w:ascii="Times New Roman" w:hAnsi="Times New Roman"/>
        <w:noProof/>
      </w:rPr>
      <w:t>5</w:t>
    </w:r>
    <w:r w:rsidRPr="00AB4B6E">
      <w:rPr>
        <w:rFonts w:ascii="Times New Roman" w:hAnsi="Times New Roman"/>
        <w:noProof/>
      </w:rPr>
      <w:fldChar w:fldCharType="end"/>
    </w:r>
  </w:p>
  <w:p w:rsidR="00AB4B6E" w:rsidRDefault="00AB4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FED" w:rsidRDefault="00121FED" w:rsidP="00FE0498">
      <w:r>
        <w:separator/>
      </w:r>
    </w:p>
  </w:footnote>
  <w:footnote w:type="continuationSeparator" w:id="0">
    <w:p w:rsidR="00121FED" w:rsidRDefault="00121FED" w:rsidP="00FE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23C"/>
    <w:multiLevelType w:val="hybridMultilevel"/>
    <w:tmpl w:val="6ED445DA"/>
    <w:lvl w:ilvl="0" w:tplc="AD0EA860">
      <w:start w:val="1"/>
      <w:numFmt w:val="decimal"/>
      <w:lvlText w:val="%1."/>
      <w:lvlJc w:val="left"/>
      <w:pPr>
        <w:ind w:left="1440" w:hanging="864"/>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15:restartNumberingAfterBreak="0">
    <w:nsid w:val="24411919"/>
    <w:multiLevelType w:val="hybridMultilevel"/>
    <w:tmpl w:val="6E22AAEC"/>
    <w:lvl w:ilvl="0" w:tplc="AD0EA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446CD4"/>
    <w:multiLevelType w:val="hybridMultilevel"/>
    <w:tmpl w:val="BA4A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436B8"/>
    <w:multiLevelType w:val="hybridMultilevel"/>
    <w:tmpl w:val="FD229DEA"/>
    <w:lvl w:ilvl="0" w:tplc="AA9485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3A"/>
    <w:rsid w:val="000014B9"/>
    <w:rsid w:val="000305E9"/>
    <w:rsid w:val="00041792"/>
    <w:rsid w:val="000467FC"/>
    <w:rsid w:val="00091BEA"/>
    <w:rsid w:val="000E621B"/>
    <w:rsid w:val="000F36F0"/>
    <w:rsid w:val="000F78A5"/>
    <w:rsid w:val="00121FED"/>
    <w:rsid w:val="00133277"/>
    <w:rsid w:val="00145F58"/>
    <w:rsid w:val="0019296B"/>
    <w:rsid w:val="001B6E46"/>
    <w:rsid w:val="001C1315"/>
    <w:rsid w:val="001C1BA8"/>
    <w:rsid w:val="001F2335"/>
    <w:rsid w:val="002259F8"/>
    <w:rsid w:val="002423D4"/>
    <w:rsid w:val="00244DE1"/>
    <w:rsid w:val="0024672A"/>
    <w:rsid w:val="00257FD9"/>
    <w:rsid w:val="00263676"/>
    <w:rsid w:val="00275749"/>
    <w:rsid w:val="002761FD"/>
    <w:rsid w:val="00280958"/>
    <w:rsid w:val="00293E01"/>
    <w:rsid w:val="002C2F7B"/>
    <w:rsid w:val="002D08FA"/>
    <w:rsid w:val="002E7411"/>
    <w:rsid w:val="0030358E"/>
    <w:rsid w:val="003548EB"/>
    <w:rsid w:val="00360271"/>
    <w:rsid w:val="00397D8A"/>
    <w:rsid w:val="003B6611"/>
    <w:rsid w:val="00403156"/>
    <w:rsid w:val="004236C6"/>
    <w:rsid w:val="00440BFE"/>
    <w:rsid w:val="00450EA2"/>
    <w:rsid w:val="004610F8"/>
    <w:rsid w:val="004A1DB1"/>
    <w:rsid w:val="004A735C"/>
    <w:rsid w:val="004A75C2"/>
    <w:rsid w:val="004D178A"/>
    <w:rsid w:val="004D39FB"/>
    <w:rsid w:val="00573F81"/>
    <w:rsid w:val="00577D56"/>
    <w:rsid w:val="00583579"/>
    <w:rsid w:val="005C3A95"/>
    <w:rsid w:val="005D7D11"/>
    <w:rsid w:val="00621A3B"/>
    <w:rsid w:val="00635EB1"/>
    <w:rsid w:val="00665011"/>
    <w:rsid w:val="00685D84"/>
    <w:rsid w:val="006C40EC"/>
    <w:rsid w:val="006D363B"/>
    <w:rsid w:val="006E7CE7"/>
    <w:rsid w:val="00705CF0"/>
    <w:rsid w:val="00712BA4"/>
    <w:rsid w:val="00745164"/>
    <w:rsid w:val="007C18CB"/>
    <w:rsid w:val="007C7C88"/>
    <w:rsid w:val="007E19E5"/>
    <w:rsid w:val="00820109"/>
    <w:rsid w:val="00821720"/>
    <w:rsid w:val="0086148F"/>
    <w:rsid w:val="008D5746"/>
    <w:rsid w:val="008F47F2"/>
    <w:rsid w:val="00915517"/>
    <w:rsid w:val="009234BE"/>
    <w:rsid w:val="00940034"/>
    <w:rsid w:val="009533E6"/>
    <w:rsid w:val="00966D55"/>
    <w:rsid w:val="009A2D61"/>
    <w:rsid w:val="009D2562"/>
    <w:rsid w:val="00A07FF0"/>
    <w:rsid w:val="00A352C5"/>
    <w:rsid w:val="00A55F32"/>
    <w:rsid w:val="00A9693A"/>
    <w:rsid w:val="00AB4B6E"/>
    <w:rsid w:val="00AC65F4"/>
    <w:rsid w:val="00AC6C23"/>
    <w:rsid w:val="00AF457E"/>
    <w:rsid w:val="00B10980"/>
    <w:rsid w:val="00B37694"/>
    <w:rsid w:val="00B84F00"/>
    <w:rsid w:val="00B91D2F"/>
    <w:rsid w:val="00BD100A"/>
    <w:rsid w:val="00BE42C9"/>
    <w:rsid w:val="00BE7264"/>
    <w:rsid w:val="00C2127E"/>
    <w:rsid w:val="00C378BA"/>
    <w:rsid w:val="00C40A1A"/>
    <w:rsid w:val="00C47693"/>
    <w:rsid w:val="00C85089"/>
    <w:rsid w:val="00C856F6"/>
    <w:rsid w:val="00CC631A"/>
    <w:rsid w:val="00D07D24"/>
    <w:rsid w:val="00D463FB"/>
    <w:rsid w:val="00D5774D"/>
    <w:rsid w:val="00D61C76"/>
    <w:rsid w:val="00D677B6"/>
    <w:rsid w:val="00DB3B4B"/>
    <w:rsid w:val="00DE7B91"/>
    <w:rsid w:val="00DF6607"/>
    <w:rsid w:val="00E25D2F"/>
    <w:rsid w:val="00E57520"/>
    <w:rsid w:val="00E57EA2"/>
    <w:rsid w:val="00EC31FD"/>
    <w:rsid w:val="00ED4700"/>
    <w:rsid w:val="00EE7AE6"/>
    <w:rsid w:val="00EF4F6D"/>
    <w:rsid w:val="00F146F1"/>
    <w:rsid w:val="00F175D5"/>
    <w:rsid w:val="00F611B1"/>
    <w:rsid w:val="00F64A3B"/>
    <w:rsid w:val="00F85608"/>
    <w:rsid w:val="00FA05C6"/>
    <w:rsid w:val="00FA0B60"/>
    <w:rsid w:val="00FA4D5D"/>
    <w:rsid w:val="00FA5B95"/>
    <w:rsid w:val="00F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E049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Style 15"/>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Nota"/>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00184">
      <w:bodyDiv w:val="1"/>
      <w:marLeft w:val="0"/>
      <w:marRight w:val="0"/>
      <w:marTop w:val="0"/>
      <w:marBottom w:val="0"/>
      <w:divBdr>
        <w:top w:val="none" w:sz="0" w:space="0" w:color="auto"/>
        <w:left w:val="none" w:sz="0" w:space="0" w:color="auto"/>
        <w:bottom w:val="none" w:sz="0" w:space="0" w:color="auto"/>
        <w:right w:val="none" w:sz="0" w:space="0" w:color="auto"/>
      </w:divBdr>
    </w:div>
    <w:div w:id="16835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70E15-B0E3-4AF2-A68B-16E7EFE8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2022-02-28T18:44:00Z</dcterms:created>
  <dcterms:modified xsi:type="dcterms:W3CDTF">2022-02-28T18:44:00Z</dcterms:modified>
</cp:coreProperties>
</file>