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91" w:rsidRDefault="00D56F91">
      <w:pPr>
        <w:jc w:val="center"/>
      </w:pPr>
      <w:bookmarkStart w:name="_GoBack" w:id="0"/>
      <w:bookmarkEnd w:id="0"/>
      <w:r>
        <w:t xml:space="preserve">SUPPORTING STATEMENT </w:t>
      </w:r>
    </w:p>
    <w:p w:rsidR="00D56F91" w:rsidRDefault="00D56F91">
      <w:pPr>
        <w:jc w:val="center"/>
      </w:pPr>
      <w:r>
        <w:t>NOTIFICATION OF CHANGES IN INSURED STATUS</w:t>
      </w:r>
    </w:p>
    <w:p w:rsidR="00D56F91" w:rsidRDefault="00D56F91">
      <w:pPr>
        <w:jc w:val="center"/>
      </w:pPr>
      <w:r>
        <w:t>(3064-0124)</w:t>
      </w:r>
    </w:p>
    <w:p w:rsidR="00D56F91" w:rsidRDefault="00D56F91"/>
    <w:p w:rsidR="00D56F91" w:rsidRDefault="00D56F91">
      <w:r>
        <w:rPr>
          <w:u w:val="single"/>
        </w:rPr>
        <w:t>INTRODUCTION</w:t>
      </w:r>
    </w:p>
    <w:p w:rsidR="00D56F91" w:rsidRDefault="00D56F91"/>
    <w:p w:rsidR="00D56F91" w:rsidRDefault="00D56F91">
      <w:r>
        <w:t xml:space="preserve">The FDIC is requesting approval to </w:t>
      </w:r>
      <w:r w:rsidR="0069427A">
        <w:t>extend, with revisions,</w:t>
      </w:r>
      <w:r>
        <w:t xml:space="preserve"> the above-captioned collection of information. The collection consists of two parts:</w:t>
      </w:r>
      <w:r w:rsidR="003A3988">
        <w:t xml:space="preserve"> (1)</w:t>
      </w:r>
      <w:r>
        <w:t xml:space="preserve"> a certification that insured depository institutions provide the FDIC when all deposit liabilities from one insured depository institution are assumed from another insured depository institution, with the latter institution responsible for providing the certification, and</w:t>
      </w:r>
      <w:r w:rsidR="003A3988">
        <w:t xml:space="preserve"> (2)</w:t>
      </w:r>
      <w:r>
        <w:t xml:space="preserve"> a notification that insured depository institutions provide to the FDIC when they seek to voluntarily terminate their insured status.</w:t>
      </w:r>
      <w:r w:rsidR="002F507A">
        <w:t xml:space="preserve">  The information collection expires on </w:t>
      </w:r>
      <w:r w:rsidR="00E729AC">
        <w:t>September 30</w:t>
      </w:r>
      <w:r w:rsidR="002F507A">
        <w:t>, 20</w:t>
      </w:r>
      <w:r w:rsidR="00E729AC">
        <w:t>21</w:t>
      </w:r>
      <w:r w:rsidR="002F507A">
        <w:t>.</w:t>
      </w:r>
    </w:p>
    <w:p w:rsidR="00D56F91" w:rsidRDefault="00D56F91"/>
    <w:p w:rsidR="00D56F91" w:rsidRDefault="00D56F91"/>
    <w:p w:rsidR="00D56F91" w:rsidRDefault="00D56F91">
      <w:r>
        <w:t>A.</w:t>
      </w:r>
      <w:r>
        <w:tab/>
      </w:r>
      <w:r>
        <w:rPr>
          <w:u w:val="single"/>
        </w:rPr>
        <w:t>JUSTIFICATION</w:t>
      </w:r>
    </w:p>
    <w:p w:rsidR="00D56F91" w:rsidRDefault="00D56F91"/>
    <w:p w:rsidRPr="00E729AC" w:rsidR="00E729AC" w:rsidP="00E729AC" w:rsidRDefault="00E729AC">
      <w:pPr>
        <w:numPr>
          <w:ilvl w:val="0"/>
          <w:numId w:val="4"/>
        </w:numPr>
        <w:rPr>
          <w:u w:val="single"/>
        </w:rPr>
      </w:pPr>
      <w:bookmarkStart w:name="OLE_LINK5" w:id="1"/>
      <w:bookmarkStart w:name="OLE_LINK6" w:id="2"/>
      <w:r w:rsidRPr="00E729AC">
        <w:rPr>
          <w:bCs/>
          <w:iCs/>
          <w:u w:val="single"/>
        </w:rPr>
        <w:t>Circumstances that make the collection necessary:</w:t>
      </w:r>
      <w:bookmarkEnd w:id="1"/>
      <w:bookmarkEnd w:id="2"/>
    </w:p>
    <w:p w:rsidR="00D56F91" w:rsidRDefault="00D56F91">
      <w:pPr>
        <w:ind w:firstLine="720"/>
      </w:pPr>
    </w:p>
    <w:p w:rsidR="00D56F91" w:rsidRDefault="006D2F50">
      <w:pPr>
        <w:ind w:left="1440"/>
      </w:pPr>
      <w:r>
        <w:t>The certification is</w:t>
      </w:r>
      <w:r w:rsidR="00D56F91">
        <w:t xml:space="preserve"> necessary to implement the provisions of section 8(q) of the FDI Act, 12 U.S.C. 1818(q), regarding termination of the insured status of the transferring institution and termination of the separate deposit insurance coverage provided on deposit accounts assumed by the assuming institution.  </w:t>
      </w:r>
    </w:p>
    <w:p w:rsidR="00D56F91" w:rsidRDefault="00D56F91"/>
    <w:p w:rsidR="00D56F91" w:rsidRDefault="00D56F91">
      <w:pPr>
        <w:ind w:left="1440"/>
      </w:pPr>
      <w:r>
        <w:t>The depositor notification is required</w:t>
      </w:r>
      <w:r w:rsidR="003A3988">
        <w:t xml:space="preserve"> by section 8(a)</w:t>
      </w:r>
      <w:r>
        <w:t xml:space="preserve">(6) of the FDI Act, 12 U.S.C. 1818(a)(6).  This provision ensures that the institution's depositors receive appropriate information regarding the institution's intent to terminate its insured status and that, prior to the termination of the institution's insured status, depositors receive appropriate information concerning federal deposit insurance coverage of their accounts once the institution's insured status is terminated.  </w:t>
      </w:r>
    </w:p>
    <w:p w:rsidR="00D56F91" w:rsidRDefault="00D56F91"/>
    <w:p w:rsidR="00D56F91" w:rsidRDefault="00D56F91">
      <w:pPr>
        <w:ind w:firstLine="720"/>
      </w:pPr>
      <w:r>
        <w:t>2.</w:t>
      </w:r>
      <w:r>
        <w:tab/>
      </w:r>
      <w:r w:rsidRPr="00E729AC" w:rsidR="00E729AC">
        <w:rPr>
          <w:color w:val="000000"/>
          <w:u w:val="single"/>
        </w:rPr>
        <w:t>Use of information collected:</w:t>
      </w:r>
    </w:p>
    <w:p w:rsidR="00D56F91" w:rsidRDefault="00D56F91"/>
    <w:p w:rsidR="00D56F91" w:rsidRDefault="00D56F91">
      <w:pPr>
        <w:ind w:left="1440"/>
      </w:pPr>
      <w:r>
        <w:t xml:space="preserve">The certification is intended to satisfy section 8(q)'s "satisfactory evidence of such assumption" requirement, which is a condition that must be met before the transferring institution's insured status can be terminated pursuant to section 8(q)(1) of the FDI Act (12 U.S.C. 1818(q)(1)).  The certification also provides the FDIC with notice of when the assumption takes effect to determine the continuation of separate deposit insurance coverage on the assumed deposits.  </w:t>
      </w:r>
    </w:p>
    <w:p w:rsidR="00D56F91" w:rsidRDefault="00D56F91">
      <w:pPr>
        <w:ind w:left="1440"/>
      </w:pPr>
      <w:r>
        <w:t xml:space="preserve">The certification is submitted to the FDIC and utilized in making the determination whether to terminate the transferring depository institution’s insured status. </w:t>
      </w:r>
    </w:p>
    <w:p w:rsidR="00D56F91" w:rsidRDefault="00D56F91"/>
    <w:p w:rsidR="00D56F91" w:rsidRDefault="00D56F91">
      <w:pPr>
        <w:ind w:left="1440"/>
      </w:pPr>
      <w:r>
        <w:t xml:space="preserve">The depositor notification letter is submitted to the FDIC prior to its dissemination to depositors when an insured </w:t>
      </w:r>
      <w:r w:rsidR="003A3988">
        <w:t xml:space="preserve">depository institution seeks to </w:t>
      </w:r>
      <w:r>
        <w:t>terminate its insured status without having its deposits assumed by another</w:t>
      </w:r>
      <w:r w:rsidR="006D2F50">
        <w:t xml:space="preserve"> </w:t>
      </w:r>
      <w:r>
        <w:lastRenderedPageBreak/>
        <w:t xml:space="preserve">insured depository institution.  The FDIC reviews the proposed depositor notification letter to assure that the interests of the institution’s depositors are safeguarded. </w:t>
      </w:r>
    </w:p>
    <w:p w:rsidR="00D56F91" w:rsidRDefault="00D56F91"/>
    <w:p w:rsidR="00D56F91" w:rsidRDefault="00D56F91">
      <w:pPr>
        <w:ind w:firstLine="720"/>
      </w:pPr>
      <w:r>
        <w:t>3.</w:t>
      </w:r>
      <w:r>
        <w:tab/>
      </w:r>
      <w:r w:rsidRPr="00E729AC" w:rsidR="00E729AC">
        <w:rPr>
          <w:u w:val="single"/>
        </w:rPr>
        <w:t>Consideration of the use of improved information technology:</w:t>
      </w:r>
    </w:p>
    <w:p w:rsidR="00D56F91" w:rsidRDefault="00D56F91"/>
    <w:p w:rsidR="00D56F91" w:rsidRDefault="00D56F91">
      <w:pPr>
        <w:ind w:left="1440"/>
      </w:pPr>
      <w:r>
        <w:t xml:space="preserve">Institutions are free to use whatever methods are the least burdensome to them for sending the certification and depositor notification letters to the FDIC. </w:t>
      </w:r>
    </w:p>
    <w:p w:rsidR="00D56F91" w:rsidRDefault="00D56F91"/>
    <w:p w:rsidR="00D56F91" w:rsidRDefault="00D56F91">
      <w:pPr>
        <w:ind w:firstLine="720"/>
      </w:pPr>
      <w:r>
        <w:t>4.</w:t>
      </w:r>
      <w:r>
        <w:tab/>
      </w:r>
      <w:r w:rsidRPr="00E729AC" w:rsidR="00E729AC">
        <w:rPr>
          <w:color w:val="000000"/>
          <w:u w:val="single"/>
        </w:rPr>
        <w:t>Efforts to identify duplication:</w:t>
      </w:r>
    </w:p>
    <w:p w:rsidR="00D56F91" w:rsidRDefault="00D56F91"/>
    <w:p w:rsidR="00D56F91" w:rsidRDefault="00D56F91">
      <w:pPr>
        <w:ind w:left="1440"/>
      </w:pPr>
      <w:r>
        <w:t xml:space="preserve">Some information concerning deposit liabilities assumed or proposed to be assumed by merger, consolidation, other statutory assumption, or contract is required to be filed with the FDIC, pursuant to our assessment regulations (12 CFR Part 327) and our procedures regulations (12 CFR Section 303).    Information filed with the FDIC in semi-annual reports, pursuant to Part 327, does not specify the institution whose deposits were assumed or when the assumption took effect.  Therefore, while there is some overlapping of general information being submitted, the information contained in the certification provides the FDIC with more specific and timely data needed to comply with the requirements of section 8(q) of the FDI Act.  Additionally, the regulation provides the FDIC and the industry with a clear standard for judging when an insured depository institution's insured status should be terminated.  </w:t>
      </w:r>
    </w:p>
    <w:p w:rsidR="00D56F91" w:rsidRDefault="00D56F91"/>
    <w:p w:rsidR="00D56F91" w:rsidP="00E729AC" w:rsidRDefault="00D56F91">
      <w:pPr>
        <w:ind w:left="1440" w:hanging="720"/>
      </w:pPr>
      <w:r>
        <w:t>5.</w:t>
      </w:r>
      <w:r>
        <w:tab/>
      </w:r>
      <w:r w:rsidRPr="00E729AC" w:rsidR="00E729AC">
        <w:rPr>
          <w:u w:val="single"/>
        </w:rPr>
        <w:t>Methods used to minimize burden if the collection has a significant impact on a substantial number of small entities</w:t>
      </w:r>
      <w:r w:rsidR="00E729AC">
        <w:rPr>
          <w:u w:val="single"/>
        </w:rPr>
        <w:t>:</w:t>
      </w:r>
    </w:p>
    <w:p w:rsidR="00D56F91" w:rsidRDefault="00D56F91"/>
    <w:p w:rsidR="00D56F91" w:rsidRDefault="00D56F91">
      <w:pPr>
        <w:ind w:left="1440"/>
      </w:pPr>
      <w:r>
        <w:t xml:space="preserve">This collection is required by statute; there are no provisions for alternatives for small business.  However, the FDIC has attempted to reduce burden for small entities by providing sample formats that will satisfy the information requirements.  </w:t>
      </w:r>
    </w:p>
    <w:p w:rsidR="00D56F91" w:rsidRDefault="00D56F91"/>
    <w:p w:rsidR="00D56F91" w:rsidP="00E729AC" w:rsidRDefault="00D56F91">
      <w:pPr>
        <w:ind w:left="1440" w:hanging="720"/>
      </w:pPr>
      <w:r>
        <w:t>6.</w:t>
      </w:r>
      <w:r>
        <w:tab/>
      </w:r>
      <w:r w:rsidRPr="00E729AC" w:rsidR="00E729AC">
        <w:rPr>
          <w:u w:val="single"/>
        </w:rPr>
        <w:t>Consequences to the Federal program if the collection were conducted less frequently:</w:t>
      </w:r>
      <w:r>
        <w:t xml:space="preserve">   </w:t>
      </w:r>
    </w:p>
    <w:p w:rsidR="00D56F91" w:rsidRDefault="00D56F91"/>
    <w:p w:rsidR="00D56F91" w:rsidRDefault="00D56F91">
      <w:pPr>
        <w:ind w:left="1440"/>
      </w:pPr>
      <w:r>
        <w:t xml:space="preserve">The collections of information are required only when insured depository institutions voluntarily choose to engage in specified activities. </w:t>
      </w:r>
      <w:r w:rsidR="00792766">
        <w:t>Less frequent collection would result in non</w:t>
      </w:r>
      <w:r w:rsidR="00792766">
        <w:noBreakHyphen/>
        <w:t>compliance with the law.</w:t>
      </w:r>
      <w:r>
        <w:t xml:space="preserve"> </w:t>
      </w:r>
    </w:p>
    <w:p w:rsidR="00D56F91" w:rsidRDefault="00D56F91"/>
    <w:p w:rsidR="00D56F91" w:rsidP="00E729AC" w:rsidRDefault="00D56F91">
      <w:pPr>
        <w:ind w:left="1440" w:hanging="720"/>
      </w:pPr>
      <w:r>
        <w:t>7.</w:t>
      </w:r>
      <w:r>
        <w:tab/>
      </w:r>
      <w:r w:rsidRPr="00E729AC" w:rsidR="00E729AC">
        <w:rPr>
          <w:szCs w:val="24"/>
          <w:u w:val="single"/>
        </w:rPr>
        <w:t>Special circumstances necessitating collection inconsistent with 5 CFR Part 1320.5(d)(2):</w:t>
      </w:r>
    </w:p>
    <w:p w:rsidR="00D56F91" w:rsidRDefault="00D56F91"/>
    <w:p w:rsidR="00D56F91" w:rsidP="00E729AC" w:rsidRDefault="00E729AC">
      <w:pPr>
        <w:ind w:left="1440"/>
      </w:pPr>
      <w:r w:rsidRPr="00E729AC">
        <w:t>None.  The</w:t>
      </w:r>
      <w:r w:rsidRPr="00E729AC">
        <w:rPr>
          <w:bCs/>
          <w:iCs/>
        </w:rPr>
        <w:t xml:space="preserve"> information is collected in a manner consistent with 5 CFR Part 1320.5(d)(2).</w:t>
      </w:r>
    </w:p>
    <w:p w:rsidR="00D56F91" w:rsidRDefault="00D56F91"/>
    <w:p w:rsidR="00D56F91" w:rsidRDefault="00D56F91">
      <w:pPr>
        <w:ind w:firstLine="720"/>
      </w:pPr>
      <w:r>
        <w:t>8.</w:t>
      </w:r>
      <w:r>
        <w:tab/>
      </w:r>
      <w:bookmarkStart w:name="OLE_LINK9" w:id="3"/>
      <w:bookmarkStart w:name="OLE_LINK10" w:id="4"/>
      <w:r w:rsidRPr="00E729AC" w:rsidR="00E729AC">
        <w:rPr>
          <w:u w:val="single"/>
        </w:rPr>
        <w:t>Efforts to consult with persons outside the agency:</w:t>
      </w:r>
      <w:bookmarkEnd w:id="3"/>
      <w:bookmarkEnd w:id="4"/>
    </w:p>
    <w:p w:rsidR="00D56F91" w:rsidRDefault="00D56F91"/>
    <w:p w:rsidRPr="001E5BA8" w:rsidR="001E5BA8" w:rsidP="001E5BA8" w:rsidRDefault="001E5BA8">
      <w:pPr>
        <w:suppressAutoHyphens/>
        <w:ind w:left="1440"/>
      </w:pPr>
      <w:r w:rsidRPr="001E5BA8">
        <w:t xml:space="preserve">A 60-day notice seeking public comment on the FDIC’s renewal of the information collection was published on </w:t>
      </w:r>
      <w:r w:rsidR="00E729AC">
        <w:t>July 8, 2021 (86</w:t>
      </w:r>
      <w:r w:rsidRPr="001E5BA8">
        <w:t xml:space="preserve"> FR </w:t>
      </w:r>
      <w:r w:rsidR="00E729AC">
        <w:t>36137</w:t>
      </w:r>
      <w:r w:rsidRPr="001E5BA8">
        <w:t>).  No comments were received.</w:t>
      </w:r>
    </w:p>
    <w:p w:rsidR="00D56F91" w:rsidRDefault="00D56F91">
      <w:pPr>
        <w:ind w:left="1440"/>
      </w:pPr>
    </w:p>
    <w:p w:rsidR="00D56F91" w:rsidRDefault="00D56F91">
      <w:pPr>
        <w:ind w:firstLine="720"/>
      </w:pPr>
      <w:r>
        <w:t>9.</w:t>
      </w:r>
      <w:r>
        <w:tab/>
      </w:r>
      <w:r w:rsidRPr="00E729AC" w:rsidR="00E729AC">
        <w:rPr>
          <w:color w:val="000000"/>
          <w:u w:val="single"/>
        </w:rPr>
        <w:t>Payment or gift to respondents:</w:t>
      </w:r>
    </w:p>
    <w:p w:rsidR="00D56F91" w:rsidRDefault="00D56F91"/>
    <w:p w:rsidR="00D56F91" w:rsidRDefault="00E729AC">
      <w:pPr>
        <w:ind w:left="720" w:firstLine="720"/>
      </w:pPr>
      <w:r w:rsidRPr="00E729AC">
        <w:rPr>
          <w:color w:val="000000"/>
        </w:rPr>
        <w:t>No payments or gifts will be given to respondents.</w:t>
      </w:r>
    </w:p>
    <w:p w:rsidR="00D56F91" w:rsidRDefault="00D56F91"/>
    <w:p w:rsidR="00D56F91" w:rsidRDefault="00D56F91">
      <w:pPr>
        <w:ind w:firstLine="720"/>
      </w:pPr>
      <w:r>
        <w:t>10.</w:t>
      </w:r>
      <w:r>
        <w:tab/>
      </w:r>
      <w:r w:rsidRPr="00E729AC" w:rsidR="00E729AC">
        <w:rPr>
          <w:u w:val="single"/>
        </w:rPr>
        <w:t>Any assurance of confidentiality:</w:t>
      </w:r>
    </w:p>
    <w:p w:rsidR="00D56F91" w:rsidRDefault="00D56F91"/>
    <w:p w:rsidR="00D56F91" w:rsidRDefault="00D56F91">
      <w:pPr>
        <w:ind w:left="720" w:firstLine="720"/>
      </w:pPr>
      <w:r>
        <w:t xml:space="preserve">None. </w:t>
      </w:r>
    </w:p>
    <w:p w:rsidR="00D56F91" w:rsidRDefault="00D56F91"/>
    <w:p w:rsidR="00D56F91" w:rsidRDefault="00D56F91">
      <w:pPr>
        <w:ind w:firstLine="720"/>
      </w:pPr>
      <w:r>
        <w:t>11.</w:t>
      </w:r>
      <w:r>
        <w:tab/>
      </w:r>
      <w:r w:rsidRPr="00E729AC" w:rsidR="00E729AC">
        <w:rPr>
          <w:szCs w:val="24"/>
          <w:u w:val="single"/>
        </w:rPr>
        <w:t>Justification for questions of a sensitive nature:</w:t>
      </w:r>
    </w:p>
    <w:p w:rsidR="00D56F91" w:rsidRDefault="00D56F91"/>
    <w:p w:rsidR="00D56F91" w:rsidRDefault="00D56F91">
      <w:pPr>
        <w:ind w:left="720" w:firstLine="720"/>
      </w:pPr>
      <w:r>
        <w:t>None.</w:t>
      </w:r>
    </w:p>
    <w:p w:rsidR="00D56F91" w:rsidRDefault="00D56F91">
      <w:pPr>
        <w:ind w:left="720" w:firstLine="720"/>
      </w:pPr>
    </w:p>
    <w:p w:rsidRPr="00C129A2" w:rsidR="00D56F91" w:rsidRDefault="00D56F91">
      <w:pPr>
        <w:ind w:firstLine="720"/>
      </w:pPr>
      <w:r w:rsidRPr="00C129A2">
        <w:t>12.</w:t>
      </w:r>
      <w:r w:rsidRPr="00C129A2">
        <w:tab/>
      </w:r>
      <w:r w:rsidRPr="00C129A2">
        <w:rPr>
          <w:u w:val="single"/>
        </w:rPr>
        <w:t>Estimate of Annual Burden</w:t>
      </w:r>
    </w:p>
    <w:p w:rsidRPr="00E16993" w:rsidR="00D56F91" w:rsidRDefault="00D56F91">
      <w:pPr>
        <w:rPr>
          <w:highlight w:val="yellow"/>
        </w:rPr>
      </w:pPr>
    </w:p>
    <w:tbl>
      <w:tblPr>
        <w:tblW w:w="10140" w:type="dxa"/>
        <w:tblLook w:val="04A0" w:firstRow="1" w:lastRow="0" w:firstColumn="1" w:lastColumn="0" w:noHBand="0" w:noVBand="1"/>
      </w:tblPr>
      <w:tblGrid>
        <w:gridCol w:w="2294"/>
        <w:gridCol w:w="1307"/>
        <w:gridCol w:w="1266"/>
        <w:gridCol w:w="1388"/>
        <w:gridCol w:w="1295"/>
        <w:gridCol w:w="1061"/>
        <w:gridCol w:w="1529"/>
      </w:tblGrid>
      <w:tr w:rsidRPr="00C129A2" w:rsidR="00C129A2" w:rsidTr="00EA5767">
        <w:trPr>
          <w:trHeight w:val="288"/>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b/>
                <w:bCs/>
                <w:snapToGrid/>
                <w:color w:val="000000"/>
                <w:sz w:val="20"/>
              </w:rPr>
            </w:pPr>
            <w:r w:rsidRPr="00C129A2">
              <w:rPr>
                <w:rFonts w:ascii="Source Sans Pro" w:hAnsi="Source Sans Pro" w:cs="Calibri"/>
                <w:b/>
                <w:bCs/>
                <w:snapToGrid/>
                <w:color w:val="000000"/>
                <w:sz w:val="20"/>
              </w:rPr>
              <w:t xml:space="preserve">Summary of Estimated Annual Burden </w:t>
            </w:r>
          </w:p>
        </w:tc>
      </w:tr>
      <w:tr w:rsidRPr="00C129A2" w:rsidR="00C129A2" w:rsidTr="00EA5767">
        <w:trPr>
          <w:trHeight w:val="828"/>
        </w:trPr>
        <w:tc>
          <w:tcPr>
            <w:tcW w:w="2320" w:type="dxa"/>
            <w:tcBorders>
              <w:top w:val="nil"/>
              <w:left w:val="single" w:color="auto" w:sz="4" w:space="0"/>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b/>
                <w:bCs/>
                <w:snapToGrid/>
                <w:color w:val="000000"/>
                <w:sz w:val="20"/>
              </w:rPr>
            </w:pPr>
            <w:r w:rsidRPr="00C129A2">
              <w:rPr>
                <w:rFonts w:ascii="Source Sans Pro" w:hAnsi="Source Sans Pro" w:cs="Calibri"/>
                <w:b/>
                <w:bCs/>
                <w:snapToGrid/>
                <w:color w:val="000000"/>
                <w:sz w:val="20"/>
              </w:rPr>
              <w:t>Information Collection Description</w:t>
            </w:r>
            <w:r w:rsidRPr="00C129A2">
              <w:rPr>
                <w:rFonts w:ascii="Calibri" w:hAnsi="Calibri" w:cs="Calibri"/>
                <w:b/>
                <w:bCs/>
                <w:snapToGrid/>
                <w:color w:val="000000"/>
                <w:sz w:val="20"/>
              </w:rPr>
              <w:t> </w:t>
            </w:r>
            <w:r w:rsidRPr="00C129A2">
              <w:rPr>
                <w:rFonts w:ascii="Calibri" w:hAnsi="Calibri" w:cs="Calibri"/>
                <w:snapToGrid/>
                <w:color w:val="000000"/>
                <w:sz w:val="20"/>
              </w:rPr>
              <w:t> </w:t>
            </w:r>
          </w:p>
        </w:tc>
        <w:tc>
          <w:tcPr>
            <w:tcW w:w="136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Type of Burden (Obligation to Respond) </w:t>
            </w:r>
          </w:p>
        </w:tc>
        <w:tc>
          <w:tcPr>
            <w:tcW w:w="140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Frequency of Response </w:t>
            </w:r>
          </w:p>
        </w:tc>
        <w:tc>
          <w:tcPr>
            <w:tcW w:w="142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Number of Respondents </w:t>
            </w:r>
          </w:p>
        </w:tc>
        <w:tc>
          <w:tcPr>
            <w:tcW w:w="132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Number of Responses per Respondent </w:t>
            </w:r>
          </w:p>
        </w:tc>
        <w:tc>
          <w:tcPr>
            <w:tcW w:w="96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Hours per Response </w:t>
            </w:r>
          </w:p>
        </w:tc>
        <w:tc>
          <w:tcPr>
            <w:tcW w:w="1360" w:type="dxa"/>
            <w:tcBorders>
              <w:top w:val="nil"/>
              <w:left w:val="nil"/>
              <w:bottom w:val="single" w:color="auto" w:sz="4" w:space="0"/>
              <w:right w:val="single" w:color="auto" w:sz="4" w:space="0"/>
            </w:tcBorders>
            <w:shd w:val="clear" w:color="000000" w:fill="D9D9D9"/>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Annual Burden (Hours) </w:t>
            </w:r>
          </w:p>
        </w:tc>
      </w:tr>
      <w:tr w:rsidRPr="00C129A2" w:rsidR="00C129A2" w:rsidTr="00EA5767">
        <w:trPr>
          <w:trHeight w:val="792"/>
        </w:trPr>
        <w:tc>
          <w:tcPr>
            <w:tcW w:w="2320"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widowControl/>
              <w:rPr>
                <w:rFonts w:ascii="Source Sans Pro" w:hAnsi="Source Sans Pro" w:cs="Calibri"/>
                <w:snapToGrid/>
                <w:color w:val="000000"/>
                <w:sz w:val="20"/>
              </w:rPr>
            </w:pPr>
            <w:r w:rsidRPr="00C129A2">
              <w:rPr>
                <w:rFonts w:ascii="Source Sans Pro" w:hAnsi="Source Sans Pro" w:cs="Calibri"/>
                <w:snapToGrid/>
                <w:color w:val="000000"/>
                <w:sz w:val="20"/>
              </w:rPr>
              <w:t>Notification of Change in Insured Status</w:t>
            </w:r>
          </w:p>
        </w:tc>
        <w:tc>
          <w:tcPr>
            <w:tcW w:w="13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Third Party Disclosure (Mandatory)</w:t>
            </w:r>
          </w:p>
        </w:tc>
        <w:tc>
          <w:tcPr>
            <w:tcW w:w="140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On occasion </w:t>
            </w:r>
          </w:p>
        </w:tc>
        <w:tc>
          <w:tcPr>
            <w:tcW w:w="142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8</w:t>
            </w:r>
          </w:p>
        </w:tc>
        <w:tc>
          <w:tcPr>
            <w:tcW w:w="132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9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2</w:t>
            </w:r>
          </w:p>
        </w:tc>
        <w:tc>
          <w:tcPr>
            <w:tcW w:w="13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16</w:t>
            </w:r>
          </w:p>
        </w:tc>
      </w:tr>
      <w:tr w:rsidRPr="00C129A2" w:rsidR="00C129A2" w:rsidTr="00EA5767">
        <w:trPr>
          <w:trHeight w:val="792"/>
        </w:trPr>
        <w:tc>
          <w:tcPr>
            <w:tcW w:w="2320"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widowControl/>
              <w:rPr>
                <w:rFonts w:ascii="Source Sans Pro" w:hAnsi="Source Sans Pro" w:cs="Calibri"/>
                <w:snapToGrid/>
                <w:sz w:val="20"/>
              </w:rPr>
            </w:pPr>
            <w:r w:rsidRPr="00C129A2">
              <w:rPr>
                <w:rFonts w:ascii="Source Sans Pro" w:hAnsi="Source Sans Pro" w:cs="Calibri"/>
                <w:snapToGrid/>
                <w:sz w:val="20"/>
              </w:rPr>
              <w:t>Certification</w:t>
            </w:r>
          </w:p>
        </w:tc>
        <w:tc>
          <w:tcPr>
            <w:tcW w:w="13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Reporting (Mandatory)</w:t>
            </w:r>
          </w:p>
        </w:tc>
        <w:tc>
          <w:tcPr>
            <w:tcW w:w="140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On occasion </w:t>
            </w:r>
          </w:p>
        </w:tc>
        <w:tc>
          <w:tcPr>
            <w:tcW w:w="142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240</w:t>
            </w:r>
          </w:p>
        </w:tc>
        <w:tc>
          <w:tcPr>
            <w:tcW w:w="132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9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13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240</w:t>
            </w:r>
          </w:p>
        </w:tc>
      </w:tr>
      <w:tr w:rsidRPr="00C129A2" w:rsidR="00C129A2" w:rsidTr="00EA5767">
        <w:trPr>
          <w:trHeight w:val="288"/>
        </w:trPr>
        <w:tc>
          <w:tcPr>
            <w:tcW w:w="878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Total Annual Burden (Hours): </w:t>
            </w:r>
          </w:p>
        </w:tc>
        <w:tc>
          <w:tcPr>
            <w:tcW w:w="1360"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256</w:t>
            </w:r>
          </w:p>
        </w:tc>
      </w:tr>
      <w:tr w:rsidRPr="00C129A2" w:rsidR="00C129A2" w:rsidTr="00EA5767">
        <w:trPr>
          <w:trHeight w:val="288"/>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widowControl/>
              <w:rPr>
                <w:rFonts w:ascii="Source Sans Pro" w:hAnsi="Source Sans Pro" w:cs="Calibri"/>
                <w:snapToGrid/>
                <w:color w:val="000000"/>
                <w:sz w:val="20"/>
              </w:rPr>
            </w:pPr>
            <w:r w:rsidRPr="00C129A2">
              <w:rPr>
                <w:rFonts w:ascii="Source Sans Pro" w:hAnsi="Source Sans Pro" w:cs="Calibri"/>
                <w:snapToGrid/>
                <w:color w:val="000000"/>
                <w:sz w:val="20"/>
              </w:rPr>
              <w:t>Source: FDIC. </w:t>
            </w:r>
          </w:p>
        </w:tc>
      </w:tr>
    </w:tbl>
    <w:p w:rsidR="001E5BA8" w:rsidRDefault="001E5BA8">
      <w:pPr>
        <w:rPr>
          <w:highlight w:val="yellow"/>
        </w:rPr>
      </w:pPr>
    </w:p>
    <w:p w:rsidRPr="00C129A2" w:rsidR="00C129A2" w:rsidP="00C129A2" w:rsidRDefault="00C129A2">
      <w:pPr>
        <w:tabs>
          <w:tab w:val="left" w:pos="-1440"/>
        </w:tabs>
        <w:spacing w:line="360" w:lineRule="auto"/>
        <w:ind w:left="1440"/>
        <w:contextualSpacing/>
      </w:pPr>
      <w:r w:rsidRPr="00C129A2">
        <w:t xml:space="preserve">Total estimated annual burden:  </w:t>
      </w:r>
      <w:r>
        <w:t>256</w:t>
      </w:r>
      <w:r w:rsidRPr="00C129A2">
        <w:t xml:space="preserve"> hours</w:t>
      </w:r>
    </w:p>
    <w:p w:rsidRPr="00C129A2" w:rsidR="00C129A2" w:rsidP="00C129A2" w:rsidRDefault="00C129A2">
      <w:pPr>
        <w:tabs>
          <w:tab w:val="left" w:pos="-1440"/>
        </w:tabs>
        <w:spacing w:line="360" w:lineRule="auto"/>
        <w:ind w:left="1440"/>
        <w:contextualSpacing/>
      </w:pPr>
      <w:r w:rsidRPr="00C129A2">
        <w:t>The total estimated annual cost is:</w:t>
      </w:r>
    </w:p>
    <w:p w:rsidR="00C129A2" w:rsidP="00C129A2" w:rsidRDefault="00C129A2">
      <w:pPr>
        <w:tabs>
          <w:tab w:val="left" w:pos="-1440"/>
        </w:tabs>
        <w:spacing w:line="360" w:lineRule="auto"/>
        <w:ind w:left="1440"/>
        <w:contextualSpacing/>
      </w:pPr>
      <w:r>
        <w:t>256</w:t>
      </w:r>
      <w:r w:rsidRPr="00C129A2">
        <w:t xml:space="preserve"> hours x $</w:t>
      </w:r>
      <w:r>
        <w:t>137.37</w:t>
      </w:r>
      <w:r w:rsidRPr="00C129A2">
        <w:t xml:space="preserve"> = $</w:t>
      </w:r>
      <w:r>
        <w:t>35,166.72</w:t>
      </w:r>
    </w:p>
    <w:p w:rsidR="00C129A2" w:rsidP="00C129A2" w:rsidRDefault="00C129A2">
      <w:pPr>
        <w:tabs>
          <w:tab w:val="left" w:pos="-1440"/>
        </w:tabs>
        <w:spacing w:line="360" w:lineRule="auto"/>
        <w:ind w:left="1440"/>
        <w:contextualSpacing/>
      </w:pPr>
    </w:p>
    <w:tbl>
      <w:tblPr>
        <w:tblW w:w="9350" w:type="dxa"/>
        <w:tblLook w:val="04A0" w:firstRow="1" w:lastRow="0" w:firstColumn="1" w:lastColumn="0" w:noHBand="0" w:noVBand="1"/>
      </w:tblPr>
      <w:tblGrid>
        <w:gridCol w:w="2707"/>
        <w:gridCol w:w="1997"/>
        <w:gridCol w:w="1779"/>
        <w:gridCol w:w="2867"/>
      </w:tblGrid>
      <w:tr w:rsidRPr="00C129A2" w:rsidR="00C129A2" w:rsidTr="00EA5767">
        <w:trPr>
          <w:trHeight w:val="492"/>
        </w:trPr>
        <w:tc>
          <w:tcPr>
            <w:tcW w:w="9350"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C129A2" w:rsidR="00C129A2" w:rsidP="00C129A2" w:rsidRDefault="00C129A2">
            <w:pPr>
              <w:keepNext/>
              <w:keepLines/>
              <w:suppressAutoHyphens/>
              <w:autoSpaceDE w:val="0"/>
              <w:autoSpaceDN w:val="0"/>
              <w:spacing w:after="240" w:line="260" w:lineRule="exact"/>
              <w:ind w:right="-86"/>
              <w:jc w:val="center"/>
              <w:rPr>
                <w:rFonts w:ascii="Source Sans Pro" w:hAnsi="Source Sans Pro" w:cs="Calibri"/>
                <w:b/>
                <w:bCs/>
                <w:snapToGrid/>
                <w:color w:val="000000"/>
                <w:sz w:val="20"/>
              </w:rPr>
            </w:pPr>
            <w:r w:rsidRPr="00C129A2">
              <w:rPr>
                <w:rFonts w:ascii="Source Sans Pro" w:hAnsi="Source Sans Pro" w:cs="Calibri"/>
                <w:b/>
                <w:bCs/>
                <w:snapToGrid/>
                <w:color w:val="000000"/>
                <w:sz w:val="20"/>
              </w:rPr>
              <w:lastRenderedPageBreak/>
              <w:t xml:space="preserve">Summary of Hourly Burden Cost Estimate for the Notification of Changes in Insured Status </w:t>
            </w:r>
          </w:p>
        </w:tc>
      </w:tr>
      <w:tr w:rsidRPr="00C129A2" w:rsidR="00C129A2" w:rsidTr="00EA5767">
        <w:trPr>
          <w:trHeight w:val="1392"/>
        </w:trPr>
        <w:tc>
          <w:tcPr>
            <w:tcW w:w="2707" w:type="dxa"/>
            <w:tcBorders>
              <w:top w:val="nil"/>
              <w:left w:val="single" w:color="auto" w:sz="8" w:space="0"/>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Estimated Category of Personnel Responsible for Complying with the PRA Burden</w:t>
            </w:r>
          </w:p>
        </w:tc>
        <w:tc>
          <w:tcPr>
            <w:tcW w:w="1997" w:type="dxa"/>
            <w:tcBorders>
              <w:top w:val="nil"/>
              <w:left w:val="nil"/>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Total Estimated Hourly Compensation</w:t>
            </w:r>
          </w:p>
        </w:tc>
        <w:tc>
          <w:tcPr>
            <w:tcW w:w="1779" w:type="dxa"/>
            <w:tcBorders>
              <w:top w:val="nil"/>
              <w:left w:val="nil"/>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Estimated Weights</w:t>
            </w:r>
          </w:p>
        </w:tc>
        <w:tc>
          <w:tcPr>
            <w:tcW w:w="2867" w:type="dxa"/>
            <w:tcBorders>
              <w:top w:val="nil"/>
              <w:left w:val="nil"/>
              <w:bottom w:val="single" w:color="auto" w:sz="8" w:space="0"/>
              <w:right w:val="single" w:color="auto" w:sz="8" w:space="0"/>
            </w:tcBorders>
            <w:shd w:val="clear" w:color="auto" w:fill="auto"/>
            <w:vAlign w:val="center"/>
            <w:hideMark/>
          </w:tcPr>
          <w:p w:rsidRPr="00C129A2" w:rsidR="00C129A2" w:rsidP="00C129A2" w:rsidRDefault="00C129A2">
            <w:pPr>
              <w:keepNext/>
              <w:keepLines/>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Estimated Total Weighted Labor Cost Component</w:t>
            </w:r>
          </w:p>
        </w:tc>
      </w:tr>
      <w:tr w:rsidRPr="00C129A2" w:rsidR="00C129A2" w:rsidTr="00EA5767">
        <w:trPr>
          <w:trHeight w:val="552"/>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Executives and Managers*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$123.30</w:t>
            </w:r>
          </w:p>
        </w:tc>
        <w:tc>
          <w:tcPr>
            <w:tcW w:w="1779"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50%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$61.65</w:t>
            </w:r>
          </w:p>
        </w:tc>
      </w:tr>
      <w:tr w:rsidRPr="00C129A2" w:rsidR="00C129A2" w:rsidTr="00EA576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Lawyers**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$151.44</w:t>
            </w:r>
          </w:p>
        </w:tc>
        <w:tc>
          <w:tcPr>
            <w:tcW w:w="1779"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50%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$75.75</w:t>
            </w:r>
          </w:p>
        </w:tc>
      </w:tr>
      <w:tr w:rsidRPr="00C129A2" w:rsidR="00C129A2" w:rsidTr="00EA576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Compliance Officer***</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$67.35</w:t>
            </w:r>
          </w:p>
        </w:tc>
        <w:tc>
          <w:tcPr>
            <w:tcW w:w="1779"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$0.00</w:t>
            </w:r>
          </w:p>
        </w:tc>
      </w:tr>
      <w:tr w:rsidRPr="00C129A2" w:rsidR="00C129A2" w:rsidTr="00EA576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IT Specialists†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$92.30</w:t>
            </w:r>
          </w:p>
        </w:tc>
        <w:tc>
          <w:tcPr>
            <w:tcW w:w="1779"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$0.00</w:t>
            </w:r>
          </w:p>
        </w:tc>
      </w:tr>
      <w:tr w:rsidRPr="00C129A2" w:rsidR="00C129A2" w:rsidTr="00EA576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Financial Analysts††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$79.40</w:t>
            </w:r>
          </w:p>
        </w:tc>
        <w:tc>
          <w:tcPr>
            <w:tcW w:w="1779" w:type="dxa"/>
            <w:tcBorders>
              <w:top w:val="nil"/>
              <w:left w:val="nil"/>
              <w:bottom w:val="single" w:color="auto" w:sz="4"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$0.00</w:t>
            </w:r>
          </w:p>
        </w:tc>
      </w:tr>
      <w:tr w:rsidRPr="00C129A2" w:rsidR="00C129A2" w:rsidTr="00EA5767">
        <w:trPr>
          <w:trHeight w:val="300"/>
        </w:trPr>
        <w:tc>
          <w:tcPr>
            <w:tcW w:w="2707" w:type="dxa"/>
            <w:tcBorders>
              <w:top w:val="single" w:color="auto" w:sz="4" w:space="0"/>
              <w:left w:val="single" w:color="auto" w:sz="8" w:space="0"/>
              <w:bottom w:val="nil"/>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Clerical‡</w:t>
            </w:r>
          </w:p>
        </w:tc>
        <w:tc>
          <w:tcPr>
            <w:tcW w:w="1997" w:type="dxa"/>
            <w:tcBorders>
              <w:top w:val="nil"/>
              <w:left w:val="nil"/>
              <w:bottom w:val="nil"/>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$33.44</w:t>
            </w:r>
          </w:p>
        </w:tc>
        <w:tc>
          <w:tcPr>
            <w:tcW w:w="1779" w:type="dxa"/>
            <w:tcBorders>
              <w:top w:val="nil"/>
              <w:left w:val="nil"/>
              <w:bottom w:val="nil"/>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$0.00</w:t>
            </w:r>
          </w:p>
        </w:tc>
      </w:tr>
      <w:tr w:rsidRPr="00C129A2" w:rsidR="00C129A2" w:rsidTr="00EA5767">
        <w:trPr>
          <w:trHeight w:val="1116"/>
        </w:trPr>
        <w:tc>
          <w:tcPr>
            <w:tcW w:w="270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Total Estimated Weighted Average Hourly Compensation Rate</w:t>
            </w:r>
          </w:p>
        </w:tc>
        <w:tc>
          <w:tcPr>
            <w:tcW w:w="1997" w:type="dxa"/>
            <w:tcBorders>
              <w:top w:val="single" w:color="auto" w:sz="8" w:space="0"/>
              <w:left w:val="nil"/>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w:t>
            </w:r>
          </w:p>
        </w:tc>
        <w:tc>
          <w:tcPr>
            <w:tcW w:w="1779" w:type="dxa"/>
            <w:tcBorders>
              <w:top w:val="single" w:color="auto" w:sz="8" w:space="0"/>
              <w:left w:val="nil"/>
              <w:bottom w:val="single" w:color="auto" w:sz="8" w:space="0"/>
              <w:right w:val="single" w:color="auto" w:sz="4"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100%</w:t>
            </w:r>
          </w:p>
        </w:tc>
        <w:tc>
          <w:tcPr>
            <w:tcW w:w="2867" w:type="dxa"/>
            <w:tcBorders>
              <w:top w:val="single" w:color="auto" w:sz="8" w:space="0"/>
              <w:left w:val="nil"/>
              <w:bottom w:val="single" w:color="auto" w:sz="8" w:space="0"/>
              <w:right w:val="single" w:color="auto" w:sz="8" w:space="0"/>
            </w:tcBorders>
            <w:shd w:val="clear" w:color="auto" w:fill="auto"/>
            <w:vAlign w:val="center"/>
            <w:hideMark/>
          </w:tcPr>
          <w:p w:rsidRPr="00C129A2" w:rsidR="00C129A2" w:rsidP="00C129A2" w:rsidRDefault="00C129A2">
            <w:pPr>
              <w:keepNext/>
              <w:keepLines/>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$137.37</w:t>
            </w:r>
          </w:p>
        </w:tc>
      </w:tr>
      <w:tr w:rsidRPr="00C129A2" w:rsidR="00C129A2" w:rsidTr="00EA5767">
        <w:trPr>
          <w:trHeight w:val="288"/>
        </w:trPr>
        <w:tc>
          <w:tcPr>
            <w:tcW w:w="9350" w:type="dxa"/>
            <w:gridSpan w:val="4"/>
            <w:tcBorders>
              <w:top w:val="nil"/>
              <w:left w:val="nil"/>
              <w:bottom w:val="nil"/>
              <w:right w:val="nil"/>
            </w:tcBorders>
            <w:shd w:val="clear" w:color="auto" w:fill="auto"/>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C129A2" w:rsidR="00C129A2" w:rsidTr="00EA5767">
        <w:trPr>
          <w:trHeight w:val="288"/>
        </w:trPr>
        <w:tc>
          <w:tcPr>
            <w:tcW w:w="9350" w:type="dxa"/>
            <w:gridSpan w:val="4"/>
            <w:tcBorders>
              <w:top w:val="nil"/>
              <w:left w:val="nil"/>
              <w:bottom w:val="nil"/>
              <w:right w:val="nil"/>
            </w:tcBorders>
            <w:shd w:val="clear" w:color="auto" w:fill="auto"/>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tc>
      </w:tr>
      <w:tr w:rsidRPr="00C129A2" w:rsidR="00C129A2" w:rsidTr="00EA5767">
        <w:trPr>
          <w:trHeight w:val="288"/>
        </w:trPr>
        <w:tc>
          <w:tcPr>
            <w:tcW w:w="9350" w:type="dxa"/>
            <w:gridSpan w:val="4"/>
            <w:tcBorders>
              <w:top w:val="nil"/>
              <w:left w:val="nil"/>
              <w:bottom w:val="nil"/>
              <w:right w:val="nil"/>
            </w:tcBorders>
            <w:shd w:val="clear" w:color="auto" w:fill="auto"/>
            <w:noWrap/>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Management Occupations (110000)</w:t>
            </w:r>
          </w:p>
        </w:tc>
      </w:tr>
      <w:tr w:rsidRPr="00C129A2" w:rsidR="00C129A2" w:rsidTr="00EA5767">
        <w:trPr>
          <w:trHeight w:val="288"/>
        </w:trPr>
        <w:tc>
          <w:tcPr>
            <w:tcW w:w="9350" w:type="dxa"/>
            <w:gridSpan w:val="4"/>
            <w:tcBorders>
              <w:top w:val="nil"/>
              <w:left w:val="nil"/>
              <w:bottom w:val="nil"/>
              <w:right w:val="nil"/>
            </w:tcBorders>
            <w:shd w:val="clear" w:color="auto" w:fill="auto"/>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Legal Occupations (230000)</w:t>
            </w:r>
          </w:p>
        </w:tc>
      </w:tr>
      <w:tr w:rsidRPr="00C129A2" w:rsidR="00C129A2" w:rsidTr="00EA5767">
        <w:trPr>
          <w:trHeight w:val="288"/>
        </w:trPr>
        <w:tc>
          <w:tcPr>
            <w:tcW w:w="9350" w:type="dxa"/>
            <w:gridSpan w:val="4"/>
            <w:tcBorders>
              <w:top w:val="nil"/>
              <w:left w:val="nil"/>
              <w:bottom w:val="nil"/>
              <w:right w:val="nil"/>
            </w:tcBorders>
            <w:shd w:val="clear" w:color="auto" w:fill="auto"/>
            <w:noWrap/>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Compliance Officers (131040)</w:t>
            </w:r>
          </w:p>
        </w:tc>
      </w:tr>
      <w:tr w:rsidRPr="00C129A2" w:rsidR="00C129A2" w:rsidTr="00EA5767">
        <w:trPr>
          <w:trHeight w:val="288"/>
        </w:trPr>
        <w:tc>
          <w:tcPr>
            <w:tcW w:w="9350" w:type="dxa"/>
            <w:gridSpan w:val="4"/>
            <w:tcBorders>
              <w:top w:val="nil"/>
              <w:left w:val="nil"/>
              <w:bottom w:val="nil"/>
              <w:right w:val="nil"/>
            </w:tcBorders>
            <w:shd w:val="clear" w:color="auto" w:fill="auto"/>
            <w:noWrap/>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Computer and Mathematical Occupations (150000)</w:t>
            </w:r>
          </w:p>
        </w:tc>
      </w:tr>
      <w:tr w:rsidRPr="00C129A2" w:rsidR="00C129A2" w:rsidTr="00EA5767">
        <w:trPr>
          <w:trHeight w:val="288"/>
        </w:trPr>
        <w:tc>
          <w:tcPr>
            <w:tcW w:w="9350" w:type="dxa"/>
            <w:gridSpan w:val="4"/>
            <w:tcBorders>
              <w:top w:val="nil"/>
              <w:left w:val="nil"/>
              <w:bottom w:val="nil"/>
              <w:right w:val="nil"/>
            </w:tcBorders>
            <w:shd w:val="clear" w:color="auto" w:fill="auto"/>
            <w:noWrap/>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Financial and Investment Analysts, Financial Risk Specialists, and Financial Specialists, All Other (132098)</w:t>
            </w:r>
          </w:p>
        </w:tc>
      </w:tr>
      <w:tr w:rsidRPr="00C129A2" w:rsidR="00C129A2" w:rsidTr="00EA5767">
        <w:trPr>
          <w:trHeight w:val="288"/>
        </w:trPr>
        <w:tc>
          <w:tcPr>
            <w:tcW w:w="9350" w:type="dxa"/>
            <w:gridSpan w:val="4"/>
            <w:tcBorders>
              <w:top w:val="nil"/>
              <w:left w:val="nil"/>
              <w:bottom w:val="nil"/>
              <w:right w:val="nil"/>
            </w:tcBorders>
            <w:shd w:val="clear" w:color="auto" w:fill="auto"/>
            <w:noWrap/>
            <w:vAlign w:val="bottom"/>
            <w:hideMark/>
          </w:tcPr>
          <w:p w:rsidRPr="00C129A2" w:rsidR="00C129A2" w:rsidP="00C129A2" w:rsidRDefault="00C129A2">
            <w:pPr>
              <w:keepNext/>
              <w:keepLines/>
              <w:widowControl/>
              <w:rPr>
                <w:rFonts w:ascii="Source Sans Pro" w:hAnsi="Source Sans Pro" w:cs="Calibri"/>
                <w:snapToGrid/>
                <w:color w:val="000000"/>
                <w:sz w:val="20"/>
              </w:rPr>
            </w:pPr>
            <w:r w:rsidRPr="00C129A2">
              <w:rPr>
                <w:rFonts w:ascii="Source Sans Pro" w:hAnsi="Source Sans Pro" w:cs="Calibri"/>
                <w:snapToGrid/>
                <w:color w:val="000000"/>
                <w:sz w:val="20"/>
              </w:rPr>
              <w:t>‡    Occupation (SOC Code): Office and Administrative Support Occupations (430000)</w:t>
            </w:r>
          </w:p>
        </w:tc>
      </w:tr>
    </w:tbl>
    <w:p w:rsidRPr="00E16993" w:rsidR="00C129A2" w:rsidRDefault="00C129A2">
      <w:pPr>
        <w:rPr>
          <w:highlight w:val="yellow"/>
        </w:rPr>
      </w:pPr>
    </w:p>
    <w:p w:rsidR="001E5BA8" w:rsidRDefault="001E5BA8"/>
    <w:p w:rsidR="00D56F91" w:rsidRDefault="00D56F91">
      <w:pPr>
        <w:ind w:firstLine="720"/>
      </w:pPr>
      <w:r>
        <w:t>13.</w:t>
      </w:r>
      <w:r>
        <w:tab/>
      </w:r>
      <w:r w:rsidRPr="00E16993" w:rsidR="00E16993">
        <w:rPr>
          <w:u w:val="single"/>
        </w:rPr>
        <w:t>Estimate of start-up cost to respondents:</w:t>
      </w:r>
    </w:p>
    <w:p w:rsidR="00D56F91" w:rsidRDefault="00D56F91"/>
    <w:p w:rsidR="00A513C8" w:rsidP="00A513C8" w:rsidRDefault="00E16993">
      <w:pPr>
        <w:ind w:left="720" w:firstLine="720"/>
      </w:pPr>
      <w:r w:rsidRPr="00E16993">
        <w:rPr>
          <w:color w:val="000000"/>
        </w:rPr>
        <w:t>There are no anticipated capital, start-up, or operating costs.</w:t>
      </w:r>
    </w:p>
    <w:p w:rsidR="00A513C8" w:rsidP="00A513C8" w:rsidRDefault="00A513C8">
      <w:pPr>
        <w:ind w:left="720" w:firstLine="720"/>
      </w:pPr>
    </w:p>
    <w:p w:rsidRPr="00A513C8" w:rsidR="00E16993" w:rsidP="00A513C8" w:rsidRDefault="00E16993">
      <w:pPr>
        <w:numPr>
          <w:ilvl w:val="0"/>
          <w:numId w:val="6"/>
        </w:numPr>
      </w:pPr>
      <w:r w:rsidRPr="00A513C8">
        <w:rPr>
          <w:color w:val="000000"/>
          <w:u w:val="single"/>
        </w:rPr>
        <w:t>Estimates of annualized cost to the federal government</w:t>
      </w:r>
      <w:r w:rsidR="00A513C8">
        <w:rPr>
          <w:color w:val="000000"/>
          <w:u w:val="single"/>
        </w:rPr>
        <w:t>:</w:t>
      </w:r>
    </w:p>
    <w:p w:rsidR="00D56F91" w:rsidRDefault="00D56F91">
      <w:pPr>
        <w:ind w:firstLine="720"/>
      </w:pPr>
    </w:p>
    <w:p w:rsidR="00D56F91" w:rsidRDefault="00D56F91">
      <w:pPr>
        <w:ind w:left="1440"/>
      </w:pPr>
      <w:r>
        <w:t>N</w:t>
      </w:r>
      <w:r w:rsidR="00627F1A">
        <w:t>one</w:t>
      </w:r>
      <w:r w:rsidR="006D2F50">
        <w:t>.</w:t>
      </w:r>
    </w:p>
    <w:p w:rsidR="00C129A2" w:rsidRDefault="00C129A2">
      <w:pPr>
        <w:ind w:left="1440"/>
      </w:pPr>
    </w:p>
    <w:p w:rsidR="00D56F91" w:rsidRDefault="00D56F91"/>
    <w:p w:rsidR="00D56F91" w:rsidRDefault="00A513C8">
      <w:pPr>
        <w:numPr>
          <w:ilvl w:val="0"/>
          <w:numId w:val="1"/>
        </w:numPr>
        <w:rPr>
          <w:u w:val="single"/>
        </w:rPr>
      </w:pPr>
      <w:r w:rsidRPr="00A513C8">
        <w:rPr>
          <w:u w:val="single"/>
        </w:rPr>
        <w:lastRenderedPageBreak/>
        <w:t>Analysis of change in burden:</w:t>
      </w:r>
    </w:p>
    <w:p w:rsidR="00D56F91" w:rsidRDefault="00D56F91">
      <w:pPr>
        <w:ind w:left="720"/>
      </w:pPr>
    </w:p>
    <w:p w:rsidR="00D56F91" w:rsidP="00253C09" w:rsidRDefault="0069427A">
      <w:pPr>
        <w:ind w:left="1440"/>
        <w:rPr>
          <w:u w:val="single"/>
        </w:rPr>
      </w:pPr>
      <w:r>
        <w:rPr>
          <w:szCs w:val="24"/>
        </w:rPr>
        <w:t xml:space="preserve">There is no change in the methodology or substance of this information collection.  </w:t>
      </w:r>
      <w:r w:rsidRPr="00BC14CE">
        <w:rPr>
          <w:szCs w:val="24"/>
          <w:lang w:bidi="en-US"/>
        </w:rPr>
        <w:t xml:space="preserve">Based on supervisory experience, the </w:t>
      </w:r>
      <w:r>
        <w:rPr>
          <w:szCs w:val="24"/>
          <w:lang w:bidi="en-US"/>
        </w:rPr>
        <w:t>FDIC</w:t>
      </w:r>
      <w:r w:rsidRPr="00BC14CE">
        <w:rPr>
          <w:szCs w:val="24"/>
          <w:lang w:bidi="en-US"/>
        </w:rPr>
        <w:t xml:space="preserve"> ha</w:t>
      </w:r>
      <w:r>
        <w:rPr>
          <w:szCs w:val="24"/>
          <w:lang w:bidi="en-US"/>
        </w:rPr>
        <w:t>s revised its</w:t>
      </w:r>
      <w:r w:rsidRPr="00BC14CE">
        <w:rPr>
          <w:szCs w:val="24"/>
          <w:lang w:bidi="en-US"/>
        </w:rPr>
        <w:t xml:space="preserve"> estimate of the Time per Response for the Certification component from 0.25 hours </w:t>
      </w:r>
      <w:r>
        <w:rPr>
          <w:szCs w:val="24"/>
          <w:lang w:bidi="en-US"/>
        </w:rPr>
        <w:t>to 1 hour and has revised the</w:t>
      </w:r>
      <w:r w:rsidRPr="00BC14CE">
        <w:rPr>
          <w:szCs w:val="24"/>
          <w:lang w:bidi="en-US"/>
        </w:rPr>
        <w:t xml:space="preserve"> estimate</w:t>
      </w:r>
      <w:r>
        <w:rPr>
          <w:szCs w:val="24"/>
          <w:lang w:bidi="en-US"/>
        </w:rPr>
        <w:t>d</w:t>
      </w:r>
      <w:r w:rsidRPr="00BC14CE">
        <w:rPr>
          <w:szCs w:val="24"/>
          <w:lang w:bidi="en-US"/>
        </w:rPr>
        <w:t xml:space="preserve"> </w:t>
      </w:r>
      <w:r>
        <w:rPr>
          <w:szCs w:val="24"/>
          <w:lang w:bidi="en-US"/>
        </w:rPr>
        <w:t>time to respond to</w:t>
      </w:r>
      <w:r w:rsidRPr="00BC14CE">
        <w:rPr>
          <w:szCs w:val="24"/>
          <w:lang w:bidi="en-US"/>
        </w:rPr>
        <w:t xml:space="preserve"> the Notification c</w:t>
      </w:r>
      <w:r>
        <w:rPr>
          <w:szCs w:val="24"/>
          <w:lang w:bidi="en-US"/>
        </w:rPr>
        <w:t>omponent from 1 hour to 2 hours. The estimated number of respondents has changed due to economic factors. The estimated number of annual respondents to the Notification component has increased from 2 to 8.  The estimated number of annual respondents to the Certification component has increased from 150 to 240.  As a result of the foregoing total estimated annual burden has increased from 39.5 hours in 2018 to 256 hours currently.</w:t>
      </w:r>
      <w:r w:rsidR="00AE63BB">
        <w:t xml:space="preserve"> </w:t>
      </w:r>
      <w:r w:rsidR="006D2F50">
        <w:t xml:space="preserve"> </w:t>
      </w:r>
    </w:p>
    <w:p w:rsidR="00D56F91" w:rsidP="00A513C8" w:rsidRDefault="00D56F91">
      <w:pPr>
        <w:ind w:left="1440" w:hanging="720"/>
      </w:pPr>
      <w:r>
        <w:t>16.</w:t>
      </w:r>
      <w:r>
        <w:tab/>
      </w:r>
      <w:r w:rsidRPr="00A513C8" w:rsidR="00A513C8">
        <w:rPr>
          <w:szCs w:val="24"/>
          <w:u w:val="single"/>
        </w:rPr>
        <w:t>Information regarding collections whose results are planned to be published for statistical use:</w:t>
      </w:r>
    </w:p>
    <w:p w:rsidR="00D56F91" w:rsidRDefault="00D56F91">
      <w:pPr>
        <w:ind w:left="720"/>
      </w:pPr>
    </w:p>
    <w:p w:rsidR="00D56F91" w:rsidRDefault="00D56F91">
      <w:pPr>
        <w:ind w:left="720" w:firstLine="720"/>
      </w:pPr>
      <w:r>
        <w:t>No publication will be made of this information.</w:t>
      </w:r>
    </w:p>
    <w:p w:rsidR="00D56F91" w:rsidRDefault="00D56F91"/>
    <w:p w:rsidR="00D56F91" w:rsidRDefault="00D56F91">
      <w:pPr>
        <w:ind w:firstLine="720"/>
      </w:pPr>
      <w:r>
        <w:t>17.</w:t>
      </w:r>
      <w:r>
        <w:tab/>
      </w:r>
      <w:r w:rsidRPr="00A513C8" w:rsidR="00A513C8">
        <w:rPr>
          <w:color w:val="000000"/>
          <w:u w:val="single"/>
        </w:rPr>
        <w:t>Exceptions to expiration date display</w:t>
      </w:r>
    </w:p>
    <w:p w:rsidR="00D56F91" w:rsidRDefault="00D56F91"/>
    <w:p w:rsidR="00D56F91" w:rsidRDefault="00D56F91">
      <w:pPr>
        <w:ind w:left="720" w:firstLine="720"/>
      </w:pPr>
      <w:r>
        <w:t>The information provided to the FDIC under this information collection does not               involve use of a standard form.</w:t>
      </w:r>
    </w:p>
    <w:p w:rsidR="00D56F91" w:rsidRDefault="00D56F91">
      <w:pPr>
        <w:ind w:left="720" w:firstLine="720"/>
      </w:pPr>
    </w:p>
    <w:p w:rsidR="00D56F91" w:rsidRDefault="00D56F91">
      <w:pPr>
        <w:ind w:left="720"/>
      </w:pPr>
      <w:r>
        <w:t>18.</w:t>
      </w:r>
      <w:r>
        <w:tab/>
      </w:r>
      <w:r w:rsidRPr="00A513C8" w:rsidR="00A513C8">
        <w:rPr>
          <w:color w:val="000000"/>
          <w:u w:val="single"/>
        </w:rPr>
        <w:t>Exceptions to certification</w:t>
      </w:r>
      <w:r w:rsidR="00A513C8">
        <w:rPr>
          <w:color w:val="000000"/>
          <w:u w:val="single"/>
        </w:rPr>
        <w:t>:</w:t>
      </w:r>
    </w:p>
    <w:p w:rsidR="00D56F91" w:rsidRDefault="00D56F91"/>
    <w:p w:rsidR="00D56F91" w:rsidRDefault="00D56F91">
      <w:pPr>
        <w:ind w:left="720" w:firstLine="720"/>
      </w:pPr>
      <w:r>
        <w:t xml:space="preserve">There are no exceptions to certification. </w:t>
      </w:r>
    </w:p>
    <w:sectPr w:rsidR="00D56F9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EB9" w:rsidRDefault="00546EB9">
      <w:r>
        <w:separator/>
      </w:r>
    </w:p>
  </w:endnote>
  <w:endnote w:type="continuationSeparator" w:id="0">
    <w:p w:rsidR="00546EB9" w:rsidRDefault="0054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91" w:rsidRDefault="00D56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6F91" w:rsidRDefault="00D56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91" w:rsidRDefault="00D56F91">
    <w:pPr>
      <w:spacing w:line="240" w:lineRule="exact"/>
    </w:pPr>
  </w:p>
  <w:p w:rsidR="00D56F91" w:rsidRDefault="00D56F91">
    <w:pPr>
      <w:framePr w:wrap="around" w:vAnchor="text" w:hAnchor="margin" w:xAlign="center" w:y="1"/>
    </w:pPr>
    <w:r>
      <w:fldChar w:fldCharType="begin"/>
    </w:r>
    <w:r>
      <w:instrText xml:space="preserve">PAGE </w:instrText>
    </w:r>
    <w:r>
      <w:fldChar w:fldCharType="separate"/>
    </w:r>
    <w:r w:rsidR="00302B56">
      <w:rPr>
        <w:noProof/>
      </w:rPr>
      <w:t>1</w:t>
    </w:r>
    <w:r>
      <w:fldChar w:fldCharType="end"/>
    </w:r>
  </w:p>
  <w:p w:rsidR="00D56F91" w:rsidRDefault="00D56F9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EB9" w:rsidRDefault="00546EB9">
      <w:r>
        <w:separator/>
      </w:r>
    </w:p>
  </w:footnote>
  <w:footnote w:type="continuationSeparator" w:id="0">
    <w:p w:rsidR="00546EB9" w:rsidRDefault="00546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18" w:rsidRDefault="0012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088"/>
    <w:multiLevelType w:val="hybridMultilevel"/>
    <w:tmpl w:val="92F42F3A"/>
    <w:lvl w:ilvl="0" w:tplc="D80611CC">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15:restartNumberingAfterBreak="0">
    <w:nsid w:val="4090117C"/>
    <w:multiLevelType w:val="hybridMultilevel"/>
    <w:tmpl w:val="A0EE42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EB3431"/>
    <w:multiLevelType w:val="hybridMultilevel"/>
    <w:tmpl w:val="A6F8F1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5"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FD"/>
    <w:rsid w:val="000F38A9"/>
    <w:rsid w:val="00125218"/>
    <w:rsid w:val="00132ED5"/>
    <w:rsid w:val="00186A98"/>
    <w:rsid w:val="001A496E"/>
    <w:rsid w:val="001E5BA8"/>
    <w:rsid w:val="002438FD"/>
    <w:rsid w:val="00253C09"/>
    <w:rsid w:val="002C06CC"/>
    <w:rsid w:val="002F507A"/>
    <w:rsid w:val="00302B56"/>
    <w:rsid w:val="003A3988"/>
    <w:rsid w:val="003C6CF2"/>
    <w:rsid w:val="004213B6"/>
    <w:rsid w:val="004D3377"/>
    <w:rsid w:val="00546EB9"/>
    <w:rsid w:val="005E531E"/>
    <w:rsid w:val="005F2AC5"/>
    <w:rsid w:val="00627F1A"/>
    <w:rsid w:val="0069427A"/>
    <w:rsid w:val="006D2F50"/>
    <w:rsid w:val="006E54B7"/>
    <w:rsid w:val="0078666B"/>
    <w:rsid w:val="00792766"/>
    <w:rsid w:val="007B03BD"/>
    <w:rsid w:val="007D4124"/>
    <w:rsid w:val="00A513C8"/>
    <w:rsid w:val="00AE63BB"/>
    <w:rsid w:val="00B97C6E"/>
    <w:rsid w:val="00BE1FA4"/>
    <w:rsid w:val="00C129A2"/>
    <w:rsid w:val="00D060A5"/>
    <w:rsid w:val="00D56F91"/>
    <w:rsid w:val="00E10EF1"/>
    <w:rsid w:val="00E16993"/>
    <w:rsid w:val="00E309D9"/>
    <w:rsid w:val="00E729AC"/>
    <w:rsid w:val="00EA5767"/>
    <w:rsid w:val="00F62637"/>
    <w:rsid w:val="00F71435"/>
    <w:rsid w:val="00FB4726"/>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unhideWhenUsed/>
    <w:rsid w:val="00BE1FA4"/>
    <w:pPr>
      <w:widowControl/>
    </w:pPr>
    <w:rPr>
      <w:rFonts w:ascii="Calibri" w:eastAsia="Calibri" w:hAnsi="Calibri"/>
      <w:snapToGrid/>
      <w:sz w:val="20"/>
    </w:rPr>
  </w:style>
  <w:style w:type="character" w:customStyle="1" w:styleId="FootnoteTextChar">
    <w:name w:val="Footnote Text Char"/>
    <w:link w:val="FootnoteText"/>
    <w:uiPriority w:val="99"/>
    <w:rsid w:val="00BE1FA4"/>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2021-09-21T19:35:00Z</dcterms:created>
  <dcterms:modified xsi:type="dcterms:W3CDTF">2021-09-21T19:35:00Z</dcterms:modified>
</cp:coreProperties>
</file>