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36E2" w:rsidR="00312102" w:rsidP="00312102" w:rsidRDefault="00312102" w14:paraId="32623B0D" w14:textId="4B03BE04">
      <w:pPr>
        <w:pStyle w:val="Hdng1Report-IPR"/>
        <w:rPr>
          <w:color w:val="000000" w:themeColor="text1"/>
        </w:rPr>
      </w:pPr>
      <w:bookmarkStart w:name="_Toc416426640" w:id="0"/>
      <w:bookmarkStart w:name="_Toc133208870" w:id="1"/>
      <w:bookmarkStart w:name="_Toc329426273" w:id="2"/>
      <w:bookmarkStart w:name="_Toc351666575" w:id="3"/>
      <w:bookmarkStart w:name="_Toc416426560" w:id="4"/>
      <w:r w:rsidRPr="005636E2">
        <w:rPr>
          <w:color w:val="000000" w:themeColor="text1"/>
        </w:rPr>
        <w:t>Supporting STatement PART A</w:t>
      </w:r>
      <w:bookmarkEnd w:id="0"/>
    </w:p>
    <w:p w:rsidRPr="005636E2" w:rsidR="00EE364F" w:rsidP="00EE364F" w:rsidRDefault="00EE364F" w14:paraId="08ACBCD2" w14:textId="330DC599">
      <w:pPr>
        <w:pStyle w:val="Hdng2-IPR"/>
        <w:rPr>
          <w:color w:val="000000" w:themeColor="text1"/>
        </w:rPr>
      </w:pPr>
      <w:r w:rsidRPr="005636E2">
        <w:rPr>
          <w:color w:val="000000" w:themeColor="text1"/>
        </w:rPr>
        <w:t>A.1.</w:t>
      </w:r>
      <w:bookmarkEnd w:id="1"/>
      <w:bookmarkEnd w:id="2"/>
      <w:r w:rsidRPr="005636E2">
        <w:rPr>
          <w:color w:val="000000" w:themeColor="text1"/>
        </w:rPr>
        <w:t xml:space="preserve"> Circumstances that Make Data Collection Necessary</w:t>
      </w:r>
      <w:bookmarkEnd w:id="3"/>
      <w:bookmarkEnd w:id="4"/>
    </w:p>
    <w:p w:rsidRPr="005636E2" w:rsidR="00EE364F" w:rsidP="00EE364F" w:rsidRDefault="00EE364F" w14:paraId="65D48BFE" w14:textId="77777777">
      <w:pPr>
        <w:pStyle w:val="OMBRequirementCalibri"/>
        <w:rPr>
          <w:rFonts w:cstheme="minorHAnsi"/>
          <w:color w:val="000000" w:themeColor="text1"/>
          <w:sz w:val="22"/>
          <w:szCs w:val="22"/>
        </w:rPr>
      </w:pPr>
      <w:r w:rsidRPr="005636E2">
        <w:rPr>
          <w:rFonts w:cstheme="minorHAnsi"/>
          <w:color w:val="000000" w:themeColor="text1"/>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42C6B" w:rsidR="00D741EF" w:rsidP="00E42C6B" w:rsidRDefault="003932B8" w14:paraId="40A707CC" w14:textId="2350A450">
      <w:pPr>
        <w:spacing w:after="0" w:line="480" w:lineRule="auto"/>
        <w:ind w:firstLine="360"/>
        <w:contextualSpacing/>
        <w:rPr>
          <w:rFonts w:eastAsia="Courier New" w:cs="Arial"/>
          <w:b/>
          <w:bCs/>
          <w:color w:val="000000" w:themeColor="text1"/>
          <w:sz w:val="24"/>
          <w:szCs w:val="24"/>
        </w:rPr>
      </w:pPr>
      <w:r w:rsidRPr="008E7F47">
        <w:rPr>
          <w:rFonts w:cstheme="minorHAnsi"/>
          <w:color w:val="000000" w:themeColor="text1"/>
          <w:sz w:val="24"/>
          <w:szCs w:val="24"/>
        </w:rPr>
        <w:t xml:space="preserve">The National Science Foundation (NSF) seeks approval </w:t>
      </w:r>
      <w:r w:rsidRPr="008E7F47" w:rsidR="00F060BD">
        <w:rPr>
          <w:rFonts w:cstheme="minorHAnsi"/>
          <w:color w:val="000000" w:themeColor="text1"/>
          <w:sz w:val="24"/>
          <w:szCs w:val="24"/>
        </w:rPr>
        <w:t xml:space="preserve">for </w:t>
      </w:r>
      <w:r w:rsidRPr="008E7F47" w:rsidR="00F060BD">
        <w:rPr>
          <w:rFonts w:eastAsia="Courier New" w:cs="Arial"/>
          <w:color w:val="000000" w:themeColor="text1"/>
          <w:sz w:val="24"/>
          <w:szCs w:val="24"/>
        </w:rPr>
        <w:t>the collection of research and development data through the</w:t>
      </w:r>
      <w:r w:rsidR="00D240DD">
        <w:rPr>
          <w:rFonts w:eastAsia="Courier New" w:cs="Arial"/>
          <w:color w:val="000000" w:themeColor="text1"/>
          <w:sz w:val="24"/>
          <w:szCs w:val="24"/>
        </w:rPr>
        <w:t xml:space="preserve"> project</w:t>
      </w:r>
      <w:r w:rsidRPr="008E7F47" w:rsidR="00F060BD">
        <w:rPr>
          <w:rFonts w:eastAsia="Courier New" w:cs="Arial"/>
          <w:color w:val="000000" w:themeColor="text1"/>
          <w:sz w:val="24"/>
          <w:szCs w:val="24"/>
        </w:rPr>
        <w:t xml:space="preserve"> </w:t>
      </w:r>
      <w:r w:rsidRPr="008E7F47" w:rsidR="00F060BD">
        <w:rPr>
          <w:rFonts w:eastAsia="Courier New" w:cs="Arial"/>
          <w:b/>
          <w:bCs/>
          <w:color w:val="000000" w:themeColor="text1"/>
          <w:sz w:val="24"/>
          <w:szCs w:val="24"/>
        </w:rPr>
        <w:t>C</w:t>
      </w:r>
      <w:r w:rsidR="000A06C9">
        <w:rPr>
          <w:rFonts w:eastAsia="Courier New" w:cs="Arial"/>
          <w:b/>
          <w:bCs/>
          <w:color w:val="000000" w:themeColor="text1"/>
          <w:sz w:val="24"/>
          <w:szCs w:val="24"/>
        </w:rPr>
        <w:t xml:space="preserve">omputer and </w:t>
      </w:r>
      <w:r w:rsidRPr="008E7F47" w:rsidR="00F060BD">
        <w:rPr>
          <w:rFonts w:eastAsia="Courier New" w:cs="Arial"/>
          <w:b/>
          <w:bCs/>
          <w:color w:val="000000" w:themeColor="text1"/>
          <w:sz w:val="24"/>
          <w:szCs w:val="24"/>
        </w:rPr>
        <w:t>I</w:t>
      </w:r>
      <w:r w:rsidR="000A06C9">
        <w:rPr>
          <w:rFonts w:eastAsia="Courier New" w:cs="Arial"/>
          <w:b/>
          <w:bCs/>
          <w:color w:val="000000" w:themeColor="text1"/>
          <w:sz w:val="24"/>
          <w:szCs w:val="24"/>
        </w:rPr>
        <w:t xml:space="preserve">nformation </w:t>
      </w:r>
      <w:r w:rsidRPr="008E7F47" w:rsidR="00F060BD">
        <w:rPr>
          <w:rFonts w:eastAsia="Courier New" w:cs="Arial"/>
          <w:b/>
          <w:bCs/>
          <w:color w:val="000000" w:themeColor="text1"/>
          <w:sz w:val="24"/>
          <w:szCs w:val="24"/>
        </w:rPr>
        <w:t>S</w:t>
      </w:r>
      <w:r w:rsidR="000A06C9">
        <w:rPr>
          <w:rFonts w:eastAsia="Courier New" w:cs="Arial"/>
          <w:b/>
          <w:bCs/>
          <w:color w:val="000000" w:themeColor="text1"/>
          <w:sz w:val="24"/>
          <w:szCs w:val="24"/>
        </w:rPr>
        <w:t xml:space="preserve">cience and </w:t>
      </w:r>
      <w:r w:rsidRPr="008E7F47" w:rsidR="00F060BD">
        <w:rPr>
          <w:rFonts w:eastAsia="Courier New" w:cs="Arial"/>
          <w:b/>
          <w:bCs/>
          <w:color w:val="000000" w:themeColor="text1"/>
          <w:sz w:val="24"/>
          <w:szCs w:val="24"/>
        </w:rPr>
        <w:t>E</w:t>
      </w:r>
      <w:r w:rsidR="000A06C9">
        <w:rPr>
          <w:rFonts w:eastAsia="Courier New" w:cs="Arial"/>
          <w:b/>
          <w:bCs/>
          <w:color w:val="000000" w:themeColor="text1"/>
          <w:sz w:val="24"/>
          <w:szCs w:val="24"/>
        </w:rPr>
        <w:t>ngineering (CISE)</w:t>
      </w:r>
      <w:r w:rsidRPr="008E7F47" w:rsidR="00F060BD">
        <w:rPr>
          <w:rFonts w:eastAsia="Courier New" w:cs="Arial"/>
          <w:b/>
          <w:bCs/>
          <w:color w:val="000000" w:themeColor="text1"/>
          <w:sz w:val="24"/>
          <w:szCs w:val="24"/>
        </w:rPr>
        <w:t xml:space="preserve"> </w:t>
      </w:r>
      <w:r w:rsidR="000A06C9">
        <w:rPr>
          <w:rFonts w:eastAsia="Courier New" w:cs="Arial"/>
          <w:b/>
          <w:bCs/>
          <w:color w:val="000000" w:themeColor="text1"/>
          <w:sz w:val="24"/>
          <w:szCs w:val="24"/>
        </w:rPr>
        <w:t>Research Experiences for Undergraduates (</w:t>
      </w:r>
      <w:r w:rsidRPr="008E7F47" w:rsidR="00F060BD">
        <w:rPr>
          <w:rFonts w:eastAsia="Courier New" w:cs="Arial"/>
          <w:b/>
          <w:bCs/>
          <w:color w:val="000000" w:themeColor="text1"/>
          <w:sz w:val="24"/>
          <w:szCs w:val="24"/>
        </w:rPr>
        <w:t>REU</w:t>
      </w:r>
      <w:r w:rsidR="000A06C9">
        <w:rPr>
          <w:rFonts w:eastAsia="Courier New" w:cs="Arial"/>
          <w:b/>
          <w:bCs/>
          <w:color w:val="000000" w:themeColor="text1"/>
          <w:sz w:val="24"/>
          <w:szCs w:val="24"/>
        </w:rPr>
        <w:t>)</w:t>
      </w:r>
      <w:r w:rsidRPr="008E7F47" w:rsidR="00F060BD">
        <w:rPr>
          <w:rFonts w:eastAsia="Courier New" w:cs="Arial"/>
          <w:b/>
          <w:bCs/>
          <w:color w:val="000000" w:themeColor="text1"/>
          <w:sz w:val="24"/>
          <w:szCs w:val="24"/>
        </w:rPr>
        <w:t xml:space="preserve"> Past Participant Survey</w:t>
      </w:r>
      <w:r w:rsidR="00E42C6B">
        <w:rPr>
          <w:rFonts w:eastAsia="Courier New" w:cs="Arial"/>
          <w:b/>
          <w:bCs/>
          <w:color w:val="000000" w:themeColor="text1"/>
          <w:sz w:val="24"/>
          <w:szCs w:val="24"/>
        </w:rPr>
        <w:t xml:space="preserve"> </w:t>
      </w:r>
      <w:r w:rsidRPr="00E42C6B" w:rsidR="00E42C6B">
        <w:rPr>
          <w:rFonts w:eastAsia="Courier New" w:cs="Arial"/>
          <w:b/>
          <w:bCs/>
          <w:color w:val="000000" w:themeColor="text1"/>
          <w:sz w:val="24"/>
          <w:szCs w:val="24"/>
        </w:rPr>
        <w:t>– 2021 Impact of REU Participation on Career Pathways</w:t>
      </w:r>
      <w:r w:rsidRPr="008E7F47" w:rsidR="00F060BD">
        <w:rPr>
          <w:rFonts w:eastAsia="Courier New" w:cs="Arial"/>
          <w:color w:val="000000" w:themeColor="text1"/>
          <w:sz w:val="24"/>
          <w:szCs w:val="24"/>
        </w:rPr>
        <w:t xml:space="preserve">. </w:t>
      </w:r>
    </w:p>
    <w:p w:rsidRPr="008E7F47" w:rsidR="00087508" w:rsidP="00D741EF" w:rsidRDefault="00F060BD" w14:paraId="2D32C538" w14:textId="312A240F">
      <w:pPr>
        <w:spacing w:after="0" w:line="480" w:lineRule="auto"/>
        <w:ind w:firstLine="360"/>
        <w:contextualSpacing/>
        <w:rPr>
          <w:rFonts w:eastAsia="Times New Roman" w:cs="Arial"/>
          <w:color w:val="000000" w:themeColor="text1"/>
          <w:sz w:val="24"/>
          <w:szCs w:val="24"/>
        </w:rPr>
      </w:pPr>
      <w:r w:rsidRPr="008E7F47">
        <w:rPr>
          <w:rFonts w:eastAsia="Times New Roman" w:cs="Arial"/>
          <w:color w:val="000000" w:themeColor="text1"/>
          <w:sz w:val="24"/>
          <w:szCs w:val="24"/>
        </w:rPr>
        <w:t>Every year the National Science Foundation (NSF) funds hundreds of Research Experience for Undergraduates (REU) activities through it</w:t>
      </w:r>
      <w:r w:rsidRPr="008E7F47" w:rsidR="00D741EF">
        <w:rPr>
          <w:rFonts w:eastAsia="Times New Roman" w:cs="Arial"/>
          <w:color w:val="000000" w:themeColor="text1"/>
          <w:sz w:val="24"/>
          <w:szCs w:val="24"/>
        </w:rPr>
        <w:t>s</w:t>
      </w:r>
      <w:r w:rsidRPr="008E7F47">
        <w:rPr>
          <w:rFonts w:eastAsia="Times New Roman" w:cs="Arial"/>
          <w:color w:val="000000" w:themeColor="text1"/>
          <w:sz w:val="24"/>
          <w:szCs w:val="24"/>
        </w:rPr>
        <w:t xml:space="preserve"> REU program</w:t>
      </w:r>
      <w:r w:rsidRPr="008E7F47" w:rsidR="00D741EF">
        <w:rPr>
          <w:rFonts w:eastAsia="Times New Roman" w:cs="Arial"/>
          <w:color w:val="000000" w:themeColor="text1"/>
          <w:sz w:val="24"/>
          <w:szCs w:val="24"/>
        </w:rPr>
        <w:t xml:space="preserve">, which </w:t>
      </w:r>
      <w:r w:rsidRPr="008E7F47" w:rsidR="00087508">
        <w:rPr>
          <w:rFonts w:eastAsia="Times New Roman" w:cs="Arial"/>
          <w:color w:val="000000" w:themeColor="text1"/>
          <w:sz w:val="24"/>
          <w:szCs w:val="24"/>
        </w:rPr>
        <w:t xml:space="preserve">provides undergraduate students at US higher education institutions with opportunities to work with faculty on a research project. REUs </w:t>
      </w:r>
      <w:r w:rsidRPr="008E7F47" w:rsidR="00D741EF">
        <w:rPr>
          <w:rFonts w:eastAsia="Times New Roman" w:cs="Arial"/>
          <w:color w:val="000000" w:themeColor="text1"/>
          <w:sz w:val="24"/>
          <w:szCs w:val="24"/>
        </w:rPr>
        <w:t xml:space="preserve">are offered in two forms:  REU Sites or REU Supplements. REU Sites are based on independent proposals to initiate and conduct projects that engage a number of students in research, and REU Supplements are included as a component of proposals for new or renewal NSF grants or cooperative agreements or may be requested for ongoing NSF-funded research projects. </w:t>
      </w:r>
    </w:p>
    <w:p w:rsidRPr="008E7F47" w:rsidR="00087508" w:rsidP="00087508" w:rsidRDefault="00D741EF" w14:paraId="08D7B795" w14:textId="53AA2E53">
      <w:pPr>
        <w:spacing w:after="0" w:line="480" w:lineRule="auto"/>
        <w:ind w:firstLine="720"/>
        <w:contextualSpacing/>
        <w:rPr>
          <w:rFonts w:eastAsia="Times New Roman" w:cs="Arial"/>
          <w:color w:val="000000" w:themeColor="text1"/>
          <w:sz w:val="24"/>
          <w:szCs w:val="24"/>
        </w:rPr>
      </w:pPr>
      <w:r w:rsidRPr="008E7F47">
        <w:rPr>
          <w:rFonts w:eastAsia="Times New Roman" w:cs="Arial"/>
          <w:color w:val="000000" w:themeColor="text1"/>
          <w:sz w:val="24"/>
          <w:szCs w:val="24"/>
        </w:rPr>
        <w:t xml:space="preserve">Through these experiences, the REU program seeks to expand student participation in all kinds of research – both disciplinary and interdisciplinary—encompassing efforts by individual investigators, groups, centers, national facilities, and others. </w:t>
      </w:r>
      <w:r w:rsidRPr="008E7F47" w:rsidR="00280C8F">
        <w:rPr>
          <w:rFonts w:eastAsia="Times New Roman" w:cs="Arial"/>
          <w:color w:val="000000" w:themeColor="text1"/>
          <w:sz w:val="24"/>
          <w:szCs w:val="24"/>
        </w:rPr>
        <w:t xml:space="preserve">REU participation is also a means by which NSF seeks to recruit and retain a diverse population of future computing researchers. </w:t>
      </w:r>
    </w:p>
    <w:p w:rsidRPr="008E7F47" w:rsidR="00F060BD" w:rsidP="00087508" w:rsidRDefault="00F060BD" w14:paraId="5A1F24BE" w14:textId="3C265ADF">
      <w:pPr>
        <w:spacing w:after="0" w:line="480" w:lineRule="auto"/>
        <w:ind w:firstLine="720"/>
        <w:contextualSpacing/>
        <w:rPr>
          <w:rFonts w:cstheme="minorHAnsi"/>
          <w:color w:val="000000" w:themeColor="text1"/>
          <w:sz w:val="24"/>
          <w:szCs w:val="24"/>
        </w:rPr>
      </w:pPr>
      <w:r w:rsidRPr="008E7F47">
        <w:rPr>
          <w:rFonts w:eastAsia="Times New Roman" w:cs="Arial"/>
          <w:color w:val="000000" w:themeColor="text1"/>
          <w:sz w:val="24"/>
          <w:szCs w:val="24"/>
        </w:rPr>
        <w:t>The Directorate of Computer and Information Science and Engineering (CISE) is seeking to evaluate the effectiveness of the</w:t>
      </w:r>
      <w:r w:rsidRPr="008E7F47" w:rsidR="00280C8F">
        <w:rPr>
          <w:rFonts w:eastAsia="Times New Roman" w:cs="Arial"/>
          <w:color w:val="000000" w:themeColor="text1"/>
          <w:sz w:val="24"/>
          <w:szCs w:val="24"/>
        </w:rPr>
        <w:t>se</w:t>
      </w:r>
      <w:r w:rsidRPr="008E7F47">
        <w:rPr>
          <w:rFonts w:eastAsia="Times New Roman" w:cs="Arial"/>
          <w:color w:val="000000" w:themeColor="text1"/>
          <w:sz w:val="24"/>
          <w:szCs w:val="24"/>
        </w:rPr>
        <w:t xml:space="preserve"> CISE REU program</w:t>
      </w:r>
      <w:r w:rsidRPr="008E7F47" w:rsidR="00280C8F">
        <w:rPr>
          <w:rFonts w:eastAsia="Times New Roman" w:cs="Arial"/>
          <w:color w:val="000000" w:themeColor="text1"/>
          <w:sz w:val="24"/>
          <w:szCs w:val="24"/>
        </w:rPr>
        <w:t xml:space="preserve"> goals </w:t>
      </w:r>
      <w:r w:rsidRPr="008E7F47" w:rsidR="00087508">
        <w:rPr>
          <w:rFonts w:eastAsia="Times New Roman" w:cs="Arial"/>
          <w:color w:val="000000" w:themeColor="text1"/>
          <w:sz w:val="24"/>
          <w:szCs w:val="24"/>
        </w:rPr>
        <w:t>through a</w:t>
      </w:r>
      <w:r w:rsidRPr="008E7F47" w:rsidR="003A33DB">
        <w:rPr>
          <w:rFonts w:eastAsia="Times New Roman" w:cs="Arial"/>
          <w:color w:val="000000" w:themeColor="text1"/>
          <w:sz w:val="24"/>
          <w:szCs w:val="24"/>
        </w:rPr>
        <w:t xml:space="preserve"> one-time</w:t>
      </w:r>
      <w:r w:rsidRPr="008E7F47" w:rsidR="00087508">
        <w:rPr>
          <w:rFonts w:eastAsia="Times New Roman" w:cs="Arial"/>
          <w:color w:val="000000" w:themeColor="text1"/>
          <w:sz w:val="24"/>
          <w:szCs w:val="24"/>
        </w:rPr>
        <w:t xml:space="preserve"> online survey </w:t>
      </w:r>
      <w:r w:rsidRPr="008E7F47" w:rsidR="00087508">
        <w:rPr>
          <w:rFonts w:eastAsia="Times New Roman" w:cs="Arial"/>
          <w:color w:val="000000" w:themeColor="text1"/>
          <w:sz w:val="24"/>
          <w:szCs w:val="24"/>
        </w:rPr>
        <w:lastRenderedPageBreak/>
        <w:t>of past REU participants and mentors</w:t>
      </w:r>
      <w:r w:rsidRPr="008E7F47" w:rsidR="0080166A">
        <w:rPr>
          <w:rFonts w:eastAsia="Times New Roman" w:cs="Arial"/>
          <w:color w:val="000000" w:themeColor="text1"/>
          <w:sz w:val="24"/>
          <w:szCs w:val="24"/>
        </w:rPr>
        <w:t xml:space="preserve">, along with </w:t>
      </w:r>
      <w:r w:rsidRPr="008E7F47" w:rsidR="00B36543">
        <w:rPr>
          <w:rFonts w:eastAsia="Times New Roman" w:cs="Arial"/>
          <w:color w:val="000000" w:themeColor="text1"/>
          <w:sz w:val="24"/>
          <w:szCs w:val="24"/>
        </w:rPr>
        <w:t xml:space="preserve">a comparison group of former participants </w:t>
      </w:r>
      <w:r w:rsidRPr="008E7F47" w:rsidR="0080166A">
        <w:rPr>
          <w:rFonts w:eastAsia="Times New Roman" w:cs="Arial"/>
          <w:color w:val="000000" w:themeColor="text1"/>
          <w:sz w:val="24"/>
          <w:szCs w:val="24"/>
        </w:rPr>
        <w:t>who engaged in</w:t>
      </w:r>
      <w:r w:rsidRPr="008E7F47" w:rsidR="00B36543">
        <w:rPr>
          <w:rFonts w:eastAsia="Times New Roman" w:cs="Arial"/>
          <w:color w:val="000000" w:themeColor="text1"/>
          <w:sz w:val="24"/>
          <w:szCs w:val="24"/>
        </w:rPr>
        <w:t xml:space="preserve"> other research experiences and activities.</w:t>
      </w:r>
    </w:p>
    <w:p w:rsidRPr="005636E2" w:rsidR="00BC2D88" w:rsidP="00BC2D88" w:rsidRDefault="00BC2D88" w14:paraId="4239EA38" w14:textId="2FDCBEAE">
      <w:pPr>
        <w:pStyle w:val="Hdng2-IPR"/>
        <w:rPr>
          <w:color w:val="000000" w:themeColor="text1"/>
        </w:rPr>
      </w:pPr>
      <w:bookmarkStart w:name="_Toc133208871" w:id="5"/>
      <w:bookmarkStart w:name="_Toc329426274" w:id="6"/>
      <w:bookmarkStart w:name="_Toc351666576" w:id="7"/>
      <w:bookmarkStart w:name="_Toc416426561" w:id="8"/>
      <w:r w:rsidRPr="005636E2">
        <w:rPr>
          <w:color w:val="000000" w:themeColor="text1"/>
        </w:rPr>
        <w:t>A.2.</w:t>
      </w:r>
      <w:r w:rsidRPr="005636E2">
        <w:rPr>
          <w:color w:val="000000" w:themeColor="text1"/>
        </w:rPr>
        <w:tab/>
        <w:t>Purpose and Use of the Information</w:t>
      </w:r>
      <w:bookmarkEnd w:id="5"/>
      <w:bookmarkEnd w:id="6"/>
      <w:bookmarkEnd w:id="7"/>
      <w:bookmarkEnd w:id="8"/>
    </w:p>
    <w:p w:rsidRPr="005636E2" w:rsidR="00BC2D88" w:rsidP="00BC2D88" w:rsidRDefault="00BC2D88" w14:paraId="42DB31A6" w14:textId="77777777">
      <w:pPr>
        <w:pStyle w:val="OMBRequirementCalibri"/>
        <w:rPr>
          <w:rFonts w:cstheme="minorHAnsi"/>
          <w:color w:val="000000" w:themeColor="text1"/>
        </w:rPr>
      </w:pPr>
      <w:r w:rsidRPr="005636E2">
        <w:rPr>
          <w:rFonts w:cstheme="minorHAnsi"/>
          <w:color w:val="000000" w:themeColor="text1"/>
        </w:rPr>
        <w:t>Indicate how, by whom, how frequently, and for what purpose the information is to be used. Except for a new collection, indicate the actual use the agency has made of the information received from the current collection.</w:t>
      </w:r>
    </w:p>
    <w:p w:rsidRPr="008E7F47" w:rsidR="00BC2672" w:rsidP="00BC2672" w:rsidRDefault="00BC2672" w14:paraId="761164C2" w14:textId="15481E30">
      <w:pPr>
        <w:spacing w:after="0" w:line="480" w:lineRule="auto"/>
        <w:ind w:firstLine="360"/>
        <w:contextualSpacing/>
        <w:rPr>
          <w:rFonts w:ascii="Calibri" w:hAnsi="Calibri" w:eastAsia="Times New Roman" w:cs="Arial"/>
          <w:color w:val="000000" w:themeColor="text1"/>
          <w:sz w:val="24"/>
          <w:szCs w:val="24"/>
        </w:rPr>
      </w:pPr>
      <w:r w:rsidRPr="008E7F47">
        <w:rPr>
          <w:rFonts w:ascii="Calibri" w:hAnsi="Calibri" w:cstheme="minorHAnsi"/>
          <w:color w:val="000000" w:themeColor="text1"/>
          <w:sz w:val="24"/>
          <w:szCs w:val="24"/>
        </w:rPr>
        <w:t xml:space="preserve">Data will be collected via </w:t>
      </w:r>
      <w:r w:rsidRPr="008E7F47" w:rsidR="008371AF">
        <w:rPr>
          <w:rFonts w:ascii="Calibri" w:hAnsi="Calibri" w:cstheme="minorHAnsi"/>
          <w:color w:val="000000" w:themeColor="text1"/>
          <w:sz w:val="24"/>
          <w:szCs w:val="24"/>
        </w:rPr>
        <w:t>two versions of a</w:t>
      </w:r>
      <w:r w:rsidRPr="008E7F47">
        <w:rPr>
          <w:rFonts w:ascii="Calibri" w:hAnsi="Calibri" w:cstheme="minorHAnsi"/>
          <w:color w:val="000000" w:themeColor="text1"/>
          <w:sz w:val="24"/>
          <w:szCs w:val="24"/>
        </w:rPr>
        <w:t xml:space="preserve"> one-time online survey</w:t>
      </w:r>
      <w:r w:rsidR="000F398D">
        <w:rPr>
          <w:rFonts w:ascii="Calibri" w:hAnsi="Calibri" w:cstheme="minorHAnsi"/>
          <w:color w:val="000000" w:themeColor="text1"/>
          <w:sz w:val="24"/>
          <w:szCs w:val="24"/>
        </w:rPr>
        <w:t xml:space="preserve"> through Qualtrics</w:t>
      </w:r>
      <w:r w:rsidRPr="008E7F47">
        <w:rPr>
          <w:rFonts w:ascii="Calibri" w:hAnsi="Calibri" w:cstheme="minorHAnsi"/>
          <w:color w:val="000000" w:themeColor="text1"/>
          <w:sz w:val="24"/>
          <w:szCs w:val="24"/>
        </w:rPr>
        <w:t xml:space="preserve">. </w:t>
      </w:r>
      <w:r w:rsidRPr="008E7F47" w:rsidR="008371AF">
        <w:rPr>
          <w:rFonts w:ascii="Calibri" w:hAnsi="Calibri" w:cstheme="minorHAnsi"/>
          <w:color w:val="000000" w:themeColor="text1"/>
          <w:sz w:val="24"/>
          <w:szCs w:val="24"/>
        </w:rPr>
        <w:t xml:space="preserve">One version will be for former participants in undergraduate research experiences. The other version will be for former mentors in the NSF REU program. </w:t>
      </w:r>
      <w:r w:rsidRPr="008E7F47">
        <w:rPr>
          <w:rFonts w:ascii="Calibri" w:hAnsi="Calibri" w:cstheme="minorHAnsi"/>
          <w:color w:val="000000" w:themeColor="text1"/>
          <w:sz w:val="24"/>
          <w:szCs w:val="24"/>
        </w:rPr>
        <w:t>The Center for Evaluating the Research Pipeline (CERP) at the Computing Research Association</w:t>
      </w:r>
      <w:r w:rsidRPr="008E7F47" w:rsidR="00280C8F">
        <w:rPr>
          <w:rFonts w:ascii="Calibri" w:hAnsi="Calibri" w:cstheme="minorHAnsi"/>
          <w:color w:val="000000" w:themeColor="text1"/>
          <w:sz w:val="24"/>
          <w:szCs w:val="24"/>
        </w:rPr>
        <w:t xml:space="preserve"> (CRA)</w:t>
      </w:r>
      <w:r w:rsidRPr="008E7F47">
        <w:rPr>
          <w:rFonts w:ascii="Calibri" w:hAnsi="Calibri" w:cstheme="minorHAnsi"/>
          <w:color w:val="000000" w:themeColor="text1"/>
          <w:sz w:val="24"/>
          <w:szCs w:val="24"/>
        </w:rPr>
        <w:t xml:space="preserve"> – on behalf of NSF – is developing, managing the administration of, and conducting data analysis for the survey</w:t>
      </w:r>
      <w:r w:rsidRPr="008E7F47" w:rsidR="008371AF">
        <w:rPr>
          <w:rFonts w:ascii="Calibri" w:hAnsi="Calibri" w:cstheme="minorHAnsi"/>
          <w:color w:val="000000" w:themeColor="text1"/>
          <w:sz w:val="24"/>
          <w:szCs w:val="24"/>
        </w:rPr>
        <w:t>s</w:t>
      </w:r>
      <w:r w:rsidRPr="008E7F47">
        <w:rPr>
          <w:rFonts w:ascii="Calibri" w:hAnsi="Calibri" w:cstheme="minorHAnsi"/>
          <w:color w:val="000000" w:themeColor="text1"/>
          <w:sz w:val="24"/>
          <w:szCs w:val="24"/>
        </w:rPr>
        <w:t xml:space="preserve">. </w:t>
      </w:r>
      <w:r w:rsidRPr="008E7F47">
        <w:rPr>
          <w:rFonts w:ascii="Calibri" w:hAnsi="Calibri" w:eastAsia="Times New Roman" w:cs="Arial"/>
          <w:color w:val="000000" w:themeColor="text1"/>
          <w:sz w:val="24"/>
          <w:szCs w:val="24"/>
        </w:rPr>
        <w:t xml:space="preserve">The specific </w:t>
      </w:r>
      <w:r w:rsidR="00B71DCE">
        <w:rPr>
          <w:rFonts w:ascii="Calibri" w:hAnsi="Calibri" w:eastAsia="Times New Roman" w:cs="Arial"/>
          <w:color w:val="000000" w:themeColor="text1"/>
          <w:sz w:val="24"/>
          <w:szCs w:val="24"/>
        </w:rPr>
        <w:t xml:space="preserve">research and </w:t>
      </w:r>
      <w:r w:rsidRPr="008E7F47">
        <w:rPr>
          <w:rFonts w:ascii="Calibri" w:hAnsi="Calibri" w:eastAsia="Times New Roman" w:cs="Arial"/>
          <w:color w:val="000000" w:themeColor="text1"/>
          <w:sz w:val="24"/>
          <w:szCs w:val="24"/>
        </w:rPr>
        <w:t>evaluation objectives are</w:t>
      </w:r>
      <w:r w:rsidRPr="008E7F47" w:rsidR="00280C8F">
        <w:rPr>
          <w:rFonts w:ascii="Calibri" w:hAnsi="Calibri" w:eastAsia="Times New Roman" w:cs="Arial"/>
          <w:color w:val="000000" w:themeColor="text1"/>
          <w:sz w:val="24"/>
          <w:szCs w:val="24"/>
        </w:rPr>
        <w:t xml:space="preserve"> to</w:t>
      </w:r>
      <w:r w:rsidRPr="008E7F47">
        <w:rPr>
          <w:rFonts w:ascii="Calibri" w:hAnsi="Calibri" w:eastAsia="Times New Roman" w:cs="Arial"/>
          <w:color w:val="000000" w:themeColor="text1"/>
          <w:sz w:val="24"/>
          <w:szCs w:val="24"/>
        </w:rPr>
        <w:t>:</w:t>
      </w:r>
    </w:p>
    <w:p w:rsidRPr="008E7F47" w:rsidR="00BC2672" w:rsidP="00BC2672" w:rsidRDefault="00BC2672" w14:paraId="1453590B" w14:textId="77777777">
      <w:pPr>
        <w:pStyle w:val="ListParagraph"/>
        <w:numPr>
          <w:ilvl w:val="0"/>
          <w:numId w:val="5"/>
        </w:numPr>
        <w:spacing w:after="0" w:line="480" w:lineRule="auto"/>
        <w:rPr>
          <w:rFonts w:ascii="Calibri" w:hAnsi="Calibri" w:eastAsia="Times New Roman" w:cs="Arial"/>
          <w:color w:val="000000" w:themeColor="text1"/>
          <w:sz w:val="24"/>
          <w:szCs w:val="24"/>
        </w:rPr>
      </w:pPr>
      <w:r w:rsidRPr="008E7F47">
        <w:rPr>
          <w:rFonts w:ascii="Calibri" w:hAnsi="Calibri" w:eastAsia="Times New Roman" w:cs="Arial"/>
          <w:color w:val="000000" w:themeColor="text1"/>
          <w:sz w:val="24"/>
          <w:szCs w:val="24"/>
        </w:rPr>
        <w:t>Identify the career trajectory of the REU participants since their participation in the REU program including degrees they received, institutions they attended, and their current status (e.g., employed, graduate students).</w:t>
      </w:r>
    </w:p>
    <w:p w:rsidRPr="008E7F47" w:rsidR="00BC2672" w:rsidP="00BC2672" w:rsidRDefault="00BC2672" w14:paraId="5C8BCA7E" w14:textId="77777777">
      <w:pPr>
        <w:pStyle w:val="ListParagraph"/>
        <w:numPr>
          <w:ilvl w:val="0"/>
          <w:numId w:val="5"/>
        </w:numPr>
        <w:spacing w:after="0" w:line="480" w:lineRule="auto"/>
        <w:rPr>
          <w:rFonts w:ascii="Calibri" w:hAnsi="Calibri" w:eastAsia="Times New Roman" w:cs="Arial"/>
          <w:color w:val="000000" w:themeColor="text1"/>
          <w:sz w:val="24"/>
          <w:szCs w:val="24"/>
        </w:rPr>
      </w:pPr>
      <w:r w:rsidRPr="008E7F47">
        <w:rPr>
          <w:rFonts w:ascii="Calibri" w:hAnsi="Calibri" w:eastAsia="Times New Roman" w:cs="Arial"/>
          <w:color w:val="000000" w:themeColor="text1"/>
          <w:sz w:val="24"/>
          <w:szCs w:val="24"/>
        </w:rPr>
        <w:t>Document the structure of the REU experience that the respondents participated in. These may include the type of REU (e.g., Site, Supplement), location of REU, and timing of REU.</w:t>
      </w:r>
    </w:p>
    <w:p w:rsidRPr="008E7F47" w:rsidR="00BC2672" w:rsidP="00BC2672" w:rsidRDefault="00BC2672" w14:paraId="79E43942" w14:textId="77777777">
      <w:pPr>
        <w:pStyle w:val="ListParagraph"/>
        <w:numPr>
          <w:ilvl w:val="0"/>
          <w:numId w:val="5"/>
        </w:numPr>
        <w:spacing w:after="0" w:line="480" w:lineRule="auto"/>
        <w:rPr>
          <w:rFonts w:ascii="Calibri" w:hAnsi="Calibri" w:eastAsia="Times New Roman" w:cs="Arial"/>
          <w:color w:val="000000" w:themeColor="text1"/>
          <w:sz w:val="24"/>
          <w:szCs w:val="24"/>
        </w:rPr>
      </w:pPr>
      <w:r w:rsidRPr="008E7F47">
        <w:rPr>
          <w:rFonts w:ascii="Calibri" w:hAnsi="Calibri" w:eastAsia="Times New Roman" w:cs="Arial"/>
          <w:color w:val="000000" w:themeColor="text1"/>
          <w:sz w:val="24"/>
          <w:szCs w:val="24"/>
        </w:rPr>
        <w:t>Describe the REU mentors’ perceptions of the REU program on the student participants and the mentors’ career development.</w:t>
      </w:r>
    </w:p>
    <w:p w:rsidRPr="008E7F47" w:rsidR="00BC2672" w:rsidP="00BC2672" w:rsidRDefault="00BC2672" w14:paraId="437591FC" w14:textId="77777777">
      <w:pPr>
        <w:pStyle w:val="ListParagraph"/>
        <w:numPr>
          <w:ilvl w:val="0"/>
          <w:numId w:val="5"/>
        </w:numPr>
        <w:spacing w:after="0" w:line="480" w:lineRule="auto"/>
        <w:rPr>
          <w:rFonts w:ascii="Calibri" w:hAnsi="Calibri" w:eastAsia="Times New Roman" w:cs="Arial"/>
          <w:color w:val="000000" w:themeColor="text1"/>
          <w:sz w:val="24"/>
          <w:szCs w:val="24"/>
        </w:rPr>
      </w:pPr>
      <w:r w:rsidRPr="008E7F47">
        <w:rPr>
          <w:rFonts w:ascii="Calibri" w:hAnsi="Calibri" w:eastAsia="Times New Roman" w:cs="Arial"/>
          <w:color w:val="000000" w:themeColor="text1"/>
          <w:sz w:val="24"/>
          <w:szCs w:val="24"/>
        </w:rPr>
        <w:t>Examine the skills the participants gained and experiences they had during their REU participation. These may include technical skills, information on graduate school application process, and research training.</w:t>
      </w:r>
    </w:p>
    <w:p w:rsidRPr="008E7F47" w:rsidR="00BC2672" w:rsidP="00BC2672" w:rsidRDefault="003B1FCC" w14:paraId="106E57E0" w14:textId="5684EA6B">
      <w:pPr>
        <w:pStyle w:val="ListParagraph"/>
        <w:numPr>
          <w:ilvl w:val="0"/>
          <w:numId w:val="5"/>
        </w:numPr>
        <w:spacing w:after="0" w:line="480" w:lineRule="auto"/>
        <w:rPr>
          <w:rFonts w:ascii="Calibri" w:hAnsi="Calibri" w:eastAsia="Times New Roman" w:cs="Arial"/>
          <w:color w:val="000000" w:themeColor="text1"/>
          <w:sz w:val="24"/>
          <w:szCs w:val="24"/>
        </w:rPr>
      </w:pPr>
      <w:r w:rsidRPr="00C020F7">
        <w:rPr>
          <w:rFonts w:ascii="Calibri" w:hAnsi="Calibri" w:eastAsia="Times New Roman" w:cs="Arial"/>
          <w:color w:val="000000" w:themeColor="text1"/>
          <w:sz w:val="24"/>
          <w:szCs w:val="24"/>
        </w:rPr>
        <w:lastRenderedPageBreak/>
        <w:t xml:space="preserve">Analyze the </w:t>
      </w:r>
      <w:r w:rsidR="008B7B4C">
        <w:rPr>
          <w:rFonts w:ascii="Calibri" w:hAnsi="Calibri" w:eastAsia="Times New Roman" w:cs="Arial"/>
          <w:color w:val="000000" w:themeColor="text1"/>
          <w:sz w:val="24"/>
          <w:szCs w:val="24"/>
        </w:rPr>
        <w:t>predictors of</w:t>
      </w:r>
      <w:r>
        <w:rPr>
          <w:rFonts w:ascii="Calibri" w:hAnsi="Calibri" w:eastAsia="Times New Roman" w:cs="Arial"/>
          <w:color w:val="000000" w:themeColor="text1"/>
          <w:sz w:val="24"/>
          <w:szCs w:val="24"/>
        </w:rPr>
        <w:t xml:space="preserve"> </w:t>
      </w:r>
      <w:r w:rsidR="008B7B4C">
        <w:rPr>
          <w:rFonts w:ascii="Calibri" w:hAnsi="Calibri" w:eastAsia="Times New Roman" w:cs="Arial"/>
          <w:color w:val="000000" w:themeColor="text1"/>
          <w:sz w:val="24"/>
          <w:szCs w:val="24"/>
        </w:rPr>
        <w:t>computing</w:t>
      </w:r>
      <w:r>
        <w:rPr>
          <w:rFonts w:ascii="Calibri" w:hAnsi="Calibri" w:eastAsia="Times New Roman" w:cs="Arial"/>
          <w:color w:val="000000" w:themeColor="text1"/>
          <w:sz w:val="24"/>
          <w:szCs w:val="24"/>
        </w:rPr>
        <w:t xml:space="preserve"> </w:t>
      </w:r>
      <w:r w:rsidRPr="00C020F7">
        <w:rPr>
          <w:rFonts w:ascii="Calibri" w:hAnsi="Calibri" w:eastAsia="Times New Roman" w:cs="Arial"/>
          <w:color w:val="000000" w:themeColor="text1"/>
          <w:sz w:val="24"/>
          <w:szCs w:val="24"/>
        </w:rPr>
        <w:t xml:space="preserve">career </w:t>
      </w:r>
      <w:r w:rsidR="008B7B4C">
        <w:rPr>
          <w:rFonts w:ascii="Calibri" w:hAnsi="Calibri" w:eastAsia="Times New Roman" w:cs="Arial"/>
          <w:color w:val="000000" w:themeColor="text1"/>
          <w:sz w:val="24"/>
          <w:szCs w:val="24"/>
        </w:rPr>
        <w:t>choices</w:t>
      </w:r>
      <w:r w:rsidRPr="00C020F7">
        <w:rPr>
          <w:rFonts w:ascii="Calibri" w:hAnsi="Calibri" w:eastAsia="Times New Roman" w:cs="Arial"/>
          <w:color w:val="000000" w:themeColor="text1"/>
          <w:sz w:val="24"/>
          <w:szCs w:val="24"/>
        </w:rPr>
        <w:t xml:space="preserve">, specifically focusing on </w:t>
      </w:r>
      <w:r>
        <w:rPr>
          <w:rFonts w:ascii="Calibri" w:hAnsi="Calibri" w:eastAsia="Times New Roman" w:cs="Arial"/>
          <w:color w:val="000000" w:themeColor="text1"/>
          <w:sz w:val="24"/>
          <w:szCs w:val="24"/>
        </w:rPr>
        <w:t>the</w:t>
      </w:r>
      <w:r w:rsidRPr="00C020F7">
        <w:rPr>
          <w:rFonts w:ascii="Calibri" w:hAnsi="Calibri" w:eastAsia="Times New Roman" w:cs="Arial"/>
          <w:color w:val="000000" w:themeColor="text1"/>
          <w:sz w:val="24"/>
          <w:szCs w:val="24"/>
        </w:rPr>
        <w:t xml:space="preserve"> experiences </w:t>
      </w:r>
      <w:r>
        <w:rPr>
          <w:rFonts w:ascii="Calibri" w:hAnsi="Calibri" w:eastAsia="Times New Roman" w:cs="Arial"/>
          <w:color w:val="000000" w:themeColor="text1"/>
          <w:sz w:val="24"/>
          <w:szCs w:val="24"/>
        </w:rPr>
        <w:t xml:space="preserve">and participant characteristics that </w:t>
      </w:r>
      <w:r w:rsidRPr="008E7F47" w:rsidR="00BC2672">
        <w:rPr>
          <w:rFonts w:ascii="Calibri" w:hAnsi="Calibri" w:eastAsia="Times New Roman" w:cs="Arial"/>
          <w:color w:val="000000" w:themeColor="text1"/>
          <w:sz w:val="24"/>
          <w:szCs w:val="24"/>
        </w:rPr>
        <w:t xml:space="preserve">are associated with the participants’ interest in and ultimate selection of research careers in computing. </w:t>
      </w:r>
    </w:p>
    <w:p w:rsidRPr="008E7F47" w:rsidR="00B36543" w:rsidP="00BC2672" w:rsidRDefault="00B36543" w14:paraId="251FCBD2" w14:textId="3818C381">
      <w:pPr>
        <w:pStyle w:val="ListParagraph"/>
        <w:numPr>
          <w:ilvl w:val="0"/>
          <w:numId w:val="5"/>
        </w:numPr>
        <w:spacing w:after="0" w:line="480" w:lineRule="auto"/>
        <w:rPr>
          <w:rFonts w:ascii="Calibri" w:hAnsi="Calibri" w:eastAsia="Times New Roman" w:cs="Arial"/>
          <w:color w:val="000000" w:themeColor="text1"/>
          <w:sz w:val="24"/>
          <w:szCs w:val="24"/>
        </w:rPr>
      </w:pPr>
      <w:r w:rsidRPr="008E7F47">
        <w:rPr>
          <w:rFonts w:ascii="Calibri" w:hAnsi="Calibri" w:eastAsia="Times New Roman" w:cs="Arial"/>
          <w:color w:val="000000" w:themeColor="text1"/>
          <w:sz w:val="24"/>
          <w:szCs w:val="24"/>
        </w:rPr>
        <w:t>Compare the</w:t>
      </w:r>
      <w:r w:rsidR="00102886">
        <w:rPr>
          <w:rFonts w:ascii="Calibri" w:hAnsi="Calibri" w:eastAsia="Times New Roman" w:cs="Arial"/>
          <w:color w:val="000000" w:themeColor="text1"/>
          <w:sz w:val="24"/>
          <w:szCs w:val="24"/>
        </w:rPr>
        <w:t xml:space="preserve"> backgrounds,</w:t>
      </w:r>
      <w:r w:rsidRPr="008E7F47">
        <w:rPr>
          <w:rFonts w:ascii="Calibri" w:hAnsi="Calibri" w:eastAsia="Times New Roman" w:cs="Arial"/>
          <w:color w:val="000000" w:themeColor="text1"/>
          <w:sz w:val="24"/>
          <w:szCs w:val="24"/>
        </w:rPr>
        <w:t xml:space="preserve"> skills, education, and career </w:t>
      </w:r>
      <w:r w:rsidRPr="008E7F47" w:rsidR="00280C8F">
        <w:rPr>
          <w:rFonts w:ascii="Calibri" w:hAnsi="Calibri" w:eastAsia="Times New Roman" w:cs="Arial"/>
          <w:color w:val="000000" w:themeColor="text1"/>
          <w:sz w:val="24"/>
          <w:szCs w:val="24"/>
        </w:rPr>
        <w:t>pathways of</w:t>
      </w:r>
      <w:r w:rsidRPr="008E7F47">
        <w:rPr>
          <w:rFonts w:ascii="Calibri" w:hAnsi="Calibri" w:eastAsia="Times New Roman" w:cs="Arial"/>
          <w:color w:val="000000" w:themeColor="text1"/>
          <w:sz w:val="24"/>
          <w:szCs w:val="24"/>
        </w:rPr>
        <w:t xml:space="preserve"> </w:t>
      </w:r>
      <w:r w:rsidR="00040F43">
        <w:rPr>
          <w:rFonts w:ascii="Calibri" w:hAnsi="Calibri" w:eastAsia="Times New Roman" w:cs="Arial"/>
          <w:color w:val="000000" w:themeColor="text1"/>
          <w:sz w:val="24"/>
          <w:szCs w:val="24"/>
        </w:rPr>
        <w:t xml:space="preserve">NSF </w:t>
      </w:r>
      <w:r w:rsidRPr="008E7F47">
        <w:rPr>
          <w:rFonts w:ascii="Calibri" w:hAnsi="Calibri" w:eastAsia="Times New Roman" w:cs="Arial"/>
          <w:color w:val="000000" w:themeColor="text1"/>
          <w:sz w:val="24"/>
          <w:szCs w:val="24"/>
        </w:rPr>
        <w:t>REU participants to a comparison group of participants who have engaged in other, non-</w:t>
      </w:r>
      <w:r w:rsidR="00040F43">
        <w:rPr>
          <w:rFonts w:ascii="Calibri" w:hAnsi="Calibri" w:eastAsia="Times New Roman" w:cs="Arial"/>
          <w:color w:val="000000" w:themeColor="text1"/>
          <w:sz w:val="24"/>
          <w:szCs w:val="24"/>
        </w:rPr>
        <w:t xml:space="preserve">NSF </w:t>
      </w:r>
      <w:r w:rsidRPr="008E7F47">
        <w:rPr>
          <w:rFonts w:ascii="Calibri" w:hAnsi="Calibri" w:eastAsia="Times New Roman" w:cs="Arial"/>
          <w:color w:val="000000" w:themeColor="text1"/>
          <w:sz w:val="24"/>
          <w:szCs w:val="24"/>
        </w:rPr>
        <w:t xml:space="preserve">REU research activities and experiences. </w:t>
      </w:r>
    </w:p>
    <w:p w:rsidRPr="008E7F47" w:rsidR="00BC2672" w:rsidP="005933DC" w:rsidRDefault="00BC2672" w14:paraId="742DF25B" w14:textId="2AA3DAB8">
      <w:pPr>
        <w:spacing w:after="0" w:line="480" w:lineRule="auto"/>
        <w:ind w:firstLine="360"/>
        <w:contextualSpacing/>
        <w:rPr>
          <w:rFonts w:ascii="Calibri" w:hAnsi="Calibri" w:eastAsia="Times New Roman" w:cs="Arial"/>
          <w:color w:val="000000" w:themeColor="text1"/>
          <w:sz w:val="24"/>
          <w:szCs w:val="24"/>
        </w:rPr>
      </w:pPr>
      <w:r w:rsidRPr="008E7F47">
        <w:rPr>
          <w:rFonts w:ascii="Calibri" w:hAnsi="Calibri" w:eastAsia="Times New Roman" w:cs="Arial"/>
          <w:color w:val="000000" w:themeColor="text1"/>
          <w:sz w:val="24"/>
          <w:szCs w:val="24"/>
        </w:rPr>
        <w:t xml:space="preserve">Ultimately, findings from the analysis of this data collection will be used </w:t>
      </w:r>
      <w:r w:rsidR="00493DD7">
        <w:rPr>
          <w:rFonts w:ascii="Calibri" w:hAnsi="Calibri" w:eastAsia="Times New Roman" w:cs="Arial"/>
          <w:color w:val="000000" w:themeColor="text1"/>
          <w:sz w:val="24"/>
          <w:szCs w:val="24"/>
        </w:rPr>
        <w:t xml:space="preserve">by NSF </w:t>
      </w:r>
      <w:r w:rsidRPr="008E7F47">
        <w:rPr>
          <w:rFonts w:ascii="Calibri" w:hAnsi="Calibri" w:eastAsia="Times New Roman" w:cs="Arial"/>
          <w:color w:val="000000" w:themeColor="text1"/>
          <w:sz w:val="24"/>
          <w:szCs w:val="24"/>
        </w:rPr>
        <w:t xml:space="preserve">to improve the CISE </w:t>
      </w:r>
      <w:r w:rsidR="008B7B4C">
        <w:rPr>
          <w:rFonts w:ascii="Calibri" w:hAnsi="Calibri" w:eastAsia="Times New Roman" w:cs="Arial"/>
          <w:color w:val="000000" w:themeColor="text1"/>
          <w:sz w:val="24"/>
          <w:szCs w:val="24"/>
        </w:rPr>
        <w:t xml:space="preserve">NSF </w:t>
      </w:r>
      <w:r w:rsidRPr="008E7F47">
        <w:rPr>
          <w:rFonts w:ascii="Calibri" w:hAnsi="Calibri" w:eastAsia="Times New Roman" w:cs="Arial"/>
          <w:color w:val="000000" w:themeColor="text1"/>
          <w:sz w:val="24"/>
          <w:szCs w:val="24"/>
        </w:rPr>
        <w:t>REU Program in order to better reach its goals of providing meaningful research opportunities to undergraduate students and, in doing so, attract a broad range of students to computing</w:t>
      </w:r>
      <w:r w:rsidRPr="008E7F47" w:rsidR="008371AF">
        <w:rPr>
          <w:rFonts w:ascii="Calibri" w:hAnsi="Calibri" w:eastAsia="Times New Roman" w:cs="Arial"/>
          <w:color w:val="000000" w:themeColor="text1"/>
          <w:sz w:val="24"/>
          <w:szCs w:val="24"/>
        </w:rPr>
        <w:t xml:space="preserve"> research</w:t>
      </w:r>
      <w:r w:rsidRPr="008E7F47">
        <w:rPr>
          <w:rFonts w:ascii="Calibri" w:hAnsi="Calibri" w:eastAsia="Times New Roman" w:cs="Arial"/>
          <w:color w:val="000000" w:themeColor="text1"/>
          <w:sz w:val="24"/>
          <w:szCs w:val="24"/>
        </w:rPr>
        <w:t xml:space="preserve"> careers. </w:t>
      </w:r>
      <w:r w:rsidR="00493DD7">
        <w:rPr>
          <w:rFonts w:ascii="Calibri" w:hAnsi="Calibri" w:eastAsia="Times New Roman" w:cs="Arial"/>
          <w:color w:val="000000" w:themeColor="text1"/>
          <w:sz w:val="24"/>
          <w:szCs w:val="24"/>
        </w:rPr>
        <w:t>A single report will be created and delivered to NSF in late 2021. This report will become a resource for ongoing future decision-making related to the CISE REU program</w:t>
      </w:r>
      <w:r w:rsidR="0098740A">
        <w:rPr>
          <w:rFonts w:ascii="Calibri" w:hAnsi="Calibri" w:eastAsia="Times New Roman" w:cs="Arial"/>
          <w:color w:val="000000" w:themeColor="text1"/>
          <w:sz w:val="24"/>
          <w:szCs w:val="24"/>
        </w:rPr>
        <w:t>.</w:t>
      </w:r>
    </w:p>
    <w:p w:rsidRPr="005636E2" w:rsidR="006561A1" w:rsidP="006561A1" w:rsidRDefault="006561A1" w14:paraId="23457458" w14:textId="77777777">
      <w:pPr>
        <w:pStyle w:val="Hdng2-IPR"/>
        <w:rPr>
          <w:color w:val="000000" w:themeColor="text1"/>
        </w:rPr>
      </w:pPr>
      <w:bookmarkStart w:name="_Toc133208872" w:id="9"/>
      <w:bookmarkStart w:name="_Toc329426275" w:id="10"/>
      <w:bookmarkStart w:name="_Toc351666577" w:id="11"/>
      <w:bookmarkStart w:name="_Toc416426562" w:id="12"/>
      <w:r w:rsidRPr="005636E2">
        <w:rPr>
          <w:color w:val="000000" w:themeColor="text1"/>
        </w:rPr>
        <w:t>A.3.</w:t>
      </w:r>
      <w:r w:rsidRPr="005636E2">
        <w:rPr>
          <w:color w:val="000000" w:themeColor="text1"/>
        </w:rPr>
        <w:tab/>
      </w:r>
      <w:bookmarkEnd w:id="9"/>
      <w:r w:rsidRPr="005636E2">
        <w:rPr>
          <w:color w:val="000000" w:themeColor="text1"/>
        </w:rPr>
        <w:t>Use of Information Technology and Burden Reduction</w:t>
      </w:r>
      <w:bookmarkEnd w:id="10"/>
      <w:bookmarkEnd w:id="11"/>
      <w:bookmarkEnd w:id="12"/>
      <w:r w:rsidRPr="005636E2">
        <w:rPr>
          <w:color w:val="000000" w:themeColor="text1"/>
        </w:rPr>
        <w:t xml:space="preserve"> </w:t>
      </w:r>
    </w:p>
    <w:p w:rsidRPr="005636E2" w:rsidR="006561A1" w:rsidP="006561A1" w:rsidRDefault="006561A1" w14:paraId="3A8D2245" w14:textId="77777777">
      <w:pPr>
        <w:pStyle w:val="OMBRequirementCalibri"/>
        <w:rPr>
          <w:rFonts w:cstheme="minorHAnsi"/>
          <w:color w:val="000000" w:themeColor="text1"/>
        </w:rPr>
      </w:pPr>
      <w:r w:rsidRPr="005636E2">
        <w:rPr>
          <w:rFonts w:cstheme="minorHAnsi"/>
          <w:color w:val="000000" w:themeColor="text1"/>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01BA6" w:rsidP="006561A1" w:rsidRDefault="006561A1" w14:paraId="7B91E736" w14:textId="3AF3E216">
      <w:pPr>
        <w:pStyle w:val="Body12ptCalibri-IPR"/>
        <w:rPr>
          <w:rFonts w:cstheme="minorHAnsi"/>
          <w:color w:val="000000" w:themeColor="text1"/>
        </w:rPr>
      </w:pPr>
      <w:r w:rsidRPr="005636E2">
        <w:rPr>
          <w:rFonts w:cstheme="minorHAnsi"/>
          <w:color w:val="000000" w:themeColor="text1"/>
        </w:rPr>
        <w:t xml:space="preserve">The </w:t>
      </w:r>
      <w:r w:rsidRPr="008B7B4C" w:rsidR="00B36543">
        <w:rPr>
          <w:rFonts w:cstheme="minorHAnsi"/>
          <w:b/>
          <w:bCs/>
          <w:color w:val="000000" w:themeColor="text1"/>
        </w:rPr>
        <w:t>REU Past Participant</w:t>
      </w:r>
      <w:r w:rsidRPr="008B7B4C" w:rsidR="00E40453">
        <w:rPr>
          <w:rFonts w:cstheme="minorHAnsi"/>
          <w:b/>
          <w:bCs/>
          <w:color w:val="000000" w:themeColor="text1"/>
        </w:rPr>
        <w:t xml:space="preserve"> S</w:t>
      </w:r>
      <w:r w:rsidRPr="008B7B4C">
        <w:rPr>
          <w:rFonts w:cstheme="minorHAnsi"/>
          <w:b/>
          <w:bCs/>
          <w:color w:val="000000" w:themeColor="text1"/>
        </w:rPr>
        <w:t>urvey</w:t>
      </w:r>
      <w:r w:rsidRPr="005636E2">
        <w:rPr>
          <w:rFonts w:cstheme="minorHAnsi"/>
          <w:color w:val="000000" w:themeColor="text1"/>
        </w:rPr>
        <w:t xml:space="preserve"> will be </w:t>
      </w:r>
      <w:r w:rsidRPr="005636E2" w:rsidR="00E40453">
        <w:rPr>
          <w:rFonts w:cstheme="minorHAnsi"/>
          <w:color w:val="000000" w:themeColor="text1"/>
        </w:rPr>
        <w:t xml:space="preserve">administered </w:t>
      </w:r>
      <w:r w:rsidRPr="005636E2" w:rsidR="00B36543">
        <w:rPr>
          <w:rFonts w:cstheme="minorHAnsi"/>
          <w:color w:val="000000" w:themeColor="text1"/>
        </w:rPr>
        <w:t>online</w:t>
      </w:r>
      <w:r w:rsidRPr="005636E2" w:rsidR="00E40453">
        <w:rPr>
          <w:rFonts w:cstheme="minorHAnsi"/>
          <w:color w:val="000000" w:themeColor="text1"/>
        </w:rPr>
        <w:t xml:space="preserve"> </w:t>
      </w:r>
      <w:r w:rsidRPr="005636E2" w:rsidR="00101BA6">
        <w:rPr>
          <w:rFonts w:cstheme="minorHAnsi"/>
          <w:color w:val="000000" w:themeColor="text1"/>
        </w:rPr>
        <w:t xml:space="preserve">via a unique </w:t>
      </w:r>
      <w:r w:rsidR="00E42C6B">
        <w:rPr>
          <w:rFonts w:cstheme="minorHAnsi"/>
          <w:color w:val="000000" w:themeColor="text1"/>
        </w:rPr>
        <w:t xml:space="preserve">Qualtrics </w:t>
      </w:r>
      <w:r w:rsidRPr="005636E2" w:rsidR="00101BA6">
        <w:rPr>
          <w:rFonts w:cstheme="minorHAnsi"/>
          <w:color w:val="000000" w:themeColor="text1"/>
        </w:rPr>
        <w:t xml:space="preserve">survey link </w:t>
      </w:r>
      <w:r w:rsidRPr="005636E2" w:rsidR="00E40453">
        <w:rPr>
          <w:rFonts w:cstheme="minorHAnsi"/>
          <w:color w:val="000000" w:themeColor="text1"/>
        </w:rPr>
        <w:t xml:space="preserve">and is </w:t>
      </w:r>
      <w:r w:rsidRPr="005636E2" w:rsidR="00B36543">
        <w:rPr>
          <w:rFonts w:cstheme="minorHAnsi"/>
          <w:color w:val="000000" w:themeColor="text1"/>
        </w:rPr>
        <w:t xml:space="preserve">designed to be completed in </w:t>
      </w:r>
      <w:r w:rsidRPr="005636E2" w:rsidR="00E40453">
        <w:rPr>
          <w:rFonts w:cstheme="minorHAnsi"/>
          <w:color w:val="000000" w:themeColor="text1"/>
        </w:rPr>
        <w:t>20 minutes</w:t>
      </w:r>
      <w:r w:rsidRPr="005636E2">
        <w:rPr>
          <w:rFonts w:cstheme="minorHAnsi"/>
          <w:color w:val="000000" w:themeColor="text1"/>
        </w:rPr>
        <w:t xml:space="preserve">. </w:t>
      </w:r>
      <w:r w:rsidRPr="005636E2" w:rsidR="00101BA6">
        <w:rPr>
          <w:rFonts w:cstheme="minorHAnsi"/>
          <w:color w:val="000000" w:themeColor="text1"/>
        </w:rPr>
        <w:t xml:space="preserve">Potential respondents will be identified as follows: (1) NSF will provide </w:t>
      </w:r>
      <w:r w:rsidR="00E42C6B">
        <w:rPr>
          <w:rFonts w:cstheme="minorHAnsi"/>
          <w:color w:val="000000" w:themeColor="text1"/>
        </w:rPr>
        <w:t xml:space="preserve">to CERP </w:t>
      </w:r>
      <w:r w:rsidRPr="005636E2" w:rsidR="00101BA6">
        <w:rPr>
          <w:rFonts w:cstheme="minorHAnsi"/>
          <w:color w:val="000000" w:themeColor="text1"/>
        </w:rPr>
        <w:t>a list of names and contact information for</w:t>
      </w:r>
      <w:r w:rsidR="00E42C6B">
        <w:rPr>
          <w:rFonts w:cstheme="minorHAnsi"/>
          <w:color w:val="000000" w:themeColor="text1"/>
        </w:rPr>
        <w:t xml:space="preserve"> its</w:t>
      </w:r>
      <w:r w:rsidRPr="005636E2" w:rsidR="00101BA6">
        <w:rPr>
          <w:rFonts w:cstheme="minorHAnsi"/>
          <w:color w:val="000000" w:themeColor="text1"/>
        </w:rPr>
        <w:t xml:space="preserve"> former CISE REU participants and mentors; and (2) Comparison group participants with prior (but non-NSF REU) </w:t>
      </w:r>
      <w:r w:rsidR="00E42C6B">
        <w:rPr>
          <w:rFonts w:cstheme="minorHAnsi"/>
          <w:color w:val="000000" w:themeColor="text1"/>
        </w:rPr>
        <w:t xml:space="preserve">CISE </w:t>
      </w:r>
      <w:r w:rsidRPr="005636E2" w:rsidR="00101BA6">
        <w:rPr>
          <w:rFonts w:cstheme="minorHAnsi"/>
          <w:color w:val="000000" w:themeColor="text1"/>
        </w:rPr>
        <w:t xml:space="preserve">research experiences will be identified from </w:t>
      </w:r>
      <w:r w:rsidR="008B7B4C">
        <w:rPr>
          <w:rFonts w:cstheme="minorHAnsi"/>
          <w:color w:val="000000" w:themeColor="text1"/>
        </w:rPr>
        <w:t xml:space="preserve">a pool of respondents who </w:t>
      </w:r>
      <w:r w:rsidRPr="005636E2" w:rsidR="00101BA6">
        <w:rPr>
          <w:rFonts w:cstheme="minorHAnsi"/>
          <w:color w:val="000000" w:themeColor="text1"/>
        </w:rPr>
        <w:t xml:space="preserve">previously </w:t>
      </w:r>
      <w:r w:rsidR="008B7B4C">
        <w:rPr>
          <w:rFonts w:cstheme="minorHAnsi"/>
          <w:color w:val="000000" w:themeColor="text1"/>
        </w:rPr>
        <w:t>participated in a C</w:t>
      </w:r>
      <w:r w:rsidRPr="005636E2" w:rsidR="00101BA6">
        <w:rPr>
          <w:rFonts w:cstheme="minorHAnsi"/>
          <w:color w:val="000000" w:themeColor="text1"/>
        </w:rPr>
        <w:t>ERP</w:t>
      </w:r>
      <w:r w:rsidR="008B7B4C">
        <w:rPr>
          <w:rFonts w:cstheme="minorHAnsi"/>
          <w:color w:val="000000" w:themeColor="text1"/>
        </w:rPr>
        <w:t xml:space="preserve">-administered survey and gave </w:t>
      </w:r>
      <w:r w:rsidRPr="005636E2" w:rsidR="008B7B4C">
        <w:rPr>
          <w:rFonts w:cstheme="minorHAnsi"/>
          <w:color w:val="000000" w:themeColor="text1"/>
        </w:rPr>
        <w:t>consent to be contacted</w:t>
      </w:r>
      <w:r w:rsidR="008B7B4C">
        <w:rPr>
          <w:rFonts w:cstheme="minorHAnsi"/>
          <w:color w:val="000000" w:themeColor="text1"/>
        </w:rPr>
        <w:t xml:space="preserve"> for future research</w:t>
      </w:r>
      <w:r w:rsidRPr="005636E2" w:rsidR="00101BA6">
        <w:rPr>
          <w:rFonts w:cstheme="minorHAnsi"/>
          <w:color w:val="000000" w:themeColor="text1"/>
        </w:rPr>
        <w:t xml:space="preserve">. In this way, only those who </w:t>
      </w:r>
      <w:r w:rsidRPr="005636E2" w:rsidR="00BB17C0">
        <w:rPr>
          <w:rFonts w:cstheme="minorHAnsi"/>
          <w:color w:val="000000" w:themeColor="text1"/>
        </w:rPr>
        <w:t xml:space="preserve">are already eligible to complete </w:t>
      </w:r>
      <w:r w:rsidRPr="005636E2" w:rsidR="00101BA6">
        <w:rPr>
          <w:rFonts w:cstheme="minorHAnsi"/>
          <w:color w:val="000000" w:themeColor="text1"/>
        </w:rPr>
        <w:t xml:space="preserve">the survey will be </w:t>
      </w:r>
      <w:r w:rsidR="008B7B4C">
        <w:rPr>
          <w:rFonts w:cstheme="minorHAnsi"/>
          <w:color w:val="000000" w:themeColor="text1"/>
        </w:rPr>
        <w:t>recruited</w:t>
      </w:r>
      <w:r w:rsidRPr="005636E2" w:rsidR="00101BA6">
        <w:rPr>
          <w:rFonts w:cstheme="minorHAnsi"/>
          <w:color w:val="000000" w:themeColor="text1"/>
        </w:rPr>
        <w:t xml:space="preserve">. </w:t>
      </w:r>
    </w:p>
    <w:p w:rsidRPr="005636E2" w:rsidR="008371AF" w:rsidP="008371AF" w:rsidRDefault="008371AF" w14:paraId="0F7CE647" w14:textId="09766354">
      <w:pPr>
        <w:pStyle w:val="Body12ptCalibri-IPR"/>
        <w:rPr>
          <w:rFonts w:cstheme="minorHAnsi"/>
          <w:color w:val="000000" w:themeColor="text1"/>
        </w:rPr>
      </w:pPr>
      <w:r>
        <w:rPr>
          <w:rFonts w:cstheme="minorHAnsi"/>
          <w:color w:val="000000" w:themeColor="text1"/>
        </w:rPr>
        <w:lastRenderedPageBreak/>
        <w:t xml:space="preserve">The </w:t>
      </w:r>
      <w:r w:rsidRPr="008B7B4C">
        <w:rPr>
          <w:rFonts w:cstheme="minorHAnsi"/>
          <w:b/>
          <w:bCs/>
          <w:color w:val="000000" w:themeColor="text1"/>
        </w:rPr>
        <w:t>REU Mentor Survey</w:t>
      </w:r>
      <w:r>
        <w:rPr>
          <w:rFonts w:cstheme="minorHAnsi"/>
          <w:color w:val="000000" w:themeColor="text1"/>
        </w:rPr>
        <w:t xml:space="preserve"> will also be administered online </w:t>
      </w:r>
      <w:r w:rsidRPr="005636E2">
        <w:rPr>
          <w:rFonts w:cstheme="minorHAnsi"/>
          <w:color w:val="000000" w:themeColor="text1"/>
        </w:rPr>
        <w:t xml:space="preserve">via a unique </w:t>
      </w:r>
      <w:r w:rsidR="00E42C6B">
        <w:rPr>
          <w:rFonts w:cstheme="minorHAnsi"/>
          <w:color w:val="000000" w:themeColor="text1"/>
        </w:rPr>
        <w:t xml:space="preserve">Qualtrics </w:t>
      </w:r>
      <w:r w:rsidRPr="005636E2">
        <w:rPr>
          <w:rFonts w:cstheme="minorHAnsi"/>
          <w:color w:val="000000" w:themeColor="text1"/>
        </w:rPr>
        <w:t>survey link and is designed to be completed in 20 minutes.</w:t>
      </w:r>
      <w:r>
        <w:rPr>
          <w:rFonts w:cstheme="minorHAnsi"/>
          <w:color w:val="000000" w:themeColor="text1"/>
        </w:rPr>
        <w:t xml:space="preserve"> NSF will provide a list of names and contact information for current and former CISE REU </w:t>
      </w:r>
      <w:r w:rsidR="008B7B4C">
        <w:rPr>
          <w:rFonts w:cstheme="minorHAnsi"/>
          <w:color w:val="000000" w:themeColor="text1"/>
        </w:rPr>
        <w:t xml:space="preserve">award </w:t>
      </w:r>
      <w:r>
        <w:rPr>
          <w:rFonts w:cstheme="minorHAnsi"/>
          <w:color w:val="000000" w:themeColor="text1"/>
        </w:rPr>
        <w:t xml:space="preserve">recipients (i.e., mentors). As such, </w:t>
      </w:r>
      <w:r w:rsidR="00E42C6B">
        <w:rPr>
          <w:rFonts w:cstheme="minorHAnsi"/>
          <w:color w:val="000000" w:themeColor="text1"/>
        </w:rPr>
        <w:t xml:space="preserve">for all three types of survey respondents, </w:t>
      </w:r>
      <w:r>
        <w:rPr>
          <w:rFonts w:cstheme="minorHAnsi"/>
          <w:color w:val="000000" w:themeColor="text1"/>
        </w:rPr>
        <w:t xml:space="preserve">only those who are already eligible </w:t>
      </w:r>
      <w:r w:rsidR="00E42C6B">
        <w:rPr>
          <w:rFonts w:cstheme="minorHAnsi"/>
          <w:color w:val="000000" w:themeColor="text1"/>
        </w:rPr>
        <w:t xml:space="preserve">for the study </w:t>
      </w:r>
      <w:r>
        <w:rPr>
          <w:rFonts w:cstheme="minorHAnsi"/>
          <w:color w:val="000000" w:themeColor="text1"/>
        </w:rPr>
        <w:t>will be recruited for participation.</w:t>
      </w:r>
      <w:r w:rsidR="00E42C6B">
        <w:rPr>
          <w:rFonts w:cstheme="minorHAnsi"/>
          <w:color w:val="000000" w:themeColor="text1"/>
        </w:rPr>
        <w:t xml:space="preserve"> All contacts for initial recruitment and reminders will be made electronically. (</w:t>
      </w:r>
      <w:r w:rsidRPr="004A2F62" w:rsidR="00E42C6B">
        <w:rPr>
          <w:rFonts w:cstheme="minorHAnsi"/>
          <w:color w:val="000000" w:themeColor="text1"/>
        </w:rPr>
        <w:t xml:space="preserve">See Section </w:t>
      </w:r>
      <w:r w:rsidRPr="004A2F62" w:rsidR="004A2F62">
        <w:rPr>
          <w:rFonts w:cstheme="minorHAnsi"/>
          <w:color w:val="000000" w:themeColor="text1"/>
        </w:rPr>
        <w:t>B.2</w:t>
      </w:r>
      <w:r w:rsidRPr="004A2F62" w:rsidR="00E42C6B">
        <w:rPr>
          <w:rFonts w:cstheme="minorHAnsi"/>
          <w:color w:val="000000" w:themeColor="text1"/>
        </w:rPr>
        <w:t xml:space="preserve"> for additional</w:t>
      </w:r>
      <w:r w:rsidR="00E42C6B">
        <w:rPr>
          <w:rFonts w:cstheme="minorHAnsi"/>
          <w:color w:val="000000" w:themeColor="text1"/>
        </w:rPr>
        <w:t xml:space="preserve"> details on recruitment procedures.)</w:t>
      </w:r>
    </w:p>
    <w:p w:rsidRPr="00C370B8" w:rsidR="006561A1" w:rsidP="00101BA6" w:rsidRDefault="008371AF" w14:paraId="536883C9" w14:textId="2AFD7D75">
      <w:pPr>
        <w:pStyle w:val="Body12ptCalibri-IPR"/>
        <w:rPr>
          <w:rFonts w:cstheme="minorHAnsi"/>
          <w:color w:val="000000" w:themeColor="text1"/>
        </w:rPr>
      </w:pPr>
      <w:r>
        <w:rPr>
          <w:rFonts w:cstheme="minorHAnsi"/>
          <w:color w:val="000000" w:themeColor="text1"/>
        </w:rPr>
        <w:t>Both</w:t>
      </w:r>
      <w:r w:rsidRPr="005636E2" w:rsidR="006561A1">
        <w:rPr>
          <w:rFonts w:cstheme="minorHAnsi"/>
          <w:color w:val="000000" w:themeColor="text1"/>
        </w:rPr>
        <w:t xml:space="preserve"> </w:t>
      </w:r>
      <w:r w:rsidR="00E42C6B">
        <w:rPr>
          <w:rFonts w:cstheme="minorHAnsi"/>
          <w:color w:val="000000" w:themeColor="text1"/>
        </w:rPr>
        <w:t xml:space="preserve">of the </w:t>
      </w:r>
      <w:r w:rsidRPr="005636E2" w:rsidR="00101BA6">
        <w:rPr>
          <w:rFonts w:cstheme="minorHAnsi"/>
          <w:color w:val="000000" w:themeColor="text1"/>
        </w:rPr>
        <w:t>online</w:t>
      </w:r>
      <w:r w:rsidRPr="005636E2" w:rsidR="006561A1">
        <w:rPr>
          <w:rFonts w:cstheme="minorHAnsi"/>
          <w:color w:val="000000" w:themeColor="text1"/>
        </w:rPr>
        <w:t xml:space="preserve"> survey</w:t>
      </w:r>
      <w:r w:rsidR="00E42C6B">
        <w:rPr>
          <w:rFonts w:cstheme="minorHAnsi"/>
          <w:color w:val="000000" w:themeColor="text1"/>
        </w:rPr>
        <w:t>s</w:t>
      </w:r>
      <w:r w:rsidRPr="005636E2" w:rsidR="006561A1">
        <w:rPr>
          <w:rFonts w:cstheme="minorHAnsi"/>
          <w:color w:val="000000" w:themeColor="text1"/>
        </w:rPr>
        <w:t xml:space="preserve"> will </w:t>
      </w:r>
      <w:r w:rsidRPr="005636E2" w:rsidR="007F26FA">
        <w:rPr>
          <w:rFonts w:cstheme="minorHAnsi"/>
          <w:color w:val="000000" w:themeColor="text1"/>
        </w:rPr>
        <w:t>include</w:t>
      </w:r>
      <w:r w:rsidRPr="005636E2" w:rsidR="008A5C99">
        <w:rPr>
          <w:rFonts w:cstheme="minorHAnsi"/>
          <w:color w:val="000000" w:themeColor="text1"/>
        </w:rPr>
        <w:t xml:space="preserve"> programmed skip patterns </w:t>
      </w:r>
      <w:r w:rsidRPr="005636E2" w:rsidR="007F26FA">
        <w:rPr>
          <w:rFonts w:cstheme="minorHAnsi"/>
          <w:color w:val="000000" w:themeColor="text1"/>
        </w:rPr>
        <w:t>so that</w:t>
      </w:r>
      <w:r w:rsidRPr="005636E2" w:rsidR="008A5C99">
        <w:rPr>
          <w:rFonts w:cstheme="minorHAnsi"/>
          <w:color w:val="000000" w:themeColor="text1"/>
        </w:rPr>
        <w:t xml:space="preserve"> respondents </w:t>
      </w:r>
      <w:r w:rsidRPr="005636E2" w:rsidR="007F26FA">
        <w:rPr>
          <w:rFonts w:cstheme="minorHAnsi"/>
          <w:color w:val="000000" w:themeColor="text1"/>
        </w:rPr>
        <w:t xml:space="preserve">are only asked </w:t>
      </w:r>
      <w:r w:rsidRPr="005636E2" w:rsidR="008A5C99">
        <w:rPr>
          <w:rFonts w:cstheme="minorHAnsi"/>
          <w:color w:val="000000" w:themeColor="text1"/>
        </w:rPr>
        <w:t xml:space="preserve">questions relevant to them and their experiences. </w:t>
      </w:r>
      <w:r w:rsidRPr="005636E2" w:rsidR="00BB17C0">
        <w:rPr>
          <w:rFonts w:cstheme="minorHAnsi"/>
          <w:color w:val="000000" w:themeColor="text1"/>
        </w:rPr>
        <w:t xml:space="preserve">In order to enhance the convenience of </w:t>
      </w:r>
      <w:r w:rsidRPr="00C370B8" w:rsidR="00BB17C0">
        <w:rPr>
          <w:rFonts w:cstheme="minorHAnsi"/>
          <w:color w:val="000000" w:themeColor="text1"/>
        </w:rPr>
        <w:t>the survey completion, t</w:t>
      </w:r>
      <w:r w:rsidRPr="00C370B8" w:rsidR="008A5C99">
        <w:rPr>
          <w:rFonts w:cstheme="minorHAnsi"/>
          <w:color w:val="000000" w:themeColor="text1"/>
        </w:rPr>
        <w:t xml:space="preserve">he survey will allow respondents to </w:t>
      </w:r>
      <w:r w:rsidRPr="00C370B8" w:rsidR="00BB17C0">
        <w:rPr>
          <w:rFonts w:cstheme="minorHAnsi"/>
          <w:color w:val="000000" w:themeColor="text1"/>
        </w:rPr>
        <w:t xml:space="preserve">skip items, pause, and continue completing </w:t>
      </w:r>
      <w:r w:rsidRPr="00C370B8" w:rsidR="008A5C99">
        <w:rPr>
          <w:rFonts w:cstheme="minorHAnsi"/>
          <w:color w:val="000000" w:themeColor="text1"/>
        </w:rPr>
        <w:t xml:space="preserve">the survey, as needed. </w:t>
      </w:r>
    </w:p>
    <w:p w:rsidRPr="00C370B8" w:rsidR="00E52E67" w:rsidP="00E52E67" w:rsidRDefault="00E52E67" w14:paraId="3567BD60" w14:textId="1972F296">
      <w:pPr>
        <w:pStyle w:val="Hdng2-IPR"/>
        <w:rPr>
          <w:color w:val="000000" w:themeColor="text1"/>
        </w:rPr>
      </w:pPr>
      <w:bookmarkStart w:name="_Toc133208873" w:id="13"/>
      <w:bookmarkStart w:name="_Toc329426276" w:id="14"/>
      <w:bookmarkStart w:name="_Toc351666578" w:id="15"/>
      <w:bookmarkStart w:name="_Toc416426563" w:id="16"/>
      <w:r w:rsidRPr="00C370B8">
        <w:rPr>
          <w:color w:val="000000" w:themeColor="text1"/>
        </w:rPr>
        <w:t>A.4.</w:t>
      </w:r>
      <w:r w:rsidRPr="00C370B8">
        <w:rPr>
          <w:color w:val="000000" w:themeColor="text1"/>
        </w:rPr>
        <w:tab/>
        <w:t xml:space="preserve">Efforts to Identify </w:t>
      </w:r>
      <w:bookmarkEnd w:id="13"/>
      <w:r w:rsidRPr="00C370B8">
        <w:rPr>
          <w:color w:val="000000" w:themeColor="text1"/>
        </w:rPr>
        <w:t>Duplication and Use of Similar Information</w:t>
      </w:r>
      <w:bookmarkEnd w:id="14"/>
      <w:bookmarkEnd w:id="15"/>
      <w:bookmarkEnd w:id="16"/>
    </w:p>
    <w:p w:rsidRPr="00C370B8" w:rsidR="00E52E67" w:rsidP="00E52E67" w:rsidRDefault="00E52E67" w14:paraId="67D8E4AA" w14:textId="77777777">
      <w:pPr>
        <w:pStyle w:val="OMBRequirementCalibri"/>
        <w:rPr>
          <w:rFonts w:cstheme="minorHAnsi"/>
          <w:color w:val="000000" w:themeColor="text1"/>
        </w:rPr>
      </w:pPr>
      <w:r w:rsidRPr="00C370B8">
        <w:rPr>
          <w:rFonts w:cstheme="minorHAnsi"/>
          <w:color w:val="000000" w:themeColor="text1"/>
        </w:rPr>
        <w:t>Describe efforts to identify duplication. Show specifically why any similar information already available cannot be used or modified for use for the purpose described in item 2 above.</w:t>
      </w:r>
    </w:p>
    <w:p w:rsidR="005636E2" w:rsidP="00E52E67" w:rsidRDefault="005636E2" w14:paraId="6B1FAE57" w14:textId="73A24B53">
      <w:pPr>
        <w:pStyle w:val="Body12ptCalibri-IPR"/>
        <w:rPr>
          <w:rFonts w:cstheme="minorHAnsi"/>
          <w:color w:val="000000" w:themeColor="text1"/>
        </w:rPr>
      </w:pPr>
      <w:r w:rsidRPr="00C370B8">
        <w:rPr>
          <w:rFonts w:cstheme="minorHAnsi"/>
          <w:color w:val="000000" w:themeColor="text1"/>
        </w:rPr>
        <w:t xml:space="preserve">To date, although there have been </w:t>
      </w:r>
      <w:r w:rsidR="008B7B4C">
        <w:rPr>
          <w:rFonts w:cstheme="minorHAnsi"/>
          <w:color w:val="000000" w:themeColor="text1"/>
        </w:rPr>
        <w:t xml:space="preserve">numerous </w:t>
      </w:r>
      <w:r w:rsidRPr="00C370B8">
        <w:rPr>
          <w:rFonts w:cstheme="minorHAnsi"/>
          <w:color w:val="000000" w:themeColor="text1"/>
        </w:rPr>
        <w:t xml:space="preserve">evaluations of individual </w:t>
      </w:r>
      <w:r w:rsidR="008B7B4C">
        <w:rPr>
          <w:rFonts w:cstheme="minorHAnsi"/>
          <w:color w:val="000000" w:themeColor="text1"/>
        </w:rPr>
        <w:t xml:space="preserve">NSF CISE </w:t>
      </w:r>
      <w:r w:rsidRPr="00C370B8">
        <w:rPr>
          <w:rFonts w:cstheme="minorHAnsi"/>
          <w:color w:val="000000" w:themeColor="text1"/>
        </w:rPr>
        <w:t>REU programs</w:t>
      </w:r>
      <w:r w:rsidR="008B7B4C">
        <w:rPr>
          <w:rFonts w:cstheme="minorHAnsi"/>
          <w:color w:val="000000" w:themeColor="text1"/>
        </w:rPr>
        <w:t xml:space="preserve"> and groups of programs operating within the same program year</w:t>
      </w:r>
      <w:r w:rsidRPr="00C370B8">
        <w:rPr>
          <w:rFonts w:cstheme="minorHAnsi"/>
          <w:color w:val="000000" w:themeColor="text1"/>
        </w:rPr>
        <w:t>, there has been no comprehensive evaluation of the</w:t>
      </w:r>
      <w:r w:rsidR="008B7B4C">
        <w:rPr>
          <w:rFonts w:cstheme="minorHAnsi"/>
          <w:color w:val="000000" w:themeColor="text1"/>
        </w:rPr>
        <w:t xml:space="preserve"> full</w:t>
      </w:r>
      <w:r w:rsidRPr="00C370B8">
        <w:rPr>
          <w:rFonts w:cstheme="minorHAnsi"/>
          <w:color w:val="000000" w:themeColor="text1"/>
        </w:rPr>
        <w:t xml:space="preserve"> NSF CISE REU program and its participants that</w:t>
      </w:r>
      <w:r w:rsidR="008B7B4C">
        <w:rPr>
          <w:rFonts w:cstheme="minorHAnsi"/>
          <w:color w:val="000000" w:themeColor="text1"/>
        </w:rPr>
        <w:t xml:space="preserve">: </w:t>
      </w:r>
      <w:r w:rsidRPr="00C370B8">
        <w:rPr>
          <w:rFonts w:cstheme="minorHAnsi"/>
          <w:color w:val="000000" w:themeColor="text1"/>
        </w:rPr>
        <w:t xml:space="preserve">(1) includes measurement of participants’ longer term outcomes, such as degrees received and career choices; </w:t>
      </w:r>
      <w:r w:rsidRPr="00C370B8" w:rsidR="00C370B8">
        <w:rPr>
          <w:rFonts w:cstheme="minorHAnsi"/>
          <w:color w:val="000000" w:themeColor="text1"/>
        </w:rPr>
        <w:t xml:space="preserve">(2) examines how </w:t>
      </w:r>
      <w:r w:rsidR="008B7B4C">
        <w:rPr>
          <w:rFonts w:cstheme="minorHAnsi"/>
          <w:color w:val="000000" w:themeColor="text1"/>
        </w:rPr>
        <w:t xml:space="preserve">NSF CISE </w:t>
      </w:r>
      <w:r w:rsidRPr="00C370B8" w:rsidR="00C370B8">
        <w:rPr>
          <w:rFonts w:cstheme="minorHAnsi"/>
          <w:color w:val="000000" w:themeColor="text1"/>
        </w:rPr>
        <w:t xml:space="preserve">REU features that vary </w:t>
      </w:r>
      <w:r w:rsidRPr="008B7B4C" w:rsidR="00C370B8">
        <w:rPr>
          <w:rFonts w:cstheme="minorHAnsi"/>
          <w:color w:val="000000" w:themeColor="text1"/>
          <w:u w:val="single"/>
        </w:rPr>
        <w:t>across</w:t>
      </w:r>
      <w:r w:rsidRPr="00C370B8" w:rsidR="00C370B8">
        <w:rPr>
          <w:rFonts w:cstheme="minorHAnsi"/>
          <w:color w:val="000000" w:themeColor="text1"/>
        </w:rPr>
        <w:t xml:space="preserve"> programs are associated with program outcomes; and (3) includes a comparison group with exposure to other non-NSF </w:t>
      </w:r>
      <w:r w:rsidR="008B7B4C">
        <w:rPr>
          <w:rFonts w:cstheme="minorHAnsi"/>
          <w:color w:val="000000" w:themeColor="text1"/>
        </w:rPr>
        <w:t xml:space="preserve">CISE </w:t>
      </w:r>
      <w:r w:rsidRPr="00C370B8" w:rsidR="00C370B8">
        <w:rPr>
          <w:rFonts w:cstheme="minorHAnsi"/>
          <w:color w:val="000000" w:themeColor="text1"/>
        </w:rPr>
        <w:t>REU experiences that allows the CISE NSF REU program to “benchmark” its outcomes against other programs and experiences.</w:t>
      </w:r>
      <w:r w:rsidR="0073118D">
        <w:rPr>
          <w:rFonts w:cstheme="minorHAnsi"/>
          <w:color w:val="000000" w:themeColor="text1"/>
        </w:rPr>
        <w:t xml:space="preserve"> Moreover, in smaller evaluations of NSF REUs, small sample sizes have meant that it has not been possible to examine whether experiences and impacts of </w:t>
      </w:r>
      <w:r w:rsidR="0073118D">
        <w:rPr>
          <w:rFonts w:cstheme="minorHAnsi"/>
          <w:color w:val="000000" w:themeColor="text1"/>
        </w:rPr>
        <w:lastRenderedPageBreak/>
        <w:t xml:space="preserve">NSF REUs are the same for different subgroups of students, such as those who have traditionally been underrepresented in computing. </w:t>
      </w:r>
    </w:p>
    <w:p w:rsidRPr="00BF5A83" w:rsidR="00BF5A83" w:rsidP="00E52E67" w:rsidRDefault="00C370B8" w14:paraId="09E1C1CD" w14:textId="6CDA0B6E">
      <w:pPr>
        <w:pStyle w:val="Body12ptCalibri-IPR"/>
        <w:rPr>
          <w:rFonts w:cstheme="minorHAnsi"/>
          <w:color w:val="000000" w:themeColor="text1"/>
        </w:rPr>
      </w:pPr>
      <w:r>
        <w:rPr>
          <w:rFonts w:cstheme="minorHAnsi"/>
          <w:color w:val="000000" w:themeColor="text1"/>
        </w:rPr>
        <w:t>The current study is the first to be able to address all of these needs</w:t>
      </w:r>
      <w:r w:rsidR="00BF5A83">
        <w:rPr>
          <w:rFonts w:cstheme="minorHAnsi"/>
          <w:color w:val="000000" w:themeColor="text1"/>
        </w:rPr>
        <w:t xml:space="preserve"> through its study design, comprehensive survey assessment, and targeted recruitment of participants that includes NSF</w:t>
      </w:r>
      <w:r w:rsidR="008B7B4C">
        <w:rPr>
          <w:rFonts w:cstheme="minorHAnsi"/>
          <w:color w:val="000000" w:themeColor="text1"/>
        </w:rPr>
        <w:t xml:space="preserve"> CISE</w:t>
      </w:r>
      <w:r w:rsidR="00BF5A83">
        <w:rPr>
          <w:rFonts w:cstheme="minorHAnsi"/>
          <w:color w:val="000000" w:themeColor="text1"/>
        </w:rPr>
        <w:t xml:space="preserve"> REU participants </w:t>
      </w:r>
      <w:r w:rsidR="00E42C6B">
        <w:rPr>
          <w:rFonts w:cstheme="minorHAnsi"/>
          <w:color w:val="000000" w:themeColor="text1"/>
        </w:rPr>
        <w:t xml:space="preserve">and mentors </w:t>
      </w:r>
      <w:r w:rsidR="00BF5A83">
        <w:rPr>
          <w:rFonts w:cstheme="minorHAnsi"/>
          <w:color w:val="000000" w:themeColor="text1"/>
        </w:rPr>
        <w:t xml:space="preserve">from a variety of sites and years, as well as comparison participants who </w:t>
      </w:r>
      <w:r w:rsidRPr="00BF5A83" w:rsidR="00BF5A83">
        <w:rPr>
          <w:rFonts w:cstheme="minorHAnsi"/>
          <w:color w:val="000000" w:themeColor="text1"/>
        </w:rPr>
        <w:t>will have had diverse alternate research experiences.</w:t>
      </w:r>
    </w:p>
    <w:p w:rsidRPr="00BF5A83" w:rsidR="00E52E67" w:rsidP="00E52E67" w:rsidRDefault="00E52E67" w14:paraId="6F683A16" w14:textId="68DF8D58">
      <w:pPr>
        <w:pStyle w:val="Hdng2-IPR"/>
        <w:rPr>
          <w:color w:val="000000" w:themeColor="text1"/>
        </w:rPr>
      </w:pPr>
      <w:bookmarkStart w:name="_Toc133208874" w:id="17"/>
      <w:bookmarkStart w:name="_Toc329426277" w:id="18"/>
      <w:bookmarkStart w:name="_Toc351666579" w:id="19"/>
      <w:bookmarkStart w:name="_Toc416426564" w:id="20"/>
      <w:r w:rsidRPr="00BF5A83">
        <w:rPr>
          <w:color w:val="000000" w:themeColor="text1"/>
        </w:rPr>
        <w:t>A.5.</w:t>
      </w:r>
      <w:r w:rsidRPr="00BF5A83">
        <w:rPr>
          <w:color w:val="000000" w:themeColor="text1"/>
        </w:rPr>
        <w:tab/>
      </w:r>
      <w:bookmarkEnd w:id="17"/>
      <w:r w:rsidRPr="00BF5A83">
        <w:rPr>
          <w:color w:val="000000" w:themeColor="text1"/>
        </w:rPr>
        <w:t>Impacts on Small Businesses or Other Small Entities</w:t>
      </w:r>
      <w:bookmarkEnd w:id="18"/>
      <w:bookmarkEnd w:id="19"/>
      <w:bookmarkEnd w:id="20"/>
    </w:p>
    <w:p w:rsidRPr="00B04E44" w:rsidR="00E52E67" w:rsidP="00E52E67" w:rsidRDefault="00E52E67" w14:paraId="0C894D57" w14:textId="77777777">
      <w:pPr>
        <w:pStyle w:val="OMBRequirementCalibri"/>
        <w:rPr>
          <w:rFonts w:cstheme="minorHAnsi"/>
          <w:color w:val="000000" w:themeColor="text1"/>
        </w:rPr>
      </w:pPr>
      <w:r w:rsidRPr="00B04E44">
        <w:rPr>
          <w:rFonts w:cstheme="minorHAnsi"/>
          <w:color w:val="000000" w:themeColor="text1"/>
        </w:rPr>
        <w:t>If the collection of information impacts small businesses or other small entities, describe any methods used to minimize burden.</w:t>
      </w:r>
    </w:p>
    <w:p w:rsidRPr="00B04E44" w:rsidR="00E52E67" w:rsidP="00E52E67" w:rsidRDefault="00BF5A83" w14:paraId="0A68B316" w14:textId="7370A10A">
      <w:pPr>
        <w:pStyle w:val="Body12ptCalibri-IPR"/>
        <w:rPr>
          <w:rFonts w:cstheme="minorHAnsi"/>
          <w:color w:val="000000" w:themeColor="text1"/>
        </w:rPr>
      </w:pPr>
      <w:r w:rsidRPr="00B04E44">
        <w:rPr>
          <w:rFonts w:cstheme="minorHAnsi"/>
          <w:color w:val="000000" w:themeColor="text1"/>
        </w:rPr>
        <w:t>The data collection involved does not impact small businesses or other small entities.</w:t>
      </w:r>
    </w:p>
    <w:p w:rsidRPr="00B04E44" w:rsidR="00E52E67" w:rsidP="00E52E67" w:rsidRDefault="00E52E67" w14:paraId="024C8D61" w14:textId="59CE4FA5">
      <w:pPr>
        <w:pStyle w:val="Hdng2-IPR"/>
        <w:rPr>
          <w:color w:val="000000" w:themeColor="text1"/>
        </w:rPr>
      </w:pPr>
      <w:bookmarkStart w:name="_Toc133208876" w:id="21"/>
      <w:bookmarkStart w:name="_Toc329426278" w:id="22"/>
      <w:bookmarkStart w:name="_Toc351666580" w:id="23"/>
      <w:bookmarkStart w:name="_Toc416426565" w:id="24"/>
      <w:r w:rsidRPr="00B04E44">
        <w:rPr>
          <w:color w:val="000000" w:themeColor="text1"/>
        </w:rPr>
        <w:t>A.6.</w:t>
      </w:r>
      <w:r w:rsidRPr="00B04E44">
        <w:rPr>
          <w:color w:val="000000" w:themeColor="text1"/>
        </w:rPr>
        <w:tab/>
      </w:r>
      <w:bookmarkEnd w:id="21"/>
      <w:r w:rsidRPr="00B04E44">
        <w:rPr>
          <w:color w:val="000000" w:themeColor="text1"/>
        </w:rPr>
        <w:t>Consequences of Collecting the Information Less Frequently</w:t>
      </w:r>
      <w:bookmarkEnd w:id="22"/>
      <w:bookmarkEnd w:id="23"/>
      <w:bookmarkEnd w:id="24"/>
    </w:p>
    <w:p w:rsidRPr="00B04E44" w:rsidR="00E52E67" w:rsidP="00E52E67" w:rsidRDefault="00E52E67" w14:paraId="4DD88260" w14:textId="77777777">
      <w:pPr>
        <w:pStyle w:val="OMBRequirementCalibri"/>
        <w:rPr>
          <w:rFonts w:cstheme="minorHAnsi"/>
          <w:color w:val="000000" w:themeColor="text1"/>
        </w:rPr>
      </w:pPr>
      <w:r w:rsidRPr="00B04E44">
        <w:rPr>
          <w:rFonts w:cstheme="minorHAnsi"/>
          <w:color w:val="000000" w:themeColor="text1"/>
        </w:rPr>
        <w:t>Describe the consequence to Federal program or policy activities if the collection is not conducted or is conducted less frequently, as well as any technical or legal obstacles to reducing burden.</w:t>
      </w:r>
    </w:p>
    <w:p w:rsidRPr="00B04E44" w:rsidR="00B04E44" w:rsidP="00E52E67" w:rsidRDefault="00BF5A83" w14:paraId="27E7B626" w14:textId="04A04928">
      <w:pPr>
        <w:pStyle w:val="Body12ptCalibri-IPR"/>
        <w:rPr>
          <w:rFonts w:cstheme="minorHAnsi"/>
          <w:color w:val="000000" w:themeColor="text1"/>
        </w:rPr>
      </w:pPr>
      <w:r w:rsidRPr="00B04E44">
        <w:rPr>
          <w:rFonts w:cstheme="minorHAnsi"/>
          <w:color w:val="000000" w:themeColor="text1"/>
        </w:rPr>
        <w:t xml:space="preserve">If the data are not collected, NSF will not have information that </w:t>
      </w:r>
      <w:r w:rsidRPr="00B04E44" w:rsidR="0073118D">
        <w:rPr>
          <w:rFonts w:cstheme="minorHAnsi"/>
          <w:color w:val="000000" w:themeColor="text1"/>
        </w:rPr>
        <w:t>may help it to: (1)</w:t>
      </w:r>
      <w:r w:rsidRPr="00B04E44">
        <w:rPr>
          <w:rFonts w:cstheme="minorHAnsi"/>
          <w:color w:val="000000" w:themeColor="text1"/>
        </w:rPr>
        <w:t xml:space="preserve"> understand how </w:t>
      </w:r>
      <w:r w:rsidR="008B7B4C">
        <w:rPr>
          <w:rFonts w:cstheme="minorHAnsi"/>
          <w:color w:val="000000" w:themeColor="text1"/>
        </w:rPr>
        <w:t xml:space="preserve">NSF CISE </w:t>
      </w:r>
      <w:r w:rsidRPr="00B04E44">
        <w:rPr>
          <w:rFonts w:cstheme="minorHAnsi"/>
          <w:color w:val="000000" w:themeColor="text1"/>
        </w:rPr>
        <w:t>REUs impact participating students</w:t>
      </w:r>
      <w:r w:rsidRPr="00B04E44" w:rsidR="0073118D">
        <w:rPr>
          <w:rFonts w:cstheme="minorHAnsi"/>
          <w:color w:val="000000" w:themeColor="text1"/>
        </w:rPr>
        <w:t xml:space="preserve">; (2) identify what features of </w:t>
      </w:r>
      <w:r w:rsidR="008B7B4C">
        <w:rPr>
          <w:rFonts w:cstheme="minorHAnsi"/>
          <w:color w:val="000000" w:themeColor="text1"/>
        </w:rPr>
        <w:t xml:space="preserve">NSF CISE </w:t>
      </w:r>
      <w:r w:rsidRPr="00B04E44" w:rsidR="0073118D">
        <w:rPr>
          <w:rFonts w:cstheme="minorHAnsi"/>
          <w:color w:val="000000" w:themeColor="text1"/>
        </w:rPr>
        <w:t xml:space="preserve">REUs are associated with better </w:t>
      </w:r>
      <w:r w:rsidR="008371AF">
        <w:rPr>
          <w:rFonts w:cstheme="minorHAnsi"/>
          <w:color w:val="000000" w:themeColor="text1"/>
        </w:rPr>
        <w:t xml:space="preserve">student </w:t>
      </w:r>
      <w:r w:rsidRPr="00B04E44" w:rsidR="0073118D">
        <w:rPr>
          <w:rFonts w:cstheme="minorHAnsi"/>
          <w:color w:val="000000" w:themeColor="text1"/>
        </w:rPr>
        <w:t xml:space="preserve">outcomes, such as skill development or retention in computing research; (3) pinpoint how the benefits of NSF </w:t>
      </w:r>
      <w:r w:rsidR="008B7B4C">
        <w:rPr>
          <w:rFonts w:cstheme="minorHAnsi"/>
          <w:color w:val="000000" w:themeColor="text1"/>
        </w:rPr>
        <w:t xml:space="preserve">CISE </w:t>
      </w:r>
      <w:r w:rsidRPr="00B04E44" w:rsidR="0073118D">
        <w:rPr>
          <w:rFonts w:cstheme="minorHAnsi"/>
          <w:color w:val="000000" w:themeColor="text1"/>
        </w:rPr>
        <w:t xml:space="preserve">REU program experiences compare to those of other non-NSF research experiences; and (4) understand whether experiences in NSF REUs are similar for students from a variety of backgrounds.  </w:t>
      </w:r>
    </w:p>
    <w:p w:rsidRPr="00B04E44" w:rsidR="00E52E67" w:rsidP="00E52E67" w:rsidRDefault="00040F43" w14:paraId="060E894D" w14:textId="1423428D">
      <w:pPr>
        <w:pStyle w:val="Body12ptCalibri-IPR"/>
        <w:rPr>
          <w:rFonts w:cstheme="minorHAnsi"/>
          <w:color w:val="000000" w:themeColor="text1"/>
        </w:rPr>
      </w:pPr>
      <w:r>
        <w:rPr>
          <w:rFonts w:cstheme="minorHAnsi"/>
          <w:color w:val="000000" w:themeColor="text1"/>
        </w:rPr>
        <w:t>T</w:t>
      </w:r>
      <w:r w:rsidRPr="00B04E44" w:rsidR="00B04E44">
        <w:rPr>
          <w:rFonts w:cstheme="minorHAnsi"/>
          <w:color w:val="000000" w:themeColor="text1"/>
        </w:rPr>
        <w:t>he survey will only be administered once</w:t>
      </w:r>
      <w:r>
        <w:rPr>
          <w:rFonts w:cstheme="minorHAnsi"/>
          <w:color w:val="000000" w:themeColor="text1"/>
        </w:rPr>
        <w:t xml:space="preserve">; thus, the question about conducting the survey </w:t>
      </w:r>
      <w:r w:rsidRPr="00B04E44" w:rsidR="00B04E44">
        <w:rPr>
          <w:rFonts w:cstheme="minorHAnsi"/>
          <w:color w:val="000000" w:themeColor="text1"/>
        </w:rPr>
        <w:t>less frequently</w:t>
      </w:r>
      <w:r>
        <w:rPr>
          <w:rFonts w:cstheme="minorHAnsi"/>
          <w:color w:val="000000" w:themeColor="text1"/>
        </w:rPr>
        <w:t xml:space="preserve"> is not applicable</w:t>
      </w:r>
      <w:r w:rsidRPr="00B04E44" w:rsidR="00B04E44">
        <w:rPr>
          <w:rFonts w:cstheme="minorHAnsi"/>
          <w:color w:val="000000" w:themeColor="text1"/>
        </w:rPr>
        <w:t xml:space="preserve">. </w:t>
      </w:r>
    </w:p>
    <w:p w:rsidRPr="00B04E44" w:rsidR="00E52E67" w:rsidP="00E52E67" w:rsidRDefault="00E52E67" w14:paraId="0BB896F9" w14:textId="4EBCE441">
      <w:pPr>
        <w:pStyle w:val="Hdng2-IPR"/>
        <w:rPr>
          <w:color w:val="000000" w:themeColor="text1"/>
        </w:rPr>
      </w:pPr>
      <w:bookmarkStart w:name="_Toc133208877" w:id="25"/>
      <w:bookmarkStart w:name="_Toc329426279" w:id="26"/>
      <w:bookmarkStart w:name="_Toc351666581" w:id="27"/>
      <w:bookmarkStart w:name="_Toc416426566" w:id="28"/>
      <w:r w:rsidRPr="00B04E44">
        <w:rPr>
          <w:color w:val="000000" w:themeColor="text1"/>
        </w:rPr>
        <w:lastRenderedPageBreak/>
        <w:t>A.7.</w:t>
      </w:r>
      <w:r w:rsidRPr="00B04E44">
        <w:rPr>
          <w:color w:val="000000" w:themeColor="text1"/>
        </w:rPr>
        <w:tab/>
      </w:r>
      <w:bookmarkEnd w:id="25"/>
      <w:r w:rsidRPr="00B04E44">
        <w:rPr>
          <w:color w:val="000000" w:themeColor="text1"/>
        </w:rPr>
        <w:t>Special Circumstances Relating to the Guideline of 5 CFR 1320.5</w:t>
      </w:r>
      <w:bookmarkEnd w:id="26"/>
      <w:bookmarkEnd w:id="27"/>
      <w:bookmarkEnd w:id="28"/>
    </w:p>
    <w:p w:rsidRPr="00B04E44" w:rsidR="00E52E67" w:rsidP="00E52E67" w:rsidRDefault="00E52E67" w14:paraId="43847F63" w14:textId="77777777">
      <w:pPr>
        <w:pStyle w:val="OMBRequirementCalibri"/>
        <w:rPr>
          <w:rFonts w:cstheme="minorHAnsi"/>
          <w:color w:val="000000" w:themeColor="text1"/>
        </w:rPr>
      </w:pPr>
      <w:r w:rsidRPr="00B04E44">
        <w:rPr>
          <w:rFonts w:cstheme="minorHAnsi"/>
          <w:color w:val="000000" w:themeColor="text1"/>
        </w:rPr>
        <w:t>Explain any special circumstances that would cause an information collection to be conducted in a manner:</w:t>
      </w:r>
    </w:p>
    <w:p w:rsidRPr="00B04E44" w:rsidR="00E52E67" w:rsidP="00E52E67" w:rsidRDefault="00E52E67" w14:paraId="4D17C3E5" w14:textId="77777777">
      <w:pPr>
        <w:pStyle w:val="Bullets12ptCalibri-IPR"/>
        <w:rPr>
          <w:b/>
          <w:color w:val="000000" w:themeColor="text1"/>
        </w:rPr>
      </w:pPr>
      <w:r w:rsidRPr="00B04E44">
        <w:rPr>
          <w:b/>
          <w:color w:val="000000" w:themeColor="text1"/>
        </w:rPr>
        <w:t>Requiring respondents to report information to the agency more often than quarterly</w:t>
      </w:r>
    </w:p>
    <w:p w:rsidRPr="00B04E44" w:rsidR="00E52E67" w:rsidP="00E52E67" w:rsidRDefault="00E52E67" w14:paraId="23C2F43F" w14:textId="77777777">
      <w:pPr>
        <w:pStyle w:val="Bullets12ptCalibri-IPR"/>
        <w:rPr>
          <w:b/>
          <w:color w:val="000000" w:themeColor="text1"/>
        </w:rPr>
      </w:pPr>
      <w:r w:rsidRPr="00B04E44">
        <w:rPr>
          <w:b/>
          <w:color w:val="000000" w:themeColor="text1"/>
        </w:rPr>
        <w:t>Requiring respondents to prepare a written response to a collection of information in fewer than 30 days after receipt of it</w:t>
      </w:r>
    </w:p>
    <w:p w:rsidRPr="00B04E44" w:rsidR="00E52E67" w:rsidP="00E52E67" w:rsidRDefault="00E52E67" w14:paraId="0920D661" w14:textId="77777777">
      <w:pPr>
        <w:pStyle w:val="Bullets12ptCalibri-IPR"/>
        <w:rPr>
          <w:b/>
          <w:color w:val="000000" w:themeColor="text1"/>
        </w:rPr>
      </w:pPr>
      <w:r w:rsidRPr="00B04E44">
        <w:rPr>
          <w:b/>
          <w:color w:val="000000" w:themeColor="text1"/>
        </w:rPr>
        <w:t>Requiring respondents to submit more than an original and two copies of any document</w:t>
      </w:r>
    </w:p>
    <w:p w:rsidRPr="00EE22CB" w:rsidR="00E52E67" w:rsidP="00E52E67" w:rsidRDefault="00E52E67" w14:paraId="4BCCF146" w14:textId="77777777">
      <w:pPr>
        <w:pStyle w:val="Bullets12ptCalibri-IPR"/>
        <w:rPr>
          <w:b/>
          <w:color w:val="000000" w:themeColor="text1"/>
        </w:rPr>
      </w:pPr>
      <w:r w:rsidRPr="00B04E44">
        <w:rPr>
          <w:b/>
          <w:color w:val="000000" w:themeColor="text1"/>
        </w:rPr>
        <w:t xml:space="preserve">Requiring respondents to retain records other than health, medical, government </w:t>
      </w:r>
      <w:r w:rsidRPr="00EE22CB">
        <w:rPr>
          <w:b/>
          <w:color w:val="000000" w:themeColor="text1"/>
        </w:rPr>
        <w:t>contract, grant-in-aid, or tax records for more than 3 years</w:t>
      </w:r>
    </w:p>
    <w:p w:rsidRPr="00EE22CB" w:rsidR="00E52E67" w:rsidP="00E52E67" w:rsidRDefault="00E52E67" w14:paraId="1050E073" w14:textId="77777777">
      <w:pPr>
        <w:pStyle w:val="Bullets12ptCalibri-IPR"/>
        <w:rPr>
          <w:b/>
          <w:color w:val="000000" w:themeColor="text1"/>
        </w:rPr>
      </w:pPr>
      <w:r w:rsidRPr="00EE22CB">
        <w:rPr>
          <w:b/>
          <w:color w:val="000000" w:themeColor="text1"/>
        </w:rPr>
        <w:t>In connection with a statistical survey that is not designed to produce valid and reliable results that can be generalized to the universe of study</w:t>
      </w:r>
    </w:p>
    <w:p w:rsidRPr="00B04E44" w:rsidR="00E52E67" w:rsidP="00E52E67" w:rsidRDefault="00E52E67" w14:paraId="09BF6356" w14:textId="77777777">
      <w:pPr>
        <w:pStyle w:val="Bullets12ptCalibri-IPR"/>
        <w:rPr>
          <w:b/>
          <w:color w:val="000000" w:themeColor="text1"/>
        </w:rPr>
      </w:pPr>
      <w:r w:rsidRPr="00B04E44">
        <w:rPr>
          <w:b/>
          <w:color w:val="000000" w:themeColor="text1"/>
        </w:rPr>
        <w:t>Requiring the use of a statistical data classification that has not been reviewed and approved by OMB</w:t>
      </w:r>
    </w:p>
    <w:p w:rsidRPr="000D10E0" w:rsidR="00E52E67" w:rsidP="00E52E67" w:rsidRDefault="00E52E67" w14:paraId="0E529FA1" w14:textId="77777777">
      <w:pPr>
        <w:pStyle w:val="Bullets12ptCalibri-IPR"/>
        <w:rPr>
          <w:b/>
          <w:color w:val="000000" w:themeColor="text1"/>
        </w:rPr>
      </w:pPr>
      <w:r w:rsidRPr="00B04E44">
        <w:rPr>
          <w:b/>
          <w:color w:val="000000" w:themeColor="text1"/>
        </w:rPr>
        <w:t xml:space="preserve">That includes a pledge of confidentiality that is not supported by authority established in statute or regulation, that is not supported by disclosure and data security policies that </w:t>
      </w:r>
      <w:r w:rsidRPr="000D10E0">
        <w:rPr>
          <w:b/>
          <w:color w:val="000000" w:themeColor="text1"/>
        </w:rPr>
        <w:t>are consistent with the pledge, or which unnecessarily impedes sharing of data with other agencies for compatible confidential use</w:t>
      </w:r>
    </w:p>
    <w:p w:rsidRPr="000D10E0" w:rsidR="00E52E67" w:rsidP="00E52E67" w:rsidRDefault="00E52E67" w14:paraId="12C29E9C" w14:textId="77777777">
      <w:pPr>
        <w:pStyle w:val="Bullets12ptCalibri-IPR"/>
        <w:rPr>
          <w:b/>
          <w:color w:val="000000" w:themeColor="text1"/>
        </w:rPr>
      </w:pPr>
      <w:r w:rsidRPr="000D10E0">
        <w:rPr>
          <w:b/>
          <w:color w:val="000000" w:themeColor="text1"/>
        </w:rPr>
        <w:t>Requiring respondents to submit proprietary trade secret or other confidential information unless the agency can demonstrate that it has instituted procedures to protect the information's confidentiality to the extent permitted by law.</w:t>
      </w:r>
    </w:p>
    <w:p w:rsidRPr="000D10E0" w:rsidR="00E52E67" w:rsidP="00E52E67" w:rsidRDefault="008B7B4C" w14:paraId="4F4B8636" w14:textId="4783A922">
      <w:pPr>
        <w:pStyle w:val="Body12ptCalibri-IPR"/>
        <w:rPr>
          <w:rFonts w:cstheme="minorHAnsi"/>
          <w:color w:val="000000" w:themeColor="text1"/>
        </w:rPr>
      </w:pPr>
      <w:r w:rsidRPr="00493DD7">
        <w:rPr>
          <w:rFonts w:cstheme="minorHAnsi"/>
          <w:color w:val="000000" w:themeColor="text1"/>
        </w:rPr>
        <w:t xml:space="preserve">Of the items noted above, there </w:t>
      </w:r>
      <w:r w:rsidRPr="00493DD7" w:rsidR="00E52E67">
        <w:rPr>
          <w:rFonts w:cstheme="minorHAnsi"/>
          <w:color w:val="000000" w:themeColor="text1"/>
        </w:rPr>
        <w:t>are no special circumstances</w:t>
      </w:r>
      <w:r w:rsidRPr="00493DD7" w:rsidR="001909B2">
        <w:rPr>
          <w:rFonts w:cstheme="minorHAnsi"/>
          <w:color w:val="000000" w:themeColor="text1"/>
        </w:rPr>
        <w:t xml:space="preserve"> for the collection</w:t>
      </w:r>
      <w:r w:rsidRPr="00493DD7" w:rsidR="000D10E0">
        <w:rPr>
          <w:rFonts w:cstheme="minorHAnsi"/>
          <w:color w:val="000000" w:themeColor="text1"/>
        </w:rPr>
        <w:t xml:space="preserve"> of data for the proposed study</w:t>
      </w:r>
      <w:r w:rsidRPr="00493DD7" w:rsidR="00E52E67">
        <w:rPr>
          <w:rFonts w:cstheme="minorHAnsi"/>
          <w:color w:val="000000" w:themeColor="text1"/>
        </w:rPr>
        <w:t xml:space="preserve">. </w:t>
      </w:r>
      <w:r w:rsidRPr="00493DD7" w:rsidR="000D10E0">
        <w:rPr>
          <w:rFonts w:cstheme="minorHAnsi"/>
          <w:color w:val="000000" w:themeColor="text1"/>
        </w:rPr>
        <w:t xml:space="preserve">Data collection </w:t>
      </w:r>
      <w:r w:rsidRPr="00493DD7" w:rsidR="00AC64B5">
        <w:rPr>
          <w:rFonts w:cstheme="minorHAnsi"/>
          <w:color w:val="000000" w:themeColor="text1"/>
        </w:rPr>
        <w:t>will be</w:t>
      </w:r>
      <w:r w:rsidRPr="00493DD7" w:rsidR="00E52E67">
        <w:rPr>
          <w:rFonts w:cstheme="minorHAnsi"/>
          <w:color w:val="000000" w:themeColor="text1"/>
        </w:rPr>
        <w:t xml:space="preserve"> conducted </w:t>
      </w:r>
      <w:r w:rsidRPr="00493DD7" w:rsidR="000D10E0">
        <w:rPr>
          <w:rFonts w:cstheme="minorHAnsi"/>
          <w:color w:val="000000" w:themeColor="text1"/>
        </w:rPr>
        <w:t>according to</w:t>
      </w:r>
      <w:r w:rsidRPr="00493DD7" w:rsidR="00E52E67">
        <w:rPr>
          <w:rFonts w:cstheme="minorHAnsi"/>
          <w:color w:val="000000" w:themeColor="text1"/>
        </w:rPr>
        <w:t xml:space="preserve"> the guidelines in 5.CFR 1320.5.</w:t>
      </w:r>
      <w:r w:rsidRPr="000D10E0" w:rsidR="00E52E67">
        <w:rPr>
          <w:rFonts w:cstheme="minorHAnsi"/>
          <w:color w:val="000000" w:themeColor="text1"/>
        </w:rPr>
        <w:t xml:space="preserve"> </w:t>
      </w:r>
    </w:p>
    <w:p w:rsidRPr="000D10E0" w:rsidR="00260E24" w:rsidP="00260E24" w:rsidRDefault="00260E24" w14:paraId="586C8DFB" w14:textId="78D1FA9D">
      <w:pPr>
        <w:pStyle w:val="Hdng2-IPR"/>
        <w:rPr>
          <w:color w:val="000000" w:themeColor="text1"/>
        </w:rPr>
      </w:pPr>
      <w:bookmarkStart w:name="_Toc133208878" w:id="29"/>
      <w:bookmarkStart w:name="_Toc329426280" w:id="30"/>
      <w:bookmarkStart w:name="_Toc351666582" w:id="31"/>
      <w:bookmarkStart w:name="_Toc416426567" w:id="32"/>
      <w:r w:rsidRPr="000D10E0">
        <w:rPr>
          <w:color w:val="000000" w:themeColor="text1"/>
        </w:rPr>
        <w:t>A.8.</w:t>
      </w:r>
      <w:r w:rsidRPr="000D10E0">
        <w:rPr>
          <w:color w:val="000000" w:themeColor="text1"/>
        </w:rPr>
        <w:tab/>
      </w:r>
      <w:bookmarkEnd w:id="29"/>
      <w:r w:rsidRPr="000D10E0">
        <w:rPr>
          <w:color w:val="000000" w:themeColor="text1"/>
        </w:rPr>
        <w:t>Comments in Response to the Federal Register Notice and Efforts to Consult Outside Agency</w:t>
      </w:r>
      <w:bookmarkEnd w:id="30"/>
      <w:bookmarkEnd w:id="31"/>
      <w:bookmarkEnd w:id="32"/>
    </w:p>
    <w:p w:rsidRPr="000D10E0" w:rsidR="00260E24" w:rsidP="00260E24" w:rsidRDefault="00260E24" w14:paraId="578FCD9E" w14:textId="77777777">
      <w:pPr>
        <w:pStyle w:val="OMBRequirementCalibri"/>
        <w:rPr>
          <w:rFonts w:cstheme="minorHAnsi"/>
          <w:color w:val="000000" w:themeColor="text1"/>
        </w:rPr>
      </w:pPr>
      <w:r w:rsidRPr="000D10E0">
        <w:rPr>
          <w:rFonts w:cstheme="minorHAnsi"/>
          <w:color w:val="000000" w:themeColor="text1"/>
        </w:rPr>
        <w:t>If applicable, provide a copy and identify the date and page number of publications in the Federal Register of the agency’s notice, soliciting comments on the information collection prior to submission to OMB. Summarize public comments received in response to that notice and describe actions taken by the agency in response to these comments.</w:t>
      </w:r>
    </w:p>
    <w:p w:rsidRPr="000D10E0" w:rsidR="00260E24" w:rsidP="00260E24" w:rsidRDefault="00260E24" w14:paraId="42D014C5" w14:textId="77777777">
      <w:pPr>
        <w:pStyle w:val="OMBRequirementCalibri"/>
        <w:rPr>
          <w:rFonts w:cstheme="minorHAnsi"/>
          <w:color w:val="000000" w:themeColor="text1"/>
        </w:rPr>
      </w:pPr>
      <w:r w:rsidRPr="000D10E0">
        <w:rPr>
          <w:rFonts w:cstheme="minorHAnsi"/>
          <w:color w:val="000000" w:themeColor="text1"/>
        </w:rPr>
        <w:lastRenderedPageBreak/>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Pr="000D10E0" w:rsidR="00260E24" w:rsidP="00260E24" w:rsidRDefault="00260E24" w14:paraId="43B99266" w14:textId="77777777">
      <w:pPr>
        <w:pStyle w:val="OMBRequirementCalibri"/>
        <w:numPr>
          <w:ilvl w:val="0"/>
          <w:numId w:val="3"/>
        </w:numPr>
        <w:rPr>
          <w:rFonts w:cstheme="minorHAnsi"/>
          <w:color w:val="000000" w:themeColor="text1"/>
        </w:rPr>
      </w:pPr>
      <w:r w:rsidRPr="000D10E0">
        <w:rPr>
          <w:rFonts w:cstheme="minorHAnsi"/>
          <w:color w:val="000000" w:themeColor="text1"/>
        </w:rPr>
        <w:t>Federal Register Notice and Comments</w:t>
      </w:r>
    </w:p>
    <w:p w:rsidRPr="00DC582F" w:rsidR="00260E24" w:rsidP="00260E24" w:rsidRDefault="00BE1735" w14:paraId="41321BCF" w14:textId="2450A50B">
      <w:pPr>
        <w:pStyle w:val="Body12ptCalibri-IPR"/>
        <w:rPr>
          <w:rFonts w:cstheme="minorHAnsi"/>
          <w:color w:val="000000" w:themeColor="text1"/>
        </w:rPr>
      </w:pPr>
      <w:r w:rsidRPr="000D10E0">
        <w:rPr>
          <w:rFonts w:cstheme="minorHAnsi"/>
          <w:color w:val="000000" w:themeColor="text1"/>
        </w:rPr>
        <w:t xml:space="preserve">In accordance with the Paperwork Reduction Act of 1995, the public was given an opportunity to review and comment through the 60-day Federal Register Notice, published </w:t>
      </w:r>
      <w:r w:rsidRPr="000D10E0" w:rsidR="00260E24">
        <w:rPr>
          <w:rFonts w:cstheme="minorHAnsi"/>
          <w:color w:val="000000" w:themeColor="text1"/>
        </w:rPr>
        <w:t xml:space="preserve">on </w:t>
      </w:r>
      <w:r w:rsidRPr="00DC582F" w:rsidR="000D10E0">
        <w:rPr>
          <w:rFonts w:cstheme="minorHAnsi"/>
          <w:color w:val="000000" w:themeColor="text1"/>
        </w:rPr>
        <w:t>April 12</w:t>
      </w:r>
      <w:r w:rsidRPr="00DC582F" w:rsidR="00260E24">
        <w:rPr>
          <w:rFonts w:cstheme="minorHAnsi"/>
          <w:color w:val="000000" w:themeColor="text1"/>
        </w:rPr>
        <w:t>, 202</w:t>
      </w:r>
      <w:r w:rsidRPr="00DC582F" w:rsidR="000D10E0">
        <w:rPr>
          <w:rFonts w:cstheme="minorHAnsi"/>
          <w:color w:val="000000" w:themeColor="text1"/>
        </w:rPr>
        <w:t>1</w:t>
      </w:r>
      <w:r w:rsidRPr="00DC582F" w:rsidR="00260E24">
        <w:rPr>
          <w:rFonts w:cstheme="minorHAnsi"/>
          <w:color w:val="000000" w:themeColor="text1"/>
        </w:rPr>
        <w:t xml:space="preserve"> (Vol. </w:t>
      </w:r>
      <w:r w:rsidRPr="00DC582F" w:rsidR="000D10E0">
        <w:rPr>
          <w:rFonts w:cstheme="minorHAnsi"/>
          <w:color w:val="000000" w:themeColor="text1"/>
        </w:rPr>
        <w:t>86</w:t>
      </w:r>
      <w:r w:rsidRPr="00DC582F" w:rsidR="00260E24">
        <w:rPr>
          <w:rFonts w:cstheme="minorHAnsi"/>
          <w:color w:val="000000" w:themeColor="text1"/>
        </w:rPr>
        <w:t xml:space="preserve">, No. </w:t>
      </w:r>
      <w:r w:rsidRPr="00DC582F" w:rsidR="000D10E0">
        <w:rPr>
          <w:rFonts w:cstheme="minorHAnsi"/>
          <w:color w:val="000000" w:themeColor="text1"/>
        </w:rPr>
        <w:t>68</w:t>
      </w:r>
      <w:r w:rsidRPr="00DC582F" w:rsidR="00260E24">
        <w:rPr>
          <w:rFonts w:cstheme="minorHAnsi"/>
          <w:color w:val="000000" w:themeColor="text1"/>
        </w:rPr>
        <w:t xml:space="preserve">, page </w:t>
      </w:r>
      <w:r w:rsidRPr="00DC582F" w:rsidR="000D10E0">
        <w:rPr>
          <w:rFonts w:cstheme="minorHAnsi"/>
          <w:color w:val="000000" w:themeColor="text1"/>
        </w:rPr>
        <w:t>19031</w:t>
      </w:r>
      <w:r w:rsidRPr="00DC582F" w:rsidR="00260E24">
        <w:rPr>
          <w:rFonts w:cstheme="minorHAnsi"/>
          <w:color w:val="000000" w:themeColor="text1"/>
        </w:rPr>
        <w:t xml:space="preserve">). </w:t>
      </w:r>
      <w:r w:rsidRPr="00DC582F" w:rsidR="004919EE">
        <w:rPr>
          <w:rFonts w:cstheme="minorHAnsi"/>
          <w:color w:val="000000" w:themeColor="text1"/>
        </w:rPr>
        <w:t xml:space="preserve">No public comments were received. </w:t>
      </w:r>
    </w:p>
    <w:p w:rsidRPr="00DC582F" w:rsidR="00260E24" w:rsidP="00260E24" w:rsidRDefault="00260E24" w14:paraId="3A61BC5A" w14:textId="77777777">
      <w:pPr>
        <w:pStyle w:val="OMBRequirementCalibri"/>
        <w:numPr>
          <w:ilvl w:val="0"/>
          <w:numId w:val="3"/>
        </w:numPr>
        <w:rPr>
          <w:rFonts w:cstheme="minorHAnsi"/>
          <w:color w:val="000000" w:themeColor="text1"/>
        </w:rPr>
      </w:pPr>
      <w:r w:rsidRPr="00DC582F">
        <w:rPr>
          <w:rFonts w:cstheme="minorHAnsi"/>
          <w:color w:val="000000" w:themeColor="text1"/>
        </w:rPr>
        <w:t>Consultations Outside of the Agency</w:t>
      </w:r>
    </w:p>
    <w:p w:rsidRPr="008B7B4C" w:rsidR="00260E24" w:rsidP="00260E24" w:rsidRDefault="00B74A1D" w14:paraId="52838E9A" w14:textId="2B86E13C">
      <w:pPr>
        <w:pStyle w:val="Body12ptCalibri-IPR"/>
        <w:rPr>
          <w:rFonts w:cstheme="minorHAnsi"/>
          <w:color w:val="000000" w:themeColor="text1"/>
        </w:rPr>
      </w:pPr>
      <w:r>
        <w:rPr>
          <w:rFonts w:cstheme="minorHAnsi"/>
          <w:color w:val="000000" w:themeColor="text1"/>
        </w:rPr>
        <w:t>There will be no consultations outside of the Agency. Acting on behalf of</w:t>
      </w:r>
      <w:r w:rsidRPr="00DC582F" w:rsidR="00DC582F">
        <w:rPr>
          <w:rFonts w:cstheme="minorHAnsi"/>
          <w:color w:val="000000" w:themeColor="text1"/>
        </w:rPr>
        <w:t xml:space="preserve"> NSF</w:t>
      </w:r>
      <w:r>
        <w:rPr>
          <w:rFonts w:cstheme="minorHAnsi"/>
          <w:color w:val="000000" w:themeColor="text1"/>
        </w:rPr>
        <w:t xml:space="preserve"> as Agency contractors</w:t>
      </w:r>
      <w:r w:rsidRPr="00DC582F" w:rsidR="00DC582F">
        <w:rPr>
          <w:rFonts w:cstheme="minorHAnsi"/>
          <w:color w:val="000000" w:themeColor="text1"/>
        </w:rPr>
        <w:t xml:space="preserve">, </w:t>
      </w:r>
      <w:r w:rsidRPr="00DC582F">
        <w:rPr>
          <w:rFonts w:cstheme="minorHAnsi"/>
          <w:color w:val="000000" w:themeColor="text1"/>
        </w:rPr>
        <w:t>the Computing Research Association’s Center for Evaluating the Research Pipeline (CERP)</w:t>
      </w:r>
      <w:r w:rsidRPr="00DC582F" w:rsidR="00DC582F">
        <w:rPr>
          <w:rFonts w:cstheme="minorHAnsi"/>
          <w:color w:val="000000" w:themeColor="text1"/>
        </w:rPr>
        <w:t xml:space="preserve"> is designing, administering, and analyzing data from the</w:t>
      </w:r>
      <w:r w:rsidR="008371AF">
        <w:rPr>
          <w:rFonts w:cstheme="minorHAnsi"/>
          <w:color w:val="000000" w:themeColor="text1"/>
        </w:rPr>
        <w:t xml:space="preserve"> two</w:t>
      </w:r>
      <w:r w:rsidRPr="00DC582F" w:rsidR="00DC582F">
        <w:rPr>
          <w:rFonts w:cstheme="minorHAnsi"/>
          <w:color w:val="000000" w:themeColor="text1"/>
        </w:rPr>
        <w:t xml:space="preserve"> survey</w:t>
      </w:r>
      <w:r w:rsidR="008371AF">
        <w:rPr>
          <w:rFonts w:cstheme="minorHAnsi"/>
          <w:color w:val="000000" w:themeColor="text1"/>
        </w:rPr>
        <w:t>s</w:t>
      </w:r>
      <w:r w:rsidRPr="00DC582F" w:rsidR="00DC582F">
        <w:rPr>
          <w:rFonts w:cstheme="minorHAnsi"/>
          <w:color w:val="000000" w:themeColor="text1"/>
        </w:rPr>
        <w:t>. CER</w:t>
      </w:r>
      <w:r w:rsidR="008371AF">
        <w:rPr>
          <w:rFonts w:cstheme="minorHAnsi"/>
          <w:color w:val="000000" w:themeColor="text1"/>
        </w:rPr>
        <w:t>P</w:t>
      </w:r>
      <w:r w:rsidRPr="00DC582F" w:rsidR="00DC582F">
        <w:rPr>
          <w:rFonts w:cstheme="minorHAnsi"/>
          <w:color w:val="000000" w:themeColor="text1"/>
        </w:rPr>
        <w:t xml:space="preserve"> will also be identifying an appropriate list of comparison participants from a previous </w:t>
      </w:r>
      <w:r w:rsidR="008B7B4C">
        <w:rPr>
          <w:rFonts w:cstheme="minorHAnsi"/>
          <w:color w:val="000000" w:themeColor="text1"/>
        </w:rPr>
        <w:t xml:space="preserve">CERP </w:t>
      </w:r>
      <w:r w:rsidRPr="00DC582F" w:rsidR="00DC582F">
        <w:rPr>
          <w:rFonts w:cstheme="minorHAnsi"/>
          <w:color w:val="000000" w:themeColor="text1"/>
        </w:rPr>
        <w:t xml:space="preserve">survey administration to be included in the data </w:t>
      </w:r>
      <w:r w:rsidRPr="008B7B4C" w:rsidR="00DC582F">
        <w:rPr>
          <w:rFonts w:cstheme="minorHAnsi"/>
          <w:color w:val="000000" w:themeColor="text1"/>
        </w:rPr>
        <w:t>collection</w:t>
      </w:r>
      <w:r w:rsidRPr="008B7B4C" w:rsidR="008B7B4C">
        <w:rPr>
          <w:rFonts w:cstheme="minorHAnsi"/>
          <w:color w:val="000000" w:themeColor="text1"/>
        </w:rPr>
        <w:t xml:space="preserve"> for the REU Past Participants Survey</w:t>
      </w:r>
      <w:r w:rsidRPr="008B7B4C" w:rsidR="00DC582F">
        <w:rPr>
          <w:rFonts w:cstheme="minorHAnsi"/>
          <w:color w:val="000000" w:themeColor="text1"/>
        </w:rPr>
        <w:t xml:space="preserve">.   </w:t>
      </w:r>
    </w:p>
    <w:p w:rsidRPr="008B7B4C" w:rsidR="00260E24" w:rsidP="00260E24" w:rsidRDefault="00260E24" w14:paraId="7616920B" w14:textId="5D7D7A74">
      <w:pPr>
        <w:pStyle w:val="Hdng2-IPR"/>
        <w:rPr>
          <w:color w:val="000000" w:themeColor="text1"/>
        </w:rPr>
      </w:pPr>
      <w:bookmarkStart w:name="_Toc133208880" w:id="33"/>
      <w:bookmarkStart w:name="_Toc329426281" w:id="34"/>
      <w:bookmarkStart w:name="_Toc351666583" w:id="35"/>
      <w:bookmarkStart w:name="_Toc416426568" w:id="36"/>
      <w:r w:rsidRPr="008B7B4C">
        <w:rPr>
          <w:color w:val="000000" w:themeColor="text1"/>
        </w:rPr>
        <w:t>A.9.</w:t>
      </w:r>
      <w:r w:rsidRPr="008B7B4C">
        <w:rPr>
          <w:color w:val="000000" w:themeColor="text1"/>
        </w:rPr>
        <w:tab/>
      </w:r>
      <w:bookmarkEnd w:id="33"/>
      <w:r w:rsidRPr="008B7B4C">
        <w:rPr>
          <w:color w:val="000000" w:themeColor="text1"/>
        </w:rPr>
        <w:t>Explanation of Any Payment or Gift to Respondents</w:t>
      </w:r>
      <w:bookmarkEnd w:id="34"/>
      <w:bookmarkEnd w:id="35"/>
      <w:bookmarkEnd w:id="36"/>
    </w:p>
    <w:p w:rsidRPr="008B7B4C" w:rsidR="00260E24" w:rsidP="00260E24" w:rsidRDefault="00260E24" w14:paraId="5AED961F" w14:textId="77777777">
      <w:pPr>
        <w:pStyle w:val="OMBRequirementCalibri"/>
        <w:rPr>
          <w:rFonts w:cstheme="minorHAnsi"/>
          <w:color w:val="000000" w:themeColor="text1"/>
        </w:rPr>
      </w:pPr>
      <w:r w:rsidRPr="008B7B4C">
        <w:rPr>
          <w:rFonts w:cstheme="minorHAnsi"/>
          <w:color w:val="000000" w:themeColor="text1"/>
        </w:rPr>
        <w:t>Explain any decision to provide any payment or gift to respondents, other than remuneration of contractors or grantees.</w:t>
      </w:r>
    </w:p>
    <w:p w:rsidRPr="008B7B4C" w:rsidR="00260E24" w:rsidP="00260E24" w:rsidRDefault="008B7B4C" w14:paraId="67A51347" w14:textId="7FCB3CB9">
      <w:pPr>
        <w:pStyle w:val="Body12ptCalibri-IPR"/>
        <w:rPr>
          <w:rFonts w:cstheme="minorHAnsi"/>
          <w:color w:val="000000" w:themeColor="text1"/>
        </w:rPr>
      </w:pPr>
      <w:r w:rsidRPr="008B7B4C">
        <w:rPr>
          <w:rFonts w:cstheme="minorHAnsi"/>
          <w:color w:val="000000" w:themeColor="text1"/>
        </w:rPr>
        <w:t xml:space="preserve">To enhance survey response rates, all survey respondents will </w:t>
      </w:r>
      <w:r>
        <w:rPr>
          <w:rFonts w:cstheme="minorHAnsi"/>
          <w:color w:val="000000" w:themeColor="text1"/>
        </w:rPr>
        <w:t>be offered</w:t>
      </w:r>
      <w:r w:rsidRPr="008B7B4C">
        <w:rPr>
          <w:rFonts w:cstheme="minorHAnsi"/>
          <w:color w:val="000000" w:themeColor="text1"/>
        </w:rPr>
        <w:t xml:space="preserve"> the opportunity to enter into a raffle to win one of 200 $10 electronic gift cards.</w:t>
      </w:r>
      <w:r w:rsidRPr="008B7B4C" w:rsidR="00260E24">
        <w:rPr>
          <w:rFonts w:cstheme="minorHAnsi"/>
          <w:color w:val="000000" w:themeColor="text1"/>
        </w:rPr>
        <w:t xml:space="preserve"> </w:t>
      </w:r>
    </w:p>
    <w:p w:rsidRPr="00C020F7" w:rsidR="00260E24" w:rsidP="00260E24" w:rsidRDefault="00260E24" w14:paraId="42E179D6" w14:textId="1B35B37B">
      <w:pPr>
        <w:pStyle w:val="Hdng2-IPR"/>
        <w:rPr>
          <w:color w:val="000000" w:themeColor="text1"/>
        </w:rPr>
      </w:pPr>
      <w:bookmarkStart w:name="_Toc133208881" w:id="37"/>
      <w:bookmarkStart w:name="_Toc329426282" w:id="38"/>
      <w:bookmarkStart w:name="_Toc351666584" w:id="39"/>
      <w:bookmarkStart w:name="_Toc416426569" w:id="40"/>
      <w:r w:rsidRPr="00C020F7">
        <w:rPr>
          <w:color w:val="000000" w:themeColor="text1"/>
        </w:rPr>
        <w:t>A.10.</w:t>
      </w:r>
      <w:r w:rsidRPr="00C020F7">
        <w:rPr>
          <w:color w:val="000000" w:themeColor="text1"/>
        </w:rPr>
        <w:tab/>
        <w:t>Assurance of Confidentiality</w:t>
      </w:r>
      <w:bookmarkEnd w:id="37"/>
      <w:r w:rsidRPr="00C020F7">
        <w:rPr>
          <w:color w:val="000000" w:themeColor="text1"/>
        </w:rPr>
        <w:t xml:space="preserve"> Provided to Respondents</w:t>
      </w:r>
      <w:bookmarkEnd w:id="38"/>
      <w:bookmarkEnd w:id="39"/>
      <w:bookmarkEnd w:id="40"/>
    </w:p>
    <w:p w:rsidRPr="00C020F7" w:rsidR="00260E24" w:rsidP="00260E24" w:rsidRDefault="00260E24" w14:paraId="5F0BE7EC" w14:textId="77777777">
      <w:pPr>
        <w:pStyle w:val="OMBRequirementCalibri"/>
        <w:rPr>
          <w:rFonts w:cstheme="minorHAnsi"/>
          <w:color w:val="000000" w:themeColor="text1"/>
        </w:rPr>
      </w:pPr>
      <w:r w:rsidRPr="00C020F7">
        <w:rPr>
          <w:rFonts w:cstheme="minorHAnsi"/>
          <w:color w:val="000000" w:themeColor="text1"/>
        </w:rPr>
        <w:t>Describe any assurance of confidentiality provided to respondents and the basis for the assurance in statute, regulation, or agency policy.</w:t>
      </w:r>
    </w:p>
    <w:p w:rsidR="001C07C4" w:rsidP="001C07C4" w:rsidRDefault="001C07C4" w14:paraId="39A545A8" w14:textId="222B10D6">
      <w:pPr>
        <w:pStyle w:val="Body12ptCalibri-IPR"/>
        <w:rPr>
          <w:rFonts w:cstheme="minorHAnsi"/>
          <w:color w:val="000000" w:themeColor="text1"/>
        </w:rPr>
      </w:pPr>
      <w:r>
        <w:rPr>
          <w:rFonts w:cstheme="minorHAnsi"/>
          <w:color w:val="000000" w:themeColor="text1"/>
        </w:rPr>
        <w:t>Before agreeing to participate, all r</w:t>
      </w:r>
      <w:r w:rsidRPr="00737C19">
        <w:rPr>
          <w:rFonts w:cstheme="minorHAnsi"/>
          <w:color w:val="000000" w:themeColor="text1"/>
        </w:rPr>
        <w:t xml:space="preserve">espondents will </w:t>
      </w:r>
      <w:r>
        <w:rPr>
          <w:rFonts w:cstheme="minorHAnsi"/>
          <w:color w:val="000000" w:themeColor="text1"/>
        </w:rPr>
        <w:t>have an opportunity to review the purpose, procedures, and confidentiality measures that will be implemented in the study</w:t>
      </w:r>
      <w:r w:rsidR="00B74A1D">
        <w:rPr>
          <w:rFonts w:cstheme="minorHAnsi"/>
          <w:color w:val="000000" w:themeColor="text1"/>
        </w:rPr>
        <w:t xml:space="preserve"> via an IRB-approved consent form and process</w:t>
      </w:r>
      <w:r>
        <w:rPr>
          <w:rFonts w:cstheme="minorHAnsi"/>
          <w:color w:val="000000" w:themeColor="text1"/>
        </w:rPr>
        <w:t xml:space="preserve">. </w:t>
      </w:r>
      <w:r w:rsidR="00B74A1D">
        <w:rPr>
          <w:rFonts w:cstheme="minorHAnsi"/>
          <w:color w:val="000000" w:themeColor="text1"/>
        </w:rPr>
        <w:t xml:space="preserve">Respondents </w:t>
      </w:r>
      <w:r w:rsidR="00E42C6B">
        <w:rPr>
          <w:rFonts w:cstheme="minorHAnsi"/>
          <w:color w:val="000000" w:themeColor="text1"/>
        </w:rPr>
        <w:t xml:space="preserve">will be given information about CERP, its </w:t>
      </w:r>
      <w:r w:rsidR="00E42C6B">
        <w:rPr>
          <w:rFonts w:cstheme="minorHAnsi"/>
          <w:color w:val="000000" w:themeColor="text1"/>
        </w:rPr>
        <w:lastRenderedPageBreak/>
        <w:t xml:space="preserve">contact information, and its role in conducting the survey on behalf of NSF. </w:t>
      </w:r>
      <w:r>
        <w:rPr>
          <w:rFonts w:cstheme="minorHAnsi"/>
          <w:color w:val="000000" w:themeColor="text1"/>
        </w:rPr>
        <w:t xml:space="preserve">In the consent process, potential respondents will </w:t>
      </w:r>
      <w:r w:rsidRPr="00737C19">
        <w:rPr>
          <w:rFonts w:cstheme="minorHAnsi"/>
          <w:color w:val="000000" w:themeColor="text1"/>
        </w:rPr>
        <w:t xml:space="preserve">be informed </w:t>
      </w:r>
      <w:r>
        <w:rPr>
          <w:rFonts w:cstheme="minorHAnsi"/>
          <w:color w:val="000000" w:themeColor="text1"/>
        </w:rPr>
        <w:t>of the following:</w:t>
      </w:r>
    </w:p>
    <w:p w:rsidR="001C07C4" w:rsidP="001C07C4" w:rsidRDefault="001C07C4" w14:paraId="146E09B6" w14:textId="79119BC2">
      <w:pPr>
        <w:pStyle w:val="Body12ptCalibri-IPR"/>
        <w:numPr>
          <w:ilvl w:val="0"/>
          <w:numId w:val="7"/>
        </w:numPr>
        <w:rPr>
          <w:rFonts w:cstheme="minorHAnsi"/>
          <w:color w:val="000000" w:themeColor="text1"/>
        </w:rPr>
      </w:pPr>
      <w:r>
        <w:rPr>
          <w:rFonts w:cstheme="minorHAnsi"/>
          <w:color w:val="000000" w:themeColor="text1"/>
        </w:rPr>
        <w:t>T</w:t>
      </w:r>
      <w:r w:rsidRPr="00737C19">
        <w:rPr>
          <w:rFonts w:cstheme="minorHAnsi"/>
          <w:color w:val="000000" w:themeColor="text1"/>
        </w:rPr>
        <w:t xml:space="preserve">hat their responses will be kept confidential. </w:t>
      </w:r>
    </w:p>
    <w:p w:rsidR="00B74A1D" w:rsidP="001C07C4" w:rsidRDefault="00B74A1D" w14:paraId="33915458" w14:textId="04BDED6D">
      <w:pPr>
        <w:pStyle w:val="Body12ptCalibri-IPR"/>
        <w:numPr>
          <w:ilvl w:val="0"/>
          <w:numId w:val="7"/>
        </w:numPr>
        <w:rPr>
          <w:rFonts w:cstheme="minorHAnsi"/>
          <w:color w:val="000000" w:themeColor="text1"/>
        </w:rPr>
      </w:pPr>
      <w:r>
        <w:rPr>
          <w:rFonts w:cstheme="minorHAnsi"/>
          <w:color w:val="000000" w:themeColor="text1"/>
        </w:rPr>
        <w:t>That they can stop participating at any time.</w:t>
      </w:r>
    </w:p>
    <w:p w:rsidR="001C07C4" w:rsidP="001C07C4" w:rsidRDefault="001C07C4" w14:paraId="5C775020" w14:textId="77777777">
      <w:pPr>
        <w:pStyle w:val="Body12ptCalibri-IPR"/>
        <w:numPr>
          <w:ilvl w:val="0"/>
          <w:numId w:val="7"/>
        </w:numPr>
        <w:rPr>
          <w:rFonts w:cstheme="minorHAnsi"/>
          <w:color w:val="000000" w:themeColor="text1"/>
        </w:rPr>
      </w:pPr>
      <w:r w:rsidRPr="00737C19">
        <w:rPr>
          <w:rFonts w:cstheme="minorHAnsi"/>
          <w:color w:val="000000" w:themeColor="text1"/>
        </w:rPr>
        <w:t xml:space="preserve">All reports generated from the study will not identify individual respondents. </w:t>
      </w:r>
    </w:p>
    <w:p w:rsidR="001C07C4" w:rsidP="001C07C4" w:rsidRDefault="001C07C4" w14:paraId="6849C0A0" w14:textId="054A2ED1">
      <w:pPr>
        <w:pStyle w:val="Body12ptCalibri-IPR"/>
        <w:numPr>
          <w:ilvl w:val="0"/>
          <w:numId w:val="7"/>
        </w:numPr>
        <w:rPr>
          <w:rFonts w:cstheme="minorHAnsi"/>
          <w:color w:val="000000" w:themeColor="text1"/>
        </w:rPr>
      </w:pPr>
      <w:r w:rsidRPr="001C07C4">
        <w:rPr>
          <w:rFonts w:cstheme="minorHAnsi"/>
          <w:color w:val="000000" w:themeColor="text1"/>
        </w:rPr>
        <w:t xml:space="preserve">The data collected will include email addresses; however, this information will be removed from survey responses at the completion of data collection, and CERP will create a unique, anonymous identifier for their </w:t>
      </w:r>
      <w:r>
        <w:rPr>
          <w:rFonts w:cstheme="minorHAnsi"/>
          <w:color w:val="000000" w:themeColor="text1"/>
        </w:rPr>
        <w:t>survey record</w:t>
      </w:r>
      <w:r w:rsidR="008B7B4C">
        <w:rPr>
          <w:rFonts w:cstheme="minorHAnsi"/>
          <w:color w:val="000000" w:themeColor="text1"/>
        </w:rPr>
        <w:t>s</w:t>
      </w:r>
      <w:r>
        <w:rPr>
          <w:rFonts w:cstheme="minorHAnsi"/>
          <w:color w:val="000000" w:themeColor="text1"/>
        </w:rPr>
        <w:t>.</w:t>
      </w:r>
    </w:p>
    <w:p w:rsidR="00B74A1D" w:rsidP="001C07C4" w:rsidRDefault="00B74A1D" w14:paraId="09F2AE98" w14:textId="2C8F58DC">
      <w:pPr>
        <w:pStyle w:val="Body12ptCalibri-IPR"/>
        <w:numPr>
          <w:ilvl w:val="0"/>
          <w:numId w:val="7"/>
        </w:numPr>
        <w:rPr>
          <w:rFonts w:cstheme="minorHAnsi"/>
          <w:color w:val="000000" w:themeColor="text1"/>
        </w:rPr>
      </w:pPr>
      <w:r>
        <w:rPr>
          <w:rFonts w:cstheme="minorHAnsi"/>
          <w:color w:val="000000" w:themeColor="text1"/>
        </w:rPr>
        <w:t>Respondents can request that any data collected as part of their participation be removed completely from CERP records.</w:t>
      </w:r>
    </w:p>
    <w:p w:rsidRPr="001C07C4" w:rsidR="001C07C4" w:rsidP="001C07C4" w:rsidRDefault="001C07C4" w14:paraId="706FB4A1" w14:textId="77777777">
      <w:pPr>
        <w:pStyle w:val="Body12ptCalibri-IPR"/>
        <w:numPr>
          <w:ilvl w:val="0"/>
          <w:numId w:val="7"/>
        </w:numPr>
        <w:rPr>
          <w:rFonts w:cstheme="minorHAnsi"/>
          <w:color w:val="000000" w:themeColor="text1"/>
        </w:rPr>
      </w:pPr>
      <w:r>
        <w:rPr>
          <w:rFonts w:cstheme="minorHAnsi"/>
          <w:color w:val="000000" w:themeColor="text1"/>
        </w:rPr>
        <w:t>The unique identifier will be s</w:t>
      </w:r>
      <w:r w:rsidRPr="001C07C4">
        <w:rPr>
          <w:rFonts w:cstheme="minorHAnsi"/>
          <w:color w:val="000000" w:themeColor="text1"/>
        </w:rPr>
        <w:t xml:space="preserve">tored with their identifying information, </w:t>
      </w:r>
      <w:r>
        <w:rPr>
          <w:rFonts w:cstheme="minorHAnsi"/>
          <w:color w:val="000000" w:themeColor="text1"/>
        </w:rPr>
        <w:t>separately from the rest of their data, using CERP’s encrypted cloud storage servers.</w:t>
      </w:r>
    </w:p>
    <w:p w:rsidR="001C07C4" w:rsidP="001C07C4" w:rsidRDefault="001C07C4" w14:paraId="08718405" w14:textId="77777777">
      <w:pPr>
        <w:pStyle w:val="Body12ptCalibri-IPR"/>
        <w:numPr>
          <w:ilvl w:val="0"/>
          <w:numId w:val="7"/>
        </w:numPr>
        <w:rPr>
          <w:rFonts w:cstheme="minorHAnsi"/>
          <w:color w:val="000000" w:themeColor="text1"/>
        </w:rPr>
      </w:pPr>
      <w:r>
        <w:rPr>
          <w:rFonts w:cstheme="minorHAnsi"/>
          <w:color w:val="000000" w:themeColor="text1"/>
        </w:rPr>
        <w:t xml:space="preserve">Access to the data in the encrypted cloud storage is limited to the senior research team. </w:t>
      </w:r>
    </w:p>
    <w:p w:rsidR="001C07C4" w:rsidP="001C07C4" w:rsidRDefault="001C07C4" w14:paraId="73BF91F4" w14:textId="4D7610BD">
      <w:pPr>
        <w:pStyle w:val="Body12ptCalibri-IPR"/>
        <w:rPr>
          <w:rFonts w:cstheme="minorHAnsi"/>
          <w:color w:val="000000" w:themeColor="text1"/>
        </w:rPr>
      </w:pPr>
      <w:r>
        <w:rPr>
          <w:rFonts w:cstheme="minorHAnsi"/>
          <w:color w:val="000000" w:themeColor="text1"/>
        </w:rPr>
        <w:t xml:space="preserve"> </w:t>
      </w:r>
      <w:r w:rsidR="00EE22CB">
        <w:rPr>
          <w:rFonts w:cstheme="minorHAnsi"/>
          <w:color w:val="000000" w:themeColor="text1"/>
        </w:rPr>
        <w:t>T</w:t>
      </w:r>
      <w:r w:rsidRPr="00737C19">
        <w:rPr>
          <w:rFonts w:cstheme="minorHAnsi"/>
          <w:color w:val="000000" w:themeColor="text1"/>
        </w:rPr>
        <w:t xml:space="preserve">he survey will be administered online using the Qualtrics platform, which describes its security credentials as </w:t>
      </w:r>
      <w:r>
        <w:rPr>
          <w:rFonts w:cstheme="minorHAnsi"/>
          <w:color w:val="000000" w:themeColor="text1"/>
        </w:rPr>
        <w:t>being</w:t>
      </w:r>
      <w:r w:rsidRPr="00737C19">
        <w:rPr>
          <w:rFonts w:cstheme="minorHAnsi"/>
          <w:color w:val="000000" w:themeColor="text1"/>
        </w:rPr>
        <w:t xml:space="preserve"> the “gold-standard” </w:t>
      </w:r>
      <w:r>
        <w:rPr>
          <w:rFonts w:cstheme="minorHAnsi"/>
          <w:color w:val="000000" w:themeColor="text1"/>
        </w:rPr>
        <w:t>of US government security compliance, with</w:t>
      </w:r>
      <w:r w:rsidRPr="00737C19">
        <w:rPr>
          <w:rFonts w:cstheme="minorHAnsi"/>
          <w:color w:val="000000" w:themeColor="text1"/>
        </w:rPr>
        <w:t xml:space="preserve"> ISO 27001</w:t>
      </w:r>
      <w:r>
        <w:rPr>
          <w:rFonts w:cstheme="minorHAnsi"/>
          <w:color w:val="000000" w:themeColor="text1"/>
        </w:rPr>
        <w:t xml:space="preserve">, 27012, and 27018 </w:t>
      </w:r>
      <w:r w:rsidRPr="00737C19">
        <w:rPr>
          <w:rFonts w:cstheme="minorHAnsi"/>
          <w:color w:val="000000" w:themeColor="text1"/>
        </w:rPr>
        <w:t>certifi</w:t>
      </w:r>
      <w:r>
        <w:rPr>
          <w:rFonts w:cstheme="minorHAnsi"/>
          <w:color w:val="000000" w:themeColor="text1"/>
        </w:rPr>
        <w:t>cations as well as</w:t>
      </w:r>
      <w:r w:rsidRPr="00737C19">
        <w:rPr>
          <w:rFonts w:cstheme="minorHAnsi"/>
          <w:color w:val="000000" w:themeColor="text1"/>
        </w:rPr>
        <w:t xml:space="preserve"> FedRAMP authoriz</w:t>
      </w:r>
      <w:r>
        <w:rPr>
          <w:rFonts w:cstheme="minorHAnsi"/>
          <w:color w:val="000000" w:themeColor="text1"/>
        </w:rPr>
        <w:t>ation</w:t>
      </w:r>
      <w:r w:rsidRPr="00737C19">
        <w:rPr>
          <w:rFonts w:cstheme="minorHAnsi"/>
          <w:color w:val="000000" w:themeColor="text1"/>
        </w:rPr>
        <w:t xml:space="preserve">. </w:t>
      </w:r>
      <w:r w:rsidRPr="00F16F75">
        <w:rPr>
          <w:rFonts w:cstheme="minorHAnsi"/>
          <w:color w:val="000000" w:themeColor="text1"/>
        </w:rPr>
        <w:t xml:space="preserve"> </w:t>
      </w:r>
      <w:r w:rsidR="00EE22CB">
        <w:rPr>
          <w:rFonts w:cstheme="minorHAnsi"/>
          <w:color w:val="000000" w:themeColor="text1"/>
        </w:rPr>
        <w:t xml:space="preserve">An additional reminder that respondents’ data will remain confidential will also be included in </w:t>
      </w:r>
      <w:r w:rsidRPr="00737C19" w:rsidR="00EE22CB">
        <w:rPr>
          <w:rFonts w:cstheme="minorHAnsi"/>
          <w:color w:val="000000" w:themeColor="text1"/>
        </w:rPr>
        <w:t>the introduction of the survey.</w:t>
      </w:r>
    </w:p>
    <w:p w:rsidRPr="009C29CA" w:rsidR="005E2BF8" w:rsidP="005E2BF8" w:rsidRDefault="005E2BF8" w14:paraId="339238E1" w14:textId="77777777">
      <w:pPr>
        <w:pStyle w:val="Hdng2-IPR"/>
        <w:rPr>
          <w:color w:val="000000" w:themeColor="text1"/>
        </w:rPr>
      </w:pPr>
      <w:bookmarkStart w:name="_Toc133208882" w:id="41"/>
      <w:bookmarkStart w:name="_Toc329426283" w:id="42"/>
      <w:bookmarkStart w:name="_Toc351666585" w:id="43"/>
      <w:bookmarkStart w:name="_Toc416426570" w:id="44"/>
      <w:r w:rsidRPr="009C29CA">
        <w:rPr>
          <w:color w:val="000000" w:themeColor="text1"/>
        </w:rPr>
        <w:t>A.11.</w:t>
      </w:r>
      <w:r w:rsidRPr="009C29CA">
        <w:rPr>
          <w:color w:val="000000" w:themeColor="text1"/>
        </w:rPr>
        <w:tab/>
      </w:r>
      <w:bookmarkEnd w:id="41"/>
      <w:r w:rsidRPr="009C29CA">
        <w:rPr>
          <w:color w:val="000000" w:themeColor="text1"/>
        </w:rPr>
        <w:t>Justification for Sensitive Questions</w:t>
      </w:r>
      <w:bookmarkEnd w:id="42"/>
      <w:bookmarkEnd w:id="43"/>
      <w:bookmarkEnd w:id="44"/>
      <w:r w:rsidRPr="009C29CA">
        <w:rPr>
          <w:color w:val="000000" w:themeColor="text1"/>
        </w:rPr>
        <w:t xml:space="preserve"> </w:t>
      </w:r>
    </w:p>
    <w:p w:rsidRPr="00FD02E9" w:rsidR="005E2BF8" w:rsidP="005E2BF8" w:rsidRDefault="005E2BF8" w14:paraId="0B9CDA72" w14:textId="77777777">
      <w:pPr>
        <w:pStyle w:val="OMBRequirementCalibri"/>
        <w:rPr>
          <w:rFonts w:cstheme="minorHAnsi"/>
          <w:color w:val="000000" w:themeColor="text1"/>
        </w:rPr>
      </w:pPr>
      <w:r w:rsidRPr="009C29CA">
        <w:rPr>
          <w:rFonts w:cstheme="minorHAnsi"/>
          <w:color w:val="000000" w:themeColor="text1"/>
        </w:rPr>
        <w:t>Provide additional justification for any questions of a sensitive nature, such as sexual behavior or attitudes, religious beliefs, and other matters that are commonly considered private. This justification should include the reasons why the agency considers the questions n</w:t>
      </w:r>
      <w:r w:rsidRPr="00FD02E9">
        <w:rPr>
          <w:rFonts w:cstheme="minorHAnsi"/>
          <w:color w:val="000000" w:themeColor="text1"/>
        </w:rPr>
        <w:t xml:space="preserve">ecessary, the specific uses to be made of the information, the explanation to be given to </w:t>
      </w:r>
      <w:r w:rsidRPr="00FD02E9">
        <w:rPr>
          <w:rFonts w:cstheme="minorHAnsi"/>
          <w:color w:val="000000" w:themeColor="text1"/>
        </w:rPr>
        <w:lastRenderedPageBreak/>
        <w:t>persons from whom the information is requested, and any steps to be taken to obtain their consent.</w:t>
      </w:r>
    </w:p>
    <w:p w:rsidRPr="00FD02E9" w:rsidR="00D756C6" w:rsidP="005E2BF8" w:rsidRDefault="00215F3F" w14:paraId="7AD9382C" w14:textId="689B9D7A">
      <w:pPr>
        <w:pStyle w:val="Body12ptCalibri-IPR"/>
        <w:rPr>
          <w:rFonts w:cstheme="minorHAnsi"/>
          <w:color w:val="000000" w:themeColor="text1"/>
        </w:rPr>
      </w:pPr>
      <w:r w:rsidRPr="00FD02E9">
        <w:rPr>
          <w:rFonts w:cstheme="minorHAnsi"/>
          <w:color w:val="000000" w:themeColor="text1"/>
        </w:rPr>
        <w:t xml:space="preserve">Primary </w:t>
      </w:r>
      <w:r w:rsidRPr="00FD02E9" w:rsidR="00D756C6">
        <w:rPr>
          <w:rFonts w:cstheme="minorHAnsi"/>
          <w:color w:val="000000" w:themeColor="text1"/>
        </w:rPr>
        <w:t xml:space="preserve">topics </w:t>
      </w:r>
      <w:r w:rsidR="00B47A71">
        <w:rPr>
          <w:rFonts w:cstheme="minorHAnsi"/>
          <w:color w:val="000000" w:themeColor="text1"/>
        </w:rPr>
        <w:t xml:space="preserve">in the </w:t>
      </w:r>
      <w:r w:rsidRPr="00E42C6B" w:rsidR="00B47A71">
        <w:rPr>
          <w:rFonts w:cstheme="minorHAnsi"/>
          <w:color w:val="000000" w:themeColor="text1"/>
        </w:rPr>
        <w:t>REU Past Participant Survey</w:t>
      </w:r>
      <w:r w:rsidRPr="00E42C6B" w:rsidR="003C1393">
        <w:rPr>
          <w:rFonts w:cstheme="minorHAnsi"/>
          <w:color w:val="000000" w:themeColor="text1"/>
        </w:rPr>
        <w:t xml:space="preserve"> and the REU Mentor Survey</w:t>
      </w:r>
      <w:r w:rsidR="00B47A71">
        <w:rPr>
          <w:rFonts w:cstheme="minorHAnsi"/>
          <w:color w:val="000000" w:themeColor="text1"/>
        </w:rPr>
        <w:t xml:space="preserve"> </w:t>
      </w:r>
      <w:r w:rsidRPr="00FD02E9" w:rsidR="00D756C6">
        <w:rPr>
          <w:rFonts w:cstheme="minorHAnsi"/>
          <w:color w:val="000000" w:themeColor="text1"/>
        </w:rPr>
        <w:t xml:space="preserve">include </w:t>
      </w:r>
      <w:r w:rsidRPr="00FD02E9" w:rsidR="00FD02E9">
        <w:rPr>
          <w:rFonts w:cstheme="minorHAnsi"/>
          <w:color w:val="000000" w:themeColor="text1"/>
        </w:rPr>
        <w:t xml:space="preserve">non-sensitive questions related to </w:t>
      </w:r>
      <w:r w:rsidRPr="00FD02E9" w:rsidR="00D756C6">
        <w:rPr>
          <w:rFonts w:cstheme="minorHAnsi"/>
          <w:color w:val="000000" w:themeColor="text1"/>
        </w:rPr>
        <w:t xml:space="preserve">academic background, research experiences, employment history and current employment, and respondents’ attitudes and beliefs about their </w:t>
      </w:r>
      <w:r w:rsidR="003C1393">
        <w:rPr>
          <w:rFonts w:cstheme="minorHAnsi"/>
          <w:color w:val="000000" w:themeColor="text1"/>
        </w:rPr>
        <w:t xml:space="preserve">own or their mentees’ </w:t>
      </w:r>
      <w:r w:rsidRPr="00FD02E9" w:rsidR="00D756C6">
        <w:rPr>
          <w:rFonts w:cstheme="minorHAnsi"/>
          <w:color w:val="000000" w:themeColor="text1"/>
        </w:rPr>
        <w:t>experiences</w:t>
      </w:r>
      <w:r w:rsidR="003C1393">
        <w:rPr>
          <w:rFonts w:cstheme="minorHAnsi"/>
          <w:color w:val="000000" w:themeColor="text1"/>
        </w:rPr>
        <w:t xml:space="preserve"> in research</w:t>
      </w:r>
      <w:r w:rsidRPr="00FD02E9" w:rsidR="00D756C6">
        <w:rPr>
          <w:rFonts w:cstheme="minorHAnsi"/>
          <w:color w:val="000000" w:themeColor="text1"/>
        </w:rPr>
        <w:t xml:space="preserve">. </w:t>
      </w:r>
      <w:r w:rsidR="003C1393">
        <w:rPr>
          <w:rFonts w:cstheme="minorHAnsi"/>
          <w:color w:val="000000" w:themeColor="text1"/>
        </w:rPr>
        <w:t>Both</w:t>
      </w:r>
      <w:r w:rsidRPr="00FD02E9">
        <w:rPr>
          <w:rFonts w:cstheme="minorHAnsi"/>
          <w:color w:val="000000" w:themeColor="text1"/>
        </w:rPr>
        <w:t xml:space="preserve"> survey</w:t>
      </w:r>
      <w:r w:rsidR="003C1393">
        <w:rPr>
          <w:rFonts w:cstheme="minorHAnsi"/>
          <w:color w:val="000000" w:themeColor="text1"/>
        </w:rPr>
        <w:t>s</w:t>
      </w:r>
      <w:r w:rsidRPr="00FD02E9">
        <w:rPr>
          <w:rFonts w:cstheme="minorHAnsi"/>
          <w:color w:val="000000" w:themeColor="text1"/>
        </w:rPr>
        <w:t xml:space="preserve"> also </w:t>
      </w:r>
      <w:r w:rsidRPr="00FD02E9" w:rsidR="00102886">
        <w:rPr>
          <w:rFonts w:cstheme="minorHAnsi"/>
          <w:color w:val="000000" w:themeColor="text1"/>
        </w:rPr>
        <w:t>invite</w:t>
      </w:r>
      <w:r w:rsidRPr="00FD02E9">
        <w:rPr>
          <w:rFonts w:cstheme="minorHAnsi"/>
          <w:color w:val="000000" w:themeColor="text1"/>
        </w:rPr>
        <w:t xml:space="preserve"> respondents to provide demographic and background information.</w:t>
      </w:r>
      <w:r w:rsidR="008B7B4C">
        <w:rPr>
          <w:rFonts w:cstheme="minorHAnsi"/>
          <w:color w:val="000000" w:themeColor="text1"/>
        </w:rPr>
        <w:t xml:space="preserve"> There are no survey questions that are anticipated to be of a sensitive nature.</w:t>
      </w:r>
    </w:p>
    <w:p w:rsidRPr="00AF26C4" w:rsidR="005E2BF8" w:rsidP="005E2BF8" w:rsidRDefault="00A75DAF" w14:paraId="1B74FE90" w14:textId="06DBF586">
      <w:pPr>
        <w:pStyle w:val="Body12ptCalibri-IPR"/>
        <w:rPr>
          <w:rFonts w:cstheme="minorHAnsi"/>
          <w:color w:val="000000" w:themeColor="text1"/>
        </w:rPr>
      </w:pPr>
      <w:r w:rsidRPr="00A75DAF">
        <w:rPr>
          <w:rFonts w:cstheme="minorHAnsi"/>
          <w:color w:val="000000" w:themeColor="text1"/>
        </w:rPr>
        <w:t>All respondents</w:t>
      </w:r>
      <w:r w:rsidR="003C1393">
        <w:rPr>
          <w:rFonts w:cstheme="minorHAnsi"/>
          <w:color w:val="000000" w:themeColor="text1"/>
        </w:rPr>
        <w:t xml:space="preserve"> in both surveys</w:t>
      </w:r>
      <w:r w:rsidRPr="00A75DAF">
        <w:rPr>
          <w:rFonts w:cstheme="minorHAnsi"/>
          <w:color w:val="000000" w:themeColor="text1"/>
        </w:rPr>
        <w:t xml:space="preserve"> will be informed in </w:t>
      </w:r>
      <w:r w:rsidR="00493DD7">
        <w:rPr>
          <w:rFonts w:cstheme="minorHAnsi"/>
          <w:color w:val="000000" w:themeColor="text1"/>
        </w:rPr>
        <w:t xml:space="preserve">IRB-approved </w:t>
      </w:r>
      <w:r w:rsidRPr="00A75DAF">
        <w:rPr>
          <w:rFonts w:cstheme="minorHAnsi"/>
          <w:color w:val="000000" w:themeColor="text1"/>
        </w:rPr>
        <w:t xml:space="preserve">consent forms and at the beginning of the survey that they can skip any questions they do not wish to answer. As part of the consent process, they will be informed that all of their responses will be kept private and that personally identifiable information will be removed from survey data when data collection has been completed. They will also be told that they can request permanent removal of all or parts of the data they provide, </w:t>
      </w:r>
      <w:r w:rsidRPr="00AF26C4">
        <w:rPr>
          <w:rFonts w:cstheme="minorHAnsi"/>
          <w:color w:val="000000" w:themeColor="text1"/>
        </w:rPr>
        <w:t xml:space="preserve">without penalty. </w:t>
      </w:r>
    </w:p>
    <w:p w:rsidRPr="00AF26C4" w:rsidR="00E87C98" w:rsidP="00E87C98" w:rsidRDefault="00E87C98" w14:paraId="13BC0886" w14:textId="77777777">
      <w:pPr>
        <w:pStyle w:val="Hdng2-IPR"/>
        <w:rPr>
          <w:color w:val="000000" w:themeColor="text1"/>
        </w:rPr>
      </w:pPr>
      <w:bookmarkStart w:name="_Toc133208884" w:id="45"/>
      <w:bookmarkStart w:name="_Toc329426284" w:id="46"/>
      <w:bookmarkStart w:name="_Toc351666586" w:id="47"/>
      <w:bookmarkStart w:name="_Toc416426571" w:id="48"/>
      <w:r w:rsidRPr="00AF26C4">
        <w:rPr>
          <w:color w:val="000000" w:themeColor="text1"/>
        </w:rPr>
        <w:t>A.12.</w:t>
      </w:r>
      <w:r w:rsidRPr="00AF26C4">
        <w:rPr>
          <w:color w:val="000000" w:themeColor="text1"/>
        </w:rPr>
        <w:tab/>
        <w:t>Estimates of Hour Burden</w:t>
      </w:r>
      <w:bookmarkEnd w:id="45"/>
      <w:r w:rsidRPr="00AF26C4">
        <w:rPr>
          <w:color w:val="000000" w:themeColor="text1"/>
        </w:rPr>
        <w:t xml:space="preserve"> Including Annualized Hourly Costs</w:t>
      </w:r>
      <w:bookmarkEnd w:id="46"/>
      <w:bookmarkEnd w:id="47"/>
      <w:bookmarkEnd w:id="48"/>
      <w:r w:rsidRPr="00AF26C4">
        <w:rPr>
          <w:color w:val="000000" w:themeColor="text1"/>
        </w:rPr>
        <w:t xml:space="preserve"> </w:t>
      </w:r>
    </w:p>
    <w:p w:rsidRPr="00AF26C4" w:rsidR="00E87C98" w:rsidP="00E87C98" w:rsidRDefault="00E87C98" w14:paraId="2F9FAAE9" w14:textId="77777777">
      <w:pPr>
        <w:pStyle w:val="OMBRequirementCalibri"/>
        <w:rPr>
          <w:rFonts w:cstheme="minorHAnsi"/>
          <w:color w:val="000000" w:themeColor="text1"/>
        </w:rPr>
      </w:pPr>
      <w:r w:rsidRPr="00AF26C4">
        <w:rPr>
          <w:rFonts w:cstheme="minorHAnsi"/>
          <w:color w:val="000000" w:themeColor="text1"/>
        </w:rPr>
        <w:t>Provide estimates of the hour burden of the collection of information. The statement should:</w:t>
      </w:r>
    </w:p>
    <w:p w:rsidRPr="00AF26C4" w:rsidR="00E87C98" w:rsidP="00E87C98" w:rsidRDefault="00E87C98" w14:paraId="1B6C8942" w14:textId="77777777">
      <w:pPr>
        <w:pStyle w:val="OMBRequirementCalibri"/>
        <w:numPr>
          <w:ilvl w:val="0"/>
          <w:numId w:val="4"/>
        </w:numPr>
        <w:rPr>
          <w:rFonts w:cstheme="minorHAnsi"/>
          <w:color w:val="000000" w:themeColor="text1"/>
        </w:rPr>
      </w:pPr>
      <w:r w:rsidRPr="00AF26C4">
        <w:rPr>
          <w:rFonts w:cstheme="minorHAnsi"/>
          <w:color w:val="000000" w:themeColor="text1"/>
        </w:rPr>
        <w:t>Indicate the number of respondents, frequency of response, annual hour burden, and an explanation of how the burden was estimated. If this request for approval covers more than one form, provide separate hour-burden estimates for each form and aggregate the hour burdens in Item 13 of OMB Form 83-I.</w:t>
      </w:r>
    </w:p>
    <w:p w:rsidRPr="00AF26C4" w:rsidR="00E87C98" w:rsidP="00E87C98" w:rsidRDefault="00E87C98" w14:paraId="2DDA6FEF" w14:textId="77777777">
      <w:pPr>
        <w:pStyle w:val="OMBRequirementCalibri"/>
        <w:numPr>
          <w:ilvl w:val="0"/>
          <w:numId w:val="4"/>
        </w:numPr>
        <w:rPr>
          <w:rFonts w:cstheme="minorHAnsi"/>
          <w:color w:val="000000" w:themeColor="text1"/>
        </w:rPr>
      </w:pPr>
      <w:r w:rsidRPr="00AF26C4">
        <w:rPr>
          <w:rFonts w:cstheme="minorHAnsi"/>
          <w:color w:val="000000" w:themeColor="text1"/>
        </w:rPr>
        <w:t>Provide estimates of annualized cost to respondents for the hour burdens for collections of information, identifying and using appropriate wage rate categories.</w:t>
      </w:r>
    </w:p>
    <w:p w:rsidRPr="00AF26C4" w:rsidR="00AF26C4" w:rsidP="00AF26C4" w:rsidRDefault="008B7B4C" w14:paraId="5AAD1FFF" w14:textId="0298576F">
      <w:pPr>
        <w:pStyle w:val="Body12ptCalibri-IPR"/>
        <w:rPr>
          <w:rFonts w:cstheme="minorHAnsi"/>
          <w:iCs/>
          <w:color w:val="000000" w:themeColor="text1"/>
          <w:szCs w:val="24"/>
        </w:rPr>
      </w:pPr>
      <w:r>
        <w:rPr>
          <w:rFonts w:cstheme="minorHAnsi"/>
          <w:color w:val="000000" w:themeColor="text1"/>
          <w:szCs w:val="24"/>
        </w:rPr>
        <w:t>Each one</w:t>
      </w:r>
      <w:r w:rsidR="008E7F47">
        <w:rPr>
          <w:rFonts w:cstheme="minorHAnsi"/>
          <w:color w:val="000000" w:themeColor="text1"/>
          <w:szCs w:val="24"/>
        </w:rPr>
        <w:t xml:space="preserve"> of the</w:t>
      </w:r>
      <w:r w:rsidRPr="00AF26C4" w:rsidR="00AF26C4">
        <w:rPr>
          <w:rFonts w:cstheme="minorHAnsi"/>
          <w:color w:val="000000" w:themeColor="text1"/>
          <w:szCs w:val="24"/>
        </w:rPr>
        <w:t xml:space="preserve"> one-time, online survey</w:t>
      </w:r>
      <w:r w:rsidR="008E7F47">
        <w:rPr>
          <w:rFonts w:cstheme="minorHAnsi"/>
          <w:color w:val="000000" w:themeColor="text1"/>
          <w:szCs w:val="24"/>
        </w:rPr>
        <w:t xml:space="preserve">s </w:t>
      </w:r>
      <w:r w:rsidRPr="00E42C6B" w:rsidR="008E7F47">
        <w:rPr>
          <w:rFonts w:cstheme="minorHAnsi"/>
          <w:color w:val="000000" w:themeColor="text1"/>
          <w:szCs w:val="24"/>
        </w:rPr>
        <w:t>(REU Past Participant Survey and REU Mentor Survey)</w:t>
      </w:r>
      <w:r w:rsidRPr="00AF26C4" w:rsidR="00AF26C4">
        <w:rPr>
          <w:rFonts w:cstheme="minorHAnsi"/>
          <w:color w:val="000000" w:themeColor="text1"/>
          <w:szCs w:val="24"/>
        </w:rPr>
        <w:t xml:space="preserve"> </w:t>
      </w:r>
      <w:r w:rsidR="008E7F47">
        <w:rPr>
          <w:rFonts w:cstheme="minorHAnsi"/>
          <w:color w:val="000000" w:themeColor="text1"/>
          <w:szCs w:val="24"/>
        </w:rPr>
        <w:t>are</w:t>
      </w:r>
      <w:r w:rsidRPr="00AF26C4" w:rsidR="00AF26C4">
        <w:rPr>
          <w:rFonts w:cstheme="minorHAnsi"/>
          <w:color w:val="000000" w:themeColor="text1"/>
          <w:szCs w:val="24"/>
        </w:rPr>
        <w:t xml:space="preserve"> designed to be completed in 20 minutes or less</w:t>
      </w:r>
      <w:r w:rsidRPr="00AF26C4" w:rsidR="00E87C98">
        <w:rPr>
          <w:rFonts w:cstheme="minorHAnsi"/>
          <w:color w:val="000000" w:themeColor="text1"/>
          <w:szCs w:val="24"/>
        </w:rPr>
        <w:t xml:space="preserve">. </w:t>
      </w:r>
      <w:r w:rsidRPr="00AF26C4" w:rsidR="00AF26C4">
        <w:rPr>
          <w:rFonts w:cstheme="minorHAnsi"/>
          <w:color w:val="000000" w:themeColor="text1"/>
          <w:szCs w:val="24"/>
        </w:rPr>
        <w:t xml:space="preserve">The estimated number of individuals </w:t>
      </w:r>
      <w:r w:rsidR="0098740A">
        <w:rPr>
          <w:rFonts w:cstheme="minorHAnsi"/>
          <w:color w:val="000000" w:themeColor="text1"/>
          <w:szCs w:val="24"/>
        </w:rPr>
        <w:t xml:space="preserve">(past participants, mentors, and comparison group participants) </w:t>
      </w:r>
      <w:r w:rsidRPr="00AF26C4" w:rsidR="00AF26C4">
        <w:rPr>
          <w:rFonts w:cstheme="minorHAnsi"/>
          <w:color w:val="000000" w:themeColor="text1"/>
          <w:szCs w:val="24"/>
        </w:rPr>
        <w:t xml:space="preserve">who will be receiving </w:t>
      </w:r>
      <w:r>
        <w:rPr>
          <w:rFonts w:cstheme="minorHAnsi"/>
          <w:color w:val="000000" w:themeColor="text1"/>
          <w:szCs w:val="24"/>
        </w:rPr>
        <w:t>one</w:t>
      </w:r>
      <w:r w:rsidR="003C1393">
        <w:rPr>
          <w:rFonts w:cstheme="minorHAnsi"/>
          <w:color w:val="000000" w:themeColor="text1"/>
          <w:szCs w:val="24"/>
        </w:rPr>
        <w:t xml:space="preserve"> of</w:t>
      </w:r>
      <w:r w:rsidR="008E7F47">
        <w:rPr>
          <w:rFonts w:cstheme="minorHAnsi"/>
          <w:color w:val="000000" w:themeColor="text1"/>
          <w:szCs w:val="24"/>
        </w:rPr>
        <w:t xml:space="preserve"> </w:t>
      </w:r>
      <w:r w:rsidR="008E7F47">
        <w:rPr>
          <w:rFonts w:cstheme="minorHAnsi"/>
          <w:color w:val="000000" w:themeColor="text1"/>
          <w:szCs w:val="24"/>
        </w:rPr>
        <w:lastRenderedPageBreak/>
        <w:t>these two</w:t>
      </w:r>
      <w:r w:rsidRPr="00AF26C4" w:rsidR="00AF26C4">
        <w:rPr>
          <w:rFonts w:cstheme="minorHAnsi"/>
          <w:color w:val="000000" w:themeColor="text1"/>
          <w:szCs w:val="24"/>
        </w:rPr>
        <w:t xml:space="preserve"> survey</w:t>
      </w:r>
      <w:r w:rsidR="008E7F47">
        <w:rPr>
          <w:rFonts w:cstheme="minorHAnsi"/>
          <w:color w:val="000000" w:themeColor="text1"/>
          <w:szCs w:val="24"/>
        </w:rPr>
        <w:t>s</w:t>
      </w:r>
      <w:r w:rsidRPr="00AF26C4" w:rsidR="00AF26C4">
        <w:rPr>
          <w:rFonts w:cstheme="minorHAnsi"/>
          <w:color w:val="000000" w:themeColor="text1"/>
          <w:szCs w:val="24"/>
        </w:rPr>
        <w:t xml:space="preserve"> is </w:t>
      </w:r>
      <w:r w:rsidRPr="007A72A6" w:rsidR="00AF26C4">
        <w:rPr>
          <w:rFonts w:cstheme="minorHAnsi"/>
          <w:color w:val="000000" w:themeColor="text1"/>
          <w:szCs w:val="24"/>
        </w:rPr>
        <w:t>2</w:t>
      </w:r>
      <w:r w:rsidRPr="007A72A6" w:rsidR="007A72A6">
        <w:rPr>
          <w:rFonts w:cstheme="minorHAnsi"/>
          <w:color w:val="000000" w:themeColor="text1"/>
          <w:szCs w:val="24"/>
        </w:rPr>
        <w:t>7,3</w:t>
      </w:r>
      <w:r w:rsidRPr="007A72A6" w:rsidR="00AF26C4">
        <w:rPr>
          <w:rFonts w:cstheme="minorHAnsi"/>
          <w:color w:val="000000" w:themeColor="text1"/>
          <w:szCs w:val="24"/>
        </w:rPr>
        <w:t>00.</w:t>
      </w:r>
      <w:r w:rsidRPr="00AF26C4" w:rsidR="00AF26C4">
        <w:rPr>
          <w:rFonts w:cstheme="minorHAnsi"/>
          <w:color w:val="000000" w:themeColor="text1"/>
          <w:szCs w:val="24"/>
        </w:rPr>
        <w:t xml:space="preserve"> Based on an approximate response rate </w:t>
      </w:r>
      <w:r w:rsidRPr="007A72A6" w:rsidR="00AF26C4">
        <w:rPr>
          <w:rFonts w:cstheme="minorHAnsi"/>
          <w:color w:val="000000" w:themeColor="text1"/>
          <w:szCs w:val="24"/>
        </w:rPr>
        <w:t>of 30%, there</w:t>
      </w:r>
      <w:r w:rsidRPr="00AF26C4" w:rsidR="00AF26C4">
        <w:rPr>
          <w:rFonts w:cstheme="minorHAnsi"/>
          <w:color w:val="000000" w:themeColor="text1"/>
          <w:szCs w:val="24"/>
        </w:rPr>
        <w:t xml:space="preserve"> will be an </w:t>
      </w:r>
      <w:r w:rsidRPr="007A72A6" w:rsidR="00AF26C4">
        <w:rPr>
          <w:rFonts w:cstheme="minorHAnsi"/>
          <w:color w:val="000000" w:themeColor="text1"/>
          <w:szCs w:val="24"/>
        </w:rPr>
        <w:t xml:space="preserve">estimated </w:t>
      </w:r>
      <w:r w:rsidRPr="007A72A6" w:rsidR="007A72A6">
        <w:rPr>
          <w:rFonts w:cstheme="minorHAnsi"/>
          <w:color w:val="000000" w:themeColor="text1"/>
          <w:szCs w:val="24"/>
        </w:rPr>
        <w:t>8,1</w:t>
      </w:r>
      <w:r w:rsidR="009F5869">
        <w:rPr>
          <w:rFonts w:cstheme="minorHAnsi"/>
          <w:color w:val="000000" w:themeColor="text1"/>
          <w:szCs w:val="24"/>
        </w:rPr>
        <w:t>9</w:t>
      </w:r>
      <w:r w:rsidRPr="007A72A6" w:rsidR="00AF26C4">
        <w:rPr>
          <w:rFonts w:cstheme="minorHAnsi"/>
          <w:color w:val="000000" w:themeColor="text1"/>
          <w:szCs w:val="24"/>
        </w:rPr>
        <w:t>0</w:t>
      </w:r>
      <w:r w:rsidRPr="00AF26C4" w:rsidR="00AF26C4">
        <w:rPr>
          <w:rFonts w:cstheme="minorHAnsi"/>
          <w:color w:val="000000" w:themeColor="text1"/>
          <w:szCs w:val="24"/>
        </w:rPr>
        <w:t xml:space="preserve"> respondents when the data collection is completed. </w:t>
      </w:r>
      <w:r w:rsidRPr="00AF26C4" w:rsidR="00AF26C4">
        <w:rPr>
          <w:rFonts w:cstheme="minorHAnsi"/>
          <w:iCs/>
          <w:color w:val="000000" w:themeColor="text1"/>
          <w:szCs w:val="24"/>
        </w:rPr>
        <w:t xml:space="preserve">Based </w:t>
      </w:r>
      <w:r w:rsidRPr="007A72A6" w:rsidR="00AF26C4">
        <w:rPr>
          <w:rFonts w:cstheme="minorHAnsi"/>
          <w:iCs/>
          <w:color w:val="000000" w:themeColor="text1"/>
          <w:szCs w:val="24"/>
        </w:rPr>
        <w:t xml:space="preserve">on </w:t>
      </w:r>
      <w:r w:rsidRPr="007A72A6" w:rsidR="007A72A6">
        <w:rPr>
          <w:rFonts w:cstheme="minorHAnsi"/>
          <w:iCs/>
          <w:color w:val="000000" w:themeColor="text1"/>
          <w:szCs w:val="24"/>
        </w:rPr>
        <w:t>8,1</w:t>
      </w:r>
      <w:r w:rsidR="00F730AE">
        <w:rPr>
          <w:rFonts w:cstheme="minorHAnsi"/>
          <w:iCs/>
          <w:color w:val="000000" w:themeColor="text1"/>
          <w:szCs w:val="24"/>
        </w:rPr>
        <w:t>9</w:t>
      </w:r>
      <w:r w:rsidRPr="007A72A6" w:rsidR="00AF26C4">
        <w:rPr>
          <w:rFonts w:cstheme="minorHAnsi"/>
          <w:iCs/>
          <w:color w:val="000000" w:themeColor="text1"/>
          <w:szCs w:val="24"/>
        </w:rPr>
        <w:t>0 estimated</w:t>
      </w:r>
      <w:r w:rsidRPr="00AF26C4" w:rsidR="00AF26C4">
        <w:rPr>
          <w:rFonts w:cstheme="minorHAnsi"/>
          <w:iCs/>
          <w:color w:val="000000" w:themeColor="text1"/>
          <w:szCs w:val="24"/>
        </w:rPr>
        <w:t xml:space="preserve"> responses and 20 minutes per respondent, the estimate for this data collection is </w:t>
      </w:r>
      <w:r w:rsidRPr="007A72A6" w:rsidR="00AF26C4">
        <w:rPr>
          <w:rFonts w:cstheme="minorHAnsi"/>
          <w:iCs/>
          <w:color w:val="000000" w:themeColor="text1"/>
          <w:szCs w:val="24"/>
        </w:rPr>
        <w:t>2,</w:t>
      </w:r>
      <w:r w:rsidRPr="007A72A6" w:rsidR="007A72A6">
        <w:rPr>
          <w:rFonts w:cstheme="minorHAnsi"/>
          <w:iCs/>
          <w:color w:val="000000" w:themeColor="text1"/>
          <w:szCs w:val="24"/>
        </w:rPr>
        <w:t>7</w:t>
      </w:r>
      <w:r w:rsidR="00F730AE">
        <w:rPr>
          <w:rFonts w:cstheme="minorHAnsi"/>
          <w:iCs/>
          <w:color w:val="000000" w:themeColor="text1"/>
          <w:szCs w:val="24"/>
        </w:rPr>
        <w:t>3</w:t>
      </w:r>
      <w:r w:rsidRPr="007A72A6" w:rsidR="0098740A">
        <w:rPr>
          <w:rFonts w:cstheme="minorHAnsi"/>
          <w:iCs/>
          <w:color w:val="000000" w:themeColor="text1"/>
          <w:szCs w:val="24"/>
        </w:rPr>
        <w:t>0</w:t>
      </w:r>
      <w:r w:rsidRPr="007A72A6" w:rsidR="00AF26C4">
        <w:rPr>
          <w:rFonts w:cstheme="minorHAnsi"/>
          <w:iCs/>
          <w:color w:val="000000" w:themeColor="text1"/>
          <w:szCs w:val="24"/>
        </w:rPr>
        <w:t xml:space="preserve"> burden</w:t>
      </w:r>
      <w:r w:rsidRPr="00AF26C4" w:rsidR="00AF26C4">
        <w:rPr>
          <w:rFonts w:cstheme="minorHAnsi"/>
          <w:iCs/>
          <w:color w:val="000000" w:themeColor="text1"/>
          <w:szCs w:val="24"/>
        </w:rPr>
        <w:t xml:space="preserve"> hours.</w:t>
      </w:r>
    </w:p>
    <w:p w:rsidRPr="0080567E" w:rsidR="00F94413" w:rsidP="00F94413" w:rsidRDefault="00F94413" w14:paraId="73E14754" w14:textId="77777777">
      <w:pPr>
        <w:spacing w:line="480" w:lineRule="auto"/>
        <w:ind w:firstLine="720"/>
        <w:rPr>
          <w:rFonts w:cstheme="minorHAnsi"/>
          <w:color w:val="000000" w:themeColor="text1"/>
          <w:sz w:val="24"/>
          <w:szCs w:val="24"/>
        </w:rPr>
      </w:pPr>
      <w:r w:rsidRPr="005C10BA">
        <w:rPr>
          <w:rFonts w:cstheme="minorHAnsi"/>
          <w:color w:val="000000" w:themeColor="text1"/>
          <w:sz w:val="24"/>
          <w:szCs w:val="24"/>
        </w:rPr>
        <w:t>Because there is just one survey administration, the annual cost to respondents is the same as the total cost. Although we do not precisely know the occupations (and thus the wage ra</w:t>
      </w:r>
      <w:r w:rsidRPr="0080567E">
        <w:rPr>
          <w:rFonts w:cstheme="minorHAnsi"/>
          <w:color w:val="000000" w:themeColor="text1"/>
          <w:sz w:val="24"/>
          <w:szCs w:val="24"/>
        </w:rPr>
        <w:t xml:space="preserve">tes) of the respondents we will recruit, </w:t>
      </w:r>
      <w:r w:rsidRPr="0080567E" w:rsidR="00AF1D3A">
        <w:rPr>
          <w:rFonts w:cstheme="minorHAnsi"/>
          <w:color w:val="000000" w:themeColor="text1"/>
          <w:sz w:val="24"/>
          <w:szCs w:val="24"/>
        </w:rPr>
        <w:t xml:space="preserve">we </w:t>
      </w:r>
      <w:r w:rsidRPr="0080567E">
        <w:rPr>
          <w:rFonts w:cstheme="minorHAnsi"/>
          <w:color w:val="000000" w:themeColor="text1"/>
          <w:sz w:val="24"/>
          <w:szCs w:val="24"/>
        </w:rPr>
        <w:t xml:space="preserve">have calculated the cost for the collection of information as follows: </w:t>
      </w:r>
    </w:p>
    <w:p w:rsidRPr="0080567E" w:rsidR="005C10BA" w:rsidP="005C10BA" w:rsidRDefault="005C10BA" w14:paraId="05B601B2" w14:textId="4CBCD72D">
      <w:pPr>
        <w:pStyle w:val="ListParagraph"/>
        <w:numPr>
          <w:ilvl w:val="0"/>
          <w:numId w:val="6"/>
        </w:numPr>
        <w:spacing w:line="480" w:lineRule="auto"/>
        <w:rPr>
          <w:rFonts w:cstheme="minorHAnsi"/>
          <w:color w:val="000000" w:themeColor="text1"/>
          <w:sz w:val="24"/>
          <w:szCs w:val="24"/>
        </w:rPr>
      </w:pPr>
      <w:r w:rsidRPr="0080567E">
        <w:rPr>
          <w:rFonts w:cstheme="minorHAnsi"/>
          <w:color w:val="000000" w:themeColor="text1"/>
          <w:sz w:val="24"/>
          <w:szCs w:val="24"/>
        </w:rPr>
        <w:t>A</w:t>
      </w:r>
      <w:r w:rsidRPr="0080567E" w:rsidR="00F94413">
        <w:rPr>
          <w:rFonts w:cstheme="minorHAnsi"/>
          <w:color w:val="000000" w:themeColor="text1"/>
          <w:sz w:val="24"/>
          <w:szCs w:val="24"/>
        </w:rPr>
        <w:t xml:space="preserve">ll potential survey respondents have engaged in </w:t>
      </w:r>
      <w:r w:rsidR="008E7F47">
        <w:rPr>
          <w:rFonts w:cstheme="minorHAnsi"/>
          <w:color w:val="000000" w:themeColor="text1"/>
          <w:sz w:val="24"/>
          <w:szCs w:val="24"/>
        </w:rPr>
        <w:t xml:space="preserve">or led </w:t>
      </w:r>
      <w:r w:rsidRPr="0080567E" w:rsidR="00F94413">
        <w:rPr>
          <w:rFonts w:cstheme="minorHAnsi"/>
          <w:color w:val="000000" w:themeColor="text1"/>
          <w:sz w:val="24"/>
          <w:szCs w:val="24"/>
        </w:rPr>
        <w:t>research experiences during their undergraduate careers</w:t>
      </w:r>
      <w:r w:rsidR="008E7F47">
        <w:rPr>
          <w:rFonts w:cstheme="minorHAnsi"/>
          <w:color w:val="000000" w:themeColor="text1"/>
          <w:sz w:val="24"/>
          <w:szCs w:val="24"/>
        </w:rPr>
        <w:t>. A</w:t>
      </w:r>
      <w:r w:rsidRPr="0080567E" w:rsidR="00F94413">
        <w:rPr>
          <w:rFonts w:cstheme="minorHAnsi"/>
          <w:color w:val="000000" w:themeColor="text1"/>
          <w:sz w:val="24"/>
          <w:szCs w:val="24"/>
        </w:rPr>
        <w:t xml:space="preserve"> </w:t>
      </w:r>
      <w:r w:rsidRPr="0080567E">
        <w:rPr>
          <w:rFonts w:cstheme="minorHAnsi"/>
          <w:color w:val="000000" w:themeColor="text1"/>
          <w:sz w:val="24"/>
          <w:szCs w:val="24"/>
        </w:rPr>
        <w:t>central</w:t>
      </w:r>
      <w:r w:rsidRPr="0080567E" w:rsidR="00F94413">
        <w:rPr>
          <w:rFonts w:cstheme="minorHAnsi"/>
          <w:color w:val="000000" w:themeColor="text1"/>
          <w:sz w:val="24"/>
          <w:szCs w:val="24"/>
        </w:rPr>
        <w:t xml:space="preserve"> goal of such programs is to provide </w:t>
      </w:r>
      <w:r w:rsidR="008E7F47">
        <w:rPr>
          <w:rFonts w:cstheme="minorHAnsi"/>
          <w:color w:val="000000" w:themeColor="text1"/>
          <w:sz w:val="24"/>
          <w:szCs w:val="24"/>
        </w:rPr>
        <w:t xml:space="preserve">participants </w:t>
      </w:r>
      <w:r w:rsidRPr="0080567E" w:rsidR="00F94413">
        <w:rPr>
          <w:rFonts w:cstheme="minorHAnsi"/>
          <w:color w:val="000000" w:themeColor="text1"/>
          <w:sz w:val="24"/>
          <w:szCs w:val="24"/>
        </w:rPr>
        <w:t xml:space="preserve">who are considering research careers with an experience that can help them decide whether </w:t>
      </w:r>
      <w:r w:rsidRPr="0080567E">
        <w:rPr>
          <w:rFonts w:cstheme="minorHAnsi"/>
          <w:color w:val="000000" w:themeColor="text1"/>
          <w:sz w:val="24"/>
          <w:szCs w:val="24"/>
        </w:rPr>
        <w:t>they enjoy and are well-suited for</w:t>
      </w:r>
      <w:r w:rsidRPr="0080567E" w:rsidR="00F94413">
        <w:rPr>
          <w:rFonts w:cstheme="minorHAnsi"/>
          <w:color w:val="000000" w:themeColor="text1"/>
          <w:sz w:val="24"/>
          <w:szCs w:val="24"/>
        </w:rPr>
        <w:t xml:space="preserve"> such a career. As such, the most </w:t>
      </w:r>
      <w:r w:rsidRPr="0080567E">
        <w:rPr>
          <w:rFonts w:cstheme="minorHAnsi"/>
          <w:color w:val="000000" w:themeColor="text1"/>
          <w:sz w:val="24"/>
          <w:szCs w:val="24"/>
        </w:rPr>
        <w:t>common</w:t>
      </w:r>
      <w:r w:rsidRPr="0080567E" w:rsidR="00F94413">
        <w:rPr>
          <w:rFonts w:cstheme="minorHAnsi"/>
          <w:color w:val="000000" w:themeColor="text1"/>
          <w:sz w:val="24"/>
          <w:szCs w:val="24"/>
        </w:rPr>
        <w:t xml:space="preserve"> profession </w:t>
      </w:r>
      <w:r w:rsidRPr="0080567E">
        <w:rPr>
          <w:rFonts w:cstheme="minorHAnsi"/>
          <w:color w:val="000000" w:themeColor="text1"/>
          <w:sz w:val="24"/>
          <w:szCs w:val="24"/>
        </w:rPr>
        <w:t>among</w:t>
      </w:r>
      <w:r w:rsidRPr="0080567E" w:rsidR="00F94413">
        <w:rPr>
          <w:rFonts w:cstheme="minorHAnsi"/>
          <w:color w:val="000000" w:themeColor="text1"/>
          <w:sz w:val="24"/>
          <w:szCs w:val="24"/>
        </w:rPr>
        <w:t xml:space="preserve"> the potential </w:t>
      </w:r>
      <w:r w:rsidRPr="0080567E">
        <w:rPr>
          <w:rFonts w:cstheme="minorHAnsi"/>
          <w:color w:val="000000" w:themeColor="text1"/>
          <w:sz w:val="24"/>
          <w:szCs w:val="24"/>
        </w:rPr>
        <w:t xml:space="preserve">survey </w:t>
      </w:r>
      <w:r w:rsidRPr="0080567E" w:rsidR="00F94413">
        <w:rPr>
          <w:rFonts w:cstheme="minorHAnsi"/>
          <w:color w:val="000000" w:themeColor="text1"/>
          <w:sz w:val="24"/>
          <w:szCs w:val="24"/>
        </w:rPr>
        <w:t xml:space="preserve">respondents </w:t>
      </w:r>
      <w:r w:rsidR="008E7F47">
        <w:rPr>
          <w:rFonts w:cstheme="minorHAnsi"/>
          <w:color w:val="000000" w:themeColor="text1"/>
          <w:sz w:val="24"/>
          <w:szCs w:val="24"/>
        </w:rPr>
        <w:t xml:space="preserve">who are past participants </w:t>
      </w:r>
      <w:r w:rsidRPr="0080567E" w:rsidR="00F94413">
        <w:rPr>
          <w:rFonts w:cstheme="minorHAnsi"/>
          <w:color w:val="000000" w:themeColor="text1"/>
          <w:sz w:val="24"/>
          <w:szCs w:val="24"/>
        </w:rPr>
        <w:t xml:space="preserve">is </w:t>
      </w:r>
      <w:r w:rsidRPr="0080567E">
        <w:rPr>
          <w:rFonts w:cstheme="minorHAnsi"/>
          <w:color w:val="000000" w:themeColor="text1"/>
          <w:sz w:val="24"/>
          <w:szCs w:val="24"/>
        </w:rPr>
        <w:t>likely to be a computing research professional.</w:t>
      </w:r>
      <w:r w:rsidR="008E7F47">
        <w:rPr>
          <w:rFonts w:cstheme="minorHAnsi"/>
          <w:color w:val="000000" w:themeColor="text1"/>
          <w:sz w:val="24"/>
          <w:szCs w:val="24"/>
        </w:rPr>
        <w:t xml:space="preserve"> </w:t>
      </w:r>
      <w:r w:rsidR="00E42C6B">
        <w:rPr>
          <w:rFonts w:cstheme="minorHAnsi"/>
          <w:color w:val="000000" w:themeColor="text1"/>
          <w:sz w:val="24"/>
          <w:szCs w:val="24"/>
        </w:rPr>
        <w:t>R</w:t>
      </w:r>
      <w:r w:rsidR="008E7F47">
        <w:rPr>
          <w:rFonts w:cstheme="minorHAnsi"/>
          <w:color w:val="000000" w:themeColor="text1"/>
          <w:sz w:val="24"/>
          <w:szCs w:val="24"/>
        </w:rPr>
        <w:t xml:space="preserve">espondents to the REU Mentor Survey are also </w:t>
      </w:r>
      <w:r w:rsidR="00E42C6B">
        <w:rPr>
          <w:rFonts w:cstheme="minorHAnsi"/>
          <w:color w:val="000000" w:themeColor="text1"/>
          <w:sz w:val="24"/>
          <w:szCs w:val="24"/>
        </w:rPr>
        <w:t xml:space="preserve">likely to be </w:t>
      </w:r>
      <w:r w:rsidR="008E7F47">
        <w:rPr>
          <w:rFonts w:cstheme="minorHAnsi"/>
          <w:color w:val="000000" w:themeColor="text1"/>
          <w:sz w:val="24"/>
          <w:szCs w:val="24"/>
        </w:rPr>
        <w:t xml:space="preserve">computing research professionals. </w:t>
      </w:r>
    </w:p>
    <w:p w:rsidRPr="0080567E" w:rsidR="005C51CC" w:rsidP="005C10BA" w:rsidRDefault="00F94413" w14:paraId="75C185BC" w14:textId="3D1B38FC">
      <w:pPr>
        <w:pStyle w:val="ListParagraph"/>
        <w:numPr>
          <w:ilvl w:val="0"/>
          <w:numId w:val="6"/>
        </w:numPr>
        <w:spacing w:line="480" w:lineRule="auto"/>
        <w:rPr>
          <w:rFonts w:cstheme="minorHAnsi"/>
          <w:color w:val="000000" w:themeColor="text1"/>
          <w:sz w:val="24"/>
          <w:szCs w:val="24"/>
        </w:rPr>
      </w:pPr>
      <w:r w:rsidRPr="0080567E">
        <w:rPr>
          <w:rFonts w:cstheme="minorHAnsi"/>
          <w:color w:val="000000" w:themeColor="text1"/>
          <w:sz w:val="24"/>
          <w:szCs w:val="24"/>
        </w:rPr>
        <w:t xml:space="preserve"> </w:t>
      </w:r>
      <w:r w:rsidRPr="0080567E" w:rsidR="005C10BA">
        <w:rPr>
          <w:rFonts w:cstheme="minorHAnsi"/>
          <w:color w:val="000000" w:themeColor="text1"/>
          <w:sz w:val="24"/>
          <w:szCs w:val="24"/>
        </w:rPr>
        <w:t xml:space="preserve">The Bureau of Labor Statistics publishes wage information for workers in the category of “Computer and Information Research Scientists.”  </w:t>
      </w:r>
      <w:r w:rsidRPr="0080567E" w:rsidR="005C51CC">
        <w:rPr>
          <w:rFonts w:cstheme="minorHAnsi"/>
          <w:color w:val="000000" w:themeColor="text1"/>
          <w:sz w:val="24"/>
          <w:szCs w:val="24"/>
        </w:rPr>
        <w:t>The median annual wage of this group was $126,830 in May 2020.</w:t>
      </w:r>
      <w:r w:rsidRPr="00E42C6B" w:rsidR="008E7F47">
        <w:rPr>
          <w:rStyle w:val="FootnoteReference"/>
          <w:rFonts w:cs="Calibri (Body)"/>
          <w:color w:val="000000" w:themeColor="text1"/>
          <w:sz w:val="24"/>
          <w:szCs w:val="24"/>
          <w:vertAlign w:val="superscript"/>
        </w:rPr>
        <w:footnoteReference w:id="1"/>
      </w:r>
      <w:r w:rsidRPr="00E42C6B" w:rsidR="005C51CC">
        <w:rPr>
          <w:rFonts w:cs="Calibri (Body)"/>
          <w:color w:val="000000" w:themeColor="text1"/>
          <w:sz w:val="24"/>
          <w:szCs w:val="24"/>
          <w:vertAlign w:val="superscript"/>
        </w:rPr>
        <w:t xml:space="preserve"> </w:t>
      </w:r>
      <w:r w:rsidRPr="0080567E" w:rsidR="00AF1D3A">
        <w:rPr>
          <w:rFonts w:cstheme="minorHAnsi"/>
          <w:color w:val="000000" w:themeColor="text1"/>
          <w:sz w:val="24"/>
          <w:szCs w:val="24"/>
        </w:rPr>
        <w:t>Assuming a 40-hour workweek over the course of 52 weeks annually, the hourly wage for this occupation is approximately $</w:t>
      </w:r>
      <w:r w:rsidRPr="0080567E" w:rsidR="005C51CC">
        <w:rPr>
          <w:rFonts w:cstheme="minorHAnsi"/>
          <w:color w:val="000000" w:themeColor="text1"/>
          <w:sz w:val="24"/>
          <w:szCs w:val="24"/>
        </w:rPr>
        <w:t>61</w:t>
      </w:r>
      <w:r w:rsidRPr="0080567E" w:rsidR="00AF1D3A">
        <w:rPr>
          <w:rFonts w:cstheme="minorHAnsi"/>
          <w:color w:val="000000" w:themeColor="text1"/>
          <w:sz w:val="24"/>
          <w:szCs w:val="24"/>
        </w:rPr>
        <w:t>.00</w:t>
      </w:r>
      <w:r w:rsidRPr="0080567E" w:rsidR="0080567E">
        <w:rPr>
          <w:rFonts w:cstheme="minorHAnsi"/>
          <w:color w:val="000000" w:themeColor="text1"/>
          <w:sz w:val="24"/>
          <w:szCs w:val="24"/>
        </w:rPr>
        <w:t xml:space="preserve"> per hour</w:t>
      </w:r>
      <w:r w:rsidRPr="0080567E" w:rsidR="00AF1D3A">
        <w:rPr>
          <w:rFonts w:cstheme="minorHAnsi"/>
          <w:color w:val="000000" w:themeColor="text1"/>
          <w:sz w:val="24"/>
          <w:szCs w:val="24"/>
        </w:rPr>
        <w:t xml:space="preserve">. </w:t>
      </w:r>
    </w:p>
    <w:p w:rsidRPr="00361CE0" w:rsidR="00A63D7F" w:rsidP="0080567E" w:rsidRDefault="005C51CC" w14:paraId="13D42FA4" w14:textId="70EE52FD">
      <w:pPr>
        <w:pStyle w:val="ListParagraph"/>
        <w:numPr>
          <w:ilvl w:val="0"/>
          <w:numId w:val="6"/>
        </w:numPr>
        <w:spacing w:line="480" w:lineRule="auto"/>
        <w:rPr>
          <w:rFonts w:cstheme="minorHAnsi"/>
          <w:color w:val="000000" w:themeColor="text1"/>
        </w:rPr>
      </w:pPr>
      <w:r w:rsidRPr="0080567E">
        <w:rPr>
          <w:rFonts w:cstheme="minorHAnsi"/>
          <w:color w:val="000000" w:themeColor="text1"/>
          <w:sz w:val="24"/>
          <w:szCs w:val="24"/>
        </w:rPr>
        <w:lastRenderedPageBreak/>
        <w:t>By multiplying the hourly wage by the number of survey hours</w:t>
      </w:r>
      <w:r w:rsidRPr="0080567E" w:rsidR="00AF1D3A">
        <w:rPr>
          <w:rFonts w:cstheme="minorHAnsi"/>
          <w:color w:val="000000" w:themeColor="text1"/>
          <w:sz w:val="24"/>
          <w:szCs w:val="24"/>
        </w:rPr>
        <w:t xml:space="preserve">, the overall cost to </w:t>
      </w:r>
      <w:r w:rsidRPr="00361CE0" w:rsidR="00AF1D3A">
        <w:rPr>
          <w:rFonts w:cstheme="minorHAnsi"/>
          <w:color w:val="000000" w:themeColor="text1"/>
          <w:sz w:val="24"/>
          <w:szCs w:val="24"/>
        </w:rPr>
        <w:t>survey respondents would be approximately $</w:t>
      </w:r>
      <w:r w:rsidR="007A72A6">
        <w:rPr>
          <w:rFonts w:cstheme="minorHAnsi"/>
          <w:color w:val="000000" w:themeColor="text1"/>
          <w:sz w:val="24"/>
          <w:szCs w:val="24"/>
        </w:rPr>
        <w:t>16</w:t>
      </w:r>
      <w:r w:rsidR="00F730AE">
        <w:rPr>
          <w:rFonts w:cstheme="minorHAnsi"/>
          <w:color w:val="000000" w:themeColor="text1"/>
          <w:sz w:val="24"/>
          <w:szCs w:val="24"/>
        </w:rPr>
        <w:t>6,53</w:t>
      </w:r>
      <w:r w:rsidR="007A72A6">
        <w:rPr>
          <w:rFonts w:cstheme="minorHAnsi"/>
          <w:color w:val="000000" w:themeColor="text1"/>
          <w:sz w:val="24"/>
          <w:szCs w:val="24"/>
        </w:rPr>
        <w:t>0</w:t>
      </w:r>
      <w:r w:rsidR="008A5F82">
        <w:rPr>
          <w:rFonts w:cstheme="minorHAnsi"/>
          <w:color w:val="000000" w:themeColor="text1"/>
          <w:sz w:val="24"/>
          <w:szCs w:val="24"/>
        </w:rPr>
        <w:t>, or $20.33 per respondent</w:t>
      </w:r>
      <w:r w:rsidRPr="00361CE0" w:rsidR="00AF1D3A">
        <w:rPr>
          <w:rFonts w:cstheme="minorHAnsi"/>
          <w:color w:val="000000" w:themeColor="text1"/>
          <w:sz w:val="24"/>
          <w:szCs w:val="24"/>
        </w:rPr>
        <w:t>.</w:t>
      </w:r>
      <w:r w:rsidRPr="00361CE0" w:rsidR="0080567E">
        <w:rPr>
          <w:rFonts w:cstheme="minorHAnsi"/>
          <w:color w:val="000000" w:themeColor="text1"/>
        </w:rPr>
        <w:t xml:space="preserve"> </w:t>
      </w:r>
    </w:p>
    <w:p w:rsidRPr="00361CE0" w:rsidR="00181B91" w:rsidP="00181B91" w:rsidRDefault="00181B91" w14:paraId="3EB64812" w14:textId="4B2D3449">
      <w:pPr>
        <w:pStyle w:val="Hdng2-IPR"/>
        <w:rPr>
          <w:color w:val="000000" w:themeColor="text1"/>
        </w:rPr>
      </w:pPr>
      <w:bookmarkStart w:name="_Toc351666587" w:id="49"/>
      <w:bookmarkStart w:name="_Toc416426572" w:id="50"/>
      <w:r w:rsidRPr="00361CE0">
        <w:rPr>
          <w:color w:val="000000" w:themeColor="text1"/>
        </w:rPr>
        <w:t>A.13.</w:t>
      </w:r>
      <w:r w:rsidRPr="00361CE0">
        <w:rPr>
          <w:color w:val="000000" w:themeColor="text1"/>
        </w:rPr>
        <w:tab/>
        <w:t>Estimates of Other Total Annual Cost Burden to Respondents or Record Keepers</w:t>
      </w:r>
      <w:bookmarkEnd w:id="49"/>
      <w:bookmarkEnd w:id="50"/>
    </w:p>
    <w:p w:rsidRPr="00361CE0" w:rsidR="00181B91" w:rsidP="00181B91" w:rsidRDefault="00181B91" w14:paraId="71F7BA85" w14:textId="77777777">
      <w:pPr>
        <w:pStyle w:val="OMBRequirementCalibri"/>
        <w:rPr>
          <w:rFonts w:cstheme="minorHAnsi"/>
          <w:color w:val="000000" w:themeColor="text1"/>
        </w:rPr>
      </w:pPr>
      <w:r w:rsidRPr="00361CE0">
        <w:rPr>
          <w:rFonts w:cstheme="minorHAnsi"/>
          <w:color w:val="000000" w:themeColor="text1"/>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8E6A71" w:rsidR="00181B91" w:rsidP="00181B91" w:rsidRDefault="00644E85" w14:paraId="47BB744E" w14:textId="57E28DF6">
      <w:pPr>
        <w:pStyle w:val="Body12ptCalibri-IPR"/>
        <w:rPr>
          <w:rFonts w:cstheme="minorHAnsi"/>
          <w:color w:val="000000" w:themeColor="text1"/>
        </w:rPr>
      </w:pPr>
      <w:r w:rsidRPr="00361CE0">
        <w:rPr>
          <w:rFonts w:cstheme="minorHAnsi"/>
          <w:color w:val="000000" w:themeColor="text1"/>
          <w:lang w:bidi="he-IL"/>
        </w:rPr>
        <w:t>The</w:t>
      </w:r>
      <w:r w:rsidRPr="00361CE0" w:rsidR="00361CE0">
        <w:rPr>
          <w:rFonts w:cstheme="minorHAnsi"/>
          <w:color w:val="000000" w:themeColor="text1"/>
          <w:lang w:bidi="he-IL"/>
        </w:rPr>
        <w:t xml:space="preserve"> collection of this</w:t>
      </w:r>
      <w:r w:rsidRPr="00361CE0">
        <w:rPr>
          <w:rFonts w:cstheme="minorHAnsi"/>
          <w:color w:val="000000" w:themeColor="text1"/>
          <w:lang w:bidi="he-IL"/>
        </w:rPr>
        <w:t xml:space="preserve"> information </w:t>
      </w:r>
      <w:r w:rsidRPr="00361CE0" w:rsidR="00361CE0">
        <w:rPr>
          <w:rFonts w:cstheme="minorHAnsi"/>
          <w:color w:val="000000" w:themeColor="text1"/>
          <w:lang w:bidi="he-IL"/>
        </w:rPr>
        <w:t>does not add any</w:t>
      </w:r>
      <w:r w:rsidRPr="00361CE0">
        <w:rPr>
          <w:rFonts w:cstheme="minorHAnsi"/>
          <w:color w:val="000000" w:themeColor="text1"/>
          <w:lang w:bidi="he-IL"/>
        </w:rPr>
        <w:t xml:space="preserve"> additional costs </w:t>
      </w:r>
      <w:r w:rsidR="008B7B4C">
        <w:rPr>
          <w:rFonts w:cstheme="minorHAnsi"/>
          <w:color w:val="000000" w:themeColor="text1"/>
          <w:lang w:bidi="he-IL"/>
        </w:rPr>
        <w:t>to</w:t>
      </w:r>
      <w:r w:rsidRPr="00361CE0">
        <w:rPr>
          <w:rFonts w:cstheme="minorHAnsi"/>
          <w:color w:val="000000" w:themeColor="text1"/>
          <w:lang w:bidi="he-IL"/>
        </w:rPr>
        <w:t xml:space="preserve"> respondents or </w:t>
      </w:r>
      <w:r w:rsidRPr="008E6A71">
        <w:rPr>
          <w:rFonts w:cstheme="minorHAnsi"/>
          <w:color w:val="000000" w:themeColor="text1"/>
          <w:lang w:bidi="he-IL"/>
        </w:rPr>
        <w:t>record keepers</w:t>
      </w:r>
      <w:r w:rsidR="00E42C6B">
        <w:rPr>
          <w:rFonts w:cstheme="minorHAnsi"/>
          <w:color w:val="000000" w:themeColor="text1"/>
          <w:lang w:bidi="he-IL"/>
        </w:rPr>
        <w:t xml:space="preserve"> other than the hour burden costs described in Sections A.12 and A.14</w:t>
      </w:r>
      <w:r w:rsidRPr="008E6A71">
        <w:rPr>
          <w:rFonts w:cstheme="minorHAnsi"/>
          <w:color w:val="000000" w:themeColor="text1"/>
          <w:lang w:bidi="he-IL"/>
        </w:rPr>
        <w:t xml:space="preserve">. </w:t>
      </w:r>
      <w:r w:rsidRPr="008E6A71" w:rsidR="00181B91">
        <w:rPr>
          <w:rFonts w:cstheme="minorHAnsi"/>
          <w:color w:val="000000" w:themeColor="text1"/>
          <w:lang w:bidi="he-IL"/>
        </w:rPr>
        <w:t xml:space="preserve"> </w:t>
      </w:r>
    </w:p>
    <w:p w:rsidRPr="008E6A71" w:rsidR="00181B91" w:rsidP="00181B91" w:rsidRDefault="00181B91" w14:paraId="7D69B511" w14:textId="2A0ACE87">
      <w:pPr>
        <w:pStyle w:val="Hdng2-IPR"/>
        <w:rPr>
          <w:color w:val="000000" w:themeColor="text1"/>
        </w:rPr>
      </w:pPr>
      <w:bookmarkStart w:name="_Toc133208887" w:id="51"/>
      <w:bookmarkStart w:name="_Toc329426286" w:id="52"/>
      <w:bookmarkStart w:name="_Toc335320956" w:id="53"/>
      <w:bookmarkStart w:name="_Toc351666588" w:id="54"/>
      <w:bookmarkStart w:name="_Toc416426573" w:id="55"/>
      <w:r w:rsidRPr="008E6A71">
        <w:rPr>
          <w:color w:val="000000" w:themeColor="text1"/>
        </w:rPr>
        <w:t>A.14.</w:t>
      </w:r>
      <w:r w:rsidRPr="008E6A71">
        <w:rPr>
          <w:color w:val="000000" w:themeColor="text1"/>
        </w:rPr>
        <w:tab/>
        <w:t>Annualized Cost to Federal Government</w:t>
      </w:r>
      <w:bookmarkEnd w:id="51"/>
      <w:bookmarkEnd w:id="52"/>
      <w:bookmarkEnd w:id="53"/>
      <w:bookmarkEnd w:id="54"/>
      <w:bookmarkEnd w:id="55"/>
    </w:p>
    <w:p w:rsidRPr="008E6A71" w:rsidR="00181B91" w:rsidP="00181B91" w:rsidRDefault="00181B91" w14:paraId="5B543A1F" w14:textId="77777777">
      <w:pPr>
        <w:pStyle w:val="OMBRequirementCalibri"/>
        <w:rPr>
          <w:rFonts w:cstheme="minorHAnsi"/>
          <w:color w:val="000000" w:themeColor="text1"/>
        </w:rPr>
      </w:pPr>
      <w:r w:rsidRPr="008E6A71">
        <w:rPr>
          <w:rFonts w:cstheme="minorHAnsi"/>
          <w:color w:val="000000" w:themeColor="text1"/>
        </w:rPr>
        <w:t>Provide estimates of annualized cost to the Federal government. Also, provide a description of the method used to estimate cost and any other expense that would not have been incurred without this collection of information.</w:t>
      </w:r>
    </w:p>
    <w:p w:rsidRPr="008E6A71" w:rsidR="00181B91" w:rsidP="00181B91" w:rsidRDefault="00181B91" w14:paraId="4946954C" w14:textId="14E97F12">
      <w:pPr>
        <w:pStyle w:val="Body12ptCalibri-IPR"/>
        <w:rPr>
          <w:rFonts w:cstheme="minorHAnsi"/>
          <w:color w:val="000000" w:themeColor="text1"/>
        </w:rPr>
      </w:pPr>
      <w:bookmarkStart w:name="_Hlk57191883" w:id="56"/>
      <w:r w:rsidRPr="00C47803">
        <w:rPr>
          <w:rFonts w:cstheme="minorHAnsi"/>
          <w:color w:val="000000" w:themeColor="text1"/>
        </w:rPr>
        <w:t>The</w:t>
      </w:r>
      <w:r w:rsidRPr="00C47803" w:rsidR="00040027">
        <w:rPr>
          <w:rFonts w:cstheme="minorHAnsi"/>
          <w:color w:val="000000" w:themeColor="text1"/>
        </w:rPr>
        <w:t xml:space="preserve"> estimated</w:t>
      </w:r>
      <w:r w:rsidRPr="00C47803">
        <w:rPr>
          <w:rFonts w:cstheme="minorHAnsi"/>
          <w:color w:val="000000" w:themeColor="text1"/>
        </w:rPr>
        <w:t xml:space="preserve"> </w:t>
      </w:r>
      <w:r w:rsidRPr="00C47803" w:rsidR="00B478BE">
        <w:rPr>
          <w:rFonts w:cstheme="minorHAnsi"/>
          <w:color w:val="000000" w:themeColor="text1"/>
        </w:rPr>
        <w:t>annualized</w:t>
      </w:r>
      <w:r w:rsidRPr="00C47803" w:rsidR="00644E85">
        <w:rPr>
          <w:rFonts w:cstheme="minorHAnsi"/>
          <w:color w:val="000000" w:themeColor="text1"/>
        </w:rPr>
        <w:t xml:space="preserve"> </w:t>
      </w:r>
      <w:r w:rsidRPr="00C47803" w:rsidR="008E6A71">
        <w:rPr>
          <w:rFonts w:cstheme="minorHAnsi"/>
          <w:color w:val="000000" w:themeColor="text1"/>
        </w:rPr>
        <w:t xml:space="preserve">(total) </w:t>
      </w:r>
      <w:r w:rsidRPr="00C47803" w:rsidR="00644E85">
        <w:rPr>
          <w:rFonts w:cstheme="minorHAnsi"/>
          <w:color w:val="000000" w:themeColor="text1"/>
        </w:rPr>
        <w:t xml:space="preserve">cost to the Federal Government </w:t>
      </w:r>
      <w:r w:rsidRPr="00C47803" w:rsidR="008E6A71">
        <w:rPr>
          <w:rFonts w:cstheme="minorHAnsi"/>
          <w:color w:val="000000" w:themeColor="text1"/>
        </w:rPr>
        <w:t>for</w:t>
      </w:r>
      <w:r w:rsidRPr="00C47803" w:rsidR="00A63794">
        <w:rPr>
          <w:rFonts w:cstheme="minorHAnsi"/>
          <w:color w:val="000000" w:themeColor="text1"/>
        </w:rPr>
        <w:t xml:space="preserve"> conduct</w:t>
      </w:r>
      <w:r w:rsidRPr="00C47803" w:rsidR="008E6A71">
        <w:rPr>
          <w:rFonts w:cstheme="minorHAnsi"/>
          <w:color w:val="000000" w:themeColor="text1"/>
        </w:rPr>
        <w:t>ing</w:t>
      </w:r>
      <w:r w:rsidRPr="00C47803" w:rsidR="00A63794">
        <w:rPr>
          <w:rFonts w:cstheme="minorHAnsi"/>
          <w:color w:val="000000" w:themeColor="text1"/>
        </w:rPr>
        <w:t xml:space="preserve"> the </w:t>
      </w:r>
      <w:r w:rsidRPr="00C47803" w:rsidR="008E6A71">
        <w:rPr>
          <w:rFonts w:cstheme="minorHAnsi"/>
          <w:color w:val="000000" w:themeColor="text1"/>
        </w:rPr>
        <w:t xml:space="preserve">study is </w:t>
      </w:r>
      <w:r w:rsidRPr="00C47803" w:rsidR="007E42FD">
        <w:rPr>
          <w:rFonts w:cstheme="minorHAnsi"/>
          <w:color w:val="000000" w:themeColor="text1"/>
        </w:rPr>
        <w:t>$</w:t>
      </w:r>
      <w:r w:rsidRPr="00C47803" w:rsidR="00B15E4B">
        <w:rPr>
          <w:color w:val="000000" w:themeColor="text1"/>
        </w:rPr>
        <w:t>19,160</w:t>
      </w:r>
      <w:r w:rsidRPr="00C47803" w:rsidR="00644E85">
        <w:rPr>
          <w:rFonts w:cstheme="minorHAnsi"/>
          <w:color w:val="000000" w:themeColor="text1"/>
        </w:rPr>
        <w:t>.</w:t>
      </w:r>
      <w:r w:rsidRPr="00C47803" w:rsidR="00B15E4B">
        <w:rPr>
          <w:rFonts w:cstheme="minorHAnsi"/>
          <w:color w:val="000000" w:themeColor="text1"/>
        </w:rPr>
        <w:t xml:space="preserve"> Since this data collection will occur only once in the life of this contract and all one-off costs are associated with this single data collection point, the annualized cost is equal to the total cost of this data collection and reporting instance. </w:t>
      </w:r>
      <w:r w:rsidRPr="00C47803">
        <w:rPr>
          <w:rFonts w:cstheme="minorHAnsi"/>
          <w:color w:val="000000" w:themeColor="text1"/>
        </w:rPr>
        <w:t>This total includes costs associated with the study design</w:t>
      </w:r>
      <w:r w:rsidRPr="00C47803" w:rsidR="008E6A71">
        <w:rPr>
          <w:rFonts w:cstheme="minorHAnsi"/>
          <w:color w:val="000000" w:themeColor="text1"/>
        </w:rPr>
        <w:t>;</w:t>
      </w:r>
      <w:r w:rsidRPr="00C47803">
        <w:rPr>
          <w:rFonts w:cstheme="minorHAnsi"/>
          <w:color w:val="000000" w:themeColor="text1"/>
        </w:rPr>
        <w:t xml:space="preserve"> </w:t>
      </w:r>
      <w:r w:rsidRPr="00C47803" w:rsidR="008E6A71">
        <w:rPr>
          <w:rFonts w:cstheme="minorHAnsi"/>
          <w:color w:val="000000" w:themeColor="text1"/>
        </w:rPr>
        <w:t>survey</w:t>
      </w:r>
      <w:r w:rsidRPr="00C47803">
        <w:rPr>
          <w:rFonts w:cstheme="minorHAnsi"/>
          <w:color w:val="000000" w:themeColor="text1"/>
        </w:rPr>
        <w:t xml:space="preserve"> development</w:t>
      </w:r>
      <w:r w:rsidRPr="00C47803" w:rsidR="008E6A71">
        <w:rPr>
          <w:rFonts w:cstheme="minorHAnsi"/>
          <w:color w:val="000000" w:themeColor="text1"/>
        </w:rPr>
        <w:t>,</w:t>
      </w:r>
      <w:r w:rsidRPr="00C47803">
        <w:rPr>
          <w:rFonts w:cstheme="minorHAnsi"/>
          <w:color w:val="000000" w:themeColor="text1"/>
        </w:rPr>
        <w:t xml:space="preserve"> programming,</w:t>
      </w:r>
      <w:r w:rsidRPr="00C47803" w:rsidR="008E6A71">
        <w:rPr>
          <w:rFonts w:cstheme="minorHAnsi"/>
          <w:color w:val="000000" w:themeColor="text1"/>
        </w:rPr>
        <w:t xml:space="preserve"> and administration (including incentives</w:t>
      </w:r>
      <w:r w:rsidRPr="00C47803" w:rsidR="00B15E4B">
        <w:rPr>
          <w:rFonts w:cstheme="minorHAnsi"/>
          <w:color w:val="000000" w:themeColor="text1"/>
        </w:rPr>
        <w:t xml:space="preserve"> and cost of survey software</w:t>
      </w:r>
      <w:r w:rsidRPr="00C47803" w:rsidR="008E6A71">
        <w:rPr>
          <w:rFonts w:cstheme="minorHAnsi"/>
          <w:color w:val="000000" w:themeColor="text1"/>
        </w:rPr>
        <w:t xml:space="preserve">), </w:t>
      </w:r>
      <w:r w:rsidRPr="00C47803">
        <w:rPr>
          <w:rFonts w:cstheme="minorHAnsi"/>
          <w:color w:val="000000" w:themeColor="text1"/>
        </w:rPr>
        <w:t>analysis, reporting, and presentation of the results.</w:t>
      </w:r>
      <w:r w:rsidRPr="008E6A71">
        <w:rPr>
          <w:rFonts w:cstheme="minorHAnsi"/>
          <w:color w:val="000000" w:themeColor="text1"/>
        </w:rPr>
        <w:t xml:space="preserve"> </w:t>
      </w:r>
      <w:bookmarkEnd w:id="56"/>
    </w:p>
    <w:p w:rsidRPr="00FE57D5" w:rsidR="00181B91" w:rsidP="00181B91" w:rsidRDefault="00181B91" w14:paraId="33DA5CE0" w14:textId="7A6B6C6D">
      <w:pPr>
        <w:pStyle w:val="Hdng2-IPR"/>
        <w:rPr>
          <w:color w:val="000000" w:themeColor="text1"/>
        </w:rPr>
      </w:pPr>
      <w:bookmarkStart w:name="_Toc133208888" w:id="57"/>
      <w:bookmarkStart w:name="_Toc329426287" w:id="58"/>
      <w:bookmarkStart w:name="_Toc335320957" w:id="59"/>
      <w:bookmarkStart w:name="_Toc351666589" w:id="60"/>
      <w:bookmarkStart w:name="_Toc416426574" w:id="61"/>
      <w:r w:rsidRPr="00FE57D5">
        <w:rPr>
          <w:color w:val="000000" w:themeColor="text1"/>
        </w:rPr>
        <w:t>A.15.</w:t>
      </w:r>
      <w:r w:rsidRPr="00FE57D5">
        <w:rPr>
          <w:color w:val="000000" w:themeColor="text1"/>
        </w:rPr>
        <w:tab/>
      </w:r>
      <w:bookmarkEnd w:id="57"/>
      <w:r w:rsidRPr="00FE57D5">
        <w:rPr>
          <w:color w:val="000000" w:themeColor="text1"/>
        </w:rPr>
        <w:t>Explanation for Program Changes or Adjustments</w:t>
      </w:r>
      <w:bookmarkEnd w:id="58"/>
      <w:bookmarkEnd w:id="59"/>
      <w:bookmarkEnd w:id="60"/>
      <w:bookmarkEnd w:id="61"/>
    </w:p>
    <w:p w:rsidRPr="00FE57D5" w:rsidR="00181B91" w:rsidP="00181B91" w:rsidRDefault="00181B91" w14:paraId="5B29D62A" w14:textId="77777777">
      <w:pPr>
        <w:pStyle w:val="OMBRequirementCalibri"/>
        <w:rPr>
          <w:rFonts w:cstheme="minorHAnsi"/>
          <w:color w:val="000000" w:themeColor="text1"/>
        </w:rPr>
      </w:pPr>
      <w:r w:rsidRPr="00FE57D5">
        <w:rPr>
          <w:rFonts w:cstheme="minorHAnsi"/>
          <w:color w:val="000000" w:themeColor="text1"/>
        </w:rPr>
        <w:t>Explain the reasons for any program changes or adjustments reported in Items 13 or 14 of the OMB Form 83-1.</w:t>
      </w:r>
    </w:p>
    <w:p w:rsidRPr="00FE57D5" w:rsidR="00181B91" w:rsidP="00181B91" w:rsidRDefault="00FE57D5" w14:paraId="6F09EC76" w14:textId="5233432B">
      <w:pPr>
        <w:pStyle w:val="Body12ptCalibri-IPR"/>
        <w:rPr>
          <w:rFonts w:cstheme="minorHAnsi"/>
          <w:color w:val="000000" w:themeColor="text1"/>
        </w:rPr>
      </w:pPr>
      <w:r>
        <w:rPr>
          <w:rFonts w:cstheme="minorHAnsi"/>
          <w:color w:val="000000" w:themeColor="text1"/>
        </w:rPr>
        <w:t xml:space="preserve">Not applicable. </w:t>
      </w:r>
      <w:r w:rsidRPr="00FE57D5" w:rsidR="00644E85">
        <w:rPr>
          <w:rFonts w:cstheme="minorHAnsi"/>
          <w:color w:val="000000" w:themeColor="text1"/>
        </w:rPr>
        <w:t xml:space="preserve">This is a new submission. </w:t>
      </w:r>
    </w:p>
    <w:p w:rsidRPr="00F7756A" w:rsidR="00181B91" w:rsidP="00181B91" w:rsidRDefault="00181B91" w14:paraId="1102442F" w14:textId="2E2F3674">
      <w:pPr>
        <w:pStyle w:val="Hdng2-IPR"/>
        <w:rPr>
          <w:color w:val="000000" w:themeColor="text1"/>
        </w:rPr>
      </w:pPr>
      <w:bookmarkStart w:name="_Toc133208890" w:id="62"/>
      <w:bookmarkStart w:name="_Toc329426288" w:id="63"/>
      <w:bookmarkStart w:name="_Toc335320958" w:id="64"/>
      <w:bookmarkStart w:name="_Toc351666590" w:id="65"/>
      <w:bookmarkStart w:name="_Toc416426575" w:id="66"/>
      <w:r w:rsidRPr="00F7756A">
        <w:rPr>
          <w:color w:val="000000" w:themeColor="text1"/>
        </w:rPr>
        <w:lastRenderedPageBreak/>
        <w:t>A.16.</w:t>
      </w:r>
      <w:r w:rsidRPr="00F7756A">
        <w:rPr>
          <w:color w:val="000000" w:themeColor="text1"/>
        </w:rPr>
        <w:tab/>
      </w:r>
      <w:bookmarkEnd w:id="62"/>
      <w:r w:rsidRPr="00F7756A">
        <w:rPr>
          <w:color w:val="000000" w:themeColor="text1"/>
        </w:rPr>
        <w:t>Plans for Tabulation and Publication and Project Time Schedule</w:t>
      </w:r>
      <w:bookmarkEnd w:id="63"/>
      <w:bookmarkEnd w:id="64"/>
      <w:bookmarkEnd w:id="65"/>
      <w:bookmarkEnd w:id="66"/>
    </w:p>
    <w:p w:rsidRPr="00C020F7" w:rsidR="00181B91" w:rsidP="00181B91" w:rsidRDefault="00181B91" w14:paraId="1EFE88BB" w14:textId="77777777">
      <w:pPr>
        <w:pStyle w:val="OMBRequirementCalibri"/>
        <w:rPr>
          <w:rFonts w:cstheme="minorHAnsi"/>
          <w:color w:val="000000" w:themeColor="text1"/>
        </w:rPr>
      </w:pPr>
      <w:r w:rsidRPr="00F7756A">
        <w:rPr>
          <w:rFonts w:cstheme="minorHAnsi"/>
          <w:color w:val="000000" w:themeColor="text1"/>
        </w:rPr>
        <w:t xml:space="preserve">For collections of information whose results are planned to be published, outline plans for </w:t>
      </w:r>
      <w:r w:rsidRPr="00C020F7">
        <w:rPr>
          <w:rFonts w:cstheme="minorHAnsi"/>
          <w:color w:val="000000" w:themeColor="text1"/>
        </w:rPr>
        <w:t>tabulation and publication.</w:t>
      </w:r>
    </w:p>
    <w:p w:rsidR="003B1FCC" w:rsidP="003B1FCC" w:rsidRDefault="00F7756A" w14:paraId="0AE4AA3D" w14:textId="5D9D6AD4">
      <w:pPr>
        <w:spacing w:after="0" w:line="480" w:lineRule="auto"/>
        <w:ind w:firstLine="720"/>
        <w:rPr>
          <w:rFonts w:cstheme="minorHAnsi"/>
          <w:color w:val="000000" w:themeColor="text1"/>
          <w:sz w:val="24"/>
          <w:szCs w:val="24"/>
        </w:rPr>
      </w:pPr>
      <w:r w:rsidRPr="00C020F7">
        <w:rPr>
          <w:rFonts w:cstheme="minorHAnsi"/>
          <w:color w:val="000000" w:themeColor="text1"/>
          <w:sz w:val="24"/>
          <w:szCs w:val="24"/>
        </w:rPr>
        <w:t>D</w:t>
      </w:r>
      <w:r w:rsidRPr="00C020F7" w:rsidR="00C5594F">
        <w:rPr>
          <w:rFonts w:cstheme="minorHAnsi"/>
          <w:color w:val="000000" w:themeColor="text1"/>
          <w:sz w:val="24"/>
          <w:szCs w:val="24"/>
        </w:rPr>
        <w:t xml:space="preserve">ata </w:t>
      </w:r>
      <w:r w:rsidRPr="00C020F7">
        <w:rPr>
          <w:rFonts w:cstheme="minorHAnsi"/>
          <w:color w:val="000000" w:themeColor="text1"/>
          <w:sz w:val="24"/>
          <w:szCs w:val="24"/>
        </w:rPr>
        <w:t xml:space="preserve">from the REU Past Participant Survey and the REU Mentor Survey </w:t>
      </w:r>
      <w:r w:rsidR="00F865F3">
        <w:rPr>
          <w:rFonts w:cstheme="minorHAnsi"/>
          <w:color w:val="000000" w:themeColor="text1"/>
          <w:sz w:val="24"/>
          <w:szCs w:val="24"/>
        </w:rPr>
        <w:t>are</w:t>
      </w:r>
      <w:r w:rsidRPr="00C020F7">
        <w:rPr>
          <w:rFonts w:cstheme="minorHAnsi"/>
          <w:color w:val="000000" w:themeColor="text1"/>
          <w:sz w:val="24"/>
          <w:szCs w:val="24"/>
        </w:rPr>
        <w:t xml:space="preserve"> expected to be collected over a one- to two-month period in Fall 2021. After data collection closes, CERP will spend </w:t>
      </w:r>
      <w:r w:rsidR="005A2CCB">
        <w:rPr>
          <w:rFonts w:cstheme="minorHAnsi"/>
          <w:color w:val="000000" w:themeColor="text1"/>
          <w:sz w:val="24"/>
          <w:szCs w:val="24"/>
        </w:rPr>
        <w:t xml:space="preserve">two months </w:t>
      </w:r>
      <w:r w:rsidRPr="00C020F7">
        <w:rPr>
          <w:rFonts w:cstheme="minorHAnsi"/>
          <w:color w:val="000000" w:themeColor="text1"/>
          <w:sz w:val="24"/>
          <w:szCs w:val="24"/>
        </w:rPr>
        <w:t>preparing</w:t>
      </w:r>
      <w:r w:rsidRPr="00C020F7" w:rsidR="005675F7">
        <w:rPr>
          <w:rFonts w:cstheme="minorHAnsi"/>
          <w:color w:val="000000" w:themeColor="text1"/>
          <w:sz w:val="24"/>
          <w:szCs w:val="24"/>
        </w:rPr>
        <w:t xml:space="preserve">, </w:t>
      </w:r>
      <w:r w:rsidRPr="00C020F7">
        <w:rPr>
          <w:rFonts w:cstheme="minorHAnsi"/>
          <w:color w:val="000000" w:themeColor="text1"/>
          <w:sz w:val="24"/>
          <w:szCs w:val="24"/>
        </w:rPr>
        <w:t>analyzing</w:t>
      </w:r>
      <w:r w:rsidRPr="00C020F7" w:rsidR="005675F7">
        <w:rPr>
          <w:rFonts w:cstheme="minorHAnsi"/>
          <w:color w:val="000000" w:themeColor="text1"/>
          <w:sz w:val="24"/>
          <w:szCs w:val="24"/>
        </w:rPr>
        <w:t>, and summarizing</w:t>
      </w:r>
      <w:r w:rsidRPr="00C020F7">
        <w:rPr>
          <w:rFonts w:cstheme="minorHAnsi"/>
          <w:color w:val="000000" w:themeColor="text1"/>
          <w:sz w:val="24"/>
          <w:szCs w:val="24"/>
        </w:rPr>
        <w:t xml:space="preserve"> the data, including: data cleaning and new variable construction, computing survey response rates, running descriptive statistics of the responding participants, providing a summary of survey item responses, and answering </w:t>
      </w:r>
      <w:r w:rsidRPr="00C020F7" w:rsidR="005675F7">
        <w:rPr>
          <w:rFonts w:cstheme="minorHAnsi"/>
          <w:color w:val="000000" w:themeColor="text1"/>
          <w:sz w:val="24"/>
          <w:szCs w:val="24"/>
        </w:rPr>
        <w:t xml:space="preserve">each </w:t>
      </w:r>
      <w:r w:rsidRPr="00C020F7">
        <w:rPr>
          <w:rFonts w:cstheme="minorHAnsi"/>
          <w:color w:val="000000" w:themeColor="text1"/>
          <w:sz w:val="24"/>
          <w:szCs w:val="24"/>
        </w:rPr>
        <w:t xml:space="preserve">the research </w:t>
      </w:r>
      <w:r w:rsidR="00B71DCE">
        <w:rPr>
          <w:rFonts w:cstheme="minorHAnsi"/>
          <w:color w:val="000000" w:themeColor="text1"/>
          <w:sz w:val="24"/>
          <w:szCs w:val="24"/>
        </w:rPr>
        <w:t xml:space="preserve">and evaluation </w:t>
      </w:r>
      <w:r w:rsidRPr="00C020F7" w:rsidR="00C020F7">
        <w:rPr>
          <w:rFonts w:cstheme="minorHAnsi"/>
          <w:color w:val="000000" w:themeColor="text1"/>
          <w:sz w:val="24"/>
          <w:szCs w:val="24"/>
        </w:rPr>
        <w:t>objectives</w:t>
      </w:r>
      <w:r w:rsidRPr="00C020F7">
        <w:rPr>
          <w:rFonts w:cstheme="minorHAnsi"/>
          <w:color w:val="000000" w:themeColor="text1"/>
          <w:sz w:val="24"/>
          <w:szCs w:val="24"/>
        </w:rPr>
        <w:t xml:space="preserve"> identified </w:t>
      </w:r>
      <w:r w:rsidRPr="00C020F7" w:rsidR="00102886">
        <w:rPr>
          <w:rFonts w:cstheme="minorHAnsi"/>
          <w:color w:val="000000" w:themeColor="text1"/>
          <w:sz w:val="24"/>
          <w:szCs w:val="24"/>
        </w:rPr>
        <w:t>in Section A.2 (“Purpose and Use of the Information”)</w:t>
      </w:r>
      <w:r w:rsidRPr="00C020F7" w:rsidR="00C020F7">
        <w:rPr>
          <w:rFonts w:cstheme="minorHAnsi"/>
          <w:color w:val="000000" w:themeColor="text1"/>
          <w:sz w:val="24"/>
          <w:szCs w:val="24"/>
        </w:rPr>
        <w:t xml:space="preserve"> and reproduced below: </w:t>
      </w:r>
    </w:p>
    <w:p w:rsidRPr="008E7F47" w:rsidR="008B7B4C" w:rsidP="008B7B4C" w:rsidRDefault="008B7B4C" w14:paraId="66E05D50" w14:textId="77777777">
      <w:pPr>
        <w:pStyle w:val="ListParagraph"/>
        <w:numPr>
          <w:ilvl w:val="0"/>
          <w:numId w:val="10"/>
        </w:numPr>
        <w:spacing w:after="0" w:line="480" w:lineRule="auto"/>
        <w:rPr>
          <w:rFonts w:ascii="Calibri" w:hAnsi="Calibri" w:eastAsia="Times New Roman" w:cs="Arial"/>
          <w:color w:val="000000" w:themeColor="text1"/>
          <w:sz w:val="24"/>
          <w:szCs w:val="24"/>
        </w:rPr>
      </w:pPr>
      <w:r w:rsidRPr="008E7F47">
        <w:rPr>
          <w:rFonts w:ascii="Calibri" w:hAnsi="Calibri" w:eastAsia="Times New Roman" w:cs="Arial"/>
          <w:color w:val="000000" w:themeColor="text1"/>
          <w:sz w:val="24"/>
          <w:szCs w:val="24"/>
        </w:rPr>
        <w:t>Identify the career trajectory of the REU participants since their participation in the REU program including degrees they received, institutions they attended, and their current status (e.g., employed, graduate students).</w:t>
      </w:r>
    </w:p>
    <w:p w:rsidRPr="008E7F47" w:rsidR="008B7B4C" w:rsidP="008B7B4C" w:rsidRDefault="008B7B4C" w14:paraId="4868AF69" w14:textId="77777777">
      <w:pPr>
        <w:pStyle w:val="ListParagraph"/>
        <w:numPr>
          <w:ilvl w:val="0"/>
          <w:numId w:val="10"/>
        </w:numPr>
        <w:spacing w:after="0" w:line="480" w:lineRule="auto"/>
        <w:rPr>
          <w:rFonts w:ascii="Calibri" w:hAnsi="Calibri" w:eastAsia="Times New Roman" w:cs="Arial"/>
          <w:color w:val="000000" w:themeColor="text1"/>
          <w:sz w:val="24"/>
          <w:szCs w:val="24"/>
        </w:rPr>
      </w:pPr>
      <w:r w:rsidRPr="008E7F47">
        <w:rPr>
          <w:rFonts w:ascii="Calibri" w:hAnsi="Calibri" w:eastAsia="Times New Roman" w:cs="Arial"/>
          <w:color w:val="000000" w:themeColor="text1"/>
          <w:sz w:val="24"/>
          <w:szCs w:val="24"/>
        </w:rPr>
        <w:t>Document the structure of the REU experience that the respondents participated in. These may include the type of REU (e.g., Site, Supplement), location of REU, and timing of REU.</w:t>
      </w:r>
    </w:p>
    <w:p w:rsidRPr="008E7F47" w:rsidR="008B7B4C" w:rsidP="008B7B4C" w:rsidRDefault="008B7B4C" w14:paraId="731E37D1" w14:textId="77777777">
      <w:pPr>
        <w:pStyle w:val="ListParagraph"/>
        <w:numPr>
          <w:ilvl w:val="0"/>
          <w:numId w:val="10"/>
        </w:numPr>
        <w:spacing w:after="0" w:line="480" w:lineRule="auto"/>
        <w:rPr>
          <w:rFonts w:ascii="Calibri" w:hAnsi="Calibri" w:eastAsia="Times New Roman" w:cs="Arial"/>
          <w:color w:val="000000" w:themeColor="text1"/>
          <w:sz w:val="24"/>
          <w:szCs w:val="24"/>
        </w:rPr>
      </w:pPr>
      <w:r w:rsidRPr="008E7F47">
        <w:rPr>
          <w:rFonts w:ascii="Calibri" w:hAnsi="Calibri" w:eastAsia="Times New Roman" w:cs="Arial"/>
          <w:color w:val="000000" w:themeColor="text1"/>
          <w:sz w:val="24"/>
          <w:szCs w:val="24"/>
        </w:rPr>
        <w:t>Describe the REU mentors’ perceptions of the REU program on the student participants and the mentors’ career development.</w:t>
      </w:r>
    </w:p>
    <w:p w:rsidRPr="008E7F47" w:rsidR="008B7B4C" w:rsidP="008B7B4C" w:rsidRDefault="008B7B4C" w14:paraId="6950439C" w14:textId="77777777">
      <w:pPr>
        <w:pStyle w:val="ListParagraph"/>
        <w:numPr>
          <w:ilvl w:val="0"/>
          <w:numId w:val="10"/>
        </w:numPr>
        <w:spacing w:after="0" w:line="480" w:lineRule="auto"/>
        <w:rPr>
          <w:rFonts w:ascii="Calibri" w:hAnsi="Calibri" w:eastAsia="Times New Roman" w:cs="Arial"/>
          <w:color w:val="000000" w:themeColor="text1"/>
          <w:sz w:val="24"/>
          <w:szCs w:val="24"/>
        </w:rPr>
      </w:pPr>
      <w:r w:rsidRPr="008E7F47">
        <w:rPr>
          <w:rFonts w:ascii="Calibri" w:hAnsi="Calibri" w:eastAsia="Times New Roman" w:cs="Arial"/>
          <w:color w:val="000000" w:themeColor="text1"/>
          <w:sz w:val="24"/>
          <w:szCs w:val="24"/>
        </w:rPr>
        <w:t>Examine the skills the participants gained and experiences they had during their REU participation. These may include technical skills, information on graduate school application process, and research training.</w:t>
      </w:r>
    </w:p>
    <w:p w:rsidRPr="008E7F47" w:rsidR="008B7B4C" w:rsidP="008B7B4C" w:rsidRDefault="008B7B4C" w14:paraId="473EAD16" w14:textId="77777777">
      <w:pPr>
        <w:pStyle w:val="ListParagraph"/>
        <w:numPr>
          <w:ilvl w:val="0"/>
          <w:numId w:val="10"/>
        </w:numPr>
        <w:spacing w:after="0" w:line="480" w:lineRule="auto"/>
        <w:rPr>
          <w:rFonts w:ascii="Calibri" w:hAnsi="Calibri" w:eastAsia="Times New Roman" w:cs="Arial"/>
          <w:color w:val="000000" w:themeColor="text1"/>
          <w:sz w:val="24"/>
          <w:szCs w:val="24"/>
        </w:rPr>
      </w:pPr>
      <w:r w:rsidRPr="00C020F7">
        <w:rPr>
          <w:rFonts w:ascii="Calibri" w:hAnsi="Calibri" w:eastAsia="Times New Roman" w:cs="Arial"/>
          <w:color w:val="000000" w:themeColor="text1"/>
          <w:sz w:val="24"/>
          <w:szCs w:val="24"/>
        </w:rPr>
        <w:lastRenderedPageBreak/>
        <w:t xml:space="preserve">Analyze the </w:t>
      </w:r>
      <w:r>
        <w:rPr>
          <w:rFonts w:ascii="Calibri" w:hAnsi="Calibri" w:eastAsia="Times New Roman" w:cs="Arial"/>
          <w:color w:val="000000" w:themeColor="text1"/>
          <w:sz w:val="24"/>
          <w:szCs w:val="24"/>
        </w:rPr>
        <w:t xml:space="preserve">predictors of computing </w:t>
      </w:r>
      <w:r w:rsidRPr="00C020F7">
        <w:rPr>
          <w:rFonts w:ascii="Calibri" w:hAnsi="Calibri" w:eastAsia="Times New Roman" w:cs="Arial"/>
          <w:color w:val="000000" w:themeColor="text1"/>
          <w:sz w:val="24"/>
          <w:szCs w:val="24"/>
        </w:rPr>
        <w:t xml:space="preserve">career </w:t>
      </w:r>
      <w:r>
        <w:rPr>
          <w:rFonts w:ascii="Calibri" w:hAnsi="Calibri" w:eastAsia="Times New Roman" w:cs="Arial"/>
          <w:color w:val="000000" w:themeColor="text1"/>
          <w:sz w:val="24"/>
          <w:szCs w:val="24"/>
        </w:rPr>
        <w:t>choices</w:t>
      </w:r>
      <w:r w:rsidRPr="00C020F7">
        <w:rPr>
          <w:rFonts w:ascii="Calibri" w:hAnsi="Calibri" w:eastAsia="Times New Roman" w:cs="Arial"/>
          <w:color w:val="000000" w:themeColor="text1"/>
          <w:sz w:val="24"/>
          <w:szCs w:val="24"/>
        </w:rPr>
        <w:t xml:space="preserve">, specifically focusing on </w:t>
      </w:r>
      <w:r>
        <w:rPr>
          <w:rFonts w:ascii="Calibri" w:hAnsi="Calibri" w:eastAsia="Times New Roman" w:cs="Arial"/>
          <w:color w:val="000000" w:themeColor="text1"/>
          <w:sz w:val="24"/>
          <w:szCs w:val="24"/>
        </w:rPr>
        <w:t>the</w:t>
      </w:r>
      <w:r w:rsidRPr="00C020F7">
        <w:rPr>
          <w:rFonts w:ascii="Calibri" w:hAnsi="Calibri" w:eastAsia="Times New Roman" w:cs="Arial"/>
          <w:color w:val="000000" w:themeColor="text1"/>
          <w:sz w:val="24"/>
          <w:szCs w:val="24"/>
        </w:rPr>
        <w:t xml:space="preserve"> experiences </w:t>
      </w:r>
      <w:r>
        <w:rPr>
          <w:rFonts w:ascii="Calibri" w:hAnsi="Calibri" w:eastAsia="Times New Roman" w:cs="Arial"/>
          <w:color w:val="000000" w:themeColor="text1"/>
          <w:sz w:val="24"/>
          <w:szCs w:val="24"/>
        </w:rPr>
        <w:t xml:space="preserve">and participant characteristics that </w:t>
      </w:r>
      <w:r w:rsidRPr="008E7F47">
        <w:rPr>
          <w:rFonts w:ascii="Calibri" w:hAnsi="Calibri" w:eastAsia="Times New Roman" w:cs="Arial"/>
          <w:color w:val="000000" w:themeColor="text1"/>
          <w:sz w:val="24"/>
          <w:szCs w:val="24"/>
        </w:rPr>
        <w:t xml:space="preserve">are associated with the participants’ interest in and ultimate selection of research careers in computing. </w:t>
      </w:r>
    </w:p>
    <w:p w:rsidRPr="008E7F47" w:rsidR="008B7B4C" w:rsidP="008B7B4C" w:rsidRDefault="008B7B4C" w14:paraId="4A82F0AB" w14:textId="77777777">
      <w:pPr>
        <w:pStyle w:val="ListParagraph"/>
        <w:numPr>
          <w:ilvl w:val="0"/>
          <w:numId w:val="10"/>
        </w:numPr>
        <w:spacing w:after="0" w:line="480" w:lineRule="auto"/>
        <w:rPr>
          <w:rFonts w:ascii="Calibri" w:hAnsi="Calibri" w:eastAsia="Times New Roman" w:cs="Arial"/>
          <w:color w:val="000000" w:themeColor="text1"/>
          <w:sz w:val="24"/>
          <w:szCs w:val="24"/>
        </w:rPr>
      </w:pPr>
      <w:r w:rsidRPr="008E7F47">
        <w:rPr>
          <w:rFonts w:ascii="Calibri" w:hAnsi="Calibri" w:eastAsia="Times New Roman" w:cs="Arial"/>
          <w:color w:val="000000" w:themeColor="text1"/>
          <w:sz w:val="24"/>
          <w:szCs w:val="24"/>
        </w:rPr>
        <w:t>Compare the</w:t>
      </w:r>
      <w:r>
        <w:rPr>
          <w:rFonts w:ascii="Calibri" w:hAnsi="Calibri" w:eastAsia="Times New Roman" w:cs="Arial"/>
          <w:color w:val="000000" w:themeColor="text1"/>
          <w:sz w:val="24"/>
          <w:szCs w:val="24"/>
        </w:rPr>
        <w:t xml:space="preserve"> backgrounds,</w:t>
      </w:r>
      <w:r w:rsidRPr="008E7F47">
        <w:rPr>
          <w:rFonts w:ascii="Calibri" w:hAnsi="Calibri" w:eastAsia="Times New Roman" w:cs="Arial"/>
          <w:color w:val="000000" w:themeColor="text1"/>
          <w:sz w:val="24"/>
          <w:szCs w:val="24"/>
        </w:rPr>
        <w:t xml:space="preserve"> skills, education, and career pathways of </w:t>
      </w:r>
      <w:r>
        <w:rPr>
          <w:rFonts w:ascii="Calibri" w:hAnsi="Calibri" w:eastAsia="Times New Roman" w:cs="Arial"/>
          <w:color w:val="000000" w:themeColor="text1"/>
          <w:sz w:val="24"/>
          <w:szCs w:val="24"/>
        </w:rPr>
        <w:t xml:space="preserve">NSF </w:t>
      </w:r>
      <w:r w:rsidRPr="008E7F47">
        <w:rPr>
          <w:rFonts w:ascii="Calibri" w:hAnsi="Calibri" w:eastAsia="Times New Roman" w:cs="Arial"/>
          <w:color w:val="000000" w:themeColor="text1"/>
          <w:sz w:val="24"/>
          <w:szCs w:val="24"/>
        </w:rPr>
        <w:t>REU participants to a comparison group of participants who have engaged in other, non-</w:t>
      </w:r>
      <w:r>
        <w:rPr>
          <w:rFonts w:ascii="Calibri" w:hAnsi="Calibri" w:eastAsia="Times New Roman" w:cs="Arial"/>
          <w:color w:val="000000" w:themeColor="text1"/>
          <w:sz w:val="24"/>
          <w:szCs w:val="24"/>
        </w:rPr>
        <w:t xml:space="preserve">NSF </w:t>
      </w:r>
      <w:r w:rsidRPr="008E7F47">
        <w:rPr>
          <w:rFonts w:ascii="Calibri" w:hAnsi="Calibri" w:eastAsia="Times New Roman" w:cs="Arial"/>
          <w:color w:val="000000" w:themeColor="text1"/>
          <w:sz w:val="24"/>
          <w:szCs w:val="24"/>
        </w:rPr>
        <w:t xml:space="preserve">REU research activities and experiences. </w:t>
      </w:r>
    </w:p>
    <w:p w:rsidR="00B7152C" w:rsidP="00181B91" w:rsidRDefault="00181B91" w14:paraId="1208FC88" w14:textId="3DA0162E">
      <w:pPr>
        <w:pStyle w:val="Body12ptCalibri-IPR"/>
        <w:rPr>
          <w:rFonts w:cstheme="minorHAnsi"/>
          <w:color w:val="000000" w:themeColor="text1"/>
          <w:szCs w:val="24"/>
        </w:rPr>
      </w:pPr>
      <w:r w:rsidRPr="00C020F7">
        <w:rPr>
          <w:rFonts w:cstheme="minorHAnsi"/>
          <w:color w:val="000000" w:themeColor="text1"/>
          <w:szCs w:val="24"/>
        </w:rPr>
        <w:t xml:space="preserve">Survey data will be </w:t>
      </w:r>
      <w:r w:rsidRPr="00C020F7" w:rsidR="00993857">
        <w:rPr>
          <w:rFonts w:cstheme="minorHAnsi"/>
          <w:color w:val="000000" w:themeColor="text1"/>
          <w:szCs w:val="24"/>
        </w:rPr>
        <w:t>analyzed using SPSS and R statistical software packages</w:t>
      </w:r>
      <w:r w:rsidRPr="00C020F7" w:rsidR="005675F7">
        <w:rPr>
          <w:rFonts w:cstheme="minorHAnsi"/>
          <w:color w:val="000000" w:themeColor="text1"/>
          <w:szCs w:val="24"/>
        </w:rPr>
        <w:t>. Analyses will be summarized with a combination of text</w:t>
      </w:r>
      <w:r w:rsidRPr="00C020F7" w:rsidR="00C020F7">
        <w:rPr>
          <w:rFonts w:cstheme="minorHAnsi"/>
          <w:color w:val="000000" w:themeColor="text1"/>
          <w:szCs w:val="24"/>
        </w:rPr>
        <w:t xml:space="preserve">, tables, </w:t>
      </w:r>
      <w:r w:rsidRPr="00C020F7" w:rsidR="005675F7">
        <w:rPr>
          <w:rFonts w:cstheme="minorHAnsi"/>
          <w:color w:val="000000" w:themeColor="text1"/>
          <w:szCs w:val="24"/>
        </w:rPr>
        <w:t xml:space="preserve">and graphical representations. </w:t>
      </w:r>
      <w:r w:rsidR="00E42C6B">
        <w:rPr>
          <w:rFonts w:cstheme="minorHAnsi"/>
          <w:color w:val="000000" w:themeColor="text1"/>
          <w:szCs w:val="24"/>
        </w:rPr>
        <w:t>O</w:t>
      </w:r>
      <w:r w:rsidRPr="00C020F7" w:rsidR="00C020F7">
        <w:rPr>
          <w:rFonts w:cstheme="minorHAnsi"/>
          <w:color w:val="000000" w:themeColor="text1"/>
          <w:szCs w:val="24"/>
        </w:rPr>
        <w:t xml:space="preserve">bjectives 1 – 4 will be answered through summarized responses from </w:t>
      </w:r>
      <w:r w:rsidR="008B7B4C">
        <w:rPr>
          <w:rFonts w:cstheme="minorHAnsi"/>
          <w:color w:val="000000" w:themeColor="text1"/>
          <w:szCs w:val="24"/>
        </w:rPr>
        <w:t xml:space="preserve">CISE </w:t>
      </w:r>
      <w:r w:rsidRPr="00C020F7" w:rsidR="00C020F7">
        <w:rPr>
          <w:rFonts w:cstheme="minorHAnsi"/>
          <w:color w:val="000000" w:themeColor="text1"/>
          <w:szCs w:val="24"/>
        </w:rPr>
        <w:t xml:space="preserve">REU participants and mentors. </w:t>
      </w:r>
      <w:r w:rsidR="00E42C6B">
        <w:rPr>
          <w:rFonts w:cstheme="minorHAnsi"/>
          <w:color w:val="000000" w:themeColor="text1"/>
          <w:szCs w:val="24"/>
        </w:rPr>
        <w:t>O</w:t>
      </w:r>
      <w:r w:rsidRPr="00C020F7" w:rsidR="00C020F7">
        <w:rPr>
          <w:rFonts w:cstheme="minorHAnsi"/>
          <w:color w:val="000000" w:themeColor="text1"/>
          <w:szCs w:val="24"/>
        </w:rPr>
        <w:t xml:space="preserve">bjective </w:t>
      </w:r>
      <w:r w:rsidR="003B1FCC">
        <w:rPr>
          <w:rFonts w:cstheme="minorHAnsi"/>
          <w:color w:val="000000" w:themeColor="text1"/>
          <w:szCs w:val="24"/>
        </w:rPr>
        <w:t xml:space="preserve">5 will </w:t>
      </w:r>
      <w:r w:rsidR="00B7152C">
        <w:rPr>
          <w:rFonts w:cstheme="minorHAnsi"/>
          <w:color w:val="000000" w:themeColor="text1"/>
          <w:szCs w:val="24"/>
        </w:rPr>
        <w:t>be answered by comparing key</w:t>
      </w:r>
      <w:r w:rsidR="003B1FCC">
        <w:rPr>
          <w:rFonts w:cstheme="minorHAnsi"/>
          <w:color w:val="000000" w:themeColor="text1"/>
          <w:szCs w:val="24"/>
        </w:rPr>
        <w:t xml:space="preserve"> outcomes for </w:t>
      </w:r>
      <w:r w:rsidR="00B7152C">
        <w:rPr>
          <w:rFonts w:cstheme="minorHAnsi"/>
          <w:color w:val="000000" w:themeColor="text1"/>
          <w:szCs w:val="24"/>
        </w:rPr>
        <w:t xml:space="preserve">different subsets of participants, based on background/demographic characteristics (e.g., men versus women), or by REU features (e.g., </w:t>
      </w:r>
      <w:r w:rsidR="008B7B4C">
        <w:rPr>
          <w:rFonts w:cstheme="minorHAnsi"/>
          <w:color w:val="000000" w:themeColor="text1"/>
          <w:szCs w:val="24"/>
        </w:rPr>
        <w:t>Site</w:t>
      </w:r>
      <w:r w:rsidR="00B7152C">
        <w:rPr>
          <w:rFonts w:cstheme="minorHAnsi"/>
          <w:color w:val="000000" w:themeColor="text1"/>
          <w:szCs w:val="24"/>
        </w:rPr>
        <w:t xml:space="preserve"> versus </w:t>
      </w:r>
      <w:r w:rsidR="008B7B4C">
        <w:rPr>
          <w:rFonts w:cstheme="minorHAnsi"/>
          <w:color w:val="000000" w:themeColor="text1"/>
          <w:szCs w:val="24"/>
        </w:rPr>
        <w:t>Supplement</w:t>
      </w:r>
      <w:r w:rsidR="00B7152C">
        <w:rPr>
          <w:rFonts w:cstheme="minorHAnsi"/>
          <w:color w:val="000000" w:themeColor="text1"/>
          <w:szCs w:val="24"/>
        </w:rPr>
        <w:t xml:space="preserve"> REU</w:t>
      </w:r>
      <w:r w:rsidR="008B7B4C">
        <w:rPr>
          <w:rFonts w:cstheme="minorHAnsi"/>
          <w:color w:val="000000" w:themeColor="text1"/>
          <w:szCs w:val="24"/>
        </w:rPr>
        <w:t xml:space="preserve"> type</w:t>
      </w:r>
      <w:r w:rsidR="00B7152C">
        <w:rPr>
          <w:rFonts w:cstheme="minorHAnsi"/>
          <w:color w:val="000000" w:themeColor="text1"/>
          <w:szCs w:val="24"/>
        </w:rPr>
        <w:t xml:space="preserve">s). </w:t>
      </w:r>
      <w:r w:rsidR="00E42C6B">
        <w:rPr>
          <w:rFonts w:cstheme="minorHAnsi"/>
          <w:color w:val="000000" w:themeColor="text1"/>
          <w:szCs w:val="24"/>
        </w:rPr>
        <w:t>O</w:t>
      </w:r>
      <w:r w:rsidR="00B7152C">
        <w:rPr>
          <w:rFonts w:cstheme="minorHAnsi"/>
          <w:color w:val="000000" w:themeColor="text1"/>
          <w:szCs w:val="24"/>
        </w:rPr>
        <w:t xml:space="preserve">bjective 6 will be answered by comparing outcomes for past NSF </w:t>
      </w:r>
      <w:r w:rsidR="008B7B4C">
        <w:rPr>
          <w:rFonts w:cstheme="minorHAnsi"/>
          <w:color w:val="000000" w:themeColor="text1"/>
          <w:szCs w:val="24"/>
        </w:rPr>
        <w:t xml:space="preserve">CISE </w:t>
      </w:r>
      <w:r w:rsidR="00B7152C">
        <w:rPr>
          <w:rFonts w:cstheme="minorHAnsi"/>
          <w:color w:val="000000" w:themeColor="text1"/>
          <w:szCs w:val="24"/>
        </w:rPr>
        <w:t xml:space="preserve">REU participants and comparison participants </w:t>
      </w:r>
      <w:r w:rsidR="00E42C6B">
        <w:rPr>
          <w:rFonts w:cstheme="minorHAnsi"/>
          <w:color w:val="000000" w:themeColor="text1"/>
          <w:szCs w:val="24"/>
        </w:rPr>
        <w:t>who have had</w:t>
      </w:r>
      <w:r w:rsidR="00B7152C">
        <w:rPr>
          <w:rFonts w:cstheme="minorHAnsi"/>
          <w:color w:val="000000" w:themeColor="text1"/>
          <w:szCs w:val="24"/>
        </w:rPr>
        <w:t xml:space="preserve"> other non-NSF REU experiences.</w:t>
      </w:r>
    </w:p>
    <w:p w:rsidRPr="00C020F7" w:rsidR="00181B91" w:rsidP="00181B91" w:rsidRDefault="00181B91" w14:paraId="25D0369E" w14:textId="157A5B30">
      <w:pPr>
        <w:pStyle w:val="Body12ptCalibri-IPR"/>
        <w:rPr>
          <w:rFonts w:cstheme="minorHAnsi"/>
          <w:color w:val="000000" w:themeColor="text1"/>
          <w:szCs w:val="24"/>
        </w:rPr>
      </w:pPr>
      <w:r w:rsidRPr="00C020F7">
        <w:rPr>
          <w:rFonts w:cstheme="minorHAnsi"/>
          <w:color w:val="000000" w:themeColor="text1"/>
          <w:szCs w:val="24"/>
        </w:rPr>
        <w:t xml:space="preserve">A </w:t>
      </w:r>
      <w:r w:rsidRPr="00C020F7" w:rsidR="005675F7">
        <w:rPr>
          <w:rFonts w:cstheme="minorHAnsi"/>
          <w:color w:val="000000" w:themeColor="text1"/>
          <w:szCs w:val="24"/>
        </w:rPr>
        <w:t>draft report of the results will be submitted to NSF for feedback in late Fall, with approximately two weeks allotted for submitting feedback and questions. CERP will respond to the feedback and revise the report for a period of approximately two weeks. CERP will submit the final report to NSF near the end of 2021.</w:t>
      </w:r>
      <w:r w:rsidRPr="00C020F7">
        <w:rPr>
          <w:rFonts w:cstheme="minorHAnsi"/>
          <w:color w:val="000000" w:themeColor="text1"/>
          <w:szCs w:val="24"/>
        </w:rPr>
        <w:t xml:space="preserve"> </w:t>
      </w:r>
    </w:p>
    <w:p w:rsidRPr="005675F7" w:rsidR="00181B91" w:rsidP="00181B91" w:rsidRDefault="005675F7" w14:paraId="11175C60" w14:textId="5857623C">
      <w:pPr>
        <w:pStyle w:val="TableTitle"/>
        <w:rPr>
          <w:color w:val="000000" w:themeColor="text1"/>
        </w:rPr>
      </w:pPr>
      <w:r w:rsidRPr="005675F7">
        <w:rPr>
          <w:color w:val="000000" w:themeColor="text1"/>
        </w:rPr>
        <w:t>REU Past Participant Survey Project Timeline</w:t>
      </w:r>
    </w:p>
    <w:tbl>
      <w:tblPr>
        <w:tblW w:w="0" w:type="auto"/>
        <w:jc w:val="center"/>
        <w:tblBorders>
          <w:top w:val="single" w:color="000000" w:sz="4" w:space="0"/>
          <w:bottom w:val="single" w:color="000000" w:sz="4" w:space="0"/>
          <w:insideH w:val="single" w:color="000000" w:sz="4" w:space="0"/>
          <w:insideV w:val="single" w:color="000000" w:sz="4" w:space="0"/>
        </w:tblBorders>
        <w:tblCellMar>
          <w:left w:w="120" w:type="dxa"/>
          <w:right w:w="120" w:type="dxa"/>
        </w:tblCellMar>
        <w:tblLook w:val="0000" w:firstRow="0" w:lastRow="0" w:firstColumn="0" w:lastColumn="0" w:noHBand="0" w:noVBand="0"/>
      </w:tblPr>
      <w:tblGrid>
        <w:gridCol w:w="2868"/>
        <w:gridCol w:w="2442"/>
      </w:tblGrid>
      <w:tr w:rsidRPr="005675F7" w:rsidR="005636E2" w:rsidTr="00AC64B5" w14:paraId="1EFDF5BD" w14:textId="77777777">
        <w:trPr>
          <w:trHeight w:val="144"/>
          <w:jc w:val="center"/>
        </w:trPr>
        <w:tc>
          <w:tcPr>
            <w:tcW w:w="0" w:type="auto"/>
            <w:shd w:val="clear" w:color="auto" w:fill="8496B0" w:themeFill="text2" w:themeFillTint="99"/>
            <w:vAlign w:val="center"/>
          </w:tcPr>
          <w:p w:rsidRPr="005675F7" w:rsidR="00181B91" w:rsidP="00AC64B5" w:rsidRDefault="00181B91" w14:paraId="483F9409" w14:textId="77777777">
            <w:pPr>
              <w:pStyle w:val="TableText-IPR"/>
              <w:rPr>
                <w:b/>
                <w:color w:val="000000" w:themeColor="text1"/>
              </w:rPr>
            </w:pPr>
            <w:r w:rsidRPr="005675F7">
              <w:rPr>
                <w:b/>
                <w:color w:val="000000" w:themeColor="text1"/>
              </w:rPr>
              <w:t>Activity</w:t>
            </w:r>
          </w:p>
        </w:tc>
        <w:tc>
          <w:tcPr>
            <w:tcW w:w="0" w:type="auto"/>
            <w:shd w:val="clear" w:color="auto" w:fill="8496B0" w:themeFill="text2" w:themeFillTint="99"/>
            <w:vAlign w:val="center"/>
          </w:tcPr>
          <w:p w:rsidRPr="005675F7" w:rsidR="00181B91" w:rsidP="00AC64B5" w:rsidRDefault="00181B91" w14:paraId="4A1EE9D9" w14:textId="77777777">
            <w:pPr>
              <w:pStyle w:val="TableText-IPR"/>
              <w:rPr>
                <w:b/>
                <w:color w:val="000000" w:themeColor="text1"/>
              </w:rPr>
            </w:pPr>
            <w:r w:rsidRPr="005675F7">
              <w:rPr>
                <w:b/>
                <w:color w:val="000000" w:themeColor="text1"/>
              </w:rPr>
              <w:t>Expected Activity Period</w:t>
            </w:r>
          </w:p>
        </w:tc>
      </w:tr>
      <w:tr w:rsidRPr="005675F7" w:rsidR="005636E2" w:rsidTr="00AC64B5" w14:paraId="20E58751" w14:textId="77777777">
        <w:trPr>
          <w:trHeight w:val="144"/>
          <w:jc w:val="center"/>
        </w:trPr>
        <w:tc>
          <w:tcPr>
            <w:tcW w:w="0" w:type="auto"/>
            <w:vAlign w:val="center"/>
          </w:tcPr>
          <w:p w:rsidRPr="005675F7" w:rsidR="00181B91" w:rsidP="00AC64B5" w:rsidRDefault="00181B91" w14:paraId="3BD3077D" w14:textId="041E02C9">
            <w:pPr>
              <w:pStyle w:val="TableText-IPR"/>
              <w:rPr>
                <w:color w:val="000000" w:themeColor="text1"/>
              </w:rPr>
            </w:pPr>
            <w:r w:rsidRPr="005675F7">
              <w:rPr>
                <w:color w:val="000000" w:themeColor="text1"/>
              </w:rPr>
              <w:t>Conduct survey</w:t>
            </w:r>
          </w:p>
        </w:tc>
        <w:tc>
          <w:tcPr>
            <w:tcW w:w="0" w:type="auto"/>
            <w:vAlign w:val="center"/>
          </w:tcPr>
          <w:p w:rsidRPr="005675F7" w:rsidR="00181B91" w:rsidP="00AC64B5" w:rsidRDefault="005675F7" w14:paraId="29D30EA5" w14:textId="3E106710">
            <w:pPr>
              <w:pStyle w:val="TableText-IPR"/>
              <w:rPr>
                <w:color w:val="000000" w:themeColor="text1"/>
              </w:rPr>
            </w:pPr>
            <w:r w:rsidRPr="005675F7">
              <w:rPr>
                <w:color w:val="000000" w:themeColor="text1"/>
              </w:rPr>
              <w:t>September</w:t>
            </w:r>
            <w:r w:rsidRPr="005675F7" w:rsidR="00334916">
              <w:rPr>
                <w:color w:val="000000" w:themeColor="text1"/>
              </w:rPr>
              <w:t xml:space="preserve"> </w:t>
            </w:r>
            <w:r w:rsidRPr="005675F7" w:rsidR="00181B91">
              <w:rPr>
                <w:color w:val="000000" w:themeColor="text1"/>
              </w:rPr>
              <w:t xml:space="preserve">– </w:t>
            </w:r>
            <w:r w:rsidRPr="005675F7">
              <w:rPr>
                <w:color w:val="000000" w:themeColor="text1"/>
              </w:rPr>
              <w:t>October</w:t>
            </w:r>
            <w:r w:rsidRPr="005675F7" w:rsidR="0024143E">
              <w:rPr>
                <w:color w:val="000000" w:themeColor="text1"/>
              </w:rPr>
              <w:t xml:space="preserve"> </w:t>
            </w:r>
            <w:r w:rsidRPr="005675F7" w:rsidR="00181B91">
              <w:rPr>
                <w:color w:val="000000" w:themeColor="text1"/>
              </w:rPr>
              <w:t>20</w:t>
            </w:r>
            <w:r w:rsidRPr="005675F7" w:rsidR="00334916">
              <w:rPr>
                <w:color w:val="000000" w:themeColor="text1"/>
              </w:rPr>
              <w:t>2</w:t>
            </w:r>
            <w:r w:rsidRPr="005675F7" w:rsidR="00BC5608">
              <w:rPr>
                <w:color w:val="000000" w:themeColor="text1"/>
              </w:rPr>
              <w:t>1</w:t>
            </w:r>
          </w:p>
        </w:tc>
      </w:tr>
      <w:tr w:rsidRPr="005675F7" w:rsidR="005636E2" w:rsidTr="00AC64B5" w14:paraId="4A05AF3C" w14:textId="77777777">
        <w:trPr>
          <w:trHeight w:val="144"/>
          <w:jc w:val="center"/>
        </w:trPr>
        <w:tc>
          <w:tcPr>
            <w:tcW w:w="0" w:type="auto"/>
            <w:vAlign w:val="center"/>
          </w:tcPr>
          <w:p w:rsidRPr="005675F7" w:rsidR="00181B91" w:rsidP="00AC64B5" w:rsidRDefault="005675F7" w14:paraId="2084EAD2" w14:textId="19D9745A">
            <w:pPr>
              <w:pStyle w:val="TableText-IPR"/>
              <w:rPr>
                <w:color w:val="000000" w:themeColor="text1"/>
              </w:rPr>
            </w:pPr>
            <w:r w:rsidRPr="005675F7">
              <w:rPr>
                <w:color w:val="000000" w:themeColor="text1"/>
              </w:rPr>
              <w:t>Cleaning, a</w:t>
            </w:r>
            <w:r w:rsidRPr="005675F7" w:rsidR="00181B91">
              <w:rPr>
                <w:color w:val="000000" w:themeColor="text1"/>
              </w:rPr>
              <w:t>nalysis of survey data</w:t>
            </w:r>
          </w:p>
        </w:tc>
        <w:tc>
          <w:tcPr>
            <w:tcW w:w="0" w:type="auto"/>
            <w:vAlign w:val="center"/>
          </w:tcPr>
          <w:p w:rsidRPr="005675F7" w:rsidR="00181B91" w:rsidP="00AC64B5" w:rsidRDefault="005675F7" w14:paraId="26313D34" w14:textId="76AAF2A9">
            <w:pPr>
              <w:pStyle w:val="TableText-IPR"/>
              <w:rPr>
                <w:color w:val="000000" w:themeColor="text1"/>
              </w:rPr>
            </w:pPr>
            <w:r w:rsidRPr="005675F7">
              <w:rPr>
                <w:color w:val="000000" w:themeColor="text1"/>
              </w:rPr>
              <w:t>October – November</w:t>
            </w:r>
            <w:r w:rsidRPr="005675F7" w:rsidR="0024143E">
              <w:rPr>
                <w:color w:val="000000" w:themeColor="text1"/>
              </w:rPr>
              <w:t xml:space="preserve"> </w:t>
            </w:r>
            <w:r w:rsidRPr="005675F7" w:rsidR="00334916">
              <w:rPr>
                <w:color w:val="000000" w:themeColor="text1"/>
              </w:rPr>
              <w:t>2021</w:t>
            </w:r>
          </w:p>
        </w:tc>
      </w:tr>
      <w:tr w:rsidRPr="005675F7" w:rsidR="005675F7" w:rsidTr="005675F7" w14:paraId="67D1D5B9" w14:textId="77777777">
        <w:trPr>
          <w:trHeight w:val="144"/>
          <w:jc w:val="center"/>
        </w:trPr>
        <w:tc>
          <w:tcPr>
            <w:tcW w:w="0" w:type="auto"/>
            <w:vAlign w:val="center"/>
          </w:tcPr>
          <w:p w:rsidRPr="005675F7" w:rsidR="00181B91" w:rsidP="00AC64B5" w:rsidRDefault="005675F7" w14:paraId="5720653D" w14:textId="6CBD6A96">
            <w:pPr>
              <w:pStyle w:val="TableText-IPR"/>
              <w:rPr>
                <w:color w:val="000000" w:themeColor="text1"/>
              </w:rPr>
            </w:pPr>
            <w:r w:rsidRPr="005675F7">
              <w:rPr>
                <w:color w:val="000000" w:themeColor="text1"/>
              </w:rPr>
              <w:t>Draft</w:t>
            </w:r>
            <w:r w:rsidRPr="005675F7" w:rsidR="00181B91">
              <w:rPr>
                <w:color w:val="000000" w:themeColor="text1"/>
              </w:rPr>
              <w:t xml:space="preserve"> report to NSF</w:t>
            </w:r>
          </w:p>
        </w:tc>
        <w:tc>
          <w:tcPr>
            <w:tcW w:w="0" w:type="auto"/>
            <w:vAlign w:val="center"/>
          </w:tcPr>
          <w:p w:rsidRPr="005675F7" w:rsidR="00181B91" w:rsidP="00AC64B5" w:rsidRDefault="005675F7" w14:paraId="10D8CA34" w14:textId="53064AFF">
            <w:pPr>
              <w:pStyle w:val="TableText-IPR"/>
              <w:rPr>
                <w:color w:val="000000" w:themeColor="text1"/>
              </w:rPr>
            </w:pPr>
            <w:r w:rsidRPr="005675F7">
              <w:rPr>
                <w:color w:val="000000" w:themeColor="text1"/>
              </w:rPr>
              <w:t>November 2021</w:t>
            </w:r>
          </w:p>
        </w:tc>
      </w:tr>
      <w:tr w:rsidRPr="005675F7" w:rsidR="005675F7" w:rsidTr="00AC64B5" w14:paraId="10196384" w14:textId="77777777">
        <w:trPr>
          <w:trHeight w:val="144"/>
          <w:jc w:val="center"/>
        </w:trPr>
        <w:tc>
          <w:tcPr>
            <w:tcW w:w="0" w:type="auto"/>
            <w:tcBorders>
              <w:bottom w:val="single" w:color="000000" w:sz="4" w:space="0"/>
            </w:tcBorders>
            <w:vAlign w:val="center"/>
          </w:tcPr>
          <w:p w:rsidRPr="005675F7" w:rsidR="005675F7" w:rsidP="00AC64B5" w:rsidRDefault="005675F7" w14:paraId="6A3C9460" w14:textId="172C2EFD">
            <w:pPr>
              <w:pStyle w:val="TableText-IPR"/>
              <w:rPr>
                <w:color w:val="000000" w:themeColor="text1"/>
              </w:rPr>
            </w:pPr>
            <w:r w:rsidRPr="005675F7">
              <w:rPr>
                <w:color w:val="000000" w:themeColor="text1"/>
              </w:rPr>
              <w:t>Final report to</w:t>
            </w:r>
            <w:r>
              <w:rPr>
                <w:color w:val="000000" w:themeColor="text1"/>
              </w:rPr>
              <w:t xml:space="preserve"> </w:t>
            </w:r>
            <w:r w:rsidRPr="005675F7">
              <w:rPr>
                <w:color w:val="000000" w:themeColor="text1"/>
              </w:rPr>
              <w:t>NSF</w:t>
            </w:r>
          </w:p>
        </w:tc>
        <w:tc>
          <w:tcPr>
            <w:tcW w:w="0" w:type="auto"/>
            <w:tcBorders>
              <w:bottom w:val="single" w:color="000000" w:sz="4" w:space="0"/>
            </w:tcBorders>
            <w:vAlign w:val="center"/>
          </w:tcPr>
          <w:p w:rsidRPr="005675F7" w:rsidR="005675F7" w:rsidP="00AC64B5" w:rsidRDefault="005675F7" w14:paraId="31151027" w14:textId="5CCBED2B">
            <w:pPr>
              <w:pStyle w:val="TableText-IPR"/>
              <w:rPr>
                <w:color w:val="000000" w:themeColor="text1"/>
              </w:rPr>
            </w:pPr>
            <w:r w:rsidRPr="005675F7">
              <w:rPr>
                <w:color w:val="000000" w:themeColor="text1"/>
              </w:rPr>
              <w:t>December 2021</w:t>
            </w:r>
          </w:p>
        </w:tc>
      </w:tr>
    </w:tbl>
    <w:p w:rsidRPr="005675F7" w:rsidR="00181B91" w:rsidP="00181B91" w:rsidRDefault="00181B91" w14:paraId="78011A2E" w14:textId="66AD5FE5">
      <w:pPr>
        <w:pStyle w:val="Hdng2-IPR"/>
        <w:rPr>
          <w:color w:val="000000" w:themeColor="text1"/>
        </w:rPr>
      </w:pPr>
      <w:bookmarkStart w:name="_Toc133208891" w:id="67"/>
      <w:bookmarkStart w:name="_Toc329426289" w:id="68"/>
      <w:bookmarkStart w:name="_Toc335320959" w:id="69"/>
      <w:bookmarkStart w:name="_Toc351666591" w:id="70"/>
    </w:p>
    <w:p w:rsidRPr="000E28ED" w:rsidR="00181B91" w:rsidP="00181B91" w:rsidRDefault="00181B91" w14:paraId="5D566034" w14:textId="1DF4B587">
      <w:pPr>
        <w:pStyle w:val="Hdng2-IPR"/>
        <w:rPr>
          <w:color w:val="000000" w:themeColor="text1"/>
        </w:rPr>
      </w:pPr>
      <w:bookmarkStart w:name="_Toc416426576" w:id="71"/>
      <w:r w:rsidRPr="005675F7">
        <w:rPr>
          <w:color w:val="000000" w:themeColor="text1"/>
        </w:rPr>
        <w:t>A.17.</w:t>
      </w:r>
      <w:r w:rsidRPr="005675F7">
        <w:rPr>
          <w:color w:val="000000" w:themeColor="text1"/>
        </w:rPr>
        <w:tab/>
      </w:r>
      <w:bookmarkEnd w:id="67"/>
      <w:r w:rsidRPr="005675F7">
        <w:rPr>
          <w:color w:val="000000" w:themeColor="text1"/>
        </w:rPr>
        <w:t>R</w:t>
      </w:r>
      <w:r w:rsidRPr="005675F7">
        <w:rPr>
          <w:rFonts w:eastAsiaTheme="minorHAnsi"/>
          <w:color w:val="000000" w:themeColor="text1"/>
        </w:rPr>
        <w:t>e</w:t>
      </w:r>
      <w:r w:rsidRPr="005675F7">
        <w:rPr>
          <w:color w:val="000000" w:themeColor="text1"/>
        </w:rPr>
        <w:t>ason(s) Display of OMB Expiration Date is Inappropriate</w:t>
      </w:r>
      <w:bookmarkEnd w:id="68"/>
      <w:bookmarkEnd w:id="69"/>
      <w:bookmarkEnd w:id="70"/>
      <w:bookmarkEnd w:id="71"/>
    </w:p>
    <w:p w:rsidRPr="000E28ED" w:rsidR="00181B91" w:rsidP="00181B91" w:rsidRDefault="00181B91" w14:paraId="55B590B8" w14:textId="77777777">
      <w:pPr>
        <w:pStyle w:val="OMBRequirementCalibri"/>
        <w:rPr>
          <w:rFonts w:cstheme="minorHAnsi"/>
          <w:color w:val="000000" w:themeColor="text1"/>
        </w:rPr>
      </w:pPr>
      <w:r w:rsidRPr="000E28ED">
        <w:rPr>
          <w:rFonts w:cstheme="minorHAnsi"/>
          <w:color w:val="000000" w:themeColor="text1"/>
        </w:rPr>
        <w:t>If seeking approval to not display the expiration date for OMB approval of the information collection, explain the reasons that display would be inappropriate.</w:t>
      </w:r>
    </w:p>
    <w:p w:rsidRPr="000E28ED" w:rsidR="00181B91" w:rsidP="00181B91" w:rsidRDefault="000E28ED" w14:paraId="317DB6EA" w14:textId="346913AE">
      <w:pPr>
        <w:pStyle w:val="Body12ptCalibri-IPR"/>
        <w:rPr>
          <w:rFonts w:cstheme="minorHAnsi"/>
          <w:color w:val="000000" w:themeColor="text1"/>
        </w:rPr>
      </w:pPr>
      <w:r w:rsidRPr="000E28ED">
        <w:rPr>
          <w:rFonts w:cstheme="minorHAnsi"/>
          <w:color w:val="000000" w:themeColor="text1"/>
        </w:rPr>
        <w:t xml:space="preserve">Not applicable. </w:t>
      </w:r>
      <w:r w:rsidRPr="000E28ED" w:rsidR="00181B91">
        <w:rPr>
          <w:rFonts w:cstheme="minorHAnsi"/>
          <w:color w:val="000000" w:themeColor="text1"/>
        </w:rPr>
        <w:t xml:space="preserve">The expiration date </w:t>
      </w:r>
      <w:r w:rsidRPr="000E28ED">
        <w:rPr>
          <w:rFonts w:cstheme="minorHAnsi"/>
          <w:color w:val="000000" w:themeColor="text1"/>
        </w:rPr>
        <w:t>for</w:t>
      </w:r>
      <w:r w:rsidRPr="000E28ED" w:rsidR="00181B91">
        <w:rPr>
          <w:rFonts w:cstheme="minorHAnsi"/>
          <w:color w:val="000000" w:themeColor="text1"/>
        </w:rPr>
        <w:t xml:space="preserve"> OMB approval </w:t>
      </w:r>
      <w:r w:rsidRPr="000E28ED">
        <w:rPr>
          <w:rFonts w:cstheme="minorHAnsi"/>
          <w:color w:val="000000" w:themeColor="text1"/>
        </w:rPr>
        <w:t xml:space="preserve">will be displayed </w:t>
      </w:r>
      <w:r w:rsidRPr="000E28ED" w:rsidR="00181B91">
        <w:rPr>
          <w:rFonts w:cstheme="minorHAnsi"/>
          <w:color w:val="000000" w:themeColor="text1"/>
        </w:rPr>
        <w:t>on all forms/questionnaires associated with this information collection.</w:t>
      </w:r>
    </w:p>
    <w:p w:rsidRPr="000E28ED" w:rsidR="00181B91" w:rsidP="00181B91" w:rsidRDefault="00181B91" w14:paraId="3EDF0134" w14:textId="40557181">
      <w:pPr>
        <w:pStyle w:val="Hdng2-IPR"/>
        <w:rPr>
          <w:color w:val="000000" w:themeColor="text1"/>
        </w:rPr>
      </w:pPr>
      <w:bookmarkStart w:name="_Toc133208893" w:id="72"/>
      <w:bookmarkStart w:name="_Toc329426290" w:id="73"/>
      <w:bookmarkStart w:name="_Toc335320960" w:id="74"/>
      <w:bookmarkStart w:name="_Toc351666592" w:id="75"/>
      <w:bookmarkStart w:name="_Toc416426577" w:id="76"/>
      <w:r w:rsidRPr="000E28ED">
        <w:rPr>
          <w:color w:val="000000" w:themeColor="text1"/>
        </w:rPr>
        <w:t>A.18.</w:t>
      </w:r>
      <w:r w:rsidRPr="000E28ED">
        <w:rPr>
          <w:color w:val="000000" w:themeColor="text1"/>
        </w:rPr>
        <w:tab/>
        <w:t>Exceptions to Certification for Paperwork Reduction Act Submissions</w:t>
      </w:r>
      <w:bookmarkEnd w:id="72"/>
      <w:bookmarkEnd w:id="73"/>
      <w:bookmarkEnd w:id="74"/>
      <w:bookmarkEnd w:id="75"/>
      <w:bookmarkEnd w:id="76"/>
    </w:p>
    <w:p w:rsidRPr="000E28ED" w:rsidR="00181B91" w:rsidP="00181B91" w:rsidRDefault="00181B91" w14:paraId="0C3E0BB3" w14:textId="77777777">
      <w:pPr>
        <w:pStyle w:val="OMBRequirementCalibri"/>
        <w:rPr>
          <w:rFonts w:cstheme="minorHAnsi"/>
          <w:color w:val="000000" w:themeColor="text1"/>
        </w:rPr>
      </w:pPr>
      <w:r w:rsidRPr="000E28ED">
        <w:rPr>
          <w:rFonts w:cstheme="minorHAnsi"/>
          <w:color w:val="000000" w:themeColor="text1"/>
        </w:rPr>
        <w:t>Explain each exception to the certification statement identified in Item 19 “Certification for Paperwork Reduction Act.”</w:t>
      </w:r>
    </w:p>
    <w:p w:rsidRPr="005636E2" w:rsidR="006561A1" w:rsidP="00040F43" w:rsidRDefault="000E28ED" w14:paraId="7661D1F0" w14:textId="5520BAA1">
      <w:pPr>
        <w:pStyle w:val="Body12ptCalibri-IPR"/>
        <w:rPr>
          <w:rFonts w:cstheme="minorHAnsi"/>
          <w:color w:val="000000" w:themeColor="text1"/>
        </w:rPr>
      </w:pPr>
      <w:r w:rsidRPr="000E28ED">
        <w:rPr>
          <w:rFonts w:cstheme="minorHAnsi"/>
          <w:color w:val="000000" w:themeColor="text1"/>
        </w:rPr>
        <w:t xml:space="preserve">Not applicable. </w:t>
      </w:r>
      <w:r w:rsidRPr="000E28ED" w:rsidR="00181B91">
        <w:rPr>
          <w:rStyle w:val="FootnoteReference"/>
          <w:rFonts w:cstheme="minorHAnsi"/>
          <w:color w:val="000000" w:themeColor="text1"/>
        </w:rPr>
        <w:t>There are no exceptions to the certification statement</w:t>
      </w:r>
      <w:bookmarkStart w:name="here" w:id="77"/>
      <w:bookmarkEnd w:id="77"/>
      <w:r w:rsidRPr="000E28ED" w:rsidR="00181B91">
        <w:rPr>
          <w:rStyle w:val="FootnoteReference"/>
          <w:rFonts w:cstheme="minorHAnsi"/>
          <w:color w:val="000000" w:themeColor="text1"/>
        </w:rPr>
        <w:t>.</w:t>
      </w:r>
    </w:p>
    <w:p w:rsidRPr="005636E2" w:rsidR="00C21F61" w:rsidRDefault="00C21F61" w14:paraId="22C8E224" w14:textId="77777777">
      <w:pPr>
        <w:rPr>
          <w:rFonts w:cstheme="minorHAnsi"/>
          <w:color w:val="000000" w:themeColor="text1"/>
        </w:rPr>
      </w:pPr>
    </w:p>
    <w:sectPr w:rsidRPr="005636E2" w:rsidR="00C21F61" w:rsidSect="00BB6B0A">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B347" w14:textId="77777777" w:rsidR="0057209E" w:rsidRDefault="0057209E" w:rsidP="00EE364F">
      <w:pPr>
        <w:spacing w:after="0" w:line="240" w:lineRule="auto"/>
      </w:pPr>
      <w:r>
        <w:separator/>
      </w:r>
    </w:p>
  </w:endnote>
  <w:endnote w:type="continuationSeparator" w:id="0">
    <w:p w14:paraId="0E6AB590" w14:textId="77777777" w:rsidR="0057209E" w:rsidRDefault="0057209E" w:rsidP="00EE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Body)">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0810" w14:textId="77777777" w:rsidR="0057209E" w:rsidRDefault="0057209E" w:rsidP="00EE364F">
      <w:pPr>
        <w:spacing w:after="0" w:line="240" w:lineRule="auto"/>
      </w:pPr>
      <w:r>
        <w:separator/>
      </w:r>
    </w:p>
  </w:footnote>
  <w:footnote w:type="continuationSeparator" w:id="0">
    <w:p w14:paraId="1C1D9A91" w14:textId="77777777" w:rsidR="0057209E" w:rsidRDefault="0057209E" w:rsidP="00EE364F">
      <w:pPr>
        <w:spacing w:after="0" w:line="240" w:lineRule="auto"/>
      </w:pPr>
      <w:r>
        <w:continuationSeparator/>
      </w:r>
    </w:p>
  </w:footnote>
  <w:footnote w:id="1">
    <w:p w14:paraId="57160EA2" w14:textId="77777777" w:rsidR="008E7F47" w:rsidRPr="008E7F47" w:rsidRDefault="008E7F47" w:rsidP="008E7F47">
      <w:pPr>
        <w:pStyle w:val="FootnoteText"/>
        <w:rPr>
          <w:rFonts w:asciiTheme="minorHAnsi" w:hAnsiTheme="minorHAnsi"/>
        </w:rPr>
      </w:pPr>
      <w:r w:rsidRPr="008E7F47">
        <w:rPr>
          <w:rStyle w:val="FootnoteReference"/>
          <w:rFonts w:asciiTheme="minorHAnsi" w:hAnsiTheme="minorHAnsi"/>
        </w:rPr>
        <w:footnoteRef/>
      </w:r>
      <w:r w:rsidRPr="008E7F47">
        <w:rPr>
          <w:rFonts w:asciiTheme="minorHAnsi" w:hAnsiTheme="minorHAnsi"/>
        </w:rPr>
        <w:t xml:space="preserve"> Bureau of Labor Statistics, U.S. Department of Labor, Occupational Outlook Handbook, Computer and Information Research Scientists,</w:t>
      </w:r>
    </w:p>
    <w:p w14:paraId="5865F95B" w14:textId="043C471B" w:rsidR="008E7F47" w:rsidRDefault="008E7F47" w:rsidP="008E7F47">
      <w:pPr>
        <w:pStyle w:val="FootnoteText"/>
      </w:pPr>
      <w:r w:rsidRPr="008E7F47">
        <w:rPr>
          <w:rFonts w:asciiTheme="minorHAnsi" w:hAnsiTheme="minorHAnsi"/>
        </w:rPr>
        <w:t>at https://www.bls.gov/ooh/computer-and-information-technology/computer-and-information-research-scientists.htm (visited June 10,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6E0"/>
    <w:multiLevelType w:val="hybridMultilevel"/>
    <w:tmpl w:val="60BC6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002AA"/>
    <w:multiLevelType w:val="hybridMultilevel"/>
    <w:tmpl w:val="E06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46A0A"/>
    <w:multiLevelType w:val="hybridMultilevel"/>
    <w:tmpl w:val="6C22C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9022F"/>
    <w:multiLevelType w:val="hybridMultilevel"/>
    <w:tmpl w:val="6C22C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4046A"/>
    <w:multiLevelType w:val="hybridMultilevel"/>
    <w:tmpl w:val="2566FFA2"/>
    <w:lvl w:ilvl="0" w:tplc="BC14BE46">
      <w:start w:val="3"/>
      <w:numFmt w:val="bullet"/>
      <w:lvlText w:val="-"/>
      <w:lvlJc w:val="left"/>
      <w:pPr>
        <w:ind w:left="1080" w:hanging="360"/>
      </w:pPr>
      <w:rPr>
        <w:rFonts w:ascii="Calibri" w:eastAsia="Calibri"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A25309"/>
    <w:multiLevelType w:val="hybridMultilevel"/>
    <w:tmpl w:val="1C8C951C"/>
    <w:lvl w:ilvl="0" w:tplc="B516B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A852C3"/>
    <w:multiLevelType w:val="hybridMultilevel"/>
    <w:tmpl w:val="085C0BC8"/>
    <w:lvl w:ilvl="0" w:tplc="79B0D2CC">
      <w:start w:val="1"/>
      <w:numFmt w:val="decimal"/>
      <w:pStyle w:val="Numbers12ptCalibri-IP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42391D"/>
    <w:multiLevelType w:val="hybridMultilevel"/>
    <w:tmpl w:val="212E44EA"/>
    <w:lvl w:ilvl="0" w:tplc="3E3A8E50">
      <w:start w:val="1"/>
      <w:numFmt w:val="bullet"/>
      <w:pStyle w:val="Bullets12ptCalibri-IP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8786D"/>
    <w:multiLevelType w:val="hybridMultilevel"/>
    <w:tmpl w:val="6C22C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B16F59"/>
    <w:multiLevelType w:val="hybridMultilevel"/>
    <w:tmpl w:val="2550FAEE"/>
    <w:lvl w:ilvl="0" w:tplc="1F704C1E">
      <w:start w:val="1"/>
      <w:numFmt w:val="lowerLetter"/>
      <w:lvlText w:val="%1."/>
      <w:lvlJc w:val="left"/>
      <w:pPr>
        <w:ind w:left="720" w:hanging="360"/>
      </w:pPr>
      <w:rPr>
        <w:rFonts w:asciiTheme="minorHAnsi" w:hAnsiTheme="minorHAnsi" w:cstheme="minorHAnsi"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1"/>
  </w:num>
  <w:num w:numId="5">
    <w:abstractNumId w:val="8"/>
  </w:num>
  <w:num w:numId="6">
    <w:abstractNumId w:val="5"/>
  </w:num>
  <w:num w:numId="7">
    <w:abstractNumId w:val="4"/>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61"/>
    <w:rsid w:val="00000C1A"/>
    <w:rsid w:val="00001107"/>
    <w:rsid w:val="00015785"/>
    <w:rsid w:val="000160E6"/>
    <w:rsid w:val="00016258"/>
    <w:rsid w:val="000166E4"/>
    <w:rsid w:val="000276F4"/>
    <w:rsid w:val="00040027"/>
    <w:rsid w:val="00040F43"/>
    <w:rsid w:val="00047328"/>
    <w:rsid w:val="00060541"/>
    <w:rsid w:val="00067638"/>
    <w:rsid w:val="00071141"/>
    <w:rsid w:val="000850A5"/>
    <w:rsid w:val="00087508"/>
    <w:rsid w:val="000A06C9"/>
    <w:rsid w:val="000B6193"/>
    <w:rsid w:val="000C206A"/>
    <w:rsid w:val="000C5E9A"/>
    <w:rsid w:val="000C7F50"/>
    <w:rsid w:val="000D10E0"/>
    <w:rsid w:val="000E28ED"/>
    <w:rsid w:val="000F398D"/>
    <w:rsid w:val="00101BA6"/>
    <w:rsid w:val="00102886"/>
    <w:rsid w:val="00107B3F"/>
    <w:rsid w:val="00123402"/>
    <w:rsid w:val="00131469"/>
    <w:rsid w:val="00134ED4"/>
    <w:rsid w:val="00136653"/>
    <w:rsid w:val="00142339"/>
    <w:rsid w:val="00181B91"/>
    <w:rsid w:val="0018553B"/>
    <w:rsid w:val="00186BBA"/>
    <w:rsid w:val="001909B2"/>
    <w:rsid w:val="00195315"/>
    <w:rsid w:val="001B7544"/>
    <w:rsid w:val="001C07C4"/>
    <w:rsid w:val="001C4114"/>
    <w:rsid w:val="001D6B90"/>
    <w:rsid w:val="001D7C00"/>
    <w:rsid w:val="001F59FD"/>
    <w:rsid w:val="002053F0"/>
    <w:rsid w:val="00206B51"/>
    <w:rsid w:val="00210989"/>
    <w:rsid w:val="00215F3F"/>
    <w:rsid w:val="002314E1"/>
    <w:rsid w:val="00236788"/>
    <w:rsid w:val="002405C2"/>
    <w:rsid w:val="0024143E"/>
    <w:rsid w:val="00241BD8"/>
    <w:rsid w:val="00251581"/>
    <w:rsid w:val="0025216E"/>
    <w:rsid w:val="002546C2"/>
    <w:rsid w:val="00254FDA"/>
    <w:rsid w:val="00260E24"/>
    <w:rsid w:val="0026749A"/>
    <w:rsid w:val="00280C8F"/>
    <w:rsid w:val="002819F7"/>
    <w:rsid w:val="0028628A"/>
    <w:rsid w:val="002B1DB5"/>
    <w:rsid w:val="002D16AB"/>
    <w:rsid w:val="002E5859"/>
    <w:rsid w:val="002F58F5"/>
    <w:rsid w:val="00312102"/>
    <w:rsid w:val="00315DF5"/>
    <w:rsid w:val="00315F9E"/>
    <w:rsid w:val="00316E6E"/>
    <w:rsid w:val="00321AC5"/>
    <w:rsid w:val="00334916"/>
    <w:rsid w:val="00334B2C"/>
    <w:rsid w:val="00340524"/>
    <w:rsid w:val="003568C1"/>
    <w:rsid w:val="00361CE0"/>
    <w:rsid w:val="003932B8"/>
    <w:rsid w:val="003A33DB"/>
    <w:rsid w:val="003B1004"/>
    <w:rsid w:val="003B1FCC"/>
    <w:rsid w:val="003C1393"/>
    <w:rsid w:val="003C29F2"/>
    <w:rsid w:val="00412B2B"/>
    <w:rsid w:val="0044392D"/>
    <w:rsid w:val="004456CE"/>
    <w:rsid w:val="00470E22"/>
    <w:rsid w:val="00475511"/>
    <w:rsid w:val="004845F2"/>
    <w:rsid w:val="004919EE"/>
    <w:rsid w:val="00493DD7"/>
    <w:rsid w:val="004A2F62"/>
    <w:rsid w:val="004D730B"/>
    <w:rsid w:val="004E5AC9"/>
    <w:rsid w:val="004F3F7C"/>
    <w:rsid w:val="004F6138"/>
    <w:rsid w:val="00510CFB"/>
    <w:rsid w:val="0051268B"/>
    <w:rsid w:val="00520CA1"/>
    <w:rsid w:val="00523CDE"/>
    <w:rsid w:val="00551D49"/>
    <w:rsid w:val="0056075B"/>
    <w:rsid w:val="00561A35"/>
    <w:rsid w:val="005636E2"/>
    <w:rsid w:val="00564F07"/>
    <w:rsid w:val="005675F7"/>
    <w:rsid w:val="0057209E"/>
    <w:rsid w:val="0057508A"/>
    <w:rsid w:val="005933DC"/>
    <w:rsid w:val="005A2CCB"/>
    <w:rsid w:val="005A3E10"/>
    <w:rsid w:val="005C10BA"/>
    <w:rsid w:val="005C51CC"/>
    <w:rsid w:val="005C6405"/>
    <w:rsid w:val="005D16AA"/>
    <w:rsid w:val="005D2853"/>
    <w:rsid w:val="005D6C8F"/>
    <w:rsid w:val="005E2BF8"/>
    <w:rsid w:val="005F08FD"/>
    <w:rsid w:val="00600ED2"/>
    <w:rsid w:val="00603B51"/>
    <w:rsid w:val="0060562D"/>
    <w:rsid w:val="006157EC"/>
    <w:rsid w:val="00644392"/>
    <w:rsid w:val="006447D5"/>
    <w:rsid w:val="00644E85"/>
    <w:rsid w:val="00647434"/>
    <w:rsid w:val="0065535C"/>
    <w:rsid w:val="006561A1"/>
    <w:rsid w:val="00687017"/>
    <w:rsid w:val="006A21D7"/>
    <w:rsid w:val="006A488B"/>
    <w:rsid w:val="006A6820"/>
    <w:rsid w:val="006B65FF"/>
    <w:rsid w:val="006C105D"/>
    <w:rsid w:val="006C5C29"/>
    <w:rsid w:val="006D0705"/>
    <w:rsid w:val="006E6175"/>
    <w:rsid w:val="007007C4"/>
    <w:rsid w:val="00701313"/>
    <w:rsid w:val="00706562"/>
    <w:rsid w:val="0073118D"/>
    <w:rsid w:val="00732FFD"/>
    <w:rsid w:val="00737C19"/>
    <w:rsid w:val="00740EBA"/>
    <w:rsid w:val="00740F3C"/>
    <w:rsid w:val="0074524B"/>
    <w:rsid w:val="00753855"/>
    <w:rsid w:val="007604F0"/>
    <w:rsid w:val="00770507"/>
    <w:rsid w:val="00771B4A"/>
    <w:rsid w:val="00773C63"/>
    <w:rsid w:val="00780F19"/>
    <w:rsid w:val="00781FA2"/>
    <w:rsid w:val="0079237D"/>
    <w:rsid w:val="007A3A6F"/>
    <w:rsid w:val="007A4D89"/>
    <w:rsid w:val="007A72A6"/>
    <w:rsid w:val="007C59EC"/>
    <w:rsid w:val="007C7A65"/>
    <w:rsid w:val="007E42FD"/>
    <w:rsid w:val="007F26FA"/>
    <w:rsid w:val="0080166A"/>
    <w:rsid w:val="0080567E"/>
    <w:rsid w:val="008063D0"/>
    <w:rsid w:val="00810F0D"/>
    <w:rsid w:val="00813833"/>
    <w:rsid w:val="00824203"/>
    <w:rsid w:val="00827D3B"/>
    <w:rsid w:val="008371AF"/>
    <w:rsid w:val="00876041"/>
    <w:rsid w:val="0088328C"/>
    <w:rsid w:val="008832EB"/>
    <w:rsid w:val="008A2315"/>
    <w:rsid w:val="008A4D32"/>
    <w:rsid w:val="008A5C99"/>
    <w:rsid w:val="008A5F82"/>
    <w:rsid w:val="008A6656"/>
    <w:rsid w:val="008B0BBD"/>
    <w:rsid w:val="008B7B4C"/>
    <w:rsid w:val="008C03D8"/>
    <w:rsid w:val="008C18BF"/>
    <w:rsid w:val="008C2097"/>
    <w:rsid w:val="008C25DB"/>
    <w:rsid w:val="008D3A0F"/>
    <w:rsid w:val="008D3F20"/>
    <w:rsid w:val="008E6A71"/>
    <w:rsid w:val="008E7F47"/>
    <w:rsid w:val="008F3F19"/>
    <w:rsid w:val="008F5C8C"/>
    <w:rsid w:val="00902A55"/>
    <w:rsid w:val="00922991"/>
    <w:rsid w:val="009312FE"/>
    <w:rsid w:val="00934FA7"/>
    <w:rsid w:val="009520EC"/>
    <w:rsid w:val="0095748A"/>
    <w:rsid w:val="009635C3"/>
    <w:rsid w:val="009712CA"/>
    <w:rsid w:val="009776F8"/>
    <w:rsid w:val="009807F5"/>
    <w:rsid w:val="00984A08"/>
    <w:rsid w:val="00984A2A"/>
    <w:rsid w:val="0098740A"/>
    <w:rsid w:val="00990AE5"/>
    <w:rsid w:val="00993857"/>
    <w:rsid w:val="009A1439"/>
    <w:rsid w:val="009A5D1F"/>
    <w:rsid w:val="009C29CA"/>
    <w:rsid w:val="009D1C7C"/>
    <w:rsid w:val="009E5A55"/>
    <w:rsid w:val="009E7A81"/>
    <w:rsid w:val="009F5869"/>
    <w:rsid w:val="00A1583B"/>
    <w:rsid w:val="00A34F63"/>
    <w:rsid w:val="00A55227"/>
    <w:rsid w:val="00A63794"/>
    <w:rsid w:val="00A63D7F"/>
    <w:rsid w:val="00A75DAF"/>
    <w:rsid w:val="00A8530F"/>
    <w:rsid w:val="00A85E0E"/>
    <w:rsid w:val="00A960F2"/>
    <w:rsid w:val="00AA4175"/>
    <w:rsid w:val="00AA4766"/>
    <w:rsid w:val="00AC149D"/>
    <w:rsid w:val="00AC64B5"/>
    <w:rsid w:val="00AD26E7"/>
    <w:rsid w:val="00AD627A"/>
    <w:rsid w:val="00AD6F07"/>
    <w:rsid w:val="00AE0671"/>
    <w:rsid w:val="00AF118E"/>
    <w:rsid w:val="00AF1D3A"/>
    <w:rsid w:val="00AF26C4"/>
    <w:rsid w:val="00AF2918"/>
    <w:rsid w:val="00B04E44"/>
    <w:rsid w:val="00B15E4B"/>
    <w:rsid w:val="00B163EC"/>
    <w:rsid w:val="00B24808"/>
    <w:rsid w:val="00B3590D"/>
    <w:rsid w:val="00B36543"/>
    <w:rsid w:val="00B478BE"/>
    <w:rsid w:val="00B47A71"/>
    <w:rsid w:val="00B506DC"/>
    <w:rsid w:val="00B52CD3"/>
    <w:rsid w:val="00B60BB1"/>
    <w:rsid w:val="00B7152C"/>
    <w:rsid w:val="00B71DCE"/>
    <w:rsid w:val="00B74A1D"/>
    <w:rsid w:val="00B86D96"/>
    <w:rsid w:val="00B95E94"/>
    <w:rsid w:val="00BA7A0B"/>
    <w:rsid w:val="00BB17C0"/>
    <w:rsid w:val="00BB6B0A"/>
    <w:rsid w:val="00BC21CD"/>
    <w:rsid w:val="00BC2672"/>
    <w:rsid w:val="00BC2D88"/>
    <w:rsid w:val="00BC5608"/>
    <w:rsid w:val="00BE1735"/>
    <w:rsid w:val="00BE6A37"/>
    <w:rsid w:val="00BF0AAD"/>
    <w:rsid w:val="00BF5A83"/>
    <w:rsid w:val="00C020F7"/>
    <w:rsid w:val="00C164B2"/>
    <w:rsid w:val="00C21F61"/>
    <w:rsid w:val="00C31D81"/>
    <w:rsid w:val="00C370B8"/>
    <w:rsid w:val="00C378BC"/>
    <w:rsid w:val="00C41172"/>
    <w:rsid w:val="00C44A68"/>
    <w:rsid w:val="00C47803"/>
    <w:rsid w:val="00C52F68"/>
    <w:rsid w:val="00C5594F"/>
    <w:rsid w:val="00C60605"/>
    <w:rsid w:val="00C732B2"/>
    <w:rsid w:val="00C75B50"/>
    <w:rsid w:val="00C8671B"/>
    <w:rsid w:val="00CB19DE"/>
    <w:rsid w:val="00CB3D12"/>
    <w:rsid w:val="00CE7B0A"/>
    <w:rsid w:val="00D10263"/>
    <w:rsid w:val="00D2357B"/>
    <w:rsid w:val="00D240DD"/>
    <w:rsid w:val="00D26D9D"/>
    <w:rsid w:val="00D33C14"/>
    <w:rsid w:val="00D35D50"/>
    <w:rsid w:val="00D52621"/>
    <w:rsid w:val="00D567CA"/>
    <w:rsid w:val="00D57A52"/>
    <w:rsid w:val="00D741EF"/>
    <w:rsid w:val="00D756C6"/>
    <w:rsid w:val="00D867DD"/>
    <w:rsid w:val="00D87E80"/>
    <w:rsid w:val="00DA025E"/>
    <w:rsid w:val="00DC582F"/>
    <w:rsid w:val="00DD190E"/>
    <w:rsid w:val="00E07C58"/>
    <w:rsid w:val="00E24436"/>
    <w:rsid w:val="00E40453"/>
    <w:rsid w:val="00E42C6B"/>
    <w:rsid w:val="00E52E67"/>
    <w:rsid w:val="00E8072B"/>
    <w:rsid w:val="00E80B7E"/>
    <w:rsid w:val="00E82397"/>
    <w:rsid w:val="00E87C98"/>
    <w:rsid w:val="00E923F0"/>
    <w:rsid w:val="00E946ED"/>
    <w:rsid w:val="00EA57BF"/>
    <w:rsid w:val="00EB1FEE"/>
    <w:rsid w:val="00EB59C0"/>
    <w:rsid w:val="00ED272A"/>
    <w:rsid w:val="00EE22CB"/>
    <w:rsid w:val="00EE364F"/>
    <w:rsid w:val="00F060BD"/>
    <w:rsid w:val="00F1029B"/>
    <w:rsid w:val="00F11A6F"/>
    <w:rsid w:val="00F16F75"/>
    <w:rsid w:val="00F47924"/>
    <w:rsid w:val="00F730AE"/>
    <w:rsid w:val="00F75F7C"/>
    <w:rsid w:val="00F7756A"/>
    <w:rsid w:val="00F865F3"/>
    <w:rsid w:val="00F92AA7"/>
    <w:rsid w:val="00F94413"/>
    <w:rsid w:val="00F94D6C"/>
    <w:rsid w:val="00F97681"/>
    <w:rsid w:val="00FA071E"/>
    <w:rsid w:val="00FB5078"/>
    <w:rsid w:val="00FD02E9"/>
    <w:rsid w:val="00FE168B"/>
    <w:rsid w:val="00FE3B16"/>
    <w:rsid w:val="00FE57D5"/>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C49D"/>
  <w15:chartTrackingRefBased/>
  <w15:docId w15:val="{6D2AC69D-0D28-40C6-82D1-E43F3CF0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RequirementCalibri">
    <w:name w:val="OMB RequirementCalibri"/>
    <w:qFormat/>
    <w:rsid w:val="00EE364F"/>
    <w:pPr>
      <w:spacing w:after="240" w:line="240" w:lineRule="auto"/>
    </w:pPr>
    <w:rPr>
      <w:rFonts w:eastAsia="Times New Roman" w:cs="Calibri"/>
      <w:b/>
      <w:sz w:val="24"/>
      <w:szCs w:val="24"/>
    </w:rPr>
  </w:style>
  <w:style w:type="paragraph" w:customStyle="1" w:styleId="Hdng2-IPR">
    <w:name w:val="Hdng2-IPR"/>
    <w:link w:val="Hdng2-IPRChar"/>
    <w:qFormat/>
    <w:rsid w:val="00EE364F"/>
    <w:pPr>
      <w:keepNext/>
      <w:spacing w:after="240" w:line="240" w:lineRule="auto"/>
      <w:ind w:left="720" w:hanging="720"/>
      <w:outlineLvl w:val="1"/>
    </w:pPr>
    <w:rPr>
      <w:rFonts w:ascii="Arial Bold" w:eastAsia="Calibri" w:hAnsi="Arial Bold" w:cs="Arial"/>
      <w:b/>
      <w:caps/>
      <w:color w:val="44546A" w:themeColor="text2"/>
      <w:sz w:val="24"/>
      <w:szCs w:val="24"/>
    </w:rPr>
  </w:style>
  <w:style w:type="character" w:customStyle="1" w:styleId="Hdng2-IPRChar">
    <w:name w:val="Hdng2-IPR Char"/>
    <w:basedOn w:val="DefaultParagraphFont"/>
    <w:link w:val="Hdng2-IPR"/>
    <w:rsid w:val="00EE364F"/>
    <w:rPr>
      <w:rFonts w:ascii="Arial Bold" w:eastAsia="Calibri" w:hAnsi="Arial Bold" w:cs="Arial"/>
      <w:b/>
      <w:caps/>
      <w:color w:val="44546A" w:themeColor="text2"/>
      <w:sz w:val="24"/>
      <w:szCs w:val="24"/>
    </w:rPr>
  </w:style>
  <w:style w:type="character" w:styleId="FootnoteReference">
    <w:name w:val="footnote reference"/>
    <w:rsid w:val="00EE364F"/>
  </w:style>
  <w:style w:type="paragraph" w:styleId="FootnoteText">
    <w:name w:val="footnote text"/>
    <w:aliases w:val="F1"/>
    <w:basedOn w:val="Normal"/>
    <w:link w:val="FootnoteTextChar"/>
    <w:rsid w:val="00EE364F"/>
    <w:pPr>
      <w:spacing w:after="0" w:line="276" w:lineRule="auto"/>
    </w:pPr>
    <w:rPr>
      <w:rFonts w:ascii="Times New Roman" w:eastAsia="Times New Roman" w:hAnsi="Times New Roman" w:cs="Times New Roman"/>
      <w:sz w:val="16"/>
    </w:rPr>
  </w:style>
  <w:style w:type="character" w:customStyle="1" w:styleId="FootnoteTextChar">
    <w:name w:val="Footnote Text Char"/>
    <w:aliases w:val="F1 Char"/>
    <w:basedOn w:val="DefaultParagraphFont"/>
    <w:link w:val="FootnoteText"/>
    <w:rsid w:val="00EE364F"/>
    <w:rPr>
      <w:rFonts w:ascii="Times New Roman" w:eastAsia="Times New Roman" w:hAnsi="Times New Roman" w:cs="Times New Roman"/>
      <w:sz w:val="16"/>
    </w:rPr>
  </w:style>
  <w:style w:type="character" w:styleId="Hyperlink">
    <w:name w:val="Hyperlink"/>
    <w:uiPriority w:val="99"/>
    <w:rsid w:val="00EE364F"/>
    <w:rPr>
      <w:color w:val="0000FF"/>
      <w:u w:val="single"/>
    </w:rPr>
  </w:style>
  <w:style w:type="paragraph" w:customStyle="1" w:styleId="Body12ptCalibri-IPR">
    <w:name w:val="Body12ptCalibri-IPR"/>
    <w:link w:val="Body12ptCalibri-IPRChar"/>
    <w:qFormat/>
    <w:rsid w:val="00EE364F"/>
    <w:pPr>
      <w:autoSpaceDE w:val="0"/>
      <w:autoSpaceDN w:val="0"/>
      <w:adjustRightInd w:val="0"/>
      <w:spacing w:after="0" w:line="480" w:lineRule="auto"/>
      <w:ind w:firstLine="720"/>
      <w:jc w:val="both"/>
    </w:pPr>
    <w:rPr>
      <w:rFonts w:eastAsia="Calibri" w:cs="Times New Roman"/>
      <w:sz w:val="24"/>
    </w:rPr>
  </w:style>
  <w:style w:type="character" w:customStyle="1" w:styleId="Body12ptCalibri-IPRChar">
    <w:name w:val="Body12ptCalibri-IPR Char"/>
    <w:link w:val="Body12ptCalibri-IPR"/>
    <w:rsid w:val="00EE364F"/>
    <w:rPr>
      <w:rFonts w:eastAsia="Calibri" w:cs="Times New Roman"/>
      <w:sz w:val="24"/>
    </w:rPr>
  </w:style>
  <w:style w:type="paragraph" w:customStyle="1" w:styleId="FtnteBodyText-IPR">
    <w:name w:val="FtnteBodyText-IPR"/>
    <w:link w:val="FtnteBodyText-IPRChar"/>
    <w:qFormat/>
    <w:rsid w:val="00EE364F"/>
    <w:pPr>
      <w:spacing w:after="0" w:line="240" w:lineRule="auto"/>
    </w:pPr>
    <w:rPr>
      <w:rFonts w:ascii="Times New Roman" w:eastAsia="Calibri" w:hAnsi="Times New Roman" w:cs="Times New Roman"/>
      <w:sz w:val="16"/>
      <w:szCs w:val="16"/>
    </w:rPr>
  </w:style>
  <w:style w:type="character" w:customStyle="1" w:styleId="FtnteBodyText-IPRChar">
    <w:name w:val="FtnteBodyText-IPR Char"/>
    <w:basedOn w:val="DefaultParagraphFont"/>
    <w:link w:val="FtnteBodyText-IPR"/>
    <w:rsid w:val="00EE364F"/>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EE364F"/>
    <w:rPr>
      <w:sz w:val="16"/>
      <w:szCs w:val="16"/>
    </w:rPr>
  </w:style>
  <w:style w:type="paragraph" w:styleId="CommentText">
    <w:name w:val="annotation text"/>
    <w:basedOn w:val="Normal"/>
    <w:link w:val="CommentTextChar"/>
    <w:uiPriority w:val="99"/>
    <w:unhideWhenUsed/>
    <w:rsid w:val="00EE364F"/>
    <w:pPr>
      <w:spacing w:line="240" w:lineRule="auto"/>
    </w:pPr>
    <w:rPr>
      <w:sz w:val="20"/>
      <w:szCs w:val="20"/>
    </w:rPr>
  </w:style>
  <w:style w:type="character" w:customStyle="1" w:styleId="CommentTextChar">
    <w:name w:val="Comment Text Char"/>
    <w:basedOn w:val="DefaultParagraphFont"/>
    <w:link w:val="CommentText"/>
    <w:uiPriority w:val="99"/>
    <w:rsid w:val="00EE364F"/>
    <w:rPr>
      <w:sz w:val="20"/>
      <w:szCs w:val="20"/>
    </w:rPr>
  </w:style>
  <w:style w:type="paragraph" w:styleId="CommentSubject">
    <w:name w:val="annotation subject"/>
    <w:basedOn w:val="CommentText"/>
    <w:next w:val="CommentText"/>
    <w:link w:val="CommentSubjectChar"/>
    <w:uiPriority w:val="99"/>
    <w:semiHidden/>
    <w:unhideWhenUsed/>
    <w:rsid w:val="00EE364F"/>
    <w:rPr>
      <w:b/>
      <w:bCs/>
    </w:rPr>
  </w:style>
  <w:style w:type="character" w:customStyle="1" w:styleId="CommentSubjectChar">
    <w:name w:val="Comment Subject Char"/>
    <w:basedOn w:val="CommentTextChar"/>
    <w:link w:val="CommentSubject"/>
    <w:uiPriority w:val="99"/>
    <w:semiHidden/>
    <w:rsid w:val="00EE364F"/>
    <w:rPr>
      <w:b/>
      <w:bCs/>
      <w:sz w:val="20"/>
      <w:szCs w:val="20"/>
    </w:rPr>
  </w:style>
  <w:style w:type="paragraph" w:styleId="BalloonText">
    <w:name w:val="Balloon Text"/>
    <w:basedOn w:val="Normal"/>
    <w:link w:val="BalloonTextChar"/>
    <w:uiPriority w:val="99"/>
    <w:semiHidden/>
    <w:unhideWhenUsed/>
    <w:rsid w:val="00EE3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64F"/>
    <w:rPr>
      <w:rFonts w:ascii="Segoe UI" w:hAnsi="Segoe UI" w:cs="Segoe UI"/>
      <w:sz w:val="18"/>
      <w:szCs w:val="18"/>
    </w:rPr>
  </w:style>
  <w:style w:type="character" w:styleId="UnresolvedMention">
    <w:name w:val="Unresolved Mention"/>
    <w:basedOn w:val="DefaultParagraphFont"/>
    <w:uiPriority w:val="99"/>
    <w:semiHidden/>
    <w:unhideWhenUsed/>
    <w:rsid w:val="00AA4766"/>
    <w:rPr>
      <w:color w:val="605E5C"/>
      <w:shd w:val="clear" w:color="auto" w:fill="E1DFDD"/>
    </w:rPr>
  </w:style>
  <w:style w:type="paragraph" w:customStyle="1" w:styleId="Numbers12ptCalibri-IPR">
    <w:name w:val="Numbers12ptCalibri-IPR"/>
    <w:link w:val="Numbers12ptCalibri-IPRChar"/>
    <w:qFormat/>
    <w:rsid w:val="00BC2D88"/>
    <w:pPr>
      <w:numPr>
        <w:numId w:val="1"/>
      </w:numPr>
      <w:spacing w:after="240" w:line="240" w:lineRule="auto"/>
      <w:ind w:left="720"/>
    </w:pPr>
    <w:rPr>
      <w:rFonts w:ascii="Calibri" w:hAnsi="Calibri"/>
      <w:sz w:val="24"/>
    </w:rPr>
  </w:style>
  <w:style w:type="character" w:customStyle="1" w:styleId="Numbers12ptCalibri-IPRChar">
    <w:name w:val="Numbers12ptCalibri-IPR Char"/>
    <w:basedOn w:val="DefaultParagraphFont"/>
    <w:link w:val="Numbers12ptCalibri-IPR"/>
    <w:rsid w:val="00BC2D88"/>
    <w:rPr>
      <w:rFonts w:ascii="Calibri" w:hAnsi="Calibri"/>
      <w:sz w:val="24"/>
    </w:rPr>
  </w:style>
  <w:style w:type="paragraph" w:customStyle="1" w:styleId="Bullets12ptCalibri-IPR">
    <w:name w:val="Bullets12ptCalibri-IPR"/>
    <w:link w:val="Bullets12ptCalibri-IPRChar"/>
    <w:qFormat/>
    <w:rsid w:val="00E52E67"/>
    <w:pPr>
      <w:numPr>
        <w:numId w:val="2"/>
      </w:numPr>
      <w:spacing w:after="240" w:line="240" w:lineRule="auto"/>
    </w:pPr>
    <w:rPr>
      <w:rFonts w:ascii="Calibri" w:hAnsi="Calibri"/>
      <w:sz w:val="24"/>
      <w:szCs w:val="24"/>
    </w:rPr>
  </w:style>
  <w:style w:type="character" w:customStyle="1" w:styleId="Bullets12ptCalibri-IPRChar">
    <w:name w:val="Bullets12ptCalibri-IPR Char"/>
    <w:basedOn w:val="DefaultParagraphFont"/>
    <w:link w:val="Bullets12ptCalibri-IPR"/>
    <w:rsid w:val="00E52E67"/>
    <w:rPr>
      <w:rFonts w:ascii="Calibri" w:hAnsi="Calibri"/>
      <w:sz w:val="24"/>
      <w:szCs w:val="24"/>
    </w:rPr>
  </w:style>
  <w:style w:type="paragraph" w:customStyle="1" w:styleId="TableTitle">
    <w:name w:val="Table Title"/>
    <w:next w:val="Normal"/>
    <w:qFormat/>
    <w:rsid w:val="00181B91"/>
    <w:pPr>
      <w:keepNext/>
      <w:keepLines/>
      <w:spacing w:after="0" w:line="240" w:lineRule="auto"/>
      <w:jc w:val="center"/>
    </w:pPr>
    <w:rPr>
      <w:rFonts w:ascii="Calibri" w:eastAsia="Times New Roman" w:hAnsi="Calibri" w:cs="Calibri"/>
      <w:b/>
      <w:bCs/>
      <w:sz w:val="24"/>
      <w:szCs w:val="24"/>
    </w:rPr>
  </w:style>
  <w:style w:type="paragraph" w:customStyle="1" w:styleId="TableText-IPR">
    <w:name w:val="TableText-IPR"/>
    <w:link w:val="TableText-IPRChar"/>
    <w:qFormat/>
    <w:rsid w:val="00181B91"/>
    <w:pPr>
      <w:spacing w:after="0" w:line="240" w:lineRule="auto"/>
    </w:pPr>
    <w:rPr>
      <w:rFonts w:ascii="Calibri" w:eastAsiaTheme="minorEastAsia" w:hAnsi="Calibri" w:cs="Times New Roman"/>
      <w:sz w:val="20"/>
      <w:szCs w:val="20"/>
    </w:rPr>
  </w:style>
  <w:style w:type="character" w:customStyle="1" w:styleId="TableText-IPRChar">
    <w:name w:val="TableText-IPR Char"/>
    <w:basedOn w:val="DefaultParagraphFont"/>
    <w:link w:val="TableText-IPR"/>
    <w:rsid w:val="00181B91"/>
    <w:rPr>
      <w:rFonts w:ascii="Calibri" w:eastAsiaTheme="minorEastAsia" w:hAnsi="Calibri" w:cs="Times New Roman"/>
      <w:sz w:val="20"/>
      <w:szCs w:val="20"/>
    </w:rPr>
  </w:style>
  <w:style w:type="character" w:styleId="FollowedHyperlink">
    <w:name w:val="FollowedHyperlink"/>
    <w:basedOn w:val="DefaultParagraphFont"/>
    <w:uiPriority w:val="99"/>
    <w:semiHidden/>
    <w:unhideWhenUsed/>
    <w:rsid w:val="002E5859"/>
    <w:rPr>
      <w:color w:val="954F72" w:themeColor="followedHyperlink"/>
      <w:u w:val="single"/>
    </w:rPr>
  </w:style>
  <w:style w:type="paragraph" w:customStyle="1" w:styleId="MarkforTableHeading">
    <w:name w:val="Mark for Table Heading"/>
    <w:basedOn w:val="Normal"/>
    <w:next w:val="Normal"/>
    <w:qFormat/>
    <w:rsid w:val="00A63D7F"/>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
    <w:qFormat/>
    <w:rsid w:val="00A63D7F"/>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A63D7F"/>
    <w:pPr>
      <w:tabs>
        <w:tab w:val="left" w:pos="432"/>
      </w:tabs>
      <w:spacing w:before="120" w:after="60" w:line="240" w:lineRule="auto"/>
    </w:pPr>
    <w:rPr>
      <w:rFonts w:ascii="Lucida Sans" w:eastAsia="Times New Roman" w:hAnsi="Lucida Sans" w:cs="Times New Roman"/>
      <w:sz w:val="18"/>
      <w:szCs w:val="24"/>
    </w:rPr>
  </w:style>
  <w:style w:type="paragraph" w:customStyle="1" w:styleId="TableText">
    <w:name w:val="Table Text"/>
    <w:basedOn w:val="Normal"/>
    <w:qFormat/>
    <w:rsid w:val="00A63D7F"/>
    <w:pPr>
      <w:spacing w:after="0" w:line="240" w:lineRule="auto"/>
    </w:pPr>
    <w:rPr>
      <w:rFonts w:ascii="Lucida Sans" w:eastAsia="Times New Roman" w:hAnsi="Lucida Sans" w:cs="Times New Roman"/>
      <w:sz w:val="18"/>
      <w:szCs w:val="24"/>
    </w:rPr>
  </w:style>
  <w:style w:type="table" w:customStyle="1" w:styleId="SMPRTableBlack">
    <w:name w:val="SMPR_Table_Black"/>
    <w:basedOn w:val="TableNormal"/>
    <w:uiPriority w:val="99"/>
    <w:rsid w:val="00A63D7F"/>
    <w:pPr>
      <w:spacing w:after="240" w:line="240" w:lineRule="auto"/>
      <w:ind w:firstLine="432"/>
      <w:jc w:val="both"/>
    </w:pPr>
    <w:rPr>
      <w:rFonts w:ascii="Lucida Sans" w:eastAsia="Times New Roman" w:hAnsi="Lucida Sans" w:cs="Times New Roman"/>
      <w:sz w:val="20"/>
      <w:szCs w:val="24"/>
    </w:rPr>
    <w:tblPr>
      <w:tblInd w:w="0" w:type="nil"/>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uiPriority w:val="99"/>
    <w:semiHidden/>
    <w:unhideWhenUsed/>
    <w:rsid w:val="006443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4392"/>
    <w:rPr>
      <w:sz w:val="20"/>
      <w:szCs w:val="20"/>
    </w:rPr>
  </w:style>
  <w:style w:type="character" w:styleId="EndnoteReference">
    <w:name w:val="endnote reference"/>
    <w:basedOn w:val="DefaultParagraphFont"/>
    <w:uiPriority w:val="99"/>
    <w:semiHidden/>
    <w:unhideWhenUsed/>
    <w:rsid w:val="00644392"/>
    <w:rPr>
      <w:vertAlign w:val="superscript"/>
    </w:rPr>
  </w:style>
  <w:style w:type="paragraph" w:customStyle="1" w:styleId="Hdng1Report-IPR">
    <w:name w:val="Hdng1Report-IPR"/>
    <w:link w:val="Hdng1Report-IPRChar"/>
    <w:qFormat/>
    <w:rsid w:val="00312102"/>
    <w:pPr>
      <w:keepNext/>
      <w:spacing w:after="240" w:line="240" w:lineRule="auto"/>
      <w:outlineLvl w:val="0"/>
    </w:pPr>
    <w:rPr>
      <w:rFonts w:ascii="Arial" w:eastAsia="Calibri" w:hAnsi="Arial" w:cs="Arial"/>
      <w:b/>
      <w:bCs/>
      <w:caps/>
      <w:color w:val="B80000"/>
      <w:sz w:val="28"/>
      <w:szCs w:val="28"/>
    </w:rPr>
  </w:style>
  <w:style w:type="character" w:customStyle="1" w:styleId="Hdng1Report-IPRChar">
    <w:name w:val="Hdng1Report-IPR Char"/>
    <w:basedOn w:val="DefaultParagraphFont"/>
    <w:link w:val="Hdng1Report-IPR"/>
    <w:rsid w:val="00312102"/>
    <w:rPr>
      <w:rFonts w:ascii="Arial" w:eastAsia="Calibri" w:hAnsi="Arial" w:cs="Arial"/>
      <w:b/>
      <w:bCs/>
      <w:caps/>
      <w:color w:val="B80000"/>
      <w:sz w:val="28"/>
      <w:szCs w:val="28"/>
    </w:rPr>
  </w:style>
  <w:style w:type="paragraph" w:styleId="ListParagraph">
    <w:name w:val="List Paragraph"/>
    <w:basedOn w:val="Normal"/>
    <w:uiPriority w:val="34"/>
    <w:qFormat/>
    <w:rsid w:val="00BC2672"/>
    <w:pPr>
      <w:ind w:left="720"/>
      <w:contextualSpacing/>
    </w:pPr>
  </w:style>
  <w:style w:type="paragraph" w:styleId="Revision">
    <w:name w:val="Revision"/>
    <w:hidden/>
    <w:uiPriority w:val="99"/>
    <w:semiHidden/>
    <w:rsid w:val="00737C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40435">
      <w:bodyDiv w:val="1"/>
      <w:marLeft w:val="0"/>
      <w:marRight w:val="0"/>
      <w:marTop w:val="0"/>
      <w:marBottom w:val="0"/>
      <w:divBdr>
        <w:top w:val="none" w:sz="0" w:space="0" w:color="auto"/>
        <w:left w:val="none" w:sz="0" w:space="0" w:color="auto"/>
        <w:bottom w:val="none" w:sz="0" w:space="0" w:color="auto"/>
        <w:right w:val="none" w:sz="0" w:space="0" w:color="auto"/>
      </w:divBdr>
    </w:div>
    <w:div w:id="617371873">
      <w:bodyDiv w:val="1"/>
      <w:marLeft w:val="0"/>
      <w:marRight w:val="0"/>
      <w:marTop w:val="0"/>
      <w:marBottom w:val="0"/>
      <w:divBdr>
        <w:top w:val="none" w:sz="0" w:space="0" w:color="auto"/>
        <w:left w:val="none" w:sz="0" w:space="0" w:color="auto"/>
        <w:bottom w:val="none" w:sz="0" w:space="0" w:color="auto"/>
        <w:right w:val="none" w:sz="0" w:space="0" w:color="auto"/>
      </w:divBdr>
    </w:div>
    <w:div w:id="1060707329">
      <w:bodyDiv w:val="1"/>
      <w:marLeft w:val="0"/>
      <w:marRight w:val="0"/>
      <w:marTop w:val="0"/>
      <w:marBottom w:val="0"/>
      <w:divBdr>
        <w:top w:val="none" w:sz="0" w:space="0" w:color="auto"/>
        <w:left w:val="none" w:sz="0" w:space="0" w:color="auto"/>
        <w:bottom w:val="none" w:sz="0" w:space="0" w:color="auto"/>
        <w:right w:val="none" w:sz="0" w:space="0" w:color="auto"/>
      </w:divBdr>
    </w:div>
    <w:div w:id="1830632715">
      <w:bodyDiv w:val="1"/>
      <w:marLeft w:val="0"/>
      <w:marRight w:val="0"/>
      <w:marTop w:val="0"/>
      <w:marBottom w:val="0"/>
      <w:divBdr>
        <w:top w:val="none" w:sz="0" w:space="0" w:color="auto"/>
        <w:left w:val="none" w:sz="0" w:space="0" w:color="auto"/>
        <w:bottom w:val="none" w:sz="0" w:space="0" w:color="auto"/>
        <w:right w:val="none" w:sz="0" w:space="0" w:color="auto"/>
      </w:divBdr>
    </w:div>
    <w:div w:id="21040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E45D2E242FD048BF7AAECC0F170159" ma:contentTypeVersion="1" ma:contentTypeDescription="Create a new document." ma:contentTypeScope="" ma:versionID="35a73fe4cd2ece95cc11abb3e40c6284">
  <xsd:schema xmlns:xsd="http://www.w3.org/2001/XMLSchema" xmlns:xs="http://www.w3.org/2001/XMLSchema" xmlns:p="http://schemas.microsoft.com/office/2006/metadata/properties" xmlns:ns2="b38dd2dc-60e0-4bba-9aaa-41a22ff26941" targetNamespace="http://schemas.microsoft.com/office/2006/metadata/properties" ma:root="true" ma:fieldsID="9685c7fad591cd5462308dbab4e40224" ns2:_="">
    <xsd:import namespace="b38dd2dc-60e0-4bba-9aaa-41a22ff2694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dd2dc-60e0-4bba-9aaa-41a22ff269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0FD82-ED63-4DAD-B57E-68882D623BCF}">
  <ds:schemaRefs>
    <ds:schemaRef ds:uri="http://schemas.openxmlformats.org/officeDocument/2006/bibliography"/>
  </ds:schemaRefs>
</ds:datastoreItem>
</file>

<file path=customXml/itemProps2.xml><?xml version="1.0" encoding="utf-8"?>
<ds:datastoreItem xmlns:ds="http://schemas.openxmlformats.org/officeDocument/2006/customXml" ds:itemID="{D95EFEDD-E042-4AF8-9829-963CE9BDC571}">
  <ds:schemaRefs>
    <ds:schemaRef ds:uri="http://schemas.microsoft.com/sharepoint/v3/contenttype/forms"/>
  </ds:schemaRefs>
</ds:datastoreItem>
</file>

<file path=customXml/itemProps3.xml><?xml version="1.0" encoding="utf-8"?>
<ds:datastoreItem xmlns:ds="http://schemas.openxmlformats.org/officeDocument/2006/customXml" ds:itemID="{83C49AF4-CDDB-4202-91AA-C21232D989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24AA96-1F49-47FC-9F75-AE06DB79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dd2dc-60e0-4bba-9aaa-41a22ff26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3582</Words>
  <Characters>20423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Bowman</dc:creator>
  <cp:keywords/>
  <dc:description/>
  <cp:lastModifiedBy>Plimpton, Suzanne H.</cp:lastModifiedBy>
  <cp:revision>7</cp:revision>
  <dcterms:created xsi:type="dcterms:W3CDTF">2021-07-27T14:56:00Z</dcterms:created>
  <dcterms:modified xsi:type="dcterms:W3CDTF">2021-08-04T13:53:00Z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0x01010017E45D2E242FD048BF7AAECC0F170159</vt:lpwstr>
  </property>
</Properties>
</file>