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51029" w:rsidR="004E6350" w:rsidP="004C4E38" w:rsidRDefault="00CE3C28" w14:paraId="21A5F2CE" w14:textId="68D308BB">
      <w:pPr>
        <w:jc w:val="center"/>
        <w:rPr>
          <w:rFonts w:ascii="Arial" w:hAnsi="Arial" w:cs="Arial"/>
          <w:sz w:val="22"/>
          <w:szCs w:val="22"/>
        </w:rPr>
      </w:pPr>
      <w:r>
        <w:rPr>
          <w:rFonts w:ascii="Arial" w:hAnsi="Arial" w:cs="Arial"/>
          <w:sz w:val="22"/>
          <w:szCs w:val="22"/>
        </w:rPr>
        <w:t>FINAL</w:t>
      </w:r>
      <w:r w:rsidRPr="00D51029">
        <w:rPr>
          <w:rFonts w:ascii="Arial" w:hAnsi="Arial" w:cs="Arial"/>
          <w:sz w:val="22"/>
          <w:szCs w:val="22"/>
        </w:rPr>
        <w:t xml:space="preserve"> </w:t>
      </w:r>
      <w:r w:rsidRPr="00D51029" w:rsidR="004E6350">
        <w:rPr>
          <w:rFonts w:ascii="Arial" w:hAnsi="Arial" w:cs="Arial"/>
          <w:sz w:val="22"/>
          <w:szCs w:val="22"/>
        </w:rPr>
        <w:t>OMB SUPPORTING STATEMENT</w:t>
      </w:r>
    </w:p>
    <w:p w:rsidR="004E6350" w:rsidP="004C4E38" w:rsidRDefault="004E6350" w14:paraId="76609915" w14:textId="77777777">
      <w:pPr>
        <w:jc w:val="center"/>
        <w:rPr>
          <w:rFonts w:ascii="Arial" w:hAnsi="Arial" w:cs="Arial"/>
          <w:sz w:val="22"/>
          <w:szCs w:val="22"/>
        </w:rPr>
      </w:pPr>
      <w:r>
        <w:rPr>
          <w:rFonts w:ascii="Arial" w:hAnsi="Arial" w:cs="Arial"/>
          <w:sz w:val="22"/>
          <w:szCs w:val="22"/>
        </w:rPr>
        <w:t>FOR</w:t>
      </w:r>
    </w:p>
    <w:p w:rsidRPr="00D51029" w:rsidR="004E6350" w:rsidP="004C4E38" w:rsidRDefault="004E6350" w14:paraId="72DDA912" w14:textId="77777777">
      <w:pPr>
        <w:jc w:val="center"/>
        <w:rPr>
          <w:rFonts w:ascii="Arial" w:hAnsi="Arial" w:cs="Arial"/>
          <w:sz w:val="22"/>
          <w:szCs w:val="22"/>
        </w:rPr>
      </w:pPr>
      <w:r>
        <w:rPr>
          <w:rFonts w:ascii="Arial" w:hAnsi="Arial" w:cs="Arial"/>
          <w:sz w:val="22"/>
          <w:szCs w:val="22"/>
        </w:rPr>
        <w:t>10 CFR</w:t>
      </w:r>
      <w:r w:rsidRPr="00D51029">
        <w:rPr>
          <w:rFonts w:ascii="Arial" w:hAnsi="Arial" w:cs="Arial"/>
          <w:sz w:val="22"/>
          <w:szCs w:val="22"/>
        </w:rPr>
        <w:t xml:space="preserve"> PART 54</w:t>
      </w:r>
    </w:p>
    <w:p w:rsidRPr="00D51029" w:rsidR="004E6350" w:rsidP="004C4E38" w:rsidRDefault="004E6350" w14:paraId="3CAC0DDA" w14:textId="77777777">
      <w:pPr>
        <w:jc w:val="center"/>
        <w:rPr>
          <w:rFonts w:ascii="Arial" w:hAnsi="Arial" w:cs="Arial"/>
          <w:sz w:val="22"/>
          <w:szCs w:val="22"/>
        </w:rPr>
      </w:pPr>
      <w:r w:rsidRPr="00D51029">
        <w:rPr>
          <w:rFonts w:ascii="Arial" w:hAnsi="Arial" w:cs="Arial"/>
          <w:sz w:val="22"/>
          <w:szCs w:val="22"/>
        </w:rPr>
        <w:t>REQUIREMENTS FOR RENEWAL OF OPERATING LICENSES FOR</w:t>
      </w:r>
    </w:p>
    <w:p w:rsidRPr="00D51029" w:rsidR="004E6350" w:rsidP="004C4E38" w:rsidRDefault="004E6350" w14:paraId="2F9C36D8" w14:textId="77777777">
      <w:pPr>
        <w:jc w:val="center"/>
        <w:rPr>
          <w:rFonts w:ascii="Arial" w:hAnsi="Arial" w:cs="Arial"/>
          <w:sz w:val="22"/>
          <w:szCs w:val="22"/>
        </w:rPr>
      </w:pPr>
      <w:r w:rsidRPr="00D51029">
        <w:rPr>
          <w:rFonts w:ascii="Arial" w:hAnsi="Arial" w:cs="Arial"/>
          <w:sz w:val="22"/>
          <w:szCs w:val="22"/>
        </w:rPr>
        <w:t>NUCLEAR POWER PLANTS</w:t>
      </w:r>
    </w:p>
    <w:p w:rsidRPr="00D51029" w:rsidR="004E6350" w:rsidP="004C4E38" w:rsidRDefault="004E6350" w14:paraId="16F0BD5C" w14:textId="77777777">
      <w:pPr>
        <w:jc w:val="center"/>
        <w:rPr>
          <w:rFonts w:ascii="Arial" w:hAnsi="Arial" w:cs="Arial"/>
          <w:sz w:val="22"/>
          <w:szCs w:val="22"/>
        </w:rPr>
      </w:pPr>
      <w:r w:rsidRPr="00D51029">
        <w:rPr>
          <w:rFonts w:ascii="Arial" w:hAnsi="Arial" w:cs="Arial"/>
          <w:sz w:val="22"/>
          <w:szCs w:val="22"/>
        </w:rPr>
        <w:t>3150-0155</w:t>
      </w:r>
    </w:p>
    <w:p w:rsidRPr="00D51029" w:rsidR="004E6350" w:rsidP="004C4E38" w:rsidRDefault="004E6350" w14:paraId="2C9D3170" w14:textId="77777777">
      <w:pPr>
        <w:jc w:val="center"/>
        <w:rPr>
          <w:rFonts w:ascii="Arial" w:hAnsi="Arial" w:cs="Arial"/>
          <w:sz w:val="22"/>
          <w:szCs w:val="22"/>
        </w:rPr>
      </w:pPr>
      <w:r w:rsidRPr="00D51029">
        <w:rPr>
          <w:rFonts w:ascii="Arial" w:hAnsi="Arial" w:cs="Arial"/>
          <w:sz w:val="22"/>
          <w:szCs w:val="22"/>
        </w:rPr>
        <w:t>---</w:t>
      </w:r>
    </w:p>
    <w:p w:rsidRPr="008D7C22" w:rsidR="004E6350" w:rsidP="004C4E38" w:rsidRDefault="0020466E" w14:paraId="257E6650" w14:textId="7170A4AA">
      <w:pPr>
        <w:jc w:val="center"/>
        <w:rPr>
          <w:rFonts w:ascii="Arial" w:hAnsi="Arial" w:cs="Arial"/>
          <w:iCs/>
          <w:sz w:val="22"/>
          <w:szCs w:val="22"/>
        </w:rPr>
      </w:pPr>
      <w:r>
        <w:rPr>
          <w:rFonts w:ascii="Arial" w:hAnsi="Arial" w:cs="Arial"/>
          <w:iCs/>
          <w:sz w:val="22"/>
          <w:szCs w:val="22"/>
        </w:rPr>
        <w:t>EXTENSION</w:t>
      </w:r>
    </w:p>
    <w:p w:rsidRPr="00D51029" w:rsidR="004E6350" w:rsidP="004C4E38" w:rsidRDefault="004E6350" w14:paraId="7D27CF9E" w14:textId="77777777">
      <w:pPr>
        <w:jc w:val="center"/>
        <w:rPr>
          <w:rFonts w:ascii="Arial" w:hAnsi="Arial" w:cs="Arial"/>
          <w:sz w:val="22"/>
          <w:szCs w:val="22"/>
        </w:rPr>
      </w:pPr>
    </w:p>
    <w:p w:rsidRPr="00D51029" w:rsidR="004E6350" w:rsidP="004C4E38" w:rsidRDefault="004E6350" w14:paraId="7B54E851" w14:textId="77777777">
      <w:pPr>
        <w:rPr>
          <w:rFonts w:ascii="Arial" w:hAnsi="Arial" w:cs="Arial"/>
          <w:sz w:val="22"/>
          <w:szCs w:val="22"/>
        </w:rPr>
      </w:pPr>
    </w:p>
    <w:p w:rsidRPr="00D51029" w:rsidR="004E6350" w:rsidP="004C4E38" w:rsidRDefault="004E6350" w14:paraId="03615873" w14:textId="77777777">
      <w:pPr>
        <w:rPr>
          <w:rFonts w:ascii="Arial" w:hAnsi="Arial" w:cs="Arial"/>
          <w:sz w:val="22"/>
          <w:szCs w:val="22"/>
        </w:rPr>
      </w:pPr>
      <w:r w:rsidRPr="00D51029">
        <w:rPr>
          <w:rFonts w:ascii="Arial" w:hAnsi="Arial" w:cs="Arial"/>
          <w:sz w:val="22"/>
          <w:szCs w:val="22"/>
          <w:u w:val="single"/>
        </w:rPr>
        <w:t>DESCRIPTION OF THE INFORMATION COLLECTION</w:t>
      </w:r>
    </w:p>
    <w:p w:rsidRPr="00D51029" w:rsidR="004E6350" w:rsidP="004C4E38" w:rsidRDefault="004E6350" w14:paraId="488AF258" w14:textId="77777777">
      <w:pPr>
        <w:rPr>
          <w:rFonts w:ascii="Arial" w:hAnsi="Arial" w:cs="Arial"/>
          <w:sz w:val="22"/>
          <w:szCs w:val="22"/>
        </w:rPr>
      </w:pPr>
    </w:p>
    <w:p w:rsidR="004E6350" w:rsidP="004C4E38" w:rsidRDefault="004E6350" w14:paraId="157FE726" w14:textId="072E6940">
      <w:pPr>
        <w:rPr>
          <w:rFonts w:ascii="Arial" w:hAnsi="Arial" w:cs="Arial"/>
          <w:sz w:val="22"/>
          <w:szCs w:val="22"/>
        </w:rPr>
      </w:pPr>
      <w:r w:rsidRPr="00D51029">
        <w:rPr>
          <w:rFonts w:ascii="Arial" w:hAnsi="Arial" w:cs="Arial"/>
          <w:sz w:val="22"/>
          <w:szCs w:val="22"/>
        </w:rPr>
        <w:t xml:space="preserve">Title 10 of the </w:t>
      </w:r>
      <w:r w:rsidRPr="00D51029">
        <w:rPr>
          <w:rFonts w:ascii="Arial" w:hAnsi="Arial" w:cs="Arial"/>
          <w:i/>
          <w:sz w:val="22"/>
          <w:szCs w:val="22"/>
        </w:rPr>
        <w:t>Code of Federal Regulations</w:t>
      </w:r>
      <w:r w:rsidRPr="00D51029">
        <w:rPr>
          <w:rFonts w:ascii="Arial" w:hAnsi="Arial" w:cs="Arial"/>
          <w:sz w:val="22"/>
          <w:szCs w:val="22"/>
        </w:rPr>
        <w:t xml:space="preserve"> (10 CFR) Part 54 establishes license renewal requirements for operating nuclear power plants.  Collection requirements included in 10</w:t>
      </w:r>
      <w:r w:rsidR="00EC02F6">
        <w:rPr>
          <w:rFonts w:ascii="Arial" w:hAnsi="Arial" w:cs="Arial"/>
          <w:sz w:val="22"/>
          <w:szCs w:val="22"/>
        </w:rPr>
        <w:t> </w:t>
      </w:r>
      <w:r w:rsidRPr="00D51029">
        <w:rPr>
          <w:rFonts w:ascii="Arial" w:hAnsi="Arial" w:cs="Arial"/>
          <w:sz w:val="22"/>
          <w:szCs w:val="22"/>
        </w:rPr>
        <w:t>CFR</w:t>
      </w:r>
      <w:r w:rsidR="00EC02F6">
        <w:rPr>
          <w:rFonts w:ascii="Arial" w:hAnsi="Arial" w:cs="Arial"/>
          <w:sz w:val="22"/>
          <w:szCs w:val="22"/>
        </w:rPr>
        <w:t> </w:t>
      </w:r>
      <w:r w:rsidRPr="00D51029">
        <w:rPr>
          <w:rFonts w:ascii="Arial" w:hAnsi="Arial" w:cs="Arial"/>
          <w:sz w:val="22"/>
          <w:szCs w:val="22"/>
        </w:rPr>
        <w:t>Part 54 are related to the license renewal application submittal and recordkeeping.</w:t>
      </w:r>
    </w:p>
    <w:p w:rsidRPr="00D51029" w:rsidR="006D6465" w:rsidP="004C4E38" w:rsidRDefault="006D6465" w14:paraId="1A886457" w14:textId="77777777">
      <w:pPr>
        <w:rPr>
          <w:rFonts w:ascii="Arial" w:hAnsi="Arial" w:cs="Arial"/>
          <w:sz w:val="22"/>
          <w:szCs w:val="22"/>
        </w:rPr>
      </w:pPr>
    </w:p>
    <w:p w:rsidRPr="00D51029" w:rsidR="004E6350" w:rsidP="004C4E38" w:rsidRDefault="004E6350" w14:paraId="66D353BA" w14:textId="461CC5B5">
      <w:pPr>
        <w:rPr>
          <w:rFonts w:ascii="Arial" w:hAnsi="Arial" w:cs="Arial"/>
          <w:sz w:val="22"/>
          <w:szCs w:val="22"/>
        </w:rPr>
      </w:pPr>
      <w:r w:rsidRPr="00D51029">
        <w:rPr>
          <w:rFonts w:ascii="Arial" w:hAnsi="Arial" w:cs="Arial"/>
          <w:sz w:val="22"/>
          <w:szCs w:val="22"/>
        </w:rPr>
        <w:t>In the license renewal appl</w:t>
      </w:r>
      <w:r>
        <w:rPr>
          <w:rFonts w:ascii="Arial" w:hAnsi="Arial" w:cs="Arial"/>
          <w:sz w:val="22"/>
          <w:szCs w:val="22"/>
        </w:rPr>
        <w:t xml:space="preserve">ication </w:t>
      </w:r>
      <w:r w:rsidR="00CC6ED2">
        <w:rPr>
          <w:rFonts w:ascii="Arial" w:hAnsi="Arial" w:cs="Arial"/>
          <w:sz w:val="22"/>
          <w:szCs w:val="22"/>
        </w:rPr>
        <w:t>submittal,</w:t>
      </w:r>
      <w:r>
        <w:rPr>
          <w:rFonts w:ascii="Arial" w:hAnsi="Arial" w:cs="Arial"/>
          <w:sz w:val="22"/>
          <w:szCs w:val="22"/>
        </w:rPr>
        <w:t xml:space="preserve"> the applicant</w:t>
      </w:r>
      <w:r w:rsidRPr="00D51029">
        <w:rPr>
          <w:rFonts w:ascii="Arial" w:hAnsi="Arial" w:cs="Arial"/>
          <w:sz w:val="22"/>
          <w:szCs w:val="22"/>
        </w:rPr>
        <w:t xml:space="preserve">: </w:t>
      </w:r>
      <w:r>
        <w:rPr>
          <w:rFonts w:ascii="Arial" w:hAnsi="Arial" w:cs="Arial"/>
          <w:sz w:val="22"/>
          <w:szCs w:val="22"/>
        </w:rPr>
        <w:t xml:space="preserve"> </w:t>
      </w:r>
      <w:r w:rsidRPr="00D51029">
        <w:rPr>
          <w:rFonts w:ascii="Arial" w:hAnsi="Arial" w:cs="Arial"/>
          <w:sz w:val="22"/>
          <w:szCs w:val="22"/>
        </w:rPr>
        <w:t xml:space="preserve">(1) identifies the appropriate </w:t>
      </w:r>
      <w:r>
        <w:rPr>
          <w:rFonts w:ascii="Arial" w:hAnsi="Arial" w:cs="Arial"/>
          <w:sz w:val="22"/>
          <w:szCs w:val="22"/>
        </w:rPr>
        <w:t>systems, structures</w:t>
      </w:r>
      <w:r w:rsidR="00FE00C5">
        <w:rPr>
          <w:rFonts w:ascii="Arial" w:hAnsi="Arial" w:cs="Arial"/>
          <w:sz w:val="22"/>
          <w:szCs w:val="22"/>
        </w:rPr>
        <w:t>,</w:t>
      </w:r>
      <w:r>
        <w:rPr>
          <w:rFonts w:ascii="Arial" w:hAnsi="Arial" w:cs="Arial"/>
          <w:sz w:val="22"/>
          <w:szCs w:val="22"/>
        </w:rPr>
        <w:t xml:space="preserve"> and components (</w:t>
      </w:r>
      <w:r w:rsidRPr="00D51029">
        <w:rPr>
          <w:rFonts w:ascii="Arial" w:hAnsi="Arial" w:cs="Arial"/>
          <w:sz w:val="22"/>
          <w:szCs w:val="22"/>
        </w:rPr>
        <w:t>SSCs</w:t>
      </w:r>
      <w:r>
        <w:rPr>
          <w:rFonts w:ascii="Arial" w:hAnsi="Arial" w:cs="Arial"/>
          <w:sz w:val="22"/>
          <w:szCs w:val="22"/>
        </w:rPr>
        <w:t>)</w:t>
      </w:r>
      <w:r w:rsidRPr="00D51029">
        <w:rPr>
          <w:rFonts w:ascii="Arial" w:hAnsi="Arial" w:cs="Arial"/>
          <w:sz w:val="22"/>
          <w:szCs w:val="22"/>
        </w:rPr>
        <w:t xml:space="preserve"> that need to be managed for aging degradation, and (2) proposes additional actions needed to maintain the functionality of the SSCs in the period of extended operation. </w:t>
      </w:r>
      <w:r>
        <w:rPr>
          <w:rFonts w:ascii="Arial" w:hAnsi="Arial" w:cs="Arial"/>
          <w:sz w:val="22"/>
          <w:szCs w:val="22"/>
        </w:rPr>
        <w:t xml:space="preserve"> </w:t>
      </w:r>
      <w:r w:rsidRPr="00D51029">
        <w:rPr>
          <w:rFonts w:ascii="Arial" w:hAnsi="Arial" w:cs="Arial"/>
          <w:sz w:val="22"/>
          <w:szCs w:val="22"/>
        </w:rPr>
        <w:t xml:space="preserve">The </w:t>
      </w:r>
      <w:r>
        <w:rPr>
          <w:rFonts w:ascii="Arial" w:hAnsi="Arial" w:cs="Arial"/>
          <w:sz w:val="22"/>
          <w:szCs w:val="22"/>
        </w:rPr>
        <w:t>current licensing basis (</w:t>
      </w:r>
      <w:r w:rsidRPr="00D51029">
        <w:rPr>
          <w:rFonts w:ascii="Arial" w:hAnsi="Arial" w:cs="Arial"/>
          <w:sz w:val="22"/>
          <w:szCs w:val="22"/>
        </w:rPr>
        <w:t>CLB</w:t>
      </w:r>
      <w:r>
        <w:rPr>
          <w:rFonts w:ascii="Arial" w:hAnsi="Arial" w:cs="Arial"/>
          <w:sz w:val="22"/>
          <w:szCs w:val="22"/>
        </w:rPr>
        <w:t>)</w:t>
      </w:r>
      <w:r w:rsidRPr="00D51029">
        <w:rPr>
          <w:rFonts w:ascii="Arial" w:hAnsi="Arial" w:cs="Arial"/>
          <w:sz w:val="22"/>
          <w:szCs w:val="22"/>
        </w:rPr>
        <w:t xml:space="preserve"> of a facility is modified to include programs and activities related to the aging management of SSCs thr</w:t>
      </w:r>
      <w:r>
        <w:rPr>
          <w:rFonts w:ascii="Arial" w:hAnsi="Arial" w:cs="Arial"/>
          <w:sz w:val="22"/>
          <w:szCs w:val="22"/>
        </w:rPr>
        <w:t>ough updates to the final safety analysis report (</w:t>
      </w:r>
      <w:r w:rsidRPr="00D51029">
        <w:rPr>
          <w:rFonts w:ascii="Arial" w:hAnsi="Arial" w:cs="Arial"/>
          <w:sz w:val="22"/>
          <w:szCs w:val="22"/>
        </w:rPr>
        <w:t>FSAR</w:t>
      </w:r>
      <w:r>
        <w:rPr>
          <w:rFonts w:ascii="Arial" w:hAnsi="Arial" w:cs="Arial"/>
          <w:sz w:val="22"/>
          <w:szCs w:val="22"/>
        </w:rPr>
        <w:t>)</w:t>
      </w:r>
      <w:r w:rsidRPr="00D51029">
        <w:rPr>
          <w:rFonts w:ascii="Arial" w:hAnsi="Arial" w:cs="Arial"/>
          <w:sz w:val="22"/>
          <w:szCs w:val="22"/>
        </w:rPr>
        <w:t xml:space="preserve"> and additional requirements added as part of the renewed operating license.</w:t>
      </w:r>
    </w:p>
    <w:p w:rsidRPr="00D51029" w:rsidR="004E6350" w:rsidP="004C4E38" w:rsidRDefault="004E6350" w14:paraId="543FE5E1" w14:textId="77777777">
      <w:pPr>
        <w:rPr>
          <w:rFonts w:ascii="Arial" w:hAnsi="Arial" w:cs="Arial"/>
          <w:sz w:val="22"/>
          <w:szCs w:val="22"/>
        </w:rPr>
      </w:pPr>
    </w:p>
    <w:p w:rsidRPr="00D51029" w:rsidR="004E6350" w:rsidP="004C4E38" w:rsidRDefault="004E6350" w14:paraId="3262C460" w14:textId="79BB149B">
      <w:pPr>
        <w:rPr>
          <w:rFonts w:ascii="Arial" w:hAnsi="Arial" w:cs="Arial"/>
          <w:sz w:val="22"/>
          <w:szCs w:val="22"/>
        </w:rPr>
      </w:pPr>
      <w:r w:rsidRPr="00D51029">
        <w:rPr>
          <w:rFonts w:ascii="Arial" w:hAnsi="Arial" w:cs="Arial"/>
          <w:sz w:val="22"/>
          <w:szCs w:val="22"/>
        </w:rPr>
        <w:t xml:space="preserve">Applicants for renewal must </w:t>
      </w:r>
      <w:r w:rsidR="004D6A9E">
        <w:rPr>
          <w:rFonts w:ascii="Arial" w:hAnsi="Arial" w:cs="Arial"/>
          <w:sz w:val="22"/>
          <w:szCs w:val="22"/>
        </w:rPr>
        <w:t xml:space="preserve">identify which SSCs are within the scope of 10 CFR Part 54 (license renewal) and </w:t>
      </w:r>
      <w:r w:rsidRPr="00D51029">
        <w:rPr>
          <w:rFonts w:ascii="Arial" w:hAnsi="Arial" w:cs="Arial"/>
          <w:sz w:val="22"/>
          <w:szCs w:val="22"/>
        </w:rPr>
        <w:t xml:space="preserve">perform an integrated plant assessment </w:t>
      </w:r>
      <w:r w:rsidR="004D6A9E">
        <w:rPr>
          <w:rFonts w:ascii="Arial" w:hAnsi="Arial" w:cs="Arial"/>
          <w:sz w:val="22"/>
          <w:szCs w:val="22"/>
        </w:rPr>
        <w:t>to identify which of these</w:t>
      </w:r>
      <w:r w:rsidRPr="00D51029">
        <w:rPr>
          <w:rFonts w:ascii="Arial" w:hAnsi="Arial" w:cs="Arial"/>
          <w:sz w:val="22"/>
          <w:szCs w:val="22"/>
        </w:rPr>
        <w:t xml:space="preserve"> </w:t>
      </w:r>
      <w:r w:rsidR="008F6357">
        <w:rPr>
          <w:rFonts w:ascii="Arial" w:hAnsi="Arial" w:cs="Arial"/>
          <w:sz w:val="22"/>
          <w:szCs w:val="22"/>
        </w:rPr>
        <w:t xml:space="preserve">in-scope </w:t>
      </w:r>
      <w:r w:rsidRPr="00D51029">
        <w:rPr>
          <w:rFonts w:ascii="Arial" w:hAnsi="Arial" w:cs="Arial"/>
          <w:sz w:val="22"/>
          <w:szCs w:val="22"/>
        </w:rPr>
        <w:t xml:space="preserve">SSCs require </w:t>
      </w:r>
      <w:r w:rsidR="00F425B9">
        <w:rPr>
          <w:rFonts w:ascii="Arial" w:hAnsi="Arial" w:cs="Arial"/>
          <w:sz w:val="22"/>
          <w:szCs w:val="22"/>
        </w:rPr>
        <w:t xml:space="preserve">an aging management review.  </w:t>
      </w:r>
      <w:r w:rsidR="00986B66">
        <w:rPr>
          <w:rFonts w:ascii="Arial" w:hAnsi="Arial" w:cs="Arial"/>
          <w:sz w:val="22"/>
          <w:szCs w:val="22"/>
        </w:rPr>
        <w:t>For each of these SSCs that require an aging management review, t</w:t>
      </w:r>
      <w:r w:rsidR="00B15AC4">
        <w:rPr>
          <w:rFonts w:ascii="Arial" w:hAnsi="Arial" w:cs="Arial"/>
          <w:sz w:val="22"/>
          <w:szCs w:val="22"/>
        </w:rPr>
        <w:t>he applicant must demonstrate in its application that “the effects of aging will be adequately managed so that the intended function(s) will be maintained consistent with the CLB for the period of extended operation.</w:t>
      </w:r>
      <w:r w:rsidR="00986B66">
        <w:rPr>
          <w:rFonts w:ascii="Arial" w:hAnsi="Arial" w:cs="Arial"/>
          <w:sz w:val="22"/>
          <w:szCs w:val="22"/>
        </w:rPr>
        <w:t>”</w:t>
      </w:r>
      <w:r w:rsidRPr="00D51029">
        <w:rPr>
          <w:rFonts w:ascii="Arial" w:hAnsi="Arial" w:cs="Arial"/>
          <w:sz w:val="22"/>
          <w:szCs w:val="22"/>
        </w:rPr>
        <w:t xml:space="preserve">  A license renewal applicant must </w:t>
      </w:r>
      <w:r w:rsidR="00597F98">
        <w:rPr>
          <w:rFonts w:ascii="Arial" w:hAnsi="Arial" w:cs="Arial"/>
          <w:sz w:val="22"/>
          <w:szCs w:val="22"/>
        </w:rPr>
        <w:t xml:space="preserve">also </w:t>
      </w:r>
      <w:r w:rsidRPr="00D51029">
        <w:rPr>
          <w:rFonts w:ascii="Arial" w:hAnsi="Arial" w:cs="Arial"/>
          <w:sz w:val="22"/>
          <w:szCs w:val="22"/>
        </w:rPr>
        <w:t>submit with its application a</w:t>
      </w:r>
      <w:r>
        <w:rPr>
          <w:rFonts w:ascii="Arial" w:hAnsi="Arial" w:cs="Arial"/>
          <w:sz w:val="22"/>
          <w:szCs w:val="22"/>
        </w:rPr>
        <w:t>n</w:t>
      </w:r>
      <w:r w:rsidRPr="00D51029">
        <w:rPr>
          <w:rFonts w:ascii="Arial" w:hAnsi="Arial" w:cs="Arial"/>
          <w:sz w:val="22"/>
          <w:szCs w:val="22"/>
        </w:rPr>
        <w:t xml:space="preserve"> </w:t>
      </w:r>
      <w:r w:rsidR="00B80E52">
        <w:rPr>
          <w:rFonts w:ascii="Arial" w:hAnsi="Arial" w:cs="Arial"/>
          <w:sz w:val="22"/>
          <w:szCs w:val="22"/>
        </w:rPr>
        <w:t xml:space="preserve">FSAR </w:t>
      </w:r>
      <w:r>
        <w:rPr>
          <w:rFonts w:ascii="Arial" w:hAnsi="Arial" w:cs="Arial"/>
          <w:sz w:val="22"/>
          <w:szCs w:val="22"/>
        </w:rPr>
        <w:t>supplement</w:t>
      </w:r>
      <w:r w:rsidRPr="00D51029">
        <w:rPr>
          <w:rFonts w:ascii="Arial" w:hAnsi="Arial" w:cs="Arial"/>
          <w:sz w:val="22"/>
          <w:szCs w:val="22"/>
        </w:rPr>
        <w:t xml:space="preserve"> </w:t>
      </w:r>
      <w:r w:rsidR="00597F98">
        <w:rPr>
          <w:rFonts w:ascii="Arial" w:hAnsi="Arial" w:cs="Arial"/>
          <w:sz w:val="22"/>
          <w:szCs w:val="22"/>
        </w:rPr>
        <w:t>that</w:t>
      </w:r>
      <w:r w:rsidRPr="00D51029" w:rsidR="00597F98">
        <w:rPr>
          <w:rFonts w:ascii="Arial" w:hAnsi="Arial" w:cs="Arial"/>
          <w:sz w:val="22"/>
          <w:szCs w:val="22"/>
        </w:rPr>
        <w:t xml:space="preserve"> </w:t>
      </w:r>
      <w:r w:rsidRPr="00D51029">
        <w:rPr>
          <w:rFonts w:ascii="Arial" w:hAnsi="Arial" w:cs="Arial"/>
          <w:sz w:val="22"/>
          <w:szCs w:val="22"/>
        </w:rPr>
        <w:t>describes the aging management programs to be implemented</w:t>
      </w:r>
      <w:r w:rsidR="00597F98">
        <w:rPr>
          <w:rFonts w:ascii="Arial" w:hAnsi="Arial" w:cs="Arial"/>
          <w:sz w:val="22"/>
          <w:szCs w:val="22"/>
        </w:rPr>
        <w:t>,</w:t>
      </w:r>
      <w:r w:rsidRPr="00D51029">
        <w:rPr>
          <w:rFonts w:ascii="Arial" w:hAnsi="Arial" w:cs="Arial"/>
          <w:sz w:val="22"/>
          <w:szCs w:val="22"/>
        </w:rPr>
        <w:t xml:space="preserve"> and inspection and testing activities to be completed</w:t>
      </w:r>
      <w:r w:rsidR="00597F98">
        <w:rPr>
          <w:rFonts w:ascii="Arial" w:hAnsi="Arial" w:cs="Arial"/>
          <w:sz w:val="22"/>
          <w:szCs w:val="22"/>
        </w:rPr>
        <w:t>,</w:t>
      </w:r>
      <w:r w:rsidRPr="00D51029">
        <w:rPr>
          <w:rFonts w:ascii="Arial" w:hAnsi="Arial" w:cs="Arial"/>
          <w:sz w:val="22"/>
          <w:szCs w:val="22"/>
        </w:rPr>
        <w:t xml:space="preserve"> before and during the period of extended operation.  </w:t>
      </w:r>
    </w:p>
    <w:p w:rsidRPr="00D51029" w:rsidR="004E6350" w:rsidP="004C4E38" w:rsidRDefault="004E6350" w14:paraId="12147656" w14:textId="77777777">
      <w:pPr>
        <w:rPr>
          <w:rFonts w:ascii="Arial" w:hAnsi="Arial" w:cs="Arial"/>
          <w:sz w:val="22"/>
          <w:szCs w:val="22"/>
        </w:rPr>
      </w:pPr>
    </w:p>
    <w:p w:rsidR="00167A53" w:rsidP="004C4E38" w:rsidRDefault="006F05E4" w14:paraId="1041AD89" w14:textId="2F04D9A8">
      <w:pPr>
        <w:rPr>
          <w:rFonts w:ascii="Arial" w:hAnsi="Arial" w:cs="Arial"/>
          <w:sz w:val="22"/>
          <w:szCs w:val="22"/>
        </w:rPr>
      </w:pPr>
      <w:r>
        <w:rPr>
          <w:rFonts w:ascii="Arial" w:hAnsi="Arial" w:cs="Arial"/>
          <w:sz w:val="22"/>
          <w:szCs w:val="22"/>
        </w:rPr>
        <w:t>Licensees request renewal of their operating licenses in increments of 20 years</w:t>
      </w:r>
      <w:r w:rsidR="00690EF4">
        <w:rPr>
          <w:rFonts w:ascii="Arial" w:hAnsi="Arial" w:cs="Arial"/>
          <w:sz w:val="22"/>
          <w:szCs w:val="22"/>
        </w:rPr>
        <w:t>.</w:t>
      </w:r>
      <w:r>
        <w:rPr>
          <w:rFonts w:ascii="Arial" w:hAnsi="Arial" w:cs="Arial"/>
          <w:sz w:val="22"/>
          <w:szCs w:val="22"/>
        </w:rPr>
        <w:t xml:space="preserve"> </w:t>
      </w:r>
      <w:r w:rsidR="00690EF4">
        <w:rPr>
          <w:rFonts w:ascii="Arial" w:hAnsi="Arial" w:cs="Arial"/>
          <w:sz w:val="22"/>
          <w:szCs w:val="22"/>
        </w:rPr>
        <w:t xml:space="preserve"> D</w:t>
      </w:r>
      <w:r>
        <w:rPr>
          <w:rFonts w:ascii="Arial" w:hAnsi="Arial" w:cs="Arial"/>
          <w:sz w:val="22"/>
          <w:szCs w:val="22"/>
        </w:rPr>
        <w:t>uring the clearance period</w:t>
      </w:r>
      <w:r w:rsidR="00690EF4">
        <w:rPr>
          <w:rFonts w:ascii="Arial" w:hAnsi="Arial" w:cs="Arial"/>
          <w:sz w:val="22"/>
          <w:szCs w:val="22"/>
        </w:rPr>
        <w:t>,</w:t>
      </w:r>
      <w:r>
        <w:rPr>
          <w:rFonts w:ascii="Arial" w:hAnsi="Arial" w:cs="Arial"/>
          <w:sz w:val="22"/>
          <w:szCs w:val="22"/>
        </w:rPr>
        <w:t xml:space="preserve"> the NRC expects to review applications for “initial” license renewal (</w:t>
      </w:r>
      <w:r w:rsidR="00167A53">
        <w:rPr>
          <w:rFonts w:ascii="Arial" w:hAnsi="Arial" w:cs="Arial"/>
          <w:sz w:val="22"/>
          <w:szCs w:val="22"/>
        </w:rPr>
        <w:t>renewal of the initial operating license</w:t>
      </w:r>
      <w:r w:rsidR="007D5495">
        <w:rPr>
          <w:rFonts w:ascii="Arial" w:hAnsi="Arial" w:cs="Arial"/>
          <w:sz w:val="22"/>
          <w:szCs w:val="22"/>
        </w:rPr>
        <w:t>,</w:t>
      </w:r>
      <w:r w:rsidR="00CB381C">
        <w:rPr>
          <w:rFonts w:ascii="Arial" w:hAnsi="Arial" w:cs="Arial"/>
          <w:sz w:val="22"/>
          <w:szCs w:val="22"/>
        </w:rPr>
        <w:t xml:space="preserve"> generally for the period </w:t>
      </w:r>
      <w:r w:rsidR="00AD069F">
        <w:rPr>
          <w:rFonts w:ascii="Arial" w:hAnsi="Arial" w:cs="Arial"/>
          <w:sz w:val="22"/>
          <w:szCs w:val="22"/>
        </w:rPr>
        <w:t>between 40 and 60 years of operation</w:t>
      </w:r>
      <w:r w:rsidR="00167A53">
        <w:rPr>
          <w:rFonts w:ascii="Arial" w:hAnsi="Arial" w:cs="Arial"/>
          <w:sz w:val="22"/>
          <w:szCs w:val="22"/>
        </w:rPr>
        <w:t>) and applications for “subsequent” license renewal (the renewal of a previously renewed license</w:t>
      </w:r>
      <w:r w:rsidR="00AD069F">
        <w:rPr>
          <w:rFonts w:ascii="Arial" w:hAnsi="Arial" w:cs="Arial"/>
          <w:sz w:val="22"/>
          <w:szCs w:val="22"/>
        </w:rPr>
        <w:t>, generally for the period between 60 and 80 years of operation</w:t>
      </w:r>
      <w:r w:rsidR="00167A53">
        <w:rPr>
          <w:rFonts w:ascii="Arial" w:hAnsi="Arial" w:cs="Arial"/>
          <w:sz w:val="22"/>
          <w:szCs w:val="22"/>
        </w:rPr>
        <w:t>).  The regulations a</w:t>
      </w:r>
      <w:r w:rsidR="00C25529">
        <w:rPr>
          <w:rFonts w:ascii="Arial" w:hAnsi="Arial" w:cs="Arial"/>
          <w:sz w:val="22"/>
          <w:szCs w:val="22"/>
        </w:rPr>
        <w:t>t</w:t>
      </w:r>
      <w:r w:rsidR="00167A53">
        <w:rPr>
          <w:rFonts w:ascii="Arial" w:hAnsi="Arial" w:cs="Arial"/>
          <w:sz w:val="22"/>
          <w:szCs w:val="22"/>
        </w:rPr>
        <w:t xml:space="preserve"> 10</w:t>
      </w:r>
      <w:r w:rsidR="00690EF4">
        <w:rPr>
          <w:rFonts w:ascii="Arial" w:hAnsi="Arial" w:cs="Arial"/>
          <w:sz w:val="22"/>
          <w:szCs w:val="22"/>
        </w:rPr>
        <w:t> </w:t>
      </w:r>
      <w:r w:rsidR="00167A53">
        <w:rPr>
          <w:rFonts w:ascii="Arial" w:hAnsi="Arial" w:cs="Arial"/>
          <w:sz w:val="22"/>
          <w:szCs w:val="22"/>
        </w:rPr>
        <w:t>CFR Part</w:t>
      </w:r>
      <w:r w:rsidR="00690EF4">
        <w:rPr>
          <w:rFonts w:ascii="Arial" w:hAnsi="Arial" w:cs="Arial"/>
          <w:sz w:val="22"/>
          <w:szCs w:val="22"/>
        </w:rPr>
        <w:t> </w:t>
      </w:r>
      <w:r w:rsidR="00167A53">
        <w:rPr>
          <w:rFonts w:ascii="Arial" w:hAnsi="Arial" w:cs="Arial"/>
          <w:sz w:val="22"/>
          <w:szCs w:val="22"/>
        </w:rPr>
        <w:t xml:space="preserve">54 do not distinguish between initial license renewal and subsequent license renewal, </w:t>
      </w:r>
      <w:r w:rsidR="005B4A1F">
        <w:rPr>
          <w:rFonts w:ascii="Arial" w:hAnsi="Arial" w:cs="Arial"/>
          <w:sz w:val="22"/>
          <w:szCs w:val="22"/>
        </w:rPr>
        <w:t xml:space="preserve">and the </w:t>
      </w:r>
      <w:r w:rsidR="004F7890">
        <w:rPr>
          <w:rFonts w:ascii="Arial" w:hAnsi="Arial" w:cs="Arial"/>
          <w:sz w:val="22"/>
          <w:szCs w:val="22"/>
        </w:rPr>
        <w:t>bas</w:t>
      </w:r>
      <w:r w:rsidR="00824F26">
        <w:rPr>
          <w:rFonts w:ascii="Arial" w:hAnsi="Arial" w:cs="Arial"/>
          <w:sz w:val="22"/>
          <w:szCs w:val="22"/>
        </w:rPr>
        <w:t>e</w:t>
      </w:r>
      <w:r w:rsidR="004F7890">
        <w:rPr>
          <w:rFonts w:ascii="Arial" w:hAnsi="Arial" w:cs="Arial"/>
          <w:sz w:val="22"/>
          <w:szCs w:val="22"/>
        </w:rPr>
        <w:t xml:space="preserve">s for the </w:t>
      </w:r>
      <w:r w:rsidR="005B4A1F">
        <w:rPr>
          <w:rFonts w:ascii="Arial" w:hAnsi="Arial" w:cs="Arial"/>
          <w:sz w:val="22"/>
          <w:szCs w:val="22"/>
        </w:rPr>
        <w:t xml:space="preserve">information collection requirement </w:t>
      </w:r>
      <w:r w:rsidR="00690EF4">
        <w:rPr>
          <w:rFonts w:ascii="Arial" w:hAnsi="Arial" w:cs="Arial"/>
          <w:sz w:val="22"/>
          <w:szCs w:val="22"/>
        </w:rPr>
        <w:t>are</w:t>
      </w:r>
      <w:r w:rsidR="00C25529">
        <w:rPr>
          <w:rFonts w:ascii="Arial" w:hAnsi="Arial" w:cs="Arial"/>
          <w:sz w:val="22"/>
          <w:szCs w:val="22"/>
        </w:rPr>
        <w:t xml:space="preserve"> </w:t>
      </w:r>
      <w:r w:rsidR="005B4A1F">
        <w:rPr>
          <w:rFonts w:ascii="Arial" w:hAnsi="Arial" w:cs="Arial"/>
          <w:sz w:val="22"/>
          <w:szCs w:val="22"/>
        </w:rPr>
        <w:t>the same for both.</w:t>
      </w:r>
      <w:r w:rsidR="008F6D02">
        <w:rPr>
          <w:rFonts w:ascii="Arial" w:hAnsi="Arial" w:cs="Arial"/>
          <w:sz w:val="22"/>
          <w:szCs w:val="22"/>
        </w:rPr>
        <w:t xml:space="preserve">  </w:t>
      </w:r>
      <w:r w:rsidR="004F7890">
        <w:rPr>
          <w:rFonts w:ascii="Arial" w:hAnsi="Arial" w:cs="Arial"/>
          <w:sz w:val="22"/>
          <w:szCs w:val="22"/>
        </w:rPr>
        <w:t xml:space="preserve">Therefore, the term “license renewal” in this renewal request will refer to both initial license renewal and subsequent license renewal unless otherwise specified.  </w:t>
      </w:r>
    </w:p>
    <w:p w:rsidR="00167A53" w:rsidP="004C4E38" w:rsidRDefault="00167A53" w14:paraId="4E3E6BC0" w14:textId="0FDF7D79">
      <w:pPr>
        <w:rPr>
          <w:rFonts w:ascii="Arial" w:hAnsi="Arial" w:cs="Arial"/>
          <w:sz w:val="22"/>
          <w:szCs w:val="22"/>
        </w:rPr>
      </w:pPr>
    </w:p>
    <w:p w:rsidR="004E6350" w:rsidP="004C4E38" w:rsidRDefault="00DE3EC1" w14:paraId="360C8474" w14:textId="339C11A7">
      <w:pPr>
        <w:rPr>
          <w:rFonts w:ascii="Arial" w:hAnsi="Arial" w:cs="Arial"/>
          <w:sz w:val="22"/>
          <w:szCs w:val="22"/>
        </w:rPr>
      </w:pPr>
      <w:r>
        <w:rPr>
          <w:rFonts w:ascii="Arial" w:hAnsi="Arial" w:cs="Arial"/>
          <w:sz w:val="22"/>
          <w:szCs w:val="22"/>
        </w:rPr>
        <w:t>T</w:t>
      </w:r>
      <w:r w:rsidRPr="00DE3EC1">
        <w:rPr>
          <w:rFonts w:ascii="Arial" w:hAnsi="Arial" w:cs="Arial"/>
          <w:sz w:val="22"/>
          <w:szCs w:val="22"/>
        </w:rPr>
        <w:t xml:space="preserve">he NRC staff routinely includes a reporting requirement in </w:t>
      </w:r>
      <w:r>
        <w:rPr>
          <w:rFonts w:ascii="Arial" w:hAnsi="Arial" w:cs="Arial"/>
          <w:sz w:val="22"/>
          <w:szCs w:val="22"/>
        </w:rPr>
        <w:t>r</w:t>
      </w:r>
      <w:r w:rsidRPr="00D51029" w:rsidR="004E6350">
        <w:rPr>
          <w:rFonts w:ascii="Arial" w:hAnsi="Arial" w:cs="Arial"/>
          <w:sz w:val="22"/>
          <w:szCs w:val="22"/>
        </w:rPr>
        <w:t xml:space="preserve">enewed operating licenses </w:t>
      </w:r>
      <w:r>
        <w:rPr>
          <w:rFonts w:ascii="Arial" w:hAnsi="Arial" w:cs="Arial"/>
          <w:sz w:val="22"/>
          <w:szCs w:val="22"/>
        </w:rPr>
        <w:t>requiring</w:t>
      </w:r>
      <w:r w:rsidRPr="00D51029" w:rsidR="004E6350">
        <w:rPr>
          <w:rFonts w:ascii="Arial" w:hAnsi="Arial" w:cs="Arial"/>
          <w:sz w:val="22"/>
          <w:szCs w:val="22"/>
        </w:rPr>
        <w:t xml:space="preserve"> the licensee to notify </w:t>
      </w:r>
      <w:r w:rsidR="00B8279F">
        <w:rPr>
          <w:rFonts w:ascii="Arial" w:hAnsi="Arial" w:cs="Arial"/>
          <w:sz w:val="22"/>
          <w:szCs w:val="22"/>
        </w:rPr>
        <w:t xml:space="preserve">the </w:t>
      </w:r>
      <w:r w:rsidRPr="00D51029" w:rsidR="004E6350">
        <w:rPr>
          <w:rFonts w:ascii="Arial" w:hAnsi="Arial" w:cs="Arial"/>
          <w:sz w:val="22"/>
          <w:szCs w:val="22"/>
        </w:rPr>
        <w:t xml:space="preserve">NRC in writing when the </w:t>
      </w:r>
      <w:r w:rsidR="004E6350">
        <w:rPr>
          <w:rFonts w:ascii="Arial" w:hAnsi="Arial" w:cs="Arial"/>
          <w:sz w:val="22"/>
          <w:szCs w:val="22"/>
        </w:rPr>
        <w:t>inspection and testing activities</w:t>
      </w:r>
      <w:r w:rsidRPr="00D51029" w:rsidR="004E6350">
        <w:rPr>
          <w:rFonts w:ascii="Arial" w:hAnsi="Arial" w:cs="Arial"/>
          <w:sz w:val="22"/>
          <w:szCs w:val="22"/>
        </w:rPr>
        <w:t xml:space="preserve"> </w:t>
      </w:r>
      <w:r>
        <w:rPr>
          <w:rFonts w:ascii="Arial" w:hAnsi="Arial" w:cs="Arial"/>
          <w:sz w:val="22"/>
          <w:szCs w:val="22"/>
        </w:rPr>
        <w:t>committed to in the application</w:t>
      </w:r>
      <w:r w:rsidR="00B8279F">
        <w:rPr>
          <w:rFonts w:ascii="Arial" w:hAnsi="Arial" w:cs="Arial"/>
          <w:sz w:val="22"/>
          <w:szCs w:val="22"/>
        </w:rPr>
        <w:t xml:space="preserve"> </w:t>
      </w:r>
      <w:r>
        <w:rPr>
          <w:rFonts w:ascii="Arial" w:hAnsi="Arial" w:cs="Arial"/>
          <w:sz w:val="22"/>
          <w:szCs w:val="22"/>
        </w:rPr>
        <w:t>have been</w:t>
      </w:r>
      <w:r w:rsidRPr="00D51029" w:rsidR="004E6350">
        <w:rPr>
          <w:rFonts w:ascii="Arial" w:hAnsi="Arial" w:cs="Arial"/>
          <w:sz w:val="22"/>
          <w:szCs w:val="22"/>
        </w:rPr>
        <w:t xml:space="preserve"> completed</w:t>
      </w:r>
      <w:r w:rsidR="0065232C">
        <w:rPr>
          <w:rFonts w:ascii="Arial" w:hAnsi="Arial" w:cs="Arial"/>
          <w:sz w:val="22"/>
          <w:szCs w:val="22"/>
        </w:rPr>
        <w:t xml:space="preserve"> (“completion letter”)</w:t>
      </w:r>
      <w:r w:rsidRPr="00D51029" w:rsidR="004E6350">
        <w:rPr>
          <w:rFonts w:ascii="Arial" w:hAnsi="Arial" w:cs="Arial"/>
          <w:sz w:val="22"/>
          <w:szCs w:val="22"/>
        </w:rPr>
        <w:t>.</w:t>
      </w:r>
    </w:p>
    <w:p w:rsidR="007C0782" w:rsidP="004C4E38" w:rsidRDefault="007C0782" w14:paraId="19422D5C" w14:textId="77777777">
      <w:pPr>
        <w:rPr>
          <w:rFonts w:ascii="Arial" w:hAnsi="Arial" w:cs="Arial"/>
          <w:sz w:val="22"/>
          <w:szCs w:val="22"/>
        </w:rPr>
      </w:pPr>
    </w:p>
    <w:p w:rsidRPr="00CF5638" w:rsidR="00771D32" w:rsidP="00CC6ED2" w:rsidRDefault="00771D32" w14:paraId="1AD2E662" w14:textId="54AF1693">
      <w:pPr>
        <w:rPr>
          <w:rFonts w:ascii="Arial" w:hAnsi="Arial" w:cs="Arial"/>
          <w:iCs/>
          <w:sz w:val="22"/>
          <w:szCs w:val="22"/>
        </w:rPr>
      </w:pPr>
      <w:r w:rsidRPr="00CF5638">
        <w:rPr>
          <w:rFonts w:ascii="Arial" w:hAnsi="Arial" w:cs="Arial"/>
          <w:iCs/>
          <w:sz w:val="22"/>
          <w:szCs w:val="22"/>
        </w:rPr>
        <w:t xml:space="preserve">The NRC staff anticipates </w:t>
      </w:r>
      <w:r w:rsidR="00B1036A">
        <w:rPr>
          <w:rFonts w:ascii="Arial" w:hAnsi="Arial" w:cs="Arial"/>
          <w:iCs/>
          <w:sz w:val="22"/>
          <w:szCs w:val="22"/>
        </w:rPr>
        <w:t>that 3</w:t>
      </w:r>
      <w:r w:rsidRPr="00CF5638">
        <w:rPr>
          <w:rFonts w:ascii="Arial" w:hAnsi="Arial" w:cs="Arial"/>
          <w:iCs/>
          <w:sz w:val="22"/>
          <w:szCs w:val="22"/>
        </w:rPr>
        <w:t xml:space="preserve"> applications </w:t>
      </w:r>
      <w:r w:rsidR="00EC7910">
        <w:rPr>
          <w:rFonts w:ascii="Arial" w:hAnsi="Arial" w:cs="Arial"/>
          <w:iCs/>
          <w:sz w:val="22"/>
          <w:szCs w:val="22"/>
        </w:rPr>
        <w:t xml:space="preserve">for initial license renewal and </w:t>
      </w:r>
      <w:r w:rsidR="00B1036A">
        <w:rPr>
          <w:rFonts w:ascii="Arial" w:hAnsi="Arial" w:cs="Arial"/>
          <w:iCs/>
          <w:sz w:val="22"/>
          <w:szCs w:val="22"/>
        </w:rPr>
        <w:t>3</w:t>
      </w:r>
      <w:r w:rsidR="00981AB9">
        <w:rPr>
          <w:rFonts w:ascii="Arial" w:hAnsi="Arial" w:cs="Arial"/>
          <w:iCs/>
          <w:sz w:val="22"/>
          <w:szCs w:val="22"/>
        </w:rPr>
        <w:t xml:space="preserve"> applications for subsequent license renewal </w:t>
      </w:r>
      <w:r w:rsidRPr="00CF5638" w:rsidR="00EC7910">
        <w:rPr>
          <w:rFonts w:ascii="Arial" w:hAnsi="Arial" w:cs="Arial"/>
          <w:iCs/>
          <w:sz w:val="22"/>
          <w:szCs w:val="22"/>
        </w:rPr>
        <w:t xml:space="preserve">will be submitted </w:t>
      </w:r>
      <w:r w:rsidR="004B1510">
        <w:rPr>
          <w:rFonts w:ascii="Arial" w:hAnsi="Arial" w:cs="Arial"/>
          <w:iCs/>
          <w:sz w:val="22"/>
          <w:szCs w:val="22"/>
        </w:rPr>
        <w:t>in accordance with</w:t>
      </w:r>
      <w:r w:rsidRPr="00CF5638" w:rsidR="00EC7910">
        <w:rPr>
          <w:rFonts w:ascii="Arial" w:hAnsi="Arial" w:cs="Arial"/>
          <w:iCs/>
          <w:sz w:val="22"/>
          <w:szCs w:val="22"/>
        </w:rPr>
        <w:t xml:space="preserve"> 10</w:t>
      </w:r>
      <w:r w:rsidR="004B1510">
        <w:rPr>
          <w:rFonts w:ascii="Arial" w:hAnsi="Arial" w:cs="Arial"/>
          <w:iCs/>
          <w:sz w:val="22"/>
          <w:szCs w:val="22"/>
        </w:rPr>
        <w:t> </w:t>
      </w:r>
      <w:r w:rsidRPr="00CF5638" w:rsidR="00EC7910">
        <w:rPr>
          <w:rFonts w:ascii="Arial" w:hAnsi="Arial" w:cs="Arial"/>
          <w:iCs/>
          <w:sz w:val="22"/>
          <w:szCs w:val="22"/>
        </w:rPr>
        <w:t>CFR Part</w:t>
      </w:r>
      <w:r w:rsidR="004B1510">
        <w:rPr>
          <w:rFonts w:ascii="Arial" w:hAnsi="Arial" w:cs="Arial"/>
          <w:iCs/>
          <w:sz w:val="22"/>
          <w:szCs w:val="22"/>
        </w:rPr>
        <w:t> </w:t>
      </w:r>
      <w:r w:rsidRPr="00CF5638" w:rsidR="00EC7910">
        <w:rPr>
          <w:rFonts w:ascii="Arial" w:hAnsi="Arial" w:cs="Arial"/>
          <w:iCs/>
          <w:sz w:val="22"/>
          <w:szCs w:val="22"/>
        </w:rPr>
        <w:t>54</w:t>
      </w:r>
      <w:r w:rsidR="00EC7910">
        <w:rPr>
          <w:rFonts w:ascii="Arial" w:hAnsi="Arial" w:cs="Arial"/>
          <w:iCs/>
          <w:sz w:val="22"/>
          <w:szCs w:val="22"/>
        </w:rPr>
        <w:t xml:space="preserve"> </w:t>
      </w:r>
      <w:r w:rsidRPr="00CF5638">
        <w:rPr>
          <w:rFonts w:ascii="Arial" w:hAnsi="Arial" w:cs="Arial"/>
          <w:iCs/>
          <w:sz w:val="22"/>
          <w:szCs w:val="22"/>
        </w:rPr>
        <w:t>during the upco</w:t>
      </w:r>
      <w:r w:rsidR="00211E38">
        <w:rPr>
          <w:rFonts w:ascii="Arial" w:hAnsi="Arial" w:cs="Arial"/>
          <w:iCs/>
          <w:sz w:val="22"/>
          <w:szCs w:val="22"/>
        </w:rPr>
        <w:t>ming clearance period</w:t>
      </w:r>
      <w:r w:rsidRPr="00CF5638">
        <w:rPr>
          <w:rFonts w:ascii="Arial" w:hAnsi="Arial" w:cs="Arial"/>
          <w:iCs/>
          <w:sz w:val="22"/>
          <w:szCs w:val="22"/>
        </w:rPr>
        <w:t xml:space="preserve">.  Currently there are </w:t>
      </w:r>
      <w:r w:rsidR="00AD3A0E">
        <w:rPr>
          <w:rFonts w:ascii="Arial" w:hAnsi="Arial" w:cs="Arial"/>
          <w:iCs/>
          <w:sz w:val="22"/>
          <w:szCs w:val="22"/>
        </w:rPr>
        <w:t>5</w:t>
      </w:r>
      <w:r w:rsidR="00EE3714">
        <w:rPr>
          <w:rFonts w:ascii="Arial" w:hAnsi="Arial" w:cs="Arial"/>
          <w:iCs/>
          <w:sz w:val="22"/>
          <w:szCs w:val="22"/>
        </w:rPr>
        <w:t>2</w:t>
      </w:r>
      <w:r w:rsidRPr="00CF5638" w:rsidR="00AD3A0E">
        <w:rPr>
          <w:rFonts w:ascii="Arial" w:hAnsi="Arial" w:cs="Arial"/>
          <w:iCs/>
          <w:sz w:val="22"/>
          <w:szCs w:val="22"/>
        </w:rPr>
        <w:t xml:space="preserve"> </w:t>
      </w:r>
      <w:r w:rsidRPr="00CF5638">
        <w:rPr>
          <w:rFonts w:ascii="Arial" w:hAnsi="Arial" w:cs="Arial"/>
          <w:iCs/>
          <w:sz w:val="22"/>
          <w:szCs w:val="22"/>
        </w:rPr>
        <w:t>license</w:t>
      </w:r>
      <w:r w:rsidRPr="00CF5638" w:rsidR="003C76B4">
        <w:rPr>
          <w:rFonts w:ascii="Arial" w:hAnsi="Arial" w:cs="Arial"/>
          <w:iCs/>
          <w:sz w:val="22"/>
          <w:szCs w:val="22"/>
        </w:rPr>
        <w:t>e</w:t>
      </w:r>
      <w:r w:rsidR="00E003B5">
        <w:rPr>
          <w:rFonts w:ascii="Arial" w:hAnsi="Arial" w:cs="Arial"/>
          <w:iCs/>
          <w:sz w:val="22"/>
          <w:szCs w:val="22"/>
        </w:rPr>
        <w:t>s or record</w:t>
      </w:r>
      <w:r w:rsidRPr="00CF5638">
        <w:rPr>
          <w:rFonts w:ascii="Arial" w:hAnsi="Arial" w:cs="Arial"/>
          <w:iCs/>
          <w:sz w:val="22"/>
          <w:szCs w:val="22"/>
        </w:rPr>
        <w:t xml:space="preserve">keepers maintaining </w:t>
      </w:r>
      <w:r w:rsidR="00AD3A0E">
        <w:rPr>
          <w:rFonts w:ascii="Arial" w:hAnsi="Arial" w:cs="Arial"/>
          <w:iCs/>
          <w:sz w:val="22"/>
          <w:szCs w:val="22"/>
        </w:rPr>
        <w:t>8</w:t>
      </w:r>
      <w:r w:rsidR="00EE3714">
        <w:rPr>
          <w:rFonts w:ascii="Arial" w:hAnsi="Arial" w:cs="Arial"/>
          <w:iCs/>
          <w:sz w:val="22"/>
          <w:szCs w:val="22"/>
        </w:rPr>
        <w:t>4</w:t>
      </w:r>
      <w:r w:rsidRPr="00CF5638" w:rsidR="00AD3A0E">
        <w:rPr>
          <w:rFonts w:ascii="Arial" w:hAnsi="Arial" w:cs="Arial"/>
          <w:iCs/>
          <w:sz w:val="22"/>
          <w:szCs w:val="22"/>
        </w:rPr>
        <w:t xml:space="preserve"> </w:t>
      </w:r>
      <w:r w:rsidR="00EE3714">
        <w:rPr>
          <w:rFonts w:ascii="Arial" w:hAnsi="Arial" w:cs="Arial"/>
          <w:iCs/>
          <w:sz w:val="22"/>
          <w:szCs w:val="22"/>
        </w:rPr>
        <w:lastRenderedPageBreak/>
        <w:t>initial</w:t>
      </w:r>
      <w:r w:rsidR="005A5047">
        <w:rPr>
          <w:rFonts w:ascii="Arial" w:hAnsi="Arial" w:cs="Arial"/>
          <w:iCs/>
          <w:sz w:val="22"/>
          <w:szCs w:val="22"/>
        </w:rPr>
        <w:t xml:space="preserve"> </w:t>
      </w:r>
      <w:r w:rsidR="006B1C77">
        <w:rPr>
          <w:rFonts w:ascii="Arial" w:hAnsi="Arial" w:cs="Arial"/>
          <w:iCs/>
          <w:sz w:val="22"/>
          <w:szCs w:val="22"/>
        </w:rPr>
        <w:t>renewed</w:t>
      </w:r>
      <w:r w:rsidRPr="00CF5638">
        <w:rPr>
          <w:rFonts w:ascii="Arial" w:hAnsi="Arial" w:cs="Arial"/>
          <w:iCs/>
          <w:sz w:val="22"/>
          <w:szCs w:val="22"/>
        </w:rPr>
        <w:t xml:space="preserve"> </w:t>
      </w:r>
      <w:r w:rsidR="00771240">
        <w:rPr>
          <w:rFonts w:ascii="Arial" w:hAnsi="Arial" w:cs="Arial"/>
          <w:iCs/>
          <w:sz w:val="22"/>
          <w:szCs w:val="22"/>
        </w:rPr>
        <w:t xml:space="preserve">operating </w:t>
      </w:r>
      <w:r w:rsidRPr="00CF5638">
        <w:rPr>
          <w:rFonts w:ascii="Arial" w:hAnsi="Arial" w:cs="Arial"/>
          <w:iCs/>
          <w:sz w:val="22"/>
          <w:szCs w:val="22"/>
        </w:rPr>
        <w:t>licenses</w:t>
      </w:r>
      <w:r w:rsidR="00AD3A0E">
        <w:rPr>
          <w:rFonts w:ascii="Arial" w:hAnsi="Arial" w:cs="Arial"/>
          <w:iCs/>
          <w:sz w:val="22"/>
          <w:szCs w:val="22"/>
        </w:rPr>
        <w:t>,</w:t>
      </w:r>
      <w:r w:rsidR="00EE3714">
        <w:rPr>
          <w:rFonts w:ascii="Arial" w:hAnsi="Arial" w:cs="Arial"/>
          <w:iCs/>
          <w:sz w:val="22"/>
          <w:szCs w:val="22"/>
        </w:rPr>
        <w:t xml:space="preserve"> and 2 licensees or recordkeepers maintaining 4 </w:t>
      </w:r>
      <w:r w:rsidR="00A814B5">
        <w:rPr>
          <w:rFonts w:ascii="Arial" w:hAnsi="Arial" w:cs="Arial"/>
          <w:iCs/>
          <w:sz w:val="22"/>
          <w:szCs w:val="22"/>
        </w:rPr>
        <w:t>subsequent</w:t>
      </w:r>
      <w:r w:rsidR="005A5047">
        <w:rPr>
          <w:rFonts w:ascii="Arial" w:hAnsi="Arial" w:cs="Arial"/>
          <w:iCs/>
          <w:sz w:val="22"/>
          <w:szCs w:val="22"/>
        </w:rPr>
        <w:t xml:space="preserve"> </w:t>
      </w:r>
      <w:r w:rsidR="00AD3A0E">
        <w:rPr>
          <w:rFonts w:ascii="Arial" w:hAnsi="Arial" w:cs="Arial"/>
          <w:iCs/>
          <w:sz w:val="22"/>
          <w:szCs w:val="22"/>
        </w:rPr>
        <w:t>renewed licenses</w:t>
      </w:r>
      <w:r w:rsidRPr="00CF5638">
        <w:rPr>
          <w:rFonts w:ascii="Arial" w:hAnsi="Arial" w:cs="Arial"/>
          <w:iCs/>
          <w:sz w:val="22"/>
          <w:szCs w:val="22"/>
        </w:rPr>
        <w:t xml:space="preserve">. </w:t>
      </w:r>
    </w:p>
    <w:p w:rsidRPr="00D51029" w:rsidR="004E6350" w:rsidP="004C4E38" w:rsidRDefault="004E6350" w14:paraId="27DD0DC7" w14:textId="77777777">
      <w:pPr>
        <w:rPr>
          <w:rFonts w:ascii="Arial" w:hAnsi="Arial" w:cs="Arial"/>
          <w:sz w:val="22"/>
          <w:szCs w:val="22"/>
        </w:rPr>
      </w:pPr>
    </w:p>
    <w:p w:rsidRPr="00D51029" w:rsidR="004E6350" w:rsidP="004C4E38" w:rsidRDefault="004E6350" w14:paraId="66664C67" w14:textId="77777777">
      <w:pPr>
        <w:ind w:left="720" w:hanging="720"/>
        <w:rPr>
          <w:rFonts w:ascii="Arial" w:hAnsi="Arial" w:cs="Arial"/>
          <w:sz w:val="22"/>
          <w:szCs w:val="22"/>
          <w:u w:val="single"/>
        </w:rPr>
      </w:pPr>
      <w:r w:rsidRPr="00D51029">
        <w:rPr>
          <w:rFonts w:ascii="Arial" w:hAnsi="Arial" w:cs="Arial"/>
          <w:sz w:val="22"/>
          <w:szCs w:val="22"/>
        </w:rPr>
        <w:t>A.</w:t>
      </w:r>
      <w:r w:rsidRPr="00D51029">
        <w:rPr>
          <w:rFonts w:ascii="Arial" w:hAnsi="Arial" w:cs="Arial"/>
          <w:sz w:val="22"/>
          <w:szCs w:val="22"/>
        </w:rPr>
        <w:tab/>
      </w:r>
      <w:r w:rsidRPr="00D51029">
        <w:rPr>
          <w:rFonts w:ascii="Arial" w:hAnsi="Arial" w:cs="Arial"/>
          <w:sz w:val="22"/>
          <w:szCs w:val="22"/>
          <w:u w:val="single"/>
        </w:rPr>
        <w:t>JUSTIFICATION</w:t>
      </w:r>
    </w:p>
    <w:p w:rsidRPr="00D51029" w:rsidR="004E6350" w:rsidP="004C4E38" w:rsidRDefault="004E6350" w14:paraId="7D8E05B3" w14:textId="77777777">
      <w:pPr>
        <w:rPr>
          <w:rFonts w:ascii="Arial" w:hAnsi="Arial" w:cs="Arial"/>
          <w:sz w:val="22"/>
          <w:szCs w:val="22"/>
          <w:u w:val="single"/>
        </w:rPr>
      </w:pPr>
    </w:p>
    <w:p w:rsidRPr="00D51029" w:rsidR="004E6350" w:rsidP="004C4E38" w:rsidRDefault="004E6350" w14:paraId="4C7D8EA6" w14:textId="77777777">
      <w:pPr>
        <w:ind w:left="1440" w:hanging="720"/>
        <w:rPr>
          <w:rFonts w:ascii="Arial" w:hAnsi="Arial" w:cs="Arial"/>
          <w:sz w:val="22"/>
          <w:szCs w:val="22"/>
          <w:u w:val="single"/>
        </w:rPr>
      </w:pPr>
      <w:r w:rsidRPr="00D51029">
        <w:rPr>
          <w:rFonts w:ascii="Arial" w:hAnsi="Arial" w:cs="Arial"/>
          <w:sz w:val="22"/>
          <w:szCs w:val="22"/>
        </w:rPr>
        <w:t>1.</w:t>
      </w:r>
      <w:r w:rsidRPr="00D51029">
        <w:rPr>
          <w:rFonts w:ascii="Arial" w:hAnsi="Arial" w:cs="Arial"/>
          <w:sz w:val="22"/>
          <w:szCs w:val="22"/>
        </w:rPr>
        <w:tab/>
      </w:r>
      <w:r w:rsidRPr="00D51029">
        <w:rPr>
          <w:rFonts w:ascii="Arial" w:hAnsi="Arial" w:cs="Arial"/>
          <w:sz w:val="22"/>
          <w:szCs w:val="22"/>
          <w:u w:val="single"/>
        </w:rPr>
        <w:t>Need for and Practical Utility of the Collection of Information</w:t>
      </w:r>
    </w:p>
    <w:p w:rsidRPr="00D51029" w:rsidR="004E6350" w:rsidP="004C4E38" w:rsidRDefault="004E6350" w14:paraId="07D6626E" w14:textId="77777777">
      <w:pPr>
        <w:rPr>
          <w:rFonts w:ascii="Arial" w:hAnsi="Arial" w:cs="Arial"/>
          <w:sz w:val="22"/>
          <w:szCs w:val="22"/>
          <w:u w:val="single"/>
        </w:rPr>
      </w:pPr>
    </w:p>
    <w:p w:rsidRPr="00D51029" w:rsidR="004E6350" w:rsidP="004C4E38" w:rsidRDefault="008E43D1" w14:paraId="468ACD8F" w14:textId="47476802">
      <w:pPr>
        <w:ind w:left="1440"/>
        <w:rPr>
          <w:rFonts w:ascii="Arial" w:hAnsi="Arial" w:cs="Arial"/>
          <w:sz w:val="22"/>
          <w:szCs w:val="22"/>
        </w:rPr>
      </w:pPr>
      <w:r>
        <w:rPr>
          <w:rFonts w:ascii="Arial" w:hAnsi="Arial" w:cs="Arial"/>
          <w:sz w:val="22"/>
          <w:szCs w:val="22"/>
        </w:rPr>
        <w:t xml:space="preserve">The regulations </w:t>
      </w:r>
      <w:r w:rsidR="00CA6CCB">
        <w:rPr>
          <w:rFonts w:ascii="Arial" w:hAnsi="Arial" w:cs="Arial"/>
          <w:sz w:val="22"/>
          <w:szCs w:val="22"/>
        </w:rPr>
        <w:t>in</w:t>
      </w:r>
      <w:r w:rsidRPr="00D51029" w:rsidR="004E6350">
        <w:rPr>
          <w:rFonts w:ascii="Arial" w:hAnsi="Arial" w:cs="Arial"/>
          <w:sz w:val="22"/>
          <w:szCs w:val="22"/>
        </w:rPr>
        <w:t xml:space="preserve"> 10 CFR </w:t>
      </w:r>
      <w:r w:rsidR="00CA6CCB">
        <w:rPr>
          <w:rFonts w:ascii="Arial" w:hAnsi="Arial" w:cs="Arial"/>
          <w:sz w:val="22"/>
          <w:szCs w:val="22"/>
        </w:rPr>
        <w:t xml:space="preserve">Part 54 </w:t>
      </w:r>
      <w:r w:rsidRPr="00D51029" w:rsidR="004E6350">
        <w:rPr>
          <w:rFonts w:ascii="Arial" w:hAnsi="Arial" w:cs="Arial"/>
          <w:sz w:val="22"/>
          <w:szCs w:val="22"/>
        </w:rPr>
        <w:t xml:space="preserve">establish license renewal requirements for operating nuclear power plants and describe the information that licensees must submit to the NRC when applying for a license renewal.  The application must contain technical information regarding how the licensee will manage the detrimental effects of age-related degradation for certain plant SSCs </w:t>
      </w:r>
      <w:r w:rsidRPr="00D51029" w:rsidR="009D3D3E">
        <w:rPr>
          <w:rFonts w:ascii="Arial" w:hAnsi="Arial" w:cs="Arial"/>
          <w:sz w:val="22"/>
          <w:szCs w:val="22"/>
        </w:rPr>
        <w:t>to</w:t>
      </w:r>
      <w:r w:rsidRPr="00D51029" w:rsidR="004E6350">
        <w:rPr>
          <w:rFonts w:ascii="Arial" w:hAnsi="Arial" w:cs="Arial"/>
          <w:sz w:val="22"/>
          <w:szCs w:val="22"/>
        </w:rPr>
        <w:t xml:space="preserve"> continue the plant’s safe operation during the renewal term.  The NRC needs this information to determine whether the </w:t>
      </w:r>
      <w:r w:rsidR="00CB589C">
        <w:rPr>
          <w:rFonts w:ascii="Arial" w:hAnsi="Arial" w:cs="Arial"/>
          <w:sz w:val="22"/>
          <w:szCs w:val="22"/>
        </w:rPr>
        <w:t>applicant’s</w:t>
      </w:r>
      <w:r w:rsidRPr="00D51029" w:rsidR="00CB589C">
        <w:rPr>
          <w:rFonts w:ascii="Arial" w:hAnsi="Arial" w:cs="Arial"/>
          <w:sz w:val="22"/>
          <w:szCs w:val="22"/>
        </w:rPr>
        <w:t xml:space="preserve"> </w:t>
      </w:r>
      <w:r w:rsidRPr="00D51029" w:rsidR="004E6350">
        <w:rPr>
          <w:rFonts w:ascii="Arial" w:hAnsi="Arial" w:cs="Arial"/>
          <w:sz w:val="22"/>
          <w:szCs w:val="22"/>
        </w:rPr>
        <w:t xml:space="preserve">actions will be effective in </w:t>
      </w:r>
      <w:r w:rsidR="00660D97">
        <w:rPr>
          <w:rFonts w:ascii="Arial" w:hAnsi="Arial" w:cs="Arial"/>
          <w:sz w:val="22"/>
          <w:szCs w:val="22"/>
        </w:rPr>
        <w:t>ensuring</w:t>
      </w:r>
      <w:r w:rsidRPr="00D51029" w:rsidR="00660D97">
        <w:rPr>
          <w:rFonts w:ascii="Arial" w:hAnsi="Arial" w:cs="Arial"/>
          <w:sz w:val="22"/>
          <w:szCs w:val="22"/>
        </w:rPr>
        <w:t xml:space="preserve"> </w:t>
      </w:r>
      <w:r w:rsidRPr="00D51029" w:rsidR="004E6350">
        <w:rPr>
          <w:rFonts w:ascii="Arial" w:hAnsi="Arial" w:cs="Arial"/>
          <w:sz w:val="22"/>
          <w:szCs w:val="22"/>
        </w:rPr>
        <w:t>the plant’s continued safe operation</w:t>
      </w:r>
      <w:r w:rsidR="00D24716">
        <w:rPr>
          <w:rFonts w:ascii="Arial" w:hAnsi="Arial" w:cs="Arial"/>
          <w:sz w:val="22"/>
          <w:szCs w:val="22"/>
        </w:rPr>
        <w:t>, and therefore whether the NRC may issue the renewed license</w:t>
      </w:r>
      <w:r w:rsidRPr="00D51029" w:rsidR="004E6350">
        <w:rPr>
          <w:rFonts w:ascii="Arial" w:hAnsi="Arial" w:cs="Arial"/>
          <w:sz w:val="22"/>
          <w:szCs w:val="22"/>
        </w:rPr>
        <w:t>.</w:t>
      </w:r>
    </w:p>
    <w:p w:rsidRPr="00D51029" w:rsidR="004E6350" w:rsidP="004C4E38" w:rsidRDefault="004E6350" w14:paraId="55FCB83F" w14:textId="77777777">
      <w:pPr>
        <w:ind w:left="1440"/>
        <w:rPr>
          <w:rFonts w:ascii="Arial" w:hAnsi="Arial" w:cs="Arial"/>
          <w:sz w:val="22"/>
          <w:szCs w:val="22"/>
        </w:rPr>
      </w:pPr>
    </w:p>
    <w:p w:rsidRPr="00D51029" w:rsidR="004E6350" w:rsidP="004C4E38" w:rsidRDefault="004E6350" w14:paraId="5B3525CC" w14:textId="43FE77BE">
      <w:pPr>
        <w:ind w:left="1440"/>
        <w:rPr>
          <w:rFonts w:ascii="Arial" w:hAnsi="Arial" w:cs="Arial"/>
          <w:sz w:val="22"/>
          <w:szCs w:val="22"/>
        </w:rPr>
      </w:pPr>
      <w:r w:rsidRPr="00D51029">
        <w:rPr>
          <w:rFonts w:ascii="Arial" w:hAnsi="Arial" w:cs="Arial"/>
          <w:sz w:val="22"/>
          <w:szCs w:val="22"/>
        </w:rPr>
        <w:t xml:space="preserve">The letter </w:t>
      </w:r>
      <w:r>
        <w:rPr>
          <w:rFonts w:ascii="Arial" w:hAnsi="Arial" w:cs="Arial"/>
          <w:sz w:val="22"/>
          <w:szCs w:val="22"/>
        </w:rPr>
        <w:t xml:space="preserve">documenting the completion of inspection and testing activities </w:t>
      </w:r>
      <w:r w:rsidRPr="00D51029">
        <w:rPr>
          <w:rFonts w:ascii="Arial" w:hAnsi="Arial" w:cs="Arial"/>
          <w:sz w:val="22"/>
          <w:szCs w:val="22"/>
        </w:rPr>
        <w:t xml:space="preserve">required to be submitted by each </w:t>
      </w:r>
      <w:r w:rsidR="00510C60">
        <w:rPr>
          <w:rFonts w:ascii="Arial" w:hAnsi="Arial" w:cs="Arial"/>
          <w:sz w:val="22"/>
          <w:szCs w:val="22"/>
        </w:rPr>
        <w:t xml:space="preserve">holder of a </w:t>
      </w:r>
      <w:r w:rsidRPr="00D51029">
        <w:rPr>
          <w:rFonts w:ascii="Arial" w:hAnsi="Arial" w:cs="Arial"/>
          <w:sz w:val="22"/>
          <w:szCs w:val="22"/>
        </w:rPr>
        <w:t xml:space="preserve">renewed license serves as notification to the NRC that the licensee has completed the inspection and program implementation activities described in the </w:t>
      </w:r>
      <w:r w:rsidR="00510C60">
        <w:rPr>
          <w:rFonts w:ascii="Arial" w:hAnsi="Arial" w:cs="Arial"/>
          <w:sz w:val="22"/>
          <w:szCs w:val="22"/>
        </w:rPr>
        <w:t>FSAR</w:t>
      </w:r>
      <w:r w:rsidRPr="00D51029" w:rsidR="00510C60">
        <w:rPr>
          <w:rFonts w:ascii="Arial" w:hAnsi="Arial" w:cs="Arial"/>
          <w:sz w:val="22"/>
          <w:szCs w:val="22"/>
        </w:rPr>
        <w:t xml:space="preserve"> </w:t>
      </w:r>
      <w:r w:rsidRPr="00D51029">
        <w:rPr>
          <w:rFonts w:ascii="Arial" w:hAnsi="Arial" w:cs="Arial"/>
          <w:sz w:val="22"/>
          <w:szCs w:val="22"/>
        </w:rPr>
        <w:t xml:space="preserve">supplement.  The NRC needs this notification </w:t>
      </w:r>
      <w:r w:rsidRPr="00D51029" w:rsidR="007C659C">
        <w:rPr>
          <w:rFonts w:ascii="Arial" w:hAnsi="Arial" w:cs="Arial"/>
          <w:sz w:val="22"/>
          <w:szCs w:val="22"/>
        </w:rPr>
        <w:t>to</w:t>
      </w:r>
      <w:r w:rsidRPr="00D51029">
        <w:rPr>
          <w:rFonts w:ascii="Arial" w:hAnsi="Arial" w:cs="Arial"/>
          <w:sz w:val="22"/>
          <w:szCs w:val="22"/>
        </w:rPr>
        <w:t xml:space="preserve"> verify through inspection the implementation of these activities.</w:t>
      </w:r>
    </w:p>
    <w:p w:rsidRPr="00D51029" w:rsidR="004E6350" w:rsidP="004C4E38" w:rsidRDefault="004E6350" w14:paraId="20F7E5F1" w14:textId="77777777">
      <w:pPr>
        <w:ind w:left="1440"/>
        <w:rPr>
          <w:rFonts w:ascii="Arial" w:hAnsi="Arial" w:cs="Arial"/>
          <w:sz w:val="22"/>
          <w:szCs w:val="22"/>
        </w:rPr>
      </w:pPr>
    </w:p>
    <w:p w:rsidR="00D32D20" w:rsidP="004C4E38" w:rsidRDefault="004E6350" w14:paraId="613D186E" w14:textId="77777777">
      <w:pPr>
        <w:ind w:left="1440"/>
        <w:rPr>
          <w:rFonts w:ascii="Arial" w:hAnsi="Arial" w:cs="Arial"/>
          <w:sz w:val="22"/>
          <w:szCs w:val="22"/>
        </w:rPr>
      </w:pPr>
      <w:r w:rsidRPr="00D51029">
        <w:rPr>
          <w:rFonts w:ascii="Arial" w:hAnsi="Arial" w:cs="Arial"/>
          <w:sz w:val="22"/>
          <w:szCs w:val="22"/>
        </w:rPr>
        <w:t xml:space="preserve">Holders of renewed licenses must retain in an auditable and retrievable form, for the term of the renewed operating license, all information and documentation required to document compliance with 10 CFR Part 54. </w:t>
      </w:r>
    </w:p>
    <w:p w:rsidR="00D32D20" w:rsidP="004C4E38" w:rsidRDefault="00D32D20" w14:paraId="7FDF118B" w14:textId="77777777">
      <w:pPr>
        <w:ind w:left="1440"/>
        <w:rPr>
          <w:rFonts w:ascii="Arial" w:hAnsi="Arial" w:cs="Arial"/>
          <w:sz w:val="22"/>
          <w:szCs w:val="22"/>
        </w:rPr>
      </w:pPr>
    </w:p>
    <w:p w:rsidRPr="00D51029" w:rsidR="004E6350" w:rsidP="004C4E38" w:rsidRDefault="00F57E78" w14:paraId="2BB0FCAE" w14:textId="27283042">
      <w:pPr>
        <w:ind w:left="1440"/>
        <w:rPr>
          <w:rFonts w:ascii="Arial" w:hAnsi="Arial" w:cs="Arial"/>
          <w:sz w:val="22"/>
          <w:szCs w:val="22"/>
        </w:rPr>
      </w:pPr>
      <w:r>
        <w:rPr>
          <w:rFonts w:ascii="Arial" w:hAnsi="Arial" w:cs="Arial"/>
          <w:sz w:val="22"/>
          <w:szCs w:val="22"/>
        </w:rPr>
        <w:t>The specific 10</w:t>
      </w:r>
      <w:r w:rsidR="00AA0ED2">
        <w:rPr>
          <w:rFonts w:ascii="Arial" w:hAnsi="Arial" w:cs="Arial"/>
          <w:sz w:val="22"/>
          <w:szCs w:val="22"/>
        </w:rPr>
        <w:t> </w:t>
      </w:r>
      <w:r>
        <w:rPr>
          <w:rFonts w:ascii="Arial" w:hAnsi="Arial" w:cs="Arial"/>
          <w:sz w:val="22"/>
          <w:szCs w:val="22"/>
        </w:rPr>
        <w:t>CFR Part</w:t>
      </w:r>
      <w:r w:rsidR="00AA0ED2">
        <w:rPr>
          <w:rFonts w:ascii="Arial" w:hAnsi="Arial" w:cs="Arial"/>
          <w:sz w:val="22"/>
          <w:szCs w:val="22"/>
        </w:rPr>
        <w:t> </w:t>
      </w:r>
      <w:r>
        <w:rPr>
          <w:rFonts w:ascii="Arial" w:hAnsi="Arial" w:cs="Arial"/>
          <w:sz w:val="22"/>
          <w:szCs w:val="22"/>
        </w:rPr>
        <w:t xml:space="preserve">54 subsections </w:t>
      </w:r>
      <w:r w:rsidR="00AA0ED2">
        <w:rPr>
          <w:rFonts w:ascii="Arial" w:hAnsi="Arial" w:cs="Arial"/>
          <w:sz w:val="22"/>
          <w:szCs w:val="22"/>
        </w:rPr>
        <w:t xml:space="preserve">containing </w:t>
      </w:r>
      <w:r w:rsidRPr="00EB17C2" w:rsidR="00D32D20">
        <w:rPr>
          <w:rFonts w:ascii="Arial" w:hAnsi="Arial" w:cs="Arial"/>
          <w:sz w:val="22"/>
          <w:szCs w:val="22"/>
        </w:rPr>
        <w:t xml:space="preserve">these </w:t>
      </w:r>
      <w:r w:rsidR="00AA0ED2">
        <w:rPr>
          <w:rFonts w:ascii="Arial" w:hAnsi="Arial" w:cs="Arial"/>
          <w:sz w:val="22"/>
          <w:szCs w:val="22"/>
        </w:rPr>
        <w:t>information requirements</w:t>
      </w:r>
      <w:r w:rsidRPr="00EB17C2" w:rsidR="00AA0ED2">
        <w:rPr>
          <w:rFonts w:ascii="Arial" w:hAnsi="Arial" w:cs="Arial"/>
          <w:sz w:val="22"/>
          <w:szCs w:val="22"/>
        </w:rPr>
        <w:t xml:space="preserve"> </w:t>
      </w:r>
      <w:r w:rsidRPr="00EB17C2" w:rsidR="00D32D20">
        <w:rPr>
          <w:rFonts w:ascii="Arial" w:hAnsi="Arial" w:cs="Arial"/>
          <w:sz w:val="22"/>
          <w:szCs w:val="22"/>
        </w:rPr>
        <w:t>can be found at the end of this supporting statement in “Description of Requirements</w:t>
      </w:r>
      <w:r w:rsidR="00CF5638">
        <w:rPr>
          <w:rFonts w:ascii="Arial" w:hAnsi="Arial" w:cs="Arial"/>
          <w:sz w:val="22"/>
          <w:szCs w:val="22"/>
        </w:rPr>
        <w:t>.”</w:t>
      </w:r>
    </w:p>
    <w:p w:rsidRPr="00D51029" w:rsidR="004E6350" w:rsidP="004C4E38" w:rsidRDefault="004E6350" w14:paraId="3FDA6A5D" w14:textId="77777777">
      <w:pPr>
        <w:ind w:left="1440"/>
        <w:rPr>
          <w:rFonts w:ascii="Arial" w:hAnsi="Arial" w:cs="Arial"/>
          <w:sz w:val="22"/>
          <w:szCs w:val="22"/>
        </w:rPr>
      </w:pPr>
    </w:p>
    <w:p w:rsidRPr="00D51029" w:rsidR="004E6350" w:rsidP="004C4E38" w:rsidRDefault="004E6350" w14:paraId="392F52BE" w14:textId="77777777">
      <w:pPr>
        <w:keepNext/>
        <w:ind w:left="1440" w:hanging="720"/>
        <w:rPr>
          <w:rFonts w:ascii="Arial" w:hAnsi="Arial" w:cs="Arial"/>
          <w:sz w:val="22"/>
          <w:szCs w:val="22"/>
          <w:u w:val="single"/>
        </w:rPr>
      </w:pPr>
      <w:r w:rsidRPr="00D51029">
        <w:rPr>
          <w:rFonts w:ascii="Arial" w:hAnsi="Arial" w:cs="Arial"/>
          <w:sz w:val="22"/>
          <w:szCs w:val="22"/>
        </w:rPr>
        <w:t>2.</w:t>
      </w:r>
      <w:r w:rsidRPr="00D51029">
        <w:rPr>
          <w:rFonts w:ascii="Arial" w:hAnsi="Arial" w:cs="Arial"/>
          <w:sz w:val="22"/>
          <w:szCs w:val="22"/>
        </w:rPr>
        <w:tab/>
      </w:r>
      <w:r w:rsidRPr="00D51029">
        <w:rPr>
          <w:rFonts w:ascii="Arial" w:hAnsi="Arial" w:cs="Arial"/>
          <w:sz w:val="22"/>
          <w:szCs w:val="22"/>
          <w:u w:val="single"/>
        </w:rPr>
        <w:t>Agency Use of the Information</w:t>
      </w:r>
    </w:p>
    <w:p w:rsidRPr="00D51029" w:rsidR="004E6350" w:rsidP="004C4E38" w:rsidRDefault="004E6350" w14:paraId="67861E82" w14:textId="77777777">
      <w:pPr>
        <w:keepNext/>
        <w:rPr>
          <w:rFonts w:ascii="Arial" w:hAnsi="Arial" w:cs="Arial"/>
          <w:sz w:val="22"/>
          <w:szCs w:val="22"/>
          <w:u w:val="single"/>
        </w:rPr>
      </w:pPr>
    </w:p>
    <w:p w:rsidRPr="00D51029" w:rsidR="004E6350" w:rsidP="004C4E38" w:rsidRDefault="004E6350" w14:paraId="1F4D591D" w14:textId="77777777">
      <w:pPr>
        <w:ind w:left="1440"/>
        <w:rPr>
          <w:rFonts w:ascii="Arial" w:hAnsi="Arial" w:cs="Arial"/>
          <w:sz w:val="22"/>
          <w:szCs w:val="22"/>
        </w:rPr>
      </w:pPr>
      <w:r w:rsidRPr="00D51029">
        <w:rPr>
          <w:rFonts w:ascii="Arial" w:hAnsi="Arial" w:cs="Arial"/>
          <w:sz w:val="22"/>
          <w:szCs w:val="22"/>
        </w:rPr>
        <w:t>The NRC will use the information submitted with the license renewal application to determine whether continued operation of nuclear power plants during their renewal terms will provide reasonable assurance of the adequate protection of public health and safety and the common defense and security.  License renewal applicants and holders of renewed nuclear power plant operating licenses will use the information as a basis for establishing and maintaining aging management programs.  Retained records will be used by the licensee and the NRC during inspections to provide the technical bases for continued safe operation of the plant.</w:t>
      </w:r>
    </w:p>
    <w:p w:rsidRPr="00D51029" w:rsidR="004E6350" w:rsidP="004C4E38" w:rsidRDefault="004E6350" w14:paraId="756078FC" w14:textId="77777777">
      <w:pPr>
        <w:rPr>
          <w:rFonts w:ascii="Arial" w:hAnsi="Arial" w:cs="Arial"/>
          <w:sz w:val="22"/>
          <w:szCs w:val="22"/>
          <w:u w:val="single"/>
        </w:rPr>
      </w:pPr>
    </w:p>
    <w:p w:rsidRPr="008E7922" w:rsidR="004E6350" w:rsidP="004C4E38" w:rsidRDefault="004E6350" w14:paraId="110E5861" w14:textId="77777777">
      <w:pPr>
        <w:ind w:left="1440" w:hanging="720"/>
        <w:rPr>
          <w:rFonts w:ascii="Arial" w:hAnsi="Arial" w:cs="Arial"/>
          <w:sz w:val="22"/>
          <w:szCs w:val="22"/>
          <w:u w:val="single"/>
        </w:rPr>
      </w:pPr>
      <w:r w:rsidRPr="00D51029">
        <w:rPr>
          <w:rFonts w:ascii="Arial" w:hAnsi="Arial" w:cs="Arial"/>
          <w:sz w:val="22"/>
          <w:szCs w:val="22"/>
        </w:rPr>
        <w:t>3.</w:t>
      </w:r>
      <w:r w:rsidRPr="00D51029">
        <w:rPr>
          <w:rFonts w:ascii="Arial" w:hAnsi="Arial" w:cs="Arial"/>
          <w:sz w:val="22"/>
          <w:szCs w:val="22"/>
        </w:rPr>
        <w:tab/>
      </w:r>
      <w:r w:rsidRPr="008E7922">
        <w:rPr>
          <w:rFonts w:ascii="Arial" w:hAnsi="Arial" w:cs="Arial"/>
          <w:sz w:val="22"/>
          <w:szCs w:val="22"/>
          <w:u w:val="single"/>
        </w:rPr>
        <w:t>Reduction of Burden Through Information Technology</w:t>
      </w:r>
    </w:p>
    <w:p w:rsidRPr="00CF5638" w:rsidR="004E6350" w:rsidP="00CC6ED2" w:rsidRDefault="004E6350" w14:paraId="6E614C64" w14:textId="77777777">
      <w:pPr>
        <w:widowControl w:val="0"/>
        <w:ind w:left="1440"/>
        <w:rPr>
          <w:rFonts w:ascii="Arial" w:hAnsi="Arial" w:cs="Arial"/>
          <w:b/>
          <w:sz w:val="22"/>
          <w:szCs w:val="22"/>
        </w:rPr>
      </w:pPr>
    </w:p>
    <w:p w:rsidRPr="00C63BEF" w:rsidR="00C63BEF" w:rsidP="00CC6ED2" w:rsidRDefault="004E6350" w14:paraId="25BC794A" w14:textId="46FEE7DF">
      <w:pPr>
        <w:widowControl w:val="0"/>
        <w:ind w:left="1440"/>
        <w:rPr>
          <w:rFonts w:ascii="Arial" w:hAnsi="Arial" w:cs="Arial"/>
          <w:sz w:val="22"/>
          <w:szCs w:val="22"/>
        </w:rPr>
      </w:pPr>
      <w:r w:rsidRPr="00CF5638">
        <w:rPr>
          <w:rFonts w:ascii="Arial" w:hAnsi="Arial" w:cs="Arial"/>
          <w:sz w:val="22"/>
          <w:szCs w:val="22"/>
        </w:rPr>
        <w:t>There are no legal obstacles to reducing the burden associated with this information collection.  The NRC encourages respondents to use information technology when it would be beneficial to the</w:t>
      </w:r>
      <w:r w:rsidR="00CF5638">
        <w:rPr>
          <w:rFonts w:ascii="Arial" w:hAnsi="Arial" w:cs="Arial"/>
          <w:sz w:val="22"/>
          <w:szCs w:val="22"/>
        </w:rPr>
        <w:t xml:space="preserve">m.  </w:t>
      </w:r>
      <w:r w:rsidRPr="00CF5638" w:rsidR="00771D32">
        <w:rPr>
          <w:rFonts w:ascii="Arial" w:hAnsi="Arial" w:cs="Arial"/>
          <w:sz w:val="22"/>
          <w:szCs w:val="22"/>
        </w:rPr>
        <w:t xml:space="preserve">The NRC has issued </w:t>
      </w:r>
      <w:r w:rsidR="00532932">
        <w:rPr>
          <w:rFonts w:ascii="Arial" w:hAnsi="Arial" w:cs="Arial"/>
          <w:sz w:val="22"/>
          <w:szCs w:val="22"/>
        </w:rPr>
        <w:t>“</w:t>
      </w:r>
      <w:r w:rsidRPr="00AC0B46" w:rsidR="009D4F6B">
        <w:rPr>
          <w:rFonts w:ascii="Arial" w:hAnsi="Arial" w:cs="Arial"/>
          <w:sz w:val="22"/>
          <w:szCs w:val="22"/>
        </w:rPr>
        <w:t xml:space="preserve">Guidance </w:t>
      </w:r>
      <w:r w:rsidRPr="00AC0B46" w:rsidR="009D4F6B">
        <w:rPr>
          <w:rFonts w:ascii="Arial" w:hAnsi="Arial" w:cs="Arial"/>
          <w:sz w:val="22"/>
          <w:szCs w:val="22"/>
        </w:rPr>
        <w:lastRenderedPageBreak/>
        <w:t>for Electronic Submissions to the NRC</w:t>
      </w:r>
      <w:r w:rsidR="00532932">
        <w:rPr>
          <w:rFonts w:ascii="Arial" w:hAnsi="Arial" w:cs="Arial"/>
          <w:sz w:val="22"/>
          <w:szCs w:val="22"/>
        </w:rPr>
        <w:t>”</w:t>
      </w:r>
      <w:r w:rsidRPr="00AC0B46" w:rsidR="009D4F6B">
        <w:rPr>
          <w:vertAlign w:val="superscript"/>
        </w:rPr>
        <w:footnoteReference w:id="1"/>
      </w:r>
      <w:r w:rsidRPr="00CF5638" w:rsidR="00771D32">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w:t>
      </w:r>
      <w:r w:rsidR="00532932">
        <w:rPr>
          <w:rFonts w:ascii="Arial" w:hAnsi="Arial" w:cs="Arial"/>
          <w:sz w:val="22"/>
          <w:szCs w:val="22"/>
        </w:rPr>
        <w:t>means</w:t>
      </w:r>
      <w:r w:rsidRPr="00CF5638" w:rsidR="00771D32">
        <w:rPr>
          <w:rFonts w:ascii="Arial" w:hAnsi="Arial" w:cs="Arial"/>
          <w:sz w:val="22"/>
          <w:szCs w:val="22"/>
        </w:rPr>
        <w:t>: the Electronic Information Exchange (EIE) process, which is available from the NRC's “Electronic Submittals” Web page</w:t>
      </w:r>
      <w:r w:rsidR="00DB2868">
        <w:rPr>
          <w:rFonts w:ascii="Arial" w:hAnsi="Arial" w:cs="Arial"/>
          <w:sz w:val="22"/>
          <w:szCs w:val="22"/>
        </w:rPr>
        <w:t>;</w:t>
      </w:r>
      <w:r w:rsidRPr="00CF5638" w:rsidR="00DB2868">
        <w:rPr>
          <w:rFonts w:ascii="Arial" w:hAnsi="Arial" w:cs="Arial"/>
          <w:sz w:val="22"/>
          <w:szCs w:val="22"/>
        </w:rPr>
        <w:t xml:space="preserve"> </w:t>
      </w:r>
      <w:r w:rsidRPr="00CF5638" w:rsidR="00771D32">
        <w:rPr>
          <w:rFonts w:ascii="Arial" w:hAnsi="Arial" w:cs="Arial"/>
          <w:sz w:val="22"/>
          <w:szCs w:val="22"/>
        </w:rPr>
        <w:t>by Optical Storage Media (OSM) (e.g. CD-ROM, DVD</w:t>
      </w:r>
      <w:r w:rsidRPr="00CF5638" w:rsidR="00DB2868">
        <w:rPr>
          <w:rFonts w:ascii="Arial" w:hAnsi="Arial" w:cs="Arial"/>
          <w:sz w:val="22"/>
          <w:szCs w:val="22"/>
        </w:rPr>
        <w:t>)</w:t>
      </w:r>
      <w:r w:rsidR="00DB2868">
        <w:rPr>
          <w:rFonts w:ascii="Arial" w:hAnsi="Arial" w:cs="Arial"/>
          <w:sz w:val="22"/>
          <w:szCs w:val="22"/>
        </w:rPr>
        <w:t>;</w:t>
      </w:r>
      <w:r w:rsidRPr="00CF5638" w:rsidR="00DB2868">
        <w:rPr>
          <w:rFonts w:ascii="Arial" w:hAnsi="Arial" w:cs="Arial"/>
          <w:sz w:val="22"/>
          <w:szCs w:val="22"/>
        </w:rPr>
        <w:t xml:space="preserve"> </w:t>
      </w:r>
      <w:r w:rsidRPr="00CF5638" w:rsidR="00771D32">
        <w:rPr>
          <w:rFonts w:ascii="Arial" w:hAnsi="Arial" w:cs="Arial"/>
          <w:sz w:val="22"/>
          <w:szCs w:val="22"/>
        </w:rPr>
        <w:t>by facsimile</w:t>
      </w:r>
      <w:r w:rsidR="00DB2868">
        <w:rPr>
          <w:rFonts w:ascii="Arial" w:hAnsi="Arial" w:cs="Arial"/>
          <w:sz w:val="22"/>
          <w:szCs w:val="22"/>
        </w:rPr>
        <w:t>;</w:t>
      </w:r>
      <w:r w:rsidRPr="00CF5638" w:rsidR="00771D32">
        <w:rPr>
          <w:rFonts w:ascii="Arial" w:hAnsi="Arial" w:cs="Arial"/>
          <w:sz w:val="22"/>
          <w:szCs w:val="22"/>
        </w:rPr>
        <w:t xml:space="preserve"> or by e-mail.  </w:t>
      </w:r>
      <w:r w:rsidRPr="00C63BEF" w:rsidR="00C63BEF">
        <w:rPr>
          <w:rFonts w:ascii="Arial" w:hAnsi="Arial" w:cs="Arial"/>
          <w:sz w:val="22"/>
          <w:szCs w:val="22"/>
        </w:rPr>
        <w:t xml:space="preserve">It is estimated that approximately </w:t>
      </w:r>
      <w:r w:rsidR="00823E34">
        <w:rPr>
          <w:rFonts w:ascii="Arial" w:hAnsi="Arial" w:cs="Arial"/>
          <w:sz w:val="22"/>
          <w:szCs w:val="22"/>
        </w:rPr>
        <w:t>100 </w:t>
      </w:r>
      <w:r w:rsidRPr="009E7415" w:rsidR="00C63BEF">
        <w:rPr>
          <w:rFonts w:ascii="Arial" w:hAnsi="Arial" w:cs="Arial"/>
          <w:sz w:val="22"/>
          <w:szCs w:val="22"/>
        </w:rPr>
        <w:t>percent</w:t>
      </w:r>
      <w:r w:rsidRPr="00C63BEF" w:rsidR="00C63BEF">
        <w:rPr>
          <w:rFonts w:ascii="Arial" w:hAnsi="Arial" w:cs="Arial"/>
          <w:b/>
          <w:sz w:val="22"/>
          <w:szCs w:val="22"/>
        </w:rPr>
        <w:t xml:space="preserve"> </w:t>
      </w:r>
      <w:r w:rsidRPr="00C63BEF" w:rsidR="00C63BEF">
        <w:rPr>
          <w:rFonts w:ascii="Arial" w:hAnsi="Arial" w:cs="Arial"/>
          <w:sz w:val="22"/>
          <w:szCs w:val="22"/>
        </w:rPr>
        <w:t>of the potential responses</w:t>
      </w:r>
      <w:r w:rsidR="006F7DB6">
        <w:rPr>
          <w:rFonts w:ascii="Arial" w:hAnsi="Arial" w:cs="Arial"/>
          <w:sz w:val="22"/>
          <w:szCs w:val="22"/>
        </w:rPr>
        <w:t>, including license renewal applications and amendments,</w:t>
      </w:r>
      <w:r w:rsidRPr="00C63BEF" w:rsidR="00C63BEF">
        <w:rPr>
          <w:rFonts w:ascii="Arial" w:hAnsi="Arial" w:cs="Arial"/>
          <w:sz w:val="22"/>
          <w:szCs w:val="22"/>
        </w:rPr>
        <w:t xml:space="preserve"> </w:t>
      </w:r>
      <w:r w:rsidR="00532932">
        <w:rPr>
          <w:rFonts w:ascii="Arial" w:hAnsi="Arial" w:cs="Arial"/>
          <w:sz w:val="22"/>
          <w:szCs w:val="22"/>
        </w:rPr>
        <w:t>will be</w:t>
      </w:r>
      <w:r w:rsidRPr="00C63BEF" w:rsidR="00532932">
        <w:rPr>
          <w:rFonts w:ascii="Arial" w:hAnsi="Arial" w:cs="Arial"/>
          <w:sz w:val="22"/>
          <w:szCs w:val="22"/>
        </w:rPr>
        <w:t xml:space="preserve"> </w:t>
      </w:r>
      <w:r w:rsidRPr="00C63BEF" w:rsidR="00C63BEF">
        <w:rPr>
          <w:rFonts w:ascii="Arial" w:hAnsi="Arial" w:cs="Arial"/>
          <w:sz w:val="22"/>
          <w:szCs w:val="22"/>
        </w:rPr>
        <w:t>filed electronically.</w:t>
      </w:r>
      <w:r w:rsidR="00364C43">
        <w:rPr>
          <w:rFonts w:ascii="Arial" w:hAnsi="Arial" w:cs="Arial"/>
          <w:sz w:val="22"/>
          <w:szCs w:val="22"/>
        </w:rPr>
        <w:t xml:space="preserve">  No hardcopy submissions are anticipated.</w:t>
      </w:r>
    </w:p>
    <w:p w:rsidRPr="008E7922" w:rsidR="004E6350" w:rsidP="00CC6ED2" w:rsidRDefault="004E6350" w14:paraId="4A85C128" w14:textId="77777777">
      <w:pPr>
        <w:widowControl w:val="0"/>
        <w:ind w:left="1440"/>
        <w:rPr>
          <w:rFonts w:ascii="Arial" w:hAnsi="Arial" w:cs="Arial"/>
          <w:sz w:val="22"/>
          <w:szCs w:val="22"/>
        </w:rPr>
      </w:pPr>
    </w:p>
    <w:p w:rsidRPr="008E7922" w:rsidR="004E6350" w:rsidP="00B74D93" w:rsidRDefault="004E6350" w14:paraId="084FFAFE" w14:textId="77777777">
      <w:pPr>
        <w:ind w:left="1440" w:hanging="720"/>
        <w:rPr>
          <w:rFonts w:ascii="Arial" w:hAnsi="Arial" w:cs="Arial"/>
          <w:sz w:val="22"/>
          <w:szCs w:val="22"/>
          <w:u w:val="single"/>
        </w:rPr>
      </w:pPr>
      <w:r w:rsidRPr="008E7922">
        <w:rPr>
          <w:rFonts w:ascii="Arial" w:hAnsi="Arial" w:cs="Arial"/>
          <w:sz w:val="22"/>
          <w:szCs w:val="22"/>
        </w:rPr>
        <w:t>4.</w:t>
      </w:r>
      <w:r w:rsidRPr="008E7922">
        <w:rPr>
          <w:rFonts w:ascii="Arial" w:hAnsi="Arial" w:cs="Arial"/>
          <w:sz w:val="22"/>
          <w:szCs w:val="22"/>
        </w:rPr>
        <w:tab/>
      </w:r>
      <w:r w:rsidRPr="008E7922">
        <w:rPr>
          <w:rFonts w:ascii="Arial" w:hAnsi="Arial" w:cs="Arial"/>
          <w:sz w:val="22"/>
          <w:szCs w:val="22"/>
          <w:u w:val="single"/>
        </w:rPr>
        <w:t>Effort to Identify Duplication and Use Similar Information</w:t>
      </w:r>
    </w:p>
    <w:p w:rsidRPr="008414CB" w:rsidR="004E6350" w:rsidP="00CC6ED2" w:rsidRDefault="004E6350" w14:paraId="7F5CA57B" w14:textId="77777777">
      <w:pPr>
        <w:widowControl w:val="0"/>
        <w:ind w:left="1440"/>
        <w:rPr>
          <w:rFonts w:ascii="Arial" w:hAnsi="Arial" w:cs="Arial"/>
          <w:bCs/>
          <w:sz w:val="22"/>
          <w:szCs w:val="22"/>
        </w:rPr>
      </w:pPr>
    </w:p>
    <w:p w:rsidRPr="008E7922" w:rsidR="004E6350" w:rsidP="00CC6ED2" w:rsidRDefault="004E6350" w14:paraId="20455D44" w14:textId="77777777">
      <w:pPr>
        <w:widowControl w:val="0"/>
        <w:ind w:left="1440"/>
        <w:rPr>
          <w:rFonts w:ascii="Arial" w:hAnsi="Arial" w:cs="Arial"/>
          <w:sz w:val="22"/>
          <w:szCs w:val="22"/>
        </w:rPr>
      </w:pPr>
      <w:r w:rsidRPr="008E7922">
        <w:rPr>
          <w:rFonts w:ascii="Arial" w:hAnsi="Arial" w:cs="Arial"/>
          <w:sz w:val="22"/>
          <w:szCs w:val="22"/>
        </w:rPr>
        <w:t xml:space="preserve">No sources of similar information are available.  There is no duplication of requirements.  </w:t>
      </w:r>
    </w:p>
    <w:p w:rsidRPr="008E7922" w:rsidR="004E6350" w:rsidP="00B74D93" w:rsidRDefault="004E6350" w14:paraId="2017BDAA" w14:textId="77777777">
      <w:pPr>
        <w:rPr>
          <w:rFonts w:ascii="Arial" w:hAnsi="Arial" w:cs="Arial"/>
          <w:sz w:val="22"/>
          <w:szCs w:val="22"/>
        </w:rPr>
      </w:pPr>
    </w:p>
    <w:p w:rsidRPr="008E7922" w:rsidR="004E6350" w:rsidP="00B74D93" w:rsidRDefault="004E6350" w14:paraId="49D3F2EE" w14:textId="77777777">
      <w:pPr>
        <w:keepNext/>
        <w:ind w:left="1440" w:hanging="720"/>
        <w:rPr>
          <w:rFonts w:ascii="Arial" w:hAnsi="Arial" w:cs="Arial"/>
          <w:sz w:val="22"/>
          <w:szCs w:val="22"/>
          <w:u w:val="single"/>
        </w:rPr>
      </w:pPr>
      <w:r w:rsidRPr="00B12E05">
        <w:rPr>
          <w:rFonts w:ascii="Arial" w:hAnsi="Arial" w:cs="Arial"/>
          <w:sz w:val="22"/>
          <w:szCs w:val="22"/>
        </w:rPr>
        <w:t>5.</w:t>
      </w:r>
      <w:r w:rsidRPr="00B12E05">
        <w:rPr>
          <w:rFonts w:ascii="Arial" w:hAnsi="Arial" w:cs="Arial"/>
          <w:sz w:val="22"/>
          <w:szCs w:val="22"/>
        </w:rPr>
        <w:tab/>
      </w:r>
      <w:r w:rsidRPr="008E7922">
        <w:rPr>
          <w:rFonts w:ascii="Arial" w:hAnsi="Arial" w:cs="Arial"/>
          <w:sz w:val="22"/>
          <w:szCs w:val="22"/>
          <w:u w:val="single"/>
        </w:rPr>
        <w:t>Effort to Reduce Small Business Burden</w:t>
      </w:r>
    </w:p>
    <w:p w:rsidRPr="008E7922" w:rsidR="004E6350" w:rsidP="00B74D93" w:rsidRDefault="004E6350" w14:paraId="631B7BEF" w14:textId="77777777">
      <w:pPr>
        <w:rPr>
          <w:rFonts w:ascii="Arial" w:hAnsi="Arial" w:cs="Arial"/>
          <w:sz w:val="22"/>
          <w:szCs w:val="22"/>
          <w:u w:val="single"/>
        </w:rPr>
      </w:pPr>
    </w:p>
    <w:p w:rsidRPr="00D51029" w:rsidR="004E6350" w:rsidP="00CC6ED2" w:rsidRDefault="008E7922" w14:paraId="306E7A1C" w14:textId="77777777">
      <w:pPr>
        <w:ind w:left="1440"/>
        <w:rPr>
          <w:rFonts w:ascii="Arial" w:hAnsi="Arial" w:cs="Arial"/>
          <w:color w:val="000000"/>
          <w:sz w:val="22"/>
          <w:szCs w:val="22"/>
        </w:rPr>
      </w:pPr>
      <w:r>
        <w:rPr>
          <w:rFonts w:ascii="Arial" w:hAnsi="Arial" w:cs="Arial"/>
          <w:sz w:val="22"/>
          <w:szCs w:val="22"/>
        </w:rPr>
        <w:t>Not applicable.</w:t>
      </w:r>
    </w:p>
    <w:p w:rsidRPr="00D51029" w:rsidR="004E6350" w:rsidP="00B74D93" w:rsidRDefault="004E6350" w14:paraId="194F486F" w14:textId="77777777">
      <w:pPr>
        <w:rPr>
          <w:rFonts w:ascii="Arial" w:hAnsi="Arial" w:cs="Arial"/>
          <w:sz w:val="22"/>
          <w:szCs w:val="22"/>
        </w:rPr>
      </w:pPr>
    </w:p>
    <w:p w:rsidRPr="00D51029" w:rsidR="004E6350" w:rsidP="00A53CFB" w:rsidRDefault="004E6350" w14:paraId="119A9003" w14:textId="2DB038A2">
      <w:pPr>
        <w:keepNext/>
        <w:ind w:left="1440" w:hanging="720"/>
        <w:rPr>
          <w:rFonts w:ascii="Arial" w:hAnsi="Arial" w:cs="Arial"/>
          <w:sz w:val="22"/>
          <w:szCs w:val="22"/>
          <w:u w:val="single"/>
        </w:rPr>
      </w:pPr>
      <w:r w:rsidRPr="00D51029">
        <w:rPr>
          <w:rFonts w:ascii="Arial" w:hAnsi="Arial" w:cs="Arial"/>
          <w:sz w:val="22"/>
          <w:szCs w:val="22"/>
        </w:rPr>
        <w:t>6.</w:t>
      </w:r>
      <w:r w:rsidRPr="00D51029">
        <w:rPr>
          <w:rFonts w:ascii="Arial" w:hAnsi="Arial" w:cs="Arial"/>
          <w:sz w:val="22"/>
          <w:szCs w:val="22"/>
        </w:rPr>
        <w:tab/>
      </w:r>
      <w:r w:rsidRPr="00D51029">
        <w:rPr>
          <w:rFonts w:ascii="Arial" w:hAnsi="Arial" w:cs="Arial"/>
          <w:sz w:val="22"/>
          <w:szCs w:val="22"/>
          <w:u w:val="single"/>
        </w:rPr>
        <w:t>Consequences to Federal Program or Policy Activities if the Collection is Not Conducted or is Conducted Less Frequently</w:t>
      </w:r>
    </w:p>
    <w:p w:rsidRPr="00D51029" w:rsidR="004E6350" w:rsidP="00B74D93" w:rsidRDefault="004E6350" w14:paraId="719373B7" w14:textId="77777777">
      <w:pPr>
        <w:rPr>
          <w:rFonts w:ascii="Arial" w:hAnsi="Arial" w:cs="Arial"/>
          <w:sz w:val="22"/>
          <w:szCs w:val="22"/>
          <w:u w:val="single"/>
        </w:rPr>
      </w:pPr>
    </w:p>
    <w:p w:rsidR="00242F5E" w:rsidP="00B74D93" w:rsidRDefault="004E6350" w14:paraId="354DE2F0" w14:textId="3C124056">
      <w:pPr>
        <w:ind w:left="1440"/>
        <w:rPr>
          <w:rFonts w:ascii="Arial" w:hAnsi="Arial" w:cs="Arial"/>
          <w:sz w:val="22"/>
          <w:szCs w:val="22"/>
        </w:rPr>
      </w:pPr>
      <w:r w:rsidRPr="00E5374B">
        <w:rPr>
          <w:rFonts w:ascii="Arial" w:hAnsi="Arial" w:cs="Arial"/>
          <w:sz w:val="22"/>
          <w:szCs w:val="22"/>
        </w:rPr>
        <w:t xml:space="preserve">An applicant is only required to report the information if it </w:t>
      </w:r>
      <w:r w:rsidR="001F49BB">
        <w:rPr>
          <w:rFonts w:ascii="Arial" w:hAnsi="Arial" w:cs="Arial"/>
          <w:sz w:val="22"/>
          <w:szCs w:val="22"/>
        </w:rPr>
        <w:t>applies</w:t>
      </w:r>
      <w:r w:rsidRPr="00E5374B">
        <w:rPr>
          <w:rFonts w:ascii="Arial" w:hAnsi="Arial" w:cs="Arial"/>
          <w:sz w:val="22"/>
          <w:szCs w:val="22"/>
        </w:rPr>
        <w:t xml:space="preserve"> for license renewal</w:t>
      </w:r>
      <w:r w:rsidR="00F814A2">
        <w:rPr>
          <w:rFonts w:ascii="Arial" w:hAnsi="Arial" w:cs="Arial"/>
          <w:sz w:val="22"/>
          <w:szCs w:val="22"/>
        </w:rPr>
        <w:t xml:space="preserve">.  </w:t>
      </w:r>
      <w:r w:rsidR="00D26829">
        <w:rPr>
          <w:rFonts w:ascii="Arial" w:hAnsi="Arial" w:cs="Arial"/>
          <w:sz w:val="22"/>
          <w:szCs w:val="22"/>
        </w:rPr>
        <w:t xml:space="preserve">If the information </w:t>
      </w:r>
      <w:r w:rsidR="002E20F7">
        <w:rPr>
          <w:rFonts w:ascii="Arial" w:hAnsi="Arial" w:cs="Arial"/>
          <w:sz w:val="22"/>
          <w:szCs w:val="22"/>
        </w:rPr>
        <w:t xml:space="preserve">collection </w:t>
      </w:r>
      <w:r w:rsidR="00D26829">
        <w:rPr>
          <w:rFonts w:ascii="Arial" w:hAnsi="Arial" w:cs="Arial"/>
          <w:sz w:val="22"/>
          <w:szCs w:val="22"/>
        </w:rPr>
        <w:t>is not co</w:t>
      </w:r>
      <w:r w:rsidR="002E20F7">
        <w:rPr>
          <w:rFonts w:ascii="Arial" w:hAnsi="Arial" w:cs="Arial"/>
          <w:sz w:val="22"/>
          <w:szCs w:val="22"/>
        </w:rPr>
        <w:t>nducted</w:t>
      </w:r>
      <w:r w:rsidR="00D26829">
        <w:rPr>
          <w:rFonts w:ascii="Arial" w:hAnsi="Arial" w:cs="Arial"/>
          <w:sz w:val="22"/>
          <w:szCs w:val="22"/>
        </w:rPr>
        <w:t xml:space="preserve">, the NRC staff will not have the information it needs to </w:t>
      </w:r>
      <w:r w:rsidR="00B56884">
        <w:rPr>
          <w:rFonts w:ascii="Arial" w:hAnsi="Arial" w:cs="Arial"/>
          <w:sz w:val="22"/>
          <w:szCs w:val="22"/>
        </w:rPr>
        <w:t xml:space="preserve">evaluate </w:t>
      </w:r>
      <w:r w:rsidR="00D75EAC">
        <w:rPr>
          <w:rFonts w:ascii="Arial" w:hAnsi="Arial" w:cs="Arial"/>
          <w:sz w:val="22"/>
          <w:szCs w:val="22"/>
        </w:rPr>
        <w:t>whether an applicant meets the requirements of 10 CFR Part 54 and the Atomic Energy Act</w:t>
      </w:r>
      <w:r w:rsidR="002E20F7">
        <w:rPr>
          <w:rFonts w:ascii="Arial" w:hAnsi="Arial" w:cs="Arial"/>
          <w:sz w:val="22"/>
          <w:szCs w:val="22"/>
        </w:rPr>
        <w:t xml:space="preserve">, and therefore </w:t>
      </w:r>
      <w:r w:rsidR="00AF6EF5">
        <w:rPr>
          <w:rFonts w:ascii="Arial" w:hAnsi="Arial" w:cs="Arial"/>
          <w:sz w:val="22"/>
          <w:szCs w:val="22"/>
        </w:rPr>
        <w:t>will not be able to</w:t>
      </w:r>
      <w:r w:rsidR="002E20F7">
        <w:rPr>
          <w:rFonts w:ascii="Arial" w:hAnsi="Arial" w:cs="Arial"/>
          <w:sz w:val="22"/>
          <w:szCs w:val="22"/>
        </w:rPr>
        <w:t xml:space="preserve"> issue </w:t>
      </w:r>
      <w:r w:rsidR="00AF6EF5">
        <w:rPr>
          <w:rFonts w:ascii="Arial" w:hAnsi="Arial" w:cs="Arial"/>
          <w:sz w:val="22"/>
          <w:szCs w:val="22"/>
        </w:rPr>
        <w:t>the</w:t>
      </w:r>
      <w:r w:rsidR="002E20F7">
        <w:rPr>
          <w:rFonts w:ascii="Arial" w:hAnsi="Arial" w:cs="Arial"/>
          <w:sz w:val="22"/>
          <w:szCs w:val="22"/>
        </w:rPr>
        <w:t xml:space="preserve"> renewed license.  </w:t>
      </w:r>
    </w:p>
    <w:p w:rsidR="00242F5E" w:rsidP="00B74D93" w:rsidRDefault="00242F5E" w14:paraId="310451E8" w14:textId="77777777">
      <w:pPr>
        <w:ind w:left="1440"/>
        <w:rPr>
          <w:rFonts w:ascii="Arial" w:hAnsi="Arial" w:cs="Arial"/>
          <w:sz w:val="22"/>
          <w:szCs w:val="22"/>
        </w:rPr>
      </w:pPr>
    </w:p>
    <w:p w:rsidR="00C824FE" w:rsidP="00B74D93" w:rsidRDefault="00F814A2" w14:paraId="46B9A049" w14:textId="06E72ADB">
      <w:pPr>
        <w:ind w:left="1440"/>
        <w:rPr>
          <w:rFonts w:ascii="Arial" w:hAnsi="Arial" w:cs="Arial"/>
          <w:sz w:val="22"/>
          <w:szCs w:val="22"/>
        </w:rPr>
      </w:pPr>
      <w:r w:rsidRPr="00CC2584">
        <w:rPr>
          <w:rFonts w:ascii="Arial" w:hAnsi="Arial" w:cs="Arial"/>
          <w:sz w:val="22"/>
          <w:szCs w:val="22"/>
        </w:rPr>
        <w:t xml:space="preserve">The frequency of the submission cannot be decreased.  </w:t>
      </w:r>
      <w:r w:rsidR="00CE1848">
        <w:rPr>
          <w:rFonts w:ascii="Arial" w:hAnsi="Arial" w:cs="Arial"/>
          <w:sz w:val="22"/>
          <w:szCs w:val="22"/>
        </w:rPr>
        <w:t>Initial license</w:t>
      </w:r>
      <w:r w:rsidR="000E0F11">
        <w:rPr>
          <w:rFonts w:ascii="Arial" w:hAnsi="Arial" w:cs="Arial"/>
          <w:sz w:val="22"/>
          <w:szCs w:val="22"/>
        </w:rPr>
        <w:t xml:space="preserve"> terms </w:t>
      </w:r>
      <w:r w:rsidR="00FC3763">
        <w:rPr>
          <w:rFonts w:ascii="Arial" w:hAnsi="Arial" w:cs="Arial"/>
          <w:sz w:val="22"/>
          <w:szCs w:val="22"/>
        </w:rPr>
        <w:t xml:space="preserve">for power reactors </w:t>
      </w:r>
      <w:r w:rsidR="00CE1848">
        <w:rPr>
          <w:rFonts w:ascii="Arial" w:hAnsi="Arial" w:cs="Arial"/>
          <w:sz w:val="22"/>
          <w:szCs w:val="22"/>
        </w:rPr>
        <w:t xml:space="preserve">are </w:t>
      </w:r>
      <w:r w:rsidR="000E0F11">
        <w:rPr>
          <w:rFonts w:ascii="Arial" w:hAnsi="Arial" w:cs="Arial"/>
          <w:sz w:val="22"/>
          <w:szCs w:val="22"/>
        </w:rPr>
        <w:t xml:space="preserve">limited by law to </w:t>
      </w:r>
      <w:r w:rsidR="0022303B">
        <w:rPr>
          <w:rFonts w:ascii="Arial" w:hAnsi="Arial" w:cs="Arial"/>
          <w:sz w:val="22"/>
          <w:szCs w:val="22"/>
        </w:rPr>
        <w:t xml:space="preserve">a maximum of </w:t>
      </w:r>
      <w:r w:rsidR="00CE1848">
        <w:rPr>
          <w:rFonts w:ascii="Arial" w:hAnsi="Arial" w:cs="Arial"/>
          <w:sz w:val="22"/>
          <w:szCs w:val="22"/>
        </w:rPr>
        <w:t>40</w:t>
      </w:r>
      <w:r w:rsidR="000E0F11">
        <w:rPr>
          <w:rFonts w:ascii="Arial" w:hAnsi="Arial" w:cs="Arial"/>
          <w:sz w:val="22"/>
          <w:szCs w:val="22"/>
        </w:rPr>
        <w:t xml:space="preserve"> </w:t>
      </w:r>
      <w:r w:rsidR="00CE1848">
        <w:rPr>
          <w:rFonts w:ascii="Arial" w:hAnsi="Arial" w:cs="Arial"/>
          <w:sz w:val="22"/>
          <w:szCs w:val="22"/>
        </w:rPr>
        <w:t>year</w:t>
      </w:r>
      <w:r w:rsidR="000E0F11">
        <w:rPr>
          <w:rFonts w:ascii="Arial" w:hAnsi="Arial" w:cs="Arial"/>
          <w:sz w:val="22"/>
          <w:szCs w:val="22"/>
        </w:rPr>
        <w:t>s</w:t>
      </w:r>
      <w:r w:rsidR="00CE1848">
        <w:rPr>
          <w:rFonts w:ascii="Arial" w:hAnsi="Arial" w:cs="Arial"/>
          <w:sz w:val="22"/>
          <w:szCs w:val="22"/>
        </w:rPr>
        <w:t xml:space="preserve"> and initial license renewal application</w:t>
      </w:r>
      <w:r w:rsidR="00EA589E">
        <w:rPr>
          <w:rFonts w:ascii="Arial" w:hAnsi="Arial" w:cs="Arial"/>
          <w:sz w:val="22"/>
          <w:szCs w:val="22"/>
        </w:rPr>
        <w:t>s</w:t>
      </w:r>
      <w:r w:rsidR="00CE1848">
        <w:rPr>
          <w:rFonts w:ascii="Arial" w:hAnsi="Arial" w:cs="Arial"/>
          <w:sz w:val="22"/>
          <w:szCs w:val="22"/>
        </w:rPr>
        <w:t xml:space="preserve"> </w:t>
      </w:r>
      <w:r w:rsidR="00EA589E">
        <w:rPr>
          <w:rFonts w:ascii="Arial" w:hAnsi="Arial" w:cs="Arial"/>
          <w:sz w:val="22"/>
          <w:szCs w:val="22"/>
        </w:rPr>
        <w:t>are</w:t>
      </w:r>
      <w:r w:rsidR="00CE1848">
        <w:rPr>
          <w:rFonts w:ascii="Arial" w:hAnsi="Arial" w:cs="Arial"/>
          <w:sz w:val="22"/>
          <w:szCs w:val="22"/>
        </w:rPr>
        <w:t xml:space="preserve"> typically generated and submitted at least five years prior to expiration of the initial license</w:t>
      </w:r>
      <w:r w:rsidR="00481DAC">
        <w:rPr>
          <w:rFonts w:ascii="Arial" w:hAnsi="Arial" w:cs="Arial"/>
          <w:sz w:val="22"/>
          <w:szCs w:val="22"/>
        </w:rPr>
        <w:t xml:space="preserve"> to meet timely filing provisions</w:t>
      </w:r>
      <w:r w:rsidR="00CE1848">
        <w:rPr>
          <w:rFonts w:ascii="Arial" w:hAnsi="Arial" w:cs="Arial"/>
          <w:sz w:val="22"/>
          <w:szCs w:val="22"/>
        </w:rPr>
        <w:t xml:space="preserve">.  </w:t>
      </w:r>
      <w:r w:rsidR="00AF2644">
        <w:rPr>
          <w:rFonts w:ascii="Arial" w:hAnsi="Arial" w:cs="Arial"/>
          <w:sz w:val="22"/>
          <w:szCs w:val="22"/>
        </w:rPr>
        <w:t>Licenses renewed in accordance with 10</w:t>
      </w:r>
      <w:r w:rsidR="00D02861">
        <w:rPr>
          <w:rFonts w:ascii="Arial" w:hAnsi="Arial" w:cs="Arial"/>
          <w:sz w:val="22"/>
          <w:szCs w:val="22"/>
        </w:rPr>
        <w:t> </w:t>
      </w:r>
      <w:r w:rsidR="00AF2644">
        <w:rPr>
          <w:rFonts w:ascii="Arial" w:hAnsi="Arial" w:cs="Arial"/>
          <w:sz w:val="22"/>
          <w:szCs w:val="22"/>
        </w:rPr>
        <w:t>CFR Part</w:t>
      </w:r>
      <w:r w:rsidR="00D02861">
        <w:rPr>
          <w:rFonts w:ascii="Arial" w:hAnsi="Arial" w:cs="Arial"/>
          <w:sz w:val="22"/>
          <w:szCs w:val="22"/>
        </w:rPr>
        <w:t> </w:t>
      </w:r>
      <w:r w:rsidR="00AF2644">
        <w:rPr>
          <w:rFonts w:ascii="Arial" w:hAnsi="Arial" w:cs="Arial"/>
          <w:sz w:val="22"/>
          <w:szCs w:val="22"/>
        </w:rPr>
        <w:t xml:space="preserve">54 have a </w:t>
      </w:r>
      <w:r w:rsidR="00F90CB8">
        <w:rPr>
          <w:rFonts w:ascii="Arial" w:hAnsi="Arial" w:cs="Arial"/>
          <w:sz w:val="22"/>
          <w:szCs w:val="22"/>
        </w:rPr>
        <w:t xml:space="preserve">maximum </w:t>
      </w:r>
      <w:r w:rsidR="00AF2644">
        <w:rPr>
          <w:rFonts w:ascii="Arial" w:hAnsi="Arial" w:cs="Arial"/>
          <w:sz w:val="22"/>
          <w:szCs w:val="22"/>
        </w:rPr>
        <w:t>term of 20 years</w:t>
      </w:r>
      <w:r w:rsidR="00844E69">
        <w:rPr>
          <w:rFonts w:ascii="Arial" w:hAnsi="Arial" w:cs="Arial"/>
          <w:sz w:val="22"/>
          <w:szCs w:val="22"/>
        </w:rPr>
        <w:t xml:space="preserve">, and subsequent license renewal applications are </w:t>
      </w:r>
      <w:r w:rsidR="00EA3CEF">
        <w:rPr>
          <w:rFonts w:ascii="Arial" w:hAnsi="Arial" w:cs="Arial"/>
          <w:sz w:val="22"/>
          <w:szCs w:val="22"/>
        </w:rPr>
        <w:t xml:space="preserve">typically generated and submitted at least five years prior to expiration of the </w:t>
      </w:r>
      <w:r w:rsidR="003C0C93">
        <w:rPr>
          <w:rFonts w:ascii="Arial" w:hAnsi="Arial" w:cs="Arial"/>
          <w:sz w:val="22"/>
          <w:szCs w:val="22"/>
        </w:rPr>
        <w:t xml:space="preserve">initial </w:t>
      </w:r>
      <w:r w:rsidR="00EA3CEF">
        <w:rPr>
          <w:rFonts w:ascii="Arial" w:hAnsi="Arial" w:cs="Arial"/>
          <w:sz w:val="22"/>
          <w:szCs w:val="22"/>
        </w:rPr>
        <w:t xml:space="preserve">renewed license.  </w:t>
      </w:r>
    </w:p>
    <w:p w:rsidR="00C824FE" w:rsidP="00B74D93" w:rsidRDefault="00C824FE" w14:paraId="7056FD89" w14:textId="77777777">
      <w:pPr>
        <w:ind w:left="1440"/>
        <w:rPr>
          <w:rFonts w:ascii="Arial" w:hAnsi="Arial" w:cs="Arial"/>
          <w:sz w:val="22"/>
          <w:szCs w:val="22"/>
        </w:rPr>
      </w:pPr>
    </w:p>
    <w:p w:rsidR="00B242F7" w:rsidP="00A53CFB" w:rsidRDefault="001B79D0" w14:paraId="47976B5A" w14:textId="70134D8E">
      <w:pPr>
        <w:ind w:left="1440"/>
        <w:rPr>
          <w:rFonts w:ascii="Arial" w:hAnsi="Arial" w:cs="Arial"/>
        </w:rPr>
      </w:pPr>
      <w:r>
        <w:rPr>
          <w:rFonts w:ascii="Arial" w:hAnsi="Arial" w:cs="Arial"/>
          <w:sz w:val="22"/>
          <w:szCs w:val="22"/>
        </w:rPr>
        <w:t xml:space="preserve">The </w:t>
      </w:r>
      <w:r w:rsidR="000320B0">
        <w:rPr>
          <w:rFonts w:ascii="Arial" w:hAnsi="Arial" w:cs="Arial"/>
          <w:sz w:val="22"/>
          <w:szCs w:val="22"/>
        </w:rPr>
        <w:t xml:space="preserve">completion letter notifying the NRC of the completion of license renewal related activities </w:t>
      </w:r>
      <w:r w:rsidR="00B6454C">
        <w:rPr>
          <w:rFonts w:ascii="Arial" w:hAnsi="Arial" w:cs="Arial"/>
          <w:sz w:val="22"/>
          <w:szCs w:val="22"/>
        </w:rPr>
        <w:t xml:space="preserve">is a one-time letter associated with the renewed license and therefore its frequency </w:t>
      </w:r>
      <w:r w:rsidR="00334446">
        <w:rPr>
          <w:rFonts w:ascii="Arial" w:hAnsi="Arial" w:cs="Arial"/>
          <w:sz w:val="22"/>
          <w:szCs w:val="22"/>
        </w:rPr>
        <w:t xml:space="preserve">(once per renewal) </w:t>
      </w:r>
      <w:r w:rsidR="00B6454C">
        <w:rPr>
          <w:rFonts w:ascii="Arial" w:hAnsi="Arial" w:cs="Arial"/>
          <w:sz w:val="22"/>
          <w:szCs w:val="22"/>
        </w:rPr>
        <w:t xml:space="preserve">cannot be reduced.  </w:t>
      </w:r>
      <w:r w:rsidR="009953FD">
        <w:rPr>
          <w:rFonts w:ascii="Arial" w:hAnsi="Arial" w:cs="Arial"/>
          <w:sz w:val="22"/>
          <w:szCs w:val="22"/>
        </w:rPr>
        <w:t xml:space="preserve"> </w:t>
      </w:r>
    </w:p>
    <w:p w:rsidRPr="00D51029" w:rsidR="004E6350" w:rsidP="00A53CFB" w:rsidRDefault="004E6350" w14:paraId="4DE0F9E0" w14:textId="77777777">
      <w:pPr>
        <w:rPr>
          <w:rFonts w:ascii="Arial" w:hAnsi="Arial" w:cs="Arial"/>
          <w:sz w:val="22"/>
          <w:szCs w:val="22"/>
        </w:rPr>
      </w:pPr>
    </w:p>
    <w:p w:rsidRPr="00D51029" w:rsidR="004E6350" w:rsidP="00A53CFB" w:rsidRDefault="004E6350" w14:paraId="4ADEECBA" w14:textId="77777777">
      <w:pPr>
        <w:keepNext/>
        <w:ind w:left="1440" w:hanging="720"/>
        <w:rPr>
          <w:rFonts w:ascii="Arial" w:hAnsi="Arial" w:cs="Arial"/>
          <w:sz w:val="22"/>
          <w:szCs w:val="22"/>
        </w:rPr>
      </w:pPr>
      <w:r w:rsidRPr="00D51029">
        <w:rPr>
          <w:rFonts w:ascii="Arial" w:hAnsi="Arial" w:cs="Arial"/>
          <w:sz w:val="22"/>
          <w:szCs w:val="22"/>
        </w:rPr>
        <w:t>7.</w:t>
      </w:r>
      <w:r w:rsidRPr="00D51029">
        <w:rPr>
          <w:rFonts w:ascii="Arial" w:hAnsi="Arial" w:cs="Arial"/>
          <w:sz w:val="22"/>
          <w:szCs w:val="22"/>
        </w:rPr>
        <w:tab/>
      </w:r>
      <w:r w:rsidRPr="00D51029">
        <w:rPr>
          <w:rFonts w:ascii="Arial" w:hAnsi="Arial" w:cs="Arial"/>
          <w:sz w:val="22"/>
          <w:szCs w:val="22"/>
          <w:u w:val="single"/>
        </w:rPr>
        <w:t xml:space="preserve">Circumstances </w:t>
      </w:r>
      <w:r>
        <w:rPr>
          <w:rFonts w:ascii="Arial" w:hAnsi="Arial" w:cs="Arial"/>
          <w:sz w:val="22"/>
          <w:szCs w:val="22"/>
          <w:u w:val="single"/>
        </w:rPr>
        <w:t>That</w:t>
      </w:r>
      <w:r w:rsidRPr="00D51029">
        <w:rPr>
          <w:rFonts w:ascii="Arial" w:hAnsi="Arial" w:cs="Arial"/>
          <w:sz w:val="22"/>
          <w:szCs w:val="22"/>
          <w:u w:val="single"/>
        </w:rPr>
        <w:t xml:space="preserve"> Justify Variation from OMB Guidelines</w:t>
      </w:r>
    </w:p>
    <w:p w:rsidRPr="00D51029" w:rsidR="004E6350" w:rsidP="00F57703" w:rsidRDefault="004E6350" w14:paraId="652C7A0E" w14:textId="77777777">
      <w:pPr>
        <w:keepNext/>
        <w:rPr>
          <w:rFonts w:ascii="Arial" w:hAnsi="Arial" w:cs="Arial"/>
          <w:sz w:val="22"/>
          <w:szCs w:val="22"/>
        </w:rPr>
      </w:pPr>
    </w:p>
    <w:p w:rsidRPr="00D51029" w:rsidR="004E6350" w:rsidP="00F57703" w:rsidRDefault="004E6350" w14:paraId="765346CC" w14:textId="77777777">
      <w:pPr>
        <w:keepNext/>
        <w:ind w:left="1440"/>
        <w:rPr>
          <w:rFonts w:ascii="Arial" w:hAnsi="Arial" w:cs="Arial"/>
          <w:sz w:val="22"/>
          <w:szCs w:val="22"/>
        </w:rPr>
      </w:pPr>
      <w:r w:rsidRPr="00D51029">
        <w:rPr>
          <w:rFonts w:ascii="Arial" w:hAnsi="Arial" w:cs="Arial"/>
          <w:sz w:val="22"/>
          <w:szCs w:val="22"/>
        </w:rPr>
        <w:t>There are two 10 CFR Part 54 information collection requirements which vary from OMB guidelines:</w:t>
      </w:r>
    </w:p>
    <w:p w:rsidRPr="00D51029" w:rsidR="004E6350" w:rsidP="00A53CFB" w:rsidRDefault="004E6350" w14:paraId="73CFE689" w14:textId="77777777">
      <w:pPr>
        <w:ind w:left="1440"/>
        <w:rPr>
          <w:rFonts w:ascii="Arial" w:hAnsi="Arial" w:cs="Arial"/>
          <w:sz w:val="22"/>
          <w:szCs w:val="22"/>
        </w:rPr>
      </w:pPr>
    </w:p>
    <w:p w:rsidRPr="00D51029" w:rsidR="004E6350" w:rsidP="00A53CFB" w:rsidRDefault="004E6350" w14:paraId="09CBFB4D" w14:textId="1DE035C8">
      <w:pPr>
        <w:ind w:left="2160" w:hanging="540"/>
        <w:rPr>
          <w:rFonts w:ascii="Arial" w:hAnsi="Arial" w:cs="Arial"/>
          <w:sz w:val="22"/>
          <w:szCs w:val="22"/>
        </w:rPr>
      </w:pPr>
      <w:r w:rsidRPr="00D51029">
        <w:rPr>
          <w:rFonts w:ascii="Arial" w:hAnsi="Arial" w:cs="Arial"/>
          <w:sz w:val="22"/>
          <w:szCs w:val="22"/>
        </w:rPr>
        <w:t>(1)</w:t>
      </w:r>
      <w:r w:rsidRPr="00D51029">
        <w:rPr>
          <w:rFonts w:ascii="Arial" w:hAnsi="Arial" w:cs="Arial"/>
          <w:sz w:val="22"/>
          <w:szCs w:val="22"/>
        </w:rPr>
        <w:tab/>
      </w:r>
      <w:bookmarkStart w:name="OLE_LINK5" w:id="0"/>
      <w:bookmarkStart w:name="OLE_LINK6" w:id="1"/>
      <w:r w:rsidRPr="00D51029">
        <w:rPr>
          <w:rFonts w:ascii="Arial" w:hAnsi="Arial" w:cs="Arial"/>
          <w:sz w:val="22"/>
          <w:szCs w:val="22"/>
        </w:rPr>
        <w:t xml:space="preserve">Per 10 CFR 54.13(b), </w:t>
      </w:r>
      <w:r w:rsidR="00A82152">
        <w:rPr>
          <w:rFonts w:ascii="Arial" w:hAnsi="Arial" w:cs="Arial"/>
          <w:sz w:val="22"/>
          <w:szCs w:val="22"/>
        </w:rPr>
        <w:t>applicants</w:t>
      </w:r>
      <w:r w:rsidRPr="00D51029" w:rsidR="00A82152">
        <w:rPr>
          <w:rFonts w:ascii="Arial" w:hAnsi="Arial" w:cs="Arial"/>
          <w:sz w:val="22"/>
          <w:szCs w:val="22"/>
        </w:rPr>
        <w:t xml:space="preserve"> </w:t>
      </w:r>
      <w:r w:rsidRPr="00D51029">
        <w:rPr>
          <w:rFonts w:ascii="Arial" w:hAnsi="Arial" w:cs="Arial"/>
          <w:sz w:val="22"/>
          <w:szCs w:val="22"/>
        </w:rPr>
        <w:t xml:space="preserve">must report to the NRC information </w:t>
      </w:r>
      <w:r w:rsidR="00F5528F">
        <w:rPr>
          <w:rFonts w:ascii="Arial" w:hAnsi="Arial" w:cs="Arial"/>
          <w:sz w:val="22"/>
          <w:szCs w:val="22"/>
        </w:rPr>
        <w:t xml:space="preserve">they </w:t>
      </w:r>
      <w:r w:rsidR="00F17C8A">
        <w:rPr>
          <w:rFonts w:ascii="Arial" w:hAnsi="Arial" w:cs="Arial"/>
          <w:sz w:val="22"/>
          <w:szCs w:val="22"/>
        </w:rPr>
        <w:t xml:space="preserve">identify as </w:t>
      </w:r>
      <w:r w:rsidRPr="00D51029">
        <w:rPr>
          <w:rFonts w:ascii="Arial" w:hAnsi="Arial" w:cs="Arial"/>
          <w:sz w:val="22"/>
          <w:szCs w:val="22"/>
        </w:rPr>
        <w:t xml:space="preserve">having a </w:t>
      </w:r>
      <w:r w:rsidR="00F17C8A">
        <w:rPr>
          <w:rFonts w:ascii="Arial" w:hAnsi="Arial" w:cs="Arial"/>
          <w:sz w:val="22"/>
          <w:szCs w:val="22"/>
        </w:rPr>
        <w:t>“</w:t>
      </w:r>
      <w:r w:rsidRPr="00D51029">
        <w:rPr>
          <w:rFonts w:ascii="Arial" w:hAnsi="Arial" w:cs="Arial"/>
          <w:sz w:val="22"/>
          <w:szCs w:val="22"/>
        </w:rPr>
        <w:t>significant implication for public health and safety or common defense and security</w:t>
      </w:r>
      <w:r w:rsidR="00F17C8A">
        <w:rPr>
          <w:rFonts w:ascii="Arial" w:hAnsi="Arial" w:cs="Arial"/>
          <w:sz w:val="22"/>
          <w:szCs w:val="22"/>
        </w:rPr>
        <w:t>”</w:t>
      </w:r>
      <w:r w:rsidRPr="009E61FF" w:rsidR="009E61FF">
        <w:rPr>
          <w:rFonts w:ascii="Arial" w:hAnsi="Arial" w:cs="Arial"/>
          <w:sz w:val="22"/>
          <w:szCs w:val="22"/>
        </w:rPr>
        <w:t xml:space="preserve"> </w:t>
      </w:r>
      <w:r w:rsidRPr="00D51029" w:rsidR="009E61FF">
        <w:rPr>
          <w:rFonts w:ascii="Arial" w:hAnsi="Arial" w:cs="Arial"/>
          <w:sz w:val="22"/>
          <w:szCs w:val="22"/>
        </w:rPr>
        <w:t>within two working days</w:t>
      </w:r>
      <w:r w:rsidRPr="00D51029">
        <w:rPr>
          <w:rFonts w:ascii="Arial" w:hAnsi="Arial" w:cs="Arial"/>
          <w:sz w:val="22"/>
          <w:szCs w:val="22"/>
        </w:rPr>
        <w:t xml:space="preserve">.  This reporting period is necessary so that </w:t>
      </w:r>
      <w:r w:rsidR="005B4A1F">
        <w:rPr>
          <w:rFonts w:ascii="Arial" w:hAnsi="Arial" w:cs="Arial"/>
          <w:sz w:val="22"/>
          <w:szCs w:val="22"/>
        </w:rPr>
        <w:t xml:space="preserve">the </w:t>
      </w:r>
      <w:r w:rsidRPr="00D51029">
        <w:rPr>
          <w:rFonts w:ascii="Arial" w:hAnsi="Arial" w:cs="Arial"/>
          <w:sz w:val="22"/>
          <w:szCs w:val="22"/>
        </w:rPr>
        <w:t xml:space="preserve">NRC is promptly informed </w:t>
      </w:r>
      <w:r w:rsidR="005B4A1F">
        <w:rPr>
          <w:rFonts w:ascii="Arial" w:hAnsi="Arial" w:cs="Arial"/>
          <w:sz w:val="22"/>
          <w:szCs w:val="22"/>
        </w:rPr>
        <w:t>of</w:t>
      </w:r>
      <w:r w:rsidRPr="00D51029" w:rsidR="005B4A1F">
        <w:rPr>
          <w:rFonts w:ascii="Arial" w:hAnsi="Arial" w:cs="Arial"/>
          <w:sz w:val="22"/>
          <w:szCs w:val="22"/>
        </w:rPr>
        <w:t xml:space="preserve"> </w:t>
      </w:r>
      <w:r w:rsidRPr="00D51029">
        <w:rPr>
          <w:rFonts w:ascii="Arial" w:hAnsi="Arial" w:cs="Arial"/>
          <w:sz w:val="22"/>
          <w:szCs w:val="22"/>
        </w:rPr>
        <w:t xml:space="preserve">such matters.  </w:t>
      </w:r>
      <w:r w:rsidRPr="00D51029">
        <w:rPr>
          <w:rFonts w:ascii="Arial" w:hAnsi="Arial" w:cs="Arial"/>
          <w:sz w:val="22"/>
          <w:szCs w:val="22"/>
        </w:rPr>
        <w:lastRenderedPageBreak/>
        <w:t xml:space="preserve">However, the NRC has not received a response to this information collection requirement </w:t>
      </w:r>
      <w:r w:rsidR="00B82DA8">
        <w:rPr>
          <w:rFonts w:ascii="Arial" w:hAnsi="Arial" w:cs="Arial"/>
          <w:sz w:val="22"/>
          <w:szCs w:val="22"/>
        </w:rPr>
        <w:t xml:space="preserve">during its past license renewal reviews </w:t>
      </w:r>
      <w:r w:rsidRPr="00D51029">
        <w:rPr>
          <w:rFonts w:ascii="Arial" w:hAnsi="Arial" w:cs="Arial"/>
          <w:sz w:val="22"/>
          <w:szCs w:val="22"/>
        </w:rPr>
        <w:t xml:space="preserve">and, therefore, estimates that </w:t>
      </w:r>
      <w:r w:rsidR="00B52430">
        <w:rPr>
          <w:rFonts w:ascii="Arial" w:hAnsi="Arial" w:cs="Arial"/>
          <w:sz w:val="22"/>
          <w:szCs w:val="22"/>
        </w:rPr>
        <w:t>no responses to 10 CFR 54.13(b) will be submitted during the clearance period</w:t>
      </w:r>
      <w:r w:rsidRPr="00D51029">
        <w:rPr>
          <w:rFonts w:ascii="Arial" w:hAnsi="Arial" w:cs="Arial"/>
          <w:sz w:val="22"/>
          <w:szCs w:val="22"/>
        </w:rPr>
        <w:t>.</w:t>
      </w:r>
      <w:bookmarkEnd w:id="0"/>
      <w:bookmarkEnd w:id="1"/>
    </w:p>
    <w:p w:rsidRPr="00D51029" w:rsidR="004E6350" w:rsidP="00A53CFB" w:rsidRDefault="004E6350" w14:paraId="7174713E" w14:textId="77777777">
      <w:pPr>
        <w:ind w:left="1440"/>
        <w:rPr>
          <w:rFonts w:ascii="Arial" w:hAnsi="Arial" w:cs="Arial"/>
          <w:sz w:val="22"/>
          <w:szCs w:val="22"/>
        </w:rPr>
      </w:pPr>
    </w:p>
    <w:p w:rsidR="004E6350" w:rsidP="00A53CFB" w:rsidRDefault="004E6350" w14:paraId="1B29412D" w14:textId="6A9C5C1C">
      <w:pPr>
        <w:ind w:left="2160" w:hanging="540"/>
        <w:rPr>
          <w:rFonts w:ascii="Arial" w:hAnsi="Arial" w:cs="Arial"/>
          <w:sz w:val="22"/>
          <w:szCs w:val="22"/>
        </w:rPr>
      </w:pPr>
      <w:r w:rsidRPr="00D51029">
        <w:rPr>
          <w:rFonts w:ascii="Arial" w:hAnsi="Arial" w:cs="Arial"/>
          <w:sz w:val="22"/>
          <w:szCs w:val="22"/>
        </w:rPr>
        <w:t>(2)</w:t>
      </w:r>
      <w:r w:rsidRPr="00D51029">
        <w:rPr>
          <w:rFonts w:ascii="Arial" w:hAnsi="Arial" w:cs="Arial"/>
          <w:sz w:val="22"/>
          <w:szCs w:val="22"/>
        </w:rPr>
        <w:tab/>
        <w:t xml:space="preserve">Per 10 CFR 54.37, a licensee must </w:t>
      </w:r>
      <w:r w:rsidR="001B0775">
        <w:rPr>
          <w:rFonts w:ascii="Arial" w:hAnsi="Arial" w:cs="Arial"/>
          <w:sz w:val="22"/>
          <w:szCs w:val="22"/>
        </w:rPr>
        <w:t>retain</w:t>
      </w:r>
      <w:r w:rsidRPr="00D51029" w:rsidR="001B0775">
        <w:rPr>
          <w:rFonts w:ascii="Arial" w:hAnsi="Arial" w:cs="Arial"/>
          <w:sz w:val="22"/>
          <w:szCs w:val="22"/>
        </w:rPr>
        <w:t xml:space="preserve"> </w:t>
      </w:r>
      <w:r w:rsidRPr="00D51029">
        <w:rPr>
          <w:rFonts w:ascii="Arial" w:hAnsi="Arial" w:cs="Arial"/>
          <w:sz w:val="22"/>
          <w:szCs w:val="22"/>
        </w:rPr>
        <w:t xml:space="preserve">records </w:t>
      </w:r>
      <w:r w:rsidR="005D70DC">
        <w:rPr>
          <w:rFonts w:ascii="Arial" w:hAnsi="Arial" w:cs="Arial"/>
          <w:sz w:val="22"/>
          <w:szCs w:val="22"/>
        </w:rPr>
        <w:t>pertaining to</w:t>
      </w:r>
      <w:r w:rsidR="00767184">
        <w:rPr>
          <w:rFonts w:ascii="Arial" w:hAnsi="Arial" w:cs="Arial"/>
          <w:sz w:val="22"/>
          <w:szCs w:val="22"/>
        </w:rPr>
        <w:t xml:space="preserve"> compliance with </w:t>
      </w:r>
      <w:r w:rsidR="00A06839">
        <w:rPr>
          <w:rFonts w:ascii="Arial" w:hAnsi="Arial" w:cs="Arial"/>
          <w:sz w:val="22"/>
          <w:szCs w:val="22"/>
        </w:rPr>
        <w:t xml:space="preserve">the regulations in </w:t>
      </w:r>
      <w:r w:rsidR="00767184">
        <w:rPr>
          <w:rFonts w:ascii="Arial" w:hAnsi="Arial" w:cs="Arial"/>
          <w:sz w:val="22"/>
          <w:szCs w:val="22"/>
        </w:rPr>
        <w:t>10 CFR Part 54</w:t>
      </w:r>
      <w:r w:rsidR="001C09BC">
        <w:rPr>
          <w:rFonts w:ascii="Arial" w:hAnsi="Arial" w:cs="Arial"/>
          <w:sz w:val="22"/>
          <w:szCs w:val="22"/>
        </w:rPr>
        <w:t xml:space="preserve"> </w:t>
      </w:r>
      <w:r w:rsidRPr="00D51029">
        <w:rPr>
          <w:rFonts w:ascii="Arial" w:hAnsi="Arial" w:cs="Arial"/>
          <w:sz w:val="22"/>
          <w:szCs w:val="22"/>
        </w:rPr>
        <w:t>throughout the term of a renewed license.  This retention period is necessary to make sure data are available for establishing equipment aging trends for managing the detrimental effects of aging on the functionality of certain SSCs, and to maintain an acceptable level of public health and safety.</w:t>
      </w:r>
    </w:p>
    <w:p w:rsidRPr="00D51029" w:rsidR="004E6350" w:rsidP="00A53CFB" w:rsidRDefault="004E6350" w14:paraId="18B61352" w14:textId="77777777">
      <w:pPr>
        <w:rPr>
          <w:rFonts w:ascii="Arial" w:hAnsi="Arial" w:cs="Arial"/>
          <w:sz w:val="22"/>
          <w:szCs w:val="22"/>
        </w:rPr>
      </w:pPr>
    </w:p>
    <w:p w:rsidRPr="00D51029" w:rsidR="004E6350" w:rsidP="00A53CFB" w:rsidRDefault="004E6350" w14:paraId="1C0FFE91" w14:textId="77777777">
      <w:pPr>
        <w:keepNext/>
        <w:keepLines/>
        <w:ind w:left="1440" w:hanging="720"/>
        <w:rPr>
          <w:rFonts w:ascii="Arial" w:hAnsi="Arial" w:cs="Arial"/>
          <w:sz w:val="22"/>
          <w:szCs w:val="22"/>
        </w:rPr>
      </w:pPr>
      <w:r w:rsidRPr="00D51029">
        <w:rPr>
          <w:rFonts w:ascii="Arial" w:hAnsi="Arial" w:cs="Arial"/>
          <w:sz w:val="22"/>
          <w:szCs w:val="22"/>
        </w:rPr>
        <w:t>8.</w:t>
      </w:r>
      <w:r w:rsidRPr="00D51029">
        <w:rPr>
          <w:rFonts w:ascii="Arial" w:hAnsi="Arial" w:cs="Arial"/>
          <w:sz w:val="22"/>
          <w:szCs w:val="22"/>
        </w:rPr>
        <w:tab/>
      </w:r>
      <w:r w:rsidRPr="00D51029">
        <w:rPr>
          <w:rFonts w:ascii="Arial" w:hAnsi="Arial" w:cs="Arial"/>
          <w:sz w:val="22"/>
          <w:szCs w:val="22"/>
          <w:u w:val="single"/>
        </w:rPr>
        <w:t>Consultations</w:t>
      </w:r>
      <w:r>
        <w:rPr>
          <w:rFonts w:ascii="Arial" w:hAnsi="Arial" w:cs="Arial"/>
          <w:sz w:val="22"/>
          <w:szCs w:val="22"/>
          <w:u w:val="single"/>
        </w:rPr>
        <w:t xml:space="preserve"> </w:t>
      </w:r>
      <w:r w:rsidRPr="00D51029">
        <w:rPr>
          <w:rFonts w:ascii="Arial" w:hAnsi="Arial" w:cs="Arial"/>
          <w:sz w:val="22"/>
          <w:szCs w:val="22"/>
          <w:u w:val="single"/>
        </w:rPr>
        <w:t>Outside the NRC</w:t>
      </w:r>
    </w:p>
    <w:p w:rsidRPr="008E7922" w:rsidR="004E6350" w:rsidP="00CC6ED2" w:rsidRDefault="004E6350" w14:paraId="2CA5C8FC" w14:textId="77777777">
      <w:pPr>
        <w:widowControl w:val="0"/>
        <w:ind w:left="1440"/>
        <w:rPr>
          <w:rFonts w:ascii="Arial" w:hAnsi="Arial" w:cs="Arial"/>
          <w:b/>
          <w:sz w:val="22"/>
          <w:szCs w:val="22"/>
        </w:rPr>
      </w:pPr>
    </w:p>
    <w:p w:rsidR="00795B53" w:rsidP="00795B53" w:rsidRDefault="00795B53" w14:paraId="0B9EEA09" w14:textId="46BF27EE">
      <w:pPr>
        <w:widowControl w:val="0"/>
        <w:ind w:left="1440"/>
        <w:rPr>
          <w:rFonts w:ascii="Arial" w:hAnsi="Arial" w:cs="Arial"/>
          <w:sz w:val="22"/>
          <w:szCs w:val="22"/>
        </w:rPr>
      </w:pPr>
      <w:r w:rsidRPr="00795B53">
        <w:rPr>
          <w:rFonts w:ascii="Arial" w:hAnsi="Arial" w:cs="Arial"/>
          <w:sz w:val="22"/>
          <w:szCs w:val="22"/>
        </w:rPr>
        <w:t>Opportunity for public comment on the information collection requirements for this clearance</w:t>
      </w:r>
      <w:r>
        <w:rPr>
          <w:rFonts w:ascii="Arial" w:hAnsi="Arial" w:cs="Arial"/>
          <w:sz w:val="22"/>
          <w:szCs w:val="22"/>
        </w:rPr>
        <w:t xml:space="preserve"> </w:t>
      </w:r>
      <w:r w:rsidRPr="00795B53">
        <w:rPr>
          <w:rFonts w:ascii="Arial" w:hAnsi="Arial" w:cs="Arial"/>
          <w:sz w:val="22"/>
          <w:szCs w:val="22"/>
        </w:rPr>
        <w:t xml:space="preserve">package was published in the Federal Register on </w:t>
      </w:r>
      <w:r w:rsidRPr="00795B53">
        <w:rPr>
          <w:rFonts w:ascii="Arial" w:hAnsi="Arial" w:cs="Arial"/>
          <w:sz w:val="22"/>
          <w:szCs w:val="22"/>
          <w:lang w:val="en-CA"/>
        </w:rPr>
        <w:t>May 19, 2021 (</w:t>
      </w:r>
      <w:r w:rsidRPr="00795B53">
        <w:rPr>
          <w:rFonts w:ascii="Arial" w:hAnsi="Arial" w:cs="Arial"/>
          <w:sz w:val="22"/>
          <w:szCs w:val="22"/>
        </w:rPr>
        <w:t>86 FR 27119).</w:t>
      </w:r>
      <w:r>
        <w:rPr>
          <w:rFonts w:ascii="Arial" w:hAnsi="Arial" w:cs="Arial"/>
          <w:sz w:val="22"/>
          <w:szCs w:val="22"/>
        </w:rPr>
        <w:t xml:space="preserve">  </w:t>
      </w:r>
      <w:r w:rsidRPr="00795B53">
        <w:rPr>
          <w:rFonts w:ascii="Arial" w:hAnsi="Arial" w:cs="Arial"/>
          <w:sz w:val="22"/>
          <w:szCs w:val="22"/>
        </w:rPr>
        <w:t>Additionally, NRC staff contacted four stakeholders via email. The stakeholders were</w:t>
      </w:r>
      <w:r w:rsidR="00255E00">
        <w:rPr>
          <w:rFonts w:ascii="Arial" w:hAnsi="Arial" w:cs="Arial"/>
          <w:sz w:val="22"/>
          <w:szCs w:val="22"/>
        </w:rPr>
        <w:t xml:space="preserve"> </w:t>
      </w:r>
      <w:r w:rsidRPr="00795B53">
        <w:rPr>
          <w:rFonts w:ascii="Arial" w:hAnsi="Arial" w:cs="Arial"/>
          <w:sz w:val="22"/>
          <w:szCs w:val="22"/>
        </w:rPr>
        <w:t>reactor owner licensee representatives and third-party interested stakeholders from Dominion Generation, Duke Energy Progress, LLC, Florida Power &amp; Light Co., and the Nuclear Energy Institute (NEI).</w:t>
      </w:r>
    </w:p>
    <w:p w:rsidR="00153772" w:rsidP="00795B53" w:rsidRDefault="00153772" w14:paraId="2E6B9E11" w14:textId="719BCC63">
      <w:pPr>
        <w:widowControl w:val="0"/>
        <w:ind w:left="1440"/>
        <w:rPr>
          <w:rFonts w:ascii="Arial" w:hAnsi="Arial" w:cs="Arial"/>
          <w:sz w:val="22"/>
          <w:szCs w:val="22"/>
        </w:rPr>
      </w:pPr>
    </w:p>
    <w:p w:rsidRPr="00795B53" w:rsidR="00153772" w:rsidP="00795B53" w:rsidRDefault="003C511F" w14:paraId="00FCE67C" w14:textId="0B238C15">
      <w:pPr>
        <w:widowControl w:val="0"/>
        <w:ind w:left="1440"/>
        <w:rPr>
          <w:rFonts w:ascii="Arial" w:hAnsi="Arial" w:cs="Arial"/>
          <w:sz w:val="22"/>
          <w:szCs w:val="22"/>
        </w:rPr>
      </w:pPr>
      <w:r>
        <w:rPr>
          <w:rFonts w:ascii="Arial" w:hAnsi="Arial" w:cs="Arial"/>
          <w:sz w:val="22"/>
          <w:szCs w:val="22"/>
        </w:rPr>
        <w:t>The NRC received three a</w:t>
      </w:r>
      <w:r w:rsidRPr="003C511F">
        <w:rPr>
          <w:rFonts w:ascii="Arial" w:hAnsi="Arial" w:cs="Arial"/>
          <w:sz w:val="22"/>
          <w:szCs w:val="22"/>
        </w:rPr>
        <w:t xml:space="preserve">nonymous </w:t>
      </w:r>
      <w:r w:rsidR="009223CB">
        <w:rPr>
          <w:rFonts w:ascii="Arial" w:hAnsi="Arial" w:cs="Arial"/>
          <w:sz w:val="22"/>
          <w:szCs w:val="22"/>
        </w:rPr>
        <w:t xml:space="preserve">out of scope comments.  </w:t>
      </w:r>
      <w:r w:rsidR="00153772">
        <w:rPr>
          <w:rFonts w:ascii="Arial" w:hAnsi="Arial" w:cs="Arial"/>
          <w:sz w:val="22"/>
          <w:szCs w:val="22"/>
        </w:rPr>
        <w:t xml:space="preserve">No </w:t>
      </w:r>
      <w:r w:rsidR="009223CB">
        <w:rPr>
          <w:rFonts w:ascii="Arial" w:hAnsi="Arial" w:cs="Arial"/>
          <w:sz w:val="22"/>
          <w:szCs w:val="22"/>
        </w:rPr>
        <w:t xml:space="preserve">additional </w:t>
      </w:r>
      <w:r w:rsidR="00153772">
        <w:rPr>
          <w:rFonts w:ascii="Arial" w:hAnsi="Arial" w:cs="Arial"/>
          <w:sz w:val="22"/>
          <w:szCs w:val="22"/>
        </w:rPr>
        <w:t>comments were received from the published FRN</w:t>
      </w:r>
      <w:r w:rsidR="00F91125">
        <w:rPr>
          <w:rFonts w:ascii="Arial" w:hAnsi="Arial" w:cs="Arial"/>
          <w:sz w:val="22"/>
          <w:szCs w:val="22"/>
        </w:rPr>
        <w:t xml:space="preserve"> or </w:t>
      </w:r>
      <w:proofErr w:type="gramStart"/>
      <w:r w:rsidR="00F91125">
        <w:rPr>
          <w:rFonts w:ascii="Arial" w:hAnsi="Arial" w:cs="Arial"/>
          <w:sz w:val="22"/>
          <w:szCs w:val="22"/>
        </w:rPr>
        <w:t>as a result of</w:t>
      </w:r>
      <w:proofErr w:type="gramEnd"/>
      <w:r w:rsidR="00F91125">
        <w:rPr>
          <w:rFonts w:ascii="Arial" w:hAnsi="Arial" w:cs="Arial"/>
          <w:sz w:val="22"/>
          <w:szCs w:val="22"/>
        </w:rPr>
        <w:t xml:space="preserve"> staff’s dir</w:t>
      </w:r>
      <w:r w:rsidR="00F901D3">
        <w:rPr>
          <w:rFonts w:ascii="Arial" w:hAnsi="Arial" w:cs="Arial"/>
          <w:sz w:val="22"/>
          <w:szCs w:val="22"/>
        </w:rPr>
        <w:t>ect solicitation for comment</w:t>
      </w:r>
      <w:r w:rsidR="00E75FB2">
        <w:rPr>
          <w:rFonts w:ascii="Arial" w:hAnsi="Arial" w:cs="Arial"/>
          <w:sz w:val="22"/>
          <w:szCs w:val="22"/>
        </w:rPr>
        <w:t>s</w:t>
      </w:r>
      <w:r w:rsidR="00F901D3">
        <w:rPr>
          <w:rFonts w:ascii="Arial" w:hAnsi="Arial" w:cs="Arial"/>
          <w:sz w:val="22"/>
          <w:szCs w:val="22"/>
        </w:rPr>
        <w:t>.</w:t>
      </w:r>
    </w:p>
    <w:p w:rsidR="004E6350" w:rsidP="00A53CFB" w:rsidRDefault="004E6350" w14:paraId="267FC81A" w14:textId="5EDE32D4">
      <w:pPr>
        <w:ind w:left="1440"/>
        <w:rPr>
          <w:rFonts w:ascii="Arial" w:hAnsi="Arial" w:cs="Arial"/>
          <w:sz w:val="22"/>
          <w:szCs w:val="22"/>
        </w:rPr>
      </w:pPr>
    </w:p>
    <w:p w:rsidRPr="00D51029" w:rsidR="004E6350" w:rsidP="00A53CFB" w:rsidRDefault="004E6350" w14:paraId="0F2C50CF" w14:textId="528FCC67">
      <w:pPr>
        <w:ind w:left="1440" w:hanging="720"/>
        <w:rPr>
          <w:rFonts w:ascii="Arial" w:hAnsi="Arial" w:cs="Arial"/>
          <w:sz w:val="22"/>
          <w:szCs w:val="22"/>
        </w:rPr>
      </w:pPr>
      <w:r w:rsidRPr="00D51029">
        <w:rPr>
          <w:rFonts w:ascii="Arial" w:hAnsi="Arial" w:cs="Arial"/>
          <w:sz w:val="22"/>
          <w:szCs w:val="22"/>
        </w:rPr>
        <w:t>9.</w:t>
      </w:r>
      <w:r w:rsidRPr="00D51029">
        <w:rPr>
          <w:rFonts w:ascii="Arial" w:hAnsi="Arial" w:cs="Arial"/>
          <w:sz w:val="22"/>
          <w:szCs w:val="22"/>
        </w:rPr>
        <w:tab/>
      </w:r>
      <w:r w:rsidRPr="00D51029">
        <w:rPr>
          <w:rFonts w:ascii="Arial" w:hAnsi="Arial" w:cs="Arial"/>
          <w:sz w:val="22"/>
          <w:szCs w:val="22"/>
          <w:u w:val="single"/>
        </w:rPr>
        <w:t>Payment of Gift to Respondents</w:t>
      </w:r>
    </w:p>
    <w:p w:rsidRPr="00D51029" w:rsidR="004E6350" w:rsidP="00A53CFB" w:rsidRDefault="004E6350" w14:paraId="3224D3FE" w14:textId="77777777">
      <w:pPr>
        <w:rPr>
          <w:rFonts w:ascii="Arial" w:hAnsi="Arial" w:cs="Arial"/>
          <w:sz w:val="22"/>
          <w:szCs w:val="22"/>
        </w:rPr>
      </w:pPr>
    </w:p>
    <w:p w:rsidRPr="00D51029" w:rsidR="004E6350" w:rsidP="00A53CFB" w:rsidRDefault="004E6350" w14:paraId="49E572FE" w14:textId="77777777">
      <w:pPr>
        <w:ind w:left="1440"/>
        <w:rPr>
          <w:rFonts w:ascii="Arial" w:hAnsi="Arial" w:cs="Arial"/>
          <w:sz w:val="22"/>
          <w:szCs w:val="22"/>
        </w:rPr>
      </w:pPr>
      <w:r w:rsidRPr="00D51029">
        <w:rPr>
          <w:rFonts w:ascii="Arial" w:hAnsi="Arial" w:cs="Arial"/>
          <w:sz w:val="22"/>
          <w:szCs w:val="22"/>
        </w:rPr>
        <w:t>Not applicable.</w:t>
      </w:r>
    </w:p>
    <w:p w:rsidRPr="00D51029" w:rsidR="004E6350" w:rsidP="00A53CFB" w:rsidRDefault="004E6350" w14:paraId="02794B33" w14:textId="77777777">
      <w:pPr>
        <w:ind w:left="1440"/>
        <w:rPr>
          <w:rFonts w:ascii="Arial" w:hAnsi="Arial" w:cs="Arial"/>
          <w:sz w:val="22"/>
          <w:szCs w:val="22"/>
        </w:rPr>
      </w:pPr>
    </w:p>
    <w:p w:rsidRPr="00D51029" w:rsidR="004E6350" w:rsidP="00A53CFB" w:rsidRDefault="004E6350" w14:paraId="02469D9A" w14:textId="77777777">
      <w:pPr>
        <w:ind w:left="1440" w:hanging="720"/>
        <w:rPr>
          <w:rFonts w:ascii="Arial" w:hAnsi="Arial" w:cs="Arial"/>
          <w:color w:val="000000"/>
          <w:sz w:val="22"/>
          <w:szCs w:val="22"/>
        </w:rPr>
      </w:pPr>
      <w:r w:rsidRPr="00D51029">
        <w:rPr>
          <w:rFonts w:ascii="Arial" w:hAnsi="Arial" w:cs="Arial"/>
          <w:color w:val="000000"/>
          <w:sz w:val="22"/>
          <w:szCs w:val="22"/>
        </w:rPr>
        <w:t>10.</w:t>
      </w:r>
      <w:r w:rsidRPr="00D51029">
        <w:rPr>
          <w:rFonts w:ascii="Arial" w:hAnsi="Arial" w:cs="Arial"/>
          <w:color w:val="000000"/>
          <w:sz w:val="22"/>
          <w:szCs w:val="22"/>
        </w:rPr>
        <w:tab/>
      </w:r>
      <w:r w:rsidRPr="00D51029">
        <w:rPr>
          <w:rFonts w:ascii="Arial" w:hAnsi="Arial" w:cs="Arial"/>
          <w:color w:val="000000"/>
          <w:sz w:val="22"/>
          <w:szCs w:val="22"/>
          <w:u w:val="single"/>
        </w:rPr>
        <w:t>Confidentiality of Information</w:t>
      </w:r>
    </w:p>
    <w:p w:rsidRPr="00D51029" w:rsidR="004E6350" w:rsidP="00A53CFB" w:rsidRDefault="004E6350" w14:paraId="6A18C7A8" w14:textId="77777777">
      <w:pPr>
        <w:rPr>
          <w:rFonts w:ascii="Arial" w:hAnsi="Arial" w:cs="Arial"/>
          <w:sz w:val="22"/>
          <w:szCs w:val="22"/>
        </w:rPr>
      </w:pPr>
    </w:p>
    <w:p w:rsidRPr="00D51029" w:rsidR="004E6350" w:rsidP="00A53CFB" w:rsidRDefault="004E6350" w14:paraId="53B05709" w14:textId="77777777">
      <w:pPr>
        <w:ind w:left="1440"/>
        <w:rPr>
          <w:rFonts w:ascii="Arial" w:hAnsi="Arial" w:cs="Arial"/>
          <w:sz w:val="22"/>
          <w:szCs w:val="22"/>
        </w:rPr>
      </w:pPr>
      <w:r w:rsidRPr="00D51029">
        <w:rPr>
          <w:rFonts w:ascii="Arial" w:hAnsi="Arial" w:cs="Arial"/>
          <w:sz w:val="22"/>
          <w:szCs w:val="22"/>
        </w:rPr>
        <w:t>Confidential and proprietary information is protected in accordance with NRC regulations at 10 CFR 9.17(a) and 10 CFR 2.390(b).</w:t>
      </w:r>
    </w:p>
    <w:p w:rsidRPr="00D51029" w:rsidR="004E6350" w:rsidP="00A53CFB" w:rsidRDefault="004E6350" w14:paraId="2F07D2C1" w14:textId="77777777">
      <w:pPr>
        <w:rPr>
          <w:rFonts w:ascii="Arial" w:hAnsi="Arial" w:cs="Arial"/>
          <w:sz w:val="22"/>
          <w:szCs w:val="22"/>
        </w:rPr>
      </w:pPr>
    </w:p>
    <w:p w:rsidRPr="00D51029" w:rsidR="004E6350" w:rsidP="00A53CFB" w:rsidRDefault="004E6350" w14:paraId="5A2D11D3" w14:textId="77777777">
      <w:pPr>
        <w:keepNext/>
        <w:ind w:left="1440" w:hanging="720"/>
        <w:rPr>
          <w:rFonts w:ascii="Arial" w:hAnsi="Arial" w:cs="Arial"/>
          <w:sz w:val="22"/>
          <w:szCs w:val="22"/>
          <w:u w:val="single"/>
        </w:rPr>
      </w:pPr>
      <w:r w:rsidRPr="00D51029">
        <w:rPr>
          <w:rFonts w:ascii="Arial" w:hAnsi="Arial" w:cs="Arial"/>
          <w:sz w:val="22"/>
          <w:szCs w:val="22"/>
        </w:rPr>
        <w:t>11.</w:t>
      </w:r>
      <w:r w:rsidRPr="00D51029">
        <w:rPr>
          <w:rFonts w:ascii="Arial" w:hAnsi="Arial" w:cs="Arial"/>
          <w:sz w:val="22"/>
          <w:szCs w:val="22"/>
        </w:rPr>
        <w:tab/>
      </w:r>
      <w:r w:rsidRPr="00D51029">
        <w:rPr>
          <w:rFonts w:ascii="Arial" w:hAnsi="Arial" w:cs="Arial"/>
          <w:sz w:val="22"/>
          <w:szCs w:val="22"/>
          <w:u w:val="single"/>
        </w:rPr>
        <w:t>Justification for Sensitive Questions</w:t>
      </w:r>
    </w:p>
    <w:p w:rsidRPr="00D51029" w:rsidR="004E6350" w:rsidP="00A53CFB" w:rsidRDefault="004E6350" w14:paraId="0E11B215" w14:textId="77777777">
      <w:pPr>
        <w:keepNext/>
        <w:rPr>
          <w:rFonts w:ascii="Arial" w:hAnsi="Arial" w:cs="Arial"/>
          <w:sz w:val="22"/>
          <w:szCs w:val="22"/>
        </w:rPr>
      </w:pPr>
    </w:p>
    <w:p w:rsidRPr="00D51029" w:rsidR="004E6350" w:rsidP="00A53CFB" w:rsidRDefault="004E6350" w14:paraId="57E98EB8" w14:textId="77777777">
      <w:pPr>
        <w:ind w:left="1440"/>
        <w:rPr>
          <w:rFonts w:ascii="Arial" w:hAnsi="Arial" w:cs="Arial"/>
          <w:sz w:val="22"/>
          <w:szCs w:val="22"/>
        </w:rPr>
      </w:pPr>
      <w:r w:rsidRPr="00D51029">
        <w:rPr>
          <w:rFonts w:ascii="Arial" w:hAnsi="Arial" w:cs="Arial"/>
          <w:sz w:val="22"/>
          <w:szCs w:val="22"/>
        </w:rPr>
        <w:t>Not applicable.</w:t>
      </w:r>
    </w:p>
    <w:p w:rsidRPr="007957EE" w:rsidR="004E6350" w:rsidP="00A53CFB" w:rsidRDefault="004E6350" w14:paraId="36150070" w14:textId="77777777">
      <w:pPr>
        <w:rPr>
          <w:rFonts w:ascii="Arial" w:hAnsi="Arial" w:cs="Arial"/>
          <w:sz w:val="22"/>
          <w:szCs w:val="22"/>
        </w:rPr>
      </w:pPr>
    </w:p>
    <w:p w:rsidRPr="007957EE" w:rsidR="004E6350" w:rsidP="00532932" w:rsidRDefault="004E6350" w14:paraId="5EBE8920" w14:textId="60B8C4E9">
      <w:pPr>
        <w:keepNext/>
        <w:ind w:left="1440" w:hanging="720"/>
        <w:rPr>
          <w:rFonts w:ascii="Arial" w:hAnsi="Arial" w:cs="Arial"/>
          <w:sz w:val="22"/>
          <w:szCs w:val="22"/>
        </w:rPr>
      </w:pPr>
      <w:r w:rsidRPr="007957EE">
        <w:rPr>
          <w:rFonts w:ascii="Arial" w:hAnsi="Arial" w:cs="Arial"/>
          <w:sz w:val="22"/>
          <w:szCs w:val="22"/>
        </w:rPr>
        <w:t>12.</w:t>
      </w:r>
      <w:r w:rsidRPr="007957EE">
        <w:rPr>
          <w:rFonts w:ascii="Arial" w:hAnsi="Arial" w:cs="Arial"/>
          <w:sz w:val="22"/>
          <w:szCs w:val="22"/>
        </w:rPr>
        <w:tab/>
      </w:r>
      <w:r w:rsidRPr="007957EE">
        <w:rPr>
          <w:rFonts w:ascii="Arial" w:hAnsi="Arial" w:cs="Arial"/>
          <w:sz w:val="22"/>
          <w:szCs w:val="22"/>
          <w:u w:val="single"/>
        </w:rPr>
        <w:t>Estimated Industry Burden and Burden Hour Cost</w:t>
      </w:r>
    </w:p>
    <w:p w:rsidRPr="007957EE" w:rsidR="004E6350" w:rsidP="00532932" w:rsidRDefault="004E6350" w14:paraId="4E9F728E" w14:textId="77777777">
      <w:pPr>
        <w:keepNext/>
        <w:rPr>
          <w:rFonts w:ascii="Arial" w:hAnsi="Arial" w:cs="Arial"/>
          <w:sz w:val="22"/>
          <w:szCs w:val="22"/>
        </w:rPr>
      </w:pPr>
    </w:p>
    <w:p w:rsidR="00716140" w:rsidP="00716140" w:rsidRDefault="004E6350" w14:paraId="6B28AEC2" w14:textId="0B869550">
      <w:pPr>
        <w:ind w:left="1440"/>
        <w:rPr>
          <w:rFonts w:ascii="Arial" w:hAnsi="Arial" w:cs="Arial"/>
          <w:sz w:val="22"/>
          <w:szCs w:val="22"/>
        </w:rPr>
      </w:pPr>
      <w:r w:rsidRPr="00D51029">
        <w:rPr>
          <w:rFonts w:ascii="Arial" w:hAnsi="Arial" w:cs="Arial"/>
          <w:sz w:val="22"/>
          <w:szCs w:val="22"/>
        </w:rPr>
        <w:t xml:space="preserve">During the clearance period, respondents will incur burdens for submitting </w:t>
      </w:r>
      <w:r w:rsidR="00AA33E1">
        <w:rPr>
          <w:rFonts w:ascii="Arial" w:hAnsi="Arial" w:cs="Arial"/>
          <w:sz w:val="22"/>
          <w:szCs w:val="22"/>
        </w:rPr>
        <w:t xml:space="preserve">applications and </w:t>
      </w:r>
      <w:r w:rsidRPr="00D51029">
        <w:rPr>
          <w:rFonts w:ascii="Arial" w:hAnsi="Arial" w:cs="Arial"/>
          <w:sz w:val="22"/>
          <w:szCs w:val="22"/>
        </w:rPr>
        <w:t>reports</w:t>
      </w:r>
      <w:r w:rsidR="00AA33E1">
        <w:rPr>
          <w:rFonts w:ascii="Arial" w:hAnsi="Arial" w:cs="Arial"/>
          <w:sz w:val="22"/>
          <w:szCs w:val="22"/>
        </w:rPr>
        <w:t>,</w:t>
      </w:r>
      <w:r w:rsidRPr="00D51029">
        <w:rPr>
          <w:rFonts w:ascii="Arial" w:hAnsi="Arial" w:cs="Arial"/>
          <w:sz w:val="22"/>
          <w:szCs w:val="22"/>
        </w:rPr>
        <w:t xml:space="preserve"> and for </w:t>
      </w:r>
      <w:r w:rsidR="00E003B5">
        <w:rPr>
          <w:rFonts w:ascii="Arial" w:hAnsi="Arial" w:cs="Arial"/>
          <w:sz w:val="22"/>
          <w:szCs w:val="22"/>
        </w:rPr>
        <w:t>record</w:t>
      </w:r>
      <w:r w:rsidRPr="00D51029">
        <w:rPr>
          <w:rFonts w:ascii="Arial" w:hAnsi="Arial" w:cs="Arial"/>
          <w:sz w:val="22"/>
          <w:szCs w:val="22"/>
        </w:rPr>
        <w:t xml:space="preserve">keeping.  </w:t>
      </w:r>
      <w:r w:rsidR="00DC52DD">
        <w:rPr>
          <w:rFonts w:ascii="Arial" w:hAnsi="Arial" w:cs="Arial"/>
          <w:sz w:val="22"/>
          <w:szCs w:val="22"/>
        </w:rPr>
        <w:t xml:space="preserve">The </w:t>
      </w:r>
      <w:r w:rsidRPr="00D51029">
        <w:rPr>
          <w:rFonts w:ascii="Arial" w:hAnsi="Arial" w:cs="Arial"/>
          <w:sz w:val="22"/>
          <w:szCs w:val="22"/>
        </w:rPr>
        <w:t xml:space="preserve">NRC estimates that the paperwork burden may vary widely among nuclear power plant licensees.  </w:t>
      </w:r>
      <w:r w:rsidR="00DC52DD">
        <w:rPr>
          <w:rFonts w:ascii="Arial" w:hAnsi="Arial" w:cs="Arial"/>
          <w:sz w:val="22"/>
          <w:szCs w:val="22"/>
        </w:rPr>
        <w:t>Each nuclear power plant is unique,</w:t>
      </w:r>
      <w:r w:rsidRPr="00D51029">
        <w:rPr>
          <w:rFonts w:ascii="Arial" w:hAnsi="Arial" w:cs="Arial"/>
          <w:sz w:val="22"/>
          <w:szCs w:val="22"/>
        </w:rPr>
        <w:t xml:space="preserve"> and the programs employed by individual plants, while similar, are not identical.  </w:t>
      </w:r>
      <w:r w:rsidR="004A1630">
        <w:rPr>
          <w:rFonts w:ascii="Arial" w:hAnsi="Arial" w:cs="Arial"/>
          <w:sz w:val="22"/>
          <w:szCs w:val="22"/>
        </w:rPr>
        <w:t xml:space="preserve">The </w:t>
      </w:r>
      <w:r w:rsidRPr="00D51029">
        <w:rPr>
          <w:rFonts w:ascii="Arial" w:hAnsi="Arial" w:cs="Arial"/>
          <w:sz w:val="22"/>
          <w:szCs w:val="22"/>
        </w:rPr>
        <w:t>NRC’s assumptions, methodology, and results for estimating the paperwork burdens follow.</w:t>
      </w:r>
    </w:p>
    <w:p w:rsidR="00716140" w:rsidP="00CC6ED2" w:rsidRDefault="00716140" w14:paraId="06049452" w14:textId="0EE3BC87">
      <w:pPr>
        <w:ind w:left="1440"/>
        <w:rPr>
          <w:rFonts w:ascii="Arial" w:hAnsi="Arial" w:cs="Arial"/>
          <w:sz w:val="22"/>
          <w:szCs w:val="22"/>
        </w:rPr>
      </w:pPr>
    </w:p>
    <w:p w:rsidRPr="00D51029" w:rsidR="00716140" w:rsidP="00CC6ED2" w:rsidRDefault="00716140" w14:paraId="65E20870" w14:textId="77777777">
      <w:pPr>
        <w:ind w:left="1440"/>
        <w:rPr>
          <w:rFonts w:ascii="Arial" w:hAnsi="Arial" w:cs="Arial"/>
          <w:sz w:val="22"/>
          <w:szCs w:val="22"/>
        </w:rPr>
      </w:pPr>
    </w:p>
    <w:p w:rsidRPr="00D51029" w:rsidR="004E6350" w:rsidP="00CC6ED2" w:rsidRDefault="004E6350" w14:paraId="22BE1DD3" w14:textId="1B342DD9">
      <w:pPr>
        <w:keepNext/>
        <w:ind w:left="1440"/>
        <w:rPr>
          <w:rFonts w:ascii="Arial" w:hAnsi="Arial" w:cs="Arial"/>
          <w:sz w:val="22"/>
          <w:szCs w:val="22"/>
          <w:u w:val="single"/>
        </w:rPr>
      </w:pPr>
      <w:r w:rsidRPr="00D51029">
        <w:rPr>
          <w:rFonts w:ascii="Arial" w:hAnsi="Arial" w:cs="Arial"/>
          <w:sz w:val="22"/>
          <w:szCs w:val="22"/>
          <w:u w:val="single"/>
        </w:rPr>
        <w:lastRenderedPageBreak/>
        <w:t>Reporting Burden</w:t>
      </w:r>
    </w:p>
    <w:p w:rsidRPr="00D51029" w:rsidR="004E6350" w:rsidP="00F57703" w:rsidRDefault="004E6350" w14:paraId="728AF6B3" w14:textId="77777777">
      <w:pPr>
        <w:keepNext/>
        <w:ind w:left="1440"/>
        <w:rPr>
          <w:rFonts w:ascii="Arial" w:hAnsi="Arial" w:cs="Arial"/>
          <w:sz w:val="22"/>
          <w:szCs w:val="22"/>
        </w:rPr>
      </w:pPr>
    </w:p>
    <w:p w:rsidRPr="00D51029" w:rsidR="004E6350" w:rsidP="00F57703" w:rsidRDefault="004E6350" w14:paraId="58272311" w14:textId="451ACA32">
      <w:pPr>
        <w:keepNext/>
        <w:ind w:left="1440"/>
        <w:rPr>
          <w:rFonts w:ascii="Arial" w:hAnsi="Arial" w:cs="Arial"/>
          <w:sz w:val="22"/>
          <w:szCs w:val="22"/>
        </w:rPr>
      </w:pPr>
      <w:r w:rsidRPr="00D51029">
        <w:rPr>
          <w:rFonts w:ascii="Arial" w:hAnsi="Arial" w:cs="Arial"/>
          <w:sz w:val="22"/>
          <w:szCs w:val="22"/>
        </w:rPr>
        <w:t xml:space="preserve">There are </w:t>
      </w:r>
      <w:r w:rsidR="0059749D">
        <w:rPr>
          <w:rFonts w:ascii="Arial" w:hAnsi="Arial" w:cs="Arial"/>
          <w:sz w:val="22"/>
          <w:szCs w:val="22"/>
        </w:rPr>
        <w:t xml:space="preserve">three </w:t>
      </w:r>
      <w:r w:rsidRPr="00D51029">
        <w:rPr>
          <w:rFonts w:ascii="Arial" w:hAnsi="Arial" w:cs="Arial"/>
          <w:sz w:val="22"/>
          <w:szCs w:val="22"/>
        </w:rPr>
        <w:t>reporting burdens:</w:t>
      </w:r>
    </w:p>
    <w:p w:rsidRPr="00D51029" w:rsidR="004E6350" w:rsidP="00F57703" w:rsidRDefault="004E6350" w14:paraId="70792EB2" w14:textId="77777777">
      <w:pPr>
        <w:keepNext/>
        <w:ind w:left="1440"/>
        <w:rPr>
          <w:rFonts w:ascii="Arial" w:hAnsi="Arial" w:cs="Arial"/>
          <w:sz w:val="22"/>
          <w:szCs w:val="22"/>
        </w:rPr>
      </w:pPr>
    </w:p>
    <w:p w:rsidRPr="00D51029" w:rsidR="004E6350" w:rsidP="00CC6ED2" w:rsidRDefault="004E6350" w14:paraId="7401559A" w14:textId="35976AF1">
      <w:pPr>
        <w:ind w:left="2160" w:hanging="540"/>
        <w:rPr>
          <w:rFonts w:ascii="Arial" w:hAnsi="Arial" w:cs="Arial"/>
          <w:sz w:val="22"/>
          <w:szCs w:val="22"/>
        </w:rPr>
      </w:pPr>
      <w:r w:rsidRPr="00D51029">
        <w:rPr>
          <w:rFonts w:ascii="Arial" w:hAnsi="Arial" w:cs="Arial"/>
          <w:sz w:val="22"/>
          <w:szCs w:val="22"/>
        </w:rPr>
        <w:t>(1)</w:t>
      </w:r>
      <w:r w:rsidRPr="00D51029">
        <w:rPr>
          <w:rFonts w:ascii="Arial" w:hAnsi="Arial" w:cs="Arial"/>
          <w:sz w:val="22"/>
          <w:szCs w:val="22"/>
        </w:rPr>
        <w:tab/>
        <w:t xml:space="preserve">The first reporting burden covers all </w:t>
      </w:r>
      <w:r w:rsidR="00051E81">
        <w:rPr>
          <w:rFonts w:ascii="Arial" w:hAnsi="Arial" w:cs="Arial"/>
          <w:sz w:val="22"/>
          <w:szCs w:val="22"/>
        </w:rPr>
        <w:t>applicant</w:t>
      </w:r>
      <w:r w:rsidRPr="00D51029" w:rsidR="00051E81">
        <w:rPr>
          <w:rFonts w:ascii="Arial" w:hAnsi="Arial" w:cs="Arial"/>
          <w:sz w:val="22"/>
          <w:szCs w:val="22"/>
        </w:rPr>
        <w:t xml:space="preserve"> </w:t>
      </w:r>
      <w:r w:rsidRPr="00D51029">
        <w:rPr>
          <w:rFonts w:ascii="Arial" w:hAnsi="Arial" w:cs="Arial"/>
          <w:sz w:val="22"/>
          <w:szCs w:val="22"/>
        </w:rPr>
        <w:t xml:space="preserve">efforts associated with preparing </w:t>
      </w:r>
      <w:r w:rsidR="00DC52DD">
        <w:rPr>
          <w:rFonts w:ascii="Arial" w:hAnsi="Arial" w:cs="Arial"/>
          <w:sz w:val="22"/>
          <w:szCs w:val="22"/>
        </w:rPr>
        <w:t xml:space="preserve">an </w:t>
      </w:r>
      <w:r w:rsidRPr="000C401B" w:rsidR="00DC52DD">
        <w:rPr>
          <w:rFonts w:ascii="Arial" w:hAnsi="Arial" w:cs="Arial"/>
          <w:sz w:val="22"/>
          <w:szCs w:val="22"/>
          <w:u w:val="single"/>
        </w:rPr>
        <w:t>initial</w:t>
      </w:r>
      <w:r w:rsidRPr="00D51029" w:rsidR="00DC52DD">
        <w:rPr>
          <w:rFonts w:ascii="Arial" w:hAnsi="Arial" w:cs="Arial"/>
          <w:sz w:val="22"/>
          <w:szCs w:val="22"/>
        </w:rPr>
        <w:t xml:space="preserve"> </w:t>
      </w:r>
      <w:r w:rsidRPr="00D51029">
        <w:rPr>
          <w:rFonts w:ascii="Arial" w:hAnsi="Arial" w:cs="Arial"/>
          <w:sz w:val="22"/>
          <w:szCs w:val="22"/>
        </w:rPr>
        <w:t xml:space="preserve">license renewal application and submitting amendments to the application during the review process.  </w:t>
      </w:r>
    </w:p>
    <w:p w:rsidRPr="00D51029" w:rsidR="004E6350" w:rsidP="00CC6ED2" w:rsidRDefault="004E6350" w14:paraId="723DE75C" w14:textId="77777777">
      <w:pPr>
        <w:ind w:left="2160"/>
        <w:rPr>
          <w:rFonts w:ascii="Arial" w:hAnsi="Arial" w:cs="Arial"/>
          <w:sz w:val="22"/>
          <w:szCs w:val="22"/>
        </w:rPr>
      </w:pPr>
    </w:p>
    <w:p w:rsidR="001B18DE" w:rsidP="00CC6ED2" w:rsidRDefault="001B18DE" w14:paraId="379FD047" w14:textId="5478F9FD">
      <w:pPr>
        <w:ind w:left="2160"/>
        <w:rPr>
          <w:rFonts w:ascii="Arial" w:hAnsi="Arial" w:cs="Arial"/>
          <w:sz w:val="22"/>
          <w:szCs w:val="22"/>
        </w:rPr>
      </w:pPr>
      <w:r w:rsidRPr="00E437DE">
        <w:rPr>
          <w:rFonts w:ascii="Arial" w:hAnsi="Arial" w:cs="Arial"/>
          <w:sz w:val="22"/>
          <w:szCs w:val="22"/>
        </w:rPr>
        <w:t xml:space="preserve">To calculate the annualized reporting burden, </w:t>
      </w:r>
      <w:r>
        <w:rPr>
          <w:rFonts w:ascii="Arial" w:hAnsi="Arial" w:cs="Arial"/>
          <w:sz w:val="22"/>
          <w:szCs w:val="22"/>
        </w:rPr>
        <w:t xml:space="preserve">the NRC assigned </w:t>
      </w:r>
      <w:r w:rsidR="00CA1490">
        <w:rPr>
          <w:rFonts w:ascii="Arial" w:hAnsi="Arial" w:cs="Arial"/>
          <w:sz w:val="22"/>
          <w:szCs w:val="22"/>
        </w:rPr>
        <w:t>all</w:t>
      </w:r>
      <w:r>
        <w:rPr>
          <w:rFonts w:ascii="Arial" w:hAnsi="Arial" w:cs="Arial"/>
          <w:sz w:val="22"/>
          <w:szCs w:val="22"/>
        </w:rPr>
        <w:t xml:space="preserve"> the hours associated with preparing and reviewing an application</w:t>
      </w:r>
      <w:r w:rsidR="00B83A19">
        <w:rPr>
          <w:rFonts w:ascii="Arial" w:hAnsi="Arial" w:cs="Arial"/>
          <w:sz w:val="22"/>
          <w:szCs w:val="22"/>
        </w:rPr>
        <w:t xml:space="preserve"> </w:t>
      </w:r>
      <w:r>
        <w:rPr>
          <w:rFonts w:ascii="Arial" w:hAnsi="Arial" w:cs="Arial"/>
          <w:sz w:val="22"/>
          <w:szCs w:val="22"/>
        </w:rPr>
        <w:t xml:space="preserve">to the year in which an application is submitted.  Licensees generally begin preparing their applications 24 to 30 months before submitting them, and the staff’s review of an application spans approximately 18 months.  Estimating only those hours expended for all in-house reviews during a particular clearance period would be onerous and prone to error and, with a relatively stable pace of applications in the pipeline, unnecessary.  By including all hours associated with a single SLRA review in the year it was submitted, </w:t>
      </w:r>
      <w:r w:rsidR="00446E17">
        <w:rPr>
          <w:rFonts w:ascii="Arial" w:hAnsi="Arial" w:cs="Arial"/>
          <w:sz w:val="22"/>
          <w:szCs w:val="22"/>
        </w:rPr>
        <w:t>it effectively captures hours from reviews initiated during the previous clearance period that continue into this period, and removes the need for us to consider in future clearance requests activities that begin during this period and continue into those clearance</w:t>
      </w:r>
      <w:r>
        <w:rPr>
          <w:rFonts w:ascii="Arial" w:hAnsi="Arial" w:cs="Arial"/>
          <w:sz w:val="22"/>
          <w:szCs w:val="22"/>
        </w:rPr>
        <w:t xml:space="preserve"> </w:t>
      </w:r>
      <w:r w:rsidR="007D04C9">
        <w:rPr>
          <w:rFonts w:ascii="Arial" w:hAnsi="Arial" w:cs="Arial"/>
          <w:sz w:val="22"/>
          <w:szCs w:val="22"/>
        </w:rPr>
        <w:t>periods</w:t>
      </w:r>
      <w:r>
        <w:rPr>
          <w:rFonts w:ascii="Arial" w:hAnsi="Arial" w:cs="Arial"/>
          <w:sz w:val="22"/>
          <w:szCs w:val="22"/>
        </w:rPr>
        <w:t xml:space="preserve">.  An exception to this is the completion letter, which is a discrete event and easily timed, and which has been included as a separate reporting burden in previous clearance extension requests.  This burden is discussed in paragraph </w:t>
      </w:r>
      <w:r w:rsidR="005664A7">
        <w:rPr>
          <w:rFonts w:ascii="Arial" w:hAnsi="Arial" w:cs="Arial"/>
          <w:sz w:val="22"/>
          <w:szCs w:val="22"/>
        </w:rPr>
        <w:t xml:space="preserve">(3) </w:t>
      </w:r>
      <w:r>
        <w:rPr>
          <w:rFonts w:ascii="Arial" w:hAnsi="Arial" w:cs="Arial"/>
          <w:sz w:val="22"/>
          <w:szCs w:val="22"/>
        </w:rPr>
        <w:t>below.</w:t>
      </w:r>
    </w:p>
    <w:p w:rsidR="001B18DE" w:rsidP="00CC6ED2" w:rsidRDefault="001B18DE" w14:paraId="1420B6A2" w14:textId="77777777">
      <w:pPr>
        <w:ind w:left="2160"/>
        <w:rPr>
          <w:rFonts w:ascii="Arial" w:hAnsi="Arial" w:cs="Arial"/>
          <w:sz w:val="22"/>
          <w:szCs w:val="22"/>
        </w:rPr>
      </w:pPr>
    </w:p>
    <w:p w:rsidRPr="00D51029" w:rsidR="005C02A2" w:rsidP="00CC6ED2" w:rsidRDefault="00E5374B" w14:paraId="720D42AD" w14:textId="18DE4FED">
      <w:pPr>
        <w:ind w:left="2160"/>
        <w:rPr>
          <w:rFonts w:ascii="Arial" w:hAnsi="Arial" w:cs="Arial"/>
          <w:sz w:val="22"/>
          <w:szCs w:val="22"/>
        </w:rPr>
      </w:pPr>
      <w:r>
        <w:rPr>
          <w:rFonts w:ascii="Arial" w:hAnsi="Arial" w:cs="Arial"/>
          <w:sz w:val="22"/>
          <w:szCs w:val="22"/>
        </w:rPr>
        <w:t xml:space="preserve">The </w:t>
      </w:r>
      <w:r w:rsidRPr="00D51029" w:rsidR="004E6350">
        <w:rPr>
          <w:rFonts w:ascii="Arial" w:hAnsi="Arial" w:cs="Arial"/>
          <w:sz w:val="22"/>
          <w:szCs w:val="22"/>
        </w:rPr>
        <w:t xml:space="preserve">NRC estimates that </w:t>
      </w:r>
      <w:r w:rsidR="001E419C">
        <w:rPr>
          <w:rFonts w:ascii="Arial" w:hAnsi="Arial" w:cs="Arial"/>
          <w:sz w:val="22"/>
          <w:szCs w:val="22"/>
        </w:rPr>
        <w:t xml:space="preserve">the </w:t>
      </w:r>
      <w:r w:rsidR="003267A0">
        <w:rPr>
          <w:rFonts w:ascii="Arial" w:hAnsi="Arial" w:cs="Arial"/>
          <w:sz w:val="22"/>
          <w:szCs w:val="22"/>
        </w:rPr>
        <w:t xml:space="preserve">average </w:t>
      </w:r>
      <w:r w:rsidR="001E419C">
        <w:rPr>
          <w:rFonts w:ascii="Arial" w:hAnsi="Arial" w:cs="Arial"/>
          <w:sz w:val="22"/>
          <w:szCs w:val="22"/>
        </w:rPr>
        <w:t xml:space="preserve">burden for preparing, submitting, and amending </w:t>
      </w:r>
      <w:r w:rsidR="00DC52DD">
        <w:rPr>
          <w:rFonts w:ascii="Arial" w:hAnsi="Arial" w:cs="Arial"/>
          <w:sz w:val="22"/>
          <w:szCs w:val="22"/>
        </w:rPr>
        <w:t xml:space="preserve">an initial </w:t>
      </w:r>
      <w:r w:rsidR="001E419C">
        <w:rPr>
          <w:rFonts w:ascii="Arial" w:hAnsi="Arial" w:cs="Arial"/>
          <w:sz w:val="22"/>
          <w:szCs w:val="22"/>
        </w:rPr>
        <w:t xml:space="preserve">license renewal application </w:t>
      </w:r>
      <w:r w:rsidR="00D65126">
        <w:rPr>
          <w:rFonts w:ascii="Arial" w:hAnsi="Arial" w:cs="Arial"/>
          <w:sz w:val="22"/>
          <w:szCs w:val="22"/>
        </w:rPr>
        <w:t>is</w:t>
      </w:r>
      <w:r w:rsidR="00956153">
        <w:rPr>
          <w:rFonts w:ascii="Arial" w:hAnsi="Arial" w:cs="Arial"/>
          <w:sz w:val="22"/>
          <w:szCs w:val="22"/>
        </w:rPr>
        <w:t xml:space="preserve"> </w:t>
      </w:r>
      <w:r w:rsidRPr="00D51029" w:rsidR="004E6350">
        <w:rPr>
          <w:rFonts w:ascii="Arial" w:hAnsi="Arial" w:cs="Arial"/>
          <w:sz w:val="22"/>
          <w:szCs w:val="22"/>
        </w:rPr>
        <w:t>8</w:t>
      </w:r>
      <w:r w:rsidR="00C065CD">
        <w:rPr>
          <w:rFonts w:ascii="Arial" w:hAnsi="Arial" w:cs="Arial"/>
          <w:sz w:val="22"/>
          <w:szCs w:val="22"/>
        </w:rPr>
        <w:t>1</w:t>
      </w:r>
      <w:r w:rsidRPr="00D51029" w:rsidR="004E6350">
        <w:rPr>
          <w:rFonts w:ascii="Arial" w:hAnsi="Arial" w:cs="Arial"/>
          <w:sz w:val="22"/>
          <w:szCs w:val="22"/>
        </w:rPr>
        <w:t>,</w:t>
      </w:r>
      <w:r w:rsidR="002024D2">
        <w:rPr>
          <w:rFonts w:ascii="Arial" w:hAnsi="Arial" w:cs="Arial"/>
          <w:sz w:val="22"/>
          <w:szCs w:val="22"/>
        </w:rPr>
        <w:t>1</w:t>
      </w:r>
      <w:r w:rsidRPr="00D51029" w:rsidR="004E6350">
        <w:rPr>
          <w:rFonts w:ascii="Arial" w:hAnsi="Arial" w:cs="Arial"/>
          <w:sz w:val="22"/>
          <w:szCs w:val="22"/>
        </w:rPr>
        <w:t>50</w:t>
      </w:r>
      <w:r w:rsidR="00DC52DD">
        <w:rPr>
          <w:rFonts w:ascii="Arial" w:hAnsi="Arial" w:cs="Arial"/>
          <w:sz w:val="22"/>
          <w:szCs w:val="22"/>
        </w:rPr>
        <w:t xml:space="preserve"> hours</w:t>
      </w:r>
      <w:r w:rsidRPr="00D51029" w:rsidR="004E6350">
        <w:rPr>
          <w:rFonts w:ascii="Arial" w:hAnsi="Arial" w:cs="Arial"/>
          <w:sz w:val="22"/>
          <w:szCs w:val="22"/>
        </w:rPr>
        <w:t xml:space="preserve">.  This figure is based on </w:t>
      </w:r>
      <w:r>
        <w:rPr>
          <w:rFonts w:ascii="Arial" w:hAnsi="Arial" w:cs="Arial"/>
          <w:sz w:val="22"/>
          <w:szCs w:val="22"/>
        </w:rPr>
        <w:t xml:space="preserve">continued interaction with stakeholders and </w:t>
      </w:r>
      <w:r w:rsidRPr="00D51029" w:rsidR="004E6350">
        <w:rPr>
          <w:rFonts w:ascii="Arial" w:hAnsi="Arial" w:cs="Arial"/>
          <w:sz w:val="22"/>
          <w:szCs w:val="22"/>
        </w:rPr>
        <w:t>information received from NRC’s consultations with licensees</w:t>
      </w:r>
      <w:r>
        <w:rPr>
          <w:rFonts w:ascii="Arial" w:hAnsi="Arial" w:cs="Arial"/>
          <w:sz w:val="22"/>
          <w:szCs w:val="22"/>
        </w:rPr>
        <w:t xml:space="preserve"> during the prior renewal period.  </w:t>
      </w:r>
      <w:r w:rsidR="00DB17F6">
        <w:rPr>
          <w:rFonts w:ascii="Arial" w:hAnsi="Arial" w:cs="Arial"/>
          <w:sz w:val="22"/>
          <w:szCs w:val="22"/>
        </w:rPr>
        <w:t>T</w:t>
      </w:r>
      <w:r w:rsidR="008023D2">
        <w:rPr>
          <w:rFonts w:ascii="Arial" w:hAnsi="Arial" w:cs="Arial"/>
          <w:sz w:val="22"/>
          <w:szCs w:val="22"/>
        </w:rPr>
        <w:t xml:space="preserve">he review process </w:t>
      </w:r>
      <w:r w:rsidR="00DB17F6">
        <w:rPr>
          <w:rFonts w:ascii="Arial" w:hAnsi="Arial" w:cs="Arial"/>
          <w:sz w:val="22"/>
          <w:szCs w:val="22"/>
        </w:rPr>
        <w:t xml:space="preserve">requires </w:t>
      </w:r>
      <w:r w:rsidR="008023D2">
        <w:rPr>
          <w:rFonts w:ascii="Arial" w:hAnsi="Arial" w:cs="Arial"/>
          <w:sz w:val="22"/>
          <w:szCs w:val="22"/>
        </w:rPr>
        <w:t xml:space="preserve">an additional </w:t>
      </w:r>
      <w:r w:rsidR="004F4873">
        <w:rPr>
          <w:rFonts w:ascii="Arial" w:hAnsi="Arial" w:cs="Arial"/>
          <w:sz w:val="22"/>
          <w:szCs w:val="22"/>
        </w:rPr>
        <w:t xml:space="preserve">estimated </w:t>
      </w:r>
      <w:r w:rsidR="00C51224">
        <w:rPr>
          <w:rFonts w:ascii="Arial" w:hAnsi="Arial" w:cs="Arial"/>
          <w:sz w:val="22"/>
          <w:szCs w:val="22"/>
        </w:rPr>
        <w:t>1,5</w:t>
      </w:r>
      <w:r w:rsidR="008023D2">
        <w:rPr>
          <w:rFonts w:ascii="Arial" w:hAnsi="Arial" w:cs="Arial"/>
          <w:sz w:val="22"/>
          <w:szCs w:val="22"/>
        </w:rPr>
        <w:t>00 hours of burden</w:t>
      </w:r>
      <w:r w:rsidR="00956153">
        <w:rPr>
          <w:rFonts w:ascii="Arial" w:hAnsi="Arial" w:cs="Arial"/>
          <w:sz w:val="22"/>
          <w:szCs w:val="22"/>
        </w:rPr>
        <w:t xml:space="preserve"> </w:t>
      </w:r>
      <w:r w:rsidR="004349B1">
        <w:rPr>
          <w:rFonts w:ascii="Arial" w:hAnsi="Arial" w:cs="Arial"/>
          <w:sz w:val="22"/>
          <w:szCs w:val="22"/>
        </w:rPr>
        <w:t xml:space="preserve">for each </w:t>
      </w:r>
      <w:r w:rsidR="00BC0CBB">
        <w:rPr>
          <w:rFonts w:ascii="Arial" w:hAnsi="Arial" w:cs="Arial"/>
          <w:sz w:val="22"/>
          <w:szCs w:val="22"/>
        </w:rPr>
        <w:t xml:space="preserve">application </w:t>
      </w:r>
      <w:r w:rsidRPr="00D51029" w:rsidR="00956153">
        <w:rPr>
          <w:rFonts w:ascii="Arial" w:hAnsi="Arial" w:cs="Arial"/>
          <w:sz w:val="22"/>
          <w:szCs w:val="22"/>
        </w:rPr>
        <w:t>amendment required under 10</w:t>
      </w:r>
      <w:r w:rsidR="00C74E9B">
        <w:rPr>
          <w:rFonts w:ascii="Arial" w:hAnsi="Arial" w:cs="Arial"/>
          <w:sz w:val="22"/>
          <w:szCs w:val="22"/>
        </w:rPr>
        <w:t> </w:t>
      </w:r>
      <w:r w:rsidRPr="00D51029" w:rsidR="00956153">
        <w:rPr>
          <w:rFonts w:ascii="Arial" w:hAnsi="Arial" w:cs="Arial"/>
          <w:sz w:val="22"/>
          <w:szCs w:val="22"/>
        </w:rPr>
        <w:t>CFR</w:t>
      </w:r>
      <w:r w:rsidR="00C74E9B">
        <w:rPr>
          <w:rFonts w:ascii="Arial" w:hAnsi="Arial" w:cs="Arial"/>
          <w:sz w:val="22"/>
          <w:szCs w:val="22"/>
        </w:rPr>
        <w:t> </w:t>
      </w:r>
      <w:r w:rsidRPr="00D51029" w:rsidR="00956153">
        <w:rPr>
          <w:rFonts w:ascii="Arial" w:hAnsi="Arial" w:cs="Arial"/>
          <w:sz w:val="22"/>
          <w:szCs w:val="22"/>
        </w:rPr>
        <w:t>54.21(b) to identify changes to the facility’s</w:t>
      </w:r>
      <w:r w:rsidR="00C56700">
        <w:rPr>
          <w:rFonts w:ascii="Arial" w:hAnsi="Arial" w:cs="Arial"/>
          <w:sz w:val="22"/>
          <w:szCs w:val="22"/>
        </w:rPr>
        <w:t xml:space="preserve"> current licensing basis that </w:t>
      </w:r>
      <w:r w:rsidR="00C635ED">
        <w:rPr>
          <w:rFonts w:ascii="Arial" w:hAnsi="Arial" w:cs="Arial"/>
          <w:sz w:val="22"/>
          <w:szCs w:val="22"/>
        </w:rPr>
        <w:t xml:space="preserve">materially </w:t>
      </w:r>
      <w:r w:rsidR="00C56700">
        <w:rPr>
          <w:rFonts w:ascii="Arial" w:hAnsi="Arial" w:cs="Arial"/>
          <w:sz w:val="22"/>
          <w:szCs w:val="22"/>
        </w:rPr>
        <w:t>affect the application</w:t>
      </w:r>
      <w:r w:rsidR="00C635ED">
        <w:rPr>
          <w:rFonts w:ascii="Arial" w:hAnsi="Arial" w:cs="Arial"/>
          <w:sz w:val="22"/>
          <w:szCs w:val="22"/>
        </w:rPr>
        <w:t>,</w:t>
      </w:r>
      <w:r w:rsidRPr="007539F7" w:rsidR="00D95006">
        <w:rPr>
          <w:rFonts w:ascii="Arial" w:hAnsi="Arial" w:cs="Arial"/>
          <w:sz w:val="22"/>
          <w:szCs w:val="22"/>
        </w:rPr>
        <w:t xml:space="preserve"> </w:t>
      </w:r>
      <w:r w:rsidRPr="00D51029" w:rsidR="00956153">
        <w:rPr>
          <w:rFonts w:ascii="Arial" w:hAnsi="Arial" w:cs="Arial"/>
          <w:sz w:val="22"/>
          <w:szCs w:val="22"/>
        </w:rPr>
        <w:t>each year during the review process and at least three months before the scheduled completion of NRC’s review.</w:t>
      </w:r>
    </w:p>
    <w:p w:rsidRPr="00E437DE" w:rsidR="004E6350" w:rsidP="00CC6ED2" w:rsidRDefault="004E6350" w14:paraId="608966F2" w14:textId="77777777">
      <w:pPr>
        <w:ind w:left="2160"/>
        <w:rPr>
          <w:rFonts w:ascii="Arial" w:hAnsi="Arial" w:cs="Arial"/>
          <w:sz w:val="22"/>
          <w:szCs w:val="22"/>
        </w:rPr>
      </w:pPr>
    </w:p>
    <w:p w:rsidRPr="00D51029" w:rsidR="004E6350" w:rsidP="00CC6ED2" w:rsidRDefault="00DA1441" w14:paraId="3B1FCFA8" w14:textId="61541665">
      <w:pPr>
        <w:ind w:left="2160"/>
        <w:rPr>
          <w:rFonts w:ascii="Arial" w:hAnsi="Arial" w:cs="Arial"/>
          <w:sz w:val="22"/>
          <w:szCs w:val="22"/>
        </w:rPr>
      </w:pPr>
      <w:r>
        <w:rPr>
          <w:rFonts w:ascii="Arial" w:hAnsi="Arial" w:cs="Arial"/>
          <w:sz w:val="22"/>
          <w:szCs w:val="22"/>
        </w:rPr>
        <w:t xml:space="preserve">The </w:t>
      </w:r>
      <w:r w:rsidRPr="00E437DE" w:rsidR="004E6350">
        <w:rPr>
          <w:rFonts w:ascii="Arial" w:hAnsi="Arial" w:cs="Arial"/>
          <w:sz w:val="22"/>
          <w:szCs w:val="22"/>
        </w:rPr>
        <w:t xml:space="preserve">NRC </w:t>
      </w:r>
      <w:r w:rsidR="004F4873">
        <w:rPr>
          <w:rFonts w:ascii="Arial" w:hAnsi="Arial" w:cs="Arial"/>
          <w:sz w:val="22"/>
          <w:szCs w:val="22"/>
        </w:rPr>
        <w:t>expects</w:t>
      </w:r>
      <w:r w:rsidR="004B0AF8">
        <w:rPr>
          <w:rFonts w:ascii="Arial" w:hAnsi="Arial" w:cs="Arial"/>
          <w:sz w:val="22"/>
          <w:szCs w:val="22"/>
        </w:rPr>
        <w:t xml:space="preserve"> </w:t>
      </w:r>
      <w:r w:rsidR="0044667E">
        <w:rPr>
          <w:rFonts w:ascii="Arial" w:hAnsi="Arial" w:cs="Arial"/>
          <w:sz w:val="22"/>
          <w:szCs w:val="22"/>
        </w:rPr>
        <w:t xml:space="preserve">to receive </w:t>
      </w:r>
      <w:r w:rsidR="00631E5E">
        <w:rPr>
          <w:rFonts w:ascii="Arial" w:hAnsi="Arial" w:cs="Arial"/>
          <w:sz w:val="22"/>
          <w:szCs w:val="22"/>
        </w:rPr>
        <w:t>one</w:t>
      </w:r>
      <w:r w:rsidRPr="00E437DE" w:rsidR="00631E5E">
        <w:rPr>
          <w:rFonts w:ascii="Arial" w:hAnsi="Arial" w:cs="Arial"/>
          <w:sz w:val="22"/>
          <w:szCs w:val="22"/>
        </w:rPr>
        <w:t xml:space="preserve"> </w:t>
      </w:r>
      <w:r w:rsidRPr="00E437DE" w:rsidR="004E6350">
        <w:rPr>
          <w:rFonts w:ascii="Arial" w:hAnsi="Arial" w:cs="Arial"/>
          <w:sz w:val="22"/>
          <w:szCs w:val="22"/>
        </w:rPr>
        <w:t xml:space="preserve">new </w:t>
      </w:r>
      <w:r w:rsidR="00D97C6D">
        <w:rPr>
          <w:rFonts w:ascii="Arial" w:hAnsi="Arial" w:cs="Arial"/>
          <w:sz w:val="22"/>
          <w:szCs w:val="22"/>
        </w:rPr>
        <w:t xml:space="preserve">initial license renewal </w:t>
      </w:r>
      <w:r w:rsidRPr="00E437DE" w:rsidR="00475163">
        <w:rPr>
          <w:rFonts w:ascii="Arial" w:hAnsi="Arial" w:cs="Arial"/>
          <w:sz w:val="22"/>
          <w:szCs w:val="22"/>
        </w:rPr>
        <w:t>application</w:t>
      </w:r>
      <w:r w:rsidRPr="00E437DE" w:rsidR="004E6350">
        <w:rPr>
          <w:rFonts w:ascii="Arial" w:hAnsi="Arial" w:cs="Arial"/>
          <w:sz w:val="22"/>
          <w:szCs w:val="22"/>
        </w:rPr>
        <w:t xml:space="preserve"> per fiscal year during the clearance period</w:t>
      </w:r>
      <w:r w:rsidR="00053040">
        <w:rPr>
          <w:rFonts w:ascii="Arial" w:hAnsi="Arial" w:cs="Arial"/>
          <w:sz w:val="22"/>
          <w:szCs w:val="22"/>
        </w:rPr>
        <w:t>, and two amendments per application</w:t>
      </w:r>
      <w:r w:rsidR="00E45F9C">
        <w:rPr>
          <w:rFonts w:ascii="Arial" w:hAnsi="Arial" w:cs="Arial"/>
          <w:sz w:val="22"/>
          <w:szCs w:val="22"/>
        </w:rPr>
        <w:t xml:space="preserve">.  </w:t>
      </w:r>
      <w:r w:rsidRPr="00D51029" w:rsidR="004E6350">
        <w:rPr>
          <w:rFonts w:ascii="Arial" w:hAnsi="Arial" w:cs="Arial"/>
          <w:sz w:val="22"/>
          <w:szCs w:val="22"/>
        </w:rPr>
        <w:t xml:space="preserve">The total </w:t>
      </w:r>
      <w:r w:rsidR="00D10468">
        <w:rPr>
          <w:rFonts w:ascii="Arial" w:hAnsi="Arial" w:cs="Arial"/>
          <w:sz w:val="22"/>
          <w:szCs w:val="22"/>
        </w:rPr>
        <w:t xml:space="preserve">annual burden </w:t>
      </w:r>
      <w:r w:rsidR="005B2E97">
        <w:rPr>
          <w:rFonts w:ascii="Arial" w:hAnsi="Arial" w:cs="Arial"/>
          <w:sz w:val="22"/>
          <w:szCs w:val="22"/>
        </w:rPr>
        <w:t xml:space="preserve">for initial license renewal applications </w:t>
      </w:r>
      <w:r w:rsidR="00D10468">
        <w:rPr>
          <w:rFonts w:ascii="Arial" w:hAnsi="Arial" w:cs="Arial"/>
          <w:sz w:val="22"/>
          <w:szCs w:val="22"/>
        </w:rPr>
        <w:t xml:space="preserve">during the clearance period is therefore </w:t>
      </w:r>
      <w:r w:rsidR="003E3252">
        <w:rPr>
          <w:rFonts w:ascii="Arial" w:hAnsi="Arial" w:cs="Arial"/>
          <w:sz w:val="22"/>
          <w:szCs w:val="22"/>
        </w:rPr>
        <w:t>84,150</w:t>
      </w:r>
      <w:r w:rsidR="00D10468">
        <w:rPr>
          <w:rFonts w:ascii="Arial" w:hAnsi="Arial" w:cs="Arial"/>
          <w:sz w:val="22"/>
          <w:szCs w:val="22"/>
        </w:rPr>
        <w:t xml:space="preserve"> hours (81,150 hours per application x </w:t>
      </w:r>
      <w:r w:rsidR="009662CA">
        <w:rPr>
          <w:rFonts w:ascii="Arial" w:hAnsi="Arial" w:cs="Arial"/>
          <w:sz w:val="22"/>
          <w:szCs w:val="22"/>
        </w:rPr>
        <w:t>1</w:t>
      </w:r>
      <w:r w:rsidR="00D10468">
        <w:rPr>
          <w:rFonts w:ascii="Arial" w:hAnsi="Arial" w:cs="Arial"/>
          <w:sz w:val="22"/>
          <w:szCs w:val="22"/>
        </w:rPr>
        <w:t xml:space="preserve"> application annually</w:t>
      </w:r>
      <w:r w:rsidR="009B7268">
        <w:rPr>
          <w:rFonts w:ascii="Arial" w:hAnsi="Arial" w:cs="Arial"/>
          <w:sz w:val="22"/>
          <w:szCs w:val="22"/>
        </w:rPr>
        <w:t>,</w:t>
      </w:r>
      <w:r w:rsidR="00D10468">
        <w:rPr>
          <w:rFonts w:ascii="Arial" w:hAnsi="Arial" w:cs="Arial"/>
          <w:sz w:val="22"/>
          <w:szCs w:val="22"/>
        </w:rPr>
        <w:t xml:space="preserve"> plus </w:t>
      </w:r>
      <w:r w:rsidR="00864642">
        <w:rPr>
          <w:rFonts w:ascii="Arial" w:hAnsi="Arial" w:cs="Arial"/>
          <w:sz w:val="22"/>
          <w:szCs w:val="22"/>
        </w:rPr>
        <w:t xml:space="preserve">1,500 hours per amendment letter </w:t>
      </w:r>
      <w:r w:rsidR="00092EB7">
        <w:rPr>
          <w:rFonts w:ascii="Arial" w:hAnsi="Arial" w:cs="Arial"/>
          <w:sz w:val="22"/>
          <w:szCs w:val="22"/>
        </w:rPr>
        <w:t>x 2 amendments</w:t>
      </w:r>
      <w:r w:rsidR="004014ED">
        <w:rPr>
          <w:rFonts w:ascii="Arial" w:hAnsi="Arial" w:cs="Arial"/>
          <w:sz w:val="22"/>
          <w:szCs w:val="22"/>
        </w:rPr>
        <w:t xml:space="preserve"> per application </w:t>
      </w:r>
      <w:r w:rsidR="009B7268">
        <w:rPr>
          <w:rFonts w:ascii="Arial" w:hAnsi="Arial" w:cs="Arial"/>
          <w:sz w:val="22"/>
          <w:szCs w:val="22"/>
        </w:rPr>
        <w:t xml:space="preserve">= </w:t>
      </w:r>
      <w:r w:rsidR="009662CA">
        <w:rPr>
          <w:rFonts w:ascii="Arial" w:hAnsi="Arial" w:cs="Arial"/>
          <w:sz w:val="22"/>
          <w:szCs w:val="22"/>
        </w:rPr>
        <w:t>3</w:t>
      </w:r>
      <w:r w:rsidR="00D10468">
        <w:rPr>
          <w:rFonts w:ascii="Arial" w:hAnsi="Arial" w:cs="Arial"/>
          <w:sz w:val="22"/>
          <w:szCs w:val="22"/>
        </w:rPr>
        <w:t>,000 hours).</w:t>
      </w:r>
    </w:p>
    <w:p w:rsidRPr="00D51029" w:rsidR="004E6350" w:rsidP="00CC6ED2" w:rsidRDefault="004E6350" w14:paraId="4E6E4389" w14:textId="77777777">
      <w:pPr>
        <w:rPr>
          <w:rFonts w:ascii="Arial" w:hAnsi="Arial" w:cs="Arial"/>
          <w:sz w:val="22"/>
          <w:szCs w:val="22"/>
        </w:rPr>
      </w:pPr>
    </w:p>
    <w:p w:rsidRPr="00051E81" w:rsidR="00051E81" w:rsidP="00CC6ED2" w:rsidRDefault="004E6350" w14:paraId="78023598" w14:textId="6DDF61D5">
      <w:pPr>
        <w:ind w:left="2160" w:hanging="540"/>
        <w:rPr>
          <w:rFonts w:ascii="Arial" w:hAnsi="Arial" w:cs="Arial"/>
          <w:sz w:val="22"/>
          <w:szCs w:val="22"/>
        </w:rPr>
      </w:pPr>
      <w:r w:rsidRPr="00D51029">
        <w:rPr>
          <w:rFonts w:ascii="Arial" w:hAnsi="Arial" w:cs="Arial"/>
          <w:sz w:val="22"/>
          <w:szCs w:val="22"/>
        </w:rPr>
        <w:t>(2)</w:t>
      </w:r>
      <w:r w:rsidRPr="00D51029">
        <w:rPr>
          <w:rFonts w:ascii="Arial" w:hAnsi="Arial" w:cs="Arial"/>
          <w:sz w:val="22"/>
          <w:szCs w:val="22"/>
        </w:rPr>
        <w:tab/>
      </w:r>
      <w:r w:rsidRPr="00051E81" w:rsidR="00051E81">
        <w:rPr>
          <w:rFonts w:ascii="Arial" w:hAnsi="Arial" w:cs="Arial"/>
          <w:sz w:val="22"/>
          <w:szCs w:val="22"/>
        </w:rPr>
        <w:t xml:space="preserve">The </w:t>
      </w:r>
      <w:r w:rsidR="00051E81">
        <w:rPr>
          <w:rFonts w:ascii="Arial" w:hAnsi="Arial" w:cs="Arial"/>
          <w:sz w:val="22"/>
          <w:szCs w:val="22"/>
        </w:rPr>
        <w:t>second</w:t>
      </w:r>
      <w:r w:rsidRPr="00051E81" w:rsidR="00051E81">
        <w:rPr>
          <w:rFonts w:ascii="Arial" w:hAnsi="Arial" w:cs="Arial"/>
          <w:sz w:val="22"/>
          <w:szCs w:val="22"/>
        </w:rPr>
        <w:t xml:space="preserve"> reporting burden covers all </w:t>
      </w:r>
      <w:r w:rsidR="00051E81">
        <w:rPr>
          <w:rFonts w:ascii="Arial" w:hAnsi="Arial" w:cs="Arial"/>
          <w:sz w:val="22"/>
          <w:szCs w:val="22"/>
        </w:rPr>
        <w:t>applicant</w:t>
      </w:r>
      <w:r w:rsidRPr="00051E81" w:rsidR="00051E81">
        <w:rPr>
          <w:rFonts w:ascii="Arial" w:hAnsi="Arial" w:cs="Arial"/>
          <w:sz w:val="22"/>
          <w:szCs w:val="22"/>
        </w:rPr>
        <w:t xml:space="preserve"> efforts associated with preparing a</w:t>
      </w:r>
      <w:r w:rsidR="000C401B">
        <w:rPr>
          <w:rFonts w:ascii="Arial" w:hAnsi="Arial" w:cs="Arial"/>
          <w:sz w:val="22"/>
          <w:szCs w:val="22"/>
        </w:rPr>
        <w:t xml:space="preserve"> </w:t>
      </w:r>
      <w:r w:rsidRPr="00EE3872" w:rsidR="000C401B">
        <w:rPr>
          <w:rFonts w:ascii="Arial" w:hAnsi="Arial" w:cs="Arial"/>
          <w:sz w:val="22"/>
          <w:szCs w:val="22"/>
        </w:rPr>
        <w:t>subsequent</w:t>
      </w:r>
      <w:r w:rsidRPr="00051E81" w:rsidR="00051E81">
        <w:rPr>
          <w:rFonts w:ascii="Arial" w:hAnsi="Arial" w:cs="Arial"/>
          <w:sz w:val="22"/>
          <w:szCs w:val="22"/>
        </w:rPr>
        <w:t xml:space="preserve"> license renewal application and submitting amendments to the application during the review process.</w:t>
      </w:r>
    </w:p>
    <w:p w:rsidRPr="00051E81" w:rsidR="00051E81" w:rsidP="00CC6ED2" w:rsidRDefault="00051E81" w14:paraId="07CEFA6A" w14:textId="77777777">
      <w:pPr>
        <w:ind w:left="2160"/>
        <w:rPr>
          <w:rFonts w:ascii="Arial" w:hAnsi="Arial" w:cs="Arial"/>
          <w:sz w:val="22"/>
          <w:szCs w:val="22"/>
        </w:rPr>
      </w:pPr>
    </w:p>
    <w:p w:rsidRPr="00051E81" w:rsidR="00051E81" w:rsidP="00CC6ED2" w:rsidRDefault="00051E81" w14:paraId="2A696117" w14:textId="663C1DBC">
      <w:pPr>
        <w:ind w:left="2160"/>
        <w:rPr>
          <w:rFonts w:ascii="Arial" w:hAnsi="Arial" w:cs="Arial"/>
          <w:sz w:val="22"/>
          <w:szCs w:val="22"/>
        </w:rPr>
      </w:pPr>
      <w:r w:rsidRPr="00051E81">
        <w:rPr>
          <w:rFonts w:ascii="Arial" w:hAnsi="Arial" w:cs="Arial"/>
          <w:sz w:val="22"/>
          <w:szCs w:val="22"/>
        </w:rPr>
        <w:t xml:space="preserve">To calculate the annualized reporting burden, the NRC assigned </w:t>
      </w:r>
      <w:proofErr w:type="gramStart"/>
      <w:r w:rsidRPr="00051E81">
        <w:rPr>
          <w:rFonts w:ascii="Arial" w:hAnsi="Arial" w:cs="Arial"/>
          <w:sz w:val="22"/>
          <w:szCs w:val="22"/>
        </w:rPr>
        <w:t>all of</w:t>
      </w:r>
      <w:proofErr w:type="gramEnd"/>
      <w:r w:rsidRPr="00051E81">
        <w:rPr>
          <w:rFonts w:ascii="Arial" w:hAnsi="Arial" w:cs="Arial"/>
          <w:sz w:val="22"/>
          <w:szCs w:val="22"/>
        </w:rPr>
        <w:t xml:space="preserve"> the hours associated with preparing and reviewing an application, as well as generating and submitting the completion letter, to the year in which an </w:t>
      </w:r>
      <w:r w:rsidRPr="00051E81">
        <w:rPr>
          <w:rFonts w:ascii="Arial" w:hAnsi="Arial" w:cs="Arial"/>
          <w:sz w:val="22"/>
          <w:szCs w:val="22"/>
        </w:rPr>
        <w:lastRenderedPageBreak/>
        <w:t xml:space="preserve">application is submitted.  Licensees generally begin preparing their applications 24 to 30 months before submitting them, and the staff’s review of an application spans approximately 18 months.  Estimating only those hours expended for all in-house reviews during a particular clearance period would be onerous and prone to error and, with a relatively stable pace of applications in the pipeline, unnecessary.  By including all hours associated with a single SLRA review in the year it was submitted, </w:t>
      </w:r>
      <w:r w:rsidR="00732A61">
        <w:rPr>
          <w:rFonts w:ascii="Arial" w:hAnsi="Arial" w:cs="Arial"/>
          <w:sz w:val="22"/>
          <w:szCs w:val="22"/>
        </w:rPr>
        <w:t>it effectively captures hours from reviews initiated during the previous clearance period that continue into this period, and removes the need for us to consider in future clearance requests activities that begin during this period and continue into those clearance periods.</w:t>
      </w:r>
      <w:r w:rsidRPr="00051E81">
        <w:rPr>
          <w:rFonts w:ascii="Arial" w:hAnsi="Arial" w:cs="Arial"/>
          <w:sz w:val="22"/>
          <w:szCs w:val="22"/>
        </w:rPr>
        <w:t xml:space="preserve"> An exception to this is the completion letter, which is a discrete event and easily timed, and which has been included as a separate reporting burden in previous clearance extension requests.  This burden is discussed in paragraph </w:t>
      </w:r>
      <w:r w:rsidR="00E32F25">
        <w:rPr>
          <w:rFonts w:ascii="Arial" w:hAnsi="Arial" w:cs="Arial"/>
          <w:sz w:val="22"/>
          <w:szCs w:val="22"/>
        </w:rPr>
        <w:t xml:space="preserve">(3) </w:t>
      </w:r>
      <w:r w:rsidRPr="00051E81">
        <w:rPr>
          <w:rFonts w:ascii="Arial" w:hAnsi="Arial" w:cs="Arial"/>
          <w:sz w:val="22"/>
          <w:szCs w:val="22"/>
        </w:rPr>
        <w:t>below.</w:t>
      </w:r>
    </w:p>
    <w:p w:rsidRPr="00051E81" w:rsidR="00051E81" w:rsidP="00CC6ED2" w:rsidRDefault="00051E81" w14:paraId="27BE8C1E" w14:textId="77777777">
      <w:pPr>
        <w:ind w:left="2160"/>
        <w:rPr>
          <w:rFonts w:ascii="Arial" w:hAnsi="Arial" w:cs="Arial"/>
          <w:sz w:val="22"/>
          <w:szCs w:val="22"/>
        </w:rPr>
      </w:pPr>
    </w:p>
    <w:p w:rsidRPr="00051E81" w:rsidR="00051E81" w:rsidP="00CC6ED2" w:rsidRDefault="00051E81" w14:paraId="54122FCB" w14:textId="6743C43D">
      <w:pPr>
        <w:ind w:left="2160"/>
        <w:rPr>
          <w:rFonts w:ascii="Arial" w:hAnsi="Arial" w:cs="Arial"/>
          <w:sz w:val="22"/>
          <w:szCs w:val="22"/>
        </w:rPr>
      </w:pPr>
      <w:r w:rsidRPr="00051E81">
        <w:rPr>
          <w:rFonts w:ascii="Arial" w:hAnsi="Arial" w:cs="Arial"/>
          <w:sz w:val="22"/>
          <w:szCs w:val="22"/>
        </w:rPr>
        <w:t>The NRC estimates that the average burden for preparing, submitting, and amending a</w:t>
      </w:r>
      <w:r w:rsidR="00E32F25">
        <w:rPr>
          <w:rFonts w:ascii="Arial" w:hAnsi="Arial" w:cs="Arial"/>
          <w:sz w:val="22"/>
          <w:szCs w:val="22"/>
        </w:rPr>
        <w:t xml:space="preserve"> subsequent</w:t>
      </w:r>
      <w:r w:rsidRPr="00051E81">
        <w:rPr>
          <w:rFonts w:ascii="Arial" w:hAnsi="Arial" w:cs="Arial"/>
          <w:sz w:val="22"/>
          <w:szCs w:val="22"/>
        </w:rPr>
        <w:t xml:space="preserve"> license renewal application is </w:t>
      </w:r>
      <w:r w:rsidR="00003C9A">
        <w:rPr>
          <w:rFonts w:ascii="Arial" w:hAnsi="Arial" w:cs="Arial"/>
          <w:sz w:val="22"/>
          <w:szCs w:val="22"/>
        </w:rPr>
        <w:t>73</w:t>
      </w:r>
      <w:r w:rsidRPr="00051E81">
        <w:rPr>
          <w:rFonts w:ascii="Arial" w:hAnsi="Arial" w:cs="Arial"/>
          <w:sz w:val="22"/>
          <w:szCs w:val="22"/>
        </w:rPr>
        <w:t>,</w:t>
      </w:r>
      <w:r w:rsidR="00003C9A">
        <w:rPr>
          <w:rFonts w:ascii="Arial" w:hAnsi="Arial" w:cs="Arial"/>
          <w:sz w:val="22"/>
          <w:szCs w:val="22"/>
        </w:rPr>
        <w:t>00</w:t>
      </w:r>
      <w:r w:rsidRPr="00051E81">
        <w:rPr>
          <w:rFonts w:ascii="Arial" w:hAnsi="Arial" w:cs="Arial"/>
          <w:sz w:val="22"/>
          <w:szCs w:val="22"/>
        </w:rPr>
        <w:t xml:space="preserve">0 hours.  This figure is based on </w:t>
      </w:r>
      <w:r w:rsidR="00652B8C">
        <w:rPr>
          <w:rFonts w:ascii="Arial" w:hAnsi="Arial" w:cs="Arial"/>
          <w:sz w:val="22"/>
          <w:szCs w:val="22"/>
        </w:rPr>
        <w:t>a</w:t>
      </w:r>
      <w:r w:rsidR="00F25D45">
        <w:rPr>
          <w:rFonts w:ascii="Arial" w:hAnsi="Arial" w:cs="Arial"/>
          <w:sz w:val="22"/>
          <w:szCs w:val="22"/>
        </w:rPr>
        <w:t>n estimated</w:t>
      </w:r>
      <w:r w:rsidR="00652B8C">
        <w:rPr>
          <w:rFonts w:ascii="Arial" w:hAnsi="Arial" w:cs="Arial"/>
          <w:sz w:val="22"/>
          <w:szCs w:val="22"/>
        </w:rPr>
        <w:t xml:space="preserve"> ten-percent reduction in hours </w:t>
      </w:r>
      <w:r w:rsidR="004D0CAC">
        <w:rPr>
          <w:rFonts w:ascii="Arial" w:hAnsi="Arial" w:cs="Arial"/>
          <w:sz w:val="22"/>
          <w:szCs w:val="22"/>
        </w:rPr>
        <w:t xml:space="preserve">from initial license renewal estimates due to efficiencies incorporated into </w:t>
      </w:r>
      <w:r w:rsidR="004C446E">
        <w:rPr>
          <w:rFonts w:ascii="Arial" w:hAnsi="Arial" w:cs="Arial"/>
          <w:sz w:val="22"/>
          <w:szCs w:val="22"/>
        </w:rPr>
        <w:t>the NRC’s guidance for subsequent license renewal</w:t>
      </w:r>
      <w:r w:rsidR="00AD2751">
        <w:rPr>
          <w:rFonts w:ascii="Arial" w:hAnsi="Arial" w:cs="Arial"/>
          <w:sz w:val="22"/>
          <w:szCs w:val="22"/>
        </w:rPr>
        <w:t xml:space="preserve">, </w:t>
      </w:r>
      <w:r w:rsidR="00EF4D50">
        <w:rPr>
          <w:rFonts w:ascii="Arial" w:hAnsi="Arial" w:cs="Arial"/>
          <w:sz w:val="22"/>
          <w:szCs w:val="22"/>
        </w:rPr>
        <w:t>applicant familiarity with license renewal</w:t>
      </w:r>
      <w:r w:rsidR="006844DC">
        <w:rPr>
          <w:rFonts w:ascii="Arial" w:hAnsi="Arial" w:cs="Arial"/>
          <w:sz w:val="22"/>
          <w:szCs w:val="22"/>
        </w:rPr>
        <w:t xml:space="preserve">, and on </w:t>
      </w:r>
      <w:r w:rsidR="00EF4D50">
        <w:rPr>
          <w:rFonts w:ascii="Arial" w:hAnsi="Arial" w:cs="Arial"/>
          <w:sz w:val="22"/>
          <w:szCs w:val="22"/>
        </w:rPr>
        <w:t xml:space="preserve">existing license renewal programs and processes being already </w:t>
      </w:r>
      <w:r w:rsidR="006844DC">
        <w:rPr>
          <w:rFonts w:ascii="Arial" w:hAnsi="Arial" w:cs="Arial"/>
          <w:sz w:val="22"/>
          <w:szCs w:val="22"/>
        </w:rPr>
        <w:t>established</w:t>
      </w:r>
      <w:r w:rsidR="00EF4D50">
        <w:rPr>
          <w:rFonts w:ascii="Arial" w:hAnsi="Arial" w:cs="Arial"/>
          <w:sz w:val="22"/>
          <w:szCs w:val="22"/>
        </w:rPr>
        <w:t xml:space="preserve"> at the plant</w:t>
      </w:r>
      <w:r w:rsidR="006844DC">
        <w:rPr>
          <w:rFonts w:ascii="Arial" w:hAnsi="Arial" w:cs="Arial"/>
          <w:sz w:val="22"/>
          <w:szCs w:val="22"/>
        </w:rPr>
        <w:t xml:space="preserve"> from initial license renewal</w:t>
      </w:r>
      <w:r w:rsidR="00EF4D50">
        <w:rPr>
          <w:rFonts w:ascii="Arial" w:hAnsi="Arial" w:cs="Arial"/>
          <w:sz w:val="22"/>
          <w:szCs w:val="22"/>
        </w:rPr>
        <w:t>.</w:t>
      </w:r>
      <w:r w:rsidR="002A1944">
        <w:rPr>
          <w:rFonts w:ascii="Arial" w:hAnsi="Arial" w:cs="Arial"/>
          <w:sz w:val="22"/>
          <w:szCs w:val="22"/>
        </w:rPr>
        <w:t xml:space="preserve">  The NRC will </w:t>
      </w:r>
      <w:r w:rsidRPr="00051E81">
        <w:rPr>
          <w:rFonts w:ascii="Arial" w:hAnsi="Arial" w:cs="Arial"/>
          <w:sz w:val="22"/>
          <w:szCs w:val="22"/>
        </w:rPr>
        <w:t xml:space="preserve">continue </w:t>
      </w:r>
      <w:r w:rsidR="002A1944">
        <w:rPr>
          <w:rFonts w:ascii="Arial" w:hAnsi="Arial" w:cs="Arial"/>
          <w:sz w:val="22"/>
          <w:szCs w:val="22"/>
        </w:rPr>
        <w:t xml:space="preserve">to </w:t>
      </w:r>
      <w:r w:rsidRPr="00051E81">
        <w:rPr>
          <w:rFonts w:ascii="Arial" w:hAnsi="Arial" w:cs="Arial"/>
          <w:sz w:val="22"/>
          <w:szCs w:val="22"/>
        </w:rPr>
        <w:t>interact w</w:t>
      </w:r>
      <w:r w:rsidR="009132CB">
        <w:rPr>
          <w:rFonts w:ascii="Arial" w:hAnsi="Arial" w:cs="Arial"/>
          <w:sz w:val="22"/>
          <w:szCs w:val="22"/>
        </w:rPr>
        <w:t>ith subsequent license renewal applicants</w:t>
      </w:r>
      <w:r w:rsidR="002A1944">
        <w:rPr>
          <w:rFonts w:ascii="Arial" w:hAnsi="Arial" w:cs="Arial"/>
          <w:sz w:val="22"/>
          <w:szCs w:val="22"/>
        </w:rPr>
        <w:t xml:space="preserve"> to</w:t>
      </w:r>
      <w:r w:rsidR="00DF740C">
        <w:rPr>
          <w:rFonts w:ascii="Arial" w:hAnsi="Arial" w:cs="Arial"/>
          <w:sz w:val="22"/>
          <w:szCs w:val="22"/>
        </w:rPr>
        <w:t xml:space="preserve"> confirm and </w:t>
      </w:r>
      <w:r w:rsidR="006844DC">
        <w:rPr>
          <w:rFonts w:ascii="Arial" w:hAnsi="Arial" w:cs="Arial"/>
          <w:sz w:val="22"/>
          <w:szCs w:val="22"/>
        </w:rPr>
        <w:t>revise</w:t>
      </w:r>
      <w:r w:rsidR="00DF740C">
        <w:rPr>
          <w:rFonts w:ascii="Arial" w:hAnsi="Arial" w:cs="Arial"/>
          <w:sz w:val="22"/>
          <w:szCs w:val="22"/>
        </w:rPr>
        <w:t xml:space="preserve"> these estimates</w:t>
      </w:r>
      <w:r w:rsidRPr="00051E81">
        <w:rPr>
          <w:rFonts w:ascii="Arial" w:hAnsi="Arial" w:cs="Arial"/>
          <w:sz w:val="22"/>
          <w:szCs w:val="22"/>
        </w:rPr>
        <w:t xml:space="preserve">.  The review process requires </w:t>
      </w:r>
      <w:r w:rsidR="004407E3">
        <w:rPr>
          <w:rFonts w:ascii="Arial" w:hAnsi="Arial" w:cs="Arial"/>
          <w:sz w:val="22"/>
          <w:szCs w:val="22"/>
        </w:rPr>
        <w:t>the same</w:t>
      </w:r>
      <w:r w:rsidRPr="00051E81">
        <w:rPr>
          <w:rFonts w:ascii="Arial" w:hAnsi="Arial" w:cs="Arial"/>
          <w:sz w:val="22"/>
          <w:szCs w:val="22"/>
        </w:rPr>
        <w:t xml:space="preserve"> estimated 1,500 hours of burden </w:t>
      </w:r>
      <w:r w:rsidR="004407E3">
        <w:rPr>
          <w:rFonts w:ascii="Arial" w:hAnsi="Arial" w:cs="Arial"/>
          <w:sz w:val="22"/>
          <w:szCs w:val="22"/>
        </w:rPr>
        <w:t xml:space="preserve">as </w:t>
      </w:r>
      <w:r w:rsidR="0066651F">
        <w:rPr>
          <w:rFonts w:ascii="Arial" w:hAnsi="Arial" w:cs="Arial"/>
          <w:sz w:val="22"/>
          <w:szCs w:val="22"/>
        </w:rPr>
        <w:t xml:space="preserve">for </w:t>
      </w:r>
      <w:r w:rsidR="004407E3">
        <w:rPr>
          <w:rFonts w:ascii="Arial" w:hAnsi="Arial" w:cs="Arial"/>
          <w:sz w:val="22"/>
          <w:szCs w:val="22"/>
        </w:rPr>
        <w:t xml:space="preserve">initial license renewal </w:t>
      </w:r>
      <w:r w:rsidRPr="00051E81">
        <w:rPr>
          <w:rFonts w:ascii="Arial" w:hAnsi="Arial" w:cs="Arial"/>
          <w:sz w:val="22"/>
          <w:szCs w:val="22"/>
        </w:rPr>
        <w:t>for each application amendment required under 10 CFR 54.21(b) to identify changes to the facility’s current licensing basis that materially affect the application, each year during the review process and at least three months before the scheduled completion of NRC’s review.</w:t>
      </w:r>
    </w:p>
    <w:p w:rsidRPr="00051E81" w:rsidR="00051E81" w:rsidP="00CC6ED2" w:rsidRDefault="00051E81" w14:paraId="58C050DE" w14:textId="77777777">
      <w:pPr>
        <w:ind w:left="2160"/>
        <w:rPr>
          <w:rFonts w:ascii="Arial" w:hAnsi="Arial" w:cs="Arial"/>
          <w:sz w:val="22"/>
          <w:szCs w:val="22"/>
        </w:rPr>
      </w:pPr>
    </w:p>
    <w:p w:rsidR="00051E81" w:rsidP="00CC6ED2" w:rsidRDefault="00051E81" w14:paraId="53DA5049" w14:textId="71EC1D98">
      <w:pPr>
        <w:ind w:left="2160"/>
        <w:rPr>
          <w:rFonts w:ascii="Arial" w:hAnsi="Arial" w:cs="Arial"/>
          <w:sz w:val="22"/>
          <w:szCs w:val="22"/>
        </w:rPr>
      </w:pPr>
      <w:r w:rsidRPr="00051E81">
        <w:rPr>
          <w:rFonts w:ascii="Arial" w:hAnsi="Arial" w:cs="Arial"/>
          <w:sz w:val="22"/>
          <w:szCs w:val="22"/>
        </w:rPr>
        <w:t xml:space="preserve">The NRC expects to receive one new application per fiscal year during the clearance period, and two amendments per application.  The total annual burden for </w:t>
      </w:r>
      <w:r w:rsidR="006920A6">
        <w:rPr>
          <w:rFonts w:ascii="Arial" w:hAnsi="Arial" w:cs="Arial"/>
          <w:sz w:val="22"/>
          <w:szCs w:val="22"/>
        </w:rPr>
        <w:t>subsequent</w:t>
      </w:r>
      <w:r w:rsidRPr="00051E81">
        <w:rPr>
          <w:rFonts w:ascii="Arial" w:hAnsi="Arial" w:cs="Arial"/>
          <w:sz w:val="22"/>
          <w:szCs w:val="22"/>
        </w:rPr>
        <w:t xml:space="preserve"> license renewal applications during the clearance period is therefore </w:t>
      </w:r>
      <w:r w:rsidR="00205E43">
        <w:rPr>
          <w:rFonts w:ascii="Arial" w:hAnsi="Arial" w:cs="Arial"/>
          <w:sz w:val="22"/>
          <w:szCs w:val="22"/>
        </w:rPr>
        <w:t>76,000</w:t>
      </w:r>
      <w:r w:rsidRPr="00051E81">
        <w:rPr>
          <w:rFonts w:ascii="Arial" w:hAnsi="Arial" w:cs="Arial"/>
          <w:sz w:val="22"/>
          <w:szCs w:val="22"/>
        </w:rPr>
        <w:t xml:space="preserve"> hours (</w:t>
      </w:r>
      <w:r w:rsidR="00205E43">
        <w:rPr>
          <w:rFonts w:ascii="Arial" w:hAnsi="Arial" w:cs="Arial"/>
          <w:sz w:val="22"/>
          <w:szCs w:val="22"/>
        </w:rPr>
        <w:t>73,000</w:t>
      </w:r>
      <w:r w:rsidRPr="00051E81">
        <w:rPr>
          <w:rFonts w:ascii="Arial" w:hAnsi="Arial" w:cs="Arial"/>
          <w:sz w:val="22"/>
          <w:szCs w:val="22"/>
        </w:rPr>
        <w:t xml:space="preserve"> hours per application x 1 application annually, plus 2 amendments per application = 3,000 hours).</w:t>
      </w:r>
    </w:p>
    <w:p w:rsidR="00051E81" w:rsidP="00CC6ED2" w:rsidRDefault="00051E81" w14:paraId="2F19C2C0" w14:textId="77777777">
      <w:pPr>
        <w:ind w:left="2160"/>
        <w:rPr>
          <w:rFonts w:ascii="Arial" w:hAnsi="Arial" w:cs="Arial"/>
          <w:sz w:val="22"/>
          <w:szCs w:val="22"/>
        </w:rPr>
      </w:pPr>
    </w:p>
    <w:p w:rsidR="009C14BA" w:rsidP="00CC6ED2" w:rsidRDefault="00051E81" w14:paraId="0A8F8170" w14:textId="5052ED49">
      <w:pPr>
        <w:ind w:left="2160" w:hanging="540"/>
        <w:rPr>
          <w:rFonts w:ascii="Arial" w:hAnsi="Arial" w:cs="Arial"/>
          <w:sz w:val="22"/>
          <w:szCs w:val="22"/>
        </w:rPr>
      </w:pPr>
      <w:r>
        <w:rPr>
          <w:rFonts w:ascii="Arial" w:hAnsi="Arial" w:cs="Arial"/>
          <w:sz w:val="22"/>
          <w:szCs w:val="22"/>
        </w:rPr>
        <w:t>(3)</w:t>
      </w:r>
      <w:r>
        <w:rPr>
          <w:rFonts w:ascii="Arial" w:hAnsi="Arial" w:cs="Arial"/>
          <w:sz w:val="22"/>
          <w:szCs w:val="22"/>
        </w:rPr>
        <w:tab/>
      </w:r>
      <w:r w:rsidR="0066651F">
        <w:rPr>
          <w:rFonts w:ascii="Arial" w:hAnsi="Arial" w:cs="Arial"/>
          <w:sz w:val="22"/>
          <w:szCs w:val="22"/>
        </w:rPr>
        <w:t>T</w:t>
      </w:r>
      <w:r w:rsidRPr="00D51029" w:rsidR="004E6350">
        <w:rPr>
          <w:rFonts w:ascii="Arial" w:hAnsi="Arial" w:cs="Arial"/>
          <w:sz w:val="22"/>
          <w:szCs w:val="22"/>
        </w:rPr>
        <w:t xml:space="preserve">he NRC </w:t>
      </w:r>
      <w:r w:rsidR="0066651F">
        <w:rPr>
          <w:rFonts w:ascii="Arial" w:hAnsi="Arial" w:cs="Arial"/>
          <w:sz w:val="22"/>
          <w:szCs w:val="22"/>
        </w:rPr>
        <w:t>typically</w:t>
      </w:r>
      <w:r w:rsidRPr="00D51029" w:rsidR="004E6350">
        <w:rPr>
          <w:rFonts w:ascii="Arial" w:hAnsi="Arial" w:cs="Arial"/>
          <w:sz w:val="22"/>
          <w:szCs w:val="22"/>
        </w:rPr>
        <w:t xml:space="preserve"> require</w:t>
      </w:r>
      <w:r w:rsidR="0066651F">
        <w:rPr>
          <w:rFonts w:ascii="Arial" w:hAnsi="Arial" w:cs="Arial"/>
          <w:sz w:val="22"/>
          <w:szCs w:val="22"/>
        </w:rPr>
        <w:t>s</w:t>
      </w:r>
      <w:r w:rsidRPr="00D51029" w:rsidR="004E6350">
        <w:rPr>
          <w:rFonts w:ascii="Arial" w:hAnsi="Arial" w:cs="Arial"/>
          <w:sz w:val="22"/>
          <w:szCs w:val="22"/>
        </w:rPr>
        <w:t xml:space="preserve"> </w:t>
      </w:r>
      <w:r w:rsidR="00BC613C">
        <w:rPr>
          <w:rFonts w:ascii="Arial" w:hAnsi="Arial" w:cs="Arial"/>
          <w:sz w:val="22"/>
          <w:szCs w:val="22"/>
        </w:rPr>
        <w:t xml:space="preserve">holders of renewed </w:t>
      </w:r>
      <w:r w:rsidRPr="00D51029" w:rsidR="004E6350">
        <w:rPr>
          <w:rFonts w:ascii="Arial" w:hAnsi="Arial" w:cs="Arial"/>
          <w:sz w:val="22"/>
          <w:szCs w:val="22"/>
        </w:rPr>
        <w:t xml:space="preserve">licenses to prepare and submit </w:t>
      </w:r>
      <w:r w:rsidR="004E6350">
        <w:rPr>
          <w:rFonts w:ascii="Arial" w:hAnsi="Arial" w:cs="Arial"/>
          <w:sz w:val="22"/>
          <w:szCs w:val="22"/>
        </w:rPr>
        <w:t>inspection and testing</w:t>
      </w:r>
      <w:r w:rsidRPr="00D51029" w:rsidR="004E6350">
        <w:rPr>
          <w:rFonts w:ascii="Arial" w:hAnsi="Arial" w:cs="Arial"/>
          <w:sz w:val="22"/>
          <w:szCs w:val="22"/>
        </w:rPr>
        <w:t xml:space="preserve"> completion review letters.  These respondents are different from those preparing and submitting </w:t>
      </w:r>
      <w:r w:rsidR="00517351">
        <w:rPr>
          <w:rFonts w:ascii="Arial" w:hAnsi="Arial" w:cs="Arial"/>
          <w:sz w:val="22"/>
          <w:szCs w:val="22"/>
        </w:rPr>
        <w:t>initial</w:t>
      </w:r>
      <w:r w:rsidR="00215FF2">
        <w:rPr>
          <w:rFonts w:ascii="Arial" w:hAnsi="Arial" w:cs="Arial"/>
          <w:sz w:val="22"/>
          <w:szCs w:val="22"/>
        </w:rPr>
        <w:t xml:space="preserve"> and subsequent</w:t>
      </w:r>
      <w:r w:rsidR="00517351">
        <w:rPr>
          <w:rFonts w:ascii="Arial" w:hAnsi="Arial" w:cs="Arial"/>
          <w:sz w:val="22"/>
          <w:szCs w:val="22"/>
        </w:rPr>
        <w:t xml:space="preserve"> </w:t>
      </w:r>
      <w:r w:rsidRPr="00D51029" w:rsidR="004E6350">
        <w:rPr>
          <w:rFonts w:ascii="Arial" w:hAnsi="Arial" w:cs="Arial"/>
          <w:sz w:val="22"/>
          <w:szCs w:val="22"/>
        </w:rPr>
        <w:t xml:space="preserve">license renewal applications because </w:t>
      </w:r>
      <w:r w:rsidR="006702C6">
        <w:rPr>
          <w:rFonts w:ascii="Arial" w:hAnsi="Arial" w:cs="Arial"/>
          <w:sz w:val="22"/>
          <w:szCs w:val="22"/>
        </w:rPr>
        <w:t xml:space="preserve">these letters are typically submitted years after </w:t>
      </w:r>
      <w:r w:rsidR="00387E0C">
        <w:rPr>
          <w:rFonts w:ascii="Arial" w:hAnsi="Arial" w:cs="Arial"/>
          <w:sz w:val="22"/>
          <w:szCs w:val="22"/>
        </w:rPr>
        <w:t xml:space="preserve">the </w:t>
      </w:r>
      <w:r w:rsidRPr="00D51029" w:rsidR="004E6350">
        <w:rPr>
          <w:rFonts w:ascii="Arial" w:hAnsi="Arial" w:cs="Arial"/>
          <w:sz w:val="22"/>
          <w:szCs w:val="22"/>
        </w:rPr>
        <w:t xml:space="preserve">NRC has granted their renewed licenses.  </w:t>
      </w:r>
      <w:r w:rsidR="00D96820">
        <w:rPr>
          <w:rFonts w:ascii="Arial" w:hAnsi="Arial" w:cs="Arial"/>
          <w:sz w:val="22"/>
          <w:szCs w:val="22"/>
        </w:rPr>
        <w:t xml:space="preserve">The </w:t>
      </w:r>
      <w:r w:rsidRPr="00D51029" w:rsidR="004E6350">
        <w:rPr>
          <w:rFonts w:ascii="Arial" w:hAnsi="Arial" w:cs="Arial"/>
          <w:sz w:val="22"/>
          <w:szCs w:val="22"/>
        </w:rPr>
        <w:t xml:space="preserve">NRC allows licensees to submit one application </w:t>
      </w:r>
      <w:r w:rsidR="005C26F2">
        <w:rPr>
          <w:rFonts w:ascii="Arial" w:hAnsi="Arial" w:cs="Arial"/>
          <w:sz w:val="22"/>
          <w:szCs w:val="22"/>
        </w:rPr>
        <w:t>to renew</w:t>
      </w:r>
      <w:r w:rsidRPr="00D51029" w:rsidR="004E6350">
        <w:rPr>
          <w:rFonts w:ascii="Arial" w:hAnsi="Arial" w:cs="Arial"/>
          <w:sz w:val="22"/>
          <w:szCs w:val="22"/>
        </w:rPr>
        <w:t xml:space="preserve"> the operating licenses of </w:t>
      </w:r>
      <w:r w:rsidR="00E54D40">
        <w:rPr>
          <w:rFonts w:ascii="Arial" w:hAnsi="Arial" w:cs="Arial"/>
          <w:sz w:val="22"/>
          <w:szCs w:val="22"/>
        </w:rPr>
        <w:t>more than one</w:t>
      </w:r>
      <w:r w:rsidRPr="00D51029" w:rsidR="00E54D40">
        <w:rPr>
          <w:rFonts w:ascii="Arial" w:hAnsi="Arial" w:cs="Arial"/>
          <w:sz w:val="22"/>
          <w:szCs w:val="22"/>
        </w:rPr>
        <w:t xml:space="preserve"> </w:t>
      </w:r>
      <w:r w:rsidRPr="00D51029" w:rsidR="004E6350">
        <w:rPr>
          <w:rFonts w:ascii="Arial" w:hAnsi="Arial" w:cs="Arial"/>
          <w:sz w:val="22"/>
          <w:szCs w:val="22"/>
        </w:rPr>
        <w:t>reactor unit</w:t>
      </w:r>
      <w:r w:rsidR="00E54D40">
        <w:rPr>
          <w:rFonts w:ascii="Arial" w:hAnsi="Arial" w:cs="Arial"/>
          <w:sz w:val="22"/>
          <w:szCs w:val="22"/>
        </w:rPr>
        <w:t xml:space="preserve"> at the same site</w:t>
      </w:r>
      <w:r w:rsidRPr="00D51029" w:rsidR="004E6350">
        <w:rPr>
          <w:rFonts w:ascii="Arial" w:hAnsi="Arial" w:cs="Arial"/>
          <w:sz w:val="22"/>
          <w:szCs w:val="22"/>
        </w:rPr>
        <w:t xml:space="preserve">.  However, </w:t>
      </w:r>
      <w:r w:rsidR="00396468">
        <w:rPr>
          <w:rFonts w:ascii="Arial" w:hAnsi="Arial" w:cs="Arial"/>
          <w:sz w:val="22"/>
          <w:szCs w:val="22"/>
        </w:rPr>
        <w:t xml:space="preserve">the </w:t>
      </w:r>
      <w:r w:rsidRPr="00D51029" w:rsidR="004E6350">
        <w:rPr>
          <w:rFonts w:ascii="Arial" w:hAnsi="Arial" w:cs="Arial"/>
          <w:sz w:val="22"/>
          <w:szCs w:val="22"/>
        </w:rPr>
        <w:t>NRC issues a separate renewed operating license to each reactor unit and each license contains the requirement to submit a letter</w:t>
      </w:r>
      <w:r w:rsidR="004E6350">
        <w:rPr>
          <w:rFonts w:ascii="Arial" w:hAnsi="Arial" w:cs="Arial"/>
          <w:sz w:val="22"/>
          <w:szCs w:val="22"/>
        </w:rPr>
        <w:t xml:space="preserve"> documenting the </w:t>
      </w:r>
      <w:r w:rsidRPr="002749BD" w:rsidR="004E6350">
        <w:rPr>
          <w:rFonts w:ascii="Arial" w:hAnsi="Arial" w:cs="Arial"/>
          <w:sz w:val="22"/>
          <w:szCs w:val="22"/>
        </w:rPr>
        <w:t xml:space="preserve">completion of inspection and testing activities.  </w:t>
      </w:r>
      <w:r w:rsidR="007F5917">
        <w:rPr>
          <w:rFonts w:ascii="Arial" w:hAnsi="Arial" w:cs="Arial"/>
          <w:sz w:val="22"/>
          <w:szCs w:val="22"/>
        </w:rPr>
        <w:t xml:space="preserve">Licensees may submit one letter for </w:t>
      </w:r>
      <w:proofErr w:type="gramStart"/>
      <w:r w:rsidR="007F5917">
        <w:rPr>
          <w:rFonts w:ascii="Arial" w:hAnsi="Arial" w:cs="Arial"/>
          <w:sz w:val="22"/>
          <w:szCs w:val="22"/>
        </w:rPr>
        <w:t>all of</w:t>
      </w:r>
      <w:proofErr w:type="gramEnd"/>
      <w:r w:rsidR="007F5917">
        <w:rPr>
          <w:rFonts w:ascii="Arial" w:hAnsi="Arial" w:cs="Arial"/>
          <w:sz w:val="22"/>
          <w:szCs w:val="22"/>
        </w:rPr>
        <w:t xml:space="preserve"> the </w:t>
      </w:r>
      <w:r w:rsidR="00F46FE3">
        <w:rPr>
          <w:rFonts w:ascii="Arial" w:hAnsi="Arial" w:cs="Arial"/>
          <w:sz w:val="22"/>
          <w:szCs w:val="22"/>
        </w:rPr>
        <w:t xml:space="preserve">units at a site or separate letters for each unit, depending on the dates the units enter the period of </w:t>
      </w:r>
      <w:r w:rsidR="00F46FE3">
        <w:rPr>
          <w:rFonts w:ascii="Arial" w:hAnsi="Arial" w:cs="Arial"/>
          <w:sz w:val="22"/>
          <w:szCs w:val="22"/>
        </w:rPr>
        <w:lastRenderedPageBreak/>
        <w:t xml:space="preserve">extended operation and </w:t>
      </w:r>
      <w:r w:rsidR="004805F4">
        <w:rPr>
          <w:rFonts w:ascii="Arial" w:hAnsi="Arial" w:cs="Arial"/>
          <w:sz w:val="22"/>
          <w:szCs w:val="22"/>
        </w:rPr>
        <w:t>the timing of the completion of activities associated with license renewal</w:t>
      </w:r>
      <w:r w:rsidR="00A119A4">
        <w:rPr>
          <w:rFonts w:ascii="Arial" w:hAnsi="Arial" w:cs="Arial"/>
          <w:sz w:val="22"/>
          <w:szCs w:val="22"/>
        </w:rPr>
        <w:t>.</w:t>
      </w:r>
    </w:p>
    <w:p w:rsidR="009C14BA" w:rsidP="00CC6ED2" w:rsidRDefault="009C14BA" w14:paraId="4F938384" w14:textId="77777777">
      <w:pPr>
        <w:ind w:left="2160" w:hanging="540"/>
        <w:rPr>
          <w:rFonts w:ascii="Arial" w:hAnsi="Arial" w:cs="Arial"/>
          <w:sz w:val="22"/>
          <w:szCs w:val="22"/>
        </w:rPr>
      </w:pPr>
    </w:p>
    <w:p w:rsidRPr="00D51029" w:rsidR="00BF5D4C" w:rsidP="00CC6ED2" w:rsidRDefault="004E6350" w14:paraId="3C985142" w14:textId="6894A716">
      <w:pPr>
        <w:ind w:left="2160"/>
        <w:rPr>
          <w:rFonts w:ascii="Arial" w:hAnsi="Arial" w:cs="Arial"/>
          <w:sz w:val="22"/>
          <w:szCs w:val="22"/>
        </w:rPr>
      </w:pPr>
      <w:r w:rsidRPr="002749BD">
        <w:rPr>
          <w:rFonts w:ascii="Arial" w:hAnsi="Arial" w:cs="Arial"/>
          <w:sz w:val="22"/>
          <w:szCs w:val="22"/>
        </w:rPr>
        <w:t>To estimate the number of</w:t>
      </w:r>
      <w:r w:rsidRPr="00D51029">
        <w:rPr>
          <w:rFonts w:ascii="Arial" w:hAnsi="Arial" w:cs="Arial"/>
          <w:sz w:val="22"/>
          <w:szCs w:val="22"/>
        </w:rPr>
        <w:t xml:space="preserve"> </w:t>
      </w:r>
      <w:r w:rsidR="00D75612">
        <w:rPr>
          <w:rFonts w:ascii="Arial" w:hAnsi="Arial" w:cs="Arial"/>
          <w:sz w:val="22"/>
          <w:szCs w:val="22"/>
        </w:rPr>
        <w:t>completion</w:t>
      </w:r>
      <w:r w:rsidRPr="00D51029" w:rsidR="00D75612">
        <w:rPr>
          <w:rFonts w:ascii="Arial" w:hAnsi="Arial" w:cs="Arial"/>
          <w:sz w:val="22"/>
          <w:szCs w:val="22"/>
        </w:rPr>
        <w:t xml:space="preserve"> </w:t>
      </w:r>
      <w:r w:rsidRPr="00D51029">
        <w:rPr>
          <w:rFonts w:ascii="Arial" w:hAnsi="Arial" w:cs="Arial"/>
          <w:sz w:val="22"/>
          <w:szCs w:val="22"/>
        </w:rPr>
        <w:t xml:space="preserve">letters that it will receive during the clearance period, </w:t>
      </w:r>
      <w:r w:rsidR="00D75612">
        <w:rPr>
          <w:rFonts w:ascii="Arial" w:hAnsi="Arial" w:cs="Arial"/>
          <w:sz w:val="22"/>
          <w:szCs w:val="22"/>
        </w:rPr>
        <w:t xml:space="preserve">the </w:t>
      </w:r>
      <w:r w:rsidRPr="00D51029">
        <w:rPr>
          <w:rFonts w:ascii="Arial" w:hAnsi="Arial" w:cs="Arial"/>
          <w:sz w:val="22"/>
          <w:szCs w:val="22"/>
        </w:rPr>
        <w:t xml:space="preserve">NRC </w:t>
      </w:r>
      <w:r w:rsidR="00DD48F2">
        <w:rPr>
          <w:rFonts w:ascii="Arial" w:hAnsi="Arial" w:cs="Arial"/>
          <w:sz w:val="22"/>
          <w:szCs w:val="22"/>
        </w:rPr>
        <w:t>assume</w:t>
      </w:r>
      <w:r w:rsidR="007316D6">
        <w:rPr>
          <w:rFonts w:ascii="Arial" w:hAnsi="Arial" w:cs="Arial"/>
          <w:sz w:val="22"/>
          <w:szCs w:val="22"/>
        </w:rPr>
        <w:t>d</w:t>
      </w:r>
      <w:r w:rsidRPr="00D51029" w:rsidR="00DD48F2">
        <w:rPr>
          <w:rFonts w:ascii="Arial" w:hAnsi="Arial" w:cs="Arial"/>
          <w:sz w:val="22"/>
          <w:szCs w:val="22"/>
        </w:rPr>
        <w:t xml:space="preserve"> </w:t>
      </w:r>
      <w:r w:rsidRPr="00D51029">
        <w:rPr>
          <w:rFonts w:ascii="Arial" w:hAnsi="Arial" w:cs="Arial"/>
          <w:sz w:val="22"/>
          <w:szCs w:val="22"/>
        </w:rPr>
        <w:t xml:space="preserve">that a licensee </w:t>
      </w:r>
      <w:proofErr w:type="gramStart"/>
      <w:r w:rsidRPr="00D51029">
        <w:rPr>
          <w:rFonts w:ascii="Arial" w:hAnsi="Arial" w:cs="Arial"/>
          <w:sz w:val="22"/>
          <w:szCs w:val="22"/>
        </w:rPr>
        <w:t>will</w:t>
      </w:r>
      <w:proofErr w:type="gramEnd"/>
      <w:r w:rsidRPr="00D51029">
        <w:rPr>
          <w:rFonts w:ascii="Arial" w:hAnsi="Arial" w:cs="Arial"/>
          <w:sz w:val="22"/>
          <w:szCs w:val="22"/>
        </w:rPr>
        <w:t xml:space="preserve"> </w:t>
      </w:r>
      <w:r w:rsidR="00E037D5">
        <w:rPr>
          <w:rFonts w:ascii="Arial" w:hAnsi="Arial" w:cs="Arial"/>
          <w:sz w:val="22"/>
          <w:szCs w:val="22"/>
        </w:rPr>
        <w:t xml:space="preserve">generate and </w:t>
      </w:r>
      <w:r w:rsidRPr="00D51029">
        <w:rPr>
          <w:rFonts w:ascii="Arial" w:hAnsi="Arial" w:cs="Arial"/>
          <w:sz w:val="22"/>
          <w:szCs w:val="22"/>
        </w:rPr>
        <w:t xml:space="preserve">submit the letter </w:t>
      </w:r>
      <w:r w:rsidR="00792C2E">
        <w:rPr>
          <w:rFonts w:ascii="Arial" w:hAnsi="Arial" w:cs="Arial"/>
          <w:sz w:val="22"/>
          <w:szCs w:val="22"/>
        </w:rPr>
        <w:t>during the</w:t>
      </w:r>
      <w:r w:rsidRPr="00D51029" w:rsidR="00792C2E">
        <w:rPr>
          <w:rFonts w:ascii="Arial" w:hAnsi="Arial" w:cs="Arial"/>
          <w:sz w:val="22"/>
          <w:szCs w:val="22"/>
        </w:rPr>
        <w:t xml:space="preserve"> </w:t>
      </w:r>
      <w:r w:rsidRPr="00D51029">
        <w:rPr>
          <w:rFonts w:ascii="Arial" w:hAnsi="Arial" w:cs="Arial"/>
          <w:sz w:val="22"/>
          <w:szCs w:val="22"/>
        </w:rPr>
        <w:t xml:space="preserve">year </w:t>
      </w:r>
      <w:r w:rsidR="00E037D5">
        <w:rPr>
          <w:rFonts w:ascii="Arial" w:hAnsi="Arial" w:cs="Arial"/>
          <w:sz w:val="22"/>
          <w:szCs w:val="22"/>
        </w:rPr>
        <w:t>before</w:t>
      </w:r>
      <w:r w:rsidRPr="00D51029" w:rsidR="00E037D5">
        <w:rPr>
          <w:rFonts w:ascii="Arial" w:hAnsi="Arial" w:cs="Arial"/>
          <w:sz w:val="22"/>
          <w:szCs w:val="22"/>
        </w:rPr>
        <w:t xml:space="preserve"> </w:t>
      </w:r>
      <w:r w:rsidRPr="00D51029">
        <w:rPr>
          <w:rFonts w:ascii="Arial" w:hAnsi="Arial" w:cs="Arial"/>
          <w:sz w:val="22"/>
          <w:szCs w:val="22"/>
        </w:rPr>
        <w:t xml:space="preserve">entering a unit’s period of extended operation.  </w:t>
      </w:r>
      <w:r w:rsidR="00330EAB">
        <w:rPr>
          <w:rFonts w:ascii="Arial" w:hAnsi="Arial" w:cs="Arial"/>
          <w:sz w:val="22"/>
          <w:szCs w:val="22"/>
        </w:rPr>
        <w:t xml:space="preserve">Based on these </w:t>
      </w:r>
      <w:r w:rsidR="00D21CF5">
        <w:rPr>
          <w:rFonts w:ascii="Arial" w:hAnsi="Arial" w:cs="Arial"/>
          <w:sz w:val="22"/>
          <w:szCs w:val="22"/>
        </w:rPr>
        <w:t>assumptions</w:t>
      </w:r>
      <w:r w:rsidR="00330EAB">
        <w:rPr>
          <w:rFonts w:ascii="Arial" w:hAnsi="Arial" w:cs="Arial"/>
          <w:sz w:val="22"/>
          <w:szCs w:val="22"/>
        </w:rPr>
        <w:t>, t</w:t>
      </w:r>
      <w:r w:rsidRPr="00D51029" w:rsidR="00330EAB">
        <w:rPr>
          <w:rFonts w:ascii="Arial" w:hAnsi="Arial" w:cs="Arial"/>
          <w:sz w:val="22"/>
          <w:szCs w:val="22"/>
        </w:rPr>
        <w:t xml:space="preserve">he </w:t>
      </w:r>
      <w:r w:rsidRPr="00D51029">
        <w:rPr>
          <w:rFonts w:ascii="Arial" w:hAnsi="Arial" w:cs="Arial"/>
          <w:sz w:val="22"/>
          <w:szCs w:val="22"/>
        </w:rPr>
        <w:t xml:space="preserve">NRC determined that </w:t>
      </w:r>
      <w:r w:rsidR="002E444C">
        <w:rPr>
          <w:rFonts w:ascii="Arial" w:hAnsi="Arial" w:cs="Arial"/>
          <w:sz w:val="22"/>
          <w:szCs w:val="22"/>
        </w:rPr>
        <w:t xml:space="preserve">licensees will </w:t>
      </w:r>
      <w:r w:rsidR="00330EAB">
        <w:rPr>
          <w:rFonts w:ascii="Arial" w:hAnsi="Arial" w:cs="Arial"/>
          <w:sz w:val="22"/>
          <w:szCs w:val="22"/>
        </w:rPr>
        <w:t>likely submit these letters</w:t>
      </w:r>
      <w:r w:rsidR="00D21CF5">
        <w:rPr>
          <w:rFonts w:ascii="Arial" w:hAnsi="Arial" w:cs="Arial"/>
          <w:sz w:val="22"/>
          <w:szCs w:val="22"/>
        </w:rPr>
        <w:t xml:space="preserve"> for 1</w:t>
      </w:r>
      <w:r w:rsidR="00685940">
        <w:rPr>
          <w:rFonts w:ascii="Arial" w:hAnsi="Arial" w:cs="Arial"/>
          <w:sz w:val="22"/>
          <w:szCs w:val="22"/>
        </w:rPr>
        <w:t>6</w:t>
      </w:r>
      <w:r w:rsidR="00D21CF5">
        <w:rPr>
          <w:rFonts w:ascii="Arial" w:hAnsi="Arial" w:cs="Arial"/>
          <w:sz w:val="22"/>
          <w:szCs w:val="22"/>
        </w:rPr>
        <w:t xml:space="preserve"> units</w:t>
      </w:r>
      <w:r w:rsidRPr="00D51029">
        <w:rPr>
          <w:rFonts w:ascii="Arial" w:hAnsi="Arial" w:cs="Arial"/>
          <w:sz w:val="22"/>
          <w:szCs w:val="22"/>
        </w:rPr>
        <w:t xml:space="preserve"> during the clearance period</w:t>
      </w:r>
      <w:r w:rsidR="00A74ABA">
        <w:rPr>
          <w:rFonts w:ascii="Arial" w:hAnsi="Arial" w:cs="Arial"/>
          <w:sz w:val="22"/>
          <w:szCs w:val="22"/>
        </w:rPr>
        <w:t>.</w:t>
      </w:r>
      <w:r w:rsidRPr="00D51029">
        <w:rPr>
          <w:rFonts w:ascii="Arial" w:hAnsi="Arial" w:cs="Arial"/>
          <w:sz w:val="22"/>
          <w:szCs w:val="22"/>
        </w:rPr>
        <w:t xml:space="preserve"> of </w:t>
      </w:r>
      <w:r w:rsidR="00FA4819">
        <w:rPr>
          <w:rFonts w:ascii="Arial" w:hAnsi="Arial" w:cs="Arial"/>
          <w:color w:val="000000"/>
          <w:sz w:val="22"/>
          <w:szCs w:val="22"/>
        </w:rPr>
        <w:t>These plants are</w:t>
      </w:r>
      <w:r w:rsidR="004B39B4">
        <w:rPr>
          <w:rFonts w:ascii="Arial" w:hAnsi="Arial" w:cs="Arial"/>
          <w:color w:val="000000"/>
          <w:sz w:val="22"/>
          <w:szCs w:val="22"/>
        </w:rPr>
        <w:t xml:space="preserve"> M</w:t>
      </w:r>
      <w:r w:rsidR="005A7265">
        <w:rPr>
          <w:rFonts w:ascii="Arial" w:hAnsi="Arial" w:cs="Arial"/>
          <w:color w:val="000000"/>
          <w:sz w:val="22"/>
          <w:szCs w:val="22"/>
        </w:rPr>
        <w:t>cGuire 2, Saint Lucie 2, Catawba 1 and 2</w:t>
      </w:r>
      <w:r w:rsidR="00A41E27">
        <w:rPr>
          <w:rFonts w:ascii="Arial" w:hAnsi="Arial" w:cs="Arial"/>
          <w:color w:val="000000"/>
          <w:sz w:val="22"/>
          <w:szCs w:val="22"/>
        </w:rPr>
        <w:t xml:space="preserve">, LaSalle 2, Columbia, Susquehanna 2, </w:t>
      </w:r>
      <w:r w:rsidR="00B10AAC">
        <w:rPr>
          <w:rFonts w:ascii="Arial" w:hAnsi="Arial" w:cs="Arial"/>
          <w:color w:val="000000"/>
          <w:sz w:val="22"/>
          <w:szCs w:val="22"/>
        </w:rPr>
        <w:t>Callaway, Waterford 3, Limerick 1, Byron 1, Grand Gulf</w:t>
      </w:r>
      <w:r w:rsidR="005330D0">
        <w:rPr>
          <w:rFonts w:ascii="Arial" w:hAnsi="Arial" w:cs="Arial"/>
          <w:color w:val="000000"/>
          <w:sz w:val="22"/>
          <w:szCs w:val="22"/>
        </w:rPr>
        <w:t> </w:t>
      </w:r>
      <w:r w:rsidR="00B10AAC">
        <w:rPr>
          <w:rFonts w:ascii="Arial" w:hAnsi="Arial" w:cs="Arial"/>
          <w:color w:val="000000"/>
          <w:sz w:val="22"/>
          <w:szCs w:val="22"/>
        </w:rPr>
        <w:t>1, Wolf Creek 1</w:t>
      </w:r>
      <w:r w:rsidR="00953061">
        <w:rPr>
          <w:rFonts w:ascii="Arial" w:hAnsi="Arial" w:cs="Arial"/>
          <w:color w:val="000000"/>
          <w:sz w:val="22"/>
          <w:szCs w:val="22"/>
        </w:rPr>
        <w:t>, Fermi 2, Palo Verde 1, and River Bend 1</w:t>
      </w:r>
      <w:r w:rsidR="00FA4819">
        <w:rPr>
          <w:rFonts w:ascii="Arial" w:hAnsi="Arial" w:cs="Arial"/>
          <w:color w:val="000000"/>
          <w:sz w:val="22"/>
          <w:szCs w:val="22"/>
        </w:rPr>
        <w:t xml:space="preserve">.  </w:t>
      </w:r>
      <w:r w:rsidR="00DE70F9">
        <w:rPr>
          <w:rFonts w:ascii="Arial" w:hAnsi="Arial" w:cs="Arial"/>
          <w:color w:val="000000"/>
          <w:sz w:val="22"/>
          <w:szCs w:val="22"/>
        </w:rPr>
        <w:t xml:space="preserve">However, </w:t>
      </w:r>
      <w:r w:rsidR="00E63F19">
        <w:rPr>
          <w:rFonts w:ascii="Arial" w:hAnsi="Arial" w:cs="Arial"/>
          <w:color w:val="000000"/>
          <w:sz w:val="22"/>
          <w:szCs w:val="22"/>
        </w:rPr>
        <w:t xml:space="preserve">one licensee will </w:t>
      </w:r>
      <w:r w:rsidR="002F392A">
        <w:rPr>
          <w:rFonts w:ascii="Arial" w:hAnsi="Arial" w:cs="Arial"/>
          <w:color w:val="000000"/>
          <w:sz w:val="22"/>
          <w:szCs w:val="22"/>
        </w:rPr>
        <w:t xml:space="preserve">likely submit a single letter for Catawba Units 1 and 2 since they enter the period of extended operation on the same date, </w:t>
      </w:r>
      <w:r w:rsidR="001F3C4D">
        <w:rPr>
          <w:rFonts w:ascii="Arial" w:hAnsi="Arial" w:cs="Arial"/>
          <w:color w:val="000000"/>
          <w:sz w:val="22"/>
          <w:szCs w:val="22"/>
        </w:rPr>
        <w:t xml:space="preserve">bringing the total number of information responses to 15 during the clearance period, </w:t>
      </w:r>
      <w:r w:rsidR="00293DBB">
        <w:rPr>
          <w:rFonts w:ascii="Arial" w:hAnsi="Arial" w:cs="Arial"/>
          <w:color w:val="000000"/>
          <w:sz w:val="22"/>
          <w:szCs w:val="22"/>
        </w:rPr>
        <w:t>f</w:t>
      </w:r>
      <w:r w:rsidR="006E5FBB">
        <w:rPr>
          <w:rFonts w:ascii="Arial" w:hAnsi="Arial" w:cs="Arial"/>
          <w:color w:val="000000"/>
          <w:sz w:val="22"/>
          <w:szCs w:val="22"/>
        </w:rPr>
        <w:t xml:space="preserve">or </w:t>
      </w:r>
      <w:r w:rsidR="00272479">
        <w:rPr>
          <w:rFonts w:ascii="Arial" w:hAnsi="Arial" w:cs="Arial"/>
          <w:color w:val="000000"/>
          <w:sz w:val="22"/>
          <w:szCs w:val="22"/>
        </w:rPr>
        <w:t xml:space="preserve">an average of </w:t>
      </w:r>
      <w:r w:rsidR="00974040">
        <w:rPr>
          <w:rFonts w:ascii="Arial" w:hAnsi="Arial" w:cs="Arial"/>
          <w:color w:val="000000"/>
          <w:sz w:val="22"/>
          <w:szCs w:val="22"/>
        </w:rPr>
        <w:t xml:space="preserve">5 per </w:t>
      </w:r>
      <w:r w:rsidRPr="000979D2" w:rsidR="00974040">
        <w:rPr>
          <w:rFonts w:ascii="Arial" w:hAnsi="Arial" w:cs="Arial"/>
          <w:color w:val="000000"/>
          <w:sz w:val="22"/>
          <w:szCs w:val="22"/>
        </w:rPr>
        <w:t>fiscal</w:t>
      </w:r>
      <w:r w:rsidR="00974040">
        <w:rPr>
          <w:rFonts w:ascii="Arial" w:hAnsi="Arial" w:cs="Arial"/>
          <w:color w:val="000000"/>
          <w:sz w:val="22"/>
          <w:szCs w:val="22"/>
        </w:rPr>
        <w:t xml:space="preserve"> year</w:t>
      </w:r>
      <w:r w:rsidR="001F3C4D">
        <w:rPr>
          <w:rFonts w:ascii="Arial" w:hAnsi="Arial" w:cs="Arial"/>
          <w:color w:val="000000"/>
          <w:sz w:val="22"/>
          <w:szCs w:val="22"/>
        </w:rPr>
        <w:t xml:space="preserve">.  </w:t>
      </w:r>
      <w:r w:rsidR="00DA1F67">
        <w:rPr>
          <w:rFonts w:ascii="Arial" w:hAnsi="Arial" w:cs="Arial"/>
          <w:sz w:val="22"/>
          <w:szCs w:val="22"/>
        </w:rPr>
        <w:t xml:space="preserve">The </w:t>
      </w:r>
      <w:r w:rsidRPr="00D51029">
        <w:rPr>
          <w:rFonts w:ascii="Arial" w:hAnsi="Arial" w:cs="Arial"/>
          <w:sz w:val="22"/>
          <w:szCs w:val="22"/>
        </w:rPr>
        <w:t>NRC estimates that each letter will incur a burden of 10 hours</w:t>
      </w:r>
      <w:bookmarkStart w:name="OLE_LINK3" w:id="2"/>
      <w:bookmarkStart w:name="OLE_LINK4" w:id="3"/>
      <w:r w:rsidRPr="00D51029">
        <w:rPr>
          <w:rFonts w:ascii="Arial" w:hAnsi="Arial" w:cs="Arial"/>
          <w:sz w:val="22"/>
          <w:szCs w:val="22"/>
        </w:rPr>
        <w:t xml:space="preserve"> </w:t>
      </w:r>
      <w:r w:rsidR="00A761B9">
        <w:rPr>
          <w:rFonts w:ascii="Arial" w:hAnsi="Arial" w:cs="Arial"/>
          <w:sz w:val="22"/>
          <w:szCs w:val="22"/>
        </w:rPr>
        <w:t xml:space="preserve">resulting in </w:t>
      </w:r>
      <w:r w:rsidR="00975FD3">
        <w:rPr>
          <w:rFonts w:ascii="Arial" w:hAnsi="Arial" w:cs="Arial"/>
          <w:sz w:val="22"/>
          <w:szCs w:val="22"/>
        </w:rPr>
        <w:t>50</w:t>
      </w:r>
      <w:r w:rsidRPr="00D51029" w:rsidR="00975FD3">
        <w:rPr>
          <w:rFonts w:ascii="Arial" w:hAnsi="Arial" w:cs="Arial"/>
          <w:sz w:val="22"/>
          <w:szCs w:val="22"/>
        </w:rPr>
        <w:t xml:space="preserve"> </w:t>
      </w:r>
      <w:r w:rsidRPr="00D51029">
        <w:rPr>
          <w:rFonts w:ascii="Arial" w:hAnsi="Arial" w:cs="Arial"/>
          <w:sz w:val="22"/>
          <w:szCs w:val="22"/>
        </w:rPr>
        <w:t>hours/year</w:t>
      </w:r>
      <w:r w:rsidR="00A761B9">
        <w:rPr>
          <w:rFonts w:ascii="Arial" w:hAnsi="Arial" w:cs="Arial"/>
          <w:sz w:val="22"/>
          <w:szCs w:val="22"/>
        </w:rPr>
        <w:t xml:space="preserve"> (10 hours x </w:t>
      </w:r>
      <w:r w:rsidR="00975FD3">
        <w:rPr>
          <w:rFonts w:ascii="Arial" w:hAnsi="Arial" w:cs="Arial"/>
          <w:sz w:val="22"/>
          <w:szCs w:val="22"/>
        </w:rPr>
        <w:t>5</w:t>
      </w:r>
      <w:r w:rsidR="00A761B9">
        <w:rPr>
          <w:rFonts w:ascii="Arial" w:hAnsi="Arial" w:cs="Arial"/>
          <w:sz w:val="22"/>
          <w:szCs w:val="22"/>
        </w:rPr>
        <w:t xml:space="preserve"> responses</w:t>
      </w:r>
      <w:r w:rsidRPr="00D51029">
        <w:rPr>
          <w:rFonts w:ascii="Arial" w:hAnsi="Arial" w:cs="Arial"/>
          <w:sz w:val="22"/>
          <w:szCs w:val="22"/>
        </w:rPr>
        <w:t>).</w:t>
      </w:r>
    </w:p>
    <w:p w:rsidRPr="00D51029" w:rsidR="004E6350" w:rsidP="00CC6ED2" w:rsidRDefault="004E6350" w14:paraId="64F5FBDB" w14:textId="77777777">
      <w:pPr>
        <w:ind w:left="1440"/>
        <w:rPr>
          <w:rFonts w:ascii="Arial" w:hAnsi="Arial" w:cs="Arial"/>
          <w:sz w:val="22"/>
          <w:szCs w:val="22"/>
        </w:rPr>
      </w:pPr>
    </w:p>
    <w:p w:rsidRPr="00D51029" w:rsidR="004E6350" w:rsidP="00CC6ED2" w:rsidRDefault="004E6350" w14:paraId="4BCBFF43" w14:textId="3DACB3B7">
      <w:pPr>
        <w:ind w:left="1440"/>
        <w:rPr>
          <w:rFonts w:ascii="Arial" w:hAnsi="Arial" w:cs="Arial"/>
          <w:sz w:val="22"/>
          <w:szCs w:val="22"/>
        </w:rPr>
      </w:pPr>
      <w:r w:rsidRPr="00D51029">
        <w:rPr>
          <w:rFonts w:ascii="Arial" w:hAnsi="Arial" w:cs="Arial"/>
          <w:sz w:val="22"/>
          <w:szCs w:val="22"/>
        </w:rPr>
        <w:t>A summary of the calculations for reporting burden and cost is provided in Table</w:t>
      </w:r>
      <w:r w:rsidR="00C929ED">
        <w:rPr>
          <w:rFonts w:ascii="Arial" w:hAnsi="Arial" w:cs="Arial"/>
          <w:sz w:val="22"/>
          <w:szCs w:val="22"/>
        </w:rPr>
        <w:t> </w:t>
      </w:r>
      <w:r w:rsidRPr="00D51029">
        <w:rPr>
          <w:rFonts w:ascii="Arial" w:hAnsi="Arial" w:cs="Arial"/>
          <w:sz w:val="22"/>
          <w:szCs w:val="22"/>
        </w:rPr>
        <w:t>1</w:t>
      </w:r>
      <w:bookmarkEnd w:id="2"/>
      <w:bookmarkEnd w:id="3"/>
      <w:r w:rsidRPr="00D51029">
        <w:rPr>
          <w:rFonts w:ascii="Arial" w:hAnsi="Arial" w:cs="Arial"/>
          <w:sz w:val="22"/>
          <w:szCs w:val="22"/>
        </w:rPr>
        <w:t>.</w:t>
      </w:r>
    </w:p>
    <w:p w:rsidRPr="00D51029" w:rsidR="004E6350" w:rsidP="00CC6ED2" w:rsidRDefault="004E6350" w14:paraId="6C0C8D19" w14:textId="77777777">
      <w:pPr>
        <w:ind w:left="1440"/>
        <w:rPr>
          <w:rFonts w:ascii="Arial" w:hAnsi="Arial" w:cs="Arial"/>
          <w:sz w:val="22"/>
          <w:szCs w:val="22"/>
          <w:highlight w:val="yellow"/>
        </w:rPr>
      </w:pPr>
    </w:p>
    <w:p w:rsidRPr="00D51029" w:rsidR="004E6350" w:rsidP="00162949" w:rsidRDefault="004E6350" w14:paraId="388DD72B" w14:textId="77777777">
      <w:pPr>
        <w:ind w:left="1440"/>
        <w:rPr>
          <w:rFonts w:ascii="Arial" w:hAnsi="Arial" w:cs="Arial"/>
          <w:sz w:val="22"/>
          <w:szCs w:val="22"/>
          <w:u w:val="single"/>
        </w:rPr>
      </w:pPr>
      <w:r w:rsidRPr="00D51029">
        <w:rPr>
          <w:rFonts w:ascii="Arial" w:hAnsi="Arial" w:cs="Arial"/>
          <w:sz w:val="22"/>
          <w:szCs w:val="22"/>
          <w:u w:val="single"/>
        </w:rPr>
        <w:t>Recordkeeping Burden</w:t>
      </w:r>
    </w:p>
    <w:p w:rsidRPr="00D51029" w:rsidR="004E6350" w:rsidP="00162949" w:rsidRDefault="004E6350" w14:paraId="3484536E" w14:textId="77777777">
      <w:pPr>
        <w:ind w:left="1440"/>
        <w:rPr>
          <w:rFonts w:ascii="Arial" w:hAnsi="Arial" w:cs="Arial"/>
          <w:sz w:val="22"/>
          <w:szCs w:val="22"/>
          <w:u w:val="single"/>
        </w:rPr>
      </w:pPr>
    </w:p>
    <w:p w:rsidR="007261AB" w:rsidP="00162949" w:rsidRDefault="004E6350" w14:paraId="251E3A61" w14:textId="2FBC4F54">
      <w:pPr>
        <w:ind w:left="1440"/>
        <w:rPr>
          <w:rFonts w:ascii="Arial" w:hAnsi="Arial" w:cs="Arial"/>
          <w:sz w:val="22"/>
          <w:szCs w:val="22"/>
        </w:rPr>
      </w:pPr>
      <w:r w:rsidRPr="00EB2A79">
        <w:rPr>
          <w:rFonts w:ascii="Arial" w:hAnsi="Arial" w:cs="Arial"/>
          <w:sz w:val="22"/>
          <w:szCs w:val="22"/>
        </w:rPr>
        <w:t>The annual recordkeeping burden covers all licensee efforts associated with retaining information to document compliance with 10 CFR Part 54</w:t>
      </w:r>
      <w:r w:rsidRPr="00A6358C" w:rsidR="00A6358C">
        <w:rPr>
          <w:rFonts w:ascii="Arial" w:hAnsi="Arial" w:cs="Arial"/>
          <w:sz w:val="22"/>
          <w:szCs w:val="22"/>
        </w:rPr>
        <w:t xml:space="preserve"> </w:t>
      </w:r>
      <w:r w:rsidRPr="00EB2A79" w:rsidR="00A6358C">
        <w:rPr>
          <w:rFonts w:ascii="Arial" w:hAnsi="Arial" w:cs="Arial"/>
          <w:sz w:val="22"/>
          <w:szCs w:val="22"/>
        </w:rPr>
        <w:t>as required by 10</w:t>
      </w:r>
      <w:r w:rsidR="00A6358C">
        <w:rPr>
          <w:rFonts w:ascii="Arial" w:hAnsi="Arial" w:cs="Arial"/>
          <w:sz w:val="22"/>
          <w:szCs w:val="22"/>
        </w:rPr>
        <w:t> </w:t>
      </w:r>
      <w:r w:rsidRPr="00EB2A79" w:rsidR="00A6358C">
        <w:rPr>
          <w:rFonts w:ascii="Arial" w:hAnsi="Arial" w:cs="Arial"/>
          <w:sz w:val="22"/>
          <w:szCs w:val="22"/>
        </w:rPr>
        <w:t>CFR</w:t>
      </w:r>
      <w:r w:rsidR="00A6358C">
        <w:rPr>
          <w:rFonts w:ascii="Arial" w:hAnsi="Arial" w:cs="Arial"/>
          <w:sz w:val="22"/>
          <w:szCs w:val="22"/>
        </w:rPr>
        <w:t> </w:t>
      </w:r>
      <w:r w:rsidRPr="00EB2A79" w:rsidR="00A6358C">
        <w:rPr>
          <w:rFonts w:ascii="Arial" w:hAnsi="Arial" w:cs="Arial"/>
          <w:sz w:val="22"/>
          <w:szCs w:val="22"/>
        </w:rPr>
        <w:t>54.37</w:t>
      </w:r>
      <w:r w:rsidRPr="00EB2A79">
        <w:rPr>
          <w:rFonts w:ascii="Arial" w:hAnsi="Arial" w:cs="Arial"/>
          <w:sz w:val="22"/>
          <w:szCs w:val="22"/>
        </w:rPr>
        <w:t xml:space="preserve">.  This burden begins when the NRC grants a renewed license and continues throughout the period of extended operation until the renewed license expires.  </w:t>
      </w:r>
      <w:r w:rsidR="00BD75D0">
        <w:rPr>
          <w:rFonts w:ascii="Arial" w:hAnsi="Arial" w:cs="Arial"/>
          <w:sz w:val="22"/>
          <w:szCs w:val="22"/>
        </w:rPr>
        <w:t xml:space="preserve">Since an applicant for subsequent license renewal must maintain records </w:t>
      </w:r>
      <w:r w:rsidR="00CA0359">
        <w:rPr>
          <w:rFonts w:ascii="Arial" w:hAnsi="Arial" w:cs="Arial"/>
          <w:sz w:val="22"/>
          <w:szCs w:val="22"/>
        </w:rPr>
        <w:t xml:space="preserve">related to both initial license renewal and </w:t>
      </w:r>
      <w:r w:rsidR="007261AB">
        <w:rPr>
          <w:rFonts w:ascii="Arial" w:hAnsi="Arial" w:cs="Arial"/>
          <w:sz w:val="22"/>
          <w:szCs w:val="22"/>
        </w:rPr>
        <w:t xml:space="preserve">subsequent license renewal </w:t>
      </w:r>
      <w:r w:rsidR="00BD75D0">
        <w:rPr>
          <w:rFonts w:ascii="Arial" w:hAnsi="Arial" w:cs="Arial"/>
          <w:sz w:val="22"/>
          <w:szCs w:val="22"/>
        </w:rPr>
        <w:t>while the application is being reviewed by the NRC staff, this 18</w:t>
      </w:r>
      <w:r w:rsidR="00BD75D0">
        <w:rPr>
          <w:rFonts w:ascii="Arial" w:hAnsi="Arial" w:cs="Arial"/>
          <w:sz w:val="22"/>
          <w:szCs w:val="22"/>
        </w:rPr>
        <w:noBreakHyphen/>
        <w:t xml:space="preserve">month review period </w:t>
      </w:r>
      <w:r w:rsidR="007261AB">
        <w:rPr>
          <w:rFonts w:ascii="Arial" w:hAnsi="Arial" w:cs="Arial"/>
          <w:sz w:val="22"/>
          <w:szCs w:val="22"/>
        </w:rPr>
        <w:t xml:space="preserve">of “double burden” </w:t>
      </w:r>
      <w:r w:rsidR="00BD75D0">
        <w:rPr>
          <w:rFonts w:ascii="Arial" w:hAnsi="Arial" w:cs="Arial"/>
          <w:sz w:val="22"/>
          <w:szCs w:val="22"/>
        </w:rPr>
        <w:t xml:space="preserve">is also included in the estimate here.  </w:t>
      </w:r>
      <w:r w:rsidR="007261AB">
        <w:rPr>
          <w:rFonts w:ascii="Arial" w:hAnsi="Arial" w:cs="Arial"/>
          <w:sz w:val="22"/>
          <w:szCs w:val="22"/>
        </w:rPr>
        <w:t>This analysis already assumes that applicants for initial renewed licenses will be recordkeepers during the clearance period, this adjustment is not required to account for recordkeeping during initial license renewal application reviews.</w:t>
      </w:r>
    </w:p>
    <w:p w:rsidR="007261AB" w:rsidP="00162949" w:rsidRDefault="007261AB" w14:paraId="3C7C7D64" w14:textId="77777777">
      <w:pPr>
        <w:ind w:left="1440"/>
        <w:rPr>
          <w:rFonts w:ascii="Arial" w:hAnsi="Arial" w:cs="Arial"/>
          <w:sz w:val="22"/>
          <w:szCs w:val="22"/>
        </w:rPr>
      </w:pPr>
    </w:p>
    <w:p w:rsidRPr="00D51029" w:rsidR="004E6350" w:rsidP="00162949" w:rsidRDefault="004E6350" w14:paraId="53816F63" w14:textId="59C57E9A">
      <w:pPr>
        <w:ind w:left="1440"/>
        <w:rPr>
          <w:rFonts w:ascii="Arial" w:hAnsi="Arial" w:cs="Arial"/>
          <w:sz w:val="22"/>
          <w:szCs w:val="22"/>
        </w:rPr>
      </w:pPr>
      <w:r w:rsidRPr="00EB2A79">
        <w:rPr>
          <w:rFonts w:ascii="Arial" w:hAnsi="Arial" w:cs="Arial"/>
          <w:sz w:val="22"/>
          <w:szCs w:val="22"/>
        </w:rPr>
        <w:t xml:space="preserve">During the clearance period, the total number of recordkeepers per year will </w:t>
      </w:r>
      <w:r w:rsidR="00232807">
        <w:rPr>
          <w:rFonts w:ascii="Arial" w:hAnsi="Arial" w:cs="Arial"/>
          <w:sz w:val="22"/>
          <w:szCs w:val="22"/>
        </w:rPr>
        <w:t xml:space="preserve">generally </w:t>
      </w:r>
      <w:r w:rsidRPr="00EB2A79">
        <w:rPr>
          <w:rFonts w:ascii="Arial" w:hAnsi="Arial" w:cs="Arial"/>
          <w:sz w:val="22"/>
          <w:szCs w:val="22"/>
        </w:rPr>
        <w:t>increase as NRC receives more applications and issues more renewed licenses.  To estimate the number of recordkeepers, the NRC considered each reactor site with renewed operating license(s)</w:t>
      </w:r>
      <w:r w:rsidR="00BD75D0">
        <w:rPr>
          <w:rFonts w:ascii="Arial" w:hAnsi="Arial" w:cs="Arial"/>
          <w:sz w:val="22"/>
          <w:szCs w:val="22"/>
        </w:rPr>
        <w:t xml:space="preserve"> or an application for </w:t>
      </w:r>
      <w:r w:rsidR="007261AB">
        <w:rPr>
          <w:rFonts w:ascii="Arial" w:hAnsi="Arial" w:cs="Arial"/>
          <w:sz w:val="22"/>
          <w:szCs w:val="22"/>
        </w:rPr>
        <w:t xml:space="preserve">subsequent </w:t>
      </w:r>
      <w:r w:rsidR="00BD75D0">
        <w:rPr>
          <w:rFonts w:ascii="Arial" w:hAnsi="Arial" w:cs="Arial"/>
          <w:sz w:val="22"/>
          <w:szCs w:val="22"/>
        </w:rPr>
        <w:t>renewed operating license under review</w:t>
      </w:r>
      <w:r w:rsidRPr="00EB2A79">
        <w:rPr>
          <w:rFonts w:ascii="Arial" w:hAnsi="Arial" w:cs="Arial"/>
          <w:sz w:val="22"/>
          <w:szCs w:val="22"/>
        </w:rPr>
        <w:t xml:space="preserve">.  Licensees typically submit combined license renewal applications for multi-unit </w:t>
      </w:r>
      <w:r w:rsidRPr="00EB2A79" w:rsidR="00A86336">
        <w:rPr>
          <w:rFonts w:ascii="Arial" w:hAnsi="Arial" w:cs="Arial"/>
          <w:sz w:val="22"/>
          <w:szCs w:val="22"/>
        </w:rPr>
        <w:t>sites,</w:t>
      </w:r>
      <w:r w:rsidRPr="00EB2A79">
        <w:rPr>
          <w:rFonts w:ascii="Arial" w:hAnsi="Arial" w:cs="Arial"/>
          <w:sz w:val="22"/>
          <w:szCs w:val="22"/>
        </w:rPr>
        <w:t xml:space="preserve"> so the NRC issues the renewed license for each unit at the same time.  </w:t>
      </w:r>
      <w:r w:rsidR="00A74915">
        <w:rPr>
          <w:rFonts w:ascii="Arial" w:hAnsi="Arial" w:cs="Arial"/>
          <w:sz w:val="22"/>
          <w:szCs w:val="22"/>
        </w:rPr>
        <w:t>T</w:t>
      </w:r>
      <w:r w:rsidRPr="00EB2A79">
        <w:rPr>
          <w:rFonts w:ascii="Arial" w:hAnsi="Arial" w:cs="Arial"/>
          <w:sz w:val="22"/>
          <w:szCs w:val="22"/>
        </w:rPr>
        <w:t>he NRC estimates that the recordkeeping burden for a multi-unit site is approximately equivalent to the burden for a single unit site.</w:t>
      </w:r>
    </w:p>
    <w:p w:rsidRPr="00D51029" w:rsidR="004E6350" w:rsidP="00162949" w:rsidRDefault="004E6350" w14:paraId="279B0D4C" w14:textId="77777777">
      <w:pPr>
        <w:ind w:left="1440"/>
        <w:rPr>
          <w:rFonts w:ascii="Arial" w:hAnsi="Arial" w:cs="Arial"/>
          <w:sz w:val="22"/>
          <w:szCs w:val="22"/>
        </w:rPr>
      </w:pPr>
    </w:p>
    <w:p w:rsidR="00BC4547" w:rsidP="00162949" w:rsidRDefault="00416C92" w14:paraId="240F504B" w14:textId="39C7595E">
      <w:pPr>
        <w:ind w:left="1440"/>
        <w:rPr>
          <w:rFonts w:ascii="Arial" w:hAnsi="Arial" w:cs="Arial"/>
          <w:sz w:val="22"/>
          <w:szCs w:val="22"/>
        </w:rPr>
      </w:pPr>
      <w:r>
        <w:rPr>
          <w:rFonts w:ascii="Arial" w:hAnsi="Arial" w:cs="Arial"/>
          <w:sz w:val="22"/>
          <w:szCs w:val="22"/>
        </w:rPr>
        <w:t>At the beginning of the clearance perio</w:t>
      </w:r>
      <w:r w:rsidR="00952DD4">
        <w:rPr>
          <w:rFonts w:ascii="Arial" w:hAnsi="Arial" w:cs="Arial"/>
          <w:sz w:val="22"/>
          <w:szCs w:val="22"/>
        </w:rPr>
        <w:t xml:space="preserve">d, there </w:t>
      </w:r>
      <w:r w:rsidR="006E3991">
        <w:rPr>
          <w:rFonts w:ascii="Arial" w:hAnsi="Arial" w:cs="Arial"/>
          <w:sz w:val="22"/>
          <w:szCs w:val="22"/>
        </w:rPr>
        <w:t xml:space="preserve">will be </w:t>
      </w:r>
      <w:r w:rsidR="00DC664F">
        <w:rPr>
          <w:rFonts w:ascii="Arial" w:hAnsi="Arial" w:cs="Arial"/>
          <w:sz w:val="22"/>
          <w:szCs w:val="22"/>
        </w:rPr>
        <w:t>5</w:t>
      </w:r>
      <w:r w:rsidR="00CB1871">
        <w:rPr>
          <w:rFonts w:ascii="Arial" w:hAnsi="Arial" w:cs="Arial"/>
          <w:sz w:val="22"/>
          <w:szCs w:val="22"/>
        </w:rPr>
        <w:t xml:space="preserve">4 </w:t>
      </w:r>
      <w:r w:rsidR="008C07CB">
        <w:rPr>
          <w:rFonts w:ascii="Arial" w:hAnsi="Arial" w:cs="Arial"/>
          <w:sz w:val="22"/>
          <w:szCs w:val="22"/>
        </w:rPr>
        <w:t>recordkeeper</w:t>
      </w:r>
      <w:r w:rsidR="00D67B27">
        <w:rPr>
          <w:rFonts w:ascii="Arial" w:hAnsi="Arial" w:cs="Arial"/>
          <w:sz w:val="22"/>
          <w:szCs w:val="22"/>
        </w:rPr>
        <w:t>s</w:t>
      </w:r>
      <w:r w:rsidR="008C07CB">
        <w:rPr>
          <w:rFonts w:ascii="Arial" w:hAnsi="Arial" w:cs="Arial"/>
          <w:sz w:val="22"/>
          <w:szCs w:val="22"/>
        </w:rPr>
        <w:t xml:space="preserve"> o</w:t>
      </w:r>
      <w:r w:rsidR="00087D62">
        <w:rPr>
          <w:rFonts w:ascii="Arial" w:hAnsi="Arial" w:cs="Arial"/>
          <w:sz w:val="22"/>
          <w:szCs w:val="22"/>
        </w:rPr>
        <w:t>f</w:t>
      </w:r>
      <w:r w:rsidR="008C07CB">
        <w:rPr>
          <w:rFonts w:ascii="Arial" w:hAnsi="Arial" w:cs="Arial"/>
          <w:sz w:val="22"/>
          <w:szCs w:val="22"/>
        </w:rPr>
        <w:t xml:space="preserve"> 88 renewed licenses</w:t>
      </w:r>
      <w:r w:rsidR="00BD75D0">
        <w:rPr>
          <w:rFonts w:ascii="Arial" w:hAnsi="Arial" w:cs="Arial"/>
          <w:sz w:val="22"/>
          <w:szCs w:val="22"/>
        </w:rPr>
        <w:t xml:space="preserve"> or applications for renewed licenses</w:t>
      </w:r>
      <w:r w:rsidR="008C07CB">
        <w:rPr>
          <w:rFonts w:ascii="Arial" w:hAnsi="Arial" w:cs="Arial"/>
          <w:sz w:val="22"/>
          <w:szCs w:val="22"/>
        </w:rPr>
        <w:t xml:space="preserve">.  </w:t>
      </w:r>
      <w:r w:rsidR="00BD75D0">
        <w:rPr>
          <w:rFonts w:ascii="Arial" w:hAnsi="Arial" w:cs="Arial"/>
          <w:sz w:val="22"/>
          <w:szCs w:val="22"/>
        </w:rPr>
        <w:t xml:space="preserve">Three </w:t>
      </w:r>
      <w:r w:rsidR="00D72E50">
        <w:rPr>
          <w:rFonts w:ascii="Arial" w:hAnsi="Arial" w:cs="Arial"/>
          <w:sz w:val="22"/>
          <w:szCs w:val="22"/>
        </w:rPr>
        <w:t xml:space="preserve">of these recordkeepers </w:t>
      </w:r>
      <w:r w:rsidR="00BA41A5">
        <w:rPr>
          <w:rFonts w:ascii="Arial" w:hAnsi="Arial" w:cs="Arial"/>
          <w:sz w:val="22"/>
          <w:szCs w:val="22"/>
        </w:rPr>
        <w:t>(Turkey Point Units 3 and 4, Peach Bottom Units 2 and 3</w:t>
      </w:r>
      <w:r w:rsidR="00BD75D0">
        <w:rPr>
          <w:rFonts w:ascii="Arial" w:hAnsi="Arial" w:cs="Arial"/>
          <w:sz w:val="22"/>
          <w:szCs w:val="22"/>
        </w:rPr>
        <w:t xml:space="preserve">, and Surry </w:t>
      </w:r>
      <w:r w:rsidR="00325637">
        <w:rPr>
          <w:rFonts w:ascii="Arial" w:hAnsi="Arial" w:cs="Arial"/>
          <w:sz w:val="22"/>
          <w:szCs w:val="22"/>
        </w:rPr>
        <w:t>Units 1 and 2</w:t>
      </w:r>
      <w:r w:rsidR="00BA41A5">
        <w:rPr>
          <w:rFonts w:ascii="Arial" w:hAnsi="Arial" w:cs="Arial"/>
          <w:sz w:val="22"/>
          <w:szCs w:val="22"/>
        </w:rPr>
        <w:t xml:space="preserve">) </w:t>
      </w:r>
      <w:r w:rsidR="00D72E50">
        <w:rPr>
          <w:rFonts w:ascii="Arial" w:hAnsi="Arial" w:cs="Arial"/>
          <w:sz w:val="22"/>
          <w:szCs w:val="22"/>
        </w:rPr>
        <w:t xml:space="preserve">are holders of subsequently renewed licenses.  </w:t>
      </w:r>
      <w:r w:rsidR="00087D62">
        <w:rPr>
          <w:rFonts w:ascii="Arial" w:hAnsi="Arial" w:cs="Arial"/>
          <w:sz w:val="22"/>
          <w:szCs w:val="22"/>
        </w:rPr>
        <w:t xml:space="preserve">During the clearance period, the NRC </w:t>
      </w:r>
      <w:r w:rsidR="00325637">
        <w:rPr>
          <w:rFonts w:ascii="Arial" w:hAnsi="Arial" w:cs="Arial"/>
          <w:sz w:val="22"/>
          <w:szCs w:val="22"/>
        </w:rPr>
        <w:t>expects to review an application for</w:t>
      </w:r>
      <w:r w:rsidR="00114210">
        <w:rPr>
          <w:rFonts w:ascii="Arial" w:hAnsi="Arial" w:cs="Arial"/>
          <w:sz w:val="22"/>
          <w:szCs w:val="22"/>
        </w:rPr>
        <w:t>,</w:t>
      </w:r>
      <w:r w:rsidR="00325637">
        <w:rPr>
          <w:rFonts w:ascii="Arial" w:hAnsi="Arial" w:cs="Arial"/>
          <w:sz w:val="22"/>
          <w:szCs w:val="22"/>
        </w:rPr>
        <w:t xml:space="preserve"> </w:t>
      </w:r>
      <w:r w:rsidR="00114210">
        <w:rPr>
          <w:rFonts w:ascii="Arial" w:hAnsi="Arial" w:cs="Arial"/>
          <w:sz w:val="22"/>
          <w:szCs w:val="22"/>
        </w:rPr>
        <w:t xml:space="preserve">and </w:t>
      </w:r>
      <w:r w:rsidR="00087D62">
        <w:rPr>
          <w:rFonts w:ascii="Arial" w:hAnsi="Arial" w:cs="Arial"/>
          <w:sz w:val="22"/>
          <w:szCs w:val="22"/>
        </w:rPr>
        <w:t xml:space="preserve">may </w:t>
      </w:r>
      <w:r w:rsidR="003151BA">
        <w:rPr>
          <w:rFonts w:ascii="Arial" w:hAnsi="Arial" w:cs="Arial"/>
          <w:sz w:val="22"/>
          <w:szCs w:val="22"/>
        </w:rPr>
        <w:t xml:space="preserve">issue </w:t>
      </w:r>
      <w:r w:rsidR="00BA41A5">
        <w:rPr>
          <w:rFonts w:ascii="Arial" w:hAnsi="Arial" w:cs="Arial"/>
          <w:sz w:val="22"/>
          <w:szCs w:val="22"/>
        </w:rPr>
        <w:t xml:space="preserve">initial renewed </w:t>
      </w:r>
      <w:r w:rsidR="002F5C72">
        <w:rPr>
          <w:rFonts w:ascii="Arial" w:hAnsi="Arial" w:cs="Arial"/>
          <w:sz w:val="22"/>
          <w:szCs w:val="22"/>
        </w:rPr>
        <w:t>licenses for</w:t>
      </w:r>
      <w:r w:rsidR="009D1EA8">
        <w:rPr>
          <w:rFonts w:ascii="Arial" w:hAnsi="Arial" w:cs="Arial"/>
          <w:sz w:val="22"/>
          <w:szCs w:val="22"/>
        </w:rPr>
        <w:t xml:space="preserve"> </w:t>
      </w:r>
      <w:r w:rsidR="002F5C72">
        <w:rPr>
          <w:rFonts w:ascii="Arial" w:hAnsi="Arial" w:cs="Arial"/>
          <w:sz w:val="22"/>
          <w:szCs w:val="22"/>
        </w:rPr>
        <w:t xml:space="preserve">Comanche Peak Units 1 and 2, adding one more </w:t>
      </w:r>
      <w:r w:rsidR="002F5C72">
        <w:rPr>
          <w:rFonts w:ascii="Arial" w:hAnsi="Arial" w:cs="Arial"/>
          <w:sz w:val="22"/>
          <w:szCs w:val="22"/>
        </w:rPr>
        <w:lastRenderedPageBreak/>
        <w:t>recordkeeper</w:t>
      </w:r>
      <w:r w:rsidR="009D1EA8">
        <w:rPr>
          <w:rFonts w:ascii="Arial" w:hAnsi="Arial" w:cs="Arial"/>
          <w:sz w:val="22"/>
          <w:szCs w:val="22"/>
        </w:rPr>
        <w:t xml:space="preserve"> </w:t>
      </w:r>
      <w:r w:rsidR="00FF2A34">
        <w:rPr>
          <w:rFonts w:ascii="Arial" w:hAnsi="Arial" w:cs="Arial"/>
          <w:sz w:val="22"/>
          <w:szCs w:val="22"/>
        </w:rPr>
        <w:t xml:space="preserve">for this multi-unit site </w:t>
      </w:r>
      <w:r w:rsidR="009D1EA8">
        <w:rPr>
          <w:rFonts w:ascii="Arial" w:hAnsi="Arial" w:cs="Arial"/>
          <w:sz w:val="22"/>
          <w:szCs w:val="22"/>
        </w:rPr>
        <w:t>and</w:t>
      </w:r>
      <w:r w:rsidR="002F5C72">
        <w:rPr>
          <w:rFonts w:ascii="Arial" w:hAnsi="Arial" w:cs="Arial"/>
          <w:sz w:val="22"/>
          <w:szCs w:val="22"/>
        </w:rPr>
        <w:t xml:space="preserve"> </w:t>
      </w:r>
      <w:r w:rsidR="00F80386">
        <w:rPr>
          <w:rFonts w:ascii="Arial" w:hAnsi="Arial" w:cs="Arial"/>
          <w:sz w:val="22"/>
          <w:szCs w:val="22"/>
        </w:rPr>
        <w:t xml:space="preserve">resulting in an average of 55 </w:t>
      </w:r>
      <w:r w:rsidR="0095350A">
        <w:rPr>
          <w:rFonts w:ascii="Arial" w:hAnsi="Arial" w:cs="Arial"/>
          <w:sz w:val="22"/>
          <w:szCs w:val="22"/>
        </w:rPr>
        <w:t xml:space="preserve">recordkeepers </w:t>
      </w:r>
      <w:r w:rsidR="00114210">
        <w:rPr>
          <w:rFonts w:ascii="Arial" w:hAnsi="Arial" w:cs="Arial"/>
          <w:sz w:val="22"/>
          <w:szCs w:val="22"/>
        </w:rPr>
        <w:t xml:space="preserve">of 90 renewed licenses </w:t>
      </w:r>
      <w:r w:rsidR="0095350A">
        <w:rPr>
          <w:rFonts w:ascii="Arial" w:hAnsi="Arial" w:cs="Arial"/>
          <w:sz w:val="22"/>
          <w:szCs w:val="22"/>
        </w:rPr>
        <w:t>during the clearance period.</w:t>
      </w:r>
      <w:r w:rsidR="0017665A">
        <w:rPr>
          <w:rFonts w:ascii="Arial" w:hAnsi="Arial" w:cs="Arial"/>
          <w:sz w:val="22"/>
          <w:szCs w:val="22"/>
        </w:rPr>
        <w:t xml:space="preserve"> </w:t>
      </w:r>
      <w:r w:rsidR="00BA41A5">
        <w:rPr>
          <w:rFonts w:ascii="Arial" w:hAnsi="Arial" w:cs="Arial"/>
          <w:sz w:val="22"/>
          <w:szCs w:val="22"/>
        </w:rPr>
        <w:t xml:space="preserve"> </w:t>
      </w:r>
    </w:p>
    <w:p w:rsidR="00BC4547" w:rsidP="00162949" w:rsidRDefault="00BC4547" w14:paraId="4E9EEA3B" w14:textId="77777777">
      <w:pPr>
        <w:ind w:left="1440"/>
        <w:rPr>
          <w:rFonts w:ascii="Arial" w:hAnsi="Arial" w:cs="Arial"/>
          <w:sz w:val="22"/>
          <w:szCs w:val="22"/>
        </w:rPr>
      </w:pPr>
    </w:p>
    <w:p w:rsidR="00766669" w:rsidP="00162949" w:rsidRDefault="00BA41A5" w14:paraId="0D91227A" w14:textId="62689B72">
      <w:pPr>
        <w:ind w:left="1440"/>
        <w:rPr>
          <w:rFonts w:ascii="Arial" w:hAnsi="Arial" w:cs="Arial"/>
          <w:sz w:val="22"/>
          <w:szCs w:val="22"/>
        </w:rPr>
      </w:pPr>
      <w:r>
        <w:rPr>
          <w:rFonts w:ascii="Arial" w:hAnsi="Arial" w:cs="Arial"/>
          <w:sz w:val="22"/>
          <w:szCs w:val="22"/>
        </w:rPr>
        <w:t>The NRC may issue subsequent renewed licenses to several applicants during the clearance period</w:t>
      </w:r>
      <w:r w:rsidR="00BC4547">
        <w:rPr>
          <w:rFonts w:ascii="Arial" w:hAnsi="Arial" w:cs="Arial"/>
          <w:sz w:val="22"/>
          <w:szCs w:val="22"/>
        </w:rPr>
        <w:t>.</w:t>
      </w:r>
      <w:r w:rsidR="007261AB">
        <w:rPr>
          <w:rFonts w:ascii="Arial" w:hAnsi="Arial" w:cs="Arial"/>
          <w:sz w:val="22"/>
          <w:szCs w:val="22"/>
        </w:rPr>
        <w:t xml:space="preserve">  </w:t>
      </w:r>
      <w:r w:rsidR="00C91108">
        <w:rPr>
          <w:rFonts w:ascii="Arial" w:hAnsi="Arial" w:cs="Arial"/>
          <w:sz w:val="22"/>
          <w:szCs w:val="22"/>
        </w:rPr>
        <w:t>S</w:t>
      </w:r>
      <w:r>
        <w:rPr>
          <w:rFonts w:ascii="Arial" w:hAnsi="Arial" w:cs="Arial"/>
          <w:sz w:val="22"/>
          <w:szCs w:val="22"/>
        </w:rPr>
        <w:t xml:space="preserve">ince these applicants are already </w:t>
      </w:r>
      <w:r w:rsidR="00BC4547">
        <w:rPr>
          <w:rFonts w:ascii="Arial" w:hAnsi="Arial" w:cs="Arial"/>
          <w:sz w:val="22"/>
          <w:szCs w:val="22"/>
        </w:rPr>
        <w:t xml:space="preserve">counted as existing </w:t>
      </w:r>
      <w:r>
        <w:rPr>
          <w:rFonts w:ascii="Arial" w:hAnsi="Arial" w:cs="Arial"/>
          <w:sz w:val="22"/>
          <w:szCs w:val="22"/>
        </w:rPr>
        <w:t>recordkeepers for the initial renewed licenses of these plants, issuance of the</w:t>
      </w:r>
      <w:r w:rsidR="00DA627F">
        <w:rPr>
          <w:rFonts w:ascii="Arial" w:hAnsi="Arial" w:cs="Arial"/>
          <w:sz w:val="22"/>
          <w:szCs w:val="22"/>
        </w:rPr>
        <w:t>ir</w:t>
      </w:r>
      <w:r>
        <w:rPr>
          <w:rFonts w:ascii="Arial" w:hAnsi="Arial" w:cs="Arial"/>
          <w:sz w:val="22"/>
          <w:szCs w:val="22"/>
        </w:rPr>
        <w:t xml:space="preserve"> subsequent renewed licenses will have no effect on the total number of recordkeepers.</w:t>
      </w:r>
      <w:r w:rsidR="00BC4547">
        <w:rPr>
          <w:rFonts w:ascii="Arial" w:hAnsi="Arial" w:cs="Arial"/>
          <w:sz w:val="22"/>
          <w:szCs w:val="22"/>
        </w:rPr>
        <w:t xml:space="preserve">  However, since applicants for subsequent license renewal must maintain records related to the initial renewed license as well as records supporting their application for subsequent renewed license</w:t>
      </w:r>
      <w:r w:rsidR="00C91108">
        <w:rPr>
          <w:rFonts w:ascii="Arial" w:hAnsi="Arial" w:cs="Arial"/>
          <w:sz w:val="22"/>
          <w:szCs w:val="22"/>
        </w:rPr>
        <w:t xml:space="preserve"> while the NRC is reviewing it, this additional burden is included in this estimate.</w:t>
      </w:r>
    </w:p>
    <w:p w:rsidRPr="0036228D" w:rsidR="004E6350" w:rsidP="00162949" w:rsidRDefault="004E6350" w14:paraId="4BCFBF4F" w14:textId="77777777">
      <w:pPr>
        <w:ind w:left="1440"/>
        <w:rPr>
          <w:rFonts w:ascii="Arial" w:hAnsi="Arial" w:cs="Arial"/>
          <w:sz w:val="22"/>
          <w:szCs w:val="22"/>
        </w:rPr>
      </w:pPr>
    </w:p>
    <w:p w:rsidR="004E6350" w:rsidP="00162949" w:rsidRDefault="004B5AD1" w14:paraId="7BEB1603" w14:textId="7F28BD6D">
      <w:pPr>
        <w:ind w:left="1440"/>
        <w:rPr>
          <w:rFonts w:ascii="Arial" w:hAnsi="Arial" w:cs="Arial"/>
          <w:sz w:val="22"/>
          <w:szCs w:val="22"/>
        </w:rPr>
      </w:pPr>
      <w:r>
        <w:rPr>
          <w:rFonts w:ascii="Arial" w:hAnsi="Arial" w:cs="Arial"/>
          <w:sz w:val="22"/>
          <w:szCs w:val="22"/>
        </w:rPr>
        <w:t xml:space="preserve">Based on </w:t>
      </w:r>
      <w:r w:rsidRPr="00CF5638" w:rsidR="004E6350">
        <w:rPr>
          <w:rFonts w:ascii="Arial" w:hAnsi="Arial" w:cs="Arial"/>
          <w:sz w:val="22"/>
          <w:szCs w:val="22"/>
        </w:rPr>
        <w:t>the outside consultations</w:t>
      </w:r>
      <w:r w:rsidR="00EA7BA3">
        <w:rPr>
          <w:rFonts w:ascii="Arial" w:hAnsi="Arial" w:cs="Arial"/>
          <w:sz w:val="22"/>
          <w:szCs w:val="22"/>
        </w:rPr>
        <w:t xml:space="preserve"> conducted during the 2015 renewal</w:t>
      </w:r>
      <w:r>
        <w:rPr>
          <w:rFonts w:ascii="Arial" w:hAnsi="Arial" w:cs="Arial"/>
          <w:sz w:val="22"/>
          <w:szCs w:val="22"/>
        </w:rPr>
        <w:t>, licensees</w:t>
      </w:r>
      <w:r w:rsidRPr="00CF5638" w:rsidR="004E6350">
        <w:rPr>
          <w:rFonts w:ascii="Arial" w:hAnsi="Arial" w:cs="Arial"/>
          <w:sz w:val="22"/>
          <w:szCs w:val="22"/>
        </w:rPr>
        <w:t xml:space="preserve"> generally agreed with NRC’s recordkeeping burden estimate of 1,000 hours per year which results in </w:t>
      </w:r>
      <w:r w:rsidR="00093FD1">
        <w:rPr>
          <w:rFonts w:ascii="Arial" w:hAnsi="Arial" w:cs="Arial"/>
          <w:sz w:val="22"/>
          <w:szCs w:val="22"/>
        </w:rPr>
        <w:t>55,000</w:t>
      </w:r>
      <w:r w:rsidRPr="00CF5638" w:rsidR="004E6350">
        <w:rPr>
          <w:rFonts w:ascii="Arial" w:hAnsi="Arial" w:cs="Arial"/>
          <w:sz w:val="22"/>
          <w:szCs w:val="22"/>
        </w:rPr>
        <w:t xml:space="preserve"> hours (</w:t>
      </w:r>
      <w:r w:rsidR="00093FD1">
        <w:rPr>
          <w:rFonts w:ascii="Arial" w:hAnsi="Arial" w:cs="Arial"/>
          <w:sz w:val="22"/>
          <w:szCs w:val="22"/>
        </w:rPr>
        <w:t>55</w:t>
      </w:r>
      <w:r w:rsidRPr="00CF5638" w:rsidR="00093FD1">
        <w:rPr>
          <w:rFonts w:ascii="Arial" w:hAnsi="Arial" w:cs="Arial"/>
          <w:sz w:val="22"/>
          <w:szCs w:val="22"/>
        </w:rPr>
        <w:t xml:space="preserve"> </w:t>
      </w:r>
      <w:r w:rsidRPr="00CF5638" w:rsidR="004E6350">
        <w:rPr>
          <w:rFonts w:ascii="Arial" w:hAnsi="Arial" w:cs="Arial"/>
          <w:sz w:val="22"/>
          <w:szCs w:val="22"/>
        </w:rPr>
        <w:t>recordkeepers</w:t>
      </w:r>
      <w:r w:rsidR="00C91108">
        <w:rPr>
          <w:rFonts w:ascii="Arial" w:hAnsi="Arial" w:cs="Arial"/>
          <w:sz w:val="22"/>
          <w:szCs w:val="22"/>
        </w:rPr>
        <w:t xml:space="preserve"> </w:t>
      </w:r>
      <w:r w:rsidR="001773CD">
        <w:rPr>
          <w:rFonts w:ascii="Arial" w:hAnsi="Arial" w:cs="Arial"/>
          <w:sz w:val="22"/>
          <w:szCs w:val="22"/>
        </w:rPr>
        <w:t xml:space="preserve">a </w:t>
      </w:r>
      <w:r w:rsidRPr="00CF5638" w:rsidR="004E6350">
        <w:rPr>
          <w:rFonts w:ascii="Arial" w:hAnsi="Arial" w:cs="Arial"/>
          <w:sz w:val="22"/>
          <w:szCs w:val="22"/>
        </w:rPr>
        <w:t>year x 1</w:t>
      </w:r>
      <w:r w:rsidR="00C91108">
        <w:rPr>
          <w:rFonts w:ascii="Arial" w:hAnsi="Arial" w:cs="Arial"/>
          <w:sz w:val="22"/>
          <w:szCs w:val="22"/>
        </w:rPr>
        <w:t>,</w:t>
      </w:r>
      <w:r w:rsidRPr="00CF5638" w:rsidR="004E6350">
        <w:rPr>
          <w:rFonts w:ascii="Arial" w:hAnsi="Arial" w:cs="Arial"/>
          <w:sz w:val="22"/>
          <w:szCs w:val="22"/>
        </w:rPr>
        <w:t>000 hours)</w:t>
      </w:r>
      <w:r w:rsidR="007A3E0E">
        <w:rPr>
          <w:rFonts w:ascii="Arial" w:hAnsi="Arial" w:cs="Arial"/>
          <w:sz w:val="22"/>
          <w:szCs w:val="22"/>
        </w:rPr>
        <w:t xml:space="preserve">.  </w:t>
      </w:r>
      <w:r w:rsidR="00C91108">
        <w:rPr>
          <w:rFonts w:ascii="Arial" w:hAnsi="Arial" w:cs="Arial"/>
          <w:sz w:val="22"/>
          <w:szCs w:val="22"/>
        </w:rPr>
        <w:t xml:space="preserve">The burden for </w:t>
      </w:r>
      <w:r w:rsidR="007261AB">
        <w:rPr>
          <w:rFonts w:ascii="Arial" w:hAnsi="Arial" w:cs="Arial"/>
          <w:sz w:val="22"/>
          <w:szCs w:val="22"/>
        </w:rPr>
        <w:t xml:space="preserve">subsequent license renewal </w:t>
      </w:r>
      <w:r w:rsidR="00C91108">
        <w:rPr>
          <w:rFonts w:ascii="Arial" w:hAnsi="Arial" w:cs="Arial"/>
          <w:sz w:val="22"/>
          <w:szCs w:val="22"/>
        </w:rPr>
        <w:t>applicants add</w:t>
      </w:r>
      <w:r w:rsidR="007261AB">
        <w:rPr>
          <w:rFonts w:ascii="Arial" w:hAnsi="Arial" w:cs="Arial"/>
          <w:sz w:val="22"/>
          <w:szCs w:val="22"/>
        </w:rPr>
        <w:t>s</w:t>
      </w:r>
      <w:r w:rsidR="00C91108">
        <w:rPr>
          <w:rFonts w:ascii="Arial" w:hAnsi="Arial" w:cs="Arial"/>
          <w:sz w:val="22"/>
          <w:szCs w:val="22"/>
        </w:rPr>
        <w:t xml:space="preserve"> 18 months of recordkeeping per application received during the clearance period.  The staff expects to begin review one new subsequent license renewal application per year during the clearance period, contributing an additional 1,500 hours (1 applicant recordkeeper per year x 1,000 hours/year x 1.5 years).  </w:t>
      </w:r>
      <w:r w:rsidRPr="00D51029" w:rsidR="004E6350">
        <w:rPr>
          <w:rFonts w:ascii="Arial" w:hAnsi="Arial" w:cs="Arial"/>
          <w:sz w:val="22"/>
          <w:szCs w:val="22"/>
        </w:rPr>
        <w:t xml:space="preserve">A summary </w:t>
      </w:r>
      <w:r w:rsidR="0028659B">
        <w:rPr>
          <w:rFonts w:ascii="Arial" w:hAnsi="Arial" w:cs="Arial"/>
          <w:sz w:val="22"/>
          <w:szCs w:val="22"/>
        </w:rPr>
        <w:t xml:space="preserve">of these calculations </w:t>
      </w:r>
      <w:r w:rsidRPr="00D51029" w:rsidR="004E6350">
        <w:rPr>
          <w:rFonts w:ascii="Arial" w:hAnsi="Arial" w:cs="Arial"/>
          <w:sz w:val="22"/>
          <w:szCs w:val="22"/>
        </w:rPr>
        <w:t xml:space="preserve">is </w:t>
      </w:r>
      <w:r w:rsidR="0028659B">
        <w:rPr>
          <w:rFonts w:ascii="Arial" w:hAnsi="Arial" w:cs="Arial"/>
          <w:sz w:val="22"/>
          <w:szCs w:val="22"/>
        </w:rPr>
        <w:t xml:space="preserve">provided </w:t>
      </w:r>
      <w:r w:rsidRPr="00D51029" w:rsidR="004E6350">
        <w:rPr>
          <w:rFonts w:ascii="Arial" w:hAnsi="Arial" w:cs="Arial"/>
          <w:sz w:val="22"/>
          <w:szCs w:val="22"/>
        </w:rPr>
        <w:t>in Table 2.</w:t>
      </w:r>
    </w:p>
    <w:p w:rsidR="00EA7BA3" w:rsidP="00162949" w:rsidRDefault="00EA7BA3" w14:paraId="04B8598B" w14:textId="77777777">
      <w:pPr>
        <w:ind w:left="1440"/>
        <w:rPr>
          <w:rFonts w:ascii="Arial" w:hAnsi="Arial" w:cs="Arial"/>
          <w:sz w:val="22"/>
          <w:szCs w:val="22"/>
        </w:rPr>
      </w:pPr>
    </w:p>
    <w:p w:rsidR="00EA7BA3" w:rsidP="00162949" w:rsidRDefault="00EA7BA3" w14:paraId="2F4FE511" w14:textId="77777777">
      <w:pPr>
        <w:keepNext/>
        <w:ind w:left="1440"/>
        <w:rPr>
          <w:rFonts w:ascii="Arial" w:hAnsi="Arial" w:cs="Arial"/>
          <w:sz w:val="22"/>
          <w:szCs w:val="22"/>
          <w:u w:val="single"/>
        </w:rPr>
      </w:pPr>
      <w:r w:rsidRPr="00EA7BA3">
        <w:rPr>
          <w:rFonts w:ascii="Arial" w:hAnsi="Arial" w:cs="Arial"/>
          <w:sz w:val="22"/>
          <w:szCs w:val="22"/>
          <w:u w:val="single"/>
        </w:rPr>
        <w:t>Total burden</w:t>
      </w:r>
    </w:p>
    <w:p w:rsidRPr="00EA7BA3" w:rsidR="00637070" w:rsidP="00162949" w:rsidRDefault="00637070" w14:paraId="2713802A" w14:textId="77777777">
      <w:pPr>
        <w:keepNext/>
        <w:ind w:left="1440"/>
        <w:rPr>
          <w:rFonts w:ascii="Arial" w:hAnsi="Arial" w:cs="Arial"/>
          <w:sz w:val="22"/>
          <w:szCs w:val="22"/>
          <w:u w:val="single"/>
        </w:rPr>
      </w:pPr>
    </w:p>
    <w:p w:rsidR="00EA7BA3" w:rsidP="00162949" w:rsidRDefault="00EA7BA3" w14:paraId="32288D92" w14:textId="43AFD60F">
      <w:pPr>
        <w:ind w:left="1440"/>
        <w:rPr>
          <w:rFonts w:ascii="Arial" w:hAnsi="Arial" w:cs="Arial"/>
          <w:sz w:val="22"/>
          <w:szCs w:val="22"/>
        </w:rPr>
      </w:pPr>
      <w:r>
        <w:rPr>
          <w:rFonts w:ascii="Arial" w:hAnsi="Arial" w:cs="Arial"/>
          <w:sz w:val="22"/>
          <w:szCs w:val="22"/>
        </w:rPr>
        <w:t xml:space="preserve">The total burden for the Part 54 information collections during the clearance period is </w:t>
      </w:r>
      <w:r w:rsidR="001C241B">
        <w:rPr>
          <w:rFonts w:ascii="Arial" w:hAnsi="Arial" w:cs="Arial"/>
          <w:sz w:val="22"/>
          <w:szCs w:val="22"/>
        </w:rPr>
        <w:t>216,700</w:t>
      </w:r>
      <w:r>
        <w:rPr>
          <w:rFonts w:ascii="Arial" w:hAnsi="Arial" w:cs="Arial"/>
          <w:sz w:val="22"/>
          <w:szCs w:val="22"/>
        </w:rPr>
        <w:t xml:space="preserve"> hours (</w:t>
      </w:r>
      <w:r w:rsidR="00391E56">
        <w:rPr>
          <w:rFonts w:ascii="Arial" w:hAnsi="Arial" w:cs="Arial"/>
          <w:sz w:val="22"/>
          <w:szCs w:val="22"/>
        </w:rPr>
        <w:t>160,200</w:t>
      </w:r>
      <w:r w:rsidRPr="00D51029" w:rsidR="00637070">
        <w:rPr>
          <w:rFonts w:ascii="Arial" w:hAnsi="Arial" w:cs="Arial"/>
          <w:sz w:val="22"/>
          <w:szCs w:val="22"/>
        </w:rPr>
        <w:t xml:space="preserve"> </w:t>
      </w:r>
      <w:r w:rsidR="00637070">
        <w:rPr>
          <w:rFonts w:ascii="Arial" w:hAnsi="Arial" w:cs="Arial"/>
          <w:sz w:val="22"/>
          <w:szCs w:val="22"/>
        </w:rPr>
        <w:t xml:space="preserve">reporting hours + </w:t>
      </w:r>
      <w:r w:rsidR="001C241B">
        <w:rPr>
          <w:rFonts w:ascii="Arial" w:hAnsi="Arial" w:cs="Arial"/>
          <w:sz w:val="22"/>
          <w:szCs w:val="22"/>
        </w:rPr>
        <w:t>56,500</w:t>
      </w:r>
      <w:r>
        <w:rPr>
          <w:rFonts w:ascii="Arial" w:hAnsi="Arial" w:cs="Arial"/>
          <w:sz w:val="22"/>
          <w:szCs w:val="22"/>
        </w:rPr>
        <w:t xml:space="preserve"> recordkeeping</w:t>
      </w:r>
      <w:r w:rsidR="00637070">
        <w:rPr>
          <w:rFonts w:ascii="Arial" w:hAnsi="Arial" w:cs="Arial"/>
          <w:sz w:val="22"/>
          <w:szCs w:val="22"/>
        </w:rPr>
        <w:t xml:space="preserve"> hours</w:t>
      </w:r>
      <w:r>
        <w:rPr>
          <w:rFonts w:ascii="Arial" w:hAnsi="Arial" w:cs="Arial"/>
          <w:sz w:val="22"/>
          <w:szCs w:val="22"/>
        </w:rPr>
        <w:t>)</w:t>
      </w:r>
      <w:r w:rsidR="00637070">
        <w:rPr>
          <w:rFonts w:ascii="Arial" w:hAnsi="Arial" w:cs="Arial"/>
          <w:sz w:val="22"/>
          <w:szCs w:val="22"/>
        </w:rPr>
        <w:t xml:space="preserve"> at a cost of $</w:t>
      </w:r>
      <w:r w:rsidR="00E2558C">
        <w:rPr>
          <w:rFonts w:ascii="Arial" w:hAnsi="Arial" w:cs="Arial"/>
          <w:sz w:val="22"/>
          <w:szCs w:val="22"/>
        </w:rPr>
        <w:t>60</w:t>
      </w:r>
      <w:r w:rsidR="00637070">
        <w:rPr>
          <w:rFonts w:ascii="Arial" w:hAnsi="Arial" w:cs="Arial"/>
          <w:sz w:val="22"/>
          <w:szCs w:val="22"/>
        </w:rPr>
        <w:t>M (</w:t>
      </w:r>
      <w:r w:rsidR="00817950">
        <w:rPr>
          <w:rFonts w:ascii="Arial" w:hAnsi="Arial" w:cs="Arial"/>
          <w:sz w:val="22"/>
          <w:szCs w:val="22"/>
        </w:rPr>
        <w:t>216,700</w:t>
      </w:r>
      <w:r w:rsidR="00637070">
        <w:rPr>
          <w:rFonts w:ascii="Arial" w:hAnsi="Arial" w:cs="Arial"/>
          <w:sz w:val="22"/>
          <w:szCs w:val="22"/>
        </w:rPr>
        <w:t xml:space="preserve"> hours x $</w:t>
      </w:r>
      <w:r w:rsidR="00311EDA">
        <w:rPr>
          <w:rFonts w:ascii="Arial" w:hAnsi="Arial" w:cs="Arial"/>
          <w:sz w:val="22"/>
          <w:szCs w:val="22"/>
        </w:rPr>
        <w:t>279</w:t>
      </w:r>
      <w:r w:rsidR="00637070">
        <w:rPr>
          <w:rFonts w:ascii="Arial" w:hAnsi="Arial" w:cs="Arial"/>
          <w:sz w:val="22"/>
          <w:szCs w:val="22"/>
        </w:rPr>
        <w:t>/</w:t>
      </w:r>
      <w:proofErr w:type="spellStart"/>
      <w:r w:rsidR="00637070">
        <w:rPr>
          <w:rFonts w:ascii="Arial" w:hAnsi="Arial" w:cs="Arial"/>
          <w:sz w:val="22"/>
          <w:szCs w:val="22"/>
        </w:rPr>
        <w:t>hr</w:t>
      </w:r>
      <w:proofErr w:type="spellEnd"/>
      <w:r w:rsidR="00637070">
        <w:rPr>
          <w:rFonts w:ascii="Arial" w:hAnsi="Arial" w:cs="Arial"/>
          <w:sz w:val="22"/>
          <w:szCs w:val="22"/>
        </w:rPr>
        <w:t>)</w:t>
      </w:r>
      <w:r>
        <w:rPr>
          <w:rFonts w:ascii="Arial" w:hAnsi="Arial" w:cs="Arial"/>
          <w:sz w:val="22"/>
          <w:szCs w:val="22"/>
        </w:rPr>
        <w:t>.</w:t>
      </w:r>
    </w:p>
    <w:p w:rsidR="00637070" w:rsidP="00162949" w:rsidRDefault="00637070" w14:paraId="58CBEA5C" w14:textId="77777777">
      <w:pPr>
        <w:ind w:left="1440"/>
        <w:rPr>
          <w:rFonts w:ascii="Arial" w:hAnsi="Arial" w:cs="Arial"/>
          <w:sz w:val="22"/>
          <w:szCs w:val="22"/>
        </w:rPr>
      </w:pPr>
    </w:p>
    <w:p w:rsidRPr="0080298F" w:rsidR="009F1FBF" w:rsidP="00162949" w:rsidRDefault="009F1FBF" w14:paraId="3081C13F" w14:textId="77777777">
      <w:pPr>
        <w:ind w:left="1440"/>
        <w:rPr>
          <w:rFonts w:ascii="Arial" w:hAnsi="Arial" w:cs="Arial"/>
          <w:sz w:val="22"/>
          <w:szCs w:val="22"/>
        </w:rPr>
      </w:pPr>
      <w:r w:rsidRPr="0080298F">
        <w:rPr>
          <w:rFonts w:ascii="Arial" w:hAnsi="Arial" w:cs="Arial"/>
          <w:sz w:val="22"/>
          <w:szCs w:val="22"/>
        </w:rPr>
        <w:t xml:space="preserve">The $279 hourly rate used in the burden estimates is based on the Nuclear Regulatory Commission’s fee for hourly rates as noted in 10 CFR 170.20 “Average cost per professional staff-hour.”  For more information </w:t>
      </w:r>
      <w:proofErr w:type="gramStart"/>
      <w:r w:rsidRPr="0080298F">
        <w:rPr>
          <w:rFonts w:ascii="Arial" w:hAnsi="Arial" w:cs="Arial"/>
          <w:sz w:val="22"/>
          <w:szCs w:val="22"/>
        </w:rPr>
        <w:t>on the basis of</w:t>
      </w:r>
      <w:proofErr w:type="gramEnd"/>
      <w:r w:rsidRPr="0080298F">
        <w:rPr>
          <w:rFonts w:ascii="Arial" w:hAnsi="Arial" w:cs="Arial"/>
          <w:sz w:val="22"/>
          <w:szCs w:val="22"/>
        </w:rPr>
        <w:t xml:space="preserve"> this rate, see the Revision of Fee Schedules; Fee Recovery for Fiscal Year 2020 (85 FR 37250, June 19, 2020).</w:t>
      </w:r>
    </w:p>
    <w:p w:rsidRPr="00D51029" w:rsidR="004E6350" w:rsidP="00162949" w:rsidRDefault="004E6350" w14:paraId="5447FD3E" w14:textId="77777777">
      <w:pPr>
        <w:rPr>
          <w:rFonts w:ascii="Arial" w:hAnsi="Arial" w:cs="Arial"/>
          <w:sz w:val="22"/>
          <w:szCs w:val="22"/>
        </w:rPr>
      </w:pPr>
    </w:p>
    <w:p w:rsidRPr="00D51029" w:rsidR="004E6350" w:rsidP="00CC6ED2" w:rsidRDefault="004E6350" w14:paraId="68CB1886" w14:textId="77777777">
      <w:pPr>
        <w:keepNext/>
        <w:ind w:left="720"/>
        <w:rPr>
          <w:rFonts w:ascii="Arial" w:hAnsi="Arial" w:cs="Arial"/>
          <w:sz w:val="22"/>
          <w:szCs w:val="22"/>
        </w:rPr>
      </w:pPr>
      <w:r w:rsidRPr="00D51029">
        <w:rPr>
          <w:rFonts w:ascii="Arial" w:hAnsi="Arial" w:cs="Arial"/>
          <w:sz w:val="22"/>
          <w:szCs w:val="22"/>
        </w:rPr>
        <w:t>13.</w:t>
      </w:r>
      <w:r w:rsidRPr="00D51029">
        <w:rPr>
          <w:rFonts w:ascii="Arial" w:hAnsi="Arial" w:cs="Arial"/>
          <w:sz w:val="22"/>
          <w:szCs w:val="22"/>
        </w:rPr>
        <w:tab/>
      </w:r>
      <w:r w:rsidRPr="00D51029">
        <w:rPr>
          <w:rFonts w:ascii="Arial" w:hAnsi="Arial" w:cs="Arial"/>
          <w:sz w:val="22"/>
          <w:szCs w:val="22"/>
          <w:u w:val="single"/>
        </w:rPr>
        <w:t>Estimate of Other Additional Costs</w:t>
      </w:r>
    </w:p>
    <w:p w:rsidRPr="00D51029" w:rsidR="004E6350" w:rsidP="00162949" w:rsidRDefault="004E6350" w14:paraId="5278C730" w14:textId="77777777">
      <w:pPr>
        <w:rPr>
          <w:rFonts w:ascii="Arial" w:hAnsi="Arial" w:cs="Arial"/>
          <w:sz w:val="22"/>
          <w:szCs w:val="22"/>
        </w:rPr>
      </w:pPr>
    </w:p>
    <w:p w:rsidRPr="00D51029" w:rsidR="004E6350" w:rsidP="00162949" w:rsidRDefault="004E6350" w14:paraId="7E7E5599" w14:textId="374B54C4">
      <w:pPr>
        <w:ind w:left="1440"/>
        <w:rPr>
          <w:rFonts w:ascii="Arial" w:hAnsi="Arial" w:cs="Arial"/>
          <w:sz w:val="22"/>
          <w:szCs w:val="22"/>
        </w:rPr>
      </w:pPr>
      <w:r w:rsidRPr="00D51029">
        <w:rPr>
          <w:rFonts w:ascii="Arial" w:hAnsi="Arial" w:cs="Arial"/>
          <w:sz w:val="22"/>
          <w:szCs w:val="22"/>
        </w:rPr>
        <w:t>The quantity of records to be maintained is roughly proportional to the recordkeeping burden.  Based on the number of pages maintained for a typical clearance</w:t>
      </w:r>
      <w:r w:rsidR="002749BD">
        <w:rPr>
          <w:rFonts w:ascii="Arial" w:hAnsi="Arial" w:cs="Arial"/>
          <w:sz w:val="22"/>
          <w:szCs w:val="22"/>
        </w:rPr>
        <w:t xml:space="preserve"> period</w:t>
      </w:r>
      <w:r w:rsidRPr="00D51029">
        <w:rPr>
          <w:rFonts w:ascii="Arial" w:hAnsi="Arial" w:cs="Arial"/>
          <w:sz w:val="22"/>
          <w:szCs w:val="22"/>
        </w:rPr>
        <w:t>, the records storage cost has been determined to be equal to 0.0004 times the recordkeeping burden cost.  Therefore, the storage cost for this clearance is estimated to be $</w:t>
      </w:r>
      <w:r w:rsidR="00817950">
        <w:rPr>
          <w:rFonts w:ascii="Arial" w:hAnsi="Arial" w:cs="Arial"/>
          <w:sz w:val="22"/>
          <w:szCs w:val="22"/>
        </w:rPr>
        <w:t>6,305</w:t>
      </w:r>
      <w:r w:rsidR="0018286B">
        <w:rPr>
          <w:rFonts w:ascii="Arial" w:hAnsi="Arial" w:cs="Arial"/>
          <w:sz w:val="22"/>
          <w:szCs w:val="22"/>
        </w:rPr>
        <w:t xml:space="preserve"> (</w:t>
      </w:r>
      <w:r w:rsidR="00817950">
        <w:rPr>
          <w:rFonts w:ascii="Arial" w:hAnsi="Arial" w:cs="Arial"/>
          <w:sz w:val="22"/>
          <w:szCs w:val="22"/>
        </w:rPr>
        <w:t>56,500</w:t>
      </w:r>
      <w:r w:rsidRPr="00D51029">
        <w:rPr>
          <w:rFonts w:ascii="Arial" w:hAnsi="Arial" w:cs="Arial"/>
          <w:sz w:val="22"/>
          <w:szCs w:val="22"/>
        </w:rPr>
        <w:t xml:space="preserve"> hours x $</w:t>
      </w:r>
      <w:r w:rsidR="008D37E4">
        <w:rPr>
          <w:rFonts w:ascii="Arial" w:hAnsi="Arial" w:cs="Arial"/>
          <w:sz w:val="22"/>
          <w:szCs w:val="22"/>
        </w:rPr>
        <w:t>279</w:t>
      </w:r>
      <w:r w:rsidRPr="00D51029">
        <w:rPr>
          <w:rFonts w:ascii="Arial" w:hAnsi="Arial" w:cs="Arial"/>
          <w:sz w:val="22"/>
          <w:szCs w:val="22"/>
        </w:rPr>
        <w:t>/hour x 0.0004).</w:t>
      </w:r>
    </w:p>
    <w:p w:rsidRPr="00D51029" w:rsidR="004E6350" w:rsidP="00162949" w:rsidRDefault="004E6350" w14:paraId="4FA6D4A1" w14:textId="77777777">
      <w:pPr>
        <w:ind w:left="720"/>
        <w:rPr>
          <w:rFonts w:ascii="Arial" w:hAnsi="Arial" w:cs="Arial"/>
          <w:sz w:val="22"/>
          <w:szCs w:val="22"/>
        </w:rPr>
      </w:pPr>
    </w:p>
    <w:p w:rsidRPr="00D51029" w:rsidR="004E6350" w:rsidP="00646E84" w:rsidRDefault="004E6350" w14:paraId="4E37FCAE" w14:textId="6BF2975F">
      <w:pPr>
        <w:keepNext/>
        <w:ind w:left="720"/>
        <w:rPr>
          <w:rFonts w:ascii="Arial" w:hAnsi="Arial" w:cs="Arial"/>
          <w:sz w:val="22"/>
          <w:szCs w:val="22"/>
        </w:rPr>
      </w:pPr>
      <w:r w:rsidRPr="00D51029">
        <w:rPr>
          <w:rFonts w:ascii="Arial" w:hAnsi="Arial" w:cs="Arial"/>
          <w:sz w:val="22"/>
          <w:szCs w:val="22"/>
        </w:rPr>
        <w:t>14.</w:t>
      </w:r>
      <w:r w:rsidRPr="00D51029">
        <w:rPr>
          <w:rFonts w:ascii="Arial" w:hAnsi="Arial" w:cs="Arial"/>
          <w:sz w:val="22"/>
          <w:szCs w:val="22"/>
        </w:rPr>
        <w:tab/>
      </w:r>
      <w:r w:rsidRPr="00D51029">
        <w:rPr>
          <w:rFonts w:ascii="Arial" w:hAnsi="Arial" w:cs="Arial"/>
          <w:sz w:val="22"/>
          <w:szCs w:val="22"/>
          <w:u w:val="single"/>
        </w:rPr>
        <w:t>Estimated Annualized Cost to the Federal Government</w:t>
      </w:r>
    </w:p>
    <w:p w:rsidRPr="00D51029" w:rsidR="004E6350" w:rsidP="00162949" w:rsidRDefault="004E6350" w14:paraId="54E57108" w14:textId="77777777">
      <w:pPr>
        <w:rPr>
          <w:rFonts w:ascii="Arial" w:hAnsi="Arial" w:cs="Arial"/>
          <w:sz w:val="22"/>
          <w:szCs w:val="22"/>
        </w:rPr>
      </w:pPr>
    </w:p>
    <w:p w:rsidR="00D55C0C" w:rsidP="00162949" w:rsidRDefault="00690DF6" w14:paraId="0F27BF97" w14:textId="77777777">
      <w:pPr>
        <w:ind w:left="1440"/>
        <w:rPr>
          <w:rFonts w:ascii="Arial" w:hAnsi="Arial" w:cs="Arial"/>
          <w:sz w:val="22"/>
          <w:szCs w:val="22"/>
        </w:rPr>
      </w:pPr>
      <w:r w:rsidRPr="00A265E9">
        <w:rPr>
          <w:rFonts w:ascii="Arial" w:hAnsi="Arial"/>
          <w:sz w:val="22"/>
        </w:rPr>
        <w:t xml:space="preserve">The staff has developed estimates of annualized costs to the Federal Government related to the conduct of this collection of information.  These estimates are based on staff experience and subject matter expertise and include </w:t>
      </w:r>
      <w:bookmarkStart w:name="_Hlk64393915" w:id="4"/>
      <w:r w:rsidRPr="00A265E9">
        <w:rPr>
          <w:rFonts w:ascii="Arial" w:hAnsi="Arial"/>
          <w:sz w:val="22"/>
        </w:rPr>
        <w:t>the burden needed to review, analyze, and process the collected information and any relevant operational expenses</w:t>
      </w:r>
      <w:bookmarkEnd w:id="4"/>
      <w:r w:rsidRPr="00A265E9">
        <w:rPr>
          <w:rFonts w:ascii="Arial" w:hAnsi="Arial"/>
          <w:sz w:val="22"/>
        </w:rPr>
        <w:t>.</w:t>
      </w:r>
      <w:r>
        <w:rPr>
          <w:rFonts w:ascii="Arial" w:hAnsi="Arial"/>
          <w:sz w:val="22"/>
        </w:rPr>
        <w:t xml:space="preserve">  </w:t>
      </w:r>
      <w:r w:rsidRPr="00D51029" w:rsidR="004E6350">
        <w:rPr>
          <w:rFonts w:ascii="Arial" w:hAnsi="Arial" w:cs="Arial"/>
          <w:sz w:val="22"/>
          <w:szCs w:val="22"/>
        </w:rPr>
        <w:t xml:space="preserve">The estimated annualized cost to the NRC for 10 CFR Part 54 information collections covers the review of information in each submitted license renewal application.  </w:t>
      </w:r>
    </w:p>
    <w:p w:rsidR="00D55C0C" w:rsidP="00162949" w:rsidRDefault="00D55C0C" w14:paraId="76D27033" w14:textId="77777777">
      <w:pPr>
        <w:ind w:left="1440"/>
        <w:rPr>
          <w:rFonts w:ascii="Arial" w:hAnsi="Arial" w:cs="Arial"/>
          <w:sz w:val="22"/>
          <w:szCs w:val="22"/>
        </w:rPr>
      </w:pPr>
    </w:p>
    <w:p w:rsidR="004E6350" w:rsidP="00162949" w:rsidRDefault="00ED1008" w14:paraId="012E273D" w14:textId="506E095F">
      <w:pPr>
        <w:ind w:left="1440"/>
        <w:rPr>
          <w:rFonts w:ascii="Arial" w:hAnsi="Arial" w:cs="Arial"/>
          <w:sz w:val="22"/>
          <w:szCs w:val="22"/>
        </w:rPr>
      </w:pPr>
      <w:r>
        <w:rPr>
          <w:rFonts w:ascii="Arial" w:hAnsi="Arial" w:cs="Arial"/>
          <w:sz w:val="22"/>
          <w:szCs w:val="22"/>
        </w:rPr>
        <w:t xml:space="preserve">The NRC staff anticipates that </w:t>
      </w:r>
      <w:r w:rsidR="003965FD">
        <w:rPr>
          <w:rFonts w:ascii="Arial" w:hAnsi="Arial" w:cs="Arial"/>
          <w:sz w:val="22"/>
          <w:szCs w:val="22"/>
        </w:rPr>
        <w:t>initial license renewal applications will be based on the guidance for subsequent license renewal (which is permitted</w:t>
      </w:r>
      <w:r w:rsidR="00570B50">
        <w:rPr>
          <w:rFonts w:ascii="Arial" w:hAnsi="Arial" w:cs="Arial"/>
          <w:sz w:val="22"/>
          <w:szCs w:val="22"/>
        </w:rPr>
        <w:t xml:space="preserve">), and the estimated </w:t>
      </w:r>
      <w:r w:rsidR="00C94269">
        <w:rPr>
          <w:rFonts w:ascii="Arial" w:hAnsi="Arial" w:cs="Arial"/>
          <w:sz w:val="22"/>
          <w:szCs w:val="22"/>
        </w:rPr>
        <w:t xml:space="preserve">hours for completing an initial license renewal application review and a </w:t>
      </w:r>
      <w:r w:rsidR="00E40813">
        <w:rPr>
          <w:rFonts w:ascii="Arial" w:hAnsi="Arial" w:cs="Arial"/>
          <w:sz w:val="22"/>
          <w:szCs w:val="22"/>
        </w:rPr>
        <w:t xml:space="preserve">subsequent license renewal application will be comparable.  </w:t>
      </w:r>
      <w:r w:rsidR="00117FE4">
        <w:rPr>
          <w:rFonts w:ascii="Arial" w:hAnsi="Arial" w:cs="Arial"/>
          <w:sz w:val="22"/>
          <w:szCs w:val="22"/>
        </w:rPr>
        <w:t xml:space="preserve">Additionally, the NRC staff has enacted several </w:t>
      </w:r>
      <w:r w:rsidR="007C55DC">
        <w:rPr>
          <w:rFonts w:ascii="Arial" w:hAnsi="Arial" w:cs="Arial"/>
          <w:sz w:val="22"/>
          <w:szCs w:val="22"/>
        </w:rPr>
        <w:t xml:space="preserve">efficiency improvements based on lessons learned from past application reviews, resulting in an approximately 10-percent reduction in the total hours budget for both initial and subsequent license renewal application reviews.  </w:t>
      </w:r>
      <w:r w:rsidRPr="00D51029" w:rsidR="004E6350">
        <w:rPr>
          <w:rFonts w:ascii="Arial" w:hAnsi="Arial" w:cs="Arial"/>
          <w:sz w:val="22"/>
          <w:szCs w:val="22"/>
        </w:rPr>
        <w:t xml:space="preserve">Based on </w:t>
      </w:r>
      <w:r w:rsidR="00715EF5">
        <w:rPr>
          <w:rFonts w:ascii="Arial" w:hAnsi="Arial" w:cs="Arial"/>
          <w:sz w:val="22"/>
          <w:szCs w:val="22"/>
        </w:rPr>
        <w:t>the</w:t>
      </w:r>
      <w:r w:rsidR="00FA0469">
        <w:rPr>
          <w:rFonts w:ascii="Arial" w:hAnsi="Arial" w:cs="Arial"/>
          <w:sz w:val="22"/>
          <w:szCs w:val="22"/>
        </w:rPr>
        <w:t>se factors</w:t>
      </w:r>
      <w:r w:rsidRPr="00D51029" w:rsidR="004E6350">
        <w:rPr>
          <w:rFonts w:ascii="Arial" w:hAnsi="Arial" w:cs="Arial"/>
          <w:sz w:val="22"/>
          <w:szCs w:val="22"/>
        </w:rPr>
        <w:t xml:space="preserve">, </w:t>
      </w:r>
      <w:r w:rsidR="005B7AF2">
        <w:rPr>
          <w:rFonts w:ascii="Arial" w:hAnsi="Arial" w:cs="Arial"/>
          <w:sz w:val="22"/>
          <w:szCs w:val="22"/>
        </w:rPr>
        <w:t>the NRC plans to expend approximately 15,850 hours</w:t>
      </w:r>
      <w:r w:rsidR="000762D5">
        <w:rPr>
          <w:rFonts w:ascii="Arial" w:hAnsi="Arial" w:cs="Arial"/>
          <w:sz w:val="22"/>
          <w:szCs w:val="22"/>
        </w:rPr>
        <w:t xml:space="preserve"> for </w:t>
      </w:r>
      <w:r w:rsidRPr="00D51029" w:rsidR="004E6350">
        <w:rPr>
          <w:rFonts w:ascii="Arial" w:hAnsi="Arial" w:cs="Arial"/>
          <w:sz w:val="22"/>
          <w:szCs w:val="22"/>
        </w:rPr>
        <w:t xml:space="preserve">each application review.  The NRC rate </w:t>
      </w:r>
      <w:r w:rsidR="005160FC">
        <w:rPr>
          <w:rFonts w:ascii="Arial" w:hAnsi="Arial" w:cs="Arial"/>
          <w:sz w:val="22"/>
          <w:szCs w:val="22"/>
        </w:rPr>
        <w:t>is</w:t>
      </w:r>
      <w:r w:rsidRPr="00D51029" w:rsidR="004E6350">
        <w:rPr>
          <w:rFonts w:ascii="Arial" w:hAnsi="Arial" w:cs="Arial"/>
          <w:sz w:val="22"/>
          <w:szCs w:val="22"/>
        </w:rPr>
        <w:t xml:space="preserve"> $</w:t>
      </w:r>
      <w:r w:rsidR="008D37E4">
        <w:rPr>
          <w:rFonts w:ascii="Arial" w:hAnsi="Arial" w:cs="Arial"/>
          <w:sz w:val="22"/>
          <w:szCs w:val="22"/>
        </w:rPr>
        <w:t>279</w:t>
      </w:r>
      <w:r w:rsidRPr="00D51029" w:rsidR="004E6350">
        <w:rPr>
          <w:rFonts w:ascii="Arial" w:hAnsi="Arial" w:cs="Arial"/>
          <w:sz w:val="22"/>
          <w:szCs w:val="22"/>
        </w:rPr>
        <w:t>/hour.  Therefore, the resulting cost</w:t>
      </w:r>
      <w:r w:rsidR="00690DF6">
        <w:rPr>
          <w:rFonts w:ascii="Arial" w:hAnsi="Arial" w:cs="Arial"/>
          <w:sz w:val="22"/>
          <w:szCs w:val="22"/>
        </w:rPr>
        <w:t xml:space="preserve"> per </w:t>
      </w:r>
      <w:r w:rsidR="00E40813">
        <w:rPr>
          <w:rFonts w:ascii="Arial" w:hAnsi="Arial" w:cs="Arial"/>
          <w:sz w:val="22"/>
          <w:szCs w:val="22"/>
        </w:rPr>
        <w:t xml:space="preserve">initial or subsequent license renewal </w:t>
      </w:r>
      <w:r w:rsidR="00690DF6">
        <w:rPr>
          <w:rFonts w:ascii="Arial" w:hAnsi="Arial" w:cs="Arial"/>
          <w:sz w:val="22"/>
          <w:szCs w:val="22"/>
        </w:rPr>
        <w:t>application</w:t>
      </w:r>
      <w:r w:rsidRPr="00D51029" w:rsidR="004E6350">
        <w:rPr>
          <w:rFonts w:ascii="Arial" w:hAnsi="Arial" w:cs="Arial"/>
          <w:sz w:val="22"/>
          <w:szCs w:val="22"/>
        </w:rPr>
        <w:t xml:space="preserve"> is</w:t>
      </w:r>
      <w:r w:rsidR="005160FC">
        <w:rPr>
          <w:rFonts w:ascii="Arial" w:hAnsi="Arial" w:cs="Arial"/>
          <w:sz w:val="22"/>
          <w:szCs w:val="22"/>
        </w:rPr>
        <w:t xml:space="preserve"> </w:t>
      </w:r>
      <w:r w:rsidR="00690DF6">
        <w:rPr>
          <w:rFonts w:ascii="Arial" w:hAnsi="Arial" w:cs="Arial"/>
          <w:sz w:val="22"/>
          <w:szCs w:val="22"/>
        </w:rPr>
        <w:t xml:space="preserve">estimated to be </w:t>
      </w:r>
      <w:r w:rsidR="005160FC">
        <w:rPr>
          <w:rFonts w:ascii="Arial" w:hAnsi="Arial" w:cs="Arial"/>
          <w:sz w:val="22"/>
          <w:szCs w:val="22"/>
        </w:rPr>
        <w:t>$</w:t>
      </w:r>
      <w:r w:rsidR="00D661A3">
        <w:rPr>
          <w:rFonts w:ascii="Arial" w:hAnsi="Arial" w:cs="Arial"/>
          <w:sz w:val="22"/>
          <w:szCs w:val="22"/>
        </w:rPr>
        <w:t>4.</w:t>
      </w:r>
      <w:r w:rsidR="008C441A">
        <w:rPr>
          <w:rFonts w:ascii="Arial" w:hAnsi="Arial" w:cs="Arial"/>
          <w:sz w:val="22"/>
          <w:szCs w:val="22"/>
        </w:rPr>
        <w:t>4</w:t>
      </w:r>
      <w:r w:rsidR="00690DF6">
        <w:rPr>
          <w:rFonts w:ascii="Arial" w:hAnsi="Arial" w:cs="Arial"/>
          <w:sz w:val="22"/>
          <w:szCs w:val="22"/>
        </w:rPr>
        <w:t>M</w:t>
      </w:r>
      <w:r w:rsidR="00500836">
        <w:rPr>
          <w:rFonts w:ascii="Arial" w:hAnsi="Arial" w:cs="Arial"/>
          <w:sz w:val="22"/>
          <w:szCs w:val="22"/>
        </w:rPr>
        <w:t>.</w:t>
      </w:r>
    </w:p>
    <w:p w:rsidR="00F708C2" w:rsidP="00162949" w:rsidRDefault="00F708C2" w14:paraId="19AB349D" w14:textId="02275230">
      <w:pPr>
        <w:ind w:left="1440"/>
        <w:rPr>
          <w:rFonts w:ascii="Arial" w:hAnsi="Arial" w:cs="Arial"/>
          <w:sz w:val="22"/>
          <w:szCs w:val="22"/>
        </w:rPr>
      </w:pPr>
    </w:p>
    <w:p w:rsidRPr="00D51029" w:rsidR="004E6350" w:rsidP="00162949" w:rsidRDefault="004E6350" w14:paraId="460C3B29" w14:textId="4970035A">
      <w:pPr>
        <w:ind w:left="1440"/>
        <w:rPr>
          <w:rFonts w:ascii="Arial" w:hAnsi="Arial" w:cs="Arial"/>
          <w:sz w:val="22"/>
          <w:szCs w:val="22"/>
        </w:rPr>
      </w:pPr>
      <w:r w:rsidRPr="00D51029">
        <w:rPr>
          <w:rFonts w:ascii="Arial" w:hAnsi="Arial" w:cs="Arial"/>
          <w:sz w:val="22"/>
          <w:szCs w:val="22"/>
        </w:rPr>
        <w:t xml:space="preserve">As described in Item 12 above, </w:t>
      </w:r>
      <w:r w:rsidR="007F65BE">
        <w:rPr>
          <w:rFonts w:ascii="Arial" w:hAnsi="Arial" w:cs="Arial"/>
          <w:sz w:val="22"/>
          <w:szCs w:val="22"/>
        </w:rPr>
        <w:t xml:space="preserve">the </w:t>
      </w:r>
      <w:r w:rsidRPr="00D51029">
        <w:rPr>
          <w:rFonts w:ascii="Arial" w:hAnsi="Arial" w:cs="Arial"/>
          <w:sz w:val="22"/>
          <w:szCs w:val="22"/>
        </w:rPr>
        <w:t xml:space="preserve">NRC expects to begin review of </w:t>
      </w:r>
      <w:r w:rsidRPr="00D51029" w:rsidR="00BD7949">
        <w:rPr>
          <w:rFonts w:ascii="Arial" w:hAnsi="Arial" w:cs="Arial"/>
          <w:sz w:val="22"/>
          <w:szCs w:val="22"/>
        </w:rPr>
        <w:t>t</w:t>
      </w:r>
      <w:r w:rsidR="00BD7949">
        <w:rPr>
          <w:rFonts w:ascii="Arial" w:hAnsi="Arial" w:cs="Arial"/>
          <w:sz w:val="22"/>
          <w:szCs w:val="22"/>
        </w:rPr>
        <w:t>wo</w:t>
      </w:r>
      <w:r w:rsidRPr="00D51029" w:rsidR="00BD7949">
        <w:rPr>
          <w:rFonts w:ascii="Arial" w:hAnsi="Arial" w:cs="Arial"/>
          <w:sz w:val="22"/>
          <w:szCs w:val="22"/>
        </w:rPr>
        <w:t xml:space="preserve"> </w:t>
      </w:r>
      <w:r w:rsidRPr="00D51029">
        <w:rPr>
          <w:rFonts w:ascii="Arial" w:hAnsi="Arial" w:cs="Arial"/>
          <w:sz w:val="22"/>
          <w:szCs w:val="22"/>
        </w:rPr>
        <w:t xml:space="preserve">license renewal applications </w:t>
      </w:r>
      <w:r w:rsidR="00EB2B48">
        <w:rPr>
          <w:rFonts w:ascii="Arial" w:hAnsi="Arial" w:cs="Arial"/>
          <w:sz w:val="22"/>
          <w:szCs w:val="22"/>
        </w:rPr>
        <w:t xml:space="preserve">(one initial license renewal application and one subsequent license renewal application) </w:t>
      </w:r>
      <w:r w:rsidRPr="00D51029">
        <w:rPr>
          <w:rFonts w:ascii="Arial" w:hAnsi="Arial" w:cs="Arial"/>
          <w:sz w:val="22"/>
          <w:szCs w:val="22"/>
        </w:rPr>
        <w:t>per year during the clearance period.  Therefore, the estimated annualized cost to the Federal government is $</w:t>
      </w:r>
      <w:r w:rsidR="00975A8F">
        <w:rPr>
          <w:rFonts w:ascii="Arial" w:hAnsi="Arial" w:cs="Arial"/>
          <w:sz w:val="22"/>
          <w:szCs w:val="22"/>
        </w:rPr>
        <w:t>8.8</w:t>
      </w:r>
      <w:r w:rsidR="00690DF6">
        <w:rPr>
          <w:rFonts w:ascii="Arial" w:hAnsi="Arial" w:cs="Arial"/>
          <w:sz w:val="22"/>
          <w:szCs w:val="22"/>
        </w:rPr>
        <w:t>M</w:t>
      </w:r>
      <w:r w:rsidRPr="00D51029">
        <w:rPr>
          <w:rFonts w:ascii="Arial" w:hAnsi="Arial" w:cs="Arial"/>
          <w:sz w:val="22"/>
          <w:szCs w:val="22"/>
        </w:rPr>
        <w:t xml:space="preserve"> per year (</w:t>
      </w:r>
      <w:r w:rsidR="00D424B1">
        <w:rPr>
          <w:rFonts w:ascii="Arial" w:hAnsi="Arial" w:cs="Arial"/>
          <w:sz w:val="22"/>
          <w:szCs w:val="22"/>
        </w:rPr>
        <w:t>$</w:t>
      </w:r>
      <w:r w:rsidR="00975A8F">
        <w:rPr>
          <w:rFonts w:ascii="Arial" w:hAnsi="Arial" w:cs="Arial"/>
          <w:sz w:val="22"/>
          <w:szCs w:val="22"/>
        </w:rPr>
        <w:t>4.4</w:t>
      </w:r>
      <w:r w:rsidR="00F76E34">
        <w:rPr>
          <w:rFonts w:ascii="Arial" w:hAnsi="Arial" w:cs="Arial"/>
          <w:sz w:val="22"/>
          <w:szCs w:val="22"/>
        </w:rPr>
        <w:t>M</w:t>
      </w:r>
      <w:r w:rsidDel="00690DF6" w:rsidR="00690DF6">
        <w:rPr>
          <w:rFonts w:ascii="Arial" w:hAnsi="Arial" w:cs="Arial"/>
          <w:sz w:val="22"/>
          <w:szCs w:val="22"/>
        </w:rPr>
        <w:t xml:space="preserve"> </w:t>
      </w:r>
      <w:r w:rsidR="00975A8F">
        <w:rPr>
          <w:rFonts w:ascii="Arial" w:hAnsi="Arial" w:cs="Arial"/>
          <w:sz w:val="22"/>
          <w:szCs w:val="22"/>
        </w:rPr>
        <w:t xml:space="preserve">per </w:t>
      </w:r>
      <w:r w:rsidRPr="00D51029">
        <w:rPr>
          <w:rFonts w:ascii="Arial" w:hAnsi="Arial" w:cs="Arial"/>
          <w:sz w:val="22"/>
          <w:szCs w:val="22"/>
        </w:rPr>
        <w:t xml:space="preserve">application x </w:t>
      </w:r>
      <w:r w:rsidR="00EE2352">
        <w:rPr>
          <w:rFonts w:ascii="Arial" w:hAnsi="Arial" w:cs="Arial"/>
          <w:sz w:val="22"/>
          <w:szCs w:val="22"/>
        </w:rPr>
        <w:t>2</w:t>
      </w:r>
      <w:r w:rsidRPr="00D51029">
        <w:rPr>
          <w:rFonts w:ascii="Arial" w:hAnsi="Arial" w:cs="Arial"/>
          <w:sz w:val="22"/>
          <w:szCs w:val="22"/>
        </w:rPr>
        <w:t xml:space="preserve"> applications</w:t>
      </w:r>
      <w:r w:rsidR="00975A8F">
        <w:rPr>
          <w:rFonts w:ascii="Arial" w:hAnsi="Arial" w:cs="Arial"/>
          <w:sz w:val="22"/>
          <w:szCs w:val="22"/>
        </w:rPr>
        <w:t xml:space="preserve"> per </w:t>
      </w:r>
      <w:r w:rsidRPr="00D51029">
        <w:rPr>
          <w:rFonts w:ascii="Arial" w:hAnsi="Arial" w:cs="Arial"/>
          <w:sz w:val="22"/>
          <w:szCs w:val="22"/>
        </w:rPr>
        <w:t xml:space="preserve">year).  </w:t>
      </w:r>
    </w:p>
    <w:p w:rsidR="00653170" w:rsidP="00162949" w:rsidRDefault="00653170" w14:paraId="5E46644B" w14:textId="77777777">
      <w:pPr>
        <w:keepNext/>
        <w:ind w:left="1440" w:hanging="720"/>
        <w:rPr>
          <w:rFonts w:ascii="Arial" w:hAnsi="Arial" w:cs="Arial"/>
          <w:sz w:val="22"/>
          <w:szCs w:val="22"/>
        </w:rPr>
      </w:pPr>
    </w:p>
    <w:p w:rsidRPr="00D51029" w:rsidR="004E6350" w:rsidP="00162949" w:rsidRDefault="004E6350" w14:paraId="4D826743" w14:textId="77777777">
      <w:pPr>
        <w:keepNext/>
        <w:ind w:left="1440" w:hanging="720"/>
        <w:rPr>
          <w:rFonts w:ascii="Arial" w:hAnsi="Arial" w:cs="Arial"/>
          <w:sz w:val="22"/>
          <w:szCs w:val="22"/>
        </w:rPr>
      </w:pPr>
      <w:r w:rsidRPr="00D51029">
        <w:rPr>
          <w:rFonts w:ascii="Arial" w:hAnsi="Arial" w:cs="Arial"/>
          <w:sz w:val="22"/>
          <w:szCs w:val="22"/>
        </w:rPr>
        <w:t>15.</w:t>
      </w:r>
      <w:r w:rsidRPr="00D51029">
        <w:rPr>
          <w:rFonts w:ascii="Arial" w:hAnsi="Arial" w:cs="Arial"/>
          <w:sz w:val="22"/>
          <w:szCs w:val="22"/>
        </w:rPr>
        <w:tab/>
      </w:r>
      <w:r w:rsidRPr="00D51029">
        <w:rPr>
          <w:rFonts w:ascii="Arial" w:hAnsi="Arial" w:cs="Arial"/>
          <w:sz w:val="22"/>
          <w:szCs w:val="22"/>
          <w:u w:val="single"/>
        </w:rPr>
        <w:t>Reasons for Changes in Burden or Cost</w:t>
      </w:r>
    </w:p>
    <w:p w:rsidR="004E6350" w:rsidP="00067A61" w:rsidRDefault="004E6350" w14:paraId="55ACC6B9" w14:textId="61D981DF">
      <w:pPr>
        <w:keepNext/>
        <w:ind w:left="1440"/>
        <w:rPr>
          <w:rFonts w:ascii="Arial" w:hAnsi="Arial" w:cs="Arial"/>
          <w:sz w:val="22"/>
          <w:szCs w:val="22"/>
        </w:rPr>
      </w:pPr>
    </w:p>
    <w:p w:rsidRPr="00D51029" w:rsidR="00690DF0" w:rsidP="00162949" w:rsidRDefault="00690DF0" w14:paraId="605088B0" w14:textId="71491D90">
      <w:pPr>
        <w:ind w:left="1440"/>
        <w:rPr>
          <w:rFonts w:ascii="Arial" w:hAnsi="Arial" w:cs="Arial"/>
          <w:sz w:val="22"/>
          <w:szCs w:val="22"/>
        </w:rPr>
      </w:pPr>
      <w:r>
        <w:rPr>
          <w:rFonts w:ascii="Arial" w:hAnsi="Arial" w:cs="Arial"/>
          <w:sz w:val="22"/>
          <w:szCs w:val="22"/>
        </w:rPr>
        <w:t xml:space="preserve">The overall burden for the Part 54 information collections </w:t>
      </w:r>
      <w:r w:rsidR="00175A9A">
        <w:rPr>
          <w:rFonts w:ascii="Arial" w:hAnsi="Arial" w:cs="Arial"/>
          <w:sz w:val="22"/>
          <w:szCs w:val="22"/>
        </w:rPr>
        <w:t xml:space="preserve">decreased </w:t>
      </w:r>
      <w:r>
        <w:rPr>
          <w:rFonts w:ascii="Arial" w:hAnsi="Arial" w:cs="Arial"/>
          <w:sz w:val="22"/>
          <w:szCs w:val="22"/>
        </w:rPr>
        <w:t xml:space="preserve">from </w:t>
      </w:r>
      <w:r w:rsidR="0046626F">
        <w:rPr>
          <w:rFonts w:ascii="Arial" w:hAnsi="Arial" w:cs="Arial"/>
          <w:sz w:val="22"/>
          <w:szCs w:val="22"/>
        </w:rPr>
        <w:t>226,320</w:t>
      </w:r>
      <w:r>
        <w:rPr>
          <w:rFonts w:ascii="Arial" w:hAnsi="Arial" w:cs="Arial"/>
          <w:sz w:val="22"/>
          <w:szCs w:val="22"/>
        </w:rPr>
        <w:t xml:space="preserve"> hours to </w:t>
      </w:r>
      <w:r w:rsidR="00817950">
        <w:rPr>
          <w:rFonts w:ascii="Arial" w:hAnsi="Arial" w:cs="Arial"/>
          <w:sz w:val="22"/>
          <w:szCs w:val="22"/>
        </w:rPr>
        <w:t>216,700</w:t>
      </w:r>
      <w:r>
        <w:rPr>
          <w:rFonts w:ascii="Arial" w:hAnsi="Arial" w:cs="Arial"/>
          <w:sz w:val="22"/>
          <w:szCs w:val="22"/>
        </w:rPr>
        <w:t xml:space="preserve"> hours, </w:t>
      </w:r>
      <w:r w:rsidR="00175A9A">
        <w:rPr>
          <w:rFonts w:ascii="Arial" w:hAnsi="Arial" w:cs="Arial"/>
          <w:sz w:val="22"/>
          <w:szCs w:val="22"/>
        </w:rPr>
        <w:t xml:space="preserve">a decrease </w:t>
      </w:r>
      <w:r>
        <w:rPr>
          <w:rFonts w:ascii="Arial" w:hAnsi="Arial" w:cs="Arial"/>
          <w:sz w:val="22"/>
          <w:szCs w:val="22"/>
        </w:rPr>
        <w:t xml:space="preserve">of </w:t>
      </w:r>
      <w:r w:rsidR="00817950">
        <w:rPr>
          <w:rFonts w:ascii="Arial" w:hAnsi="Arial" w:cs="Arial"/>
          <w:sz w:val="22"/>
          <w:szCs w:val="22"/>
        </w:rPr>
        <w:t>9,620</w:t>
      </w:r>
      <w:r>
        <w:rPr>
          <w:rFonts w:ascii="Arial" w:hAnsi="Arial" w:cs="Arial"/>
          <w:sz w:val="22"/>
          <w:szCs w:val="22"/>
        </w:rPr>
        <w:t xml:space="preserve"> hours.  The change in burden is due to a </w:t>
      </w:r>
      <w:r w:rsidR="00306E31">
        <w:rPr>
          <w:rFonts w:ascii="Arial" w:hAnsi="Arial" w:cs="Arial"/>
          <w:sz w:val="22"/>
          <w:szCs w:val="22"/>
        </w:rPr>
        <w:t xml:space="preserve">significant (10%) </w:t>
      </w:r>
      <w:r>
        <w:rPr>
          <w:rFonts w:ascii="Arial" w:hAnsi="Arial" w:cs="Arial"/>
          <w:sz w:val="22"/>
          <w:szCs w:val="22"/>
        </w:rPr>
        <w:t xml:space="preserve">reduction in the number of </w:t>
      </w:r>
      <w:r w:rsidR="007127E2">
        <w:rPr>
          <w:rFonts w:ascii="Arial" w:hAnsi="Arial" w:cs="Arial"/>
          <w:sz w:val="22"/>
          <w:szCs w:val="22"/>
        </w:rPr>
        <w:t xml:space="preserve">hours for subsequent license renewal </w:t>
      </w:r>
      <w:r w:rsidR="00306E31">
        <w:rPr>
          <w:rFonts w:ascii="Arial" w:hAnsi="Arial" w:cs="Arial"/>
          <w:sz w:val="22"/>
          <w:szCs w:val="22"/>
        </w:rPr>
        <w:t xml:space="preserve">application reviews, only slightly offset by a small increase in the </w:t>
      </w:r>
      <w:r w:rsidR="005352A9">
        <w:rPr>
          <w:rFonts w:ascii="Arial" w:hAnsi="Arial" w:cs="Arial"/>
          <w:sz w:val="22"/>
          <w:szCs w:val="22"/>
        </w:rPr>
        <w:t xml:space="preserve">anticipated </w:t>
      </w:r>
      <w:r w:rsidR="00306E31">
        <w:rPr>
          <w:rFonts w:ascii="Arial" w:hAnsi="Arial" w:cs="Arial"/>
          <w:sz w:val="22"/>
          <w:szCs w:val="22"/>
        </w:rPr>
        <w:t xml:space="preserve">number of </w:t>
      </w:r>
      <w:r>
        <w:rPr>
          <w:rFonts w:ascii="Arial" w:hAnsi="Arial" w:cs="Arial"/>
          <w:sz w:val="22"/>
          <w:szCs w:val="22"/>
        </w:rPr>
        <w:t>letters of completion and the number of recordkeepers.</w:t>
      </w:r>
    </w:p>
    <w:p w:rsidR="00F86CA7" w:rsidP="00162949" w:rsidRDefault="00F86CA7" w14:paraId="0C98ADD8" w14:textId="3C582D38">
      <w:pPr>
        <w:keepNext/>
        <w:ind w:left="1440"/>
        <w:rPr>
          <w:rFonts w:ascii="Arial" w:hAnsi="Arial" w:cs="Arial"/>
          <w:sz w:val="22"/>
          <w:szCs w:val="22"/>
          <w:u w:val="single"/>
        </w:rPr>
      </w:pPr>
    </w:p>
    <w:p w:rsidRPr="003E2B55" w:rsidR="00B01293" w:rsidP="00162949" w:rsidRDefault="00B01293" w14:paraId="1DCB9589" w14:textId="1E7B784F">
      <w:pPr>
        <w:keepNext/>
        <w:ind w:left="1440"/>
        <w:rPr>
          <w:rFonts w:ascii="Arial" w:hAnsi="Arial" w:cs="Arial"/>
          <w:sz w:val="22"/>
          <w:szCs w:val="22"/>
        </w:rPr>
      </w:pPr>
      <w:r w:rsidRPr="003E2B55">
        <w:rPr>
          <w:rFonts w:ascii="Arial" w:hAnsi="Arial" w:cs="Arial"/>
          <w:sz w:val="22"/>
          <w:szCs w:val="22"/>
        </w:rPr>
        <w:t xml:space="preserve">The </w:t>
      </w:r>
      <w:r w:rsidRPr="003E2B55" w:rsidR="008F04F8">
        <w:rPr>
          <w:rFonts w:ascii="Arial" w:hAnsi="Arial" w:cs="Arial"/>
          <w:sz w:val="22"/>
          <w:szCs w:val="22"/>
        </w:rPr>
        <w:t xml:space="preserve">overall cost for information collections </w:t>
      </w:r>
      <w:r w:rsidRPr="003E2B55" w:rsidR="00D40EE6">
        <w:rPr>
          <w:rFonts w:ascii="Arial" w:hAnsi="Arial" w:cs="Arial"/>
          <w:sz w:val="22"/>
          <w:szCs w:val="22"/>
        </w:rPr>
        <w:t xml:space="preserve">increased slightly, </w:t>
      </w:r>
      <w:r w:rsidRPr="003E2B55" w:rsidR="00E43CBF">
        <w:rPr>
          <w:rFonts w:ascii="Arial" w:hAnsi="Arial" w:cs="Arial"/>
          <w:sz w:val="22"/>
          <w:szCs w:val="22"/>
        </w:rPr>
        <w:t>by $427,640</w:t>
      </w:r>
      <w:r w:rsidRPr="003E2B55" w:rsidR="00951047">
        <w:rPr>
          <w:rFonts w:ascii="Arial" w:hAnsi="Arial" w:cs="Arial"/>
          <w:sz w:val="22"/>
          <w:szCs w:val="22"/>
        </w:rPr>
        <w:t>, despite the overall decrease in burden, because the fee rate increased significantly from $263 per hour to $279 per hour.</w:t>
      </w:r>
      <w:r w:rsidRPr="003E2B55" w:rsidR="00625DED">
        <w:rPr>
          <w:rFonts w:ascii="Arial" w:hAnsi="Arial" w:cs="Arial"/>
          <w:sz w:val="22"/>
          <w:szCs w:val="22"/>
        </w:rPr>
        <w:t xml:space="preserve">  </w:t>
      </w:r>
    </w:p>
    <w:p w:rsidR="00B01293" w:rsidP="00162949" w:rsidRDefault="00B01293" w14:paraId="464FDA2E" w14:textId="77777777">
      <w:pPr>
        <w:keepNext/>
        <w:ind w:left="1440"/>
        <w:rPr>
          <w:rFonts w:ascii="Arial" w:hAnsi="Arial" w:cs="Arial"/>
          <w:sz w:val="22"/>
          <w:szCs w:val="22"/>
          <w:u w:val="single"/>
        </w:rPr>
      </w:pPr>
    </w:p>
    <w:p w:rsidRPr="00D51029" w:rsidR="004E6350" w:rsidP="00162949" w:rsidRDefault="004E6350" w14:paraId="5851EC24" w14:textId="77777777">
      <w:pPr>
        <w:keepNext/>
        <w:ind w:left="1440"/>
        <w:rPr>
          <w:rFonts w:ascii="Arial" w:hAnsi="Arial" w:cs="Arial"/>
          <w:sz w:val="22"/>
          <w:szCs w:val="22"/>
          <w:u w:val="single"/>
        </w:rPr>
      </w:pPr>
      <w:r w:rsidRPr="00D51029">
        <w:rPr>
          <w:rFonts w:ascii="Arial" w:hAnsi="Arial" w:cs="Arial"/>
          <w:sz w:val="22"/>
          <w:szCs w:val="22"/>
          <w:u w:val="single"/>
        </w:rPr>
        <w:t>Reporting Burden</w:t>
      </w:r>
    </w:p>
    <w:p w:rsidRPr="00D51029" w:rsidR="004E6350" w:rsidP="00162949" w:rsidRDefault="004E6350" w14:paraId="59DD1584" w14:textId="77777777">
      <w:pPr>
        <w:keepNext/>
        <w:ind w:left="1440"/>
        <w:rPr>
          <w:rFonts w:ascii="Arial" w:hAnsi="Arial" w:cs="Arial"/>
          <w:sz w:val="22"/>
          <w:szCs w:val="22"/>
        </w:rPr>
      </w:pPr>
    </w:p>
    <w:p w:rsidR="004E6350" w:rsidP="00162949" w:rsidRDefault="000D1853" w14:paraId="729C5D8B" w14:textId="2F3A1B7E">
      <w:pPr>
        <w:ind w:left="1440"/>
        <w:rPr>
          <w:rFonts w:ascii="Arial" w:hAnsi="Arial" w:cs="Arial"/>
          <w:sz w:val="22"/>
          <w:szCs w:val="22"/>
        </w:rPr>
      </w:pPr>
      <w:r w:rsidRPr="000D1853">
        <w:rPr>
          <w:rFonts w:ascii="Arial" w:hAnsi="Arial" w:cs="Arial"/>
          <w:sz w:val="22"/>
          <w:szCs w:val="22"/>
        </w:rPr>
        <w:t xml:space="preserve">The reporting burden has decreased by </w:t>
      </w:r>
      <w:r w:rsidR="00E77C41">
        <w:rPr>
          <w:rFonts w:ascii="Arial" w:hAnsi="Arial" w:cs="Arial"/>
          <w:sz w:val="22"/>
          <w:szCs w:val="22"/>
        </w:rPr>
        <w:t>8,1</w:t>
      </w:r>
      <w:r w:rsidR="00802F7A">
        <w:rPr>
          <w:rFonts w:ascii="Arial" w:hAnsi="Arial" w:cs="Arial"/>
          <w:sz w:val="22"/>
          <w:szCs w:val="22"/>
        </w:rPr>
        <w:t>2</w:t>
      </w:r>
      <w:r w:rsidR="00E77C41">
        <w:rPr>
          <w:rFonts w:ascii="Arial" w:hAnsi="Arial" w:cs="Arial"/>
          <w:sz w:val="22"/>
          <w:szCs w:val="22"/>
        </w:rPr>
        <w:t>0</w:t>
      </w:r>
      <w:r w:rsidRPr="000D1853" w:rsidR="00E77C41">
        <w:rPr>
          <w:rFonts w:ascii="Arial" w:hAnsi="Arial" w:cs="Arial"/>
          <w:sz w:val="22"/>
          <w:szCs w:val="22"/>
        </w:rPr>
        <w:t xml:space="preserve"> </w:t>
      </w:r>
      <w:r w:rsidRPr="000D1853">
        <w:rPr>
          <w:rFonts w:ascii="Arial" w:hAnsi="Arial" w:cs="Arial"/>
          <w:sz w:val="22"/>
          <w:szCs w:val="22"/>
        </w:rPr>
        <w:t xml:space="preserve">hours, from </w:t>
      </w:r>
      <w:r w:rsidRPr="000D1853" w:rsidR="00E77C41">
        <w:rPr>
          <w:rFonts w:ascii="Arial" w:hAnsi="Arial" w:cs="Arial"/>
          <w:sz w:val="22"/>
          <w:szCs w:val="22"/>
        </w:rPr>
        <w:t>168,320</w:t>
      </w:r>
      <w:r w:rsidRPr="000D1853">
        <w:rPr>
          <w:rFonts w:ascii="Arial" w:hAnsi="Arial" w:cs="Arial"/>
          <w:sz w:val="22"/>
          <w:szCs w:val="22"/>
        </w:rPr>
        <w:t xml:space="preserve"> to </w:t>
      </w:r>
      <w:r w:rsidR="009F31BD">
        <w:rPr>
          <w:rFonts w:ascii="Arial" w:hAnsi="Arial" w:cs="Arial"/>
          <w:sz w:val="22"/>
          <w:szCs w:val="22"/>
        </w:rPr>
        <w:t>160,200 hours,</w:t>
      </w:r>
      <w:r w:rsidRPr="000D1853">
        <w:rPr>
          <w:rFonts w:ascii="Arial" w:hAnsi="Arial" w:cs="Arial"/>
          <w:sz w:val="22"/>
          <w:szCs w:val="22"/>
        </w:rPr>
        <w:t xml:space="preserve"> because </w:t>
      </w:r>
      <w:r w:rsidR="00343437">
        <w:rPr>
          <w:rFonts w:ascii="Arial" w:hAnsi="Arial" w:cs="Arial"/>
          <w:sz w:val="22"/>
          <w:szCs w:val="22"/>
        </w:rPr>
        <w:t xml:space="preserve">of </w:t>
      </w:r>
      <w:r w:rsidRPr="000D1853">
        <w:rPr>
          <w:rFonts w:ascii="Arial" w:hAnsi="Arial" w:cs="Arial"/>
          <w:sz w:val="22"/>
          <w:szCs w:val="22"/>
        </w:rPr>
        <w:t xml:space="preserve">the </w:t>
      </w:r>
      <w:r w:rsidR="00343437">
        <w:rPr>
          <w:rFonts w:ascii="Arial" w:hAnsi="Arial" w:cs="Arial"/>
          <w:sz w:val="22"/>
          <w:szCs w:val="22"/>
        </w:rPr>
        <w:t xml:space="preserve">lower </w:t>
      </w:r>
      <w:r w:rsidR="009F31BD">
        <w:rPr>
          <w:rFonts w:ascii="Arial" w:hAnsi="Arial" w:cs="Arial"/>
          <w:sz w:val="22"/>
          <w:szCs w:val="22"/>
        </w:rPr>
        <w:t xml:space="preserve">estimated burden for </w:t>
      </w:r>
      <w:r w:rsidR="002B6B69">
        <w:rPr>
          <w:rFonts w:ascii="Arial" w:hAnsi="Arial" w:cs="Arial"/>
          <w:sz w:val="22"/>
          <w:szCs w:val="22"/>
        </w:rPr>
        <w:t>subsequent license renewal applications</w:t>
      </w:r>
      <w:r w:rsidR="00343437">
        <w:rPr>
          <w:rFonts w:ascii="Arial" w:hAnsi="Arial" w:cs="Arial"/>
          <w:sz w:val="22"/>
          <w:szCs w:val="22"/>
        </w:rPr>
        <w:t>.</w:t>
      </w:r>
      <w:r w:rsidRPr="000D1853">
        <w:rPr>
          <w:rFonts w:ascii="Arial" w:hAnsi="Arial" w:cs="Arial"/>
          <w:sz w:val="22"/>
          <w:szCs w:val="22"/>
        </w:rPr>
        <w:t xml:space="preserve">  The reporting burden </w:t>
      </w:r>
      <w:r w:rsidR="00BB39A9">
        <w:rPr>
          <w:rFonts w:ascii="Arial" w:hAnsi="Arial" w:cs="Arial"/>
          <w:sz w:val="22"/>
          <w:szCs w:val="22"/>
        </w:rPr>
        <w:t xml:space="preserve">per </w:t>
      </w:r>
      <w:r w:rsidR="00D02E89">
        <w:rPr>
          <w:rFonts w:ascii="Arial" w:hAnsi="Arial" w:cs="Arial"/>
          <w:sz w:val="22"/>
          <w:szCs w:val="22"/>
        </w:rPr>
        <w:t xml:space="preserve">initial </w:t>
      </w:r>
      <w:r w:rsidRPr="000D1853">
        <w:rPr>
          <w:rFonts w:ascii="Arial" w:hAnsi="Arial" w:cs="Arial"/>
          <w:sz w:val="22"/>
          <w:szCs w:val="22"/>
        </w:rPr>
        <w:t>license renewal application remains unchanged at 84,150 hours reporting (81,150 hours for the application and 1,500 hours each for two amendments)</w:t>
      </w:r>
      <w:r w:rsidR="006B7645">
        <w:rPr>
          <w:rFonts w:ascii="Arial" w:hAnsi="Arial" w:cs="Arial"/>
          <w:sz w:val="22"/>
          <w:szCs w:val="22"/>
        </w:rPr>
        <w:t>, but these initial license renewal applications comprise only half of the total expected applications.</w:t>
      </w:r>
      <w:r w:rsidR="00D50F7F">
        <w:rPr>
          <w:rFonts w:ascii="Arial" w:hAnsi="Arial" w:cs="Arial"/>
          <w:sz w:val="22"/>
          <w:szCs w:val="22"/>
        </w:rPr>
        <w:t xml:space="preserve">  Subsequent license renewal applications make up the other half</w:t>
      </w:r>
      <w:r w:rsidR="00D20C71">
        <w:rPr>
          <w:rFonts w:ascii="Arial" w:hAnsi="Arial" w:cs="Arial"/>
          <w:sz w:val="22"/>
          <w:szCs w:val="22"/>
        </w:rPr>
        <w:t xml:space="preserve">, and the estimated reporting burden for these is </w:t>
      </w:r>
      <w:r w:rsidR="00CF0022">
        <w:rPr>
          <w:rFonts w:ascii="Arial" w:hAnsi="Arial" w:cs="Arial"/>
          <w:sz w:val="22"/>
          <w:szCs w:val="22"/>
        </w:rPr>
        <w:t xml:space="preserve">8,150 hours less than </w:t>
      </w:r>
      <w:r w:rsidR="008670D3">
        <w:rPr>
          <w:rFonts w:ascii="Arial" w:hAnsi="Arial" w:cs="Arial"/>
          <w:sz w:val="22"/>
          <w:szCs w:val="22"/>
        </w:rPr>
        <w:t>the burden for initial license renewal applications.</w:t>
      </w:r>
      <w:r w:rsidR="00684CE7">
        <w:rPr>
          <w:rFonts w:ascii="Arial" w:hAnsi="Arial" w:cs="Arial"/>
          <w:sz w:val="22"/>
          <w:szCs w:val="22"/>
        </w:rPr>
        <w:t xml:space="preserve">  The number of </w:t>
      </w:r>
      <w:r w:rsidR="00AA628C">
        <w:rPr>
          <w:rFonts w:ascii="Arial" w:hAnsi="Arial" w:cs="Arial"/>
          <w:sz w:val="22"/>
          <w:szCs w:val="22"/>
        </w:rPr>
        <w:t xml:space="preserve">completion letters increased from two per year to five per year, an </w:t>
      </w:r>
      <w:r w:rsidR="00DF5A68">
        <w:rPr>
          <w:rFonts w:ascii="Arial" w:hAnsi="Arial" w:cs="Arial"/>
          <w:sz w:val="22"/>
          <w:szCs w:val="22"/>
        </w:rPr>
        <w:t>increase of 30 hours per year.</w:t>
      </w:r>
    </w:p>
    <w:p w:rsidRPr="00D51029" w:rsidR="000D1853" w:rsidP="00162949" w:rsidRDefault="000D1853" w14:paraId="26098213" w14:textId="77777777">
      <w:pPr>
        <w:ind w:left="1440"/>
        <w:rPr>
          <w:rFonts w:ascii="Arial" w:hAnsi="Arial" w:cs="Arial"/>
          <w:sz w:val="22"/>
          <w:szCs w:val="22"/>
          <w:u w:val="single"/>
        </w:rPr>
      </w:pPr>
    </w:p>
    <w:p w:rsidRPr="00D51029" w:rsidR="004E6350" w:rsidP="00162949" w:rsidRDefault="004E6350" w14:paraId="73BD9C59" w14:textId="77777777">
      <w:pPr>
        <w:ind w:left="1440"/>
        <w:rPr>
          <w:rFonts w:ascii="Arial" w:hAnsi="Arial" w:cs="Arial"/>
          <w:sz w:val="22"/>
          <w:szCs w:val="22"/>
          <w:u w:val="single"/>
        </w:rPr>
      </w:pPr>
      <w:r w:rsidRPr="00D51029">
        <w:rPr>
          <w:rFonts w:ascii="Arial" w:hAnsi="Arial" w:cs="Arial"/>
          <w:sz w:val="22"/>
          <w:szCs w:val="22"/>
          <w:u w:val="single"/>
        </w:rPr>
        <w:t>Recordkeeping Burden</w:t>
      </w:r>
    </w:p>
    <w:p w:rsidRPr="00D51029" w:rsidR="004E6350" w:rsidP="00162949" w:rsidRDefault="004E6350" w14:paraId="4C23F01A" w14:textId="77777777">
      <w:pPr>
        <w:ind w:left="1440"/>
        <w:rPr>
          <w:rFonts w:ascii="Arial" w:hAnsi="Arial" w:cs="Arial"/>
          <w:sz w:val="22"/>
          <w:szCs w:val="22"/>
        </w:rPr>
      </w:pPr>
    </w:p>
    <w:p w:rsidR="004E6350" w:rsidP="00162949" w:rsidRDefault="004E6350" w14:paraId="3AB8A849" w14:textId="3303B7E1">
      <w:pPr>
        <w:ind w:left="1440"/>
        <w:rPr>
          <w:rFonts w:ascii="Arial" w:hAnsi="Arial" w:cs="Arial"/>
          <w:sz w:val="22"/>
          <w:szCs w:val="22"/>
        </w:rPr>
      </w:pPr>
      <w:r w:rsidRPr="00D51029">
        <w:rPr>
          <w:rFonts w:ascii="Arial" w:hAnsi="Arial" w:cs="Arial"/>
          <w:sz w:val="22"/>
          <w:szCs w:val="22"/>
        </w:rPr>
        <w:t xml:space="preserve">Although the recordkeeping burden (1,000 hours per application) estimate did not change in this submission, the number of recordkeepers </w:t>
      </w:r>
      <w:r w:rsidR="009E2735">
        <w:rPr>
          <w:rFonts w:ascii="Arial" w:hAnsi="Arial" w:cs="Arial"/>
          <w:sz w:val="22"/>
          <w:szCs w:val="22"/>
        </w:rPr>
        <w:t>decreased</w:t>
      </w:r>
      <w:r w:rsidRPr="00D51029" w:rsidR="009E2735">
        <w:rPr>
          <w:rFonts w:ascii="Arial" w:hAnsi="Arial" w:cs="Arial"/>
          <w:sz w:val="22"/>
          <w:szCs w:val="22"/>
        </w:rPr>
        <w:t xml:space="preserve"> </w:t>
      </w:r>
      <w:r w:rsidRPr="00D51029">
        <w:rPr>
          <w:rFonts w:ascii="Arial" w:hAnsi="Arial" w:cs="Arial"/>
          <w:sz w:val="22"/>
          <w:szCs w:val="22"/>
        </w:rPr>
        <w:t xml:space="preserve">from </w:t>
      </w:r>
      <w:r w:rsidR="000476C6">
        <w:rPr>
          <w:rFonts w:ascii="Arial" w:hAnsi="Arial" w:cs="Arial"/>
          <w:sz w:val="22"/>
          <w:szCs w:val="22"/>
        </w:rPr>
        <w:t xml:space="preserve">the estimated </w:t>
      </w:r>
      <w:r w:rsidR="009E2735">
        <w:rPr>
          <w:rFonts w:ascii="Arial" w:hAnsi="Arial" w:cs="Arial"/>
          <w:sz w:val="22"/>
          <w:szCs w:val="22"/>
        </w:rPr>
        <w:t>58</w:t>
      </w:r>
      <w:r w:rsidRPr="00D51029" w:rsidR="009E2735">
        <w:rPr>
          <w:rFonts w:ascii="Arial" w:hAnsi="Arial" w:cs="Arial"/>
          <w:sz w:val="22"/>
          <w:szCs w:val="22"/>
        </w:rPr>
        <w:t xml:space="preserve"> </w:t>
      </w:r>
      <w:r w:rsidRPr="00D51029">
        <w:rPr>
          <w:rFonts w:ascii="Arial" w:hAnsi="Arial" w:cs="Arial"/>
          <w:sz w:val="22"/>
          <w:szCs w:val="22"/>
        </w:rPr>
        <w:t xml:space="preserve">recordkeepers to </w:t>
      </w:r>
      <w:r w:rsidR="008D5D01">
        <w:rPr>
          <w:rFonts w:ascii="Arial" w:hAnsi="Arial" w:cs="Arial"/>
          <w:sz w:val="22"/>
          <w:szCs w:val="22"/>
        </w:rPr>
        <w:t xml:space="preserve">an average of </w:t>
      </w:r>
      <w:r w:rsidR="009E2735">
        <w:rPr>
          <w:rFonts w:ascii="Arial" w:hAnsi="Arial" w:cs="Arial"/>
          <w:sz w:val="22"/>
          <w:szCs w:val="22"/>
        </w:rPr>
        <w:t>55</w:t>
      </w:r>
      <w:r w:rsidRPr="00D51029" w:rsidR="009E2735">
        <w:rPr>
          <w:rFonts w:ascii="Arial" w:hAnsi="Arial" w:cs="Arial"/>
          <w:sz w:val="22"/>
          <w:szCs w:val="22"/>
        </w:rPr>
        <w:t xml:space="preserve"> </w:t>
      </w:r>
      <w:r w:rsidRPr="00D51029">
        <w:rPr>
          <w:rFonts w:ascii="Arial" w:hAnsi="Arial" w:cs="Arial"/>
          <w:sz w:val="22"/>
          <w:szCs w:val="22"/>
        </w:rPr>
        <w:t>recordkeepers</w:t>
      </w:r>
      <w:r w:rsidR="00690DF0">
        <w:rPr>
          <w:rFonts w:ascii="Arial" w:hAnsi="Arial" w:cs="Arial"/>
          <w:sz w:val="22"/>
          <w:szCs w:val="22"/>
        </w:rPr>
        <w:t xml:space="preserve">, resulting in a </w:t>
      </w:r>
      <w:r w:rsidR="00D6073E">
        <w:rPr>
          <w:rFonts w:ascii="Arial" w:hAnsi="Arial" w:cs="Arial"/>
          <w:sz w:val="22"/>
          <w:szCs w:val="22"/>
        </w:rPr>
        <w:t xml:space="preserve">decrease </w:t>
      </w:r>
      <w:r w:rsidR="00690DF0">
        <w:rPr>
          <w:rFonts w:ascii="Arial" w:hAnsi="Arial" w:cs="Arial"/>
          <w:sz w:val="22"/>
          <w:szCs w:val="22"/>
        </w:rPr>
        <w:t xml:space="preserve">of </w:t>
      </w:r>
      <w:r w:rsidR="00800A0F">
        <w:rPr>
          <w:rFonts w:ascii="Arial" w:hAnsi="Arial" w:cs="Arial"/>
          <w:sz w:val="22"/>
          <w:szCs w:val="22"/>
        </w:rPr>
        <w:t>1,500</w:t>
      </w:r>
      <w:r w:rsidR="00690DF0">
        <w:rPr>
          <w:rFonts w:ascii="Arial" w:hAnsi="Arial" w:cs="Arial"/>
          <w:sz w:val="22"/>
          <w:szCs w:val="22"/>
        </w:rPr>
        <w:t xml:space="preserve"> hours of burden annually (from </w:t>
      </w:r>
      <w:r w:rsidR="00A93497">
        <w:rPr>
          <w:rFonts w:ascii="Arial" w:hAnsi="Arial" w:cs="Arial"/>
          <w:sz w:val="22"/>
          <w:szCs w:val="22"/>
        </w:rPr>
        <w:t>58</w:t>
      </w:r>
      <w:r w:rsidR="00690DF0">
        <w:rPr>
          <w:rFonts w:ascii="Arial" w:hAnsi="Arial" w:cs="Arial"/>
          <w:sz w:val="22"/>
          <w:szCs w:val="22"/>
        </w:rPr>
        <w:t xml:space="preserve">,000 hours to </w:t>
      </w:r>
      <w:r w:rsidR="00800A0F">
        <w:rPr>
          <w:rFonts w:ascii="Arial" w:hAnsi="Arial" w:cs="Arial"/>
          <w:sz w:val="22"/>
          <w:szCs w:val="22"/>
        </w:rPr>
        <w:t>56,500</w:t>
      </w:r>
      <w:r w:rsidR="00690DF0">
        <w:rPr>
          <w:rFonts w:ascii="Arial" w:hAnsi="Arial" w:cs="Arial"/>
          <w:sz w:val="22"/>
          <w:szCs w:val="22"/>
        </w:rPr>
        <w:t xml:space="preserve"> hours).</w:t>
      </w:r>
      <w:r w:rsidR="000F513E">
        <w:rPr>
          <w:rFonts w:ascii="Arial" w:hAnsi="Arial" w:cs="Arial"/>
          <w:sz w:val="22"/>
          <w:szCs w:val="22"/>
        </w:rPr>
        <w:t xml:space="preserve"> </w:t>
      </w:r>
      <w:r w:rsidR="00153512">
        <w:rPr>
          <w:rFonts w:ascii="Arial" w:hAnsi="Arial" w:cs="Arial"/>
          <w:sz w:val="22"/>
          <w:szCs w:val="22"/>
        </w:rPr>
        <w:t xml:space="preserve"> </w:t>
      </w:r>
      <w:r w:rsidR="00153512">
        <w:rPr>
          <w:rFonts w:ascii="Arial" w:hAnsi="Arial" w:cs="Arial"/>
          <w:sz w:val="22"/>
          <w:szCs w:val="22"/>
        </w:rPr>
        <w:lastRenderedPageBreak/>
        <w:t xml:space="preserve">The previous </w:t>
      </w:r>
      <w:r w:rsidR="00020974">
        <w:rPr>
          <w:rFonts w:ascii="Arial" w:hAnsi="Arial" w:cs="Arial"/>
          <w:sz w:val="22"/>
          <w:szCs w:val="22"/>
        </w:rPr>
        <w:t xml:space="preserve">estimate assumed that </w:t>
      </w:r>
      <w:r w:rsidR="00713583">
        <w:rPr>
          <w:rFonts w:ascii="Arial" w:hAnsi="Arial" w:cs="Arial"/>
          <w:sz w:val="22"/>
          <w:szCs w:val="22"/>
        </w:rPr>
        <w:t xml:space="preserve">four new recordkeepers would be added due to renewed licenses being issued during the term.  </w:t>
      </w:r>
      <w:r w:rsidR="005C01EA">
        <w:rPr>
          <w:rFonts w:ascii="Arial" w:hAnsi="Arial" w:cs="Arial"/>
          <w:sz w:val="22"/>
          <w:szCs w:val="22"/>
        </w:rPr>
        <w:t>While four licenses were renewed, only two of these were initial license renewals.</w:t>
      </w:r>
      <w:r w:rsidR="00C6339C">
        <w:rPr>
          <w:rFonts w:ascii="Arial" w:hAnsi="Arial" w:cs="Arial"/>
          <w:sz w:val="22"/>
          <w:szCs w:val="22"/>
        </w:rPr>
        <w:t xml:space="preserve">  The other two were subsequent </w:t>
      </w:r>
      <w:r w:rsidR="003B01B9">
        <w:rPr>
          <w:rFonts w:ascii="Arial" w:hAnsi="Arial" w:cs="Arial"/>
          <w:sz w:val="22"/>
          <w:szCs w:val="22"/>
        </w:rPr>
        <w:t xml:space="preserve">license renewals, which do not add to the recordkeeping burden because the </w:t>
      </w:r>
      <w:r w:rsidR="00AF55A8">
        <w:rPr>
          <w:rFonts w:ascii="Arial" w:hAnsi="Arial" w:cs="Arial"/>
          <w:sz w:val="22"/>
          <w:szCs w:val="22"/>
        </w:rPr>
        <w:t>recordholders were already subject to the burden based on their initial license renewals.</w:t>
      </w:r>
      <w:r w:rsidR="00B33E89">
        <w:rPr>
          <w:rFonts w:ascii="Arial" w:hAnsi="Arial" w:cs="Arial"/>
          <w:sz w:val="22"/>
          <w:szCs w:val="22"/>
        </w:rPr>
        <w:t xml:space="preserve">  The previous estimate also included an estimate that six new applications would be received during the </w:t>
      </w:r>
      <w:r w:rsidR="00CC0FC1">
        <w:rPr>
          <w:rFonts w:ascii="Arial" w:hAnsi="Arial" w:cs="Arial"/>
          <w:sz w:val="22"/>
          <w:szCs w:val="22"/>
        </w:rPr>
        <w:t>clearance period</w:t>
      </w:r>
      <w:r w:rsidR="00F36BF4">
        <w:rPr>
          <w:rFonts w:ascii="Arial" w:hAnsi="Arial" w:cs="Arial"/>
          <w:sz w:val="22"/>
          <w:szCs w:val="22"/>
        </w:rPr>
        <w:t>, and t</w:t>
      </w:r>
      <w:r w:rsidR="008B5518">
        <w:rPr>
          <w:rFonts w:ascii="Arial" w:hAnsi="Arial" w:cs="Arial"/>
          <w:sz w:val="22"/>
          <w:szCs w:val="22"/>
        </w:rPr>
        <w:t>he NRC did not receive any initial license renewal submissions</w:t>
      </w:r>
      <w:r w:rsidR="00336FD6">
        <w:rPr>
          <w:rFonts w:ascii="Arial" w:hAnsi="Arial" w:cs="Arial"/>
          <w:sz w:val="22"/>
          <w:szCs w:val="22"/>
        </w:rPr>
        <w:t xml:space="preserve"> (only subsequent license renewal applications)</w:t>
      </w:r>
      <w:r w:rsidR="00F36BF4">
        <w:rPr>
          <w:rFonts w:ascii="Arial" w:hAnsi="Arial" w:cs="Arial"/>
          <w:sz w:val="22"/>
          <w:szCs w:val="22"/>
        </w:rPr>
        <w:t>.</w:t>
      </w:r>
      <w:r w:rsidR="00B86D44">
        <w:rPr>
          <w:rFonts w:ascii="Arial" w:hAnsi="Arial" w:cs="Arial"/>
          <w:sz w:val="22"/>
          <w:szCs w:val="22"/>
        </w:rPr>
        <w:t xml:space="preserve">  </w:t>
      </w:r>
    </w:p>
    <w:p w:rsidRPr="00D51029" w:rsidR="004E6350" w:rsidP="00162949" w:rsidRDefault="004E6350" w14:paraId="5D093488" w14:textId="77777777">
      <w:pPr>
        <w:rPr>
          <w:rFonts w:ascii="Arial" w:hAnsi="Arial" w:cs="Arial"/>
          <w:sz w:val="22"/>
          <w:szCs w:val="22"/>
        </w:rPr>
      </w:pPr>
    </w:p>
    <w:p w:rsidRPr="00D51029" w:rsidR="004E6350" w:rsidP="00162949" w:rsidRDefault="004E6350" w14:paraId="45313EB7" w14:textId="77777777">
      <w:pPr>
        <w:ind w:left="1440" w:hanging="720"/>
        <w:rPr>
          <w:rFonts w:ascii="Arial" w:hAnsi="Arial" w:cs="Arial"/>
          <w:sz w:val="22"/>
          <w:szCs w:val="22"/>
        </w:rPr>
      </w:pPr>
      <w:r w:rsidRPr="00D51029">
        <w:rPr>
          <w:rFonts w:ascii="Arial" w:hAnsi="Arial" w:cs="Arial"/>
          <w:sz w:val="22"/>
          <w:szCs w:val="22"/>
        </w:rPr>
        <w:t>16.</w:t>
      </w:r>
      <w:r w:rsidRPr="00D51029">
        <w:rPr>
          <w:rFonts w:ascii="Arial" w:hAnsi="Arial" w:cs="Arial"/>
          <w:sz w:val="22"/>
          <w:szCs w:val="22"/>
        </w:rPr>
        <w:tab/>
      </w:r>
      <w:r w:rsidRPr="00D51029">
        <w:rPr>
          <w:rFonts w:ascii="Arial" w:hAnsi="Arial" w:cs="Arial"/>
          <w:sz w:val="22"/>
          <w:szCs w:val="22"/>
          <w:u w:val="single"/>
        </w:rPr>
        <w:t>Publication for Statistical Use</w:t>
      </w:r>
    </w:p>
    <w:p w:rsidRPr="00D51029" w:rsidR="004E6350" w:rsidP="00162949" w:rsidRDefault="004E6350" w14:paraId="0D3FCF3F" w14:textId="77777777">
      <w:pPr>
        <w:rPr>
          <w:rFonts w:ascii="Arial" w:hAnsi="Arial" w:cs="Arial"/>
          <w:sz w:val="22"/>
          <w:szCs w:val="22"/>
        </w:rPr>
      </w:pPr>
    </w:p>
    <w:p w:rsidR="004E6350" w:rsidP="00CC6ED2" w:rsidRDefault="004E6350" w14:paraId="63FE526A" w14:textId="77777777">
      <w:pPr>
        <w:ind w:left="720" w:firstLine="720"/>
        <w:rPr>
          <w:rFonts w:ascii="Arial" w:hAnsi="Arial" w:cs="Arial"/>
          <w:sz w:val="22"/>
          <w:szCs w:val="22"/>
        </w:rPr>
      </w:pPr>
      <w:r w:rsidRPr="00D51029">
        <w:rPr>
          <w:rFonts w:ascii="Arial" w:hAnsi="Arial" w:cs="Arial"/>
          <w:sz w:val="22"/>
          <w:szCs w:val="22"/>
        </w:rPr>
        <w:t>This information will not be published for statistical use.</w:t>
      </w:r>
    </w:p>
    <w:p w:rsidR="006004FA" w:rsidP="00CC6ED2" w:rsidRDefault="006004FA" w14:paraId="2EACA4FE" w14:textId="77777777">
      <w:pPr>
        <w:ind w:left="720" w:firstLine="720"/>
        <w:rPr>
          <w:rFonts w:ascii="Arial" w:hAnsi="Arial" w:cs="Arial"/>
          <w:sz w:val="22"/>
          <w:szCs w:val="22"/>
        </w:rPr>
      </w:pPr>
    </w:p>
    <w:p w:rsidRPr="00D51029" w:rsidR="004E6350" w:rsidP="00461DD4" w:rsidRDefault="004E6350" w14:paraId="3042811C" w14:textId="77777777">
      <w:pPr>
        <w:keepNext/>
        <w:ind w:left="1440" w:hanging="720"/>
        <w:rPr>
          <w:rFonts w:ascii="Arial" w:hAnsi="Arial" w:cs="Arial"/>
          <w:sz w:val="22"/>
          <w:szCs w:val="22"/>
        </w:rPr>
      </w:pPr>
      <w:r w:rsidRPr="00D51029">
        <w:rPr>
          <w:rFonts w:ascii="Arial" w:hAnsi="Arial" w:cs="Arial"/>
          <w:sz w:val="22"/>
          <w:szCs w:val="22"/>
        </w:rPr>
        <w:t>17.</w:t>
      </w:r>
      <w:r w:rsidRPr="00D51029">
        <w:rPr>
          <w:rFonts w:ascii="Arial" w:hAnsi="Arial" w:cs="Arial"/>
          <w:sz w:val="22"/>
          <w:szCs w:val="22"/>
        </w:rPr>
        <w:tab/>
      </w:r>
      <w:r w:rsidRPr="00D51029">
        <w:rPr>
          <w:rFonts w:ascii="Arial" w:hAnsi="Arial" w:cs="Arial"/>
          <w:sz w:val="22"/>
          <w:szCs w:val="22"/>
          <w:u w:val="single"/>
        </w:rPr>
        <w:t>Reason for Not Displaying the Expiration Date</w:t>
      </w:r>
    </w:p>
    <w:p w:rsidRPr="00D51029" w:rsidR="004E6350" w:rsidP="00461DD4" w:rsidRDefault="004E6350" w14:paraId="025FEB0A" w14:textId="77777777">
      <w:pPr>
        <w:keepNext/>
        <w:rPr>
          <w:rFonts w:ascii="Arial" w:hAnsi="Arial" w:cs="Arial"/>
          <w:sz w:val="22"/>
          <w:szCs w:val="22"/>
        </w:rPr>
      </w:pPr>
    </w:p>
    <w:p w:rsidRPr="00377C58" w:rsidR="00D76362" w:rsidP="00162949" w:rsidRDefault="00D76362" w14:paraId="34C88645" w14:textId="77777777">
      <w:pPr>
        <w:ind w:left="1440"/>
        <w:rPr>
          <w:rFonts w:ascii="Arial" w:hAnsi="Arial"/>
          <w:sz w:val="22"/>
        </w:rPr>
      </w:pPr>
      <w:r w:rsidRPr="00377C58">
        <w:rPr>
          <w:rFonts w:ascii="Arial" w:hAnsi="Arial"/>
          <w:sz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Pr="00D51029" w:rsidR="004E6350" w:rsidP="00162949" w:rsidRDefault="004E6350" w14:paraId="0BD3E248" w14:textId="77777777">
      <w:pPr>
        <w:rPr>
          <w:rFonts w:ascii="Arial" w:hAnsi="Arial" w:cs="Arial"/>
          <w:sz w:val="22"/>
          <w:szCs w:val="22"/>
        </w:rPr>
      </w:pPr>
    </w:p>
    <w:p w:rsidRPr="00D51029" w:rsidR="004E6350" w:rsidP="00162949" w:rsidRDefault="00DB0CDA" w14:paraId="5A9CAD23" w14:textId="77777777">
      <w:pPr>
        <w:keepNext/>
        <w:rPr>
          <w:rFonts w:ascii="Arial" w:hAnsi="Arial" w:cs="Arial"/>
          <w:sz w:val="22"/>
          <w:szCs w:val="22"/>
        </w:rPr>
      </w:pPr>
      <w:r>
        <w:rPr>
          <w:rFonts w:ascii="Arial" w:hAnsi="Arial" w:cs="Arial"/>
          <w:sz w:val="22"/>
          <w:szCs w:val="22"/>
        </w:rPr>
        <w:tab/>
      </w:r>
      <w:r w:rsidRPr="00D51029" w:rsidR="004E6350">
        <w:rPr>
          <w:rFonts w:ascii="Arial" w:hAnsi="Arial" w:cs="Arial"/>
          <w:sz w:val="22"/>
          <w:szCs w:val="22"/>
        </w:rPr>
        <w:t>18.</w:t>
      </w:r>
      <w:r w:rsidRPr="00D51029" w:rsidR="004E6350">
        <w:rPr>
          <w:rFonts w:ascii="Arial" w:hAnsi="Arial" w:cs="Arial"/>
          <w:sz w:val="22"/>
          <w:szCs w:val="22"/>
        </w:rPr>
        <w:tab/>
      </w:r>
      <w:r w:rsidRPr="00D51029" w:rsidR="004E6350">
        <w:rPr>
          <w:rFonts w:ascii="Arial" w:hAnsi="Arial" w:cs="Arial"/>
          <w:sz w:val="22"/>
          <w:szCs w:val="22"/>
          <w:u w:val="single"/>
        </w:rPr>
        <w:t>Exceptions to the Certification Statement</w:t>
      </w:r>
    </w:p>
    <w:p w:rsidRPr="00D51029" w:rsidR="004E6350" w:rsidP="00162949" w:rsidRDefault="004E6350" w14:paraId="47AAEE68" w14:textId="77777777">
      <w:pPr>
        <w:rPr>
          <w:rFonts w:ascii="Arial" w:hAnsi="Arial" w:cs="Arial"/>
          <w:sz w:val="22"/>
          <w:szCs w:val="22"/>
        </w:rPr>
      </w:pPr>
    </w:p>
    <w:p w:rsidR="000F513E" w:rsidP="00CC6ED2" w:rsidRDefault="004E6350" w14:paraId="21FC4EA3" w14:textId="5623F8C1">
      <w:pPr>
        <w:ind w:left="720" w:firstLine="720"/>
        <w:rPr>
          <w:rFonts w:ascii="Arial" w:hAnsi="Arial" w:cs="Arial"/>
          <w:sz w:val="22"/>
          <w:szCs w:val="22"/>
        </w:rPr>
      </w:pPr>
      <w:r w:rsidRPr="00D51029">
        <w:rPr>
          <w:rFonts w:ascii="Arial" w:hAnsi="Arial" w:cs="Arial"/>
          <w:sz w:val="22"/>
          <w:szCs w:val="22"/>
        </w:rPr>
        <w:t>There are no exceptions.</w:t>
      </w:r>
    </w:p>
    <w:p w:rsidR="00F708C2" w:rsidP="00CC6ED2" w:rsidRDefault="00F708C2" w14:paraId="3D0ADF27" w14:textId="77777777">
      <w:pPr>
        <w:ind w:left="720" w:firstLine="720"/>
        <w:rPr>
          <w:rFonts w:ascii="Arial" w:hAnsi="Arial" w:cs="Arial"/>
          <w:sz w:val="22"/>
          <w:szCs w:val="22"/>
        </w:rPr>
      </w:pPr>
    </w:p>
    <w:p w:rsidR="00F708C2" w:rsidP="00162949" w:rsidRDefault="00F708C2" w14:paraId="6748F78B" w14:textId="0931B640">
      <w:pPr>
        <w:rPr>
          <w:rFonts w:ascii="Arial" w:hAnsi="Arial" w:cs="Arial"/>
          <w:sz w:val="22"/>
          <w:szCs w:val="22"/>
        </w:rPr>
      </w:pPr>
    </w:p>
    <w:p w:rsidRPr="00D51029" w:rsidR="004E6350" w:rsidP="00162949" w:rsidRDefault="004E6350" w14:paraId="1C705022" w14:textId="31A6CE66">
      <w:pPr>
        <w:rPr>
          <w:rFonts w:ascii="Arial" w:hAnsi="Arial" w:cs="Arial"/>
          <w:sz w:val="22"/>
          <w:szCs w:val="22"/>
        </w:rPr>
      </w:pPr>
      <w:r w:rsidRPr="00D51029">
        <w:rPr>
          <w:rFonts w:ascii="Arial" w:hAnsi="Arial" w:cs="Arial"/>
          <w:sz w:val="22"/>
          <w:szCs w:val="22"/>
        </w:rPr>
        <w:t>B.  COLLECTION OF INFORMATION EMPLOYING STATISTICAL METHODS</w:t>
      </w:r>
    </w:p>
    <w:p w:rsidRPr="00D51029" w:rsidR="004E6350" w:rsidP="00162949" w:rsidRDefault="004E6350" w14:paraId="1BBEE379" w14:textId="77777777">
      <w:pPr>
        <w:rPr>
          <w:rFonts w:ascii="Arial" w:hAnsi="Arial" w:cs="Arial"/>
          <w:sz w:val="22"/>
          <w:szCs w:val="22"/>
        </w:rPr>
      </w:pPr>
    </w:p>
    <w:p w:rsidRPr="00D51029" w:rsidR="004E6350" w:rsidP="00162949" w:rsidRDefault="004E6350" w14:paraId="05295880" w14:textId="77777777">
      <w:pPr>
        <w:keepNext/>
        <w:keepLines/>
        <w:rPr>
          <w:rFonts w:ascii="Arial" w:hAnsi="Arial" w:cs="Arial"/>
          <w:sz w:val="22"/>
          <w:szCs w:val="22"/>
        </w:rPr>
      </w:pPr>
      <w:r w:rsidRPr="00D51029">
        <w:rPr>
          <w:rFonts w:ascii="Arial" w:hAnsi="Arial" w:cs="Arial"/>
          <w:sz w:val="22"/>
          <w:szCs w:val="22"/>
        </w:rPr>
        <w:tab/>
        <w:t>Statistical methods are not used in this collection of information.</w:t>
      </w:r>
    </w:p>
    <w:p w:rsidR="00AF22B9" w:rsidRDefault="00AF22B9" w14:paraId="1E34DB2D" w14:textId="44B34D4E">
      <w:pPr>
        <w:autoSpaceDE/>
        <w:autoSpaceDN/>
        <w:adjustRightInd/>
        <w:spacing w:after="160" w:line="259" w:lineRule="auto"/>
        <w:rPr>
          <w:rFonts w:ascii="Arial" w:hAnsi="Arial" w:cs="Arial"/>
          <w:sz w:val="22"/>
          <w:szCs w:val="22"/>
        </w:rPr>
      </w:pPr>
      <w:r>
        <w:rPr>
          <w:rFonts w:ascii="Arial" w:hAnsi="Arial" w:cs="Arial"/>
          <w:sz w:val="22"/>
          <w:szCs w:val="22"/>
        </w:rPr>
        <w:br w:type="page"/>
      </w:r>
    </w:p>
    <w:p w:rsidRPr="00D51029" w:rsidR="004E6350" w:rsidP="00162949" w:rsidRDefault="004E6350" w14:paraId="7A2DE269" w14:textId="77777777">
      <w:pPr>
        <w:keepNext/>
        <w:jc w:val="center"/>
        <w:rPr>
          <w:rFonts w:ascii="Arial" w:hAnsi="Arial" w:cs="Arial"/>
          <w:sz w:val="22"/>
          <w:szCs w:val="22"/>
        </w:rPr>
      </w:pPr>
      <w:r w:rsidRPr="00D51029">
        <w:rPr>
          <w:rFonts w:ascii="Arial" w:hAnsi="Arial" w:cs="Arial"/>
          <w:sz w:val="22"/>
          <w:szCs w:val="22"/>
        </w:rPr>
        <w:lastRenderedPageBreak/>
        <w:t>TABLE 1</w:t>
      </w:r>
    </w:p>
    <w:p w:rsidRPr="00D51029" w:rsidR="004E6350" w:rsidP="00162949" w:rsidRDefault="004E6350" w14:paraId="4D53D0CD" w14:textId="77777777">
      <w:pPr>
        <w:keepNext/>
        <w:jc w:val="center"/>
        <w:rPr>
          <w:rFonts w:ascii="Arial" w:hAnsi="Arial" w:cs="Arial"/>
          <w:sz w:val="22"/>
          <w:szCs w:val="22"/>
        </w:rPr>
      </w:pPr>
      <w:r w:rsidRPr="00D51029">
        <w:rPr>
          <w:rFonts w:ascii="Arial" w:hAnsi="Arial" w:cs="Arial"/>
          <w:sz w:val="22"/>
          <w:szCs w:val="22"/>
        </w:rPr>
        <w:t>ANNUAL REPORTING BURDEN</w:t>
      </w:r>
    </w:p>
    <w:p w:rsidRPr="00D51029" w:rsidR="004E6350" w:rsidP="00CC6ED2" w:rsidRDefault="004E6350" w14:paraId="237E2FA7" w14:textId="77777777">
      <w:pPr>
        <w:keepNext/>
        <w:jc w:val="center"/>
        <w:rPr>
          <w:rFonts w:ascii="Arial" w:hAnsi="Arial" w:cs="Arial"/>
          <w:sz w:val="22"/>
          <w:szCs w:val="22"/>
        </w:rPr>
      </w:pPr>
    </w:p>
    <w:tbl>
      <w:tblPr>
        <w:tblW w:w="94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7"/>
        <w:gridCol w:w="1440"/>
        <w:gridCol w:w="1350"/>
        <w:gridCol w:w="1260"/>
        <w:gridCol w:w="1170"/>
        <w:gridCol w:w="990"/>
        <w:gridCol w:w="1350"/>
      </w:tblGrid>
      <w:tr w:rsidRPr="001D01DE" w:rsidR="004E6350" w:rsidTr="00DA1C4B" w14:paraId="772530BD" w14:textId="77777777">
        <w:trPr>
          <w:cantSplit/>
          <w:trHeight w:val="1062"/>
        </w:trPr>
        <w:tc>
          <w:tcPr>
            <w:tcW w:w="1867" w:type="dxa"/>
            <w:vAlign w:val="center"/>
          </w:tcPr>
          <w:p w:rsidRPr="001D01DE" w:rsidR="004E6350" w:rsidP="00CC6ED2" w:rsidRDefault="004E6350" w14:paraId="3AF6D1B7" w14:textId="77777777">
            <w:pPr>
              <w:jc w:val="center"/>
              <w:rPr>
                <w:rFonts w:ascii="Arial" w:hAnsi="Arial" w:cs="Arial"/>
              </w:rPr>
            </w:pPr>
            <w:r w:rsidRPr="001D01DE">
              <w:rPr>
                <w:rFonts w:ascii="Arial" w:hAnsi="Arial" w:cs="Arial"/>
              </w:rPr>
              <w:t>Section</w:t>
            </w:r>
          </w:p>
        </w:tc>
        <w:tc>
          <w:tcPr>
            <w:tcW w:w="1440" w:type="dxa"/>
            <w:vAlign w:val="center"/>
          </w:tcPr>
          <w:p w:rsidRPr="001D01DE" w:rsidR="004E6350" w:rsidP="00CC6ED2" w:rsidRDefault="004E6350" w14:paraId="29D82E3A" w14:textId="77777777">
            <w:pPr>
              <w:jc w:val="center"/>
              <w:rPr>
                <w:rFonts w:ascii="Arial" w:hAnsi="Arial" w:cs="Arial"/>
              </w:rPr>
            </w:pPr>
            <w:r w:rsidRPr="001D01DE">
              <w:rPr>
                <w:rFonts w:ascii="Arial" w:hAnsi="Arial" w:cs="Arial"/>
              </w:rPr>
              <w:t>Number of Respondents</w:t>
            </w:r>
          </w:p>
        </w:tc>
        <w:tc>
          <w:tcPr>
            <w:tcW w:w="1350" w:type="dxa"/>
            <w:vAlign w:val="center"/>
          </w:tcPr>
          <w:p w:rsidRPr="001D01DE" w:rsidR="004E6350" w:rsidP="00CC6ED2" w:rsidRDefault="004E6350" w14:paraId="65722B41" w14:textId="77777777">
            <w:pPr>
              <w:jc w:val="center"/>
              <w:rPr>
                <w:rFonts w:ascii="Arial" w:hAnsi="Arial" w:cs="Arial"/>
              </w:rPr>
            </w:pPr>
            <w:r w:rsidRPr="001D01DE">
              <w:rPr>
                <w:rFonts w:ascii="Arial" w:hAnsi="Arial" w:cs="Arial"/>
              </w:rPr>
              <w:t>Responses per Respondent</w:t>
            </w:r>
          </w:p>
        </w:tc>
        <w:tc>
          <w:tcPr>
            <w:tcW w:w="1260" w:type="dxa"/>
            <w:vAlign w:val="center"/>
          </w:tcPr>
          <w:p w:rsidRPr="001D01DE" w:rsidR="004E6350" w:rsidP="00CC6ED2" w:rsidRDefault="004E6350" w14:paraId="67F241B0" w14:textId="77777777">
            <w:pPr>
              <w:jc w:val="center"/>
              <w:rPr>
                <w:rFonts w:ascii="Arial" w:hAnsi="Arial" w:cs="Arial"/>
              </w:rPr>
            </w:pPr>
            <w:r w:rsidRPr="001D01DE">
              <w:rPr>
                <w:rFonts w:ascii="Arial" w:hAnsi="Arial" w:cs="Arial"/>
              </w:rPr>
              <w:t>Total Responses</w:t>
            </w:r>
          </w:p>
        </w:tc>
        <w:tc>
          <w:tcPr>
            <w:tcW w:w="1170" w:type="dxa"/>
            <w:vAlign w:val="center"/>
          </w:tcPr>
          <w:p w:rsidRPr="001D01DE" w:rsidR="004E6350" w:rsidP="00CC6ED2" w:rsidRDefault="004E6350" w14:paraId="53CEFE6A" w14:textId="77777777">
            <w:pPr>
              <w:jc w:val="center"/>
              <w:rPr>
                <w:rFonts w:ascii="Arial" w:hAnsi="Arial" w:cs="Arial"/>
              </w:rPr>
            </w:pPr>
            <w:r w:rsidRPr="001D01DE">
              <w:rPr>
                <w:rFonts w:ascii="Arial" w:hAnsi="Arial" w:cs="Arial"/>
              </w:rPr>
              <w:t>Burden per Response (Hours)</w:t>
            </w:r>
          </w:p>
        </w:tc>
        <w:tc>
          <w:tcPr>
            <w:tcW w:w="990" w:type="dxa"/>
            <w:vAlign w:val="center"/>
          </w:tcPr>
          <w:p w:rsidRPr="001D01DE" w:rsidR="004E6350" w:rsidP="00CC6ED2" w:rsidRDefault="004E6350" w14:paraId="4702FD8D" w14:textId="77777777">
            <w:pPr>
              <w:jc w:val="center"/>
              <w:rPr>
                <w:rFonts w:ascii="Arial" w:hAnsi="Arial" w:cs="Arial"/>
              </w:rPr>
            </w:pPr>
            <w:r w:rsidRPr="001D01DE">
              <w:rPr>
                <w:rFonts w:ascii="Arial" w:hAnsi="Arial" w:cs="Arial"/>
              </w:rPr>
              <w:t>Total Annual Burden (Hours)</w:t>
            </w:r>
          </w:p>
        </w:tc>
        <w:tc>
          <w:tcPr>
            <w:tcW w:w="1350" w:type="dxa"/>
            <w:vAlign w:val="center"/>
          </w:tcPr>
          <w:p w:rsidRPr="001D01DE" w:rsidR="005A0A7B" w:rsidP="00CC6ED2" w:rsidRDefault="004E6350" w14:paraId="58C5EA48" w14:textId="77777777">
            <w:pPr>
              <w:jc w:val="center"/>
              <w:rPr>
                <w:rFonts w:ascii="Arial" w:hAnsi="Arial" w:cs="Arial"/>
              </w:rPr>
            </w:pPr>
            <w:r w:rsidRPr="001D01DE">
              <w:rPr>
                <w:rFonts w:ascii="Arial" w:hAnsi="Arial" w:cs="Arial"/>
              </w:rPr>
              <w:t xml:space="preserve">Cost at </w:t>
            </w:r>
          </w:p>
          <w:p w:rsidRPr="001D01DE" w:rsidR="004E6350" w:rsidP="00CC6ED2" w:rsidRDefault="004E6350" w14:paraId="3BB9A0C0" w14:textId="2AB67743">
            <w:pPr>
              <w:ind w:right="-122"/>
              <w:jc w:val="center"/>
              <w:rPr>
                <w:rFonts w:ascii="Arial" w:hAnsi="Arial" w:cs="Arial"/>
              </w:rPr>
            </w:pPr>
            <w:r w:rsidRPr="001D01DE">
              <w:rPr>
                <w:rFonts w:ascii="Arial" w:hAnsi="Arial" w:cs="Arial"/>
              </w:rPr>
              <w:t>$</w:t>
            </w:r>
            <w:r w:rsidRPr="001D01DE" w:rsidR="008D6A40">
              <w:rPr>
                <w:rFonts w:ascii="Arial" w:hAnsi="Arial" w:cs="Arial"/>
              </w:rPr>
              <w:t>279</w:t>
            </w:r>
            <w:r w:rsidRPr="001D01DE">
              <w:rPr>
                <w:rFonts w:ascii="Arial" w:hAnsi="Arial" w:cs="Arial"/>
              </w:rPr>
              <w:t>/ hour</w:t>
            </w:r>
          </w:p>
          <w:p w:rsidRPr="001D01DE" w:rsidR="004E6350" w:rsidP="00CC6ED2" w:rsidRDefault="004E6350" w14:paraId="5B58C25C" w14:textId="77777777">
            <w:pPr>
              <w:jc w:val="center"/>
              <w:rPr>
                <w:rFonts w:ascii="Arial" w:hAnsi="Arial" w:cs="Arial"/>
              </w:rPr>
            </w:pPr>
            <w:r w:rsidRPr="001D01DE">
              <w:rPr>
                <w:rFonts w:ascii="Arial" w:hAnsi="Arial" w:cs="Arial"/>
              </w:rPr>
              <w:t>($)</w:t>
            </w:r>
          </w:p>
        </w:tc>
      </w:tr>
      <w:tr w:rsidRPr="001D01DE" w:rsidR="004E6350" w:rsidTr="00DA1C4B" w14:paraId="78098689" w14:textId="77777777">
        <w:trPr>
          <w:cantSplit/>
        </w:trPr>
        <w:tc>
          <w:tcPr>
            <w:tcW w:w="1867" w:type="dxa"/>
          </w:tcPr>
          <w:p w:rsidRPr="001D01DE" w:rsidR="004E6350" w:rsidP="00CC6ED2" w:rsidRDefault="006E475A" w14:paraId="6C138933" w14:textId="242C872C">
            <w:pPr>
              <w:rPr>
                <w:rFonts w:ascii="Arial" w:hAnsi="Arial" w:cs="Arial"/>
              </w:rPr>
            </w:pPr>
            <w:r w:rsidRPr="001D01DE">
              <w:rPr>
                <w:rFonts w:ascii="Arial" w:hAnsi="Arial" w:cs="Arial"/>
              </w:rPr>
              <w:t xml:space="preserve">Initial </w:t>
            </w:r>
            <w:r w:rsidRPr="001D01DE" w:rsidR="004E6350">
              <w:rPr>
                <w:rFonts w:ascii="Arial" w:hAnsi="Arial" w:cs="Arial"/>
              </w:rPr>
              <w:t>License Renewal Application</w:t>
            </w:r>
          </w:p>
          <w:p w:rsidRPr="001D01DE" w:rsidR="004E6350" w:rsidP="00CC6ED2" w:rsidRDefault="004E6350" w14:paraId="7E2EB743" w14:textId="2BD40A2D">
            <w:pPr>
              <w:rPr>
                <w:rFonts w:ascii="Arial" w:hAnsi="Arial" w:cs="Arial"/>
              </w:rPr>
            </w:pPr>
            <w:r w:rsidRPr="001D01DE">
              <w:rPr>
                <w:rFonts w:ascii="Arial" w:hAnsi="Arial" w:cs="Arial"/>
              </w:rPr>
              <w:t>(54.13, 54.15, 54.17, 54.19, 54.21, 54.22)</w:t>
            </w:r>
          </w:p>
        </w:tc>
        <w:tc>
          <w:tcPr>
            <w:tcW w:w="1440" w:type="dxa"/>
            <w:vAlign w:val="center"/>
          </w:tcPr>
          <w:p w:rsidRPr="001D01DE" w:rsidR="004E6350" w:rsidP="00CC6ED2" w:rsidRDefault="002C56E5" w14:paraId="613993DA" w14:textId="350A2087">
            <w:pPr>
              <w:jc w:val="right"/>
              <w:rPr>
                <w:rFonts w:ascii="Arial" w:hAnsi="Arial" w:cs="Arial"/>
              </w:rPr>
            </w:pPr>
            <w:r w:rsidRPr="001D01DE">
              <w:rPr>
                <w:rFonts w:ascii="Arial" w:hAnsi="Arial" w:cs="Arial"/>
              </w:rPr>
              <w:t>1</w:t>
            </w:r>
          </w:p>
        </w:tc>
        <w:tc>
          <w:tcPr>
            <w:tcW w:w="1350" w:type="dxa"/>
            <w:vAlign w:val="center"/>
          </w:tcPr>
          <w:p w:rsidRPr="001D01DE" w:rsidR="004E6350" w:rsidP="00CC6ED2" w:rsidRDefault="004E6350" w14:paraId="78E9FE9D" w14:textId="77777777">
            <w:pPr>
              <w:jc w:val="right"/>
              <w:rPr>
                <w:rFonts w:ascii="Arial" w:hAnsi="Arial" w:cs="Arial"/>
              </w:rPr>
            </w:pPr>
            <w:r w:rsidRPr="001D01DE">
              <w:rPr>
                <w:rFonts w:ascii="Arial" w:hAnsi="Arial" w:cs="Arial"/>
              </w:rPr>
              <w:t>1</w:t>
            </w:r>
          </w:p>
        </w:tc>
        <w:tc>
          <w:tcPr>
            <w:tcW w:w="1260" w:type="dxa"/>
            <w:vAlign w:val="center"/>
          </w:tcPr>
          <w:p w:rsidRPr="001D01DE" w:rsidR="004E6350" w:rsidP="00CC6ED2" w:rsidRDefault="002C56E5" w14:paraId="43D9C6DE" w14:textId="608EB70E">
            <w:pPr>
              <w:jc w:val="right"/>
              <w:rPr>
                <w:rFonts w:ascii="Arial" w:hAnsi="Arial" w:cs="Arial"/>
              </w:rPr>
            </w:pPr>
            <w:r w:rsidRPr="001D01DE">
              <w:rPr>
                <w:rFonts w:ascii="Arial" w:hAnsi="Arial" w:cs="Arial"/>
              </w:rPr>
              <w:t>1</w:t>
            </w:r>
          </w:p>
        </w:tc>
        <w:tc>
          <w:tcPr>
            <w:tcW w:w="1170" w:type="dxa"/>
            <w:vAlign w:val="center"/>
          </w:tcPr>
          <w:p w:rsidRPr="001D01DE" w:rsidR="004E6350" w:rsidP="00CC6ED2" w:rsidRDefault="004E6350" w14:paraId="14AF19FA" w14:textId="39C2A5BE">
            <w:pPr>
              <w:jc w:val="right"/>
              <w:rPr>
                <w:rFonts w:ascii="Arial" w:hAnsi="Arial" w:cs="Arial"/>
              </w:rPr>
            </w:pPr>
            <w:r w:rsidRPr="001D01DE">
              <w:rPr>
                <w:rFonts w:ascii="Arial" w:hAnsi="Arial" w:cs="Arial"/>
              </w:rPr>
              <w:t>8</w:t>
            </w:r>
            <w:r w:rsidRPr="001D01DE" w:rsidR="0041622E">
              <w:rPr>
                <w:rFonts w:ascii="Arial" w:hAnsi="Arial" w:cs="Arial"/>
              </w:rPr>
              <w:t>1</w:t>
            </w:r>
            <w:r w:rsidRPr="001D01DE">
              <w:rPr>
                <w:rFonts w:ascii="Arial" w:hAnsi="Arial" w:cs="Arial"/>
              </w:rPr>
              <w:t>,150</w:t>
            </w:r>
          </w:p>
        </w:tc>
        <w:tc>
          <w:tcPr>
            <w:tcW w:w="990" w:type="dxa"/>
            <w:vAlign w:val="center"/>
          </w:tcPr>
          <w:p w:rsidRPr="001D01DE" w:rsidR="004E6350" w:rsidP="00CC6ED2" w:rsidRDefault="002C56E5" w14:paraId="1C8451CE" w14:textId="443269E5">
            <w:pPr>
              <w:jc w:val="right"/>
              <w:rPr>
                <w:rFonts w:ascii="Arial" w:hAnsi="Arial" w:cs="Arial"/>
              </w:rPr>
            </w:pPr>
            <w:r w:rsidRPr="001D01DE">
              <w:rPr>
                <w:rFonts w:ascii="Arial" w:hAnsi="Arial" w:cs="Arial"/>
              </w:rPr>
              <w:t>81,150</w:t>
            </w:r>
          </w:p>
        </w:tc>
        <w:tc>
          <w:tcPr>
            <w:tcW w:w="1350" w:type="dxa"/>
            <w:vAlign w:val="center"/>
          </w:tcPr>
          <w:p w:rsidRPr="001D01DE" w:rsidR="004E6350" w:rsidP="00CC6ED2" w:rsidRDefault="00690DF0" w14:paraId="1B431857" w14:textId="5D154EE8">
            <w:pPr>
              <w:jc w:val="center"/>
              <w:rPr>
                <w:rFonts w:ascii="Arial" w:hAnsi="Arial" w:cs="Arial"/>
              </w:rPr>
            </w:pPr>
            <w:r w:rsidRPr="001D01DE">
              <w:rPr>
                <w:rFonts w:ascii="Arial" w:hAnsi="Arial" w:cs="Arial"/>
              </w:rPr>
              <w:t>$</w:t>
            </w:r>
            <w:r w:rsidRPr="001D01DE" w:rsidR="00062D8E">
              <w:rPr>
                <w:rFonts w:ascii="Arial" w:hAnsi="Arial" w:cs="Arial"/>
              </w:rPr>
              <w:t>22,640,</w:t>
            </w:r>
            <w:r w:rsidRPr="001D01DE" w:rsidR="00EA4F78">
              <w:rPr>
                <w:rFonts w:ascii="Arial" w:hAnsi="Arial" w:cs="Arial"/>
              </w:rPr>
              <w:t>850</w:t>
            </w:r>
          </w:p>
        </w:tc>
      </w:tr>
      <w:tr w:rsidRPr="001D01DE" w:rsidR="00926BA4" w:rsidTr="00DA1C4B" w14:paraId="63E740A1" w14:textId="77777777">
        <w:trPr>
          <w:cantSplit/>
        </w:trPr>
        <w:tc>
          <w:tcPr>
            <w:tcW w:w="1867" w:type="dxa"/>
          </w:tcPr>
          <w:p w:rsidRPr="001D01DE" w:rsidR="00926BA4" w:rsidP="00CC6ED2" w:rsidRDefault="006E475A" w14:paraId="01902D6C" w14:textId="76436487">
            <w:pPr>
              <w:rPr>
                <w:rFonts w:ascii="Arial" w:hAnsi="Arial" w:cs="Arial"/>
              </w:rPr>
            </w:pPr>
            <w:r w:rsidRPr="001D01DE">
              <w:rPr>
                <w:rFonts w:ascii="Arial" w:hAnsi="Arial" w:cs="Arial"/>
              </w:rPr>
              <w:t xml:space="preserve">Subsequent </w:t>
            </w:r>
            <w:r w:rsidRPr="001D01DE" w:rsidR="00926BA4">
              <w:rPr>
                <w:rFonts w:ascii="Arial" w:hAnsi="Arial" w:cs="Arial"/>
              </w:rPr>
              <w:t>License Renewal Application</w:t>
            </w:r>
          </w:p>
          <w:p w:rsidRPr="001D01DE" w:rsidR="00926BA4" w:rsidP="00CC6ED2" w:rsidRDefault="00926BA4" w14:paraId="7BF2D4E0" w14:textId="593A6143">
            <w:pPr>
              <w:rPr>
                <w:rFonts w:ascii="Arial" w:hAnsi="Arial" w:cs="Arial"/>
              </w:rPr>
            </w:pPr>
            <w:r w:rsidRPr="001D01DE">
              <w:rPr>
                <w:rFonts w:ascii="Arial" w:hAnsi="Arial" w:cs="Arial"/>
              </w:rPr>
              <w:t>(54.13, 54.15, 54.17, 54.19, 54.21, 54.22)</w:t>
            </w:r>
          </w:p>
        </w:tc>
        <w:tc>
          <w:tcPr>
            <w:tcW w:w="1440" w:type="dxa"/>
            <w:vAlign w:val="center"/>
          </w:tcPr>
          <w:p w:rsidRPr="001D01DE" w:rsidR="00926BA4" w:rsidP="00CC6ED2" w:rsidRDefault="00204A85" w14:paraId="2DDDA22B" w14:textId="0671BDC6">
            <w:pPr>
              <w:jc w:val="right"/>
              <w:rPr>
                <w:rFonts w:ascii="Arial" w:hAnsi="Arial" w:cs="Arial"/>
              </w:rPr>
            </w:pPr>
            <w:r w:rsidRPr="001D01DE">
              <w:rPr>
                <w:rFonts w:ascii="Arial" w:hAnsi="Arial" w:cs="Arial"/>
              </w:rPr>
              <w:t>1</w:t>
            </w:r>
          </w:p>
        </w:tc>
        <w:tc>
          <w:tcPr>
            <w:tcW w:w="1350" w:type="dxa"/>
            <w:vAlign w:val="center"/>
          </w:tcPr>
          <w:p w:rsidRPr="001D01DE" w:rsidR="00926BA4" w:rsidP="00CC6ED2" w:rsidRDefault="00204A85" w14:paraId="2AA30ACA" w14:textId="548A15BE">
            <w:pPr>
              <w:jc w:val="right"/>
              <w:rPr>
                <w:rFonts w:ascii="Arial" w:hAnsi="Arial" w:cs="Arial"/>
              </w:rPr>
            </w:pPr>
            <w:r w:rsidRPr="001D01DE">
              <w:rPr>
                <w:rFonts w:ascii="Arial" w:hAnsi="Arial" w:cs="Arial"/>
              </w:rPr>
              <w:t>1</w:t>
            </w:r>
          </w:p>
        </w:tc>
        <w:tc>
          <w:tcPr>
            <w:tcW w:w="1260" w:type="dxa"/>
            <w:vAlign w:val="center"/>
          </w:tcPr>
          <w:p w:rsidRPr="001D01DE" w:rsidR="00926BA4" w:rsidP="00CC6ED2" w:rsidRDefault="0019073C" w14:paraId="4BE19F94" w14:textId="281E89D5">
            <w:pPr>
              <w:jc w:val="right"/>
              <w:rPr>
                <w:rFonts w:ascii="Arial" w:hAnsi="Arial" w:cs="Arial"/>
              </w:rPr>
            </w:pPr>
            <w:r w:rsidRPr="001D01DE">
              <w:rPr>
                <w:rFonts w:ascii="Arial" w:hAnsi="Arial" w:cs="Arial"/>
              </w:rPr>
              <w:t>1</w:t>
            </w:r>
          </w:p>
        </w:tc>
        <w:tc>
          <w:tcPr>
            <w:tcW w:w="1170" w:type="dxa"/>
            <w:vAlign w:val="center"/>
          </w:tcPr>
          <w:p w:rsidRPr="001D01DE" w:rsidR="00926BA4" w:rsidP="00CC6ED2" w:rsidRDefault="0019073C" w14:paraId="29B3D373" w14:textId="39FC450E">
            <w:pPr>
              <w:jc w:val="right"/>
              <w:rPr>
                <w:rFonts w:ascii="Arial" w:hAnsi="Arial" w:cs="Arial"/>
              </w:rPr>
            </w:pPr>
            <w:r w:rsidRPr="001D01DE">
              <w:rPr>
                <w:rFonts w:ascii="Arial" w:hAnsi="Arial" w:cs="Arial"/>
              </w:rPr>
              <w:t>73,000</w:t>
            </w:r>
          </w:p>
        </w:tc>
        <w:tc>
          <w:tcPr>
            <w:tcW w:w="990" w:type="dxa"/>
            <w:vAlign w:val="center"/>
          </w:tcPr>
          <w:p w:rsidRPr="001D01DE" w:rsidR="00926BA4" w:rsidP="00CC6ED2" w:rsidRDefault="0019073C" w14:paraId="72C39EB8" w14:textId="5AC39018">
            <w:pPr>
              <w:jc w:val="right"/>
              <w:rPr>
                <w:rFonts w:ascii="Arial" w:hAnsi="Arial" w:cs="Arial"/>
              </w:rPr>
            </w:pPr>
            <w:r w:rsidRPr="001D01DE">
              <w:rPr>
                <w:rFonts w:ascii="Arial" w:hAnsi="Arial" w:cs="Arial"/>
              </w:rPr>
              <w:t>73,000</w:t>
            </w:r>
          </w:p>
        </w:tc>
        <w:tc>
          <w:tcPr>
            <w:tcW w:w="1350" w:type="dxa"/>
            <w:vAlign w:val="center"/>
          </w:tcPr>
          <w:p w:rsidRPr="001D01DE" w:rsidR="00926BA4" w:rsidP="00CC6ED2" w:rsidRDefault="00EA4F78" w14:paraId="55ACDEAC" w14:textId="4960FCDD">
            <w:pPr>
              <w:jc w:val="right"/>
              <w:rPr>
                <w:rFonts w:ascii="Arial" w:hAnsi="Arial" w:cs="Arial"/>
              </w:rPr>
            </w:pPr>
            <w:r w:rsidRPr="001D01DE">
              <w:rPr>
                <w:rFonts w:ascii="Arial" w:hAnsi="Arial" w:cs="Arial"/>
              </w:rPr>
              <w:t>$20,367,000</w:t>
            </w:r>
          </w:p>
        </w:tc>
      </w:tr>
      <w:tr w:rsidRPr="001D01DE" w:rsidR="00756BF6" w:rsidTr="00DA1C4B" w14:paraId="4DB605AE" w14:textId="77777777">
        <w:trPr>
          <w:cantSplit/>
        </w:trPr>
        <w:tc>
          <w:tcPr>
            <w:tcW w:w="1867" w:type="dxa"/>
          </w:tcPr>
          <w:p w:rsidRPr="001D01DE" w:rsidR="00756BF6" w:rsidP="00CC6ED2" w:rsidRDefault="0041622E" w14:paraId="207B3A2C" w14:textId="77777777">
            <w:pPr>
              <w:rPr>
                <w:rFonts w:ascii="Arial" w:hAnsi="Arial" w:cs="Arial"/>
              </w:rPr>
            </w:pPr>
            <w:r w:rsidRPr="001D01DE">
              <w:rPr>
                <w:rFonts w:ascii="Arial" w:hAnsi="Arial" w:cs="Arial"/>
              </w:rPr>
              <w:t>Amendments to Application</w:t>
            </w:r>
          </w:p>
        </w:tc>
        <w:tc>
          <w:tcPr>
            <w:tcW w:w="1440" w:type="dxa"/>
            <w:vAlign w:val="center"/>
          </w:tcPr>
          <w:p w:rsidRPr="001D01DE" w:rsidR="00756BF6" w:rsidP="00CC6ED2" w:rsidRDefault="0041622E" w14:paraId="32735BF6" w14:textId="5704863E">
            <w:pPr>
              <w:jc w:val="right"/>
              <w:rPr>
                <w:rFonts w:ascii="Arial" w:hAnsi="Arial" w:cs="Arial"/>
              </w:rPr>
            </w:pPr>
            <w:r w:rsidRPr="001D01DE">
              <w:rPr>
                <w:rFonts w:ascii="Arial" w:hAnsi="Arial" w:cs="Arial"/>
              </w:rPr>
              <w:t>2</w:t>
            </w:r>
          </w:p>
        </w:tc>
        <w:tc>
          <w:tcPr>
            <w:tcW w:w="1350" w:type="dxa"/>
            <w:vAlign w:val="center"/>
          </w:tcPr>
          <w:p w:rsidRPr="001D01DE" w:rsidR="00756BF6" w:rsidP="00CC6ED2" w:rsidRDefault="00C065CD" w14:paraId="0E9BCC21" w14:textId="0D598AB9">
            <w:pPr>
              <w:jc w:val="right"/>
              <w:rPr>
                <w:rFonts w:ascii="Arial" w:hAnsi="Arial" w:cs="Arial"/>
              </w:rPr>
            </w:pPr>
            <w:r w:rsidRPr="001D01DE">
              <w:rPr>
                <w:rFonts w:ascii="Arial" w:hAnsi="Arial" w:cs="Arial"/>
              </w:rPr>
              <w:t>2</w:t>
            </w:r>
          </w:p>
        </w:tc>
        <w:tc>
          <w:tcPr>
            <w:tcW w:w="1260" w:type="dxa"/>
            <w:vAlign w:val="center"/>
          </w:tcPr>
          <w:p w:rsidRPr="001D01DE" w:rsidR="00756BF6" w:rsidP="00CC6ED2" w:rsidRDefault="00C065CD" w14:paraId="09F2C6B6" w14:textId="55E5413C">
            <w:pPr>
              <w:jc w:val="right"/>
              <w:rPr>
                <w:rFonts w:ascii="Arial" w:hAnsi="Arial" w:cs="Arial"/>
              </w:rPr>
            </w:pPr>
            <w:r w:rsidRPr="001D01DE">
              <w:rPr>
                <w:rFonts w:ascii="Arial" w:hAnsi="Arial" w:cs="Arial"/>
              </w:rPr>
              <w:t>4</w:t>
            </w:r>
          </w:p>
        </w:tc>
        <w:tc>
          <w:tcPr>
            <w:tcW w:w="1170" w:type="dxa"/>
            <w:vAlign w:val="center"/>
          </w:tcPr>
          <w:p w:rsidRPr="001D01DE" w:rsidR="00756BF6" w:rsidP="00CC6ED2" w:rsidRDefault="00C065CD" w14:paraId="41BDFADA" w14:textId="0AEBBC35">
            <w:pPr>
              <w:jc w:val="right"/>
              <w:rPr>
                <w:rFonts w:ascii="Arial" w:hAnsi="Arial" w:cs="Arial"/>
              </w:rPr>
            </w:pPr>
            <w:r w:rsidRPr="001D01DE">
              <w:rPr>
                <w:rFonts w:ascii="Arial" w:hAnsi="Arial" w:cs="Arial"/>
              </w:rPr>
              <w:t>1,5</w:t>
            </w:r>
            <w:r w:rsidRPr="001D01DE" w:rsidR="0041622E">
              <w:rPr>
                <w:rFonts w:ascii="Arial" w:hAnsi="Arial" w:cs="Arial"/>
              </w:rPr>
              <w:t>00</w:t>
            </w:r>
          </w:p>
        </w:tc>
        <w:tc>
          <w:tcPr>
            <w:tcW w:w="990" w:type="dxa"/>
            <w:vAlign w:val="center"/>
          </w:tcPr>
          <w:p w:rsidRPr="001D01DE" w:rsidR="00756BF6" w:rsidP="00CC6ED2" w:rsidRDefault="0041622E" w14:paraId="304D42A8" w14:textId="639EEFF5">
            <w:pPr>
              <w:jc w:val="right"/>
              <w:rPr>
                <w:rFonts w:ascii="Arial" w:hAnsi="Arial" w:cs="Arial"/>
              </w:rPr>
            </w:pPr>
            <w:r w:rsidRPr="001D01DE">
              <w:rPr>
                <w:rFonts w:ascii="Arial" w:hAnsi="Arial" w:cs="Arial"/>
              </w:rPr>
              <w:t>6,000</w:t>
            </w:r>
          </w:p>
        </w:tc>
        <w:tc>
          <w:tcPr>
            <w:tcW w:w="1350" w:type="dxa"/>
            <w:vAlign w:val="center"/>
          </w:tcPr>
          <w:p w:rsidRPr="001D01DE" w:rsidR="00756BF6" w:rsidP="00CC6ED2" w:rsidRDefault="0041622E" w14:paraId="1F02E91F" w14:textId="1580F685">
            <w:pPr>
              <w:jc w:val="right"/>
              <w:rPr>
                <w:rFonts w:ascii="Arial" w:hAnsi="Arial" w:cs="Arial"/>
              </w:rPr>
            </w:pPr>
            <w:r w:rsidRPr="001D01DE">
              <w:rPr>
                <w:rFonts w:ascii="Arial" w:hAnsi="Arial" w:cs="Arial"/>
              </w:rPr>
              <w:t>$</w:t>
            </w:r>
            <w:r w:rsidRPr="001D01DE" w:rsidR="00EA4F78">
              <w:rPr>
                <w:rFonts w:ascii="Arial" w:hAnsi="Arial" w:cs="Arial"/>
              </w:rPr>
              <w:t>1,674,000</w:t>
            </w:r>
          </w:p>
        </w:tc>
      </w:tr>
      <w:tr w:rsidRPr="001D01DE" w:rsidR="004E6350" w:rsidTr="00DA1C4B" w14:paraId="7A9D9F01" w14:textId="77777777">
        <w:trPr>
          <w:cantSplit/>
        </w:trPr>
        <w:tc>
          <w:tcPr>
            <w:tcW w:w="1867" w:type="dxa"/>
          </w:tcPr>
          <w:p w:rsidRPr="001D01DE" w:rsidR="004E6350" w:rsidP="00CC6ED2" w:rsidRDefault="004E6350" w14:paraId="65570DC8" w14:textId="7110BEDE">
            <w:pPr>
              <w:rPr>
                <w:rFonts w:ascii="Arial" w:hAnsi="Arial" w:cs="Arial"/>
              </w:rPr>
            </w:pPr>
            <w:r w:rsidRPr="001D01DE">
              <w:rPr>
                <w:rFonts w:ascii="Arial" w:hAnsi="Arial" w:cs="Arial"/>
              </w:rPr>
              <w:t>Completion Letter</w:t>
            </w:r>
          </w:p>
        </w:tc>
        <w:tc>
          <w:tcPr>
            <w:tcW w:w="1440" w:type="dxa"/>
            <w:vAlign w:val="center"/>
          </w:tcPr>
          <w:p w:rsidRPr="001D01DE" w:rsidR="004E6350" w:rsidP="00CC6ED2" w:rsidRDefault="00B8558E" w14:paraId="57B8AE1C" w14:textId="0F7E16CC">
            <w:pPr>
              <w:jc w:val="right"/>
              <w:rPr>
                <w:rFonts w:ascii="Arial" w:hAnsi="Arial" w:cs="Arial"/>
              </w:rPr>
            </w:pPr>
            <w:r w:rsidRPr="001D01DE">
              <w:rPr>
                <w:rFonts w:ascii="Arial" w:hAnsi="Arial" w:cs="Arial"/>
              </w:rPr>
              <w:t>5</w:t>
            </w:r>
          </w:p>
        </w:tc>
        <w:tc>
          <w:tcPr>
            <w:tcW w:w="1350" w:type="dxa"/>
            <w:vAlign w:val="center"/>
          </w:tcPr>
          <w:p w:rsidRPr="001D01DE" w:rsidR="004E6350" w:rsidP="00CC6ED2" w:rsidRDefault="004E6350" w14:paraId="62FC5D0F" w14:textId="77777777">
            <w:pPr>
              <w:jc w:val="right"/>
              <w:rPr>
                <w:rFonts w:ascii="Arial" w:hAnsi="Arial" w:cs="Arial"/>
              </w:rPr>
            </w:pPr>
            <w:r w:rsidRPr="001D01DE">
              <w:rPr>
                <w:rFonts w:ascii="Arial" w:hAnsi="Arial" w:cs="Arial"/>
              </w:rPr>
              <w:t>1</w:t>
            </w:r>
          </w:p>
        </w:tc>
        <w:tc>
          <w:tcPr>
            <w:tcW w:w="1260" w:type="dxa"/>
            <w:vAlign w:val="center"/>
          </w:tcPr>
          <w:p w:rsidRPr="001D01DE" w:rsidR="004E6350" w:rsidP="00CC6ED2" w:rsidRDefault="00B8558E" w14:paraId="068AF014" w14:textId="733D58B6">
            <w:pPr>
              <w:jc w:val="right"/>
              <w:rPr>
                <w:rFonts w:ascii="Arial" w:hAnsi="Arial" w:cs="Arial"/>
              </w:rPr>
            </w:pPr>
            <w:r w:rsidRPr="001D01DE">
              <w:rPr>
                <w:rFonts w:ascii="Arial" w:hAnsi="Arial" w:cs="Arial"/>
              </w:rPr>
              <w:t>5</w:t>
            </w:r>
          </w:p>
        </w:tc>
        <w:tc>
          <w:tcPr>
            <w:tcW w:w="1170" w:type="dxa"/>
            <w:vAlign w:val="center"/>
          </w:tcPr>
          <w:p w:rsidRPr="001D01DE" w:rsidR="004E6350" w:rsidP="00CC6ED2" w:rsidRDefault="004E6350" w14:paraId="1B28EAC3" w14:textId="77777777">
            <w:pPr>
              <w:jc w:val="right"/>
              <w:rPr>
                <w:rFonts w:ascii="Arial" w:hAnsi="Arial" w:cs="Arial"/>
              </w:rPr>
            </w:pPr>
            <w:r w:rsidRPr="001D01DE">
              <w:rPr>
                <w:rFonts w:ascii="Arial" w:hAnsi="Arial" w:cs="Arial"/>
              </w:rPr>
              <w:t>10</w:t>
            </w:r>
          </w:p>
        </w:tc>
        <w:tc>
          <w:tcPr>
            <w:tcW w:w="990" w:type="dxa"/>
            <w:vAlign w:val="center"/>
          </w:tcPr>
          <w:p w:rsidRPr="001D01DE" w:rsidR="004E6350" w:rsidP="00CC6ED2" w:rsidRDefault="00B8558E" w14:paraId="0BC2F6DC" w14:textId="13813EB2">
            <w:pPr>
              <w:jc w:val="right"/>
              <w:rPr>
                <w:rFonts w:ascii="Arial" w:hAnsi="Arial" w:cs="Arial"/>
              </w:rPr>
            </w:pPr>
            <w:r w:rsidRPr="001D01DE">
              <w:rPr>
                <w:rFonts w:ascii="Arial" w:hAnsi="Arial" w:cs="Arial"/>
              </w:rPr>
              <w:t>50</w:t>
            </w:r>
          </w:p>
        </w:tc>
        <w:tc>
          <w:tcPr>
            <w:tcW w:w="1350" w:type="dxa"/>
            <w:vAlign w:val="center"/>
          </w:tcPr>
          <w:p w:rsidRPr="001D01DE" w:rsidR="004E6350" w:rsidP="00CC6ED2" w:rsidRDefault="00690DF0" w14:paraId="51851C5B" w14:textId="514F627D">
            <w:pPr>
              <w:jc w:val="center"/>
              <w:rPr>
                <w:rFonts w:ascii="Arial" w:hAnsi="Arial" w:cs="Arial"/>
              </w:rPr>
            </w:pPr>
            <w:r w:rsidRPr="001D01DE">
              <w:rPr>
                <w:rFonts w:ascii="Arial" w:hAnsi="Arial" w:cs="Arial"/>
              </w:rPr>
              <w:t>$</w:t>
            </w:r>
            <w:r w:rsidRPr="001D01DE" w:rsidR="00B8558E">
              <w:rPr>
                <w:rFonts w:ascii="Arial" w:hAnsi="Arial" w:cs="Arial"/>
              </w:rPr>
              <w:t>13,950</w:t>
            </w:r>
          </w:p>
        </w:tc>
      </w:tr>
      <w:tr w:rsidRPr="001D01DE" w:rsidR="004E6350" w:rsidTr="00DA1C4B" w14:paraId="7B6FC9F4" w14:textId="77777777">
        <w:trPr>
          <w:cantSplit/>
        </w:trPr>
        <w:tc>
          <w:tcPr>
            <w:tcW w:w="1867" w:type="dxa"/>
          </w:tcPr>
          <w:p w:rsidRPr="001D01DE" w:rsidR="004E6350" w:rsidP="00CC6ED2" w:rsidRDefault="004E6350" w14:paraId="31739D12" w14:textId="46D1970B">
            <w:pPr>
              <w:rPr>
                <w:rFonts w:ascii="Arial" w:hAnsi="Arial" w:cs="Arial"/>
              </w:rPr>
            </w:pPr>
            <w:r w:rsidRPr="001D01DE">
              <w:rPr>
                <w:rFonts w:ascii="Arial" w:hAnsi="Arial" w:cs="Arial"/>
              </w:rPr>
              <w:t>Total</w:t>
            </w:r>
          </w:p>
        </w:tc>
        <w:tc>
          <w:tcPr>
            <w:tcW w:w="1440" w:type="dxa"/>
            <w:vAlign w:val="center"/>
          </w:tcPr>
          <w:p w:rsidRPr="001D01DE" w:rsidR="004E6350" w:rsidP="00CC6ED2" w:rsidRDefault="008D32BA" w14:paraId="3B5D838C" w14:textId="6D822D73">
            <w:pPr>
              <w:jc w:val="right"/>
              <w:rPr>
                <w:rFonts w:ascii="Arial" w:hAnsi="Arial" w:cs="Arial"/>
              </w:rPr>
            </w:pPr>
            <w:r w:rsidRPr="001D01DE">
              <w:rPr>
                <w:rFonts w:ascii="Arial" w:hAnsi="Arial" w:cs="Arial"/>
              </w:rPr>
              <w:t>9</w:t>
            </w:r>
          </w:p>
        </w:tc>
        <w:tc>
          <w:tcPr>
            <w:tcW w:w="1350" w:type="dxa"/>
            <w:vAlign w:val="center"/>
          </w:tcPr>
          <w:p w:rsidRPr="001D01DE" w:rsidR="004E6350" w:rsidP="00CC6ED2" w:rsidRDefault="004E6350" w14:paraId="0D8C5AB1" w14:textId="77777777">
            <w:pPr>
              <w:jc w:val="right"/>
              <w:rPr>
                <w:rFonts w:ascii="Arial" w:hAnsi="Arial" w:cs="Arial"/>
              </w:rPr>
            </w:pPr>
            <w:r w:rsidRPr="001D01DE">
              <w:rPr>
                <w:rFonts w:ascii="Arial" w:hAnsi="Arial" w:cs="Arial"/>
              </w:rPr>
              <w:t>--</w:t>
            </w:r>
          </w:p>
        </w:tc>
        <w:tc>
          <w:tcPr>
            <w:tcW w:w="1260" w:type="dxa"/>
            <w:vAlign w:val="center"/>
          </w:tcPr>
          <w:p w:rsidRPr="001D01DE" w:rsidR="004E6350" w:rsidP="00CC6ED2" w:rsidRDefault="002E3065" w14:paraId="5C80010E" w14:textId="36167F07">
            <w:pPr>
              <w:jc w:val="right"/>
              <w:rPr>
                <w:rFonts w:ascii="Arial" w:hAnsi="Arial" w:cs="Arial"/>
              </w:rPr>
            </w:pPr>
            <w:r w:rsidRPr="001D01DE">
              <w:rPr>
                <w:rFonts w:ascii="Arial" w:hAnsi="Arial" w:cs="Arial"/>
              </w:rPr>
              <w:t>11</w:t>
            </w:r>
          </w:p>
        </w:tc>
        <w:tc>
          <w:tcPr>
            <w:tcW w:w="1170" w:type="dxa"/>
            <w:vAlign w:val="center"/>
          </w:tcPr>
          <w:p w:rsidRPr="001D01DE" w:rsidR="004E6350" w:rsidP="00CC6ED2" w:rsidRDefault="004E6350" w14:paraId="35B55E3D" w14:textId="77777777">
            <w:pPr>
              <w:jc w:val="right"/>
              <w:rPr>
                <w:rFonts w:ascii="Arial" w:hAnsi="Arial" w:cs="Arial"/>
              </w:rPr>
            </w:pPr>
            <w:r w:rsidRPr="001D01DE">
              <w:rPr>
                <w:rFonts w:ascii="Arial" w:hAnsi="Arial" w:cs="Arial"/>
              </w:rPr>
              <w:t>--</w:t>
            </w:r>
          </w:p>
        </w:tc>
        <w:tc>
          <w:tcPr>
            <w:tcW w:w="990" w:type="dxa"/>
            <w:vAlign w:val="center"/>
          </w:tcPr>
          <w:p w:rsidRPr="001D01DE" w:rsidR="004E6350" w:rsidP="00CC6ED2" w:rsidRDefault="00267776" w14:paraId="09ED1012" w14:textId="2E1844E0">
            <w:pPr>
              <w:jc w:val="right"/>
              <w:rPr>
                <w:rFonts w:ascii="Arial" w:hAnsi="Arial" w:cs="Arial"/>
              </w:rPr>
            </w:pPr>
            <w:r w:rsidRPr="001D01DE">
              <w:rPr>
                <w:rFonts w:ascii="Arial" w:hAnsi="Arial" w:cs="Arial"/>
              </w:rPr>
              <w:t>160,200</w:t>
            </w:r>
          </w:p>
        </w:tc>
        <w:tc>
          <w:tcPr>
            <w:tcW w:w="1350" w:type="dxa"/>
            <w:vAlign w:val="center"/>
          </w:tcPr>
          <w:p w:rsidRPr="001D01DE" w:rsidR="004E6350" w:rsidP="00CC6ED2" w:rsidRDefault="00690DF0" w14:paraId="668E4812" w14:textId="4DEF182D">
            <w:pPr>
              <w:jc w:val="center"/>
              <w:rPr>
                <w:rFonts w:ascii="Arial" w:hAnsi="Arial" w:cs="Arial"/>
              </w:rPr>
            </w:pPr>
            <w:r w:rsidRPr="001D01DE">
              <w:rPr>
                <w:rFonts w:ascii="Arial" w:hAnsi="Arial" w:cs="Arial"/>
              </w:rPr>
              <w:t>$</w:t>
            </w:r>
            <w:r w:rsidRPr="001D01DE" w:rsidR="0071240F">
              <w:rPr>
                <w:rFonts w:ascii="Arial" w:hAnsi="Arial" w:cs="Arial"/>
              </w:rPr>
              <w:t>44,695,800</w:t>
            </w:r>
          </w:p>
        </w:tc>
      </w:tr>
    </w:tbl>
    <w:p w:rsidRPr="00D51029" w:rsidR="004E6350" w:rsidP="00CC6ED2" w:rsidRDefault="004E6350" w14:paraId="0AA399AB" w14:textId="77777777">
      <w:pPr>
        <w:rPr>
          <w:rFonts w:ascii="Arial" w:hAnsi="Arial" w:cs="Arial"/>
          <w:sz w:val="22"/>
          <w:szCs w:val="22"/>
        </w:rPr>
      </w:pPr>
    </w:p>
    <w:p w:rsidRPr="00D51029" w:rsidR="004E6350" w:rsidP="00CC6ED2" w:rsidRDefault="004E6350" w14:paraId="721A83A1" w14:textId="77777777">
      <w:pPr>
        <w:rPr>
          <w:rFonts w:ascii="Arial" w:hAnsi="Arial" w:cs="Arial"/>
          <w:sz w:val="22"/>
          <w:szCs w:val="22"/>
        </w:rPr>
      </w:pPr>
    </w:p>
    <w:p w:rsidRPr="00D51029" w:rsidR="004E6350" w:rsidP="00CC6ED2" w:rsidRDefault="004E6350" w14:paraId="7E38B6F0" w14:textId="0B1C7F7E">
      <w:pPr>
        <w:jc w:val="center"/>
        <w:rPr>
          <w:rFonts w:ascii="Arial" w:hAnsi="Arial" w:cs="Arial"/>
          <w:sz w:val="22"/>
          <w:szCs w:val="22"/>
        </w:rPr>
      </w:pPr>
      <w:r w:rsidRPr="00D51029">
        <w:rPr>
          <w:rFonts w:ascii="Arial" w:hAnsi="Arial" w:cs="Arial"/>
          <w:sz w:val="22"/>
          <w:szCs w:val="22"/>
        </w:rPr>
        <w:t>TABLE 2</w:t>
      </w:r>
    </w:p>
    <w:p w:rsidRPr="00D51029" w:rsidR="004E6350" w:rsidP="00CC6ED2" w:rsidRDefault="004E6350" w14:paraId="60CF1457" w14:textId="77777777">
      <w:pPr>
        <w:jc w:val="center"/>
        <w:rPr>
          <w:rFonts w:ascii="Arial" w:hAnsi="Arial" w:cs="Arial"/>
          <w:sz w:val="22"/>
          <w:szCs w:val="22"/>
        </w:rPr>
      </w:pPr>
      <w:r w:rsidRPr="00D51029">
        <w:rPr>
          <w:rFonts w:ascii="Arial" w:hAnsi="Arial" w:cs="Arial"/>
          <w:sz w:val="22"/>
          <w:szCs w:val="22"/>
        </w:rPr>
        <w:t>ANNUAL RECORDKEEPING REQUIREMENTS</w:t>
      </w:r>
    </w:p>
    <w:p w:rsidRPr="00D51029" w:rsidR="004E6350" w:rsidP="00CC6ED2" w:rsidRDefault="004E6350" w14:paraId="034C30E4" w14:textId="77777777">
      <w:pPr>
        <w:jc w:val="center"/>
        <w:rPr>
          <w:rFonts w:ascii="Arial" w:hAnsi="Arial" w:cs="Arial"/>
          <w:sz w:val="22"/>
          <w:szCs w:val="22"/>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935"/>
        <w:gridCol w:w="1485"/>
        <w:gridCol w:w="1620"/>
        <w:gridCol w:w="1800"/>
      </w:tblGrid>
      <w:tr w:rsidRPr="00D51029" w:rsidR="004E6350" w:rsidTr="000041F4" w14:paraId="173AD9AB" w14:textId="77777777">
        <w:trPr>
          <w:trHeight w:val="1062"/>
        </w:trPr>
        <w:tc>
          <w:tcPr>
            <w:tcW w:w="2520" w:type="dxa"/>
            <w:vAlign w:val="center"/>
          </w:tcPr>
          <w:p w:rsidRPr="00DA1C4B" w:rsidR="004E6350" w:rsidP="00CC6ED2" w:rsidRDefault="004E6350" w14:paraId="1CFC41CB" w14:textId="77777777">
            <w:pPr>
              <w:jc w:val="center"/>
              <w:rPr>
                <w:rFonts w:ascii="Arial" w:hAnsi="Arial" w:cs="Arial"/>
              </w:rPr>
            </w:pPr>
            <w:r w:rsidRPr="00DA1C4B">
              <w:rPr>
                <w:rFonts w:ascii="Arial" w:hAnsi="Arial" w:cs="Arial"/>
              </w:rPr>
              <w:t>Section</w:t>
            </w:r>
          </w:p>
        </w:tc>
        <w:tc>
          <w:tcPr>
            <w:tcW w:w="1935" w:type="dxa"/>
            <w:vAlign w:val="center"/>
          </w:tcPr>
          <w:p w:rsidRPr="00DA1C4B" w:rsidR="004E6350" w:rsidP="00CC6ED2" w:rsidRDefault="004E6350" w14:paraId="1474CD9C" w14:textId="77777777">
            <w:pPr>
              <w:jc w:val="center"/>
              <w:rPr>
                <w:rFonts w:ascii="Arial" w:hAnsi="Arial" w:cs="Arial"/>
              </w:rPr>
            </w:pPr>
            <w:r w:rsidRPr="00DA1C4B">
              <w:rPr>
                <w:rFonts w:ascii="Arial" w:hAnsi="Arial" w:cs="Arial"/>
              </w:rPr>
              <w:t>Number of Recordkeepers</w:t>
            </w:r>
          </w:p>
        </w:tc>
        <w:tc>
          <w:tcPr>
            <w:tcW w:w="1485" w:type="dxa"/>
            <w:vAlign w:val="center"/>
          </w:tcPr>
          <w:p w:rsidRPr="00DA1C4B" w:rsidR="004E6350" w:rsidP="00CC6ED2" w:rsidRDefault="004E6350" w14:paraId="6000A160" w14:textId="77777777">
            <w:pPr>
              <w:jc w:val="center"/>
              <w:rPr>
                <w:rFonts w:ascii="Arial" w:hAnsi="Arial" w:cs="Arial"/>
              </w:rPr>
            </w:pPr>
            <w:r w:rsidRPr="00DA1C4B">
              <w:rPr>
                <w:rFonts w:ascii="Arial" w:hAnsi="Arial" w:cs="Arial"/>
              </w:rPr>
              <w:t>Burden per Recordkeeper (Hours)</w:t>
            </w:r>
          </w:p>
        </w:tc>
        <w:tc>
          <w:tcPr>
            <w:tcW w:w="1620" w:type="dxa"/>
            <w:vAlign w:val="center"/>
          </w:tcPr>
          <w:p w:rsidRPr="00DA1C4B" w:rsidR="004E6350" w:rsidP="00CC6ED2" w:rsidRDefault="004E6350" w14:paraId="133BD990" w14:textId="77777777">
            <w:pPr>
              <w:jc w:val="center"/>
              <w:rPr>
                <w:rFonts w:ascii="Arial" w:hAnsi="Arial" w:cs="Arial"/>
              </w:rPr>
            </w:pPr>
            <w:r w:rsidRPr="00DA1C4B">
              <w:rPr>
                <w:rFonts w:ascii="Arial" w:hAnsi="Arial" w:cs="Arial"/>
              </w:rPr>
              <w:t>Total Annual Burden</w:t>
            </w:r>
          </w:p>
          <w:p w:rsidRPr="00DA1C4B" w:rsidR="004E6350" w:rsidP="00CC6ED2" w:rsidRDefault="004E6350" w14:paraId="7A161C30" w14:textId="77777777">
            <w:pPr>
              <w:jc w:val="center"/>
              <w:rPr>
                <w:rFonts w:ascii="Arial" w:hAnsi="Arial" w:cs="Arial"/>
              </w:rPr>
            </w:pPr>
            <w:r w:rsidRPr="00DA1C4B">
              <w:rPr>
                <w:rFonts w:ascii="Arial" w:hAnsi="Arial" w:cs="Arial"/>
              </w:rPr>
              <w:t>(Hours)</w:t>
            </w:r>
          </w:p>
        </w:tc>
        <w:tc>
          <w:tcPr>
            <w:tcW w:w="1800" w:type="dxa"/>
            <w:vAlign w:val="center"/>
          </w:tcPr>
          <w:p w:rsidRPr="00DA1C4B" w:rsidR="00B51524" w:rsidP="00CC6ED2" w:rsidRDefault="004E6350" w14:paraId="3D444417" w14:textId="77777777">
            <w:pPr>
              <w:jc w:val="center"/>
              <w:rPr>
                <w:rFonts w:ascii="Arial" w:hAnsi="Arial" w:cs="Arial"/>
              </w:rPr>
            </w:pPr>
            <w:r w:rsidRPr="00DA1C4B">
              <w:rPr>
                <w:rFonts w:ascii="Arial" w:hAnsi="Arial" w:cs="Arial"/>
              </w:rPr>
              <w:t xml:space="preserve">Cost at </w:t>
            </w:r>
          </w:p>
          <w:p w:rsidRPr="00DA1C4B" w:rsidR="004E6350" w:rsidP="00CC6ED2" w:rsidRDefault="004E6350" w14:paraId="7EF4FA7F" w14:textId="687F597A">
            <w:pPr>
              <w:jc w:val="center"/>
              <w:rPr>
                <w:rFonts w:ascii="Arial" w:hAnsi="Arial" w:cs="Arial"/>
              </w:rPr>
            </w:pPr>
            <w:r w:rsidRPr="00DA1C4B">
              <w:rPr>
                <w:rFonts w:ascii="Arial" w:hAnsi="Arial" w:cs="Arial"/>
              </w:rPr>
              <w:t>$</w:t>
            </w:r>
            <w:r w:rsidRPr="00DA1C4B" w:rsidR="008D6A40">
              <w:rPr>
                <w:rFonts w:ascii="Arial" w:hAnsi="Arial" w:cs="Arial"/>
              </w:rPr>
              <w:t>279</w:t>
            </w:r>
            <w:r w:rsidRPr="00DA1C4B">
              <w:rPr>
                <w:rFonts w:ascii="Arial" w:hAnsi="Arial" w:cs="Arial"/>
              </w:rPr>
              <w:t>/ hour ($)</w:t>
            </w:r>
          </w:p>
        </w:tc>
      </w:tr>
      <w:tr w:rsidRPr="00D51029" w:rsidR="004E6350" w:rsidTr="000041F4" w14:paraId="677B3479" w14:textId="77777777">
        <w:tc>
          <w:tcPr>
            <w:tcW w:w="2520" w:type="dxa"/>
          </w:tcPr>
          <w:p w:rsidRPr="00DA1C4B" w:rsidR="004E6350" w:rsidP="00CC6ED2" w:rsidRDefault="004E6350" w14:paraId="3FB13CE8" w14:textId="78988312">
            <w:pPr>
              <w:rPr>
                <w:rFonts w:ascii="Arial" w:hAnsi="Arial" w:cs="Arial"/>
              </w:rPr>
            </w:pPr>
            <w:r w:rsidRPr="00DA1C4B">
              <w:rPr>
                <w:rFonts w:ascii="Arial" w:hAnsi="Arial" w:cs="Arial"/>
              </w:rPr>
              <w:t xml:space="preserve">Retention of Records in an Auditable and Retrievable Form and </w:t>
            </w:r>
            <w:r w:rsidRPr="00DA1C4B" w:rsidR="007128ED">
              <w:rPr>
                <w:rFonts w:ascii="Arial" w:hAnsi="Arial" w:cs="Arial"/>
              </w:rPr>
              <w:t>FSAR</w:t>
            </w:r>
            <w:r w:rsidRPr="00DA1C4B">
              <w:rPr>
                <w:rFonts w:ascii="Arial" w:hAnsi="Arial" w:cs="Arial"/>
              </w:rPr>
              <w:t xml:space="preserve"> Updates</w:t>
            </w:r>
          </w:p>
          <w:p w:rsidRPr="00DA1C4B" w:rsidR="004E6350" w:rsidP="00DA1C4B" w:rsidRDefault="004E6350" w14:paraId="2E8A9ED0" w14:textId="5F413E05">
            <w:pPr>
              <w:rPr>
                <w:rFonts w:ascii="Arial" w:hAnsi="Arial" w:cs="Arial"/>
              </w:rPr>
            </w:pPr>
            <w:r w:rsidRPr="00DA1C4B">
              <w:rPr>
                <w:rFonts w:ascii="Arial" w:hAnsi="Arial" w:cs="Arial"/>
              </w:rPr>
              <w:t>(54.37)</w:t>
            </w:r>
          </w:p>
        </w:tc>
        <w:tc>
          <w:tcPr>
            <w:tcW w:w="1935" w:type="dxa"/>
            <w:vAlign w:val="center"/>
          </w:tcPr>
          <w:p w:rsidRPr="00DA1C4B" w:rsidR="004E6350" w:rsidP="00CC6ED2" w:rsidRDefault="007128ED" w14:paraId="16FB5021" w14:textId="47D625C1">
            <w:pPr>
              <w:jc w:val="right"/>
              <w:rPr>
                <w:rFonts w:ascii="Arial" w:hAnsi="Arial" w:cs="Arial"/>
              </w:rPr>
            </w:pPr>
            <w:r w:rsidRPr="00DA1C4B">
              <w:rPr>
                <w:rFonts w:ascii="Arial" w:hAnsi="Arial" w:cs="Arial"/>
              </w:rPr>
              <w:t>55</w:t>
            </w:r>
          </w:p>
        </w:tc>
        <w:tc>
          <w:tcPr>
            <w:tcW w:w="1485" w:type="dxa"/>
            <w:vAlign w:val="center"/>
          </w:tcPr>
          <w:p w:rsidRPr="00DA1C4B" w:rsidR="004E6350" w:rsidP="00CC6ED2" w:rsidRDefault="004E6350" w14:paraId="423DCF2A" w14:textId="77777777">
            <w:pPr>
              <w:jc w:val="right"/>
              <w:rPr>
                <w:rFonts w:ascii="Arial" w:hAnsi="Arial" w:cs="Arial"/>
              </w:rPr>
            </w:pPr>
            <w:r w:rsidRPr="00DA1C4B">
              <w:rPr>
                <w:rFonts w:ascii="Arial" w:hAnsi="Arial" w:cs="Arial"/>
              </w:rPr>
              <w:t>1</w:t>
            </w:r>
            <w:r w:rsidRPr="00DA1C4B" w:rsidR="00690DF0">
              <w:rPr>
                <w:rFonts w:ascii="Arial" w:hAnsi="Arial" w:cs="Arial"/>
              </w:rPr>
              <w:t>,</w:t>
            </w:r>
            <w:r w:rsidRPr="00DA1C4B">
              <w:rPr>
                <w:rFonts w:ascii="Arial" w:hAnsi="Arial" w:cs="Arial"/>
              </w:rPr>
              <w:t>000</w:t>
            </w:r>
          </w:p>
        </w:tc>
        <w:tc>
          <w:tcPr>
            <w:tcW w:w="1620" w:type="dxa"/>
            <w:vAlign w:val="center"/>
          </w:tcPr>
          <w:p w:rsidRPr="00DA1C4B" w:rsidR="004E6350" w:rsidP="00CC6ED2" w:rsidRDefault="007128ED" w14:paraId="58415B8B" w14:textId="4A8B43BB">
            <w:pPr>
              <w:jc w:val="right"/>
              <w:rPr>
                <w:rFonts w:ascii="Arial" w:hAnsi="Arial" w:cs="Arial"/>
              </w:rPr>
            </w:pPr>
            <w:r w:rsidRPr="00DA1C4B">
              <w:rPr>
                <w:rFonts w:ascii="Arial" w:hAnsi="Arial" w:cs="Arial"/>
              </w:rPr>
              <w:t>55</w:t>
            </w:r>
            <w:r w:rsidRPr="00DA1C4B" w:rsidR="004E6350">
              <w:rPr>
                <w:rFonts w:ascii="Arial" w:hAnsi="Arial" w:cs="Arial"/>
              </w:rPr>
              <w:t>,000</w:t>
            </w:r>
          </w:p>
        </w:tc>
        <w:tc>
          <w:tcPr>
            <w:tcW w:w="1800" w:type="dxa"/>
            <w:vAlign w:val="center"/>
          </w:tcPr>
          <w:p w:rsidRPr="00DA1C4B" w:rsidR="00C5773C" w:rsidP="00CC6ED2" w:rsidRDefault="00690DF0" w14:paraId="5E61C2CE" w14:textId="4D085F94">
            <w:pPr>
              <w:jc w:val="center"/>
              <w:rPr>
                <w:rFonts w:ascii="Arial" w:hAnsi="Arial" w:cs="Arial"/>
              </w:rPr>
            </w:pPr>
            <w:r w:rsidRPr="00DA1C4B">
              <w:rPr>
                <w:rFonts w:ascii="Arial" w:hAnsi="Arial" w:cs="Arial"/>
              </w:rPr>
              <w:t>$</w:t>
            </w:r>
            <w:r w:rsidRPr="00DA1C4B" w:rsidR="00B10023">
              <w:rPr>
                <w:rFonts w:ascii="Arial" w:hAnsi="Arial" w:cs="Arial"/>
              </w:rPr>
              <w:t>15,345,000</w:t>
            </w:r>
          </w:p>
        </w:tc>
      </w:tr>
      <w:tr w:rsidRPr="00D51029" w:rsidR="00CA0359" w:rsidTr="000041F4" w14:paraId="6AEE8B1E" w14:textId="77777777">
        <w:tc>
          <w:tcPr>
            <w:tcW w:w="2520" w:type="dxa"/>
          </w:tcPr>
          <w:p w:rsidRPr="00DA1C4B" w:rsidR="00CA0359" w:rsidP="00CC6ED2" w:rsidRDefault="00CA0359" w14:paraId="761D58FC" w14:textId="294CBBFE">
            <w:pPr>
              <w:rPr>
                <w:rFonts w:ascii="Arial" w:hAnsi="Arial" w:cs="Arial"/>
              </w:rPr>
            </w:pPr>
            <w:r>
              <w:rPr>
                <w:rFonts w:ascii="Arial" w:hAnsi="Arial" w:cs="Arial"/>
              </w:rPr>
              <w:t>Retention of records during review of subsequent license renewal application</w:t>
            </w:r>
          </w:p>
        </w:tc>
        <w:tc>
          <w:tcPr>
            <w:tcW w:w="1935" w:type="dxa"/>
            <w:vAlign w:val="center"/>
          </w:tcPr>
          <w:p w:rsidRPr="00DA1C4B" w:rsidR="00CA0359" w:rsidP="00CC6ED2" w:rsidRDefault="00CA0359" w14:paraId="5EEBA651" w14:textId="7FD4CB3F">
            <w:pPr>
              <w:jc w:val="right"/>
              <w:rPr>
                <w:rFonts w:ascii="Arial" w:hAnsi="Arial" w:cs="Arial"/>
              </w:rPr>
            </w:pPr>
            <w:r>
              <w:rPr>
                <w:rFonts w:ascii="Arial" w:hAnsi="Arial" w:cs="Arial"/>
              </w:rPr>
              <w:t>1</w:t>
            </w:r>
          </w:p>
        </w:tc>
        <w:tc>
          <w:tcPr>
            <w:tcW w:w="1485" w:type="dxa"/>
            <w:vAlign w:val="center"/>
          </w:tcPr>
          <w:p w:rsidRPr="00DA1C4B" w:rsidR="00CA0359" w:rsidP="00CC6ED2" w:rsidRDefault="00CA0359" w14:paraId="11586B7D" w14:textId="24F6375E">
            <w:pPr>
              <w:jc w:val="right"/>
              <w:rPr>
                <w:rFonts w:ascii="Arial" w:hAnsi="Arial" w:cs="Arial"/>
              </w:rPr>
            </w:pPr>
            <w:r>
              <w:rPr>
                <w:rFonts w:ascii="Arial" w:hAnsi="Arial" w:cs="Arial"/>
              </w:rPr>
              <w:t>1,500</w:t>
            </w:r>
          </w:p>
        </w:tc>
        <w:tc>
          <w:tcPr>
            <w:tcW w:w="1620" w:type="dxa"/>
            <w:vAlign w:val="center"/>
          </w:tcPr>
          <w:p w:rsidRPr="00DA1C4B" w:rsidR="00CA0359" w:rsidP="00CC6ED2" w:rsidRDefault="00CA0359" w14:paraId="082049C5" w14:textId="3D807265">
            <w:pPr>
              <w:jc w:val="right"/>
              <w:rPr>
                <w:rFonts w:ascii="Arial" w:hAnsi="Arial" w:cs="Arial"/>
              </w:rPr>
            </w:pPr>
            <w:r>
              <w:rPr>
                <w:rFonts w:ascii="Arial" w:hAnsi="Arial" w:cs="Arial"/>
              </w:rPr>
              <w:t>1,500</w:t>
            </w:r>
          </w:p>
        </w:tc>
        <w:tc>
          <w:tcPr>
            <w:tcW w:w="1800" w:type="dxa"/>
            <w:vAlign w:val="center"/>
          </w:tcPr>
          <w:p w:rsidRPr="00DA1C4B" w:rsidR="00CA0359" w:rsidP="00CC6ED2" w:rsidRDefault="00CA0359" w14:paraId="59BAB640" w14:textId="7D50172B">
            <w:pPr>
              <w:jc w:val="center"/>
              <w:rPr>
                <w:rFonts w:ascii="Arial" w:hAnsi="Arial" w:cs="Arial"/>
              </w:rPr>
            </w:pPr>
            <w:r>
              <w:rPr>
                <w:rFonts w:ascii="Arial" w:hAnsi="Arial" w:cs="Arial"/>
              </w:rPr>
              <w:t>$418,500</w:t>
            </w:r>
          </w:p>
        </w:tc>
      </w:tr>
    </w:tbl>
    <w:p w:rsidRPr="00D51029" w:rsidR="004E6350" w:rsidP="00162949" w:rsidRDefault="004E6350" w14:paraId="7C98E56A" w14:textId="77777777">
      <w:pPr>
        <w:rPr>
          <w:rFonts w:ascii="Arial" w:hAnsi="Arial" w:cs="Arial"/>
          <w:sz w:val="22"/>
          <w:szCs w:val="22"/>
        </w:rPr>
      </w:pPr>
    </w:p>
    <w:p w:rsidRPr="00D51029" w:rsidR="004E6350" w:rsidP="00CC6ED2" w:rsidRDefault="004E6350" w14:paraId="10A5FD16" w14:textId="419E852C">
      <w:pPr>
        <w:rPr>
          <w:rFonts w:ascii="Arial" w:hAnsi="Arial" w:cs="Arial"/>
          <w:sz w:val="22"/>
          <w:szCs w:val="22"/>
        </w:rPr>
      </w:pPr>
      <w:r w:rsidRPr="00D51029">
        <w:rPr>
          <w:rFonts w:ascii="Arial" w:hAnsi="Arial" w:cs="Arial"/>
          <w:sz w:val="22"/>
          <w:szCs w:val="22"/>
        </w:rPr>
        <w:t xml:space="preserve">TOTAL ANNUAL BURDEN / COST:  </w:t>
      </w:r>
      <w:r w:rsidR="00CA0359">
        <w:rPr>
          <w:rFonts w:ascii="Arial" w:hAnsi="Arial" w:cs="Arial"/>
          <w:sz w:val="22"/>
          <w:szCs w:val="22"/>
        </w:rPr>
        <w:t>216,700</w:t>
      </w:r>
      <w:r w:rsidRPr="00D51029">
        <w:rPr>
          <w:rFonts w:ascii="Arial" w:hAnsi="Arial" w:cs="Arial"/>
          <w:sz w:val="22"/>
          <w:szCs w:val="22"/>
        </w:rPr>
        <w:t xml:space="preserve"> hours (</w:t>
      </w:r>
      <w:r w:rsidR="00805F63">
        <w:rPr>
          <w:rFonts w:ascii="Arial" w:hAnsi="Arial" w:cs="Arial"/>
          <w:sz w:val="22"/>
          <w:szCs w:val="22"/>
        </w:rPr>
        <w:t>160,200</w:t>
      </w:r>
      <w:r w:rsidRPr="00D51029">
        <w:rPr>
          <w:rFonts w:ascii="Arial" w:hAnsi="Arial" w:cs="Arial"/>
          <w:sz w:val="22"/>
          <w:szCs w:val="22"/>
        </w:rPr>
        <w:t xml:space="preserve"> hours reporting plus </w:t>
      </w:r>
      <w:r w:rsidR="00CA0359">
        <w:rPr>
          <w:rFonts w:ascii="Arial" w:hAnsi="Arial" w:cs="Arial"/>
          <w:sz w:val="22"/>
          <w:szCs w:val="22"/>
        </w:rPr>
        <w:t>56,500</w:t>
      </w:r>
      <w:r w:rsidRPr="00D51029">
        <w:rPr>
          <w:rFonts w:ascii="Arial" w:hAnsi="Arial" w:cs="Arial"/>
          <w:sz w:val="22"/>
          <w:szCs w:val="22"/>
        </w:rPr>
        <w:t xml:space="preserve"> hours recordkeeping) / $</w:t>
      </w:r>
      <w:r w:rsidR="00CA0359">
        <w:rPr>
          <w:rFonts w:ascii="Arial" w:hAnsi="Arial" w:cs="Arial"/>
          <w:sz w:val="22"/>
          <w:szCs w:val="22"/>
        </w:rPr>
        <w:t>60,459,300</w:t>
      </w:r>
    </w:p>
    <w:p w:rsidRPr="00D51029" w:rsidR="004E6350" w:rsidP="00CC6ED2" w:rsidRDefault="004E6350" w14:paraId="4AEAE5EC" w14:textId="77777777">
      <w:pPr>
        <w:rPr>
          <w:rFonts w:ascii="Arial" w:hAnsi="Arial" w:cs="Arial"/>
          <w:sz w:val="22"/>
          <w:szCs w:val="22"/>
          <w:highlight w:val="yellow"/>
        </w:rPr>
      </w:pPr>
    </w:p>
    <w:p w:rsidR="004E6350" w:rsidP="00CC6ED2" w:rsidRDefault="004E6350" w14:paraId="3A139AD0" w14:textId="01F485F5">
      <w:pPr>
        <w:rPr>
          <w:rFonts w:ascii="Arial" w:hAnsi="Arial" w:cs="Arial"/>
          <w:sz w:val="22"/>
          <w:szCs w:val="22"/>
        </w:rPr>
      </w:pPr>
      <w:r w:rsidRPr="00D51029">
        <w:rPr>
          <w:rFonts w:ascii="Arial" w:hAnsi="Arial" w:cs="Arial"/>
          <w:sz w:val="22"/>
          <w:szCs w:val="22"/>
        </w:rPr>
        <w:t xml:space="preserve">TOTAL ANNUAL RESPONDENTS: </w:t>
      </w:r>
      <w:r>
        <w:rPr>
          <w:rFonts w:ascii="Arial" w:hAnsi="Arial" w:cs="Arial"/>
          <w:sz w:val="22"/>
          <w:szCs w:val="22"/>
        </w:rPr>
        <w:t xml:space="preserve"> </w:t>
      </w:r>
      <w:r w:rsidR="002E3065">
        <w:rPr>
          <w:rFonts w:ascii="Arial" w:hAnsi="Arial" w:cs="Arial"/>
          <w:sz w:val="22"/>
          <w:szCs w:val="22"/>
        </w:rPr>
        <w:t>62</w:t>
      </w:r>
      <w:r w:rsidR="00DD7374">
        <w:rPr>
          <w:rFonts w:ascii="Arial" w:hAnsi="Arial" w:cs="Arial"/>
          <w:sz w:val="22"/>
          <w:szCs w:val="22"/>
        </w:rPr>
        <w:t xml:space="preserve"> (</w:t>
      </w:r>
      <w:r w:rsidR="00E96B4A">
        <w:rPr>
          <w:rFonts w:ascii="Arial" w:hAnsi="Arial" w:cs="Arial"/>
          <w:sz w:val="22"/>
          <w:szCs w:val="22"/>
        </w:rPr>
        <w:t xml:space="preserve">1 initial license renewal </w:t>
      </w:r>
      <w:r w:rsidR="00796BDB">
        <w:rPr>
          <w:rFonts w:ascii="Arial" w:hAnsi="Arial" w:cs="Arial"/>
          <w:sz w:val="22"/>
          <w:szCs w:val="22"/>
        </w:rPr>
        <w:t xml:space="preserve">application </w:t>
      </w:r>
      <w:r w:rsidR="00E96B4A">
        <w:rPr>
          <w:rFonts w:ascii="Arial" w:hAnsi="Arial" w:cs="Arial"/>
          <w:sz w:val="22"/>
          <w:szCs w:val="22"/>
        </w:rPr>
        <w:t xml:space="preserve">+ 1 subsequent license renewal </w:t>
      </w:r>
      <w:r w:rsidR="00796BDB">
        <w:rPr>
          <w:rFonts w:ascii="Arial" w:hAnsi="Arial" w:cs="Arial"/>
          <w:sz w:val="22"/>
          <w:szCs w:val="22"/>
        </w:rPr>
        <w:t xml:space="preserve">application </w:t>
      </w:r>
      <w:r w:rsidR="00E96B4A">
        <w:rPr>
          <w:rFonts w:ascii="Arial" w:hAnsi="Arial" w:cs="Arial"/>
          <w:sz w:val="22"/>
          <w:szCs w:val="22"/>
        </w:rPr>
        <w:t xml:space="preserve">+ 5 </w:t>
      </w:r>
      <w:r w:rsidR="00AD799F">
        <w:rPr>
          <w:rFonts w:ascii="Arial" w:hAnsi="Arial" w:cs="Arial"/>
          <w:sz w:val="22"/>
          <w:szCs w:val="22"/>
        </w:rPr>
        <w:t>completion letters + 55 recordkeepers)</w:t>
      </w:r>
    </w:p>
    <w:p w:rsidRPr="00D51029" w:rsidR="003D3FFB" w:rsidP="00CC6ED2" w:rsidRDefault="003D3FFB" w14:paraId="37787DBD" w14:textId="77777777">
      <w:pPr>
        <w:rPr>
          <w:rFonts w:ascii="Arial" w:hAnsi="Arial" w:cs="Arial"/>
          <w:sz w:val="22"/>
          <w:szCs w:val="22"/>
        </w:rPr>
      </w:pPr>
    </w:p>
    <w:p w:rsidRPr="00D51029" w:rsidR="004E6350" w:rsidP="00162949" w:rsidRDefault="004E6350" w14:paraId="1D26DF0D" w14:textId="07C27FB7">
      <w:pPr>
        <w:rPr>
          <w:rFonts w:ascii="Arial" w:hAnsi="Arial" w:cs="Arial"/>
          <w:sz w:val="22"/>
          <w:szCs w:val="22"/>
        </w:rPr>
      </w:pPr>
      <w:r w:rsidRPr="00D51029">
        <w:rPr>
          <w:rFonts w:ascii="Arial" w:hAnsi="Arial" w:cs="Arial"/>
          <w:sz w:val="22"/>
          <w:szCs w:val="22"/>
        </w:rPr>
        <w:t xml:space="preserve">TOTAL ANNUAL RESPONSES: </w:t>
      </w:r>
      <w:r>
        <w:rPr>
          <w:rFonts w:ascii="Arial" w:hAnsi="Arial" w:cs="Arial"/>
          <w:sz w:val="22"/>
          <w:szCs w:val="22"/>
        </w:rPr>
        <w:t xml:space="preserve"> </w:t>
      </w:r>
      <w:r w:rsidR="00D65126">
        <w:rPr>
          <w:rFonts w:ascii="Arial" w:hAnsi="Arial" w:cs="Arial"/>
          <w:sz w:val="22"/>
          <w:szCs w:val="22"/>
        </w:rPr>
        <w:t>6</w:t>
      </w:r>
      <w:r w:rsidR="000F513E">
        <w:rPr>
          <w:rFonts w:ascii="Arial" w:hAnsi="Arial" w:cs="Arial"/>
          <w:sz w:val="22"/>
          <w:szCs w:val="22"/>
        </w:rPr>
        <w:t>6</w:t>
      </w:r>
      <w:r w:rsidRPr="00D51029" w:rsidR="00D65126">
        <w:rPr>
          <w:rFonts w:ascii="Arial" w:hAnsi="Arial" w:cs="Arial"/>
          <w:sz w:val="22"/>
          <w:szCs w:val="22"/>
        </w:rPr>
        <w:t xml:space="preserve"> </w:t>
      </w:r>
      <w:r w:rsidRPr="00D51029">
        <w:rPr>
          <w:rFonts w:ascii="Arial" w:hAnsi="Arial" w:cs="Arial"/>
          <w:sz w:val="22"/>
          <w:szCs w:val="22"/>
        </w:rPr>
        <w:t>(</w:t>
      </w:r>
      <w:r w:rsidR="00796BDB">
        <w:rPr>
          <w:rFonts w:ascii="Arial" w:hAnsi="Arial" w:cs="Arial"/>
          <w:sz w:val="22"/>
          <w:szCs w:val="22"/>
        </w:rPr>
        <w:t>1</w:t>
      </w:r>
      <w:r w:rsidRPr="00D51029" w:rsidR="00796BDB">
        <w:rPr>
          <w:rFonts w:ascii="Arial" w:hAnsi="Arial" w:cs="Arial"/>
          <w:sz w:val="22"/>
          <w:szCs w:val="22"/>
        </w:rPr>
        <w:t xml:space="preserve"> </w:t>
      </w:r>
      <w:r w:rsidR="00796BDB">
        <w:rPr>
          <w:rFonts w:ascii="Arial" w:hAnsi="Arial" w:cs="Arial"/>
          <w:sz w:val="22"/>
          <w:szCs w:val="22"/>
        </w:rPr>
        <w:t xml:space="preserve">initial </w:t>
      </w:r>
      <w:r w:rsidRPr="00D51029">
        <w:rPr>
          <w:rFonts w:ascii="Arial" w:hAnsi="Arial" w:cs="Arial"/>
          <w:sz w:val="22"/>
          <w:szCs w:val="22"/>
        </w:rPr>
        <w:t>license renewal application</w:t>
      </w:r>
      <w:r w:rsidR="00687ED5">
        <w:rPr>
          <w:rFonts w:ascii="Arial" w:hAnsi="Arial" w:cs="Arial"/>
          <w:sz w:val="22"/>
          <w:szCs w:val="22"/>
        </w:rPr>
        <w:t xml:space="preserve"> +</w:t>
      </w:r>
      <w:r>
        <w:rPr>
          <w:rFonts w:ascii="Arial" w:hAnsi="Arial" w:cs="Arial"/>
          <w:sz w:val="22"/>
          <w:szCs w:val="22"/>
        </w:rPr>
        <w:t xml:space="preserve"> </w:t>
      </w:r>
      <w:r w:rsidR="00687ED5">
        <w:rPr>
          <w:rFonts w:ascii="Arial" w:hAnsi="Arial" w:cs="Arial"/>
          <w:sz w:val="22"/>
          <w:szCs w:val="22"/>
        </w:rPr>
        <w:t xml:space="preserve">1 subsequent license renewal application </w:t>
      </w:r>
      <w:r w:rsidRPr="00D51029">
        <w:rPr>
          <w:rFonts w:ascii="Arial" w:hAnsi="Arial" w:cs="Arial"/>
          <w:sz w:val="22"/>
          <w:szCs w:val="22"/>
        </w:rPr>
        <w:t>+</w:t>
      </w:r>
      <w:r w:rsidR="00D65126">
        <w:rPr>
          <w:rFonts w:ascii="Arial" w:hAnsi="Arial" w:cs="Arial"/>
          <w:sz w:val="22"/>
          <w:szCs w:val="22"/>
        </w:rPr>
        <w:t xml:space="preserve"> </w:t>
      </w:r>
      <w:r w:rsidR="00B57E41">
        <w:rPr>
          <w:rFonts w:ascii="Arial" w:hAnsi="Arial" w:cs="Arial"/>
          <w:sz w:val="22"/>
          <w:szCs w:val="22"/>
        </w:rPr>
        <w:t>4</w:t>
      </w:r>
      <w:r w:rsidR="00D65126">
        <w:rPr>
          <w:rFonts w:ascii="Arial" w:hAnsi="Arial" w:cs="Arial"/>
          <w:sz w:val="22"/>
          <w:szCs w:val="22"/>
        </w:rPr>
        <w:t xml:space="preserve"> amendments +</w:t>
      </w:r>
      <w:r w:rsidRPr="00D51029">
        <w:rPr>
          <w:rFonts w:ascii="Arial" w:hAnsi="Arial" w:cs="Arial"/>
          <w:sz w:val="22"/>
          <w:szCs w:val="22"/>
        </w:rPr>
        <w:t xml:space="preserve"> </w:t>
      </w:r>
      <w:r w:rsidR="00687ED5">
        <w:rPr>
          <w:rFonts w:ascii="Arial" w:hAnsi="Arial" w:cs="Arial"/>
          <w:sz w:val="22"/>
          <w:szCs w:val="22"/>
        </w:rPr>
        <w:t>5</w:t>
      </w:r>
      <w:r w:rsidRPr="00D51029" w:rsidR="00687ED5">
        <w:rPr>
          <w:rFonts w:ascii="Arial" w:hAnsi="Arial" w:cs="Arial"/>
          <w:sz w:val="22"/>
          <w:szCs w:val="22"/>
        </w:rPr>
        <w:t xml:space="preserve"> </w:t>
      </w:r>
      <w:r w:rsidRPr="00D51029">
        <w:rPr>
          <w:rFonts w:ascii="Arial" w:hAnsi="Arial" w:cs="Arial"/>
          <w:sz w:val="22"/>
          <w:szCs w:val="22"/>
        </w:rPr>
        <w:t>completion letters</w:t>
      </w:r>
      <w:r w:rsidR="00104384">
        <w:rPr>
          <w:rFonts w:ascii="Arial" w:hAnsi="Arial" w:cs="Arial"/>
          <w:sz w:val="22"/>
          <w:szCs w:val="22"/>
        </w:rPr>
        <w:t xml:space="preserve"> + </w:t>
      </w:r>
      <w:r w:rsidR="00BF38D2">
        <w:rPr>
          <w:rFonts w:ascii="Arial" w:hAnsi="Arial" w:cs="Arial"/>
          <w:sz w:val="22"/>
          <w:szCs w:val="22"/>
        </w:rPr>
        <w:t>55</w:t>
      </w:r>
      <w:r w:rsidRPr="00D51029" w:rsidR="00BF38D2">
        <w:rPr>
          <w:rFonts w:ascii="Arial" w:hAnsi="Arial" w:cs="Arial"/>
          <w:sz w:val="22"/>
          <w:szCs w:val="22"/>
        </w:rPr>
        <w:t xml:space="preserve"> </w:t>
      </w:r>
      <w:r w:rsidRPr="00D51029" w:rsidR="00104384">
        <w:rPr>
          <w:rFonts w:ascii="Arial" w:hAnsi="Arial" w:cs="Arial"/>
          <w:sz w:val="22"/>
          <w:szCs w:val="22"/>
        </w:rPr>
        <w:t>recordkeepers</w:t>
      </w:r>
      <w:r w:rsidRPr="00D51029">
        <w:rPr>
          <w:rFonts w:ascii="Arial" w:hAnsi="Arial" w:cs="Arial"/>
          <w:sz w:val="22"/>
          <w:szCs w:val="22"/>
        </w:rPr>
        <w:t>)</w:t>
      </w:r>
    </w:p>
    <w:p w:rsidR="001751B0" w:rsidP="00CC6ED2" w:rsidRDefault="001751B0" w14:paraId="673BB6B6" w14:textId="77777777">
      <w:pPr>
        <w:autoSpaceDE/>
        <w:autoSpaceDN/>
        <w:adjustRightInd/>
        <w:spacing w:after="160" w:line="259" w:lineRule="auto"/>
      </w:pPr>
      <w:r>
        <w:br w:type="page"/>
      </w:r>
    </w:p>
    <w:p w:rsidR="001751B0" w:rsidP="00162949" w:rsidRDefault="001751B0" w14:paraId="78DD4FDC" w14:textId="77777777">
      <w:pPr>
        <w:jc w:val="center"/>
        <w:rPr>
          <w:rFonts w:ascii="Arial" w:hAnsi="Arial" w:cs="Arial"/>
          <w:sz w:val="22"/>
          <w:szCs w:val="22"/>
        </w:rPr>
      </w:pPr>
    </w:p>
    <w:p w:rsidR="001751B0" w:rsidP="00162949" w:rsidRDefault="001751B0" w14:paraId="5D4DB2C4" w14:textId="77777777">
      <w:pPr>
        <w:jc w:val="center"/>
        <w:rPr>
          <w:rFonts w:ascii="Arial" w:hAnsi="Arial" w:cs="Arial"/>
          <w:sz w:val="22"/>
          <w:szCs w:val="22"/>
        </w:rPr>
      </w:pPr>
      <w:r>
        <w:rPr>
          <w:rFonts w:ascii="Arial" w:hAnsi="Arial" w:cs="Arial"/>
          <w:sz w:val="22"/>
          <w:szCs w:val="22"/>
        </w:rPr>
        <w:t>DESCRIPTION OF INFORMATION COLLECTION REQUIREMENTS</w:t>
      </w:r>
    </w:p>
    <w:p w:rsidR="001751B0" w:rsidP="00162949" w:rsidRDefault="001751B0" w14:paraId="08CFEF2F" w14:textId="77777777">
      <w:pPr>
        <w:jc w:val="center"/>
        <w:rPr>
          <w:rFonts w:ascii="Arial" w:hAnsi="Arial" w:cs="Arial"/>
          <w:sz w:val="22"/>
          <w:szCs w:val="22"/>
        </w:rPr>
      </w:pPr>
      <w:r>
        <w:rPr>
          <w:rFonts w:ascii="Arial" w:hAnsi="Arial" w:cs="Arial"/>
          <w:sz w:val="22"/>
          <w:szCs w:val="22"/>
        </w:rPr>
        <w:t xml:space="preserve">CONTAINED IN </w:t>
      </w:r>
    </w:p>
    <w:p w:rsidR="001751B0" w:rsidP="00162949" w:rsidRDefault="001751B0" w14:paraId="2C1799B8" w14:textId="77777777">
      <w:pPr>
        <w:jc w:val="center"/>
        <w:rPr>
          <w:rFonts w:ascii="Arial" w:hAnsi="Arial" w:cs="Arial"/>
          <w:sz w:val="22"/>
          <w:szCs w:val="22"/>
        </w:rPr>
      </w:pPr>
    </w:p>
    <w:p w:rsidRPr="00D51029" w:rsidR="001751B0" w:rsidP="00162949" w:rsidRDefault="001751B0" w14:paraId="2070F1CD" w14:textId="77777777">
      <w:pPr>
        <w:jc w:val="center"/>
        <w:rPr>
          <w:rFonts w:ascii="Arial" w:hAnsi="Arial" w:cs="Arial"/>
          <w:sz w:val="22"/>
          <w:szCs w:val="22"/>
        </w:rPr>
      </w:pPr>
      <w:r>
        <w:rPr>
          <w:rFonts w:ascii="Arial" w:hAnsi="Arial" w:cs="Arial"/>
          <w:sz w:val="22"/>
          <w:szCs w:val="22"/>
        </w:rPr>
        <w:t>10 CFR</w:t>
      </w:r>
      <w:r w:rsidRPr="00D51029">
        <w:rPr>
          <w:rFonts w:ascii="Arial" w:hAnsi="Arial" w:cs="Arial"/>
          <w:sz w:val="22"/>
          <w:szCs w:val="22"/>
        </w:rPr>
        <w:t xml:space="preserve"> PART 54</w:t>
      </w:r>
    </w:p>
    <w:p w:rsidRPr="00D51029" w:rsidR="001751B0" w:rsidP="00162949" w:rsidRDefault="001751B0" w14:paraId="27F903AA" w14:textId="77777777">
      <w:pPr>
        <w:jc w:val="center"/>
        <w:rPr>
          <w:rFonts w:ascii="Arial" w:hAnsi="Arial" w:cs="Arial"/>
          <w:sz w:val="22"/>
          <w:szCs w:val="22"/>
        </w:rPr>
      </w:pPr>
      <w:r w:rsidRPr="00D51029">
        <w:rPr>
          <w:rFonts w:ascii="Arial" w:hAnsi="Arial" w:cs="Arial"/>
          <w:sz w:val="22"/>
          <w:szCs w:val="22"/>
        </w:rPr>
        <w:t>REQUIREMENTS FOR RENEWAL OF OPERATING LICENSES FOR</w:t>
      </w:r>
    </w:p>
    <w:p w:rsidRPr="00D51029" w:rsidR="001751B0" w:rsidP="00162949" w:rsidRDefault="001751B0" w14:paraId="170E6175" w14:textId="77777777">
      <w:pPr>
        <w:jc w:val="center"/>
        <w:rPr>
          <w:rFonts w:ascii="Arial" w:hAnsi="Arial" w:cs="Arial"/>
          <w:sz w:val="22"/>
          <w:szCs w:val="22"/>
        </w:rPr>
      </w:pPr>
      <w:r w:rsidRPr="00D51029">
        <w:rPr>
          <w:rFonts w:ascii="Arial" w:hAnsi="Arial" w:cs="Arial"/>
          <w:sz w:val="22"/>
          <w:szCs w:val="22"/>
        </w:rPr>
        <w:t>NUCLEAR POWER PLANTS</w:t>
      </w:r>
    </w:p>
    <w:p w:rsidRPr="00D51029" w:rsidR="001751B0" w:rsidP="00162949" w:rsidRDefault="001751B0" w14:paraId="1DBD9109" w14:textId="77777777">
      <w:pPr>
        <w:jc w:val="center"/>
        <w:rPr>
          <w:rFonts w:ascii="Arial" w:hAnsi="Arial" w:cs="Arial"/>
          <w:sz w:val="22"/>
          <w:szCs w:val="22"/>
        </w:rPr>
      </w:pPr>
      <w:r w:rsidRPr="00D51029">
        <w:rPr>
          <w:rFonts w:ascii="Arial" w:hAnsi="Arial" w:cs="Arial"/>
          <w:sz w:val="22"/>
          <w:szCs w:val="22"/>
        </w:rPr>
        <w:t>3150-0155</w:t>
      </w:r>
    </w:p>
    <w:p w:rsidRPr="0091608D" w:rsidR="001751B0" w:rsidP="0091608D" w:rsidRDefault="001751B0" w14:paraId="0C71BD58" w14:textId="77777777">
      <w:pPr>
        <w:rPr>
          <w:rFonts w:ascii="Arial" w:hAnsi="Arial" w:cs="Arial"/>
          <w:sz w:val="22"/>
          <w:szCs w:val="22"/>
        </w:rPr>
      </w:pPr>
    </w:p>
    <w:p w:rsidRPr="0091608D" w:rsidR="001751B0" w:rsidP="0091608D" w:rsidRDefault="001751B0" w14:paraId="02799FDB" w14:textId="77777777">
      <w:pPr>
        <w:rPr>
          <w:rFonts w:ascii="Arial" w:hAnsi="Arial" w:cs="Arial"/>
          <w:sz w:val="22"/>
          <w:szCs w:val="22"/>
        </w:rPr>
      </w:pPr>
    </w:p>
    <w:p w:rsidRPr="00D51029" w:rsidR="001751B0" w:rsidP="00162949" w:rsidRDefault="001751B0" w14:paraId="0EF64198" w14:textId="77777777">
      <w:pPr>
        <w:rPr>
          <w:rFonts w:ascii="Arial" w:hAnsi="Arial" w:cs="Arial"/>
          <w:sz w:val="22"/>
          <w:szCs w:val="22"/>
        </w:rPr>
      </w:pPr>
      <w:r w:rsidRPr="00D51029">
        <w:rPr>
          <w:rFonts w:ascii="Arial" w:hAnsi="Arial" w:cs="Arial"/>
          <w:sz w:val="22"/>
          <w:szCs w:val="22"/>
          <w:u w:val="single"/>
        </w:rPr>
        <w:t>Section 54.13</w:t>
      </w:r>
      <w:r w:rsidRPr="00D51029">
        <w:rPr>
          <w:rFonts w:ascii="Arial" w:hAnsi="Arial" w:cs="Arial"/>
          <w:sz w:val="22"/>
          <w:szCs w:val="22"/>
        </w:rPr>
        <w:t xml:space="preserve"> states information completeness and accuracy requirements.  Specifically, Paragraph (b) requires each applicant to notify the Commission of information identified by the applicant as having, for the regulated activity, significant implication for public health and safety or the common defense and security.  Such notification must be made within two working days of identifying the information.  The NRC needs this information so that it may take appropriate actions, as required, to protect the public’s health and safety.  Applicants will report this information as necessary to comply with the regulation.</w:t>
      </w:r>
    </w:p>
    <w:p w:rsidRPr="00D51029" w:rsidR="001751B0" w:rsidP="00162949" w:rsidRDefault="001751B0" w14:paraId="183F1E12" w14:textId="77777777">
      <w:pPr>
        <w:rPr>
          <w:rFonts w:ascii="Arial" w:hAnsi="Arial" w:cs="Arial"/>
          <w:sz w:val="22"/>
          <w:szCs w:val="22"/>
        </w:rPr>
      </w:pPr>
    </w:p>
    <w:p w:rsidRPr="00D51029" w:rsidR="001751B0" w:rsidP="00162949" w:rsidRDefault="001751B0" w14:paraId="48714559" w14:textId="77777777">
      <w:pPr>
        <w:rPr>
          <w:rFonts w:ascii="Arial" w:hAnsi="Arial" w:cs="Arial"/>
          <w:sz w:val="22"/>
          <w:szCs w:val="22"/>
        </w:rPr>
      </w:pPr>
      <w:r w:rsidRPr="00D51029">
        <w:rPr>
          <w:rFonts w:ascii="Arial" w:hAnsi="Arial" w:cs="Arial"/>
          <w:sz w:val="22"/>
          <w:szCs w:val="22"/>
          <w:u w:val="single"/>
        </w:rPr>
        <w:t>Section 54.15</w:t>
      </w:r>
      <w:r w:rsidRPr="00D51029">
        <w:rPr>
          <w:rFonts w:ascii="Arial" w:hAnsi="Arial" w:cs="Arial"/>
          <w:sz w:val="22"/>
          <w:szCs w:val="22"/>
        </w:rPr>
        <w:t xml:space="preserve"> permits the NRC, in accordance with 10 CFR 50.12, to grant exemptions from 10</w:t>
      </w:r>
      <w:r w:rsidR="00E339E6">
        <w:rPr>
          <w:rFonts w:ascii="Arial" w:hAnsi="Arial" w:cs="Arial"/>
          <w:sz w:val="22"/>
          <w:szCs w:val="22"/>
        </w:rPr>
        <w:t> </w:t>
      </w:r>
      <w:r w:rsidRPr="00D51029">
        <w:rPr>
          <w:rFonts w:ascii="Arial" w:hAnsi="Arial" w:cs="Arial"/>
          <w:sz w:val="22"/>
          <w:szCs w:val="22"/>
        </w:rPr>
        <w:t>CFR Part 54 requirements.  The Commission, upon application by any interested person or upon its own initiative, may grant the exemptions.</w:t>
      </w:r>
      <w:r>
        <w:rPr>
          <w:rFonts w:ascii="Arial" w:hAnsi="Arial" w:cs="Arial"/>
          <w:sz w:val="22"/>
          <w:szCs w:val="22"/>
        </w:rPr>
        <w:t xml:space="preserve"> </w:t>
      </w:r>
      <w:r w:rsidRPr="00D51029">
        <w:rPr>
          <w:rFonts w:ascii="Arial" w:hAnsi="Arial" w:cs="Arial"/>
          <w:sz w:val="22"/>
          <w:szCs w:val="22"/>
        </w:rPr>
        <w:t xml:space="preserve"> The NRC requires the information so that it can determine whether an exemption is warranted.</w:t>
      </w:r>
    </w:p>
    <w:p w:rsidRPr="00D51029" w:rsidR="001751B0" w:rsidP="00162949" w:rsidRDefault="001751B0" w14:paraId="3C7E32A3" w14:textId="77777777">
      <w:pPr>
        <w:rPr>
          <w:rFonts w:ascii="Arial" w:hAnsi="Arial" w:cs="Arial"/>
          <w:sz w:val="22"/>
          <w:szCs w:val="22"/>
          <w:u w:val="single"/>
        </w:rPr>
      </w:pPr>
    </w:p>
    <w:p w:rsidRPr="00D51029" w:rsidR="001751B0" w:rsidP="00162949" w:rsidRDefault="001751B0" w14:paraId="50695FBF" w14:textId="77777777">
      <w:pPr>
        <w:rPr>
          <w:rFonts w:ascii="Arial" w:hAnsi="Arial" w:cs="Arial"/>
          <w:sz w:val="22"/>
          <w:szCs w:val="22"/>
        </w:rPr>
      </w:pPr>
      <w:r w:rsidRPr="00D51029">
        <w:rPr>
          <w:rFonts w:ascii="Arial" w:hAnsi="Arial" w:cs="Arial"/>
          <w:sz w:val="22"/>
          <w:szCs w:val="22"/>
          <w:u w:val="single"/>
        </w:rPr>
        <w:t>Section 54.17</w:t>
      </w:r>
      <w:r w:rsidRPr="00D51029">
        <w:rPr>
          <w:rFonts w:ascii="Arial" w:hAnsi="Arial" w:cs="Arial"/>
          <w:sz w:val="22"/>
          <w:szCs w:val="22"/>
        </w:rPr>
        <w:t xml:space="preserve"> states requirements for renewal application filing:</w:t>
      </w:r>
    </w:p>
    <w:p w:rsidRPr="00D51029" w:rsidR="001751B0" w:rsidP="00162949" w:rsidRDefault="001751B0" w14:paraId="758AF5A1" w14:textId="77777777">
      <w:pPr>
        <w:rPr>
          <w:rFonts w:ascii="Arial" w:hAnsi="Arial" w:cs="Arial"/>
          <w:sz w:val="22"/>
          <w:szCs w:val="22"/>
        </w:rPr>
      </w:pPr>
    </w:p>
    <w:p w:rsidRPr="00D51029" w:rsidR="001751B0" w:rsidP="00162949" w:rsidRDefault="001751B0" w14:paraId="6EFE1A1F" w14:textId="7AED953A">
      <w:pPr>
        <w:rPr>
          <w:rFonts w:ascii="Arial" w:hAnsi="Arial" w:cs="Arial"/>
          <w:sz w:val="22"/>
          <w:szCs w:val="22"/>
        </w:rPr>
      </w:pPr>
      <w:r w:rsidRPr="00D51029">
        <w:rPr>
          <w:rFonts w:ascii="Arial" w:hAnsi="Arial" w:cs="Arial"/>
          <w:sz w:val="22"/>
          <w:szCs w:val="22"/>
        </w:rPr>
        <w:t xml:space="preserve">Paragraph (a) requires the filing to be in accordance with Subpart A of </w:t>
      </w:r>
      <w:r w:rsidR="002D7D49">
        <w:rPr>
          <w:rFonts w:ascii="Arial" w:hAnsi="Arial" w:cs="Arial"/>
          <w:sz w:val="22"/>
          <w:szCs w:val="22"/>
        </w:rPr>
        <w:t xml:space="preserve">10 CFR Part 2 </w:t>
      </w:r>
      <w:r w:rsidRPr="00D51029">
        <w:rPr>
          <w:rFonts w:ascii="Arial" w:hAnsi="Arial" w:cs="Arial"/>
          <w:sz w:val="22"/>
          <w:szCs w:val="22"/>
        </w:rPr>
        <w:t>and 10</w:t>
      </w:r>
      <w:r w:rsidR="00E339E6">
        <w:rPr>
          <w:rFonts w:ascii="Arial" w:hAnsi="Arial" w:cs="Arial"/>
          <w:sz w:val="22"/>
          <w:szCs w:val="22"/>
        </w:rPr>
        <w:t> </w:t>
      </w:r>
      <w:r w:rsidRPr="00D51029">
        <w:rPr>
          <w:rFonts w:ascii="Arial" w:hAnsi="Arial" w:cs="Arial"/>
          <w:sz w:val="22"/>
          <w:szCs w:val="22"/>
        </w:rPr>
        <w:t>CFR 50.4 and 50.30.  This section establishes the procedural aspects for the filing whereas 10 CFR 54.19, 54.21, 54.22</w:t>
      </w:r>
      <w:r w:rsidR="00B47BBF">
        <w:rPr>
          <w:rFonts w:ascii="Arial" w:hAnsi="Arial" w:cs="Arial"/>
          <w:sz w:val="22"/>
          <w:szCs w:val="22"/>
        </w:rPr>
        <w:t>,</w:t>
      </w:r>
      <w:r w:rsidRPr="00D51029">
        <w:rPr>
          <w:rFonts w:ascii="Arial" w:hAnsi="Arial" w:cs="Arial"/>
          <w:sz w:val="22"/>
          <w:szCs w:val="22"/>
        </w:rPr>
        <w:t xml:space="preserve"> and 54.23 address information to be included in the application, as described below.</w:t>
      </w:r>
    </w:p>
    <w:p w:rsidRPr="00D51029" w:rsidR="001751B0" w:rsidP="00162949" w:rsidRDefault="001751B0" w14:paraId="253D0230" w14:textId="77777777">
      <w:pPr>
        <w:ind w:left="1800"/>
        <w:rPr>
          <w:rFonts w:ascii="Arial" w:hAnsi="Arial" w:cs="Arial"/>
          <w:sz w:val="22"/>
          <w:szCs w:val="22"/>
        </w:rPr>
      </w:pPr>
    </w:p>
    <w:p w:rsidRPr="00D51029" w:rsidR="001751B0" w:rsidP="00162949" w:rsidRDefault="001751B0" w14:paraId="3089A6B5" w14:textId="77777777">
      <w:pPr>
        <w:rPr>
          <w:rFonts w:ascii="Arial" w:hAnsi="Arial" w:cs="Arial"/>
          <w:sz w:val="22"/>
          <w:szCs w:val="22"/>
        </w:rPr>
      </w:pPr>
      <w:r w:rsidRPr="00D51029">
        <w:rPr>
          <w:rFonts w:ascii="Arial" w:hAnsi="Arial" w:cs="Arial"/>
          <w:sz w:val="22"/>
          <w:szCs w:val="22"/>
        </w:rPr>
        <w:t xml:space="preserve">Paragraph (g) requires the license renewal applicant to agree in writing that it will not permit any individual access to Restricted Data or classified National Security Information until an investigation has been approved for such access under the provisions of 10 CFR Parts 25 and/or 95.  This information is necessary to assist the Commission in determining that permitting such </w:t>
      </w:r>
      <w:r w:rsidRPr="00D51029" w:rsidR="00362DF0">
        <w:rPr>
          <w:rFonts w:ascii="Arial" w:hAnsi="Arial" w:cs="Arial"/>
          <w:sz w:val="22"/>
          <w:szCs w:val="22"/>
        </w:rPr>
        <w:t>person’s</w:t>
      </w:r>
      <w:r w:rsidRPr="00D51029">
        <w:rPr>
          <w:rFonts w:ascii="Arial" w:hAnsi="Arial" w:cs="Arial"/>
          <w:sz w:val="22"/>
          <w:szCs w:val="22"/>
        </w:rPr>
        <w:t xml:space="preserve"> access to Restricted Data or classified National Security Information will not endanger the common defense and security.  OMB </w:t>
      </w:r>
      <w:r w:rsidRPr="007C2123">
        <w:rPr>
          <w:rFonts w:ascii="Arial" w:hAnsi="Arial" w:cs="Arial"/>
          <w:sz w:val="22"/>
          <w:szCs w:val="22"/>
        </w:rPr>
        <w:t>Clearance Nos. 3150-0046, 3150</w:t>
      </w:r>
      <w:r w:rsidRPr="00935959" w:rsidR="00E339E6">
        <w:rPr>
          <w:rFonts w:ascii="Arial" w:hAnsi="Arial" w:cs="Arial"/>
          <w:sz w:val="22"/>
          <w:szCs w:val="22"/>
        </w:rPr>
        <w:noBreakHyphen/>
      </w:r>
      <w:r w:rsidRPr="00935959">
        <w:rPr>
          <w:rFonts w:ascii="Arial" w:hAnsi="Arial" w:cs="Arial"/>
          <w:sz w:val="22"/>
          <w:szCs w:val="22"/>
        </w:rPr>
        <w:t>0</w:t>
      </w:r>
      <w:r w:rsidRPr="00935959" w:rsidR="00362DF0">
        <w:rPr>
          <w:rFonts w:ascii="Arial" w:hAnsi="Arial" w:cs="Arial"/>
          <w:sz w:val="22"/>
          <w:szCs w:val="22"/>
        </w:rPr>
        <w:t>050, 3206-0007, 3150-0026, 3150</w:t>
      </w:r>
      <w:r w:rsidRPr="00935959" w:rsidR="00362DF0">
        <w:rPr>
          <w:rFonts w:ascii="Arial" w:hAnsi="Arial" w:cs="Arial"/>
          <w:sz w:val="22"/>
          <w:szCs w:val="22"/>
        </w:rPr>
        <w:noBreakHyphen/>
      </w:r>
      <w:r w:rsidRPr="00935959">
        <w:rPr>
          <w:rFonts w:ascii="Arial" w:hAnsi="Arial" w:cs="Arial"/>
          <w:sz w:val="22"/>
          <w:szCs w:val="22"/>
        </w:rPr>
        <w:t>0049, 3150-0051 cover information collection for 10</w:t>
      </w:r>
      <w:r w:rsidRPr="00935959" w:rsidR="00E339E6">
        <w:rPr>
          <w:rFonts w:ascii="Arial" w:hAnsi="Arial" w:cs="Arial"/>
          <w:sz w:val="22"/>
          <w:szCs w:val="22"/>
        </w:rPr>
        <w:t> </w:t>
      </w:r>
      <w:r w:rsidRPr="00935959">
        <w:rPr>
          <w:rFonts w:ascii="Arial" w:hAnsi="Arial" w:cs="Arial"/>
          <w:sz w:val="22"/>
          <w:szCs w:val="22"/>
        </w:rPr>
        <w:t>CFR Part 25, and OMB Clearance No. 3150-0047 covers</w:t>
      </w:r>
      <w:r w:rsidRPr="00D51029">
        <w:rPr>
          <w:rFonts w:ascii="Arial" w:hAnsi="Arial" w:cs="Arial"/>
          <w:sz w:val="22"/>
          <w:szCs w:val="22"/>
        </w:rPr>
        <w:t xml:space="preserve"> information collection for 10</w:t>
      </w:r>
      <w:r w:rsidR="00E339E6">
        <w:rPr>
          <w:rFonts w:ascii="Arial" w:hAnsi="Arial" w:cs="Arial"/>
          <w:sz w:val="22"/>
          <w:szCs w:val="22"/>
        </w:rPr>
        <w:t> </w:t>
      </w:r>
      <w:r w:rsidRPr="00D51029">
        <w:rPr>
          <w:rFonts w:ascii="Arial" w:hAnsi="Arial" w:cs="Arial"/>
          <w:sz w:val="22"/>
          <w:szCs w:val="22"/>
        </w:rPr>
        <w:t>CFR</w:t>
      </w:r>
      <w:r w:rsidR="00E339E6">
        <w:rPr>
          <w:rFonts w:ascii="Arial" w:hAnsi="Arial" w:cs="Arial"/>
          <w:sz w:val="22"/>
          <w:szCs w:val="22"/>
        </w:rPr>
        <w:t> </w:t>
      </w:r>
      <w:r w:rsidRPr="00D51029">
        <w:rPr>
          <w:rFonts w:ascii="Arial" w:hAnsi="Arial" w:cs="Arial"/>
          <w:sz w:val="22"/>
          <w:szCs w:val="22"/>
        </w:rPr>
        <w:t>Part 95.  An applicant will report this information once per renewal application submission.</w:t>
      </w:r>
    </w:p>
    <w:p w:rsidRPr="00D51029" w:rsidR="001751B0" w:rsidP="00162949" w:rsidRDefault="001751B0" w14:paraId="2BCD3B3B" w14:textId="77777777">
      <w:pPr>
        <w:rPr>
          <w:rFonts w:ascii="Arial" w:hAnsi="Arial" w:cs="Arial"/>
          <w:sz w:val="22"/>
          <w:szCs w:val="22"/>
          <w:u w:val="single"/>
        </w:rPr>
      </w:pPr>
    </w:p>
    <w:p w:rsidRPr="00D51029" w:rsidR="001751B0" w:rsidP="00162949" w:rsidRDefault="001751B0" w14:paraId="7B66193A" w14:textId="77777777">
      <w:pPr>
        <w:rPr>
          <w:rFonts w:ascii="Arial" w:hAnsi="Arial" w:cs="Arial"/>
          <w:sz w:val="22"/>
          <w:szCs w:val="22"/>
        </w:rPr>
      </w:pPr>
      <w:r w:rsidRPr="00D51029">
        <w:rPr>
          <w:rFonts w:ascii="Arial" w:hAnsi="Arial" w:cs="Arial"/>
          <w:sz w:val="22"/>
          <w:szCs w:val="22"/>
          <w:u w:val="single"/>
        </w:rPr>
        <w:t>Section 54.19</w:t>
      </w:r>
      <w:r w:rsidRPr="00D51029">
        <w:rPr>
          <w:rFonts w:ascii="Arial" w:hAnsi="Arial" w:cs="Arial"/>
          <w:sz w:val="22"/>
          <w:szCs w:val="22"/>
        </w:rPr>
        <w:t xml:space="preserve"> states the general information required in the application:</w:t>
      </w:r>
    </w:p>
    <w:p w:rsidRPr="00D51029" w:rsidR="001751B0" w:rsidP="00162949" w:rsidRDefault="001751B0" w14:paraId="16E2BB43" w14:textId="77777777">
      <w:pPr>
        <w:rPr>
          <w:rFonts w:ascii="Arial" w:hAnsi="Arial" w:cs="Arial"/>
          <w:sz w:val="22"/>
          <w:szCs w:val="22"/>
        </w:rPr>
      </w:pPr>
    </w:p>
    <w:p w:rsidRPr="00D51029" w:rsidR="001751B0" w:rsidP="00162949" w:rsidRDefault="001751B0" w14:paraId="1336B01E" w14:textId="77777777">
      <w:pPr>
        <w:rPr>
          <w:rFonts w:ascii="Arial" w:hAnsi="Arial" w:cs="Arial"/>
          <w:sz w:val="22"/>
          <w:szCs w:val="22"/>
        </w:rPr>
      </w:pPr>
      <w:r w:rsidRPr="00D51029">
        <w:rPr>
          <w:rFonts w:ascii="Arial" w:hAnsi="Arial" w:cs="Arial"/>
          <w:sz w:val="22"/>
          <w:szCs w:val="22"/>
        </w:rPr>
        <w:t>Paragraph (a) requires license renewal applicants to provide the information specified in 10</w:t>
      </w:r>
      <w:r w:rsidR="00E339E6">
        <w:rPr>
          <w:rFonts w:ascii="Arial" w:hAnsi="Arial" w:cs="Arial"/>
          <w:sz w:val="22"/>
          <w:szCs w:val="22"/>
        </w:rPr>
        <w:t> </w:t>
      </w:r>
      <w:r w:rsidRPr="00D51029">
        <w:rPr>
          <w:rFonts w:ascii="Arial" w:hAnsi="Arial" w:cs="Arial"/>
          <w:sz w:val="22"/>
          <w:szCs w:val="22"/>
        </w:rPr>
        <w:t>CFR 50.33(a) through (e), (h), and (</w:t>
      </w:r>
      <w:proofErr w:type="spellStart"/>
      <w:r w:rsidRPr="00D51029">
        <w:rPr>
          <w:rFonts w:ascii="Arial" w:hAnsi="Arial" w:cs="Arial"/>
          <w:sz w:val="22"/>
          <w:szCs w:val="22"/>
        </w:rPr>
        <w:t>i</w:t>
      </w:r>
      <w:proofErr w:type="spellEnd"/>
      <w:r w:rsidRPr="00D51029">
        <w:rPr>
          <w:rFonts w:ascii="Arial" w:hAnsi="Arial" w:cs="Arial"/>
          <w:sz w:val="22"/>
          <w:szCs w:val="22"/>
        </w:rPr>
        <w:t>); the application may incorporate this information by reference.  The NRC needs this information to establish the continued validity, during the renewal term, of general information applicable during the original license.  An applicant will report this information once per renewal application submission.</w:t>
      </w:r>
    </w:p>
    <w:p w:rsidRPr="00D51029" w:rsidR="001751B0" w:rsidP="00162949" w:rsidRDefault="001751B0" w14:paraId="340F19E9" w14:textId="77777777">
      <w:pPr>
        <w:ind w:left="900"/>
        <w:rPr>
          <w:rFonts w:ascii="Arial" w:hAnsi="Arial" w:cs="Arial"/>
          <w:sz w:val="22"/>
          <w:szCs w:val="22"/>
        </w:rPr>
      </w:pPr>
    </w:p>
    <w:p w:rsidRPr="00D51029" w:rsidR="001751B0" w:rsidP="00162949" w:rsidRDefault="001751B0" w14:paraId="4261BD29" w14:textId="77777777">
      <w:pPr>
        <w:rPr>
          <w:rFonts w:ascii="Arial" w:hAnsi="Arial" w:cs="Arial"/>
          <w:sz w:val="22"/>
          <w:szCs w:val="22"/>
        </w:rPr>
      </w:pPr>
      <w:r w:rsidRPr="00D51029">
        <w:rPr>
          <w:rFonts w:ascii="Arial" w:hAnsi="Arial" w:cs="Arial"/>
          <w:sz w:val="22"/>
          <w:szCs w:val="22"/>
        </w:rPr>
        <w:t xml:space="preserve">Paragraph (b) requires each renewal application to include conforming changes to the standard indemnity agreement in 10 CFR 140.92, Appendix B.  This information is necessary to account </w:t>
      </w:r>
      <w:r w:rsidRPr="00D51029">
        <w:rPr>
          <w:rFonts w:ascii="Arial" w:hAnsi="Arial" w:cs="Arial"/>
          <w:sz w:val="22"/>
          <w:szCs w:val="22"/>
        </w:rPr>
        <w:lastRenderedPageBreak/>
        <w:t>for the expiration term of the proposed renewed license.  An applicant will report this information once per renewal application submission.</w:t>
      </w:r>
    </w:p>
    <w:p w:rsidRPr="00D51029" w:rsidR="001751B0" w:rsidP="00162949" w:rsidRDefault="001751B0" w14:paraId="3AA2AC9B" w14:textId="77777777">
      <w:pPr>
        <w:rPr>
          <w:rFonts w:ascii="Arial" w:hAnsi="Arial" w:cs="Arial"/>
          <w:sz w:val="22"/>
          <w:szCs w:val="22"/>
        </w:rPr>
      </w:pPr>
      <w:r w:rsidRPr="00D51029">
        <w:rPr>
          <w:rFonts w:ascii="Arial" w:hAnsi="Arial" w:cs="Arial"/>
          <w:sz w:val="22"/>
          <w:szCs w:val="22"/>
        </w:rPr>
        <w:t xml:space="preserve"> </w:t>
      </w:r>
    </w:p>
    <w:p w:rsidRPr="00D51029" w:rsidR="001751B0" w:rsidP="00162949" w:rsidRDefault="001751B0" w14:paraId="0DC48091" w14:textId="77777777">
      <w:pPr>
        <w:rPr>
          <w:rFonts w:ascii="Arial" w:hAnsi="Arial" w:cs="Arial"/>
          <w:sz w:val="22"/>
          <w:szCs w:val="22"/>
        </w:rPr>
      </w:pPr>
      <w:r w:rsidRPr="00D51029">
        <w:rPr>
          <w:rFonts w:ascii="Arial" w:hAnsi="Arial" w:cs="Arial"/>
          <w:sz w:val="22"/>
          <w:szCs w:val="22"/>
          <w:u w:val="single"/>
        </w:rPr>
        <w:t>Section 54.21</w:t>
      </w:r>
      <w:r w:rsidRPr="00D51029">
        <w:rPr>
          <w:rFonts w:ascii="Arial" w:hAnsi="Arial" w:cs="Arial"/>
          <w:sz w:val="22"/>
          <w:szCs w:val="22"/>
        </w:rPr>
        <w:t xml:space="preserve"> states requirements for the application’s technical information:</w:t>
      </w:r>
    </w:p>
    <w:p w:rsidRPr="00D51029" w:rsidR="001751B0" w:rsidP="00162949" w:rsidRDefault="001751B0" w14:paraId="4684EE60" w14:textId="77777777">
      <w:pPr>
        <w:ind w:left="1260"/>
        <w:rPr>
          <w:rFonts w:ascii="Arial" w:hAnsi="Arial" w:cs="Arial"/>
          <w:sz w:val="22"/>
          <w:szCs w:val="22"/>
        </w:rPr>
      </w:pPr>
    </w:p>
    <w:p w:rsidRPr="00D51029" w:rsidR="001751B0" w:rsidP="00162949" w:rsidRDefault="001751B0" w14:paraId="74B9BF73" w14:textId="77777777">
      <w:pPr>
        <w:keepNext/>
        <w:rPr>
          <w:rFonts w:ascii="Arial" w:hAnsi="Arial" w:cs="Arial"/>
          <w:sz w:val="22"/>
          <w:szCs w:val="22"/>
        </w:rPr>
      </w:pPr>
      <w:r w:rsidRPr="00D51029">
        <w:rPr>
          <w:rFonts w:ascii="Arial" w:hAnsi="Arial" w:cs="Arial"/>
          <w:sz w:val="22"/>
          <w:szCs w:val="22"/>
        </w:rPr>
        <w:t>Paragraph (a) requires an integrated plant assessment to identify and list those SSCs subject to an aging management review.  The integrated plant assessment must describe and justify the methods used to identify those SSCs.  The NRC needs this information to be able to conclude that additional aging management attention is directed to SSCs that require it because they are important and can undergo age-related degradation during the renewal term.  The integrated plant assessment must also demonstrate the adequacy of actions taken or to be taken to manage the detrimental effects of aging.  The NRC needs this information to be satisfied that the actions will be effective in assuring the continued safe operation of the plant.  An applicant will report this information once per renewal application submission.</w:t>
      </w:r>
    </w:p>
    <w:p w:rsidRPr="00D51029" w:rsidR="001751B0" w:rsidP="00162949" w:rsidRDefault="001751B0" w14:paraId="14F2922B" w14:textId="77777777">
      <w:pPr>
        <w:rPr>
          <w:rFonts w:ascii="Arial" w:hAnsi="Arial" w:cs="Arial"/>
          <w:sz w:val="22"/>
          <w:szCs w:val="22"/>
        </w:rPr>
      </w:pPr>
    </w:p>
    <w:p w:rsidRPr="00D51029" w:rsidR="001751B0" w:rsidP="00162949" w:rsidRDefault="001751B0" w14:paraId="38DE4AF9" w14:textId="77777777">
      <w:pPr>
        <w:rPr>
          <w:rFonts w:ascii="Arial" w:hAnsi="Arial" w:cs="Arial"/>
          <w:sz w:val="22"/>
          <w:szCs w:val="22"/>
        </w:rPr>
      </w:pPr>
      <w:r w:rsidRPr="00D51029">
        <w:rPr>
          <w:rFonts w:ascii="Arial" w:hAnsi="Arial" w:cs="Arial"/>
          <w:sz w:val="22"/>
          <w:szCs w:val="22"/>
        </w:rPr>
        <w:t xml:space="preserve">Paragraph (b) requires the application to contain </w:t>
      </w:r>
      <w:r>
        <w:rPr>
          <w:rFonts w:ascii="Arial" w:hAnsi="Arial" w:cs="Arial"/>
          <w:sz w:val="22"/>
          <w:szCs w:val="22"/>
        </w:rPr>
        <w:t>CLB</w:t>
      </w:r>
      <w:r w:rsidRPr="00D51029">
        <w:rPr>
          <w:rFonts w:ascii="Arial" w:hAnsi="Arial" w:cs="Arial"/>
          <w:sz w:val="22"/>
          <w:szCs w:val="22"/>
        </w:rPr>
        <w:t xml:space="preserve"> changes which occur during NRC review of the application.  Each year following submittal of the license renewal application and at least three months before scheduled completion of the NRC review, the applicant must submit an amendment to the renewal application that identifies any change to the facility’s </w:t>
      </w:r>
      <w:r>
        <w:rPr>
          <w:rFonts w:ascii="Arial" w:hAnsi="Arial" w:cs="Arial"/>
          <w:sz w:val="22"/>
          <w:szCs w:val="22"/>
        </w:rPr>
        <w:t>CLB</w:t>
      </w:r>
      <w:r w:rsidRPr="00D51029">
        <w:rPr>
          <w:rFonts w:ascii="Arial" w:hAnsi="Arial" w:cs="Arial"/>
          <w:sz w:val="22"/>
          <w:szCs w:val="22"/>
        </w:rPr>
        <w:t xml:space="preserve"> that materially affects the contents of the license renewal application, including the </w:t>
      </w:r>
      <w:r>
        <w:rPr>
          <w:rFonts w:ascii="Arial" w:hAnsi="Arial" w:cs="Arial"/>
          <w:sz w:val="22"/>
          <w:szCs w:val="22"/>
        </w:rPr>
        <w:t>UFSAR</w:t>
      </w:r>
      <w:r w:rsidRPr="00D51029">
        <w:rPr>
          <w:rFonts w:ascii="Arial" w:hAnsi="Arial" w:cs="Arial"/>
          <w:sz w:val="22"/>
          <w:szCs w:val="22"/>
        </w:rPr>
        <w:t xml:space="preserve"> supplement.  The NRC needs this information to determine the acceptability of these changes from the pertinent safety standpoints.  An applicant will report this information as necessary while NRC completes its review of the application.</w:t>
      </w:r>
    </w:p>
    <w:p w:rsidRPr="00D51029" w:rsidR="001751B0" w:rsidP="00162949" w:rsidRDefault="001751B0" w14:paraId="42EEF3A5" w14:textId="77777777">
      <w:pPr>
        <w:rPr>
          <w:rFonts w:ascii="Arial" w:hAnsi="Arial" w:cs="Arial"/>
          <w:sz w:val="22"/>
          <w:szCs w:val="22"/>
        </w:rPr>
      </w:pPr>
    </w:p>
    <w:p w:rsidRPr="00D51029" w:rsidR="001751B0" w:rsidP="00162949" w:rsidRDefault="001751B0" w14:paraId="6405DBD4" w14:textId="77777777">
      <w:pPr>
        <w:rPr>
          <w:rFonts w:ascii="Arial" w:hAnsi="Arial" w:cs="Arial"/>
          <w:sz w:val="22"/>
          <w:szCs w:val="22"/>
        </w:rPr>
      </w:pPr>
      <w:r w:rsidRPr="00D51029">
        <w:rPr>
          <w:rFonts w:ascii="Arial" w:hAnsi="Arial" w:cs="Arial"/>
          <w:sz w:val="22"/>
          <w:szCs w:val="22"/>
        </w:rPr>
        <w:t>Paragraph (c) requires the application to contain an evaluation of time-limited aging analyses (TLAAs) for SSCs.  The applicant must list the TLAAs that conform to the definition in 10</w:t>
      </w:r>
      <w:r w:rsidR="00E339E6">
        <w:rPr>
          <w:rFonts w:ascii="Arial" w:hAnsi="Arial" w:cs="Arial"/>
          <w:sz w:val="22"/>
          <w:szCs w:val="22"/>
        </w:rPr>
        <w:t> </w:t>
      </w:r>
      <w:r w:rsidRPr="00D51029">
        <w:rPr>
          <w:rFonts w:ascii="Arial" w:hAnsi="Arial" w:cs="Arial"/>
          <w:sz w:val="22"/>
          <w:szCs w:val="22"/>
        </w:rPr>
        <w:t>CFR</w:t>
      </w:r>
      <w:r w:rsidR="00E339E6">
        <w:rPr>
          <w:rFonts w:ascii="Arial" w:hAnsi="Arial" w:cs="Arial"/>
          <w:sz w:val="22"/>
          <w:szCs w:val="22"/>
        </w:rPr>
        <w:t> </w:t>
      </w:r>
      <w:r w:rsidRPr="00D51029">
        <w:rPr>
          <w:rFonts w:ascii="Arial" w:hAnsi="Arial" w:cs="Arial"/>
          <w:sz w:val="22"/>
          <w:szCs w:val="22"/>
        </w:rPr>
        <w:t>54.3 and demonstrate that the analyses remain valid for the period of extended operation, the analyses have been projected to the end of the period of extended operation, or the effects of aging on the intended function(s) will be adequately managed for the period of extended operation.  The NRC needs this information to determine whether those SSCs meet the requirements for license renewal.  This section also requires a list of all plant-specific exemptions granted pursuant to 10 CFR 50.12 and in effect that are based on TLAAs as defined in 10 CFR 54.3.  The applicant must provide an evaluation that justifies the continuation of these exemptions for the period of extended operation.  The NRC needs this information to justify whether to continue these exemptions.  An applicant will report this information once per renewal application submission.</w:t>
      </w:r>
    </w:p>
    <w:p w:rsidRPr="00D51029" w:rsidR="001751B0" w:rsidP="00162949" w:rsidRDefault="001751B0" w14:paraId="4FCF3A84" w14:textId="77777777">
      <w:pPr>
        <w:rPr>
          <w:rFonts w:ascii="Arial" w:hAnsi="Arial" w:cs="Arial"/>
          <w:sz w:val="22"/>
          <w:szCs w:val="22"/>
        </w:rPr>
      </w:pPr>
    </w:p>
    <w:p w:rsidRPr="00D51029" w:rsidR="001751B0" w:rsidP="00162949" w:rsidRDefault="001751B0" w14:paraId="5C04C65F" w14:textId="77777777">
      <w:pPr>
        <w:rPr>
          <w:rFonts w:ascii="Arial" w:hAnsi="Arial" w:cs="Arial"/>
          <w:sz w:val="22"/>
          <w:szCs w:val="22"/>
        </w:rPr>
      </w:pPr>
      <w:r w:rsidRPr="00D51029">
        <w:rPr>
          <w:rFonts w:ascii="Arial" w:hAnsi="Arial" w:cs="Arial"/>
          <w:sz w:val="22"/>
          <w:szCs w:val="22"/>
        </w:rPr>
        <w:t xml:space="preserve">Paragraph (d) requires the application to include an </w:t>
      </w:r>
      <w:r>
        <w:rPr>
          <w:rFonts w:ascii="Arial" w:hAnsi="Arial" w:cs="Arial"/>
          <w:sz w:val="22"/>
          <w:szCs w:val="22"/>
        </w:rPr>
        <w:t>U</w:t>
      </w:r>
      <w:r w:rsidRPr="00D51029">
        <w:rPr>
          <w:rFonts w:ascii="Arial" w:hAnsi="Arial" w:cs="Arial"/>
          <w:sz w:val="22"/>
          <w:szCs w:val="22"/>
        </w:rPr>
        <w:t>FSAR supplement for the facility which must contain a summary description of the programs and activities for managing the effects of aging and the evaluation of TLAAs for the period of extended operation as determined by 10</w:t>
      </w:r>
      <w:r w:rsidR="00E339E6">
        <w:rPr>
          <w:rFonts w:ascii="Arial" w:hAnsi="Arial" w:cs="Arial"/>
          <w:sz w:val="22"/>
          <w:szCs w:val="22"/>
        </w:rPr>
        <w:t> </w:t>
      </w:r>
      <w:r w:rsidRPr="00D51029">
        <w:rPr>
          <w:rFonts w:ascii="Arial" w:hAnsi="Arial" w:cs="Arial"/>
          <w:sz w:val="22"/>
          <w:szCs w:val="22"/>
        </w:rPr>
        <w:t>CFR 54.21(a) and (c), respectively.  The NRC needs this information to determine whether the licensee's actions for managing the effects of aging provide reasonable assurance that the facility's operations during the period of extended operation can be conducted without endangering public health and safety.  An applicant will report this information once per renewal application submission.</w:t>
      </w:r>
    </w:p>
    <w:p w:rsidRPr="00D51029" w:rsidR="001751B0" w:rsidP="00162949" w:rsidRDefault="001751B0" w14:paraId="3E3B2458" w14:textId="77777777">
      <w:pPr>
        <w:rPr>
          <w:rFonts w:ascii="Arial" w:hAnsi="Arial" w:cs="Arial"/>
          <w:sz w:val="22"/>
          <w:szCs w:val="22"/>
        </w:rPr>
      </w:pPr>
    </w:p>
    <w:p w:rsidRPr="00D51029" w:rsidR="001751B0" w:rsidP="00162949" w:rsidRDefault="001751B0" w14:paraId="7DEE2B24" w14:textId="77777777">
      <w:pPr>
        <w:rPr>
          <w:rFonts w:ascii="Arial" w:hAnsi="Arial" w:cs="Arial"/>
          <w:sz w:val="22"/>
          <w:szCs w:val="22"/>
        </w:rPr>
      </w:pPr>
      <w:r w:rsidRPr="00D51029">
        <w:rPr>
          <w:rFonts w:ascii="Arial" w:hAnsi="Arial" w:cs="Arial"/>
          <w:sz w:val="22"/>
          <w:szCs w:val="22"/>
          <w:u w:val="single"/>
        </w:rPr>
        <w:t>Section 54.22</w:t>
      </w:r>
      <w:r w:rsidRPr="00D51029">
        <w:rPr>
          <w:rFonts w:ascii="Arial" w:hAnsi="Arial" w:cs="Arial"/>
          <w:sz w:val="22"/>
          <w:szCs w:val="22"/>
        </w:rPr>
        <w:t xml:space="preserve"> requires the application to include any technical specification changes or additions necessary to manage the effects of aging during the period of extended operation.  The justification for these changes or additions must also be contained in the application.  The NRC needs this information to determine the acceptability of these changes from pertinent </w:t>
      </w:r>
      <w:r w:rsidRPr="00D51029">
        <w:rPr>
          <w:rFonts w:ascii="Arial" w:hAnsi="Arial" w:cs="Arial"/>
          <w:sz w:val="22"/>
          <w:szCs w:val="22"/>
        </w:rPr>
        <w:lastRenderedPageBreak/>
        <w:t>safety standpoints.  An applicant will report this information once per renewal application submission.</w:t>
      </w:r>
    </w:p>
    <w:p w:rsidRPr="00D51029" w:rsidR="001751B0" w:rsidP="00162949" w:rsidRDefault="001751B0" w14:paraId="34FA08DA" w14:textId="77777777">
      <w:pPr>
        <w:rPr>
          <w:rFonts w:ascii="Arial" w:hAnsi="Arial" w:cs="Arial"/>
          <w:sz w:val="22"/>
          <w:szCs w:val="22"/>
        </w:rPr>
      </w:pPr>
    </w:p>
    <w:p w:rsidRPr="00D51029" w:rsidR="001751B0" w:rsidP="00162949" w:rsidRDefault="001751B0" w14:paraId="773267F0" w14:textId="6699F2BA">
      <w:pPr>
        <w:rPr>
          <w:rFonts w:ascii="Arial" w:hAnsi="Arial" w:cs="Arial"/>
          <w:sz w:val="22"/>
          <w:szCs w:val="22"/>
        </w:rPr>
      </w:pPr>
      <w:r w:rsidRPr="00D51029">
        <w:rPr>
          <w:rFonts w:ascii="Arial" w:hAnsi="Arial" w:cs="Arial"/>
          <w:sz w:val="22"/>
          <w:szCs w:val="22"/>
          <w:u w:val="single"/>
        </w:rPr>
        <w:t>Section 54.23</w:t>
      </w:r>
      <w:r w:rsidRPr="00D51029">
        <w:rPr>
          <w:rFonts w:ascii="Arial" w:hAnsi="Arial" w:cs="Arial"/>
          <w:sz w:val="22"/>
          <w:szCs w:val="22"/>
        </w:rPr>
        <w:t xml:space="preserve"> states the environmental information required in the application.  This information is required to be a supplement to the environmental report that complies with 10 CFR Part 51, “Environmental Protection Regulations for Domestic Licensing and Related Regulatory Functions,” Subpart A, “National Environmental Policy Act – Regulations Implementing Section</w:t>
      </w:r>
      <w:r w:rsidR="00AB3C96">
        <w:rPr>
          <w:rFonts w:ascii="Arial" w:hAnsi="Arial" w:cs="Arial"/>
          <w:sz w:val="22"/>
          <w:szCs w:val="22"/>
        </w:rPr>
        <w:t> </w:t>
      </w:r>
      <w:r w:rsidRPr="00D51029">
        <w:rPr>
          <w:rFonts w:ascii="Arial" w:hAnsi="Arial" w:cs="Arial"/>
          <w:sz w:val="22"/>
          <w:szCs w:val="22"/>
        </w:rPr>
        <w:t>102(2).”  The NRC requires this information to determine the acceptability of the environmental consequences of the facility’s continued operation during the renewal term.  OMB Clearance No. 3150-0021 covers the burden for this environmental information collection.  An applicant will report this information once per renewal application submission.</w:t>
      </w:r>
    </w:p>
    <w:p w:rsidRPr="00D51029" w:rsidR="001751B0" w:rsidP="00162949" w:rsidRDefault="001751B0" w14:paraId="63CA4CBC" w14:textId="77777777">
      <w:pPr>
        <w:rPr>
          <w:rFonts w:ascii="Arial" w:hAnsi="Arial" w:cs="Arial"/>
          <w:sz w:val="22"/>
          <w:szCs w:val="22"/>
        </w:rPr>
      </w:pPr>
    </w:p>
    <w:p w:rsidRPr="00D51029" w:rsidR="001751B0" w:rsidP="00162949" w:rsidRDefault="001751B0" w14:paraId="62EEAD86" w14:textId="77777777">
      <w:pPr>
        <w:rPr>
          <w:rFonts w:ascii="Arial" w:hAnsi="Arial" w:cs="Arial"/>
          <w:sz w:val="22"/>
          <w:szCs w:val="22"/>
        </w:rPr>
      </w:pPr>
      <w:r w:rsidRPr="00D51029">
        <w:rPr>
          <w:rFonts w:ascii="Arial" w:hAnsi="Arial" w:cs="Arial"/>
          <w:sz w:val="22"/>
          <w:szCs w:val="22"/>
          <w:u w:val="single"/>
        </w:rPr>
        <w:t>Section 54.33</w:t>
      </w:r>
      <w:r w:rsidRPr="00D51029">
        <w:rPr>
          <w:rFonts w:ascii="Arial" w:hAnsi="Arial" w:cs="Arial"/>
          <w:sz w:val="22"/>
          <w:szCs w:val="22"/>
        </w:rPr>
        <w:t xml:space="preserve"> states license renewal conditions.  Specifically, </w:t>
      </w:r>
      <w:r>
        <w:rPr>
          <w:rFonts w:ascii="Arial" w:hAnsi="Arial" w:cs="Arial"/>
          <w:sz w:val="22"/>
          <w:szCs w:val="22"/>
        </w:rPr>
        <w:t>P</w:t>
      </w:r>
      <w:r w:rsidRPr="00D51029">
        <w:rPr>
          <w:rFonts w:ascii="Arial" w:hAnsi="Arial" w:cs="Arial"/>
          <w:sz w:val="22"/>
          <w:szCs w:val="22"/>
        </w:rPr>
        <w:t xml:space="preserve">aragraph (c) requires each renewal </w:t>
      </w:r>
      <w:r w:rsidR="002938F0">
        <w:rPr>
          <w:rFonts w:ascii="Arial" w:hAnsi="Arial" w:cs="Arial"/>
          <w:sz w:val="22"/>
          <w:szCs w:val="22"/>
        </w:rPr>
        <w:t>license</w:t>
      </w:r>
      <w:r w:rsidRPr="00D51029">
        <w:rPr>
          <w:rFonts w:ascii="Arial" w:hAnsi="Arial" w:cs="Arial"/>
          <w:sz w:val="22"/>
          <w:szCs w:val="22"/>
        </w:rPr>
        <w:t xml:space="preserve"> to include those conditions to protect the environment that were imposed pursuant to 10 CFR 50.36(b) and that are part of the facility’s </w:t>
      </w:r>
      <w:r>
        <w:rPr>
          <w:rFonts w:ascii="Arial" w:hAnsi="Arial" w:cs="Arial"/>
          <w:sz w:val="22"/>
          <w:szCs w:val="22"/>
        </w:rPr>
        <w:t>CLB</w:t>
      </w:r>
      <w:r w:rsidRPr="00D51029">
        <w:rPr>
          <w:rFonts w:ascii="Arial" w:hAnsi="Arial" w:cs="Arial"/>
          <w:sz w:val="22"/>
          <w:szCs w:val="22"/>
        </w:rPr>
        <w:t xml:space="preserve"> at the time the NRC issues the renewed license.  The NRC requires this information to protect the environment during the term of the renewed license.  OMB Clearance No. 3150</w:t>
      </w:r>
      <w:r w:rsidRPr="00D51029">
        <w:rPr>
          <w:rFonts w:ascii="Arial" w:hAnsi="Arial" w:cs="Arial"/>
          <w:sz w:val="22"/>
          <w:szCs w:val="22"/>
        </w:rPr>
        <w:noBreakHyphen/>
        <w:t>0011 covers information collection for 10 CFR 50.36(b), and OMB Clearance No. 3150-0021 covers the burden for this environmental information collection as it relates to license renewal.</w:t>
      </w:r>
    </w:p>
    <w:p w:rsidRPr="00D51029" w:rsidR="001751B0" w:rsidP="00162949" w:rsidRDefault="001751B0" w14:paraId="7983D6BA" w14:textId="77777777">
      <w:pPr>
        <w:rPr>
          <w:rFonts w:ascii="Arial" w:hAnsi="Arial" w:cs="Arial"/>
          <w:sz w:val="22"/>
          <w:szCs w:val="22"/>
        </w:rPr>
      </w:pPr>
    </w:p>
    <w:p w:rsidRPr="00D51029" w:rsidR="001751B0" w:rsidP="00162949" w:rsidRDefault="001751B0" w14:paraId="51D190BC" w14:textId="77777777">
      <w:pPr>
        <w:rPr>
          <w:rFonts w:ascii="Arial" w:hAnsi="Arial" w:cs="Arial"/>
          <w:sz w:val="22"/>
          <w:szCs w:val="22"/>
        </w:rPr>
      </w:pPr>
      <w:r w:rsidRPr="00D51029">
        <w:rPr>
          <w:rFonts w:ascii="Arial" w:hAnsi="Arial" w:cs="Arial"/>
          <w:sz w:val="22"/>
          <w:szCs w:val="22"/>
          <w:u w:val="single"/>
        </w:rPr>
        <w:t>Section 54.37</w:t>
      </w:r>
      <w:r w:rsidRPr="00D51029">
        <w:rPr>
          <w:rFonts w:ascii="Arial" w:hAnsi="Arial" w:cs="Arial"/>
          <w:sz w:val="22"/>
          <w:szCs w:val="22"/>
        </w:rPr>
        <w:t xml:space="preserve"> states additional records and record keeping requirements:</w:t>
      </w:r>
    </w:p>
    <w:p w:rsidRPr="00D51029" w:rsidR="001751B0" w:rsidP="00162949" w:rsidRDefault="001751B0" w14:paraId="6FAA5D2D" w14:textId="77777777">
      <w:pPr>
        <w:rPr>
          <w:rFonts w:ascii="Arial" w:hAnsi="Arial" w:cs="Arial"/>
          <w:sz w:val="22"/>
          <w:szCs w:val="22"/>
        </w:rPr>
      </w:pPr>
    </w:p>
    <w:p w:rsidRPr="00D51029" w:rsidR="001751B0" w:rsidP="00162949" w:rsidRDefault="001751B0" w14:paraId="75C5823A" w14:textId="77777777">
      <w:pPr>
        <w:rPr>
          <w:rFonts w:ascii="Arial" w:hAnsi="Arial" w:cs="Arial"/>
          <w:sz w:val="22"/>
          <w:szCs w:val="22"/>
        </w:rPr>
      </w:pPr>
      <w:r w:rsidRPr="00D51029">
        <w:rPr>
          <w:rFonts w:ascii="Arial" w:hAnsi="Arial" w:cs="Arial"/>
          <w:sz w:val="22"/>
          <w:szCs w:val="22"/>
        </w:rPr>
        <w:t xml:space="preserve">Paragraph (a) requires holders of renewed licenses to retain in an auditable and retrievable form, for the term of the renewed operating license, all information and documentation required to document compliance with 10 CFR Part 54.  The NRC needs access to this information for continuing effective regulatory oversight.  </w:t>
      </w:r>
    </w:p>
    <w:p w:rsidRPr="00D51029" w:rsidR="001751B0" w:rsidP="00162949" w:rsidRDefault="001751B0" w14:paraId="3521E714" w14:textId="77777777">
      <w:pPr>
        <w:rPr>
          <w:rFonts w:ascii="Arial" w:hAnsi="Arial" w:cs="Arial"/>
          <w:sz w:val="22"/>
          <w:szCs w:val="22"/>
        </w:rPr>
      </w:pPr>
    </w:p>
    <w:p w:rsidRPr="00D51029" w:rsidR="001751B0" w:rsidP="00162949" w:rsidRDefault="001751B0" w14:paraId="70AAB56B" w14:textId="1CD08431">
      <w:pPr>
        <w:rPr>
          <w:rFonts w:ascii="Arial" w:hAnsi="Arial" w:cs="Arial"/>
          <w:sz w:val="22"/>
          <w:szCs w:val="22"/>
        </w:rPr>
      </w:pPr>
      <w:r w:rsidRPr="00D51029">
        <w:rPr>
          <w:rFonts w:ascii="Arial" w:hAnsi="Arial" w:cs="Arial"/>
          <w:sz w:val="22"/>
          <w:szCs w:val="22"/>
        </w:rPr>
        <w:t xml:space="preserve">Paragraph (b) requires licensees, after the NRC issues the renewed license, to include in the </w:t>
      </w:r>
      <w:r>
        <w:rPr>
          <w:rFonts w:ascii="Arial" w:hAnsi="Arial" w:cs="Arial"/>
          <w:sz w:val="22"/>
          <w:szCs w:val="22"/>
        </w:rPr>
        <w:t>U</w:t>
      </w:r>
      <w:r w:rsidRPr="00D51029">
        <w:rPr>
          <w:rFonts w:ascii="Arial" w:hAnsi="Arial" w:cs="Arial"/>
          <w:sz w:val="22"/>
          <w:szCs w:val="22"/>
        </w:rPr>
        <w:t xml:space="preserve">FSAR update required by 10 CFR 50.71(e), any newly identified SSCs that would have been subject to an aging management review or evaluation of TLAAs in accordance with 10 CFR 54.21.  This </w:t>
      </w:r>
      <w:r>
        <w:rPr>
          <w:rFonts w:ascii="Arial" w:hAnsi="Arial" w:cs="Arial"/>
          <w:sz w:val="22"/>
          <w:szCs w:val="22"/>
        </w:rPr>
        <w:t>U</w:t>
      </w:r>
      <w:r w:rsidRPr="00D51029">
        <w:rPr>
          <w:rFonts w:ascii="Arial" w:hAnsi="Arial" w:cs="Arial"/>
          <w:sz w:val="22"/>
          <w:szCs w:val="22"/>
        </w:rPr>
        <w:t xml:space="preserve">FSAR update must describe how the effects of aging will be managed such that the intended function(s) will be effectively maintained during the period of extended operation.  The </w:t>
      </w:r>
      <w:r>
        <w:rPr>
          <w:rFonts w:ascii="Arial" w:hAnsi="Arial" w:cs="Arial"/>
          <w:sz w:val="22"/>
          <w:szCs w:val="22"/>
        </w:rPr>
        <w:t>U</w:t>
      </w:r>
      <w:r w:rsidRPr="00D51029">
        <w:rPr>
          <w:rFonts w:ascii="Arial" w:hAnsi="Arial" w:cs="Arial"/>
          <w:sz w:val="22"/>
          <w:szCs w:val="22"/>
        </w:rPr>
        <w:t xml:space="preserve">FSAR update contains information on </w:t>
      </w:r>
      <w:proofErr w:type="gramStart"/>
      <w:r w:rsidRPr="00D51029">
        <w:rPr>
          <w:rFonts w:ascii="Arial" w:hAnsi="Arial" w:cs="Arial"/>
          <w:sz w:val="22"/>
          <w:szCs w:val="22"/>
        </w:rPr>
        <w:t>all of</w:t>
      </w:r>
      <w:proofErr w:type="gramEnd"/>
      <w:r w:rsidRPr="00D51029">
        <w:rPr>
          <w:rFonts w:ascii="Arial" w:hAnsi="Arial" w:cs="Arial"/>
          <w:sz w:val="22"/>
          <w:szCs w:val="22"/>
        </w:rPr>
        <w:t xml:space="preserve"> the changes made by the licensee to the plant since submission of the original </w:t>
      </w:r>
      <w:r>
        <w:rPr>
          <w:rFonts w:ascii="Arial" w:hAnsi="Arial" w:cs="Arial"/>
          <w:sz w:val="22"/>
          <w:szCs w:val="22"/>
        </w:rPr>
        <w:t>U</w:t>
      </w:r>
      <w:r w:rsidRPr="00D51029">
        <w:rPr>
          <w:rFonts w:ascii="Arial" w:hAnsi="Arial" w:cs="Arial"/>
          <w:sz w:val="22"/>
          <w:szCs w:val="22"/>
        </w:rPr>
        <w:t xml:space="preserve">FSAR or, as appropriate, since submission of the last </w:t>
      </w:r>
      <w:r>
        <w:rPr>
          <w:rFonts w:ascii="Arial" w:hAnsi="Arial" w:cs="Arial"/>
          <w:sz w:val="22"/>
          <w:szCs w:val="22"/>
        </w:rPr>
        <w:t>U</w:t>
      </w:r>
      <w:r w:rsidRPr="00D51029">
        <w:rPr>
          <w:rFonts w:ascii="Arial" w:hAnsi="Arial" w:cs="Arial"/>
          <w:sz w:val="22"/>
          <w:szCs w:val="22"/>
        </w:rPr>
        <w:t>FSAR.  The NRC needs access to this information for continuing effective regulatory oversight.  Renewed license holders will report this information as necessary to comply with the regulation.</w:t>
      </w:r>
    </w:p>
    <w:p w:rsidR="00B12E05" w:rsidP="00CC6ED2" w:rsidRDefault="00B12E05" w14:paraId="5FFEAAD4" w14:textId="77777777">
      <w:pPr>
        <w:autoSpaceDE/>
        <w:autoSpaceDN/>
        <w:adjustRightInd/>
        <w:spacing w:after="160" w:line="259" w:lineRule="auto"/>
      </w:pPr>
      <w:r>
        <w:br w:type="page"/>
      </w:r>
    </w:p>
    <w:p w:rsidRPr="00377C58" w:rsidR="00B12E05" w:rsidP="00162949" w:rsidRDefault="00B12E05" w14:paraId="47EC62A7" w14:textId="77777777">
      <w:pPr>
        <w:spacing w:line="0" w:lineRule="atLeast"/>
        <w:jc w:val="center"/>
        <w:rPr>
          <w:rFonts w:ascii="Arial" w:hAnsi="Arial" w:cs="Arial"/>
          <w:sz w:val="22"/>
          <w:szCs w:val="22"/>
        </w:rPr>
      </w:pPr>
      <w:r w:rsidRPr="00377C58">
        <w:rPr>
          <w:rFonts w:ascii="Arial" w:hAnsi="Arial" w:cs="Arial"/>
          <w:sz w:val="22"/>
          <w:szCs w:val="22"/>
        </w:rPr>
        <w:lastRenderedPageBreak/>
        <w:t>GUIDANCE DOCUMENTS FOR INFORMATION COLLECTION REQUIREMENTS</w:t>
      </w:r>
    </w:p>
    <w:p w:rsidR="00B12E05" w:rsidP="00162949" w:rsidRDefault="00B12E05" w14:paraId="52918020" w14:textId="77777777">
      <w:pPr>
        <w:spacing w:line="0" w:lineRule="atLeast"/>
        <w:jc w:val="center"/>
        <w:rPr>
          <w:rFonts w:ascii="Arial" w:hAnsi="Arial" w:cs="Arial"/>
          <w:sz w:val="22"/>
          <w:szCs w:val="22"/>
        </w:rPr>
      </w:pPr>
      <w:r w:rsidRPr="00377C58">
        <w:rPr>
          <w:rFonts w:ascii="Arial" w:hAnsi="Arial" w:cs="Arial"/>
          <w:sz w:val="22"/>
          <w:szCs w:val="22"/>
        </w:rPr>
        <w:t>CONTAINED IN</w:t>
      </w:r>
    </w:p>
    <w:p w:rsidRPr="00377C58" w:rsidR="00B12E05" w:rsidP="00162949" w:rsidRDefault="00B12E05" w14:paraId="32ED3533" w14:textId="77777777">
      <w:pPr>
        <w:spacing w:line="0" w:lineRule="atLeast"/>
        <w:jc w:val="center"/>
        <w:rPr>
          <w:rFonts w:ascii="Arial" w:hAnsi="Arial" w:cs="Arial"/>
          <w:sz w:val="22"/>
          <w:szCs w:val="22"/>
        </w:rPr>
      </w:pPr>
    </w:p>
    <w:p w:rsidRPr="00D51029" w:rsidR="00B12E05" w:rsidP="00162949" w:rsidRDefault="00B12E05" w14:paraId="511EBCBE" w14:textId="77777777">
      <w:pPr>
        <w:jc w:val="center"/>
        <w:rPr>
          <w:rFonts w:ascii="Arial" w:hAnsi="Arial" w:cs="Arial"/>
          <w:sz w:val="22"/>
          <w:szCs w:val="22"/>
        </w:rPr>
      </w:pPr>
      <w:r>
        <w:rPr>
          <w:rFonts w:ascii="Arial" w:hAnsi="Arial" w:cs="Arial"/>
          <w:sz w:val="22"/>
          <w:szCs w:val="22"/>
        </w:rPr>
        <w:t>10 CFR</w:t>
      </w:r>
      <w:r w:rsidRPr="00D51029">
        <w:rPr>
          <w:rFonts w:ascii="Arial" w:hAnsi="Arial" w:cs="Arial"/>
          <w:sz w:val="22"/>
          <w:szCs w:val="22"/>
        </w:rPr>
        <w:t xml:space="preserve"> PART 54</w:t>
      </w:r>
    </w:p>
    <w:p w:rsidRPr="00D51029" w:rsidR="00B12E05" w:rsidP="00162949" w:rsidRDefault="00B12E05" w14:paraId="233BAF59" w14:textId="77777777">
      <w:pPr>
        <w:jc w:val="center"/>
        <w:rPr>
          <w:rFonts w:ascii="Arial" w:hAnsi="Arial" w:cs="Arial"/>
          <w:sz w:val="22"/>
          <w:szCs w:val="22"/>
        </w:rPr>
      </w:pPr>
      <w:r w:rsidRPr="00D51029">
        <w:rPr>
          <w:rFonts w:ascii="Arial" w:hAnsi="Arial" w:cs="Arial"/>
          <w:sz w:val="22"/>
          <w:szCs w:val="22"/>
        </w:rPr>
        <w:t>REQUIREMENTS FOR RENEWAL OF OPERATING LICENSES FOR</w:t>
      </w:r>
    </w:p>
    <w:p w:rsidRPr="00D51029" w:rsidR="00B12E05" w:rsidP="00162949" w:rsidRDefault="00B12E05" w14:paraId="43C2B981" w14:textId="77777777">
      <w:pPr>
        <w:jc w:val="center"/>
        <w:rPr>
          <w:rFonts w:ascii="Arial" w:hAnsi="Arial" w:cs="Arial"/>
          <w:sz w:val="22"/>
          <w:szCs w:val="22"/>
        </w:rPr>
      </w:pPr>
      <w:r w:rsidRPr="00D51029">
        <w:rPr>
          <w:rFonts w:ascii="Arial" w:hAnsi="Arial" w:cs="Arial"/>
          <w:sz w:val="22"/>
          <w:szCs w:val="22"/>
        </w:rPr>
        <w:t>NUCLEAR POWER PLANTS</w:t>
      </w:r>
    </w:p>
    <w:p w:rsidRPr="00D51029" w:rsidR="00B12E05" w:rsidP="00162949" w:rsidRDefault="00B12E05" w14:paraId="20537157" w14:textId="77777777">
      <w:pPr>
        <w:jc w:val="center"/>
        <w:rPr>
          <w:rFonts w:ascii="Arial" w:hAnsi="Arial" w:cs="Arial"/>
          <w:sz w:val="22"/>
          <w:szCs w:val="22"/>
        </w:rPr>
      </w:pPr>
      <w:r w:rsidRPr="00D51029">
        <w:rPr>
          <w:rFonts w:ascii="Arial" w:hAnsi="Arial" w:cs="Arial"/>
          <w:sz w:val="22"/>
          <w:szCs w:val="22"/>
        </w:rPr>
        <w:t>3150-0155</w:t>
      </w:r>
    </w:p>
    <w:p w:rsidR="000041F4" w:rsidP="00CC6ED2" w:rsidRDefault="000041F4" w14:paraId="3C2FEA87" w14:textId="68ACDF41"/>
    <w:tbl>
      <w:tblPr>
        <w:tblStyle w:val="TableGrid"/>
        <w:tblW w:w="0" w:type="auto"/>
        <w:tblLook w:val="04A0" w:firstRow="1" w:lastRow="0" w:firstColumn="1" w:lastColumn="0" w:noHBand="0" w:noVBand="1"/>
      </w:tblPr>
      <w:tblGrid>
        <w:gridCol w:w="4670"/>
        <w:gridCol w:w="4680"/>
      </w:tblGrid>
      <w:tr w:rsidRPr="00377C58" w:rsidR="00B12E05" w:rsidTr="002D7D49" w14:paraId="785F3DCE" w14:textId="77777777">
        <w:tc>
          <w:tcPr>
            <w:tcW w:w="4670" w:type="dxa"/>
          </w:tcPr>
          <w:p w:rsidRPr="00377C58" w:rsidR="00B12E05" w:rsidP="00162949" w:rsidRDefault="00B12E05" w14:paraId="1545014E" w14:textId="77777777">
            <w:pPr>
              <w:spacing w:line="0" w:lineRule="atLeast"/>
              <w:jc w:val="center"/>
              <w:rPr>
                <w:rFonts w:ascii="Arial" w:hAnsi="Arial" w:cs="Arial"/>
                <w:sz w:val="22"/>
                <w:szCs w:val="22"/>
              </w:rPr>
            </w:pPr>
            <w:r w:rsidRPr="00377C58">
              <w:rPr>
                <w:rFonts w:ascii="Arial" w:hAnsi="Arial" w:cs="Arial"/>
                <w:sz w:val="22"/>
                <w:szCs w:val="22"/>
              </w:rPr>
              <w:t>Title</w:t>
            </w:r>
          </w:p>
        </w:tc>
        <w:tc>
          <w:tcPr>
            <w:tcW w:w="4680" w:type="dxa"/>
          </w:tcPr>
          <w:p w:rsidRPr="00377C58" w:rsidR="00B12E05" w:rsidP="00162949" w:rsidRDefault="00B12E05" w14:paraId="134FD306" w14:textId="77777777">
            <w:pPr>
              <w:spacing w:line="0" w:lineRule="atLeast"/>
              <w:jc w:val="center"/>
              <w:rPr>
                <w:rFonts w:ascii="Arial" w:hAnsi="Arial" w:cs="Arial"/>
                <w:sz w:val="22"/>
                <w:szCs w:val="22"/>
              </w:rPr>
            </w:pPr>
            <w:r w:rsidRPr="00377C58">
              <w:rPr>
                <w:rFonts w:ascii="Arial" w:hAnsi="Arial" w:cs="Arial"/>
                <w:sz w:val="22"/>
                <w:szCs w:val="22"/>
              </w:rPr>
              <w:t>Accession number</w:t>
            </w:r>
          </w:p>
        </w:tc>
      </w:tr>
      <w:tr w:rsidRPr="00377C58" w:rsidR="00B12E05" w:rsidTr="002D7D49" w14:paraId="47B0D740" w14:textId="77777777">
        <w:trPr>
          <w:trHeight w:val="1250"/>
        </w:trPr>
        <w:tc>
          <w:tcPr>
            <w:tcW w:w="4670" w:type="dxa"/>
          </w:tcPr>
          <w:p w:rsidRPr="00F921F7" w:rsidR="00B12E05" w:rsidP="00CC6ED2" w:rsidRDefault="0036228D" w14:paraId="78D3039D" w14:textId="434546AD">
            <w:pPr>
              <w:spacing w:line="0" w:lineRule="atLeast"/>
              <w:rPr>
                <w:rFonts w:ascii="Arial" w:hAnsi="Arial" w:cs="Arial"/>
                <w:sz w:val="22"/>
                <w:szCs w:val="22"/>
              </w:rPr>
            </w:pPr>
            <w:r w:rsidRPr="00F921F7">
              <w:rPr>
                <w:rFonts w:ascii="Arial" w:hAnsi="Arial" w:cs="Arial"/>
                <w:sz w:val="22"/>
                <w:szCs w:val="22"/>
              </w:rPr>
              <w:t>NRC Regulatory Guide 1.188, Revision 1, “Standard Format and Content for Application</w:t>
            </w:r>
            <w:r w:rsidR="00F76E34">
              <w:rPr>
                <w:rFonts w:ascii="Arial" w:hAnsi="Arial" w:cs="Arial"/>
                <w:sz w:val="22"/>
                <w:szCs w:val="22"/>
              </w:rPr>
              <w:t>s</w:t>
            </w:r>
            <w:r w:rsidRPr="00F921F7">
              <w:rPr>
                <w:rFonts w:ascii="Arial" w:hAnsi="Arial" w:cs="Arial"/>
                <w:sz w:val="22"/>
                <w:szCs w:val="22"/>
              </w:rPr>
              <w:t xml:space="preserve"> to Renew Nuclear Power Plant Operating Licenses”</w:t>
            </w:r>
          </w:p>
        </w:tc>
        <w:tc>
          <w:tcPr>
            <w:tcW w:w="4680" w:type="dxa"/>
          </w:tcPr>
          <w:p w:rsidRPr="00377C58" w:rsidR="00B12E05" w:rsidP="00F57703" w:rsidRDefault="00F45331" w14:paraId="523EA0EF" w14:textId="77777777">
            <w:pPr>
              <w:spacing w:line="0" w:lineRule="atLeast"/>
              <w:rPr>
                <w:rFonts w:ascii="Arial" w:hAnsi="Arial" w:cs="Arial"/>
                <w:sz w:val="22"/>
                <w:szCs w:val="22"/>
              </w:rPr>
            </w:pPr>
            <w:r>
              <w:rPr>
                <w:rFonts w:ascii="Arial" w:hAnsi="Arial" w:cs="Arial"/>
                <w:sz w:val="22"/>
                <w:szCs w:val="22"/>
              </w:rPr>
              <w:t>ML051920430</w:t>
            </w:r>
          </w:p>
        </w:tc>
      </w:tr>
      <w:tr w:rsidRPr="00377C58" w:rsidR="00B12E05" w:rsidTr="002D7D49" w14:paraId="0728A2FD" w14:textId="77777777">
        <w:trPr>
          <w:trHeight w:val="980"/>
        </w:trPr>
        <w:tc>
          <w:tcPr>
            <w:tcW w:w="4670" w:type="dxa"/>
          </w:tcPr>
          <w:p w:rsidRPr="00F921F7" w:rsidR="00B12E05" w:rsidP="00F57703" w:rsidRDefault="009C774C" w14:paraId="663E97B3" w14:textId="77777777">
            <w:pPr>
              <w:spacing w:line="0" w:lineRule="atLeast"/>
              <w:rPr>
                <w:rFonts w:ascii="Arial" w:hAnsi="Arial" w:cs="Arial"/>
                <w:sz w:val="22"/>
                <w:szCs w:val="22"/>
              </w:rPr>
            </w:pPr>
            <w:r w:rsidRPr="00F921F7">
              <w:rPr>
                <w:rFonts w:ascii="Arial" w:hAnsi="Arial" w:cs="Arial"/>
                <w:sz w:val="22"/>
                <w:szCs w:val="22"/>
              </w:rPr>
              <w:t>NUREG-1800, Revision 2, “Standard Review Plan for Review of License Renewal Applications for Nuclear Power Plans”</w:t>
            </w:r>
          </w:p>
        </w:tc>
        <w:tc>
          <w:tcPr>
            <w:tcW w:w="4680" w:type="dxa"/>
          </w:tcPr>
          <w:p w:rsidRPr="00377C58" w:rsidR="00B12E05" w:rsidP="00F57703" w:rsidRDefault="00F45331" w14:paraId="0A4EABFC" w14:textId="77777777">
            <w:pPr>
              <w:spacing w:line="0" w:lineRule="atLeast"/>
              <w:rPr>
                <w:rFonts w:ascii="Arial" w:hAnsi="Arial" w:cs="Arial"/>
                <w:sz w:val="22"/>
                <w:szCs w:val="22"/>
              </w:rPr>
            </w:pPr>
            <w:r>
              <w:rPr>
                <w:rFonts w:ascii="Arial" w:hAnsi="Arial" w:cs="Arial" w:eastAsiaTheme="minorHAnsi"/>
                <w:sz w:val="22"/>
                <w:szCs w:val="22"/>
              </w:rPr>
              <w:t>ML103490036</w:t>
            </w:r>
          </w:p>
        </w:tc>
      </w:tr>
      <w:tr w:rsidRPr="00377C58" w:rsidR="00B12E05" w:rsidTr="002D7D49" w14:paraId="58B10CCB" w14:textId="77777777">
        <w:tc>
          <w:tcPr>
            <w:tcW w:w="4670" w:type="dxa"/>
          </w:tcPr>
          <w:p w:rsidRPr="00F921F7" w:rsidR="00B12E05" w:rsidP="00F57703" w:rsidRDefault="009C774C" w14:paraId="3D017F7B" w14:textId="6C25B96A">
            <w:pPr>
              <w:spacing w:after="240"/>
              <w:rPr>
                <w:rFonts w:ascii="Arial" w:hAnsi="Arial" w:cs="Arial"/>
                <w:sz w:val="22"/>
                <w:szCs w:val="22"/>
              </w:rPr>
            </w:pPr>
            <w:r w:rsidRPr="00F921F7">
              <w:rPr>
                <w:rFonts w:ascii="Arial" w:hAnsi="Arial" w:cs="Arial"/>
                <w:sz w:val="22"/>
                <w:szCs w:val="22"/>
              </w:rPr>
              <w:t xml:space="preserve">NUREG-1801, </w:t>
            </w:r>
            <w:r w:rsidR="00F76E34">
              <w:rPr>
                <w:rFonts w:ascii="Arial" w:hAnsi="Arial" w:cs="Arial"/>
                <w:sz w:val="22"/>
                <w:szCs w:val="22"/>
              </w:rPr>
              <w:t xml:space="preserve">Revision 2 </w:t>
            </w:r>
            <w:r w:rsidRPr="00F921F7">
              <w:rPr>
                <w:rFonts w:ascii="Arial" w:hAnsi="Arial" w:cs="Arial"/>
                <w:sz w:val="22"/>
                <w:szCs w:val="22"/>
              </w:rPr>
              <w:t>“Generic Aging Lessons Learned (GALL)”</w:t>
            </w:r>
            <w:r w:rsidR="00F76E34">
              <w:rPr>
                <w:rFonts w:ascii="Arial" w:hAnsi="Arial" w:cs="Arial"/>
                <w:sz w:val="22"/>
                <w:szCs w:val="22"/>
              </w:rPr>
              <w:t xml:space="preserve"> Report</w:t>
            </w:r>
          </w:p>
        </w:tc>
        <w:tc>
          <w:tcPr>
            <w:tcW w:w="4680" w:type="dxa"/>
          </w:tcPr>
          <w:p w:rsidRPr="00377C58" w:rsidR="00B12E05" w:rsidP="00F57703" w:rsidRDefault="00F45331" w14:paraId="7D8454AB" w14:textId="77777777">
            <w:pPr>
              <w:spacing w:line="0" w:lineRule="atLeast"/>
              <w:rPr>
                <w:rFonts w:ascii="Arial" w:hAnsi="Arial" w:cs="Arial"/>
                <w:sz w:val="22"/>
                <w:szCs w:val="22"/>
              </w:rPr>
            </w:pPr>
            <w:r>
              <w:rPr>
                <w:rFonts w:ascii="Arial" w:hAnsi="Arial" w:cs="Arial" w:eastAsiaTheme="minorHAnsi"/>
                <w:sz w:val="22"/>
                <w:szCs w:val="22"/>
              </w:rPr>
              <w:t>ML103490041</w:t>
            </w:r>
          </w:p>
        </w:tc>
      </w:tr>
      <w:tr w:rsidRPr="00377C58" w:rsidR="00B12E05" w:rsidTr="002D7D49" w14:paraId="29086B84" w14:textId="77777777">
        <w:tc>
          <w:tcPr>
            <w:tcW w:w="4670" w:type="dxa"/>
          </w:tcPr>
          <w:p w:rsidRPr="00377C58" w:rsidR="00B12E05" w:rsidP="00F57703" w:rsidRDefault="00F921F7" w14:paraId="2C7481CD" w14:textId="77777777">
            <w:pPr>
              <w:spacing w:after="240"/>
              <w:rPr>
                <w:rFonts w:ascii="Arial" w:hAnsi="Arial" w:cs="Arial"/>
                <w:sz w:val="22"/>
                <w:szCs w:val="22"/>
              </w:rPr>
            </w:pPr>
            <w:r w:rsidRPr="00F921F7">
              <w:rPr>
                <w:rFonts w:ascii="Arial" w:hAnsi="Arial" w:cs="Arial"/>
                <w:sz w:val="22"/>
                <w:szCs w:val="22"/>
              </w:rPr>
              <w:t>NUREG</w:t>
            </w:r>
            <w:r>
              <w:rPr>
                <w:rFonts w:ascii="Arial" w:hAnsi="Arial" w:cs="Arial"/>
                <w:sz w:val="22"/>
                <w:szCs w:val="22"/>
              </w:rPr>
              <w:t>-</w:t>
            </w:r>
            <w:r w:rsidRPr="00F921F7">
              <w:rPr>
                <w:rFonts w:ascii="Arial" w:hAnsi="Arial" w:cs="Arial"/>
                <w:sz w:val="22"/>
                <w:szCs w:val="22"/>
              </w:rPr>
              <w:t xml:space="preserve">2191 </w:t>
            </w:r>
            <w:r w:rsidRPr="00F921F7">
              <w:rPr>
                <w:rFonts w:ascii="Arial" w:hAnsi="Arial" w:cs="Arial"/>
                <w:sz w:val="22"/>
                <w:szCs w:val="22"/>
                <w:lang w:val="en"/>
              </w:rPr>
              <w:t>Generic Aging Lessons Learned for Subsequent License Renewal (GALL-SLR) Report</w:t>
            </w:r>
            <w:r>
              <w:rPr>
                <w:rFonts w:ascii="Arial" w:hAnsi="Arial" w:cs="Arial"/>
                <w:sz w:val="22"/>
                <w:szCs w:val="22"/>
                <w:lang w:val="en"/>
              </w:rPr>
              <w:t xml:space="preserve"> Vol. 1 &amp; 2</w:t>
            </w:r>
          </w:p>
        </w:tc>
        <w:tc>
          <w:tcPr>
            <w:tcW w:w="4680" w:type="dxa"/>
          </w:tcPr>
          <w:p w:rsidR="00B12E05" w:rsidP="00F57703" w:rsidRDefault="00F921F7" w14:paraId="0CA45098" w14:textId="77777777">
            <w:pPr>
              <w:spacing w:line="0" w:lineRule="atLeast"/>
              <w:rPr>
                <w:rFonts w:ascii="Arial" w:hAnsi="Arial" w:cs="Arial"/>
                <w:sz w:val="22"/>
                <w:szCs w:val="22"/>
                <w:lang w:val="en"/>
              </w:rPr>
            </w:pPr>
            <w:r w:rsidRPr="00F921F7">
              <w:rPr>
                <w:rFonts w:ascii="Arial" w:hAnsi="Arial" w:cs="Arial"/>
                <w:sz w:val="22"/>
                <w:szCs w:val="22"/>
                <w:lang w:val="en"/>
              </w:rPr>
              <w:t>Vol. 1 ML17187A031</w:t>
            </w:r>
          </w:p>
          <w:p w:rsidRPr="00F921F7" w:rsidR="00F921F7" w:rsidP="00F57703" w:rsidRDefault="00F921F7" w14:paraId="16B496C3" w14:textId="77777777">
            <w:pPr>
              <w:spacing w:line="0" w:lineRule="atLeast"/>
              <w:rPr>
                <w:rFonts w:ascii="Arial" w:hAnsi="Arial" w:cs="Arial"/>
                <w:sz w:val="22"/>
                <w:szCs w:val="22"/>
              </w:rPr>
            </w:pPr>
            <w:r>
              <w:rPr>
                <w:rFonts w:ascii="Arial" w:hAnsi="Arial" w:cs="Arial"/>
                <w:sz w:val="22"/>
                <w:szCs w:val="22"/>
                <w:lang w:val="en"/>
              </w:rPr>
              <w:t>Vol. 2 ML17187A204</w:t>
            </w:r>
          </w:p>
        </w:tc>
      </w:tr>
      <w:tr w:rsidRPr="00377C58" w:rsidR="00F76E34" w:rsidTr="002D7D49" w14:paraId="6FB71175" w14:textId="77777777">
        <w:tc>
          <w:tcPr>
            <w:tcW w:w="4670" w:type="dxa"/>
          </w:tcPr>
          <w:p w:rsidRPr="00F921F7" w:rsidR="00F76E34" w:rsidP="00F57703" w:rsidRDefault="00F76E34" w14:paraId="205BF865" w14:textId="195F14EE">
            <w:pPr>
              <w:spacing w:after="240"/>
              <w:rPr>
                <w:rFonts w:ascii="Arial" w:hAnsi="Arial" w:cs="Arial"/>
                <w:sz w:val="22"/>
                <w:szCs w:val="22"/>
              </w:rPr>
            </w:pPr>
            <w:r w:rsidRPr="00F921F7">
              <w:rPr>
                <w:rFonts w:ascii="Arial" w:hAnsi="Arial" w:cs="Arial"/>
                <w:sz w:val="22"/>
                <w:szCs w:val="22"/>
              </w:rPr>
              <w:t>NUREG</w:t>
            </w:r>
            <w:r>
              <w:rPr>
                <w:rFonts w:ascii="Arial" w:hAnsi="Arial" w:cs="Arial"/>
                <w:sz w:val="22"/>
                <w:szCs w:val="22"/>
                <w:lang w:val="en"/>
              </w:rPr>
              <w:t xml:space="preserve">-2192 </w:t>
            </w:r>
            <w:r w:rsidRPr="00F921F7">
              <w:rPr>
                <w:rFonts w:ascii="Arial" w:hAnsi="Arial" w:cs="Arial"/>
                <w:sz w:val="22"/>
                <w:szCs w:val="22"/>
                <w:lang w:val="en"/>
              </w:rPr>
              <w:t>Standard Review Plan for Review of Subsequent License Renewal Applications for Nuclear Power Plant</w:t>
            </w:r>
            <w:r>
              <w:rPr>
                <w:rFonts w:ascii="Arial" w:hAnsi="Arial" w:cs="Arial"/>
                <w:sz w:val="22"/>
                <w:szCs w:val="22"/>
                <w:lang w:val="en"/>
              </w:rPr>
              <w:t>s</w:t>
            </w:r>
          </w:p>
        </w:tc>
        <w:tc>
          <w:tcPr>
            <w:tcW w:w="4680" w:type="dxa"/>
          </w:tcPr>
          <w:p w:rsidRPr="00F921F7" w:rsidR="00F76E34" w:rsidP="00F57703" w:rsidRDefault="00F76E34" w14:paraId="03550540" w14:textId="6FB29C2A">
            <w:pPr>
              <w:spacing w:line="0" w:lineRule="atLeast"/>
              <w:rPr>
                <w:rFonts w:ascii="Arial" w:hAnsi="Arial" w:cs="Arial"/>
                <w:sz w:val="22"/>
                <w:szCs w:val="22"/>
                <w:lang w:val="en"/>
              </w:rPr>
            </w:pPr>
            <w:r w:rsidRPr="009C774C">
              <w:rPr>
                <w:rFonts w:ascii="Arial" w:hAnsi="Arial" w:cs="Arial"/>
                <w:sz w:val="22"/>
                <w:szCs w:val="22"/>
              </w:rPr>
              <w:t>ML17188A158</w:t>
            </w:r>
          </w:p>
        </w:tc>
      </w:tr>
    </w:tbl>
    <w:p w:rsidR="00B12E05" w:rsidP="00CC6ED2" w:rsidRDefault="00B12E05" w14:paraId="43117507" w14:textId="77777777"/>
    <w:sectPr w:rsidR="00B12E05" w:rsidSect="008414CB">
      <w:headerReference w:type="default" r:id="rId8"/>
      <w:footerReference w:type="even" r:id="rId9"/>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2F09B" w14:textId="77777777" w:rsidR="00935959" w:rsidRDefault="00935959" w:rsidP="004E6350">
      <w:r>
        <w:separator/>
      </w:r>
    </w:p>
  </w:endnote>
  <w:endnote w:type="continuationSeparator" w:id="0">
    <w:p w14:paraId="6E362F24" w14:textId="77777777" w:rsidR="00935959" w:rsidRDefault="00935959" w:rsidP="004E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F666" w14:textId="77777777" w:rsidR="00D97C6D" w:rsidRDefault="00D97C6D" w:rsidP="000041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5C8EAF" w14:textId="77777777" w:rsidR="00D97C6D" w:rsidRDefault="00D97C6D" w:rsidP="000041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5ED8F" w14:textId="77777777" w:rsidR="00D97C6D" w:rsidRDefault="00D97C6D" w:rsidP="000041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C86DA" w14:textId="77777777" w:rsidR="00935959" w:rsidRDefault="00935959" w:rsidP="004E6350">
      <w:r>
        <w:separator/>
      </w:r>
    </w:p>
  </w:footnote>
  <w:footnote w:type="continuationSeparator" w:id="0">
    <w:p w14:paraId="25980E75" w14:textId="77777777" w:rsidR="00935959" w:rsidRDefault="00935959" w:rsidP="004E6350">
      <w:r>
        <w:continuationSeparator/>
      </w:r>
    </w:p>
  </w:footnote>
  <w:footnote w:id="1">
    <w:p w14:paraId="4A5A70DE" w14:textId="59836BAA" w:rsidR="00D97C6D" w:rsidRDefault="00D97C6D">
      <w:pPr>
        <w:pStyle w:val="FootnoteText"/>
      </w:pPr>
      <w:r>
        <w:rPr>
          <w:rStyle w:val="FootnoteReference"/>
        </w:rPr>
        <w:footnoteRef/>
      </w:r>
      <w:r>
        <w:t xml:space="preserve"> </w:t>
      </w:r>
      <w:hyperlink r:id="rId1" w:history="1">
        <w:r w:rsidRPr="005213C7">
          <w:rPr>
            <w:rStyle w:val="Hyperlink"/>
          </w:rPr>
          <w:t>http://www.nrc.gov/site-help/electronic-sub-ref-mat.html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CBBE8" w14:textId="0FC1057F" w:rsidR="00D97C6D" w:rsidRPr="00AC19ED" w:rsidRDefault="00D97C6D" w:rsidP="008414CB">
    <w:pPr>
      <w:jc w:val="center"/>
      <w:rPr>
        <w:rFonts w:ascii="Arial" w:hAnsi="Arial" w:cs="Arial"/>
        <w:sz w:val="22"/>
        <w:szCs w:val="22"/>
      </w:rPr>
    </w:pPr>
    <w:r>
      <w:rPr>
        <w:rFonts w:ascii="Arial" w:hAnsi="Arial" w:cs="Arial"/>
        <w:sz w:val="22"/>
        <w:szCs w:val="22"/>
      </w:rPr>
      <w:t xml:space="preserve">- </w:t>
    </w:r>
    <w:r w:rsidRPr="00AC19ED">
      <w:rPr>
        <w:rFonts w:ascii="Arial" w:hAnsi="Arial" w:cs="Arial"/>
        <w:sz w:val="22"/>
        <w:szCs w:val="22"/>
      </w:rPr>
      <w:fldChar w:fldCharType="begin"/>
    </w:r>
    <w:r w:rsidRPr="00AC19ED">
      <w:rPr>
        <w:rFonts w:ascii="Arial" w:hAnsi="Arial" w:cs="Arial"/>
        <w:sz w:val="22"/>
        <w:szCs w:val="22"/>
      </w:rPr>
      <w:instrText xml:space="preserve"> PAGE   \* MERGEFORMAT </w:instrText>
    </w:r>
    <w:r w:rsidRPr="00AC19ED">
      <w:rPr>
        <w:rFonts w:ascii="Arial" w:hAnsi="Arial" w:cs="Arial"/>
        <w:sz w:val="22"/>
        <w:szCs w:val="22"/>
      </w:rPr>
      <w:fldChar w:fldCharType="separate"/>
    </w:r>
    <w:r w:rsidRPr="00AC19ED">
      <w:rPr>
        <w:rFonts w:ascii="Arial" w:hAnsi="Arial" w:cs="Arial"/>
        <w:noProof/>
        <w:sz w:val="22"/>
        <w:szCs w:val="22"/>
      </w:rPr>
      <w:t>1</w:t>
    </w:r>
    <w:r w:rsidRPr="00AC19ED">
      <w:rPr>
        <w:rFonts w:ascii="Arial" w:hAnsi="Arial" w:cs="Arial"/>
        <w:noProof/>
        <w:sz w:val="22"/>
        <w:szCs w:val="22"/>
      </w:rPr>
      <w:fldChar w:fldCharType="end"/>
    </w:r>
    <w:r>
      <w:rPr>
        <w:rFonts w:ascii="Arial" w:hAnsi="Arial" w:cs="Arial"/>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1B92"/>
    <w:multiLevelType w:val="hybridMultilevel"/>
    <w:tmpl w:val="DF3CA4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036BCA"/>
    <w:multiLevelType w:val="hybridMultilevel"/>
    <w:tmpl w:val="F2B4646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C360C71"/>
    <w:multiLevelType w:val="hybridMultilevel"/>
    <w:tmpl w:val="77E29C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E0C3838"/>
    <w:multiLevelType w:val="hybridMultilevel"/>
    <w:tmpl w:val="D71274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EC26AAC"/>
    <w:multiLevelType w:val="hybridMultilevel"/>
    <w:tmpl w:val="4BAA51E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4C2B57D6"/>
    <w:multiLevelType w:val="hybridMultilevel"/>
    <w:tmpl w:val="F24CF4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8587DE7"/>
    <w:multiLevelType w:val="hybridMultilevel"/>
    <w:tmpl w:val="231E8C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70C50FD4"/>
    <w:multiLevelType w:val="hybridMultilevel"/>
    <w:tmpl w:val="1D3CE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4263670"/>
    <w:multiLevelType w:val="hybridMultilevel"/>
    <w:tmpl w:val="CE0C4E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7B81F31"/>
    <w:multiLevelType w:val="hybridMultilevel"/>
    <w:tmpl w:val="4C0E2D24"/>
    <w:lvl w:ilvl="0" w:tplc="74E613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00A89"/>
    <w:multiLevelType w:val="hybridMultilevel"/>
    <w:tmpl w:val="9DBCA5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6"/>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3"/>
  </w:num>
  <w:num w:numId="13">
    <w:abstractNumId w:val="10"/>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50"/>
    <w:rsid w:val="00003C9A"/>
    <w:rsid w:val="000041F4"/>
    <w:rsid w:val="00011EA0"/>
    <w:rsid w:val="00013C5F"/>
    <w:rsid w:val="0001637A"/>
    <w:rsid w:val="00017B8C"/>
    <w:rsid w:val="00020974"/>
    <w:rsid w:val="0002194B"/>
    <w:rsid w:val="00021D3D"/>
    <w:rsid w:val="000224CD"/>
    <w:rsid w:val="00031378"/>
    <w:rsid w:val="000320B0"/>
    <w:rsid w:val="0003461C"/>
    <w:rsid w:val="000476C6"/>
    <w:rsid w:val="00051BBE"/>
    <w:rsid w:val="00051E81"/>
    <w:rsid w:val="00053040"/>
    <w:rsid w:val="0005605C"/>
    <w:rsid w:val="0005648C"/>
    <w:rsid w:val="0005653A"/>
    <w:rsid w:val="00062D8E"/>
    <w:rsid w:val="00064E79"/>
    <w:rsid w:val="000654EE"/>
    <w:rsid w:val="00067A61"/>
    <w:rsid w:val="0007345C"/>
    <w:rsid w:val="000762D5"/>
    <w:rsid w:val="0008511E"/>
    <w:rsid w:val="00087725"/>
    <w:rsid w:val="00087D62"/>
    <w:rsid w:val="000915A1"/>
    <w:rsid w:val="00092EB7"/>
    <w:rsid w:val="00093FD1"/>
    <w:rsid w:val="00094BCB"/>
    <w:rsid w:val="00094C6C"/>
    <w:rsid w:val="000979D2"/>
    <w:rsid w:val="000A1345"/>
    <w:rsid w:val="000A2BE4"/>
    <w:rsid w:val="000A34BB"/>
    <w:rsid w:val="000A3792"/>
    <w:rsid w:val="000A6D06"/>
    <w:rsid w:val="000B35B7"/>
    <w:rsid w:val="000C0F5E"/>
    <w:rsid w:val="000C3160"/>
    <w:rsid w:val="000C401B"/>
    <w:rsid w:val="000C41F2"/>
    <w:rsid w:val="000C4BE2"/>
    <w:rsid w:val="000C5336"/>
    <w:rsid w:val="000D1853"/>
    <w:rsid w:val="000E0F11"/>
    <w:rsid w:val="000E29D2"/>
    <w:rsid w:val="000E39AC"/>
    <w:rsid w:val="000E63B4"/>
    <w:rsid w:val="000F389D"/>
    <w:rsid w:val="000F3BB2"/>
    <w:rsid w:val="000F513E"/>
    <w:rsid w:val="000F641E"/>
    <w:rsid w:val="00103097"/>
    <w:rsid w:val="00104384"/>
    <w:rsid w:val="00105BDB"/>
    <w:rsid w:val="0010658D"/>
    <w:rsid w:val="00112B92"/>
    <w:rsid w:val="00114210"/>
    <w:rsid w:val="00117FE4"/>
    <w:rsid w:val="001217DD"/>
    <w:rsid w:val="00123C89"/>
    <w:rsid w:val="00145C13"/>
    <w:rsid w:val="001473BB"/>
    <w:rsid w:val="00150D8C"/>
    <w:rsid w:val="00151C2F"/>
    <w:rsid w:val="00152DE1"/>
    <w:rsid w:val="00153512"/>
    <w:rsid w:val="0015373C"/>
    <w:rsid w:val="00153772"/>
    <w:rsid w:val="0015397D"/>
    <w:rsid w:val="00156D87"/>
    <w:rsid w:val="00161D34"/>
    <w:rsid w:val="00162949"/>
    <w:rsid w:val="00167171"/>
    <w:rsid w:val="00167A53"/>
    <w:rsid w:val="00170260"/>
    <w:rsid w:val="00171C91"/>
    <w:rsid w:val="001751B0"/>
    <w:rsid w:val="00175A9A"/>
    <w:rsid w:val="0017665A"/>
    <w:rsid w:val="00176DAB"/>
    <w:rsid w:val="001773CD"/>
    <w:rsid w:val="0018286B"/>
    <w:rsid w:val="001842FB"/>
    <w:rsid w:val="00184699"/>
    <w:rsid w:val="00184BFB"/>
    <w:rsid w:val="00184F4B"/>
    <w:rsid w:val="00186250"/>
    <w:rsid w:val="00186D10"/>
    <w:rsid w:val="0019073C"/>
    <w:rsid w:val="00197400"/>
    <w:rsid w:val="00197C98"/>
    <w:rsid w:val="001A1B23"/>
    <w:rsid w:val="001A1FE0"/>
    <w:rsid w:val="001A4E7A"/>
    <w:rsid w:val="001A5698"/>
    <w:rsid w:val="001B0775"/>
    <w:rsid w:val="001B18DE"/>
    <w:rsid w:val="001B552E"/>
    <w:rsid w:val="001B79D0"/>
    <w:rsid w:val="001C0625"/>
    <w:rsid w:val="001C09BC"/>
    <w:rsid w:val="001C241B"/>
    <w:rsid w:val="001C4332"/>
    <w:rsid w:val="001D01DE"/>
    <w:rsid w:val="001D3DEF"/>
    <w:rsid w:val="001D3F4B"/>
    <w:rsid w:val="001D4AFD"/>
    <w:rsid w:val="001D4D96"/>
    <w:rsid w:val="001E036E"/>
    <w:rsid w:val="001E419C"/>
    <w:rsid w:val="001E4442"/>
    <w:rsid w:val="001F0D7B"/>
    <w:rsid w:val="001F0E41"/>
    <w:rsid w:val="001F3C4D"/>
    <w:rsid w:val="001F45B5"/>
    <w:rsid w:val="001F49BB"/>
    <w:rsid w:val="0020132B"/>
    <w:rsid w:val="002024D2"/>
    <w:rsid w:val="0020415E"/>
    <w:rsid w:val="0020466E"/>
    <w:rsid w:val="00204A85"/>
    <w:rsid w:val="00205E43"/>
    <w:rsid w:val="00211E38"/>
    <w:rsid w:val="002120BC"/>
    <w:rsid w:val="0021509C"/>
    <w:rsid w:val="00215FF2"/>
    <w:rsid w:val="00217CAA"/>
    <w:rsid w:val="0022303B"/>
    <w:rsid w:val="0022333A"/>
    <w:rsid w:val="002317AD"/>
    <w:rsid w:val="00232807"/>
    <w:rsid w:val="00242F5E"/>
    <w:rsid w:val="00255E00"/>
    <w:rsid w:val="00262BB8"/>
    <w:rsid w:val="0026486D"/>
    <w:rsid w:val="002664A6"/>
    <w:rsid w:val="002664B6"/>
    <w:rsid w:val="00267776"/>
    <w:rsid w:val="00270AA8"/>
    <w:rsid w:val="00272479"/>
    <w:rsid w:val="002749BD"/>
    <w:rsid w:val="00276DB6"/>
    <w:rsid w:val="0028659B"/>
    <w:rsid w:val="002938F0"/>
    <w:rsid w:val="00293DBB"/>
    <w:rsid w:val="002A017D"/>
    <w:rsid w:val="002A1944"/>
    <w:rsid w:val="002A46F7"/>
    <w:rsid w:val="002B1659"/>
    <w:rsid w:val="002B3A8B"/>
    <w:rsid w:val="002B6B69"/>
    <w:rsid w:val="002C4B24"/>
    <w:rsid w:val="002C56E5"/>
    <w:rsid w:val="002C6001"/>
    <w:rsid w:val="002D7D49"/>
    <w:rsid w:val="002E01E5"/>
    <w:rsid w:val="002E20F7"/>
    <w:rsid w:val="002E3065"/>
    <w:rsid w:val="002E444C"/>
    <w:rsid w:val="002F113B"/>
    <w:rsid w:val="002F392A"/>
    <w:rsid w:val="002F4FB9"/>
    <w:rsid w:val="002F5977"/>
    <w:rsid w:val="002F5C72"/>
    <w:rsid w:val="003067FF"/>
    <w:rsid w:val="00306E31"/>
    <w:rsid w:val="00310670"/>
    <w:rsid w:val="00311EDA"/>
    <w:rsid w:val="003151BA"/>
    <w:rsid w:val="003162B1"/>
    <w:rsid w:val="00325637"/>
    <w:rsid w:val="003267A0"/>
    <w:rsid w:val="003304B1"/>
    <w:rsid w:val="00330EAB"/>
    <w:rsid w:val="00334446"/>
    <w:rsid w:val="00336FD6"/>
    <w:rsid w:val="00337F62"/>
    <w:rsid w:val="00343437"/>
    <w:rsid w:val="003442F0"/>
    <w:rsid w:val="00347BDF"/>
    <w:rsid w:val="00356595"/>
    <w:rsid w:val="00357023"/>
    <w:rsid w:val="0035756E"/>
    <w:rsid w:val="0036228D"/>
    <w:rsid w:val="00362DF0"/>
    <w:rsid w:val="00364C43"/>
    <w:rsid w:val="003656F2"/>
    <w:rsid w:val="00366AD0"/>
    <w:rsid w:val="00367B50"/>
    <w:rsid w:val="00372E13"/>
    <w:rsid w:val="0038157E"/>
    <w:rsid w:val="003855A3"/>
    <w:rsid w:val="00387E0C"/>
    <w:rsid w:val="00391E56"/>
    <w:rsid w:val="00394524"/>
    <w:rsid w:val="0039630B"/>
    <w:rsid w:val="00396468"/>
    <w:rsid w:val="003965FD"/>
    <w:rsid w:val="00397CCF"/>
    <w:rsid w:val="003A10C7"/>
    <w:rsid w:val="003A7E25"/>
    <w:rsid w:val="003B01B9"/>
    <w:rsid w:val="003C0C93"/>
    <w:rsid w:val="003C511F"/>
    <w:rsid w:val="003C69F9"/>
    <w:rsid w:val="003C76B4"/>
    <w:rsid w:val="003C7BF7"/>
    <w:rsid w:val="003D0652"/>
    <w:rsid w:val="003D082F"/>
    <w:rsid w:val="003D3FFB"/>
    <w:rsid w:val="003D73B8"/>
    <w:rsid w:val="003E2B55"/>
    <w:rsid w:val="003E3252"/>
    <w:rsid w:val="003F3DEC"/>
    <w:rsid w:val="003F7D30"/>
    <w:rsid w:val="00400EB9"/>
    <w:rsid w:val="004014ED"/>
    <w:rsid w:val="00410AE3"/>
    <w:rsid w:val="00411853"/>
    <w:rsid w:val="00412240"/>
    <w:rsid w:val="00412A52"/>
    <w:rsid w:val="004157A4"/>
    <w:rsid w:val="0041622E"/>
    <w:rsid w:val="00416C92"/>
    <w:rsid w:val="0042084B"/>
    <w:rsid w:val="004225C7"/>
    <w:rsid w:val="00424EEE"/>
    <w:rsid w:val="00430E86"/>
    <w:rsid w:val="00432C01"/>
    <w:rsid w:val="004349B1"/>
    <w:rsid w:val="00435099"/>
    <w:rsid w:val="004407E3"/>
    <w:rsid w:val="0044667E"/>
    <w:rsid w:val="00446E17"/>
    <w:rsid w:val="00450694"/>
    <w:rsid w:val="00456F43"/>
    <w:rsid w:val="00461DD4"/>
    <w:rsid w:val="0046626F"/>
    <w:rsid w:val="00470107"/>
    <w:rsid w:val="00475163"/>
    <w:rsid w:val="004805F4"/>
    <w:rsid w:val="004811A2"/>
    <w:rsid w:val="00481DAC"/>
    <w:rsid w:val="0048441E"/>
    <w:rsid w:val="0048750A"/>
    <w:rsid w:val="0049130B"/>
    <w:rsid w:val="004A14AD"/>
    <w:rsid w:val="004A1630"/>
    <w:rsid w:val="004B0AF8"/>
    <w:rsid w:val="004B0D6A"/>
    <w:rsid w:val="004B1510"/>
    <w:rsid w:val="004B29C8"/>
    <w:rsid w:val="004B39B4"/>
    <w:rsid w:val="004B4995"/>
    <w:rsid w:val="004B5AD1"/>
    <w:rsid w:val="004B6232"/>
    <w:rsid w:val="004C446E"/>
    <w:rsid w:val="004C4E38"/>
    <w:rsid w:val="004C7AC7"/>
    <w:rsid w:val="004D0569"/>
    <w:rsid w:val="004D0CAC"/>
    <w:rsid w:val="004D0FCA"/>
    <w:rsid w:val="004D1AC5"/>
    <w:rsid w:val="004D6A9E"/>
    <w:rsid w:val="004E08A9"/>
    <w:rsid w:val="004E483B"/>
    <w:rsid w:val="004E4FA9"/>
    <w:rsid w:val="004E6350"/>
    <w:rsid w:val="004E6698"/>
    <w:rsid w:val="004F08D1"/>
    <w:rsid w:val="004F29BE"/>
    <w:rsid w:val="004F4873"/>
    <w:rsid w:val="004F70D2"/>
    <w:rsid w:val="004F7890"/>
    <w:rsid w:val="004F7D88"/>
    <w:rsid w:val="00500836"/>
    <w:rsid w:val="0050230D"/>
    <w:rsid w:val="005032F4"/>
    <w:rsid w:val="00503763"/>
    <w:rsid w:val="00510C60"/>
    <w:rsid w:val="00511AEA"/>
    <w:rsid w:val="00514B5F"/>
    <w:rsid w:val="0051558B"/>
    <w:rsid w:val="005160FC"/>
    <w:rsid w:val="00517351"/>
    <w:rsid w:val="005208ED"/>
    <w:rsid w:val="00530386"/>
    <w:rsid w:val="00531F0A"/>
    <w:rsid w:val="00532932"/>
    <w:rsid w:val="005330D0"/>
    <w:rsid w:val="00533966"/>
    <w:rsid w:val="005352A9"/>
    <w:rsid w:val="00540A95"/>
    <w:rsid w:val="00547E31"/>
    <w:rsid w:val="005502F8"/>
    <w:rsid w:val="005504F9"/>
    <w:rsid w:val="0055323B"/>
    <w:rsid w:val="005556B3"/>
    <w:rsid w:val="00561510"/>
    <w:rsid w:val="00562B9F"/>
    <w:rsid w:val="0056465D"/>
    <w:rsid w:val="005664A7"/>
    <w:rsid w:val="00570B50"/>
    <w:rsid w:val="005716C0"/>
    <w:rsid w:val="00575890"/>
    <w:rsid w:val="005802D1"/>
    <w:rsid w:val="00581991"/>
    <w:rsid w:val="0058556D"/>
    <w:rsid w:val="00587A03"/>
    <w:rsid w:val="0059749D"/>
    <w:rsid w:val="00597F98"/>
    <w:rsid w:val="005A0A7B"/>
    <w:rsid w:val="005A2746"/>
    <w:rsid w:val="005A5047"/>
    <w:rsid w:val="005A7265"/>
    <w:rsid w:val="005B27B3"/>
    <w:rsid w:val="005B2E97"/>
    <w:rsid w:val="005B4A1F"/>
    <w:rsid w:val="005B7AF2"/>
    <w:rsid w:val="005C01EA"/>
    <w:rsid w:val="005C02A2"/>
    <w:rsid w:val="005C0A27"/>
    <w:rsid w:val="005C2657"/>
    <w:rsid w:val="005C26F2"/>
    <w:rsid w:val="005C5D9F"/>
    <w:rsid w:val="005C68C0"/>
    <w:rsid w:val="005C7E40"/>
    <w:rsid w:val="005D15F8"/>
    <w:rsid w:val="005D16A2"/>
    <w:rsid w:val="005D279E"/>
    <w:rsid w:val="005D58B0"/>
    <w:rsid w:val="005D70DC"/>
    <w:rsid w:val="005E3123"/>
    <w:rsid w:val="005E726C"/>
    <w:rsid w:val="005F293E"/>
    <w:rsid w:val="005F3205"/>
    <w:rsid w:val="006004FA"/>
    <w:rsid w:val="00600A62"/>
    <w:rsid w:val="0060306E"/>
    <w:rsid w:val="006037EE"/>
    <w:rsid w:val="00604A96"/>
    <w:rsid w:val="00610C2B"/>
    <w:rsid w:val="00615F38"/>
    <w:rsid w:val="00617AA0"/>
    <w:rsid w:val="00620FE3"/>
    <w:rsid w:val="00623903"/>
    <w:rsid w:val="006256FB"/>
    <w:rsid w:val="00625DED"/>
    <w:rsid w:val="00630C41"/>
    <w:rsid w:val="006310DA"/>
    <w:rsid w:val="00631E5E"/>
    <w:rsid w:val="00632C12"/>
    <w:rsid w:val="00635BFA"/>
    <w:rsid w:val="00637070"/>
    <w:rsid w:val="00646435"/>
    <w:rsid w:val="00646E84"/>
    <w:rsid w:val="0064735B"/>
    <w:rsid w:val="00650139"/>
    <w:rsid w:val="006502D1"/>
    <w:rsid w:val="0065232C"/>
    <w:rsid w:val="00652B8C"/>
    <w:rsid w:val="00653170"/>
    <w:rsid w:val="00660D97"/>
    <w:rsid w:val="00663BFF"/>
    <w:rsid w:val="006659C5"/>
    <w:rsid w:val="0066651F"/>
    <w:rsid w:val="00670108"/>
    <w:rsid w:val="006702C6"/>
    <w:rsid w:val="00673D80"/>
    <w:rsid w:val="0067489A"/>
    <w:rsid w:val="006821DF"/>
    <w:rsid w:val="006844DC"/>
    <w:rsid w:val="00684CE7"/>
    <w:rsid w:val="00685940"/>
    <w:rsid w:val="00686A30"/>
    <w:rsid w:val="00687ED5"/>
    <w:rsid w:val="00690DF0"/>
    <w:rsid w:val="00690DF6"/>
    <w:rsid w:val="00690EF4"/>
    <w:rsid w:val="006920A6"/>
    <w:rsid w:val="00695F10"/>
    <w:rsid w:val="006B1C77"/>
    <w:rsid w:val="006B34FF"/>
    <w:rsid w:val="006B385F"/>
    <w:rsid w:val="006B7645"/>
    <w:rsid w:val="006B7A38"/>
    <w:rsid w:val="006C50B4"/>
    <w:rsid w:val="006C5F28"/>
    <w:rsid w:val="006C64DE"/>
    <w:rsid w:val="006C6A88"/>
    <w:rsid w:val="006C7492"/>
    <w:rsid w:val="006D1D04"/>
    <w:rsid w:val="006D32FC"/>
    <w:rsid w:val="006D4146"/>
    <w:rsid w:val="006D59D1"/>
    <w:rsid w:val="006D6465"/>
    <w:rsid w:val="006D78B5"/>
    <w:rsid w:val="006E3991"/>
    <w:rsid w:val="006E475A"/>
    <w:rsid w:val="006E5FBB"/>
    <w:rsid w:val="006E68CC"/>
    <w:rsid w:val="006F05E4"/>
    <w:rsid w:val="006F44A1"/>
    <w:rsid w:val="006F5614"/>
    <w:rsid w:val="006F7DB6"/>
    <w:rsid w:val="00704A82"/>
    <w:rsid w:val="0071240F"/>
    <w:rsid w:val="007127E2"/>
    <w:rsid w:val="007128ED"/>
    <w:rsid w:val="00713583"/>
    <w:rsid w:val="00715EF5"/>
    <w:rsid w:val="00716140"/>
    <w:rsid w:val="00720E71"/>
    <w:rsid w:val="007233F2"/>
    <w:rsid w:val="007261AB"/>
    <w:rsid w:val="0072767D"/>
    <w:rsid w:val="0072784E"/>
    <w:rsid w:val="0073037F"/>
    <w:rsid w:val="007316D6"/>
    <w:rsid w:val="00732A61"/>
    <w:rsid w:val="00736B05"/>
    <w:rsid w:val="00742871"/>
    <w:rsid w:val="0074778B"/>
    <w:rsid w:val="00747C3F"/>
    <w:rsid w:val="007506A7"/>
    <w:rsid w:val="00752377"/>
    <w:rsid w:val="007539F7"/>
    <w:rsid w:val="007556B6"/>
    <w:rsid w:val="00755E4F"/>
    <w:rsid w:val="00756BF6"/>
    <w:rsid w:val="00764688"/>
    <w:rsid w:val="00765B73"/>
    <w:rsid w:val="00766669"/>
    <w:rsid w:val="00767184"/>
    <w:rsid w:val="00771240"/>
    <w:rsid w:val="00771D32"/>
    <w:rsid w:val="00773007"/>
    <w:rsid w:val="0077661D"/>
    <w:rsid w:val="007852EC"/>
    <w:rsid w:val="007904CE"/>
    <w:rsid w:val="00791C0C"/>
    <w:rsid w:val="00792C2E"/>
    <w:rsid w:val="007957EE"/>
    <w:rsid w:val="00795B53"/>
    <w:rsid w:val="00796B70"/>
    <w:rsid w:val="00796BDB"/>
    <w:rsid w:val="007A3E0E"/>
    <w:rsid w:val="007A40A0"/>
    <w:rsid w:val="007A72F7"/>
    <w:rsid w:val="007A7E9B"/>
    <w:rsid w:val="007B0C54"/>
    <w:rsid w:val="007B251F"/>
    <w:rsid w:val="007C0423"/>
    <w:rsid w:val="007C0782"/>
    <w:rsid w:val="007C2123"/>
    <w:rsid w:val="007C55DB"/>
    <w:rsid w:val="007C55DC"/>
    <w:rsid w:val="007C659C"/>
    <w:rsid w:val="007C6D89"/>
    <w:rsid w:val="007D04C9"/>
    <w:rsid w:val="007D2619"/>
    <w:rsid w:val="007D5495"/>
    <w:rsid w:val="007D6421"/>
    <w:rsid w:val="007D74DC"/>
    <w:rsid w:val="007E024D"/>
    <w:rsid w:val="007E3B63"/>
    <w:rsid w:val="007E4BFE"/>
    <w:rsid w:val="007F03AD"/>
    <w:rsid w:val="007F06B8"/>
    <w:rsid w:val="007F0FD4"/>
    <w:rsid w:val="007F33CB"/>
    <w:rsid w:val="007F42C5"/>
    <w:rsid w:val="007F5917"/>
    <w:rsid w:val="007F65BE"/>
    <w:rsid w:val="008000CC"/>
    <w:rsid w:val="00800A0F"/>
    <w:rsid w:val="008023D2"/>
    <w:rsid w:val="0080298F"/>
    <w:rsid w:val="00802F7A"/>
    <w:rsid w:val="00805A26"/>
    <w:rsid w:val="00805F63"/>
    <w:rsid w:val="008075CC"/>
    <w:rsid w:val="00807DB9"/>
    <w:rsid w:val="00812C04"/>
    <w:rsid w:val="00817950"/>
    <w:rsid w:val="00823E34"/>
    <w:rsid w:val="00824F26"/>
    <w:rsid w:val="00826590"/>
    <w:rsid w:val="0083188D"/>
    <w:rsid w:val="00840D6B"/>
    <w:rsid w:val="008414CB"/>
    <w:rsid w:val="00843F97"/>
    <w:rsid w:val="00844319"/>
    <w:rsid w:val="00844E69"/>
    <w:rsid w:val="00851016"/>
    <w:rsid w:val="00851BD6"/>
    <w:rsid w:val="00852E00"/>
    <w:rsid w:val="00853454"/>
    <w:rsid w:val="0086286D"/>
    <w:rsid w:val="00864642"/>
    <w:rsid w:val="0086657B"/>
    <w:rsid w:val="008670D3"/>
    <w:rsid w:val="008716F1"/>
    <w:rsid w:val="00876DE2"/>
    <w:rsid w:val="008838FD"/>
    <w:rsid w:val="00884872"/>
    <w:rsid w:val="0088511C"/>
    <w:rsid w:val="00885797"/>
    <w:rsid w:val="00885F4D"/>
    <w:rsid w:val="008A0990"/>
    <w:rsid w:val="008A2F11"/>
    <w:rsid w:val="008A39E8"/>
    <w:rsid w:val="008B5518"/>
    <w:rsid w:val="008B656F"/>
    <w:rsid w:val="008B65A6"/>
    <w:rsid w:val="008C07CB"/>
    <w:rsid w:val="008C2637"/>
    <w:rsid w:val="008C441A"/>
    <w:rsid w:val="008C4EB4"/>
    <w:rsid w:val="008D2571"/>
    <w:rsid w:val="008D32BA"/>
    <w:rsid w:val="008D37E4"/>
    <w:rsid w:val="008D3A24"/>
    <w:rsid w:val="008D55B5"/>
    <w:rsid w:val="008D57DF"/>
    <w:rsid w:val="008D5D01"/>
    <w:rsid w:val="008D6A40"/>
    <w:rsid w:val="008D718E"/>
    <w:rsid w:val="008D7ACC"/>
    <w:rsid w:val="008D7F98"/>
    <w:rsid w:val="008E2AFA"/>
    <w:rsid w:val="008E31C4"/>
    <w:rsid w:val="008E347B"/>
    <w:rsid w:val="008E43D1"/>
    <w:rsid w:val="008E7093"/>
    <w:rsid w:val="008E7922"/>
    <w:rsid w:val="008F04F8"/>
    <w:rsid w:val="008F182F"/>
    <w:rsid w:val="008F2A4C"/>
    <w:rsid w:val="008F334A"/>
    <w:rsid w:val="008F416B"/>
    <w:rsid w:val="008F4ED1"/>
    <w:rsid w:val="008F6357"/>
    <w:rsid w:val="008F6D02"/>
    <w:rsid w:val="008F76F5"/>
    <w:rsid w:val="00901D9E"/>
    <w:rsid w:val="0090398F"/>
    <w:rsid w:val="00904D8D"/>
    <w:rsid w:val="00907CCE"/>
    <w:rsid w:val="00907DCF"/>
    <w:rsid w:val="00910B49"/>
    <w:rsid w:val="009132CB"/>
    <w:rsid w:val="00915536"/>
    <w:rsid w:val="0091608D"/>
    <w:rsid w:val="00917009"/>
    <w:rsid w:val="00920D0C"/>
    <w:rsid w:val="009223CB"/>
    <w:rsid w:val="00926354"/>
    <w:rsid w:val="00926BA4"/>
    <w:rsid w:val="00933EC5"/>
    <w:rsid w:val="00934CAB"/>
    <w:rsid w:val="00935959"/>
    <w:rsid w:val="00937128"/>
    <w:rsid w:val="00951047"/>
    <w:rsid w:val="00952DD4"/>
    <w:rsid w:val="00953061"/>
    <w:rsid w:val="0095331B"/>
    <w:rsid w:val="0095350A"/>
    <w:rsid w:val="00956153"/>
    <w:rsid w:val="0095622B"/>
    <w:rsid w:val="009613E6"/>
    <w:rsid w:val="009622DE"/>
    <w:rsid w:val="009659FF"/>
    <w:rsid w:val="00965CC4"/>
    <w:rsid w:val="009662CA"/>
    <w:rsid w:val="009721D5"/>
    <w:rsid w:val="00974040"/>
    <w:rsid w:val="0097535F"/>
    <w:rsid w:val="00975587"/>
    <w:rsid w:val="00975A8F"/>
    <w:rsid w:val="00975FD3"/>
    <w:rsid w:val="00981AB9"/>
    <w:rsid w:val="00982C60"/>
    <w:rsid w:val="00983ACF"/>
    <w:rsid w:val="009869FD"/>
    <w:rsid w:val="00986B66"/>
    <w:rsid w:val="00987595"/>
    <w:rsid w:val="0098791F"/>
    <w:rsid w:val="00987B37"/>
    <w:rsid w:val="00987B4D"/>
    <w:rsid w:val="0099303C"/>
    <w:rsid w:val="00993457"/>
    <w:rsid w:val="009952FF"/>
    <w:rsid w:val="009953FD"/>
    <w:rsid w:val="009963EB"/>
    <w:rsid w:val="009A037A"/>
    <w:rsid w:val="009A0674"/>
    <w:rsid w:val="009A0683"/>
    <w:rsid w:val="009A229C"/>
    <w:rsid w:val="009B577C"/>
    <w:rsid w:val="009B62B8"/>
    <w:rsid w:val="009B7171"/>
    <w:rsid w:val="009B7268"/>
    <w:rsid w:val="009C14BA"/>
    <w:rsid w:val="009C3D32"/>
    <w:rsid w:val="009C5337"/>
    <w:rsid w:val="009C774C"/>
    <w:rsid w:val="009D10CF"/>
    <w:rsid w:val="009D1144"/>
    <w:rsid w:val="009D1EA8"/>
    <w:rsid w:val="009D3D3E"/>
    <w:rsid w:val="009D4F6B"/>
    <w:rsid w:val="009D61D9"/>
    <w:rsid w:val="009E064B"/>
    <w:rsid w:val="009E2735"/>
    <w:rsid w:val="009E3066"/>
    <w:rsid w:val="009E61FF"/>
    <w:rsid w:val="009E6546"/>
    <w:rsid w:val="009E7415"/>
    <w:rsid w:val="009F18E6"/>
    <w:rsid w:val="009F1FBF"/>
    <w:rsid w:val="009F31BD"/>
    <w:rsid w:val="009F3BD1"/>
    <w:rsid w:val="009F4F2F"/>
    <w:rsid w:val="009F72CD"/>
    <w:rsid w:val="00A024AE"/>
    <w:rsid w:val="00A061BD"/>
    <w:rsid w:val="00A06753"/>
    <w:rsid w:val="00A06839"/>
    <w:rsid w:val="00A119A4"/>
    <w:rsid w:val="00A12EAC"/>
    <w:rsid w:val="00A1709E"/>
    <w:rsid w:val="00A217FB"/>
    <w:rsid w:val="00A21EF0"/>
    <w:rsid w:val="00A23616"/>
    <w:rsid w:val="00A24347"/>
    <w:rsid w:val="00A2464B"/>
    <w:rsid w:val="00A25945"/>
    <w:rsid w:val="00A30E23"/>
    <w:rsid w:val="00A41B26"/>
    <w:rsid w:val="00A41D1C"/>
    <w:rsid w:val="00A41E27"/>
    <w:rsid w:val="00A44173"/>
    <w:rsid w:val="00A467D2"/>
    <w:rsid w:val="00A469A2"/>
    <w:rsid w:val="00A50EAA"/>
    <w:rsid w:val="00A51136"/>
    <w:rsid w:val="00A51B6B"/>
    <w:rsid w:val="00A53CFB"/>
    <w:rsid w:val="00A6273D"/>
    <w:rsid w:val="00A6358C"/>
    <w:rsid w:val="00A74915"/>
    <w:rsid w:val="00A74ABA"/>
    <w:rsid w:val="00A7567B"/>
    <w:rsid w:val="00A761B9"/>
    <w:rsid w:val="00A76751"/>
    <w:rsid w:val="00A803BA"/>
    <w:rsid w:val="00A814B5"/>
    <w:rsid w:val="00A82152"/>
    <w:rsid w:val="00A86336"/>
    <w:rsid w:val="00A93497"/>
    <w:rsid w:val="00AA0ED2"/>
    <w:rsid w:val="00AA33E1"/>
    <w:rsid w:val="00AA628C"/>
    <w:rsid w:val="00AA6456"/>
    <w:rsid w:val="00AA69E3"/>
    <w:rsid w:val="00AB3C96"/>
    <w:rsid w:val="00AB65E9"/>
    <w:rsid w:val="00AB6F2C"/>
    <w:rsid w:val="00AC0B46"/>
    <w:rsid w:val="00AC19ED"/>
    <w:rsid w:val="00AC1B46"/>
    <w:rsid w:val="00AC3222"/>
    <w:rsid w:val="00AC37FC"/>
    <w:rsid w:val="00AD069F"/>
    <w:rsid w:val="00AD2751"/>
    <w:rsid w:val="00AD3A0E"/>
    <w:rsid w:val="00AD6611"/>
    <w:rsid w:val="00AD799F"/>
    <w:rsid w:val="00AE0BCF"/>
    <w:rsid w:val="00AE1A81"/>
    <w:rsid w:val="00AF0D80"/>
    <w:rsid w:val="00AF22B9"/>
    <w:rsid w:val="00AF2644"/>
    <w:rsid w:val="00AF55A8"/>
    <w:rsid w:val="00AF5AE5"/>
    <w:rsid w:val="00AF6EF5"/>
    <w:rsid w:val="00AF7063"/>
    <w:rsid w:val="00B01293"/>
    <w:rsid w:val="00B03117"/>
    <w:rsid w:val="00B03359"/>
    <w:rsid w:val="00B052CC"/>
    <w:rsid w:val="00B10023"/>
    <w:rsid w:val="00B1036A"/>
    <w:rsid w:val="00B10AAC"/>
    <w:rsid w:val="00B12E05"/>
    <w:rsid w:val="00B15AC4"/>
    <w:rsid w:val="00B2250C"/>
    <w:rsid w:val="00B23623"/>
    <w:rsid w:val="00B242F7"/>
    <w:rsid w:val="00B260E8"/>
    <w:rsid w:val="00B26CB0"/>
    <w:rsid w:val="00B30B8B"/>
    <w:rsid w:val="00B32EC6"/>
    <w:rsid w:val="00B33E89"/>
    <w:rsid w:val="00B34DFE"/>
    <w:rsid w:val="00B36830"/>
    <w:rsid w:val="00B42A55"/>
    <w:rsid w:val="00B42F7E"/>
    <w:rsid w:val="00B47BBF"/>
    <w:rsid w:val="00B51524"/>
    <w:rsid w:val="00B52430"/>
    <w:rsid w:val="00B5539D"/>
    <w:rsid w:val="00B56884"/>
    <w:rsid w:val="00B57E41"/>
    <w:rsid w:val="00B638CB"/>
    <w:rsid w:val="00B6454C"/>
    <w:rsid w:val="00B72327"/>
    <w:rsid w:val="00B743A5"/>
    <w:rsid w:val="00B74919"/>
    <w:rsid w:val="00B74D78"/>
    <w:rsid w:val="00B74D93"/>
    <w:rsid w:val="00B80E52"/>
    <w:rsid w:val="00B81FEB"/>
    <w:rsid w:val="00B8279F"/>
    <w:rsid w:val="00B82DA8"/>
    <w:rsid w:val="00B83A19"/>
    <w:rsid w:val="00B84120"/>
    <w:rsid w:val="00B8558E"/>
    <w:rsid w:val="00B85817"/>
    <w:rsid w:val="00B86D44"/>
    <w:rsid w:val="00B909FC"/>
    <w:rsid w:val="00B95577"/>
    <w:rsid w:val="00BA1095"/>
    <w:rsid w:val="00BA113F"/>
    <w:rsid w:val="00BA41A5"/>
    <w:rsid w:val="00BA5B2E"/>
    <w:rsid w:val="00BA6388"/>
    <w:rsid w:val="00BB1C28"/>
    <w:rsid w:val="00BB2FF5"/>
    <w:rsid w:val="00BB39A9"/>
    <w:rsid w:val="00BB44A7"/>
    <w:rsid w:val="00BC0CBB"/>
    <w:rsid w:val="00BC41E5"/>
    <w:rsid w:val="00BC4547"/>
    <w:rsid w:val="00BC613C"/>
    <w:rsid w:val="00BC7045"/>
    <w:rsid w:val="00BD064F"/>
    <w:rsid w:val="00BD75D0"/>
    <w:rsid w:val="00BD7949"/>
    <w:rsid w:val="00BE139B"/>
    <w:rsid w:val="00BE51B7"/>
    <w:rsid w:val="00BE5E49"/>
    <w:rsid w:val="00BF38D2"/>
    <w:rsid w:val="00BF5D4C"/>
    <w:rsid w:val="00C02F48"/>
    <w:rsid w:val="00C03DFC"/>
    <w:rsid w:val="00C065CD"/>
    <w:rsid w:val="00C1422C"/>
    <w:rsid w:val="00C149CA"/>
    <w:rsid w:val="00C17677"/>
    <w:rsid w:val="00C25529"/>
    <w:rsid w:val="00C25E47"/>
    <w:rsid w:val="00C26337"/>
    <w:rsid w:val="00C31397"/>
    <w:rsid w:val="00C3263B"/>
    <w:rsid w:val="00C32797"/>
    <w:rsid w:val="00C41A88"/>
    <w:rsid w:val="00C51224"/>
    <w:rsid w:val="00C56700"/>
    <w:rsid w:val="00C5773C"/>
    <w:rsid w:val="00C6339C"/>
    <w:rsid w:val="00C635ED"/>
    <w:rsid w:val="00C63BEF"/>
    <w:rsid w:val="00C67ED1"/>
    <w:rsid w:val="00C712BB"/>
    <w:rsid w:val="00C74E9B"/>
    <w:rsid w:val="00C80E81"/>
    <w:rsid w:val="00C82445"/>
    <w:rsid w:val="00C824FE"/>
    <w:rsid w:val="00C83919"/>
    <w:rsid w:val="00C83F68"/>
    <w:rsid w:val="00C8483C"/>
    <w:rsid w:val="00C8782F"/>
    <w:rsid w:val="00C90414"/>
    <w:rsid w:val="00C91108"/>
    <w:rsid w:val="00C91630"/>
    <w:rsid w:val="00C92213"/>
    <w:rsid w:val="00C929ED"/>
    <w:rsid w:val="00C94269"/>
    <w:rsid w:val="00C94329"/>
    <w:rsid w:val="00C961E5"/>
    <w:rsid w:val="00CA0359"/>
    <w:rsid w:val="00CA1490"/>
    <w:rsid w:val="00CA6CCB"/>
    <w:rsid w:val="00CA7AAE"/>
    <w:rsid w:val="00CB1160"/>
    <w:rsid w:val="00CB1871"/>
    <w:rsid w:val="00CB2CEB"/>
    <w:rsid w:val="00CB354D"/>
    <w:rsid w:val="00CB381C"/>
    <w:rsid w:val="00CB589C"/>
    <w:rsid w:val="00CB7506"/>
    <w:rsid w:val="00CC0FC1"/>
    <w:rsid w:val="00CC10EE"/>
    <w:rsid w:val="00CC2584"/>
    <w:rsid w:val="00CC5CA5"/>
    <w:rsid w:val="00CC6D75"/>
    <w:rsid w:val="00CC6ED2"/>
    <w:rsid w:val="00CD45DA"/>
    <w:rsid w:val="00CE0DDE"/>
    <w:rsid w:val="00CE1848"/>
    <w:rsid w:val="00CE2763"/>
    <w:rsid w:val="00CE3C28"/>
    <w:rsid w:val="00CF0022"/>
    <w:rsid w:val="00CF5638"/>
    <w:rsid w:val="00D02861"/>
    <w:rsid w:val="00D02E89"/>
    <w:rsid w:val="00D10468"/>
    <w:rsid w:val="00D20C71"/>
    <w:rsid w:val="00D21CF5"/>
    <w:rsid w:val="00D24716"/>
    <w:rsid w:val="00D26829"/>
    <w:rsid w:val="00D32D20"/>
    <w:rsid w:val="00D40EE6"/>
    <w:rsid w:val="00D424B1"/>
    <w:rsid w:val="00D42951"/>
    <w:rsid w:val="00D42EB9"/>
    <w:rsid w:val="00D46832"/>
    <w:rsid w:val="00D50F7F"/>
    <w:rsid w:val="00D51425"/>
    <w:rsid w:val="00D55C0C"/>
    <w:rsid w:val="00D606D6"/>
    <w:rsid w:val="00D6073E"/>
    <w:rsid w:val="00D65126"/>
    <w:rsid w:val="00D661A3"/>
    <w:rsid w:val="00D66B90"/>
    <w:rsid w:val="00D67B27"/>
    <w:rsid w:val="00D71528"/>
    <w:rsid w:val="00D715AB"/>
    <w:rsid w:val="00D72E50"/>
    <w:rsid w:val="00D73143"/>
    <w:rsid w:val="00D75612"/>
    <w:rsid w:val="00D75EAC"/>
    <w:rsid w:val="00D76362"/>
    <w:rsid w:val="00D84F00"/>
    <w:rsid w:val="00D86965"/>
    <w:rsid w:val="00D93646"/>
    <w:rsid w:val="00D95006"/>
    <w:rsid w:val="00D96820"/>
    <w:rsid w:val="00D97C6D"/>
    <w:rsid w:val="00DA0CB9"/>
    <w:rsid w:val="00DA1441"/>
    <w:rsid w:val="00DA1C4B"/>
    <w:rsid w:val="00DA1F67"/>
    <w:rsid w:val="00DA57E0"/>
    <w:rsid w:val="00DA627F"/>
    <w:rsid w:val="00DB0499"/>
    <w:rsid w:val="00DB0CDA"/>
    <w:rsid w:val="00DB17F6"/>
    <w:rsid w:val="00DB2868"/>
    <w:rsid w:val="00DC52DD"/>
    <w:rsid w:val="00DC664F"/>
    <w:rsid w:val="00DD48F2"/>
    <w:rsid w:val="00DD6FFF"/>
    <w:rsid w:val="00DD7040"/>
    <w:rsid w:val="00DD726C"/>
    <w:rsid w:val="00DD7374"/>
    <w:rsid w:val="00DE3EC1"/>
    <w:rsid w:val="00DE5FF3"/>
    <w:rsid w:val="00DE70F9"/>
    <w:rsid w:val="00DE74E3"/>
    <w:rsid w:val="00DF0E90"/>
    <w:rsid w:val="00DF0F35"/>
    <w:rsid w:val="00DF5A68"/>
    <w:rsid w:val="00DF5CB6"/>
    <w:rsid w:val="00DF69A7"/>
    <w:rsid w:val="00DF740C"/>
    <w:rsid w:val="00DF786F"/>
    <w:rsid w:val="00E003B5"/>
    <w:rsid w:val="00E02301"/>
    <w:rsid w:val="00E037D5"/>
    <w:rsid w:val="00E06FEA"/>
    <w:rsid w:val="00E17E43"/>
    <w:rsid w:val="00E20ECC"/>
    <w:rsid w:val="00E24724"/>
    <w:rsid w:val="00E2558C"/>
    <w:rsid w:val="00E3224C"/>
    <w:rsid w:val="00E324FB"/>
    <w:rsid w:val="00E32F25"/>
    <w:rsid w:val="00E339E6"/>
    <w:rsid w:val="00E3413A"/>
    <w:rsid w:val="00E36890"/>
    <w:rsid w:val="00E40813"/>
    <w:rsid w:val="00E415B8"/>
    <w:rsid w:val="00E437DE"/>
    <w:rsid w:val="00E43CBF"/>
    <w:rsid w:val="00E45F9C"/>
    <w:rsid w:val="00E47F98"/>
    <w:rsid w:val="00E5374B"/>
    <w:rsid w:val="00E54D40"/>
    <w:rsid w:val="00E56C9C"/>
    <w:rsid w:val="00E56E1F"/>
    <w:rsid w:val="00E63F19"/>
    <w:rsid w:val="00E67EAF"/>
    <w:rsid w:val="00E7091C"/>
    <w:rsid w:val="00E75FB2"/>
    <w:rsid w:val="00E77C41"/>
    <w:rsid w:val="00E81520"/>
    <w:rsid w:val="00E81AAD"/>
    <w:rsid w:val="00E8237C"/>
    <w:rsid w:val="00E85210"/>
    <w:rsid w:val="00E872EC"/>
    <w:rsid w:val="00E9048A"/>
    <w:rsid w:val="00E9190D"/>
    <w:rsid w:val="00E92A25"/>
    <w:rsid w:val="00E95BAE"/>
    <w:rsid w:val="00E96B4A"/>
    <w:rsid w:val="00EA3CEF"/>
    <w:rsid w:val="00EA4931"/>
    <w:rsid w:val="00EA4F78"/>
    <w:rsid w:val="00EA589E"/>
    <w:rsid w:val="00EA7BA3"/>
    <w:rsid w:val="00EB2A79"/>
    <w:rsid w:val="00EB2B48"/>
    <w:rsid w:val="00EC02F6"/>
    <w:rsid w:val="00EC1A05"/>
    <w:rsid w:val="00EC52AF"/>
    <w:rsid w:val="00EC7910"/>
    <w:rsid w:val="00ED1008"/>
    <w:rsid w:val="00ED34C4"/>
    <w:rsid w:val="00ED361C"/>
    <w:rsid w:val="00ED37D2"/>
    <w:rsid w:val="00EE2352"/>
    <w:rsid w:val="00EE3714"/>
    <w:rsid w:val="00EE3872"/>
    <w:rsid w:val="00EF4D50"/>
    <w:rsid w:val="00F02CC8"/>
    <w:rsid w:val="00F04477"/>
    <w:rsid w:val="00F11D51"/>
    <w:rsid w:val="00F17C8A"/>
    <w:rsid w:val="00F25D45"/>
    <w:rsid w:val="00F26E89"/>
    <w:rsid w:val="00F322F2"/>
    <w:rsid w:val="00F35A7C"/>
    <w:rsid w:val="00F36BF4"/>
    <w:rsid w:val="00F378B3"/>
    <w:rsid w:val="00F425B9"/>
    <w:rsid w:val="00F43E68"/>
    <w:rsid w:val="00F45331"/>
    <w:rsid w:val="00F46FE3"/>
    <w:rsid w:val="00F476DD"/>
    <w:rsid w:val="00F47E22"/>
    <w:rsid w:val="00F52123"/>
    <w:rsid w:val="00F5528F"/>
    <w:rsid w:val="00F552E0"/>
    <w:rsid w:val="00F57703"/>
    <w:rsid w:val="00F57AA2"/>
    <w:rsid w:val="00F57E78"/>
    <w:rsid w:val="00F6339C"/>
    <w:rsid w:val="00F64780"/>
    <w:rsid w:val="00F648FF"/>
    <w:rsid w:val="00F67CD2"/>
    <w:rsid w:val="00F70786"/>
    <w:rsid w:val="00F708C2"/>
    <w:rsid w:val="00F73DB8"/>
    <w:rsid w:val="00F73E78"/>
    <w:rsid w:val="00F76E34"/>
    <w:rsid w:val="00F80386"/>
    <w:rsid w:val="00F814A2"/>
    <w:rsid w:val="00F84E3D"/>
    <w:rsid w:val="00F85CF2"/>
    <w:rsid w:val="00F86757"/>
    <w:rsid w:val="00F86CA7"/>
    <w:rsid w:val="00F901D3"/>
    <w:rsid w:val="00F90B5C"/>
    <w:rsid w:val="00F90CB8"/>
    <w:rsid w:val="00F91125"/>
    <w:rsid w:val="00F918EE"/>
    <w:rsid w:val="00F921F7"/>
    <w:rsid w:val="00FA02E7"/>
    <w:rsid w:val="00FA0469"/>
    <w:rsid w:val="00FA4819"/>
    <w:rsid w:val="00FA68B6"/>
    <w:rsid w:val="00FA7DD1"/>
    <w:rsid w:val="00FA7DF6"/>
    <w:rsid w:val="00FB4EDE"/>
    <w:rsid w:val="00FB64F7"/>
    <w:rsid w:val="00FC0136"/>
    <w:rsid w:val="00FC1B42"/>
    <w:rsid w:val="00FC3763"/>
    <w:rsid w:val="00FC49B7"/>
    <w:rsid w:val="00FC5E34"/>
    <w:rsid w:val="00FD0F41"/>
    <w:rsid w:val="00FD2175"/>
    <w:rsid w:val="00FD252B"/>
    <w:rsid w:val="00FD7105"/>
    <w:rsid w:val="00FE00C5"/>
    <w:rsid w:val="00FE63BD"/>
    <w:rsid w:val="00FF2A34"/>
    <w:rsid w:val="00FF452B"/>
    <w:rsid w:val="00FF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B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50"/>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E6350"/>
    <w:rPr>
      <w:rFonts w:ascii="Tahoma" w:hAnsi="Tahoma" w:cs="Tahoma"/>
      <w:sz w:val="16"/>
      <w:szCs w:val="16"/>
    </w:rPr>
  </w:style>
  <w:style w:type="character" w:customStyle="1" w:styleId="BalloonTextChar">
    <w:name w:val="Balloon Text Char"/>
    <w:basedOn w:val="DefaultParagraphFont"/>
    <w:link w:val="BalloonText"/>
    <w:semiHidden/>
    <w:rsid w:val="004E6350"/>
    <w:rPr>
      <w:rFonts w:ascii="Tahoma" w:eastAsia="Times New Roman" w:hAnsi="Tahoma" w:cs="Tahoma"/>
      <w:sz w:val="16"/>
      <w:szCs w:val="16"/>
    </w:rPr>
  </w:style>
  <w:style w:type="paragraph" w:styleId="Header">
    <w:name w:val="header"/>
    <w:basedOn w:val="Normal"/>
    <w:link w:val="HeaderChar"/>
    <w:rsid w:val="004E6350"/>
    <w:pPr>
      <w:tabs>
        <w:tab w:val="center" w:pos="4320"/>
        <w:tab w:val="right" w:pos="8640"/>
      </w:tabs>
    </w:pPr>
  </w:style>
  <w:style w:type="character" w:customStyle="1" w:styleId="HeaderChar">
    <w:name w:val="Header Char"/>
    <w:basedOn w:val="DefaultParagraphFont"/>
    <w:link w:val="Header"/>
    <w:rsid w:val="004E6350"/>
    <w:rPr>
      <w:rFonts w:ascii="Times New Roman" w:eastAsia="Times New Roman" w:hAnsi="Times New Roman" w:cs="Times New Roman"/>
      <w:sz w:val="20"/>
      <w:szCs w:val="20"/>
    </w:rPr>
  </w:style>
  <w:style w:type="paragraph" w:styleId="Footer">
    <w:name w:val="footer"/>
    <w:basedOn w:val="Normal"/>
    <w:link w:val="FooterChar"/>
    <w:rsid w:val="004E6350"/>
    <w:pPr>
      <w:tabs>
        <w:tab w:val="center" w:pos="4320"/>
        <w:tab w:val="right" w:pos="8640"/>
      </w:tabs>
    </w:pPr>
  </w:style>
  <w:style w:type="character" w:customStyle="1" w:styleId="FooterChar">
    <w:name w:val="Footer Char"/>
    <w:basedOn w:val="DefaultParagraphFont"/>
    <w:link w:val="Footer"/>
    <w:rsid w:val="004E6350"/>
    <w:rPr>
      <w:rFonts w:ascii="Times New Roman" w:eastAsia="Times New Roman" w:hAnsi="Times New Roman" w:cs="Times New Roman"/>
      <w:sz w:val="20"/>
      <w:szCs w:val="20"/>
    </w:rPr>
  </w:style>
  <w:style w:type="character" w:styleId="PageNumber">
    <w:name w:val="page number"/>
    <w:basedOn w:val="DefaultParagraphFont"/>
    <w:rsid w:val="004E6350"/>
  </w:style>
  <w:style w:type="table" w:styleId="TableGrid">
    <w:name w:val="Table Grid"/>
    <w:basedOn w:val="TableNormal"/>
    <w:rsid w:val="004E6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E6350"/>
    <w:rPr>
      <w:sz w:val="16"/>
      <w:szCs w:val="16"/>
    </w:rPr>
  </w:style>
  <w:style w:type="paragraph" w:styleId="CommentText">
    <w:name w:val="annotation text"/>
    <w:basedOn w:val="Normal"/>
    <w:link w:val="CommentTextChar"/>
    <w:rsid w:val="004E6350"/>
  </w:style>
  <w:style w:type="character" w:customStyle="1" w:styleId="CommentTextChar">
    <w:name w:val="Comment Text Char"/>
    <w:basedOn w:val="DefaultParagraphFont"/>
    <w:link w:val="CommentText"/>
    <w:rsid w:val="004E63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6350"/>
    <w:rPr>
      <w:b/>
      <w:bCs/>
    </w:rPr>
  </w:style>
  <w:style w:type="character" w:customStyle="1" w:styleId="CommentSubjectChar">
    <w:name w:val="Comment Subject Char"/>
    <w:basedOn w:val="CommentTextChar"/>
    <w:link w:val="CommentSubject"/>
    <w:semiHidden/>
    <w:rsid w:val="004E6350"/>
    <w:rPr>
      <w:rFonts w:ascii="Times New Roman" w:eastAsia="Times New Roman" w:hAnsi="Times New Roman" w:cs="Times New Roman"/>
      <w:b/>
      <w:bCs/>
      <w:sz w:val="20"/>
      <w:szCs w:val="20"/>
    </w:rPr>
  </w:style>
  <w:style w:type="character" w:styleId="Hyperlink">
    <w:name w:val="Hyperlink"/>
    <w:rsid w:val="004E6350"/>
    <w:rPr>
      <w:color w:val="0000FF"/>
      <w:u w:val="single"/>
    </w:rPr>
  </w:style>
  <w:style w:type="character" w:styleId="FollowedHyperlink">
    <w:name w:val="FollowedHyperlink"/>
    <w:rsid w:val="004E6350"/>
    <w:rPr>
      <w:color w:val="800080"/>
      <w:u w:val="single"/>
    </w:rPr>
  </w:style>
  <w:style w:type="paragraph" w:styleId="FootnoteText">
    <w:name w:val="footnote text"/>
    <w:basedOn w:val="Normal"/>
    <w:link w:val="FootnoteTextChar"/>
    <w:semiHidden/>
    <w:rsid w:val="004E6350"/>
  </w:style>
  <w:style w:type="character" w:customStyle="1" w:styleId="FootnoteTextChar">
    <w:name w:val="Footnote Text Char"/>
    <w:basedOn w:val="DefaultParagraphFont"/>
    <w:link w:val="FootnoteText"/>
    <w:semiHidden/>
    <w:rsid w:val="004E6350"/>
    <w:rPr>
      <w:rFonts w:ascii="Times New Roman" w:eastAsia="Times New Roman" w:hAnsi="Times New Roman" w:cs="Times New Roman"/>
      <w:sz w:val="20"/>
      <w:szCs w:val="20"/>
    </w:rPr>
  </w:style>
  <w:style w:type="character" w:styleId="FootnoteReference">
    <w:name w:val="footnote reference"/>
    <w:semiHidden/>
    <w:rsid w:val="004E6350"/>
    <w:rPr>
      <w:vertAlign w:val="superscript"/>
    </w:rPr>
  </w:style>
  <w:style w:type="paragraph" w:styleId="Revision">
    <w:name w:val="Revision"/>
    <w:hidden/>
    <w:uiPriority w:val="99"/>
    <w:semiHidden/>
    <w:rsid w:val="00CF5638"/>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F7DB6"/>
    <w:pPr>
      <w:autoSpaceDE/>
      <w:autoSpaceDN/>
      <w:adjustRightInd/>
      <w:ind w:left="720"/>
    </w:pPr>
    <w:rPr>
      <w:rFonts w:ascii="Calibri" w:eastAsiaTheme="minorHAnsi" w:hAnsi="Calibri"/>
      <w:sz w:val="22"/>
      <w:szCs w:val="22"/>
    </w:rPr>
  </w:style>
  <w:style w:type="character" w:styleId="UnresolvedMention">
    <w:name w:val="Unresolved Mention"/>
    <w:basedOn w:val="DefaultParagraphFont"/>
    <w:uiPriority w:val="99"/>
    <w:semiHidden/>
    <w:unhideWhenUsed/>
    <w:rsid w:val="006D78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087835">
      <w:bodyDiv w:val="1"/>
      <w:marLeft w:val="0"/>
      <w:marRight w:val="0"/>
      <w:marTop w:val="0"/>
      <w:marBottom w:val="0"/>
      <w:divBdr>
        <w:top w:val="none" w:sz="0" w:space="0" w:color="auto"/>
        <w:left w:val="none" w:sz="0" w:space="0" w:color="auto"/>
        <w:bottom w:val="none" w:sz="0" w:space="0" w:color="auto"/>
        <w:right w:val="none" w:sz="0" w:space="0" w:color="auto"/>
      </w:divBdr>
    </w:div>
    <w:div w:id="790175715">
      <w:bodyDiv w:val="1"/>
      <w:marLeft w:val="0"/>
      <w:marRight w:val="0"/>
      <w:marTop w:val="0"/>
      <w:marBottom w:val="0"/>
      <w:divBdr>
        <w:top w:val="none" w:sz="0" w:space="0" w:color="auto"/>
        <w:left w:val="none" w:sz="0" w:space="0" w:color="auto"/>
        <w:bottom w:val="none" w:sz="0" w:space="0" w:color="auto"/>
        <w:right w:val="none" w:sz="0" w:space="0" w:color="auto"/>
      </w:divBdr>
    </w:div>
    <w:div w:id="860126393">
      <w:bodyDiv w:val="1"/>
      <w:marLeft w:val="0"/>
      <w:marRight w:val="0"/>
      <w:marTop w:val="0"/>
      <w:marBottom w:val="0"/>
      <w:divBdr>
        <w:top w:val="none" w:sz="0" w:space="0" w:color="auto"/>
        <w:left w:val="none" w:sz="0" w:space="0" w:color="auto"/>
        <w:bottom w:val="none" w:sz="0" w:space="0" w:color="auto"/>
        <w:right w:val="none" w:sz="0" w:space="0" w:color="auto"/>
      </w:divBdr>
    </w:div>
    <w:div w:id="1462915724">
      <w:bodyDiv w:val="1"/>
      <w:marLeft w:val="0"/>
      <w:marRight w:val="0"/>
      <w:marTop w:val="0"/>
      <w:marBottom w:val="0"/>
      <w:divBdr>
        <w:top w:val="none" w:sz="0" w:space="0" w:color="auto"/>
        <w:left w:val="none" w:sz="0" w:space="0" w:color="auto"/>
        <w:bottom w:val="none" w:sz="0" w:space="0" w:color="auto"/>
        <w:right w:val="none" w:sz="0" w:space="0" w:color="auto"/>
      </w:divBdr>
    </w:div>
    <w:div w:id="1464150565">
      <w:bodyDiv w:val="1"/>
      <w:marLeft w:val="0"/>
      <w:marRight w:val="0"/>
      <w:marTop w:val="0"/>
      <w:marBottom w:val="0"/>
      <w:divBdr>
        <w:top w:val="none" w:sz="0" w:space="0" w:color="auto"/>
        <w:left w:val="none" w:sz="0" w:space="0" w:color="auto"/>
        <w:bottom w:val="none" w:sz="0" w:space="0" w:color="auto"/>
        <w:right w:val="none" w:sz="0" w:space="0" w:color="auto"/>
      </w:divBdr>
    </w:div>
    <w:div w:id="1737123188">
      <w:bodyDiv w:val="1"/>
      <w:marLeft w:val="0"/>
      <w:marRight w:val="0"/>
      <w:marTop w:val="0"/>
      <w:marBottom w:val="0"/>
      <w:divBdr>
        <w:top w:val="none" w:sz="0" w:space="0" w:color="auto"/>
        <w:left w:val="none" w:sz="0" w:space="0" w:color="auto"/>
        <w:bottom w:val="none" w:sz="0" w:space="0" w:color="auto"/>
        <w:right w:val="none" w:sz="0" w:space="0" w:color="auto"/>
      </w:divBdr>
    </w:div>
    <w:div w:id="180932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66834-81F6-4C83-B454-1AC73D14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5773</Words>
  <Characters>32912</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2021-08-06T19:16:00Z</dcterms:created>
  <dcterms:modified xsi:type="dcterms:W3CDTF">2021-08-06T19:16:00Z</dcterms:modified>
</cp:coreProperties>
</file>