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40C0" w:rsidR="00380345" w:rsidP="00983DCE" w:rsidRDefault="00674F17" w14:paraId="7A1CF2D5" w14:textId="580C0B3C">
      <w:pPr>
        <w:pStyle w:val="CM12"/>
        <w:ind w:right="990"/>
        <w:jc w:val="center"/>
        <w:rPr>
          <w:color w:val="000000"/>
        </w:rPr>
      </w:pPr>
      <w:r w:rsidRPr="6B7F0614">
        <w:rPr>
          <w:b/>
          <w:bCs/>
          <w:lang w:val="en-CA"/>
        </w:rPr>
        <w:t xml:space="preserve"> </w:t>
      </w:r>
      <w:r w:rsidRPr="009940C0" w:rsidR="00BC5C20">
        <w:rPr>
          <w:lang w:val="en-CA"/>
        </w:rPr>
        <w:t>CONSUMER FINANCIAL PROTECTION BUREAU</w:t>
      </w:r>
      <w:r w:rsidRPr="009940C0">
        <w:br/>
      </w:r>
      <w:r w:rsidRPr="009940C0" w:rsidR="00BC5C20">
        <w:rPr>
          <w:color w:val="000000" w:themeColor="text1"/>
        </w:rPr>
        <w:t>SUPPORTING STATEMENT</w:t>
      </w:r>
      <w:r w:rsidRPr="009940C0" w:rsidR="00A93332">
        <w:rPr>
          <w:color w:val="000000" w:themeColor="text1"/>
        </w:rPr>
        <w:t xml:space="preserve"> PART A</w:t>
      </w:r>
    </w:p>
    <w:p w:rsidRPr="002353DA" w:rsidR="002353DA" w:rsidP="002353DA" w:rsidRDefault="002353DA" w14:paraId="70CF3D3A" w14:textId="77777777">
      <w:pPr>
        <w:rPr>
          <w:lang w:val="en-CA"/>
        </w:rPr>
      </w:pPr>
    </w:p>
    <w:p w:rsidR="00380345" w:rsidP="00983DCE" w:rsidRDefault="00606415" w14:paraId="45DFF032" w14:textId="1344C1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caps/>
          <w:sz w:val="24"/>
          <w:szCs w:val="24"/>
        </w:rPr>
        <w:t xml:space="preserve">Terms of </w:t>
      </w:r>
      <w:r w:rsidR="007A7F35">
        <w:rPr>
          <w:b/>
          <w:bCs/>
          <w:caps/>
          <w:sz w:val="24"/>
          <w:szCs w:val="24"/>
        </w:rPr>
        <w:t>credit card plans survey</w:t>
      </w:r>
      <w:r w:rsidR="004850BB">
        <w:rPr>
          <w:b/>
          <w:bCs/>
          <w:sz w:val="24"/>
          <w:szCs w:val="24"/>
        </w:rPr>
        <w:t xml:space="preserve"> </w:t>
      </w:r>
    </w:p>
    <w:p w:rsidR="004850BB" w:rsidP="004850BB" w:rsidRDefault="004850BB" w14:paraId="20370294" w14:textId="77777777">
      <w:pPr>
        <w:jc w:val="center"/>
        <w:rPr>
          <w:b/>
          <w:sz w:val="24"/>
          <w:szCs w:val="24"/>
        </w:rPr>
      </w:pPr>
      <w:r>
        <w:rPr>
          <w:b/>
          <w:bCs/>
          <w:sz w:val="24"/>
          <w:szCs w:val="24"/>
        </w:rPr>
        <w:t xml:space="preserve">AND </w:t>
      </w:r>
      <w:r w:rsidRPr="009B61EA">
        <w:rPr>
          <w:b/>
          <w:sz w:val="24"/>
          <w:szCs w:val="24"/>
        </w:rPr>
        <w:t>CONSUMER AND COLLEGE CREDIT CARD AGREEMENT</w:t>
      </w:r>
      <w:r>
        <w:rPr>
          <w:b/>
          <w:sz w:val="24"/>
          <w:szCs w:val="24"/>
        </w:rPr>
        <w:t>S</w:t>
      </w:r>
      <w:r w:rsidRPr="009B61EA">
        <w:rPr>
          <w:b/>
          <w:sz w:val="24"/>
          <w:szCs w:val="24"/>
        </w:rPr>
        <w:t xml:space="preserve"> </w:t>
      </w:r>
    </w:p>
    <w:p w:rsidRPr="00983DCE" w:rsidR="004850BB" w:rsidP="00983DCE" w:rsidRDefault="004850BB" w14:paraId="7071D020" w14:textId="796A9D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9940C0" w:rsidR="00295103" w:rsidP="00983DCE" w:rsidRDefault="0055706F" w14:paraId="1B9D50B4" w14:textId="357FC0AB">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940C0">
        <w:rPr>
          <w:sz w:val="24"/>
          <w:szCs w:val="24"/>
        </w:rPr>
        <w:t>(OMB CONTROL NUMBER: 3170-0001</w:t>
      </w:r>
      <w:r w:rsidRPr="009940C0" w:rsidR="00D64E0F">
        <w:rPr>
          <w:rStyle w:val="FootnoteReference"/>
          <w:sz w:val="24"/>
          <w:szCs w:val="24"/>
        </w:rPr>
        <w:footnoteReference w:id="2"/>
      </w:r>
      <w:r w:rsidRPr="009940C0" w:rsidR="00BC5C20">
        <w:rPr>
          <w:sz w:val="24"/>
          <w:szCs w:val="24"/>
        </w:rPr>
        <w:t>)</w:t>
      </w:r>
    </w:p>
    <w:p w:rsidRPr="00983DCE" w:rsidR="00983DCE" w:rsidP="00983DCE" w:rsidRDefault="00983DCE" w14:paraId="7B49EEB7" w14:textId="7777777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983DCE" w:rsidR="00B47E7F" w:rsidP="00983DCE" w:rsidRDefault="00B47E7F" w14:paraId="7D2DC1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983DCE" w:rsidR="00295103" w:rsidP="00983DCE" w:rsidRDefault="00295103" w14:paraId="5F7119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6D551B" w:rsidP="6B7F0614" w:rsidRDefault="008560B0" w14:paraId="4EEC9341" w14:textId="6C02225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33F5B6BA">
        <w:rPr>
          <w:b/>
          <w:bCs/>
          <w:sz w:val="24"/>
          <w:szCs w:val="24"/>
        </w:rPr>
        <w:t>ABSTRACT:</w:t>
      </w:r>
      <w:r w:rsidRPr="33F5B6BA">
        <w:rPr>
          <w:sz w:val="24"/>
          <w:szCs w:val="24"/>
        </w:rPr>
        <w:t xml:space="preserve"> </w:t>
      </w:r>
      <w:r w:rsidRPr="33F5B6BA" w:rsidR="00DA51EA">
        <w:rPr>
          <w:sz w:val="24"/>
          <w:szCs w:val="24"/>
        </w:rPr>
        <w:t>T</w:t>
      </w:r>
      <w:r w:rsidRPr="33F5B6BA" w:rsidR="009516C0">
        <w:rPr>
          <w:sz w:val="24"/>
          <w:szCs w:val="24"/>
        </w:rPr>
        <w:t xml:space="preserve">his </w:t>
      </w:r>
      <w:r w:rsidRPr="33F5B6BA" w:rsidR="00D21803">
        <w:rPr>
          <w:sz w:val="24"/>
          <w:szCs w:val="24"/>
        </w:rPr>
        <w:t xml:space="preserve">information </w:t>
      </w:r>
      <w:r w:rsidRPr="33F5B6BA" w:rsidR="00346D64">
        <w:rPr>
          <w:sz w:val="24"/>
          <w:szCs w:val="24"/>
        </w:rPr>
        <w:t>c</w:t>
      </w:r>
      <w:r w:rsidRPr="33F5B6BA" w:rsidR="009516C0">
        <w:rPr>
          <w:sz w:val="24"/>
          <w:szCs w:val="24"/>
        </w:rPr>
        <w:t xml:space="preserve">ollection incorporates two collections of credit </w:t>
      </w:r>
      <w:r w:rsidRPr="33F5B6BA" w:rsidR="003F6CFB">
        <w:rPr>
          <w:sz w:val="24"/>
          <w:szCs w:val="24"/>
        </w:rPr>
        <w:t>c</w:t>
      </w:r>
      <w:r w:rsidRPr="33F5B6BA" w:rsidR="009516C0">
        <w:rPr>
          <w:sz w:val="24"/>
          <w:szCs w:val="24"/>
        </w:rPr>
        <w:t xml:space="preserve">ard </w:t>
      </w:r>
      <w:r w:rsidRPr="33F5B6BA" w:rsidR="003F6CFB">
        <w:rPr>
          <w:sz w:val="24"/>
          <w:szCs w:val="24"/>
        </w:rPr>
        <w:t>d</w:t>
      </w:r>
      <w:r w:rsidRPr="33F5B6BA" w:rsidR="009516C0">
        <w:rPr>
          <w:sz w:val="24"/>
          <w:szCs w:val="24"/>
        </w:rPr>
        <w:t>ata by the Bureau</w:t>
      </w:r>
      <w:r w:rsidRPr="33F5B6BA" w:rsidR="00717752">
        <w:rPr>
          <w:sz w:val="24"/>
          <w:szCs w:val="24"/>
        </w:rPr>
        <w:t>.  Those two information collections</w:t>
      </w:r>
      <w:r w:rsidRPr="33F5B6BA" w:rsidR="009516C0">
        <w:rPr>
          <w:sz w:val="24"/>
          <w:szCs w:val="24"/>
        </w:rPr>
        <w:t xml:space="preserve"> </w:t>
      </w:r>
      <w:r w:rsidRPr="33F5B6BA" w:rsidR="00BB1ED8">
        <w:rPr>
          <w:sz w:val="24"/>
          <w:szCs w:val="24"/>
        </w:rPr>
        <w:t>are currently</w:t>
      </w:r>
      <w:r w:rsidRPr="33F5B6BA" w:rsidR="009516C0">
        <w:rPr>
          <w:sz w:val="24"/>
          <w:szCs w:val="24"/>
        </w:rPr>
        <w:t xml:space="preserve"> </w:t>
      </w:r>
      <w:r w:rsidRPr="33F5B6BA" w:rsidR="005C530D">
        <w:rPr>
          <w:sz w:val="24"/>
          <w:szCs w:val="24"/>
        </w:rPr>
        <w:t xml:space="preserve">approved for use </w:t>
      </w:r>
      <w:r w:rsidRPr="33F5B6BA" w:rsidR="009516C0">
        <w:rPr>
          <w:sz w:val="24"/>
          <w:szCs w:val="24"/>
        </w:rPr>
        <w:t xml:space="preserve">under </w:t>
      </w:r>
      <w:r w:rsidRPr="33F5B6BA" w:rsidR="0071177E">
        <w:rPr>
          <w:sz w:val="24"/>
          <w:szCs w:val="24"/>
        </w:rPr>
        <w:t xml:space="preserve">two </w:t>
      </w:r>
      <w:r w:rsidRPr="33F5B6BA" w:rsidR="009516C0">
        <w:rPr>
          <w:sz w:val="24"/>
          <w:szCs w:val="24"/>
        </w:rPr>
        <w:t xml:space="preserve">separate OMB Control Numbers.  </w:t>
      </w:r>
      <w:r w:rsidRPr="33F5B6BA" w:rsidR="00BB1ED8">
        <w:rPr>
          <w:sz w:val="24"/>
          <w:szCs w:val="24"/>
        </w:rPr>
        <w:t>OMB Control N</w:t>
      </w:r>
      <w:r w:rsidR="00A57119">
        <w:rPr>
          <w:sz w:val="24"/>
          <w:szCs w:val="24"/>
        </w:rPr>
        <w:t>o.</w:t>
      </w:r>
      <w:r w:rsidRPr="33F5B6BA" w:rsidR="00BB1ED8">
        <w:rPr>
          <w:sz w:val="24"/>
          <w:szCs w:val="24"/>
        </w:rPr>
        <w:t xml:space="preserve"> </w:t>
      </w:r>
      <w:r w:rsidRPr="33F5B6BA" w:rsidR="009516C0">
        <w:rPr>
          <w:sz w:val="24"/>
          <w:szCs w:val="24"/>
        </w:rPr>
        <w:t>3170-0052 is being incorporated into</w:t>
      </w:r>
      <w:r w:rsidRPr="33F5B6BA" w:rsidR="00A23CF0">
        <w:rPr>
          <w:sz w:val="24"/>
          <w:szCs w:val="24"/>
        </w:rPr>
        <w:t xml:space="preserve"> OMB Control No. 3170-0001</w:t>
      </w:r>
      <w:r w:rsidRPr="33F5B6BA" w:rsidR="009516C0">
        <w:rPr>
          <w:sz w:val="24"/>
          <w:szCs w:val="24"/>
        </w:rPr>
        <w:t>.</w:t>
      </w:r>
      <w:r w:rsidRPr="33F5B6BA" w:rsidR="00A23CF0">
        <w:rPr>
          <w:sz w:val="24"/>
          <w:szCs w:val="24"/>
        </w:rPr>
        <w:t xml:space="preserve">  </w:t>
      </w:r>
      <w:r w:rsidRPr="33F5B6BA" w:rsidR="00CF30A7">
        <w:rPr>
          <w:sz w:val="24"/>
          <w:szCs w:val="24"/>
        </w:rPr>
        <w:t xml:space="preserve">Once OMB Control </w:t>
      </w:r>
      <w:r w:rsidRPr="33F5B6BA" w:rsidR="002B093F">
        <w:rPr>
          <w:sz w:val="24"/>
          <w:szCs w:val="24"/>
        </w:rPr>
        <w:t>N</w:t>
      </w:r>
      <w:r w:rsidR="00A57119">
        <w:rPr>
          <w:sz w:val="24"/>
          <w:szCs w:val="24"/>
        </w:rPr>
        <w:t>o.</w:t>
      </w:r>
      <w:r w:rsidRPr="33F5B6BA" w:rsidR="00CF30A7">
        <w:rPr>
          <w:sz w:val="24"/>
          <w:szCs w:val="24"/>
        </w:rPr>
        <w:t xml:space="preserve"> 3170-0001 is approved and</w:t>
      </w:r>
      <w:r w:rsidRPr="33F5B6BA" w:rsidR="006959CF">
        <w:rPr>
          <w:sz w:val="24"/>
          <w:szCs w:val="24"/>
        </w:rPr>
        <w:t xml:space="preserve"> the requirements in 3170-0052 have been incorporated, </w:t>
      </w:r>
      <w:r w:rsidRPr="33F5B6BA" w:rsidR="006D551B">
        <w:rPr>
          <w:sz w:val="24"/>
          <w:szCs w:val="24"/>
        </w:rPr>
        <w:t>the Bureau will discontinue OMB Control No. 3170-0052.</w:t>
      </w:r>
      <w:r w:rsidR="00061175">
        <w:rPr>
          <w:sz w:val="24"/>
          <w:szCs w:val="24"/>
        </w:rPr>
        <w:t xml:space="preserve">  For the reasons described below, the discontinuation of 3170-0052 and the revision of 3170-0001 will result in a substantial reduction in burden to the regulated industry.</w:t>
      </w:r>
    </w:p>
    <w:p w:rsidR="006D551B" w:rsidP="6B7F0614" w:rsidRDefault="006D551B" w14:paraId="1B22ECE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E6F2B" w:rsidP="6B7F0614" w:rsidRDefault="006E6F2B" w14:paraId="0E251709" w14:textId="0199983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6B7F0614">
        <w:rPr>
          <w:sz w:val="24"/>
          <w:szCs w:val="24"/>
        </w:rPr>
        <w:t xml:space="preserve">Each </w:t>
      </w:r>
      <w:r w:rsidRPr="6B7F0614" w:rsidR="00916B3F">
        <w:rPr>
          <w:sz w:val="24"/>
          <w:szCs w:val="24"/>
        </w:rPr>
        <w:t xml:space="preserve">control number </w:t>
      </w:r>
      <w:r w:rsidRPr="6B7F0614" w:rsidR="00720DF1">
        <w:rPr>
          <w:sz w:val="24"/>
          <w:szCs w:val="24"/>
        </w:rPr>
        <w:t>collect</w:t>
      </w:r>
      <w:r w:rsidR="00F80605">
        <w:rPr>
          <w:sz w:val="24"/>
          <w:szCs w:val="24"/>
        </w:rPr>
        <w:t>s</w:t>
      </w:r>
      <w:r w:rsidRPr="6B7F0614">
        <w:rPr>
          <w:sz w:val="24"/>
          <w:szCs w:val="24"/>
        </w:rPr>
        <w:t xml:space="preserve"> different forms of credit card data from credit card issuers:</w:t>
      </w:r>
    </w:p>
    <w:p w:rsidR="006E6F2B" w:rsidP="00CB1018" w:rsidRDefault="006E6F2B" w14:paraId="2BE953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A5D13" w:rsidP="005A5D13" w:rsidRDefault="002C3C05" w14:paraId="02983C14" w14:textId="3B70FCB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ab/>
      </w:r>
      <w:r>
        <w:rPr>
          <w:b/>
          <w:bCs/>
          <w:sz w:val="24"/>
          <w:szCs w:val="24"/>
        </w:rPr>
        <w:tab/>
      </w:r>
      <w:r w:rsidRPr="005A5D13" w:rsidR="00D26123">
        <w:rPr>
          <w:b/>
          <w:bCs/>
          <w:sz w:val="24"/>
          <w:szCs w:val="24"/>
        </w:rPr>
        <w:t>3170-0001</w:t>
      </w:r>
      <w:r w:rsidRPr="005A5D13" w:rsidR="00D26123">
        <w:rPr>
          <w:sz w:val="24"/>
          <w:szCs w:val="24"/>
        </w:rPr>
        <w:t xml:space="preserve">  </w:t>
      </w:r>
    </w:p>
    <w:p w:rsidRPr="005A5D13" w:rsidR="00D85940" w:rsidP="005A5D13" w:rsidRDefault="53D00E54" w14:paraId="49C896C2" w14:textId="34967DC5">
      <w:pPr>
        <w:pStyle w:val="ListParagraph"/>
        <w:numPr>
          <w:ilvl w:val="0"/>
          <w:numId w:val="20"/>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5D13">
        <w:rPr>
          <w:color w:val="000000" w:themeColor="text1"/>
          <w:sz w:val="24"/>
          <w:szCs w:val="24"/>
        </w:rPr>
        <w:t>Section 5 of the Fair Credit and Charge Card Disclosure Act (FCCCA) of 1988</w:t>
      </w:r>
      <w:r w:rsidRPr="33F5B6BA" w:rsidR="008560B0">
        <w:rPr>
          <w:rStyle w:val="FootnoteReference"/>
          <w:color w:val="000000" w:themeColor="text1"/>
          <w:sz w:val="24"/>
          <w:szCs w:val="24"/>
        </w:rPr>
        <w:footnoteReference w:id="3"/>
      </w:r>
      <w:r w:rsidRPr="005A5D13" w:rsidR="39891751">
        <w:rPr>
          <w:rStyle w:val="FootnoteReference"/>
          <w:color w:val="000000" w:themeColor="text1"/>
          <w:sz w:val="24"/>
          <w:szCs w:val="24"/>
        </w:rPr>
        <w:t xml:space="preserve"> </w:t>
      </w:r>
      <w:r w:rsidRPr="005A5D13" w:rsidR="3B1947C9">
        <w:rPr>
          <w:sz w:val="24"/>
          <w:szCs w:val="24"/>
        </w:rPr>
        <w:t xml:space="preserve">and </w:t>
      </w:r>
      <w:r w:rsidRPr="005A5D13" w:rsidR="3B1947C9">
        <w:rPr>
          <w:color w:val="000000" w:themeColor="text1"/>
          <w:sz w:val="24"/>
          <w:szCs w:val="24"/>
        </w:rPr>
        <w:t>Section 1100A of the Dodd-Frank Wall Street Reform and Consumer Protection Act (Public Law 111-203)</w:t>
      </w:r>
      <w:r w:rsidRPr="005A5D13" w:rsidR="0035112F">
        <w:rPr>
          <w:sz w:val="24"/>
          <w:szCs w:val="24"/>
        </w:rPr>
        <w:t xml:space="preserve">, </w:t>
      </w:r>
      <w:r w:rsidR="00751C90">
        <w:rPr>
          <w:sz w:val="24"/>
          <w:szCs w:val="24"/>
        </w:rPr>
        <w:t xml:space="preserve">12 U.S.C. 5112, </w:t>
      </w:r>
      <w:r w:rsidR="001367CD">
        <w:rPr>
          <w:sz w:val="24"/>
          <w:szCs w:val="24"/>
        </w:rPr>
        <w:t>amending the Truth In Lending Act (TILA)</w:t>
      </w:r>
      <w:r w:rsidR="00751C90">
        <w:rPr>
          <w:sz w:val="24"/>
          <w:szCs w:val="24"/>
        </w:rPr>
        <w:t xml:space="preserve"> </w:t>
      </w:r>
      <w:r w:rsidR="001367CD">
        <w:rPr>
          <w:sz w:val="24"/>
          <w:szCs w:val="24"/>
        </w:rPr>
        <w:t>at 15 U.S.C. 1646</w:t>
      </w:r>
      <w:r w:rsidR="00751C90">
        <w:rPr>
          <w:sz w:val="24"/>
          <w:szCs w:val="24"/>
        </w:rPr>
        <w:t xml:space="preserve">, </w:t>
      </w:r>
      <w:r w:rsidRPr="00646D51" w:rsidR="00751C90">
        <w:rPr>
          <w:i/>
          <w:iCs/>
          <w:sz w:val="24"/>
          <w:szCs w:val="24"/>
        </w:rPr>
        <w:t>et seq</w:t>
      </w:r>
      <w:r w:rsidR="00751C90">
        <w:rPr>
          <w:sz w:val="24"/>
          <w:szCs w:val="24"/>
        </w:rPr>
        <w:t>.</w:t>
      </w:r>
      <w:r w:rsidR="001367CD">
        <w:rPr>
          <w:sz w:val="24"/>
          <w:szCs w:val="24"/>
        </w:rPr>
        <w:t>,</w:t>
      </w:r>
      <w:r w:rsidR="00A57119">
        <w:rPr>
          <w:sz w:val="24"/>
          <w:szCs w:val="24"/>
        </w:rPr>
        <w:t xml:space="preserve"> requires the Bureau to </w:t>
      </w:r>
      <w:r w:rsidRPr="005A5D13" w:rsidR="00A57119">
        <w:rPr>
          <w:sz w:val="24"/>
          <w:szCs w:val="24"/>
        </w:rPr>
        <w:t>collect data on credit card pricing and availability from a sample of at least 150 financial institutions that offer credit cards</w:t>
      </w:r>
      <w:r w:rsidR="00EA5839">
        <w:rPr>
          <w:sz w:val="24"/>
          <w:szCs w:val="24"/>
        </w:rPr>
        <w:t>, through the Terms of Credit Card Plans (TCCP) Survey</w:t>
      </w:r>
      <w:r w:rsidRPr="005A5D13" w:rsidR="00A57119">
        <w:rPr>
          <w:sz w:val="24"/>
          <w:szCs w:val="24"/>
        </w:rPr>
        <w:t xml:space="preserve">. </w:t>
      </w:r>
      <w:r w:rsidR="00A57119">
        <w:rPr>
          <w:sz w:val="24"/>
          <w:szCs w:val="24"/>
        </w:rPr>
        <w:t>T</w:t>
      </w:r>
      <w:r w:rsidRPr="005A5D13" w:rsidR="008560B0">
        <w:rPr>
          <w:sz w:val="24"/>
          <w:szCs w:val="24"/>
        </w:rPr>
        <w:t>he data enable</w:t>
      </w:r>
      <w:r w:rsidRPr="005A5D13" w:rsidR="0035112F">
        <w:rPr>
          <w:sz w:val="24"/>
          <w:szCs w:val="24"/>
        </w:rPr>
        <w:t>s</w:t>
      </w:r>
      <w:r w:rsidRPr="005A5D13" w:rsidR="00A81E75">
        <w:rPr>
          <w:sz w:val="24"/>
          <w:szCs w:val="24"/>
        </w:rPr>
        <w:t xml:space="preserve"> </w:t>
      </w:r>
      <w:r w:rsidRPr="005A5D13" w:rsidR="008560B0">
        <w:rPr>
          <w:sz w:val="24"/>
          <w:szCs w:val="24"/>
        </w:rPr>
        <w:t xml:space="preserve">the </w:t>
      </w:r>
      <w:r w:rsidRPr="005A5D13" w:rsidR="00C474DC">
        <w:rPr>
          <w:sz w:val="24"/>
          <w:szCs w:val="24"/>
        </w:rPr>
        <w:t xml:space="preserve">Bureau </w:t>
      </w:r>
      <w:r w:rsidRPr="005A5D13" w:rsidR="008560B0">
        <w:rPr>
          <w:sz w:val="24"/>
          <w:szCs w:val="24"/>
        </w:rPr>
        <w:t>present information to the public on terms of credit card plans</w:t>
      </w:r>
      <w:r w:rsidRPr="005A5D13" w:rsidR="00D85940">
        <w:rPr>
          <w:sz w:val="24"/>
          <w:szCs w:val="24"/>
        </w:rPr>
        <w:t>;</w:t>
      </w:r>
      <w:r w:rsidR="0022552A">
        <w:rPr>
          <w:sz w:val="24"/>
          <w:szCs w:val="24"/>
        </w:rPr>
        <w:t xml:space="preserve"> and </w:t>
      </w:r>
    </w:p>
    <w:p w:rsidRPr="005A5D13" w:rsidR="005A5D13" w:rsidP="005A5D13" w:rsidRDefault="005A5D13" w14:paraId="6F5ACDB4" w14:textId="6DEEC52D">
      <w:pPr>
        <w:pStyle w:val="ListParagraph"/>
        <w:widowControl/>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5A5D13">
        <w:rPr>
          <w:b/>
          <w:bCs/>
          <w:sz w:val="24"/>
          <w:szCs w:val="24"/>
        </w:rPr>
        <w:t>3170-0052</w:t>
      </w:r>
    </w:p>
    <w:p w:rsidR="00AE3AAD" w:rsidP="6B7F0614" w:rsidRDefault="00746E36" w14:paraId="25FE33C7" w14:textId="6AFAD03A">
      <w:pPr>
        <w:pStyle w:val="ListParagraph"/>
        <w:widowControl/>
        <w:numPr>
          <w:ilvl w:val="0"/>
          <w:numId w:val="14"/>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Pr="33F5B6BA" w:rsidR="0035112F">
        <w:rPr>
          <w:sz w:val="24"/>
          <w:szCs w:val="24"/>
        </w:rPr>
        <w:t xml:space="preserve">ections </w:t>
      </w:r>
      <w:r w:rsidRPr="33F5B6BA" w:rsidR="00CB1018">
        <w:rPr>
          <w:sz w:val="24"/>
          <w:szCs w:val="24"/>
        </w:rPr>
        <w:t>204 and 305 of the Credit Card Accountability Responsibility and Disclosure Act of 2009 (CARD Act</w:t>
      </w:r>
      <w:r w:rsidR="003B4B8B">
        <w:rPr>
          <w:sz w:val="24"/>
          <w:szCs w:val="24"/>
        </w:rPr>
        <w:t>, also amending TILA and other statutes</w:t>
      </w:r>
      <w:r w:rsidRPr="33F5B6BA" w:rsidR="00CB1018">
        <w:rPr>
          <w:sz w:val="24"/>
          <w:szCs w:val="24"/>
        </w:rPr>
        <w:t xml:space="preserve">) and </w:t>
      </w:r>
      <w:r w:rsidR="00AD765F">
        <w:rPr>
          <w:sz w:val="24"/>
          <w:szCs w:val="24"/>
        </w:rPr>
        <w:t xml:space="preserve">implementing regulations at </w:t>
      </w:r>
      <w:r w:rsidRPr="33F5B6BA" w:rsidR="00CB1018">
        <w:rPr>
          <w:sz w:val="24"/>
          <w:szCs w:val="24"/>
        </w:rPr>
        <w:t xml:space="preserve">12 CFR </w:t>
      </w:r>
      <w:r w:rsidRPr="33F5B6BA" w:rsidR="00430DC8">
        <w:rPr>
          <w:sz w:val="24"/>
          <w:szCs w:val="24"/>
        </w:rPr>
        <w:t>10</w:t>
      </w:r>
      <w:r w:rsidRPr="33F5B6BA" w:rsidR="00CB1018">
        <w:rPr>
          <w:sz w:val="24"/>
          <w:szCs w:val="24"/>
        </w:rPr>
        <w:t xml:space="preserve">26.57(d) and </w:t>
      </w:r>
      <w:r w:rsidR="00A57119">
        <w:rPr>
          <w:sz w:val="24"/>
          <w:szCs w:val="24"/>
        </w:rPr>
        <w:t>12 CFR 1026.58</w:t>
      </w:r>
      <w:r w:rsidRPr="33F5B6BA" w:rsidR="00CB1018">
        <w:rPr>
          <w:sz w:val="24"/>
          <w:szCs w:val="24"/>
        </w:rPr>
        <w:t xml:space="preserve"> require card issuers to submit to the Bureau</w:t>
      </w:r>
      <w:r w:rsidR="009745F9">
        <w:rPr>
          <w:sz w:val="24"/>
          <w:szCs w:val="24"/>
        </w:rPr>
        <w:t>:</w:t>
      </w:r>
      <w:r w:rsidRPr="33F5B6BA" w:rsidR="00CB1018">
        <w:rPr>
          <w:sz w:val="24"/>
          <w:szCs w:val="24"/>
        </w:rPr>
        <w:t xml:space="preserve"> </w:t>
      </w:r>
    </w:p>
    <w:p w:rsidRPr="00CB1018" w:rsidR="00CB1018" w:rsidP="006E1FD4" w:rsidRDefault="00CB1018" w14:paraId="3C48DC05" w14:textId="0BFFEEED">
      <w:pPr>
        <w:pStyle w:val="ListParagraph"/>
        <w:widowControl/>
        <w:numPr>
          <w:ilvl w:val="1"/>
          <w:numId w:val="14"/>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33F5B6BA">
        <w:rPr>
          <w:sz w:val="24"/>
          <w:szCs w:val="24"/>
        </w:rPr>
        <w:lastRenderedPageBreak/>
        <w:t xml:space="preserve">agreements between the issuer and a consumer under a credit card account for an open-end consumer credit plan; and </w:t>
      </w:r>
    </w:p>
    <w:p w:rsidRPr="00CB1018" w:rsidR="00CB1018" w:rsidP="006E1FD4" w:rsidRDefault="00CB1018" w14:paraId="522D76BE" w14:textId="77777777">
      <w:pPr>
        <w:pStyle w:val="ListParagraph"/>
        <w:widowControl/>
        <w:numPr>
          <w:ilvl w:val="1"/>
          <w:numId w:val="14"/>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33F5B6BA">
        <w:rPr>
          <w:sz w:val="24"/>
          <w:szCs w:val="24"/>
        </w:rPr>
        <w:t>any college credit card agreements to which the issuer is a party and certain additional information regarding those agreements.</w:t>
      </w:r>
      <w:r>
        <w:br/>
      </w:r>
    </w:p>
    <w:p w:rsidRPr="009B61EA" w:rsidR="00CB1018" w:rsidP="6B7F0614" w:rsidRDefault="002A49F6" w14:paraId="35314971" w14:textId="3D41588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4"/>
          <w:szCs w:val="24"/>
        </w:rPr>
        <w:t>When combined, t</w:t>
      </w:r>
      <w:r w:rsidRPr="6B7F0614" w:rsidR="00CB1018">
        <w:rPr>
          <w:sz w:val="24"/>
          <w:szCs w:val="24"/>
        </w:rPr>
        <w:t>he</w:t>
      </w:r>
      <w:r w:rsidRPr="6B7F0614" w:rsidR="003B7D75">
        <w:rPr>
          <w:sz w:val="24"/>
          <w:szCs w:val="24"/>
        </w:rPr>
        <w:t>se</w:t>
      </w:r>
      <w:r w:rsidRPr="6B7F0614" w:rsidR="00CB1018">
        <w:rPr>
          <w:sz w:val="24"/>
          <w:szCs w:val="24"/>
        </w:rPr>
        <w:t xml:space="preserve"> data collections </w:t>
      </w:r>
      <w:r>
        <w:rPr>
          <w:sz w:val="24"/>
          <w:szCs w:val="24"/>
        </w:rPr>
        <w:t xml:space="preserve">will </w:t>
      </w:r>
      <w:r w:rsidRPr="6B7F0614" w:rsidR="00CB1018">
        <w:rPr>
          <w:sz w:val="24"/>
          <w:szCs w:val="24"/>
        </w:rPr>
        <w:t xml:space="preserve">enable the Bureau to provide </w:t>
      </w:r>
      <w:r w:rsidRPr="6B7F0614" w:rsidR="00430DC8">
        <w:rPr>
          <w:sz w:val="24"/>
          <w:szCs w:val="24"/>
        </w:rPr>
        <w:t>Congress and the public</w:t>
      </w:r>
      <w:r w:rsidRPr="6B7F0614" w:rsidR="00CB1018">
        <w:rPr>
          <w:sz w:val="24"/>
          <w:szCs w:val="24"/>
        </w:rPr>
        <w:t xml:space="preserve"> with a centralized </w:t>
      </w:r>
      <w:r w:rsidR="009745F9">
        <w:rPr>
          <w:sz w:val="24"/>
          <w:szCs w:val="24"/>
        </w:rPr>
        <w:t>r</w:t>
      </w:r>
      <w:r w:rsidRPr="6B7F0614" w:rsidR="009745F9">
        <w:rPr>
          <w:sz w:val="24"/>
          <w:szCs w:val="24"/>
        </w:rPr>
        <w:t xml:space="preserve">epository </w:t>
      </w:r>
      <w:r w:rsidRPr="6B7F0614" w:rsidR="00CB1018">
        <w:rPr>
          <w:sz w:val="24"/>
          <w:szCs w:val="24"/>
        </w:rPr>
        <w:t>for consumer and college credit card agreements and information regarding the arrangements between financial institutions and institutions of higher education</w:t>
      </w:r>
      <w:r w:rsidRPr="6B7F0614" w:rsidR="00CB1018">
        <w:rPr>
          <w:sz w:val="22"/>
          <w:szCs w:val="22"/>
        </w:rPr>
        <w:t xml:space="preserve">.  </w:t>
      </w:r>
    </w:p>
    <w:p w:rsidRPr="00983DCE" w:rsidR="008560B0" w:rsidRDefault="008560B0" w14:paraId="3EA8166E" w14:textId="7AA1BF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295103" w:rsidP="00BC5C20" w:rsidRDefault="00BC5C20" w14:paraId="517143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83DCE">
        <w:rPr>
          <w:b/>
          <w:bCs/>
          <w:sz w:val="24"/>
          <w:szCs w:val="24"/>
          <w:u w:val="single"/>
        </w:rPr>
        <w:t>JUSTIFICATION</w:t>
      </w:r>
    </w:p>
    <w:p w:rsidRPr="00983DCE" w:rsidR="00295103" w:rsidRDefault="00295103" w14:paraId="014A2C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295103" w:rsidRDefault="00295103" w14:paraId="15976A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3DCE">
        <w:rPr>
          <w:b/>
          <w:sz w:val="24"/>
          <w:szCs w:val="24"/>
        </w:rPr>
        <w:t>1.</w:t>
      </w:r>
      <w:r w:rsidRPr="00983DCE">
        <w:rPr>
          <w:b/>
          <w:sz w:val="24"/>
          <w:szCs w:val="24"/>
        </w:rPr>
        <w:tab/>
      </w:r>
      <w:r w:rsidRPr="00983DCE" w:rsidR="00BC5C20">
        <w:rPr>
          <w:b/>
          <w:sz w:val="24"/>
          <w:szCs w:val="24"/>
          <w:u w:val="single"/>
        </w:rPr>
        <w:t>Circumstances Necessitating the Data Collection</w:t>
      </w:r>
    </w:p>
    <w:p w:rsidRPr="00983DCE" w:rsidR="008560B0" w:rsidRDefault="008560B0" w14:paraId="6CECEB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6213" w:rsidR="004B38AE" w:rsidP="6B7F0614" w:rsidRDefault="00EA5839" w14:paraId="5795E165" w14:textId="3CAA9743">
      <w:pPr>
        <w:rPr>
          <w:color w:val="000000"/>
          <w:sz w:val="24"/>
          <w:szCs w:val="24"/>
          <w:u w:val="single"/>
        </w:rPr>
      </w:pPr>
      <w:r>
        <w:rPr>
          <w:color w:val="000000" w:themeColor="text1"/>
          <w:sz w:val="24"/>
          <w:szCs w:val="24"/>
          <w:u w:val="single"/>
        </w:rPr>
        <w:t>Terms of Credit Card Plans Survey</w:t>
      </w:r>
    </w:p>
    <w:p w:rsidRPr="004B38AE" w:rsidR="004B38AE" w:rsidP="004B38AE" w:rsidRDefault="004B38AE" w14:paraId="6716C139" w14:textId="77777777">
      <w:pPr>
        <w:rPr>
          <w:i/>
          <w:iCs/>
          <w:color w:val="000000"/>
          <w:sz w:val="24"/>
          <w:szCs w:val="24"/>
          <w:u w:val="single"/>
        </w:rPr>
      </w:pPr>
    </w:p>
    <w:p w:rsidRPr="00983DCE" w:rsidR="00D13BDC" w:rsidP="00C32E6F" w:rsidRDefault="00A81E75" w14:paraId="581FBCB4" w14:textId="133E00AF">
      <w:pPr>
        <w:rPr>
          <w:color w:val="000000"/>
          <w:sz w:val="24"/>
          <w:szCs w:val="24"/>
        </w:rPr>
      </w:pPr>
      <w:r w:rsidRPr="00983DCE">
        <w:rPr>
          <w:color w:val="000000"/>
          <w:sz w:val="24"/>
          <w:szCs w:val="24"/>
        </w:rPr>
        <w:t>T</w:t>
      </w:r>
      <w:r w:rsidRPr="00983DCE" w:rsidR="008F3DE2">
        <w:rPr>
          <w:color w:val="000000"/>
          <w:sz w:val="24"/>
          <w:szCs w:val="24"/>
        </w:rPr>
        <w:t xml:space="preserve">he </w:t>
      </w:r>
      <w:r w:rsidR="00EA5839">
        <w:rPr>
          <w:color w:val="000000"/>
          <w:sz w:val="24"/>
          <w:szCs w:val="24"/>
        </w:rPr>
        <w:t>Terms of Credit Card Plans (TCCP) Survey</w:t>
      </w:r>
      <w:r w:rsidR="008F6374">
        <w:rPr>
          <w:rStyle w:val="FootnoteReference"/>
          <w:color w:val="000000"/>
          <w:sz w:val="24"/>
          <w:szCs w:val="24"/>
        </w:rPr>
        <w:footnoteReference w:id="4"/>
      </w:r>
      <w:r w:rsidRPr="00983DCE" w:rsidR="008F3DE2">
        <w:rPr>
          <w:color w:val="000000"/>
          <w:sz w:val="24"/>
          <w:szCs w:val="24"/>
        </w:rPr>
        <w:t xml:space="preserve"> was implemented in February 1990 as required by Section 5 of the Fair Credit and Charge Card Disclosure Act (FCCCA) of 1988.</w:t>
      </w:r>
      <w:r w:rsidRPr="00983DCE" w:rsidR="008F3DE2">
        <w:rPr>
          <w:rStyle w:val="FootnoteReference"/>
          <w:color w:val="000000"/>
          <w:sz w:val="24"/>
          <w:szCs w:val="24"/>
        </w:rPr>
        <w:footnoteReference w:id="5"/>
      </w:r>
      <w:r w:rsidRPr="00983DCE" w:rsidR="00C474DC">
        <w:rPr>
          <w:color w:val="000000"/>
          <w:sz w:val="24"/>
          <w:szCs w:val="24"/>
        </w:rPr>
        <w:t xml:space="preserve"> </w:t>
      </w:r>
      <w:r w:rsidRPr="00983DCE" w:rsidR="008F3DE2">
        <w:rPr>
          <w:color w:val="000000"/>
          <w:sz w:val="24"/>
          <w:szCs w:val="24"/>
        </w:rPr>
        <w:t>Each respondent provides information about its credit card plan with the largest outstanding number of cards.</w:t>
      </w:r>
      <w:r w:rsidRPr="00983DCE" w:rsidR="00C474DC">
        <w:rPr>
          <w:color w:val="000000"/>
          <w:sz w:val="24"/>
          <w:szCs w:val="24"/>
        </w:rPr>
        <w:t xml:space="preserve"> </w:t>
      </w:r>
      <w:r w:rsidRPr="00983DCE" w:rsidR="008F3DE2">
        <w:rPr>
          <w:color w:val="000000"/>
          <w:sz w:val="24"/>
          <w:szCs w:val="24"/>
        </w:rPr>
        <w:t>The FCCCA require</w:t>
      </w:r>
      <w:r w:rsidRPr="00983DCE" w:rsidR="00F04E3A">
        <w:rPr>
          <w:color w:val="000000"/>
          <w:sz w:val="24"/>
          <w:szCs w:val="24"/>
        </w:rPr>
        <w:t>d</w:t>
      </w:r>
      <w:r w:rsidRPr="00983DCE" w:rsidR="008F3DE2">
        <w:rPr>
          <w:color w:val="000000"/>
          <w:sz w:val="24"/>
          <w:szCs w:val="24"/>
        </w:rPr>
        <w:t xml:space="preserve"> the Federal Reserve to collect this information semiannually from the largest 25 issuers of credit cards and at least 125 additional institutions in a manner that </w:t>
      </w:r>
      <w:r w:rsidRPr="00983DCE" w:rsidR="008E37FA">
        <w:rPr>
          <w:color w:val="000000"/>
          <w:sz w:val="24"/>
          <w:szCs w:val="24"/>
        </w:rPr>
        <w:t>ensure</w:t>
      </w:r>
      <w:r w:rsidR="008E37FA">
        <w:rPr>
          <w:color w:val="000000"/>
          <w:sz w:val="24"/>
          <w:szCs w:val="24"/>
        </w:rPr>
        <w:t>d</w:t>
      </w:r>
      <w:r w:rsidRPr="00983DCE" w:rsidR="008E37FA">
        <w:rPr>
          <w:color w:val="000000"/>
          <w:sz w:val="24"/>
          <w:szCs w:val="24"/>
        </w:rPr>
        <w:t xml:space="preserve"> </w:t>
      </w:r>
      <w:r w:rsidRPr="00983DCE" w:rsidR="008F3DE2">
        <w:rPr>
          <w:color w:val="000000"/>
          <w:sz w:val="24"/>
          <w:szCs w:val="24"/>
        </w:rPr>
        <w:t>both an equitable geographic distribution within the sample and representation of a wide spectrum of institutions.</w:t>
      </w:r>
      <w:r w:rsidRPr="00983DCE" w:rsidR="00C474DC">
        <w:rPr>
          <w:color w:val="000000"/>
          <w:sz w:val="24"/>
          <w:szCs w:val="24"/>
        </w:rPr>
        <w:t xml:space="preserve"> </w:t>
      </w:r>
      <w:r w:rsidRPr="00983DCE" w:rsidR="008F3DE2">
        <w:rPr>
          <w:color w:val="000000"/>
          <w:sz w:val="24"/>
          <w:szCs w:val="24"/>
        </w:rPr>
        <w:t xml:space="preserve">The Federal Reserve </w:t>
      </w:r>
      <w:r w:rsidRPr="00983DCE" w:rsidR="00153BC9">
        <w:rPr>
          <w:color w:val="000000"/>
          <w:sz w:val="24"/>
          <w:szCs w:val="24"/>
        </w:rPr>
        <w:t>was further</w:t>
      </w:r>
      <w:r w:rsidRPr="00983DCE" w:rsidR="008F3DE2">
        <w:rPr>
          <w:color w:val="000000"/>
          <w:sz w:val="24"/>
          <w:szCs w:val="24"/>
        </w:rPr>
        <w:t xml:space="preserve"> directed to make the credit card price information for each institution available to the public upon request and to report the information semiannually to Congress</w:t>
      </w:r>
      <w:r w:rsidRPr="00983DCE" w:rsidR="00590571">
        <w:rPr>
          <w:color w:val="000000"/>
          <w:sz w:val="24"/>
          <w:szCs w:val="24"/>
        </w:rPr>
        <w:t>.</w:t>
      </w:r>
    </w:p>
    <w:p w:rsidRPr="00983DCE" w:rsidR="008F3DE2" w:rsidP="00C32E6F" w:rsidRDefault="008F3DE2" w14:paraId="54972CB7" w14:textId="77777777">
      <w:pPr>
        <w:rPr>
          <w:color w:val="000000"/>
          <w:sz w:val="24"/>
          <w:szCs w:val="24"/>
        </w:rPr>
      </w:pPr>
    </w:p>
    <w:p w:rsidRPr="00983DCE" w:rsidR="008F3DE2" w:rsidP="00C32E6F" w:rsidRDefault="004C6168" w14:paraId="469B54D4" w14:textId="4CACF824">
      <w:pPr>
        <w:rPr>
          <w:color w:val="000000"/>
          <w:sz w:val="24"/>
          <w:szCs w:val="24"/>
        </w:rPr>
      </w:pPr>
      <w:r w:rsidRPr="00983DCE">
        <w:rPr>
          <w:color w:val="000000"/>
          <w:sz w:val="24"/>
          <w:szCs w:val="24"/>
        </w:rPr>
        <w:t xml:space="preserve">FCCCA </w:t>
      </w:r>
      <w:r w:rsidR="00BE0ECA">
        <w:rPr>
          <w:color w:val="000000"/>
          <w:sz w:val="24"/>
          <w:szCs w:val="24"/>
        </w:rPr>
        <w:t>requirements</w:t>
      </w:r>
      <w:r w:rsidRPr="00983DCE">
        <w:rPr>
          <w:color w:val="000000"/>
          <w:sz w:val="24"/>
          <w:szCs w:val="24"/>
        </w:rPr>
        <w:t xml:space="preserve"> do not specify why the credit card reports are required.</w:t>
      </w:r>
      <w:r w:rsidRPr="00983DCE" w:rsidR="00C474DC">
        <w:rPr>
          <w:color w:val="000000"/>
          <w:sz w:val="24"/>
          <w:szCs w:val="24"/>
        </w:rPr>
        <w:t xml:space="preserve"> </w:t>
      </w:r>
      <w:r w:rsidRPr="00983DCE" w:rsidR="008F3DE2">
        <w:rPr>
          <w:color w:val="000000"/>
          <w:sz w:val="24"/>
          <w:szCs w:val="24"/>
        </w:rPr>
        <w:t xml:space="preserve">In this context, the credit card reports are </w:t>
      </w:r>
      <w:proofErr w:type="gramStart"/>
      <w:r w:rsidRPr="00983DCE" w:rsidR="008F3DE2">
        <w:rPr>
          <w:color w:val="000000"/>
          <w:sz w:val="24"/>
          <w:szCs w:val="24"/>
        </w:rPr>
        <w:t>similar to</w:t>
      </w:r>
      <w:proofErr w:type="gramEnd"/>
      <w:r w:rsidRPr="00983DCE" w:rsidR="008F3DE2">
        <w:rPr>
          <w:color w:val="000000"/>
          <w:sz w:val="24"/>
          <w:szCs w:val="24"/>
        </w:rPr>
        <w:t xml:space="preserve"> the Shopper</w:t>
      </w:r>
      <w:r w:rsidR="00932A14">
        <w:rPr>
          <w:color w:val="000000"/>
          <w:sz w:val="24"/>
          <w:szCs w:val="24"/>
        </w:rPr>
        <w:t>’</w:t>
      </w:r>
      <w:r w:rsidRPr="00983DCE" w:rsidR="008F3DE2">
        <w:rPr>
          <w:color w:val="000000"/>
          <w:sz w:val="24"/>
          <w:szCs w:val="24"/>
        </w:rPr>
        <w:t>s Guide to Credit that the Federal Reserve prepared as required by law for the Annual Percentage Rate Demonstration Project in 1984 and 1985.</w:t>
      </w:r>
      <w:r w:rsidRPr="00983DCE" w:rsidR="008F3DE2">
        <w:rPr>
          <w:rStyle w:val="FootnoteReference"/>
          <w:color w:val="000000"/>
          <w:sz w:val="24"/>
          <w:szCs w:val="24"/>
        </w:rPr>
        <w:footnoteReference w:id="6"/>
      </w:r>
    </w:p>
    <w:p w:rsidRPr="00983DCE" w:rsidR="008F3DE2" w:rsidP="00C32E6F" w:rsidRDefault="008F3DE2" w14:paraId="501215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1701B2" w:rsidP="00C32E6F" w:rsidRDefault="008F3DE2" w14:paraId="741D5CFA" w14:textId="549562DD">
      <w:pPr>
        <w:widowControl/>
        <w:autoSpaceDE/>
        <w:autoSpaceDN/>
        <w:adjustRightInd/>
        <w:rPr>
          <w:color w:val="000000"/>
          <w:sz w:val="24"/>
          <w:szCs w:val="24"/>
        </w:rPr>
      </w:pPr>
      <w:r w:rsidRPr="6B7F0614">
        <w:rPr>
          <w:color w:val="000000" w:themeColor="text1"/>
          <w:sz w:val="24"/>
          <w:szCs w:val="24"/>
        </w:rPr>
        <w:t>Section 1100A of the Dodd-Frank Wall Street Reform and Consumer Protection Act (</w:t>
      </w:r>
      <w:r w:rsidRPr="6B7F0614" w:rsidR="00786B07">
        <w:rPr>
          <w:color w:val="000000" w:themeColor="text1"/>
          <w:sz w:val="24"/>
          <w:szCs w:val="24"/>
        </w:rPr>
        <w:t xml:space="preserve">also known as the </w:t>
      </w:r>
      <w:r w:rsidRPr="6B7F0614">
        <w:rPr>
          <w:color w:val="000000" w:themeColor="text1"/>
          <w:sz w:val="24"/>
          <w:szCs w:val="24"/>
        </w:rPr>
        <w:t>Dodd-Frank Act</w:t>
      </w:r>
      <w:r w:rsidRPr="6B7F0614" w:rsidR="00786B07">
        <w:rPr>
          <w:color w:val="000000" w:themeColor="text1"/>
          <w:sz w:val="24"/>
          <w:szCs w:val="24"/>
        </w:rPr>
        <w:t xml:space="preserve">; </w:t>
      </w:r>
      <w:r w:rsidRPr="6B7F0614">
        <w:rPr>
          <w:color w:val="000000" w:themeColor="text1"/>
          <w:sz w:val="24"/>
          <w:szCs w:val="24"/>
        </w:rPr>
        <w:t>Public Law 111-203</w:t>
      </w:r>
      <w:r w:rsidRPr="6B7F0614" w:rsidR="00786B07">
        <w:rPr>
          <w:color w:val="000000" w:themeColor="text1"/>
          <w:sz w:val="24"/>
          <w:szCs w:val="24"/>
        </w:rPr>
        <w:t>)</w:t>
      </w:r>
      <w:r w:rsidRPr="6B7F0614">
        <w:rPr>
          <w:color w:val="000000" w:themeColor="text1"/>
          <w:sz w:val="24"/>
          <w:szCs w:val="24"/>
        </w:rPr>
        <w:t xml:space="preserve"> transferred the </w:t>
      </w:r>
      <w:r w:rsidR="009745F9">
        <w:rPr>
          <w:color w:val="000000" w:themeColor="text1"/>
          <w:sz w:val="24"/>
          <w:szCs w:val="24"/>
        </w:rPr>
        <w:t>requirement</w:t>
      </w:r>
      <w:r w:rsidRPr="6B7F0614" w:rsidR="009745F9">
        <w:rPr>
          <w:color w:val="000000" w:themeColor="text1"/>
          <w:sz w:val="24"/>
          <w:szCs w:val="24"/>
        </w:rPr>
        <w:t xml:space="preserve"> </w:t>
      </w:r>
      <w:r w:rsidRPr="6B7F0614">
        <w:rPr>
          <w:color w:val="000000" w:themeColor="text1"/>
          <w:sz w:val="24"/>
          <w:szCs w:val="24"/>
        </w:rPr>
        <w:t xml:space="preserve">to conduct the semiannual </w:t>
      </w:r>
      <w:r w:rsidR="00EA5839">
        <w:rPr>
          <w:color w:val="000000" w:themeColor="text1"/>
          <w:sz w:val="24"/>
          <w:szCs w:val="24"/>
        </w:rPr>
        <w:t>TCCP Survey</w:t>
      </w:r>
      <w:r w:rsidRPr="6B7F0614">
        <w:rPr>
          <w:color w:val="000000" w:themeColor="text1"/>
          <w:sz w:val="24"/>
          <w:szCs w:val="24"/>
        </w:rPr>
        <w:t xml:space="preserve"> from the Federal Reserve Board to the </w:t>
      </w:r>
      <w:r w:rsidRPr="6B7F0614" w:rsidR="004946F4">
        <w:rPr>
          <w:color w:val="000000" w:themeColor="text1"/>
          <w:sz w:val="24"/>
          <w:szCs w:val="24"/>
        </w:rPr>
        <w:t>Bureau</w:t>
      </w:r>
      <w:r w:rsidRPr="6B7F0614" w:rsidR="004734C7">
        <w:rPr>
          <w:color w:val="000000" w:themeColor="text1"/>
          <w:sz w:val="24"/>
          <w:szCs w:val="24"/>
        </w:rPr>
        <w:t xml:space="preserve"> </w:t>
      </w:r>
      <w:r w:rsidRPr="6B7F0614">
        <w:rPr>
          <w:color w:val="000000" w:themeColor="text1"/>
          <w:sz w:val="24"/>
          <w:szCs w:val="24"/>
        </w:rPr>
        <w:t>on July 21, 2011.</w:t>
      </w:r>
      <w:r w:rsidRPr="6B7F0614" w:rsidR="00C474DC">
        <w:rPr>
          <w:color w:val="000000" w:themeColor="text1"/>
          <w:sz w:val="24"/>
          <w:szCs w:val="24"/>
        </w:rPr>
        <w:t xml:space="preserve"> </w:t>
      </w:r>
      <w:r w:rsidRPr="6B7F0614" w:rsidR="004734C7">
        <w:rPr>
          <w:color w:val="000000" w:themeColor="text1"/>
          <w:sz w:val="24"/>
          <w:szCs w:val="24"/>
        </w:rPr>
        <w:t xml:space="preserve">The Bureau </w:t>
      </w:r>
      <w:r w:rsidRPr="6B7F0614" w:rsidR="00926FE9">
        <w:rPr>
          <w:color w:val="000000" w:themeColor="text1"/>
          <w:sz w:val="24"/>
          <w:szCs w:val="24"/>
        </w:rPr>
        <w:t>began</w:t>
      </w:r>
      <w:r w:rsidRPr="6B7F0614">
        <w:rPr>
          <w:color w:val="000000" w:themeColor="text1"/>
          <w:sz w:val="24"/>
          <w:szCs w:val="24"/>
        </w:rPr>
        <w:t xml:space="preserve"> to collect this information starting July 31, 2012</w:t>
      </w:r>
      <w:r w:rsidRPr="6B7F0614" w:rsidR="00B838B9">
        <w:rPr>
          <w:color w:val="000000" w:themeColor="text1"/>
          <w:sz w:val="24"/>
          <w:szCs w:val="24"/>
        </w:rPr>
        <w:t>,</w:t>
      </w:r>
      <w:r w:rsidRPr="6B7F0614">
        <w:rPr>
          <w:color w:val="000000" w:themeColor="text1"/>
          <w:sz w:val="24"/>
          <w:szCs w:val="24"/>
        </w:rPr>
        <w:t xml:space="preserve"> and the credit card plan information is </w:t>
      </w:r>
      <w:r w:rsidRPr="6B7F0614" w:rsidR="000552AF">
        <w:rPr>
          <w:color w:val="000000" w:themeColor="text1"/>
          <w:sz w:val="24"/>
          <w:szCs w:val="24"/>
        </w:rPr>
        <w:t xml:space="preserve">now also </w:t>
      </w:r>
      <w:r w:rsidRPr="6B7F0614">
        <w:rPr>
          <w:color w:val="000000" w:themeColor="text1"/>
          <w:sz w:val="24"/>
          <w:szCs w:val="24"/>
        </w:rPr>
        <w:t xml:space="preserve">available at </w:t>
      </w:r>
      <w:hyperlink r:id="rId13">
        <w:r w:rsidRPr="6B7F0614" w:rsidR="00F62370">
          <w:rPr>
            <w:color w:val="000000" w:themeColor="text1"/>
            <w:sz w:val="24"/>
            <w:szCs w:val="24"/>
          </w:rPr>
          <w:t>http://www.consumerfinance.gov/credit-cards/</w:t>
        </w:r>
      </w:hyperlink>
      <w:r w:rsidRPr="6B7F0614" w:rsidR="00F62370">
        <w:rPr>
          <w:color w:val="000000" w:themeColor="text1"/>
          <w:sz w:val="24"/>
          <w:szCs w:val="24"/>
        </w:rPr>
        <w:t>.</w:t>
      </w:r>
    </w:p>
    <w:p w:rsidRPr="00C67FF7" w:rsidR="00DA51EA" w:rsidP="00C67FF7" w:rsidRDefault="00DA51EA" w14:paraId="1732BF8C" w14:textId="77777777">
      <w:pPr>
        <w:rPr>
          <w:color w:val="000000"/>
          <w:sz w:val="24"/>
          <w:szCs w:val="24"/>
        </w:rPr>
      </w:pPr>
    </w:p>
    <w:p w:rsidRPr="00376B51" w:rsidR="00DA51EA" w:rsidP="00C67FF7" w:rsidRDefault="00DA51EA" w14:paraId="10EB1409" w14:textId="2F0CDF71">
      <w:pPr>
        <w:rPr>
          <w:color w:val="000000"/>
          <w:sz w:val="24"/>
          <w:szCs w:val="24"/>
          <w:u w:val="single"/>
        </w:rPr>
      </w:pPr>
      <w:r w:rsidRPr="00376B51">
        <w:rPr>
          <w:color w:val="000000"/>
          <w:sz w:val="24"/>
          <w:szCs w:val="24"/>
          <w:u w:val="single"/>
        </w:rPr>
        <w:t>Consumer Credit Card Agreement Quarterly Submission</w:t>
      </w:r>
    </w:p>
    <w:p w:rsidRPr="00C67FF7" w:rsidR="00430DC8" w:rsidP="00C67FF7" w:rsidRDefault="00430DC8" w14:paraId="4E46E236" w14:textId="77777777">
      <w:pPr>
        <w:rPr>
          <w:color w:val="000000"/>
          <w:sz w:val="24"/>
          <w:szCs w:val="24"/>
        </w:rPr>
      </w:pPr>
    </w:p>
    <w:p w:rsidRPr="00C67FF7" w:rsidR="00DA51EA" w:rsidP="00C67FF7" w:rsidRDefault="00DA51EA" w14:paraId="256C5D43" w14:textId="01FE93ED">
      <w:pPr>
        <w:rPr>
          <w:color w:val="000000"/>
          <w:sz w:val="24"/>
          <w:szCs w:val="24"/>
        </w:rPr>
      </w:pPr>
      <w:r w:rsidRPr="00C67FF7">
        <w:rPr>
          <w:color w:val="000000"/>
          <w:sz w:val="24"/>
          <w:szCs w:val="24"/>
        </w:rPr>
        <w:t xml:space="preserve">On July 21, 2011, the Bureau assumed responsibility under the CARD Act for </w:t>
      </w:r>
      <w:r w:rsidR="008E37FA">
        <w:rPr>
          <w:color w:val="000000"/>
          <w:sz w:val="24"/>
          <w:szCs w:val="24"/>
        </w:rPr>
        <w:t xml:space="preserve">the </w:t>
      </w:r>
      <w:r w:rsidRPr="00C67FF7">
        <w:rPr>
          <w:color w:val="000000"/>
          <w:sz w:val="24"/>
          <w:szCs w:val="24"/>
        </w:rPr>
        <w:t xml:space="preserve">quarterly collecting </w:t>
      </w:r>
      <w:r w:rsidR="008E37FA">
        <w:rPr>
          <w:color w:val="000000"/>
          <w:sz w:val="24"/>
          <w:szCs w:val="24"/>
        </w:rPr>
        <w:t xml:space="preserve">of </w:t>
      </w:r>
      <w:r w:rsidRPr="00C67FF7">
        <w:rPr>
          <w:color w:val="000000"/>
          <w:sz w:val="24"/>
          <w:szCs w:val="24"/>
        </w:rPr>
        <w:t>credit card agreements in a publicly available database. Pursuant to 12 CFR</w:t>
      </w:r>
      <w:r w:rsidR="005476A0">
        <w:rPr>
          <w:color w:val="000000"/>
          <w:sz w:val="24"/>
          <w:szCs w:val="24"/>
        </w:rPr>
        <w:t xml:space="preserve"> </w:t>
      </w:r>
      <w:r w:rsidRPr="00C67FF7">
        <w:rPr>
          <w:color w:val="000000"/>
          <w:sz w:val="24"/>
          <w:szCs w:val="24"/>
        </w:rPr>
        <w:t>1026.58 and 15 U.S.C. 1632(d)(2)</w:t>
      </w:r>
      <w:proofErr w:type="gramStart"/>
      <w:r w:rsidRPr="00C67FF7">
        <w:rPr>
          <w:color w:val="000000"/>
          <w:sz w:val="24"/>
          <w:szCs w:val="24"/>
        </w:rPr>
        <w:t>–(</w:t>
      </w:r>
      <w:proofErr w:type="gramEnd"/>
      <w:r w:rsidRPr="00C67FF7">
        <w:rPr>
          <w:color w:val="000000"/>
          <w:sz w:val="24"/>
          <w:szCs w:val="24"/>
        </w:rPr>
        <w:t xml:space="preserve">3), collection is mandated for all issuers (subject to de minimis exceptions), and the scope of the mandate may require submission of multiple different agreements for each issuer. </w:t>
      </w:r>
      <w:r w:rsidRPr="00F445C5">
        <w:rPr>
          <w:i/>
          <w:iCs/>
          <w:color w:val="000000"/>
          <w:sz w:val="24"/>
          <w:szCs w:val="24"/>
        </w:rPr>
        <w:t>See</w:t>
      </w:r>
      <w:r w:rsidRPr="00C67FF7">
        <w:rPr>
          <w:color w:val="000000"/>
          <w:sz w:val="24"/>
          <w:szCs w:val="24"/>
        </w:rPr>
        <w:t xml:space="preserve"> 15 U.S.C. 1632(d)(2) (“Each creditor shall provide to the Bureau, in electronic format, the consumer credit card agreements that it publishes </w:t>
      </w:r>
      <w:proofErr w:type="gramStart"/>
      <w:r w:rsidRPr="00C67FF7">
        <w:rPr>
          <w:color w:val="000000"/>
          <w:sz w:val="24"/>
          <w:szCs w:val="24"/>
        </w:rPr>
        <w:t>. . . .</w:t>
      </w:r>
      <w:proofErr w:type="gramEnd"/>
      <w:r w:rsidRPr="00C67FF7">
        <w:rPr>
          <w:color w:val="000000"/>
          <w:sz w:val="24"/>
          <w:szCs w:val="24"/>
        </w:rPr>
        <w:t>”) (emphasis added</w:t>
      </w:r>
      <w:proofErr w:type="gramStart"/>
      <w:r w:rsidRPr="00C67FF7">
        <w:rPr>
          <w:color w:val="000000"/>
          <w:sz w:val="24"/>
          <w:szCs w:val="24"/>
        </w:rPr>
        <w:t>);</w:t>
      </w:r>
      <w:proofErr w:type="gramEnd"/>
      <w:r w:rsidRPr="00C67FF7">
        <w:rPr>
          <w:color w:val="000000"/>
          <w:sz w:val="24"/>
          <w:szCs w:val="24"/>
        </w:rPr>
        <w:t xml:space="preserve"> </w:t>
      </w:r>
      <w:r w:rsidRPr="00F445C5">
        <w:rPr>
          <w:i/>
          <w:iCs/>
          <w:color w:val="000000"/>
          <w:sz w:val="24"/>
          <w:szCs w:val="24"/>
        </w:rPr>
        <w:t>id</w:t>
      </w:r>
      <w:r w:rsidRPr="00C67FF7">
        <w:rPr>
          <w:color w:val="000000"/>
          <w:sz w:val="24"/>
          <w:szCs w:val="24"/>
        </w:rPr>
        <w:t xml:space="preserve">. </w:t>
      </w:r>
      <w:r w:rsidR="00B05AFB">
        <w:rPr>
          <w:color w:val="000000"/>
          <w:sz w:val="24"/>
          <w:szCs w:val="24"/>
        </w:rPr>
        <w:t xml:space="preserve">at </w:t>
      </w:r>
      <w:r w:rsidRPr="00C67FF7">
        <w:rPr>
          <w:color w:val="000000"/>
          <w:sz w:val="24"/>
          <w:szCs w:val="24"/>
        </w:rPr>
        <w:t>1632(d)(3) (“The Bureau shall establish and maintain on its publicly available Internet site a central repository of the consumer credit card agreements received from creditors pursuant to this subsection, and such agreements shall be easily accessible and retrievable by the public.”) (emphasis added).</w:t>
      </w:r>
    </w:p>
    <w:p w:rsidR="00430DC8" w:rsidP="00C67FF7" w:rsidRDefault="00430DC8" w14:paraId="3A48FF98" w14:textId="77777777">
      <w:pPr>
        <w:rPr>
          <w:color w:val="000000"/>
          <w:sz w:val="24"/>
          <w:szCs w:val="24"/>
        </w:rPr>
      </w:pPr>
    </w:p>
    <w:p w:rsidRPr="00376B51" w:rsidR="00DA51EA" w:rsidP="00C67FF7" w:rsidRDefault="00DA51EA" w14:paraId="49428B76" w14:textId="08E75DF9">
      <w:pPr>
        <w:rPr>
          <w:color w:val="000000"/>
          <w:sz w:val="24"/>
          <w:szCs w:val="24"/>
          <w:u w:val="single"/>
        </w:rPr>
      </w:pPr>
      <w:r w:rsidRPr="00376B51">
        <w:rPr>
          <w:color w:val="000000"/>
          <w:sz w:val="24"/>
          <w:szCs w:val="24"/>
          <w:u w:val="single"/>
        </w:rPr>
        <w:t>College Credit Card Agreement Annual Submission</w:t>
      </w:r>
    </w:p>
    <w:p w:rsidR="00430DC8" w:rsidP="00DA51EA" w:rsidRDefault="00430DC8" w14:paraId="295A268C" w14:textId="77777777">
      <w:pPr>
        <w:rPr>
          <w:color w:val="000000"/>
          <w:sz w:val="24"/>
          <w:szCs w:val="24"/>
        </w:rPr>
      </w:pPr>
    </w:p>
    <w:p w:rsidRPr="00C67FF7" w:rsidR="00DA51EA" w:rsidP="00C67FF7" w:rsidRDefault="00DA51EA" w14:paraId="748B9240" w14:textId="0AF3A3BA">
      <w:pPr>
        <w:rPr>
          <w:color w:val="000000"/>
          <w:sz w:val="24"/>
          <w:szCs w:val="24"/>
        </w:rPr>
      </w:pPr>
      <w:r w:rsidRPr="00C67FF7">
        <w:rPr>
          <w:color w:val="000000"/>
          <w:sz w:val="24"/>
          <w:szCs w:val="24"/>
        </w:rPr>
        <w:t>This collection is made pursuant to the CARD Act requirement, codified at 12 CFR 1026.57(d); 15 U.S.C. 1637(r)</w:t>
      </w:r>
      <w:r w:rsidR="0017051F">
        <w:rPr>
          <w:color w:val="000000"/>
          <w:sz w:val="24"/>
          <w:szCs w:val="24"/>
        </w:rPr>
        <w:t>.</w:t>
      </w:r>
      <w:r w:rsidRPr="00C67FF7">
        <w:rPr>
          <w:color w:val="000000"/>
          <w:sz w:val="24"/>
          <w:szCs w:val="24"/>
        </w:rPr>
        <w:t xml:space="preserve"> </w:t>
      </w:r>
      <w:r w:rsidR="00430DC8">
        <w:rPr>
          <w:color w:val="000000"/>
          <w:sz w:val="24"/>
          <w:szCs w:val="24"/>
        </w:rPr>
        <w:t xml:space="preserve"> </w:t>
      </w:r>
      <w:r w:rsidRPr="00C67FF7">
        <w:rPr>
          <w:color w:val="000000"/>
          <w:sz w:val="24"/>
          <w:szCs w:val="24"/>
        </w:rPr>
        <w:t xml:space="preserve">Every year, the CARD Act requires the Bureau to collect agreements in place between credit card issuers and institutions of higher education, as well as </w:t>
      </w:r>
      <w:r w:rsidR="006F685D">
        <w:rPr>
          <w:color w:val="000000"/>
          <w:sz w:val="24"/>
          <w:szCs w:val="24"/>
        </w:rPr>
        <w:t xml:space="preserve">certain </w:t>
      </w:r>
      <w:r w:rsidRPr="00C67FF7">
        <w:rPr>
          <w:color w:val="000000"/>
          <w:sz w:val="24"/>
          <w:szCs w:val="24"/>
        </w:rPr>
        <w:t>summary data about the credit cards offered pursuant to these agreements.  See 15 U.S.C. 1637(r)(2)(A) (“Each creditor shall submit an annual report to the Bureau containing the terms and conditions of all business, marketing, and promotional agreements and college affinity card agreements with an institution of higher education, or an alumni organization or foundation affiliated with or related to such institution, with respect to any college student credit card issued to a college student at such institution.”).</w:t>
      </w:r>
    </w:p>
    <w:p w:rsidRPr="00C67FF7" w:rsidR="00DA51EA" w:rsidP="00C67FF7" w:rsidRDefault="00DA51EA" w14:paraId="29769F35" w14:textId="77777777">
      <w:pPr>
        <w:rPr>
          <w:color w:val="000000"/>
          <w:sz w:val="24"/>
          <w:szCs w:val="24"/>
        </w:rPr>
      </w:pPr>
    </w:p>
    <w:p w:rsidRPr="00C67FF7" w:rsidR="00DA51EA" w:rsidP="00C67FF7" w:rsidRDefault="00DA51EA" w14:paraId="46C674C4" w14:textId="14EC7846">
      <w:pPr>
        <w:rPr>
          <w:color w:val="000000"/>
          <w:sz w:val="24"/>
          <w:szCs w:val="24"/>
        </w:rPr>
      </w:pPr>
      <w:r w:rsidRPr="00C67FF7">
        <w:rPr>
          <w:color w:val="000000"/>
          <w:sz w:val="24"/>
          <w:szCs w:val="24"/>
        </w:rPr>
        <w:t xml:space="preserve">The CARD Act requires the Bureau to submit to Congress, and to make available to the public, an annual report that lists information submitted to the Bureau concerning agreements between credit card issuers and institutions of higher education or certain affiliated organizations.  </w:t>
      </w:r>
      <w:r w:rsidRPr="00F445C5">
        <w:rPr>
          <w:i/>
          <w:iCs/>
          <w:color w:val="000000"/>
          <w:sz w:val="24"/>
          <w:szCs w:val="24"/>
        </w:rPr>
        <w:t>See id</w:t>
      </w:r>
      <w:r w:rsidRPr="00C67FF7">
        <w:rPr>
          <w:color w:val="000000"/>
          <w:sz w:val="24"/>
          <w:szCs w:val="24"/>
        </w:rPr>
        <w:t xml:space="preserve">. 1637(r)(3) (“The Bureau shall submit to the Congress, and make available to the public, an annual report </w:t>
      </w:r>
      <w:proofErr w:type="gramStart"/>
      <w:r w:rsidRPr="00C67FF7">
        <w:rPr>
          <w:color w:val="000000"/>
          <w:sz w:val="24"/>
          <w:szCs w:val="24"/>
        </w:rPr>
        <w:t>. . . .</w:t>
      </w:r>
      <w:proofErr w:type="gramEnd"/>
      <w:r w:rsidRPr="00C67FF7">
        <w:rPr>
          <w:color w:val="000000"/>
          <w:sz w:val="24"/>
          <w:szCs w:val="24"/>
        </w:rPr>
        <w:t xml:space="preserve">”).  Affiliated organizations include fraternities, sororities, alumni associations, or foundations affiliated with or related to an institution of higher education. The Bureau provides this centralized </w:t>
      </w:r>
      <w:r w:rsidR="0017051F">
        <w:rPr>
          <w:color w:val="000000"/>
          <w:sz w:val="24"/>
          <w:szCs w:val="24"/>
        </w:rPr>
        <w:t>r</w:t>
      </w:r>
      <w:r w:rsidRPr="00C67FF7">
        <w:rPr>
          <w:color w:val="000000"/>
          <w:sz w:val="24"/>
          <w:szCs w:val="24"/>
        </w:rPr>
        <w:t xml:space="preserve">epository on its website </w:t>
      </w:r>
      <w:proofErr w:type="gramStart"/>
      <w:r w:rsidRPr="00C67FF7">
        <w:rPr>
          <w:color w:val="000000"/>
          <w:sz w:val="24"/>
          <w:szCs w:val="24"/>
        </w:rPr>
        <w:t>and also</w:t>
      </w:r>
      <w:proofErr w:type="gramEnd"/>
      <w:r w:rsidR="005774FC">
        <w:rPr>
          <w:color w:val="000000"/>
          <w:sz w:val="24"/>
          <w:szCs w:val="24"/>
        </w:rPr>
        <w:t xml:space="preserve"> submits to Congress and</w:t>
      </w:r>
      <w:r w:rsidRPr="00C67FF7">
        <w:rPr>
          <w:color w:val="000000"/>
          <w:sz w:val="24"/>
          <w:szCs w:val="24"/>
        </w:rPr>
        <w:t xml:space="preserve"> publishes an </w:t>
      </w:r>
      <w:r w:rsidRPr="00C67FF7">
        <w:rPr>
          <w:color w:val="000000"/>
          <w:sz w:val="24"/>
          <w:szCs w:val="24"/>
        </w:rPr>
        <w:lastRenderedPageBreak/>
        <w:t xml:space="preserve">annual report each year based upon the submitted data.  </w:t>
      </w:r>
    </w:p>
    <w:p w:rsidRPr="00C67FF7" w:rsidR="00DA51EA" w:rsidP="00C67FF7" w:rsidRDefault="00DA51EA" w14:paraId="467A6C1A" w14:textId="77777777">
      <w:pPr>
        <w:rPr>
          <w:color w:val="000000"/>
          <w:sz w:val="24"/>
          <w:szCs w:val="24"/>
        </w:rPr>
      </w:pPr>
    </w:p>
    <w:p w:rsidRPr="00C67FF7" w:rsidR="00DA51EA" w:rsidP="00C67FF7" w:rsidRDefault="00DA51EA" w14:paraId="619206AC" w14:textId="5F199B37">
      <w:pPr>
        <w:rPr>
          <w:color w:val="000000"/>
          <w:sz w:val="24"/>
          <w:szCs w:val="24"/>
        </w:rPr>
      </w:pPr>
      <w:proofErr w:type="gramStart"/>
      <w:r w:rsidRPr="00C67FF7">
        <w:rPr>
          <w:color w:val="000000"/>
          <w:sz w:val="24"/>
          <w:szCs w:val="24"/>
        </w:rPr>
        <w:t>Similar to</w:t>
      </w:r>
      <w:proofErr w:type="gramEnd"/>
      <w:r w:rsidRPr="00C67FF7">
        <w:rPr>
          <w:color w:val="000000"/>
          <w:sz w:val="24"/>
          <w:szCs w:val="24"/>
        </w:rPr>
        <w:t xml:space="preserve"> the </w:t>
      </w:r>
      <w:r w:rsidR="00CB184D">
        <w:rPr>
          <w:color w:val="000000"/>
          <w:sz w:val="24"/>
          <w:szCs w:val="24"/>
        </w:rPr>
        <w:t>consumer</w:t>
      </w:r>
      <w:r w:rsidRPr="00C67FF7" w:rsidR="00CB184D">
        <w:rPr>
          <w:color w:val="000000"/>
          <w:sz w:val="24"/>
          <w:szCs w:val="24"/>
        </w:rPr>
        <w:t xml:space="preserve"> </w:t>
      </w:r>
      <w:r w:rsidRPr="00C67FF7">
        <w:rPr>
          <w:color w:val="000000"/>
          <w:sz w:val="24"/>
          <w:szCs w:val="24"/>
        </w:rPr>
        <w:t xml:space="preserve">credit card agreement </w:t>
      </w:r>
      <w:r w:rsidR="00CB184D">
        <w:rPr>
          <w:color w:val="000000"/>
          <w:sz w:val="24"/>
          <w:szCs w:val="24"/>
        </w:rPr>
        <w:t>collection described above</w:t>
      </w:r>
      <w:r w:rsidRPr="00C67FF7">
        <w:rPr>
          <w:color w:val="000000"/>
          <w:sz w:val="24"/>
          <w:szCs w:val="24"/>
        </w:rPr>
        <w:t xml:space="preserve">, this </w:t>
      </w:r>
      <w:r w:rsidR="00CB184D">
        <w:rPr>
          <w:color w:val="000000"/>
          <w:sz w:val="24"/>
          <w:szCs w:val="24"/>
        </w:rPr>
        <w:t xml:space="preserve">responsibility </w:t>
      </w:r>
      <w:r w:rsidRPr="00C67FF7">
        <w:rPr>
          <w:color w:val="000000"/>
          <w:sz w:val="24"/>
          <w:szCs w:val="24"/>
        </w:rPr>
        <w:t xml:space="preserve">was also inherited from the Federal Reserve Board.  </w:t>
      </w:r>
    </w:p>
    <w:p w:rsidRPr="00983DCE" w:rsidR="008F3DE2" w:rsidRDefault="008F3DE2" w14:paraId="45343DC9" w14:textId="077F9B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BC5C20" w:rsidP="00BC5C20" w:rsidRDefault="00BC5C20" w14:paraId="003320D0" w14:textId="6AC83CA0">
      <w:pPr>
        <w:pStyle w:val="CM12"/>
        <w:spacing w:line="276" w:lineRule="atLeast"/>
      </w:pPr>
      <w:r w:rsidRPr="00983DCE">
        <w:rPr>
          <w:b/>
          <w:bCs/>
        </w:rPr>
        <w:t>2.</w:t>
      </w:r>
      <w:r w:rsidRPr="00983DCE" w:rsidR="00C474DC">
        <w:rPr>
          <w:b/>
          <w:bCs/>
        </w:rPr>
        <w:t xml:space="preserve"> </w:t>
      </w:r>
      <w:r w:rsidRPr="00983DCE">
        <w:rPr>
          <w:b/>
          <w:bCs/>
          <w:u w:val="single"/>
        </w:rPr>
        <w:t>Use of the Information</w:t>
      </w:r>
    </w:p>
    <w:p w:rsidRPr="00983DCE" w:rsidR="00BC5C20" w:rsidP="00BC5C20" w:rsidRDefault="00BC5C20" w14:paraId="447E88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0E85" w:rsidR="00320E85" w:rsidP="00FE7D89" w:rsidRDefault="000F6B8D" w14:paraId="49C6C601" w14:textId="5510D560">
      <w:pPr>
        <w:rPr>
          <w:b/>
          <w:bCs/>
          <w:i/>
          <w:iCs/>
          <w:color w:val="000000"/>
          <w:sz w:val="24"/>
          <w:szCs w:val="24"/>
          <w:u w:val="single"/>
        </w:rPr>
      </w:pPr>
      <w:r>
        <w:rPr>
          <w:b/>
          <w:bCs/>
          <w:i/>
          <w:iCs/>
          <w:color w:val="000000"/>
          <w:sz w:val="24"/>
          <w:szCs w:val="24"/>
          <w:u w:val="single"/>
        </w:rPr>
        <w:t>Terms of Credit Card Plans Survey</w:t>
      </w:r>
    </w:p>
    <w:p w:rsidRPr="00983DCE" w:rsidR="00A87919" w:rsidP="00FE7D89" w:rsidRDefault="00127DB0" w14:paraId="4543C424" w14:textId="2567822B">
      <w:pPr>
        <w:rPr>
          <w:color w:val="000000"/>
          <w:sz w:val="24"/>
          <w:szCs w:val="24"/>
        </w:rPr>
      </w:pPr>
      <w:r w:rsidRPr="00983DCE">
        <w:rPr>
          <w:color w:val="000000"/>
          <w:sz w:val="24"/>
          <w:szCs w:val="24"/>
        </w:rPr>
        <w:t xml:space="preserve">Section 136(b) of </w:t>
      </w:r>
      <w:r w:rsidR="001376E6">
        <w:rPr>
          <w:color w:val="000000"/>
          <w:sz w:val="24"/>
          <w:szCs w:val="24"/>
        </w:rPr>
        <w:t xml:space="preserve">TILA, </w:t>
      </w:r>
      <w:r w:rsidRPr="00983DCE">
        <w:rPr>
          <w:color w:val="000000"/>
          <w:sz w:val="24"/>
          <w:szCs w:val="24"/>
        </w:rPr>
        <w:t>15 U.S.C. 1646(b)</w:t>
      </w:r>
      <w:r w:rsidR="001376E6">
        <w:rPr>
          <w:color w:val="000000"/>
          <w:sz w:val="24"/>
          <w:szCs w:val="24"/>
        </w:rPr>
        <w:t>,</w:t>
      </w:r>
      <w:r w:rsidR="00556C5F">
        <w:rPr>
          <w:color w:val="000000"/>
          <w:sz w:val="24"/>
          <w:szCs w:val="24"/>
        </w:rPr>
        <w:t xml:space="preserve"> </w:t>
      </w:r>
      <w:r w:rsidRPr="00983DCE">
        <w:rPr>
          <w:color w:val="000000"/>
          <w:sz w:val="24"/>
          <w:szCs w:val="24"/>
        </w:rPr>
        <w:t xml:space="preserve">requires the </w:t>
      </w:r>
      <w:r w:rsidRPr="00983DCE" w:rsidR="004946F4">
        <w:rPr>
          <w:color w:val="000000"/>
          <w:sz w:val="24"/>
          <w:szCs w:val="24"/>
        </w:rPr>
        <w:t>Bureau</w:t>
      </w:r>
      <w:r w:rsidRPr="00983DCE">
        <w:rPr>
          <w:color w:val="000000"/>
          <w:sz w:val="24"/>
          <w:szCs w:val="24"/>
        </w:rPr>
        <w:t xml:space="preserve"> to “collect, on a semiannual basis, credit card price and availability information, including the information required to be disclosed under section</w:t>
      </w:r>
      <w:r w:rsidRPr="00983DCE" w:rsidR="00C474DC">
        <w:rPr>
          <w:color w:val="000000"/>
          <w:sz w:val="24"/>
          <w:szCs w:val="24"/>
        </w:rPr>
        <w:t xml:space="preserve"> </w:t>
      </w:r>
      <w:r w:rsidRPr="00983DCE">
        <w:rPr>
          <w:color w:val="000000"/>
          <w:sz w:val="24"/>
          <w:szCs w:val="24"/>
        </w:rPr>
        <w:t>127(c) of TILA (15 U.S.C. 1637(c)).</w:t>
      </w:r>
      <w:r w:rsidRPr="00983DCE" w:rsidR="00C474DC">
        <w:rPr>
          <w:color w:val="000000"/>
          <w:sz w:val="24"/>
          <w:szCs w:val="24"/>
        </w:rPr>
        <w:t xml:space="preserve"> </w:t>
      </w:r>
      <w:r w:rsidRPr="00983DCE" w:rsidR="001E4B50">
        <w:rPr>
          <w:color w:val="000000"/>
          <w:sz w:val="24"/>
          <w:szCs w:val="24"/>
        </w:rPr>
        <w:t>Section 127(c) requires issuers</w:t>
      </w:r>
      <w:r w:rsidR="001D0075">
        <w:rPr>
          <w:color w:val="000000"/>
          <w:sz w:val="24"/>
          <w:szCs w:val="24"/>
        </w:rPr>
        <w:t xml:space="preserve"> to</w:t>
      </w:r>
      <w:r w:rsidRPr="00983DCE" w:rsidR="001E4B50">
        <w:rPr>
          <w:color w:val="000000"/>
          <w:sz w:val="24"/>
          <w:szCs w:val="24"/>
        </w:rPr>
        <w:t xml:space="preserve"> disclose</w:t>
      </w:r>
      <w:r w:rsidRPr="00983DCE" w:rsidR="00FB3CC1">
        <w:rPr>
          <w:color w:val="000000"/>
          <w:sz w:val="24"/>
          <w:szCs w:val="24"/>
        </w:rPr>
        <w:t xml:space="preserve">, among other things: </w:t>
      </w:r>
      <w:r w:rsidRPr="00983DCE" w:rsidR="00FE7D89">
        <w:rPr>
          <w:color w:val="000000"/>
          <w:sz w:val="24"/>
          <w:szCs w:val="24"/>
        </w:rPr>
        <w:br/>
      </w:r>
    </w:p>
    <w:p w:rsidRPr="00983DCE" w:rsidR="00A87919" w:rsidP="00FE7D89" w:rsidRDefault="00A87919" w14:paraId="53C87072"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annual percentage rate for purchases (must state if it is a variable rate)</w:t>
      </w:r>
    </w:p>
    <w:p w:rsidRPr="00983DCE" w:rsidR="00A87919" w:rsidP="00FE7D89" w:rsidRDefault="00A87919" w14:paraId="4B8E974F"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length of the grace period</w:t>
      </w:r>
    </w:p>
    <w:p w:rsidRPr="00983DCE" w:rsidR="00A87919" w:rsidP="00FE7D89" w:rsidRDefault="00A87919" w14:paraId="384F9FFF"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name or description of the balance computation method</w:t>
      </w:r>
    </w:p>
    <w:p w:rsidRPr="00983DCE" w:rsidR="00A87919" w:rsidP="00FE7D89" w:rsidRDefault="00A87919" w14:paraId="61B9BB7F"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minimum finance charge</w:t>
      </w:r>
    </w:p>
    <w:p w:rsidRPr="00983DCE" w:rsidR="00A87919" w:rsidP="00FE7D89" w:rsidRDefault="00A87919" w14:paraId="2D5AEA61"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fee for issuance or availability (membership fee)</w:t>
      </w:r>
    </w:p>
    <w:p w:rsidRPr="00983DCE" w:rsidR="00A87919" w:rsidP="00FE7D89" w:rsidRDefault="00A87919" w14:paraId="13DE4CA7"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fee for late payment</w:t>
      </w:r>
    </w:p>
    <w:p w:rsidRPr="00983DCE" w:rsidR="00A87919" w:rsidP="00FE7D89" w:rsidRDefault="00A87919" w14:paraId="522F6C19"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fee for exceeding credit limit</w:t>
      </w:r>
    </w:p>
    <w:p w:rsidRPr="00983DCE" w:rsidR="00A87919" w:rsidP="00FE7D89" w:rsidRDefault="00A87919" w14:paraId="0052D53A"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transaction fee for purchases</w:t>
      </w:r>
    </w:p>
    <w:p w:rsidRPr="00983DCE" w:rsidR="00A87919" w:rsidP="00FE7D89" w:rsidRDefault="00A87919" w14:paraId="04CAB2E5" w14:textId="77777777">
      <w:pPr>
        <w:widowControl/>
        <w:numPr>
          <w:ilvl w:val="0"/>
          <w:numId w:val="11"/>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540"/>
        <w:jc w:val="both"/>
        <w:rPr>
          <w:color w:val="000000"/>
          <w:sz w:val="24"/>
          <w:szCs w:val="24"/>
        </w:rPr>
      </w:pPr>
      <w:r w:rsidRPr="00983DCE">
        <w:rPr>
          <w:color w:val="000000"/>
          <w:sz w:val="24"/>
          <w:szCs w:val="24"/>
        </w:rPr>
        <w:t>transaction fee for cash advances</w:t>
      </w:r>
      <w:r w:rsidRPr="00983DCE" w:rsidR="00926FE9">
        <w:rPr>
          <w:color w:val="000000"/>
          <w:sz w:val="24"/>
          <w:szCs w:val="24"/>
        </w:rPr>
        <w:t>.</w:t>
      </w:r>
    </w:p>
    <w:p w:rsidRPr="00983DCE" w:rsidR="00A87919" w:rsidP="00A87919" w:rsidRDefault="00A87919" w14:paraId="6F3D9DBB"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983DCE" w:rsidR="00A87919" w:rsidP="6B7F0614" w:rsidRDefault="00A87919" w14:paraId="29D91365" w14:textId="5D76EA3A">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6B7F0614">
        <w:rPr>
          <w:color w:val="000000" w:themeColor="text1"/>
          <w:sz w:val="24"/>
          <w:szCs w:val="24"/>
        </w:rPr>
        <w:t>To report credit card availability information, respondents state whether the credit card plan is available to consumers nationally (in all 50 states and the District of Columbia) or limited to consumers within a specific region or state (such as the issuer</w:t>
      </w:r>
      <w:r w:rsidR="00F355C7">
        <w:rPr>
          <w:color w:val="000000" w:themeColor="text1"/>
          <w:sz w:val="24"/>
          <w:szCs w:val="24"/>
        </w:rPr>
        <w:t>’</w:t>
      </w:r>
      <w:r w:rsidRPr="6B7F0614">
        <w:rPr>
          <w:color w:val="000000" w:themeColor="text1"/>
          <w:sz w:val="24"/>
          <w:szCs w:val="24"/>
        </w:rPr>
        <w:t>s home state).</w:t>
      </w:r>
      <w:r w:rsidRPr="6B7F0614" w:rsidR="00C474DC">
        <w:rPr>
          <w:color w:val="000000" w:themeColor="text1"/>
          <w:sz w:val="24"/>
          <w:szCs w:val="24"/>
        </w:rPr>
        <w:t xml:space="preserve"> </w:t>
      </w:r>
      <w:proofErr w:type="gramStart"/>
      <w:r w:rsidRPr="6B7F0614" w:rsidR="00AB5B45">
        <w:rPr>
          <w:color w:val="000000" w:themeColor="text1"/>
          <w:sz w:val="24"/>
          <w:szCs w:val="24"/>
        </w:rPr>
        <w:t>T</w:t>
      </w:r>
      <w:r w:rsidRPr="6B7F0614">
        <w:rPr>
          <w:color w:val="000000" w:themeColor="text1"/>
          <w:sz w:val="24"/>
          <w:szCs w:val="24"/>
        </w:rPr>
        <w:t>he majority of</w:t>
      </w:r>
      <w:proofErr w:type="gramEnd"/>
      <w:r w:rsidRPr="6B7F0614">
        <w:rPr>
          <w:color w:val="000000" w:themeColor="text1"/>
          <w:sz w:val="24"/>
          <w:szCs w:val="24"/>
        </w:rPr>
        <w:t xml:space="preserve"> respondents offer national plans</w:t>
      </w:r>
      <w:r w:rsidRPr="6B7F0614" w:rsidR="004C6168">
        <w:rPr>
          <w:color w:val="000000" w:themeColor="text1"/>
          <w:sz w:val="24"/>
          <w:szCs w:val="24"/>
        </w:rPr>
        <w:t>.</w:t>
      </w:r>
      <w:r w:rsidRPr="6B7F0614" w:rsidR="00AB5B45">
        <w:rPr>
          <w:color w:val="000000" w:themeColor="text1"/>
          <w:sz w:val="24"/>
          <w:szCs w:val="24"/>
        </w:rPr>
        <w:t xml:space="preserve"> </w:t>
      </w:r>
      <w:r w:rsidR="000F6B8D">
        <w:rPr>
          <w:color w:val="000000" w:themeColor="text1"/>
          <w:sz w:val="24"/>
          <w:szCs w:val="24"/>
        </w:rPr>
        <w:t>T</w:t>
      </w:r>
      <w:r w:rsidRPr="6B7F0614" w:rsidR="4F13FFBE">
        <w:rPr>
          <w:color w:val="000000" w:themeColor="text1"/>
          <w:sz w:val="24"/>
          <w:szCs w:val="24"/>
        </w:rPr>
        <w:t>he Bureau’s automated system for collecting such submissions, know</w:t>
      </w:r>
      <w:r w:rsidR="002B4C45">
        <w:rPr>
          <w:color w:val="000000" w:themeColor="text1"/>
          <w:sz w:val="24"/>
          <w:szCs w:val="24"/>
        </w:rPr>
        <w:t>n</w:t>
      </w:r>
      <w:r w:rsidRPr="6B7F0614" w:rsidR="4F13FFBE">
        <w:rPr>
          <w:color w:val="000000" w:themeColor="text1"/>
          <w:sz w:val="24"/>
          <w:szCs w:val="24"/>
        </w:rPr>
        <w:t xml:space="preserve"> as Collect, </w:t>
      </w:r>
      <w:r w:rsidRPr="6B7F0614" w:rsidR="00AB5B45">
        <w:rPr>
          <w:color w:val="000000" w:themeColor="text1"/>
          <w:sz w:val="24"/>
          <w:szCs w:val="24"/>
        </w:rPr>
        <w:t>allow</w:t>
      </w:r>
      <w:r w:rsidR="000F6B8D">
        <w:rPr>
          <w:color w:val="000000" w:themeColor="text1"/>
          <w:sz w:val="24"/>
          <w:szCs w:val="24"/>
        </w:rPr>
        <w:t>s</w:t>
      </w:r>
      <w:r w:rsidRPr="6B7F0614" w:rsidR="00AB5B45">
        <w:rPr>
          <w:color w:val="000000" w:themeColor="text1"/>
          <w:sz w:val="24"/>
          <w:szCs w:val="24"/>
        </w:rPr>
        <w:t xml:space="preserve"> respondents to provide information </w:t>
      </w:r>
      <w:r w:rsidRPr="6B7F0614" w:rsidR="00EE7F03">
        <w:rPr>
          <w:color w:val="000000" w:themeColor="text1"/>
          <w:sz w:val="24"/>
          <w:szCs w:val="24"/>
        </w:rPr>
        <w:t>on</w:t>
      </w:r>
      <w:r w:rsidRPr="6B7F0614" w:rsidR="00AB5B45">
        <w:rPr>
          <w:color w:val="000000" w:themeColor="text1"/>
          <w:sz w:val="24"/>
          <w:szCs w:val="24"/>
        </w:rPr>
        <w:t xml:space="preserve"> their most common terms</w:t>
      </w:r>
      <w:r w:rsidR="000F6B8D">
        <w:rPr>
          <w:color w:val="000000" w:themeColor="text1"/>
          <w:sz w:val="24"/>
          <w:szCs w:val="24"/>
        </w:rPr>
        <w:t xml:space="preserve"> </w:t>
      </w:r>
      <w:proofErr w:type="gramStart"/>
      <w:r w:rsidR="000F6B8D">
        <w:rPr>
          <w:color w:val="000000" w:themeColor="text1"/>
          <w:sz w:val="24"/>
          <w:szCs w:val="24"/>
        </w:rPr>
        <w:t xml:space="preserve">and </w:t>
      </w:r>
      <w:r w:rsidRPr="6B7F0614">
        <w:rPr>
          <w:color w:val="000000" w:themeColor="text1"/>
          <w:sz w:val="24"/>
          <w:szCs w:val="24"/>
        </w:rPr>
        <w:t>also</w:t>
      </w:r>
      <w:proofErr w:type="gramEnd"/>
      <w:r w:rsidRPr="6B7F0614">
        <w:rPr>
          <w:color w:val="000000" w:themeColor="text1"/>
          <w:sz w:val="24"/>
          <w:szCs w:val="24"/>
        </w:rPr>
        <w:t xml:space="preserve"> collects information on credit card plan enhancements and telephone number for consumer questions.</w:t>
      </w:r>
    </w:p>
    <w:p w:rsidRPr="00983DCE" w:rsidR="00A87919" w:rsidP="00A87919" w:rsidRDefault="00A87919" w14:paraId="648FC814"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983DCE" w:rsidR="00A87919" w:rsidP="00A87919" w:rsidRDefault="00A87919" w14:paraId="7AFBA405" w14:textId="1112F4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sz w:val="24"/>
          <w:szCs w:val="24"/>
          <w:u w:val="single"/>
        </w:rPr>
      </w:pPr>
      <w:r w:rsidRPr="00983DCE">
        <w:rPr>
          <w:bCs/>
          <w:i/>
          <w:color w:val="000000"/>
          <w:sz w:val="24"/>
          <w:szCs w:val="24"/>
          <w:u w:val="single"/>
        </w:rPr>
        <w:t>Reporting Panel</w:t>
      </w:r>
    </w:p>
    <w:p w:rsidRPr="00983DCE" w:rsidR="00A87919" w:rsidP="00A87919" w:rsidRDefault="00A87919" w14:paraId="22D03E37"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4"/>
          <w:szCs w:val="24"/>
        </w:rPr>
      </w:pPr>
    </w:p>
    <w:p w:rsidRPr="00983DCE" w:rsidR="00A87919" w:rsidP="6B7F0614" w:rsidRDefault="00127DB0" w14:paraId="29EF9B20" w14:textId="3604AD0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6B7F0614">
        <w:rPr>
          <w:color w:val="000000" w:themeColor="text1"/>
          <w:sz w:val="24"/>
          <w:szCs w:val="24"/>
        </w:rPr>
        <w:t xml:space="preserve">The </w:t>
      </w:r>
      <w:r w:rsidRPr="6B7F0614" w:rsidR="004946F4">
        <w:rPr>
          <w:color w:val="000000" w:themeColor="text1"/>
          <w:sz w:val="24"/>
          <w:szCs w:val="24"/>
        </w:rPr>
        <w:t>Bureau</w:t>
      </w:r>
      <w:r w:rsidRPr="6B7F0614" w:rsidR="00FE7D89">
        <w:rPr>
          <w:color w:val="000000" w:themeColor="text1"/>
          <w:sz w:val="24"/>
          <w:szCs w:val="24"/>
        </w:rPr>
        <w:t xml:space="preserve"> </w:t>
      </w:r>
      <w:r w:rsidRPr="6B7F0614">
        <w:rPr>
          <w:color w:val="000000" w:themeColor="text1"/>
          <w:sz w:val="24"/>
          <w:szCs w:val="24"/>
        </w:rPr>
        <w:t xml:space="preserve">follows the selection method the Federal Reserve used to identify the card issuers to which </w:t>
      </w:r>
      <w:r w:rsidR="000F6B8D">
        <w:rPr>
          <w:color w:val="000000" w:themeColor="text1"/>
          <w:sz w:val="24"/>
          <w:szCs w:val="24"/>
        </w:rPr>
        <w:t>requests to respond to the TCCP Survey are</w:t>
      </w:r>
      <w:r w:rsidRPr="6B7F0614">
        <w:rPr>
          <w:color w:val="000000" w:themeColor="text1"/>
          <w:sz w:val="24"/>
          <w:szCs w:val="24"/>
        </w:rPr>
        <w:t xml:space="preserve"> sent, including the 25 largest issuers, by analyzing data on the volume of outstanding credit card receivables that are reported on the Reports of Condition and Income for commercial banks (Call Reports) (FFIEC 031</w:t>
      </w:r>
      <w:r w:rsidRPr="6B7F0614" w:rsidR="0052089F">
        <w:rPr>
          <w:color w:val="000000" w:themeColor="text1"/>
          <w:sz w:val="24"/>
          <w:szCs w:val="24"/>
        </w:rPr>
        <w:t>, 051</w:t>
      </w:r>
      <w:r w:rsidRPr="6B7F0614" w:rsidR="00BA5740">
        <w:rPr>
          <w:color w:val="000000" w:themeColor="text1"/>
          <w:sz w:val="24"/>
          <w:szCs w:val="24"/>
        </w:rPr>
        <w:t>,</w:t>
      </w:r>
      <w:r w:rsidRPr="6B7F0614">
        <w:rPr>
          <w:color w:val="000000" w:themeColor="text1"/>
          <w:sz w:val="24"/>
          <w:szCs w:val="24"/>
        </w:rPr>
        <w:t xml:space="preserve"> and 041; </w:t>
      </w:r>
      <w:r w:rsidRPr="6B7F0614">
        <w:rPr>
          <w:sz w:val="24"/>
          <w:szCs w:val="24"/>
        </w:rPr>
        <w:t xml:space="preserve">OMB No. 7100-0036) </w:t>
      </w:r>
      <w:r w:rsidRPr="6B7F0614">
        <w:rPr>
          <w:color w:val="000000" w:themeColor="text1"/>
          <w:sz w:val="24"/>
          <w:szCs w:val="24"/>
        </w:rPr>
        <w:t>and for thrift institutions (OTS Form 1313; OMB No. 1550-0</w:t>
      </w:r>
      <w:r w:rsidRPr="6B7F0614" w:rsidR="00BE4BF1">
        <w:rPr>
          <w:color w:val="000000" w:themeColor="text1"/>
          <w:sz w:val="24"/>
          <w:szCs w:val="24"/>
        </w:rPr>
        <w:t>0</w:t>
      </w:r>
      <w:r w:rsidRPr="6B7F0614">
        <w:rPr>
          <w:color w:val="000000" w:themeColor="text1"/>
          <w:sz w:val="24"/>
          <w:szCs w:val="24"/>
        </w:rPr>
        <w:t>23).</w:t>
      </w:r>
      <w:r w:rsidRPr="6B7F0614" w:rsidR="00C474DC">
        <w:rPr>
          <w:color w:val="000000" w:themeColor="text1"/>
          <w:sz w:val="24"/>
          <w:szCs w:val="24"/>
        </w:rPr>
        <w:t xml:space="preserve"> </w:t>
      </w:r>
      <w:r w:rsidRPr="6B7F0614" w:rsidR="00A87919">
        <w:rPr>
          <w:color w:val="000000" w:themeColor="text1"/>
          <w:sz w:val="24"/>
          <w:szCs w:val="24"/>
        </w:rPr>
        <w:t>Like the 25 largest issuers, the other respondents are chosen by size, but only such that the required diversity of region and type of institution is achieved.</w:t>
      </w:r>
      <w:r w:rsidRPr="6B7F0614" w:rsidR="00C474DC">
        <w:rPr>
          <w:color w:val="000000" w:themeColor="text1"/>
          <w:sz w:val="24"/>
          <w:szCs w:val="24"/>
        </w:rPr>
        <w:t xml:space="preserve"> </w:t>
      </w:r>
      <w:r w:rsidRPr="6B7F0614" w:rsidR="00A87919">
        <w:rPr>
          <w:color w:val="000000" w:themeColor="text1"/>
          <w:sz w:val="24"/>
          <w:szCs w:val="24"/>
        </w:rPr>
        <w:t xml:space="preserve">The dynamism of the card industry, with trading of card receivables portfolios and entry into and exit from the industry, </w:t>
      </w:r>
      <w:r w:rsidRPr="6B7F0614" w:rsidR="00A87919">
        <w:rPr>
          <w:color w:val="000000" w:themeColor="text1"/>
          <w:sz w:val="24"/>
          <w:szCs w:val="24"/>
        </w:rPr>
        <w:lastRenderedPageBreak/>
        <w:t>ensures turnover in the panel.</w:t>
      </w:r>
    </w:p>
    <w:p w:rsidRPr="00983DCE" w:rsidR="00A87919" w:rsidP="00A87919" w:rsidRDefault="00A87919" w14:paraId="681ED79D"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983DCE" w:rsidR="00A87919" w:rsidP="00A87919" w:rsidRDefault="00A87919" w14:paraId="50821967"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983DCE" w:rsidR="00A87919" w:rsidP="00B048A7" w:rsidRDefault="00687E1A" w14:paraId="2A155BDD" w14:textId="540BCFC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983DCE">
        <w:rPr>
          <w:color w:val="000000"/>
          <w:sz w:val="24"/>
          <w:szCs w:val="24"/>
        </w:rPr>
        <w:t>T</w:t>
      </w:r>
      <w:r w:rsidRPr="00983DCE" w:rsidR="00A87919">
        <w:rPr>
          <w:color w:val="000000"/>
          <w:sz w:val="24"/>
          <w:szCs w:val="24"/>
        </w:rPr>
        <w:t>ypically, about 90 percent of the responses come from commercial banks, with the remainder from savings banks, industrial banks, and savings and loans associations.</w:t>
      </w:r>
      <w:r w:rsidRPr="00983DCE" w:rsidR="00A87919">
        <w:rPr>
          <w:rStyle w:val="FootnoteReference"/>
          <w:color w:val="000000"/>
          <w:sz w:val="24"/>
          <w:szCs w:val="24"/>
        </w:rPr>
        <w:footnoteReference w:id="7"/>
      </w:r>
      <w:r w:rsidRPr="00983DCE" w:rsidR="00A87919">
        <w:rPr>
          <w:color w:val="000000"/>
          <w:sz w:val="24"/>
          <w:szCs w:val="24"/>
        </w:rPr>
        <w:t xml:space="preserve"> </w:t>
      </w:r>
      <w:r w:rsidRPr="00983DCE" w:rsidR="00283B1B">
        <w:rPr>
          <w:color w:val="000000"/>
          <w:sz w:val="24"/>
          <w:szCs w:val="24"/>
        </w:rPr>
        <w:t>In January 2013</w:t>
      </w:r>
      <w:r w:rsidRPr="00983DCE" w:rsidR="005E0FC9">
        <w:rPr>
          <w:color w:val="000000"/>
          <w:sz w:val="24"/>
          <w:szCs w:val="24"/>
        </w:rPr>
        <w:t>,</w:t>
      </w:r>
      <w:r w:rsidRPr="00983DCE" w:rsidR="00283B1B">
        <w:rPr>
          <w:color w:val="000000"/>
          <w:sz w:val="24"/>
          <w:szCs w:val="24"/>
        </w:rPr>
        <w:t xml:space="preserve"> the Bureau added credit unions to its panel in order to ensure representation of such issuers. </w:t>
      </w:r>
      <w:r w:rsidRPr="00983DCE" w:rsidR="00A87919">
        <w:rPr>
          <w:color w:val="000000"/>
          <w:sz w:val="24"/>
          <w:szCs w:val="24"/>
        </w:rPr>
        <w:t xml:space="preserve">The panel is consistent with </w:t>
      </w:r>
      <w:r w:rsidRPr="00983DCE" w:rsidR="00127DB0">
        <w:rPr>
          <w:color w:val="000000"/>
          <w:sz w:val="24"/>
          <w:szCs w:val="24"/>
        </w:rPr>
        <w:t>the criteria</w:t>
      </w:r>
      <w:r w:rsidRPr="00983DCE" w:rsidR="00A87919">
        <w:rPr>
          <w:color w:val="000000"/>
          <w:sz w:val="24"/>
          <w:szCs w:val="24"/>
        </w:rPr>
        <w:t xml:space="preserve"> of the FCCCA:</w:t>
      </w:r>
      <w:r w:rsidRPr="00983DCE" w:rsidR="00C474DC">
        <w:rPr>
          <w:color w:val="000000"/>
          <w:sz w:val="24"/>
          <w:szCs w:val="24"/>
        </w:rPr>
        <w:t xml:space="preserve"> </w:t>
      </w:r>
      <w:r w:rsidRPr="00983DCE" w:rsidR="00A87919">
        <w:rPr>
          <w:color w:val="000000"/>
          <w:sz w:val="24"/>
          <w:szCs w:val="24"/>
        </w:rPr>
        <w:t>a reasonable number of creditors of each type, a significant geographic dispersion, and at least 150 card issuers, including the 25 largest issuers.</w:t>
      </w:r>
    </w:p>
    <w:p w:rsidRPr="00983DCE" w:rsidR="00BC43F0" w:rsidP="00A87919" w:rsidRDefault="00BC43F0" w14:paraId="1071F6CB"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983DCE" w:rsidR="00BC43F0" w:rsidP="00BC43F0" w:rsidRDefault="00BC43F0" w14:paraId="7F15847D" w14:textId="6D02D88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sz w:val="24"/>
          <w:szCs w:val="24"/>
          <w:u w:val="single"/>
        </w:rPr>
      </w:pPr>
      <w:r w:rsidRPr="00983DCE">
        <w:rPr>
          <w:bCs/>
          <w:i/>
          <w:color w:val="000000"/>
          <w:sz w:val="24"/>
          <w:szCs w:val="24"/>
          <w:u w:val="single"/>
        </w:rPr>
        <w:t>Time Schedule for Information Collection and Publication</w:t>
      </w:r>
    </w:p>
    <w:p w:rsidRPr="00983DCE" w:rsidR="00BC43F0" w:rsidP="00BC43F0" w:rsidRDefault="00BC43F0" w14:paraId="778898D5"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4"/>
          <w:szCs w:val="24"/>
        </w:rPr>
      </w:pPr>
    </w:p>
    <w:p w:rsidRPr="00983DCE" w:rsidR="00295103" w:rsidP="00B048A7" w:rsidRDefault="00BC43F0" w14:paraId="4E5C1319" w14:textId="3AAF4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983DCE">
        <w:rPr>
          <w:color w:val="000000"/>
          <w:sz w:val="24"/>
          <w:szCs w:val="24"/>
        </w:rPr>
        <w:t xml:space="preserve">Twice a year, the </w:t>
      </w:r>
      <w:r w:rsidRPr="00983DCE" w:rsidR="004946F4">
        <w:rPr>
          <w:color w:val="000000"/>
          <w:sz w:val="24"/>
          <w:szCs w:val="24"/>
        </w:rPr>
        <w:t>Bureau</w:t>
      </w:r>
      <w:r w:rsidRPr="00983DCE">
        <w:rPr>
          <w:color w:val="000000"/>
          <w:sz w:val="24"/>
          <w:szCs w:val="24"/>
        </w:rPr>
        <w:t xml:space="preserve"> collects credit card price and availability information from a sample of card issuers </w:t>
      </w:r>
      <w:r w:rsidR="000F6B8D">
        <w:rPr>
          <w:color w:val="000000"/>
          <w:sz w:val="24"/>
          <w:szCs w:val="24"/>
        </w:rPr>
        <w:t>for the TCCP Survey</w:t>
      </w:r>
      <w:r w:rsidRPr="00983DCE">
        <w:rPr>
          <w:color w:val="000000"/>
          <w:sz w:val="24"/>
          <w:szCs w:val="24"/>
        </w:rPr>
        <w:t>, as of January 31 and July 31.</w:t>
      </w:r>
      <w:r w:rsidRPr="00983DCE" w:rsidR="00C474DC">
        <w:rPr>
          <w:color w:val="000000"/>
          <w:sz w:val="24"/>
          <w:szCs w:val="24"/>
        </w:rPr>
        <w:t xml:space="preserve"> </w:t>
      </w:r>
      <w:r w:rsidRPr="00983DCE">
        <w:rPr>
          <w:color w:val="000000"/>
          <w:sz w:val="24"/>
          <w:szCs w:val="24"/>
        </w:rPr>
        <w:t>Each respondent must send its data within 10 business days of the as-of date</w:t>
      </w:r>
      <w:r w:rsidRPr="00983DCE" w:rsidR="000971B2">
        <w:rPr>
          <w:color w:val="000000"/>
          <w:sz w:val="24"/>
          <w:szCs w:val="24"/>
        </w:rPr>
        <w:t xml:space="preserve"> by submitting </w:t>
      </w:r>
      <w:proofErr w:type="spellStart"/>
      <w:r w:rsidR="000F6B8D">
        <w:rPr>
          <w:color w:val="000000"/>
          <w:sz w:val="24"/>
          <w:szCs w:val="24"/>
        </w:rPr>
        <w:t>information</w:t>
      </w:r>
      <w:r w:rsidRPr="00983DCE" w:rsidR="000971B2">
        <w:rPr>
          <w:color w:val="000000"/>
          <w:sz w:val="24"/>
          <w:szCs w:val="24"/>
        </w:rPr>
        <w:t>electronically</w:t>
      </w:r>
      <w:proofErr w:type="spellEnd"/>
      <w:r w:rsidRPr="00983DCE" w:rsidR="000971B2">
        <w:rPr>
          <w:color w:val="000000"/>
          <w:sz w:val="24"/>
          <w:szCs w:val="24"/>
        </w:rPr>
        <w:t xml:space="preserve"> </w:t>
      </w:r>
      <w:r w:rsidRPr="00983DCE" w:rsidR="00283B1B">
        <w:rPr>
          <w:color w:val="000000"/>
          <w:sz w:val="24"/>
          <w:szCs w:val="24"/>
        </w:rPr>
        <w:t xml:space="preserve">via the </w:t>
      </w:r>
      <w:r w:rsidRPr="00983DCE" w:rsidR="004946F4">
        <w:rPr>
          <w:color w:val="000000"/>
          <w:sz w:val="24"/>
          <w:szCs w:val="24"/>
        </w:rPr>
        <w:t>Bureau</w:t>
      </w:r>
      <w:r w:rsidRPr="00983DCE" w:rsidR="00283B1B">
        <w:rPr>
          <w:color w:val="000000"/>
          <w:sz w:val="24"/>
          <w:szCs w:val="24"/>
        </w:rPr>
        <w:t>’s online channel</w:t>
      </w:r>
      <w:r w:rsidRPr="00983DCE" w:rsidR="00F14B37">
        <w:rPr>
          <w:color w:val="000000"/>
          <w:sz w:val="24"/>
          <w:szCs w:val="24"/>
        </w:rPr>
        <w:t xml:space="preserve">: Collect. </w:t>
      </w:r>
      <w:r w:rsidRPr="00983DCE">
        <w:rPr>
          <w:color w:val="000000"/>
          <w:sz w:val="24"/>
          <w:szCs w:val="24"/>
        </w:rPr>
        <w:t xml:space="preserve">Individual respondent data </w:t>
      </w:r>
      <w:r w:rsidR="00876726">
        <w:rPr>
          <w:color w:val="000000"/>
          <w:sz w:val="24"/>
          <w:szCs w:val="24"/>
        </w:rPr>
        <w:t>is</w:t>
      </w:r>
      <w:r w:rsidRPr="00983DCE" w:rsidR="00876726">
        <w:rPr>
          <w:color w:val="000000"/>
          <w:sz w:val="24"/>
          <w:szCs w:val="24"/>
        </w:rPr>
        <w:t xml:space="preserve"> </w:t>
      </w:r>
      <w:r w:rsidRPr="00983DCE">
        <w:rPr>
          <w:color w:val="000000"/>
          <w:sz w:val="24"/>
          <w:szCs w:val="24"/>
        </w:rPr>
        <w:t>then published on CFPB’s public website.</w:t>
      </w:r>
      <w:r w:rsidRPr="00983DCE" w:rsidR="000971B2">
        <w:rPr>
          <w:color w:val="000000"/>
          <w:sz w:val="24"/>
          <w:szCs w:val="24"/>
        </w:rPr>
        <w:t xml:space="preserve"> The reports are intended to facilitate credit card shopping by consumers and enhance competition.</w:t>
      </w:r>
    </w:p>
    <w:p w:rsidR="006F2703" w:rsidP="00BC5C20" w:rsidRDefault="006F2703" w14:paraId="131C5DCA" w14:textId="057DD3F0">
      <w:pPr>
        <w:pStyle w:val="Default"/>
        <w:rPr>
          <w:b/>
          <w:bCs/>
        </w:rPr>
      </w:pPr>
    </w:p>
    <w:p w:rsidRPr="00376B51" w:rsidR="00320E85" w:rsidP="00320E85" w:rsidRDefault="00320E85" w14:paraId="546E51C7" w14:textId="652D1231">
      <w:pPr>
        <w:widowControl/>
        <w:tabs>
          <w:tab w:val="left" w:pos="0"/>
        </w:tabs>
        <w:spacing w:after="200" w:line="276" w:lineRule="auto"/>
        <w:rPr>
          <w:b/>
          <w:i/>
          <w:sz w:val="24"/>
          <w:szCs w:val="24"/>
          <w:u w:val="single"/>
        </w:rPr>
      </w:pPr>
      <w:r w:rsidRPr="00376B51">
        <w:rPr>
          <w:b/>
          <w:i/>
          <w:sz w:val="24"/>
          <w:szCs w:val="24"/>
          <w:u w:val="single"/>
        </w:rPr>
        <w:t>Consumer Credit Card Agreement Quarterly Submission</w:t>
      </w:r>
      <w:r w:rsidR="00910053">
        <w:rPr>
          <w:b/>
          <w:i/>
          <w:sz w:val="24"/>
          <w:szCs w:val="24"/>
          <w:u w:val="single"/>
        </w:rPr>
        <w:t xml:space="preserve"> </w:t>
      </w:r>
    </w:p>
    <w:p w:rsidRPr="00376B51" w:rsidR="00320E85" w:rsidP="00320E85" w:rsidRDefault="00320E85" w14:paraId="27441AC8" w14:textId="1FEC2897">
      <w:pPr>
        <w:rPr>
          <w:sz w:val="24"/>
          <w:szCs w:val="24"/>
        </w:rPr>
      </w:pPr>
      <w:r w:rsidRPr="00376B51">
        <w:rPr>
          <w:sz w:val="24"/>
          <w:szCs w:val="24"/>
        </w:rPr>
        <w:t>Every quarter, the CARD Act requires the Bureau to collect and post to the Bureau’s website credit card agreements from issuers with 10,000</w:t>
      </w:r>
      <w:r w:rsidR="000A734F">
        <w:rPr>
          <w:sz w:val="24"/>
          <w:szCs w:val="24"/>
        </w:rPr>
        <w:t xml:space="preserve"> or more</w:t>
      </w:r>
      <w:r w:rsidRPr="00376B51">
        <w:rPr>
          <w:sz w:val="24"/>
          <w:szCs w:val="24"/>
        </w:rPr>
        <w:t xml:space="preserve"> accounts.  </w:t>
      </w:r>
      <w:r w:rsidRPr="00376B51">
        <w:rPr>
          <w:bCs/>
          <w:sz w:val="24"/>
          <w:szCs w:val="24"/>
        </w:rPr>
        <w:t>Financial institutions must submit consumer credit card agreements quarterly by the first business day on or after January 31, April 30, July 31, and October 31 of each year</w:t>
      </w:r>
      <w:r w:rsidRPr="00376B51">
        <w:rPr>
          <w:sz w:val="24"/>
          <w:szCs w:val="24"/>
        </w:rPr>
        <w:t xml:space="preserve">, as described in 12 CFR </w:t>
      </w:r>
      <w:r w:rsidR="006B4029">
        <w:rPr>
          <w:sz w:val="24"/>
          <w:szCs w:val="24"/>
        </w:rPr>
        <w:t>10</w:t>
      </w:r>
      <w:r w:rsidRPr="00376B51">
        <w:rPr>
          <w:sz w:val="24"/>
          <w:szCs w:val="24"/>
        </w:rPr>
        <w:t>26.58.</w:t>
      </w:r>
    </w:p>
    <w:p w:rsidRPr="00376B51" w:rsidR="00320E85" w:rsidP="00320E85" w:rsidRDefault="00320E85" w14:paraId="7AC43C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76B51" w:rsidR="00320E85" w:rsidP="00320E85" w:rsidRDefault="00320E85" w14:paraId="55457C2A" w14:textId="41DDEC84">
      <w:pPr>
        <w:widowControl/>
        <w:rPr>
          <w:sz w:val="24"/>
          <w:szCs w:val="24"/>
        </w:rPr>
      </w:pPr>
      <w:r w:rsidRPr="00376B51">
        <w:rPr>
          <w:sz w:val="24"/>
          <w:szCs w:val="24"/>
        </w:rPr>
        <w:t xml:space="preserve">Consumer agreement submissions generally must reflect the consumer agreements an issuer offered to the public as of the last business day of the preceding calendar quarter.  For example, the submission due on January 31, 2014 (the first business day on or after January 31, 2014) must reflect the consumer agreements </w:t>
      </w:r>
      <w:r w:rsidR="00B941D3">
        <w:rPr>
          <w:sz w:val="24"/>
          <w:szCs w:val="24"/>
        </w:rPr>
        <w:t>an</w:t>
      </w:r>
      <w:r w:rsidRPr="00376B51">
        <w:rPr>
          <w:sz w:val="24"/>
          <w:szCs w:val="24"/>
        </w:rPr>
        <w:t xml:space="preserve"> institution offered to the public as of December 31, 2013 (the last business day of the fourth calendar quarter).</w:t>
      </w:r>
    </w:p>
    <w:p w:rsidRPr="00376B51" w:rsidR="00320E85" w:rsidP="00320E85" w:rsidRDefault="00320E85" w14:paraId="65B92DCC" w14:textId="77777777">
      <w:pPr>
        <w:rPr>
          <w:sz w:val="24"/>
          <w:szCs w:val="24"/>
        </w:rPr>
      </w:pPr>
    </w:p>
    <w:p w:rsidRPr="00376B51" w:rsidR="00320E85" w:rsidP="00320E85" w:rsidRDefault="00320E85" w14:paraId="0C1EE373" w14:textId="77777777">
      <w:pPr>
        <w:widowControl/>
        <w:tabs>
          <w:tab w:val="left" w:pos="0"/>
        </w:tabs>
        <w:spacing w:after="200"/>
        <w:rPr>
          <w:sz w:val="24"/>
          <w:szCs w:val="24"/>
        </w:rPr>
      </w:pPr>
      <w:r w:rsidRPr="00376B51">
        <w:rPr>
          <w:sz w:val="24"/>
          <w:szCs w:val="24"/>
        </w:rPr>
        <w:t xml:space="preserve">The Bureau is required by law to make all such agreements “easily accessible and retrievable.”  They are posted on the Bureau’s site:  </w:t>
      </w:r>
      <w:hyperlink w:history="1" r:id="rId14">
        <w:r w:rsidRPr="00376B51">
          <w:rPr>
            <w:rStyle w:val="Hyperlink"/>
            <w:sz w:val="24"/>
            <w:szCs w:val="24"/>
          </w:rPr>
          <w:t>http://www.consumerfinance.gov/credit-</w:t>
        </w:r>
        <w:r w:rsidRPr="00376B51">
          <w:rPr>
            <w:rStyle w:val="Hyperlink"/>
            <w:sz w:val="24"/>
            <w:szCs w:val="24"/>
          </w:rPr>
          <w:lastRenderedPageBreak/>
          <w:t>cards/agreements/</w:t>
        </w:r>
      </w:hyperlink>
      <w:r w:rsidRPr="00376B51">
        <w:rPr>
          <w:sz w:val="24"/>
          <w:szCs w:val="24"/>
        </w:rPr>
        <w:t>.  The agreements can be filtered by issuer and the text is fully searchable.  This facilitates consumers’ ability to find their credit card agreement and compare it to others.</w:t>
      </w:r>
    </w:p>
    <w:p w:rsidRPr="00376B51" w:rsidR="00320E85" w:rsidP="00320E85" w:rsidRDefault="00320E85" w14:paraId="18085B51" w14:textId="0D1FC3BC">
      <w:pPr>
        <w:widowControl/>
        <w:spacing w:after="200" w:line="276" w:lineRule="auto"/>
        <w:rPr>
          <w:rFonts w:eastAsiaTheme="minorHAnsi"/>
          <w:b/>
          <w:i/>
          <w:color w:val="000000"/>
          <w:sz w:val="24"/>
          <w:szCs w:val="24"/>
          <w:u w:val="single"/>
        </w:rPr>
      </w:pPr>
      <w:r w:rsidRPr="00376B51">
        <w:rPr>
          <w:rFonts w:eastAsiaTheme="minorHAnsi"/>
          <w:b/>
          <w:i/>
          <w:color w:val="000000"/>
          <w:sz w:val="24"/>
          <w:szCs w:val="24"/>
          <w:u w:val="single"/>
        </w:rPr>
        <w:t>College Credit Card Agreement Annual Submission</w:t>
      </w:r>
      <w:r w:rsidR="00910053">
        <w:rPr>
          <w:rFonts w:eastAsiaTheme="minorHAnsi"/>
          <w:b/>
          <w:i/>
          <w:color w:val="000000"/>
          <w:sz w:val="24"/>
          <w:szCs w:val="24"/>
          <w:u w:val="single"/>
        </w:rPr>
        <w:t xml:space="preserve"> </w:t>
      </w:r>
    </w:p>
    <w:p w:rsidRPr="00376B51" w:rsidR="00320E85" w:rsidP="00320E85" w:rsidRDefault="00320E85" w14:paraId="13A3F02B" w14:textId="77777777">
      <w:pPr>
        <w:rPr>
          <w:sz w:val="24"/>
          <w:szCs w:val="24"/>
        </w:rPr>
      </w:pPr>
      <w:r w:rsidRPr="00376B51">
        <w:rPr>
          <w:sz w:val="24"/>
          <w:szCs w:val="24"/>
        </w:rPr>
        <w:t xml:space="preserve">Every year, the CARD Act requires the Bureau to collect the agreements in place between credit card issuers and institutions of higher education, as well as summary data about the credit cards offered pursuant to these agreements. </w:t>
      </w:r>
    </w:p>
    <w:p w:rsidRPr="00376B51" w:rsidR="00320E85" w:rsidP="00320E85" w:rsidRDefault="00320E85" w14:paraId="13416EE0" w14:textId="77777777">
      <w:pPr>
        <w:widowControl/>
        <w:rPr>
          <w:bCs/>
          <w:sz w:val="24"/>
          <w:szCs w:val="24"/>
        </w:rPr>
      </w:pPr>
    </w:p>
    <w:p w:rsidRPr="00376B51" w:rsidR="00320E85" w:rsidP="00320E85" w:rsidRDefault="00320E85" w14:paraId="50474544" w14:textId="2C234D71">
      <w:pPr>
        <w:widowControl/>
        <w:rPr>
          <w:sz w:val="24"/>
          <w:szCs w:val="24"/>
        </w:rPr>
      </w:pPr>
      <w:r w:rsidRPr="33F5B6BA">
        <w:rPr>
          <w:sz w:val="24"/>
          <w:szCs w:val="24"/>
        </w:rPr>
        <w:t>College agreements must be submitted annually by the first business day on or after March 31 of each year</w:t>
      </w:r>
      <w:r w:rsidRPr="00376B51">
        <w:rPr>
          <w:sz w:val="24"/>
          <w:szCs w:val="24"/>
        </w:rPr>
        <w:t xml:space="preserve">, as described in 12 CFR </w:t>
      </w:r>
      <w:r w:rsidR="003171D9">
        <w:rPr>
          <w:sz w:val="24"/>
          <w:szCs w:val="24"/>
        </w:rPr>
        <w:t>10</w:t>
      </w:r>
      <w:r w:rsidRPr="00376B51">
        <w:rPr>
          <w:sz w:val="24"/>
          <w:szCs w:val="24"/>
        </w:rPr>
        <w:t xml:space="preserve">26.57(d). For example, if an institution was a party to a college credit card agreement in effect at any time during calendar year </w:t>
      </w:r>
      <w:r w:rsidR="003171D9">
        <w:rPr>
          <w:sz w:val="24"/>
          <w:szCs w:val="24"/>
        </w:rPr>
        <w:t>2021</w:t>
      </w:r>
      <w:r w:rsidRPr="00376B51">
        <w:rPr>
          <w:sz w:val="24"/>
          <w:szCs w:val="24"/>
        </w:rPr>
        <w:t>, the agreement and information about that agreement must be sent to the Bureau no later than March 31, 20</w:t>
      </w:r>
      <w:r w:rsidR="00B463F3">
        <w:rPr>
          <w:sz w:val="24"/>
          <w:szCs w:val="24"/>
        </w:rPr>
        <w:t>22</w:t>
      </w:r>
      <w:r w:rsidRPr="00376B51">
        <w:rPr>
          <w:sz w:val="24"/>
          <w:szCs w:val="24"/>
        </w:rPr>
        <w:t>.</w:t>
      </w:r>
      <w:r w:rsidR="00B463F3">
        <w:rPr>
          <w:rStyle w:val="FootnoteReference"/>
          <w:sz w:val="24"/>
          <w:szCs w:val="24"/>
        </w:rPr>
        <w:footnoteReference w:id="8"/>
      </w:r>
    </w:p>
    <w:p w:rsidRPr="00376B51" w:rsidR="00320E85" w:rsidP="00320E85" w:rsidRDefault="00320E85" w14:paraId="59391CE4" w14:textId="77777777">
      <w:pPr>
        <w:widowControl/>
        <w:rPr>
          <w:sz w:val="24"/>
          <w:szCs w:val="24"/>
        </w:rPr>
      </w:pPr>
    </w:p>
    <w:p w:rsidRPr="00376B51" w:rsidR="00320E85" w:rsidP="00320E85" w:rsidRDefault="00320E85" w14:paraId="7F1632D6" w14:textId="77777777">
      <w:pPr>
        <w:widowControl/>
        <w:rPr>
          <w:sz w:val="24"/>
          <w:szCs w:val="24"/>
        </w:rPr>
      </w:pPr>
      <w:r w:rsidRPr="00376B51">
        <w:rPr>
          <w:sz w:val="24"/>
          <w:szCs w:val="24"/>
        </w:rPr>
        <w:t>The agreements between the financial institution and the institution of higher education and information about those agreements are considered nonconfidential. The Bureau will make these agreements and the related information available to the public as part of an annual report.</w:t>
      </w:r>
    </w:p>
    <w:p w:rsidRPr="00376B51" w:rsidR="00320E85" w:rsidP="00320E85" w:rsidRDefault="00320E85" w14:paraId="11A93E0C" w14:textId="77777777">
      <w:pPr>
        <w:widowControl/>
        <w:rPr>
          <w:sz w:val="24"/>
          <w:szCs w:val="24"/>
        </w:rPr>
      </w:pPr>
    </w:p>
    <w:p w:rsidRPr="00376B51" w:rsidR="00320E85" w:rsidP="00320E85" w:rsidRDefault="00320E85" w14:paraId="283ABCB1" w14:textId="6B21240B">
      <w:pPr>
        <w:widowControl/>
        <w:rPr>
          <w:sz w:val="24"/>
          <w:szCs w:val="24"/>
        </w:rPr>
      </w:pPr>
      <w:r w:rsidRPr="00376B51">
        <w:rPr>
          <w:sz w:val="24"/>
          <w:szCs w:val="24"/>
        </w:rPr>
        <w:t>Agreements between a financial institution and an institution of higher education and information</w:t>
      </w:r>
      <w:r w:rsidR="00C37B85">
        <w:rPr>
          <w:sz w:val="24"/>
          <w:szCs w:val="24"/>
        </w:rPr>
        <w:t xml:space="preserve"> </w:t>
      </w:r>
      <w:r w:rsidRPr="00376B51">
        <w:rPr>
          <w:sz w:val="24"/>
          <w:szCs w:val="24"/>
        </w:rPr>
        <w:t>about those agreements are considered nonconfidential because:</w:t>
      </w:r>
    </w:p>
    <w:p w:rsidRPr="009A1541" w:rsidR="00EA2208" w:rsidP="009A1541" w:rsidRDefault="00320E85" w14:paraId="3405F947" w14:textId="7085A4FE">
      <w:pPr>
        <w:pStyle w:val="ListParagraph"/>
        <w:widowControl/>
        <w:numPr>
          <w:ilvl w:val="0"/>
          <w:numId w:val="16"/>
        </w:numPr>
        <w:rPr>
          <w:sz w:val="24"/>
          <w:szCs w:val="24"/>
        </w:rPr>
      </w:pPr>
      <w:r w:rsidRPr="00376B51">
        <w:rPr>
          <w:sz w:val="24"/>
          <w:szCs w:val="24"/>
        </w:rPr>
        <w:t xml:space="preserve">Section 304 of the Credit CARD Act and 12 CFR </w:t>
      </w:r>
      <w:r w:rsidR="00C37B85">
        <w:rPr>
          <w:sz w:val="24"/>
          <w:szCs w:val="24"/>
        </w:rPr>
        <w:t>10</w:t>
      </w:r>
      <w:r w:rsidRPr="00376B51">
        <w:rPr>
          <w:sz w:val="24"/>
          <w:szCs w:val="24"/>
        </w:rPr>
        <w:t>26.57(b) require institutions of higher education to disclose these agreements publicly</w:t>
      </w:r>
      <w:r w:rsidR="00DD308F">
        <w:rPr>
          <w:sz w:val="24"/>
          <w:szCs w:val="24"/>
        </w:rPr>
        <w:t>,</w:t>
      </w:r>
      <w:r w:rsidRPr="00376B51">
        <w:rPr>
          <w:sz w:val="24"/>
          <w:szCs w:val="24"/>
        </w:rPr>
        <w:t xml:space="preserve"> and</w:t>
      </w:r>
      <w:r w:rsidR="00DD308F">
        <w:rPr>
          <w:sz w:val="24"/>
          <w:szCs w:val="24"/>
        </w:rPr>
        <w:t xml:space="preserve"> </w:t>
      </w:r>
      <w:r w:rsidRPr="009A1541">
        <w:rPr>
          <w:sz w:val="24"/>
          <w:szCs w:val="24"/>
        </w:rPr>
        <w:t xml:space="preserve">Section 305 of the Credit CARD Act requires the </w:t>
      </w:r>
      <w:r w:rsidR="00244705">
        <w:rPr>
          <w:sz w:val="24"/>
          <w:szCs w:val="24"/>
        </w:rPr>
        <w:t>Bureau</w:t>
      </w:r>
      <w:r w:rsidRPr="009A1541">
        <w:rPr>
          <w:sz w:val="24"/>
          <w:szCs w:val="24"/>
        </w:rPr>
        <w:t xml:space="preserve"> to submit to Congress and make available to the public an annual report that lists certain information about each agreement submitted.</w:t>
      </w:r>
    </w:p>
    <w:p w:rsidRPr="00B26213" w:rsidR="002B4C45" w:rsidP="00B26213" w:rsidRDefault="002B4C45" w14:paraId="2FFC0A85" w14:textId="77777777">
      <w:pPr>
        <w:pStyle w:val="ListParagraph"/>
        <w:widowControl/>
        <w:ind w:left="0"/>
        <w:rPr>
          <w:sz w:val="24"/>
          <w:szCs w:val="24"/>
        </w:rPr>
      </w:pPr>
    </w:p>
    <w:p w:rsidR="00320E85" w:rsidP="00320E85" w:rsidRDefault="00320E85" w14:paraId="215A54CC" w14:textId="6438E119">
      <w:pPr>
        <w:widowControl/>
        <w:rPr>
          <w:sz w:val="24"/>
          <w:szCs w:val="24"/>
        </w:rPr>
      </w:pPr>
      <w:r w:rsidRPr="00376B51">
        <w:rPr>
          <w:sz w:val="24"/>
          <w:szCs w:val="24"/>
        </w:rPr>
        <w:t>This information includes:</w:t>
      </w:r>
    </w:p>
    <w:p w:rsidRPr="00376B51" w:rsidR="00EA2208" w:rsidP="00320E85" w:rsidRDefault="00EA2208" w14:paraId="752060C8" w14:textId="77777777">
      <w:pPr>
        <w:widowControl/>
        <w:rPr>
          <w:sz w:val="24"/>
          <w:szCs w:val="24"/>
        </w:rPr>
      </w:pPr>
    </w:p>
    <w:p w:rsidRPr="00376B51" w:rsidR="00320E85" w:rsidP="00320E85" w:rsidRDefault="00320E85" w14:paraId="2173CA1D" w14:textId="77777777">
      <w:pPr>
        <w:pStyle w:val="ListParagraph"/>
        <w:widowControl/>
        <w:numPr>
          <w:ilvl w:val="0"/>
          <w:numId w:val="17"/>
        </w:numPr>
        <w:rPr>
          <w:sz w:val="24"/>
          <w:szCs w:val="24"/>
        </w:rPr>
      </w:pPr>
      <w:r w:rsidRPr="00376B51">
        <w:rPr>
          <w:sz w:val="24"/>
          <w:szCs w:val="24"/>
        </w:rPr>
        <w:t xml:space="preserve">the total amount of payments by your institution during the </w:t>
      </w:r>
      <w:proofErr w:type="gramStart"/>
      <w:r w:rsidRPr="00376B51">
        <w:rPr>
          <w:sz w:val="24"/>
          <w:szCs w:val="24"/>
        </w:rPr>
        <w:t>year;</w:t>
      </w:r>
      <w:proofErr w:type="gramEnd"/>
    </w:p>
    <w:p w:rsidRPr="00376B51" w:rsidR="00320E85" w:rsidP="00320E85" w:rsidRDefault="00320E85" w14:paraId="721D7042" w14:textId="77777777">
      <w:pPr>
        <w:pStyle w:val="ListParagraph"/>
        <w:widowControl/>
        <w:numPr>
          <w:ilvl w:val="0"/>
          <w:numId w:val="17"/>
        </w:numPr>
        <w:rPr>
          <w:sz w:val="24"/>
          <w:szCs w:val="24"/>
        </w:rPr>
      </w:pPr>
      <w:r w:rsidRPr="00376B51">
        <w:rPr>
          <w:sz w:val="24"/>
          <w:szCs w:val="24"/>
        </w:rPr>
        <w:t xml:space="preserve">the specific terms of the agreement under which payments are </w:t>
      </w:r>
      <w:proofErr w:type="gramStart"/>
      <w:r w:rsidRPr="00376B51">
        <w:rPr>
          <w:sz w:val="24"/>
          <w:szCs w:val="24"/>
        </w:rPr>
        <w:t>calculated;</w:t>
      </w:r>
      <w:proofErr w:type="gramEnd"/>
    </w:p>
    <w:p w:rsidRPr="00376B51" w:rsidR="00320E85" w:rsidP="00320E85" w:rsidRDefault="00320E85" w14:paraId="6E6876E1" w14:textId="77777777">
      <w:pPr>
        <w:pStyle w:val="ListParagraph"/>
        <w:widowControl/>
        <w:numPr>
          <w:ilvl w:val="0"/>
          <w:numId w:val="17"/>
        </w:numPr>
        <w:rPr>
          <w:sz w:val="24"/>
          <w:szCs w:val="24"/>
        </w:rPr>
      </w:pPr>
      <w:r w:rsidRPr="00376B51">
        <w:rPr>
          <w:sz w:val="24"/>
          <w:szCs w:val="24"/>
        </w:rPr>
        <w:t xml:space="preserve">the number of accounts opened during the </w:t>
      </w:r>
      <w:proofErr w:type="gramStart"/>
      <w:r w:rsidRPr="00376B51">
        <w:rPr>
          <w:sz w:val="24"/>
          <w:szCs w:val="24"/>
        </w:rPr>
        <w:t>year;</w:t>
      </w:r>
      <w:proofErr w:type="gramEnd"/>
      <w:r w:rsidRPr="00376B51">
        <w:rPr>
          <w:sz w:val="24"/>
          <w:szCs w:val="24"/>
        </w:rPr>
        <w:t xml:space="preserve"> </w:t>
      </w:r>
    </w:p>
    <w:p w:rsidRPr="00376B51" w:rsidR="00320E85" w:rsidP="00320E85" w:rsidRDefault="00320E85" w14:paraId="38A58CF3" w14:textId="77777777">
      <w:pPr>
        <w:pStyle w:val="ListParagraph"/>
        <w:widowControl/>
        <w:numPr>
          <w:ilvl w:val="0"/>
          <w:numId w:val="17"/>
        </w:numPr>
        <w:rPr>
          <w:sz w:val="24"/>
          <w:szCs w:val="24"/>
        </w:rPr>
      </w:pPr>
      <w:r w:rsidRPr="00376B51">
        <w:rPr>
          <w:sz w:val="24"/>
          <w:szCs w:val="24"/>
        </w:rPr>
        <w:t>the total number of accounts that were open at the end of the year; and</w:t>
      </w:r>
    </w:p>
    <w:p w:rsidRPr="00376B51" w:rsidR="00320E85" w:rsidP="00320E85" w:rsidRDefault="00320E85" w14:paraId="421D1FD1" w14:textId="77777777">
      <w:pPr>
        <w:pStyle w:val="ListParagraph"/>
        <w:widowControl/>
        <w:numPr>
          <w:ilvl w:val="0"/>
          <w:numId w:val="17"/>
        </w:numPr>
        <w:rPr>
          <w:sz w:val="24"/>
          <w:szCs w:val="24"/>
        </w:rPr>
      </w:pPr>
      <w:r w:rsidRPr="00376B51">
        <w:rPr>
          <w:sz w:val="24"/>
          <w:szCs w:val="24"/>
        </w:rPr>
        <w:t>a list of agreements terminated during the calendar year including the name, type, and location of the institution of higher education.</w:t>
      </w:r>
    </w:p>
    <w:p w:rsidRPr="00376B51" w:rsidR="00320E85" w:rsidP="00320E85" w:rsidRDefault="00320E85" w14:paraId="725A7116" w14:textId="77777777">
      <w:pPr>
        <w:widowControl/>
        <w:rPr>
          <w:color w:val="000000"/>
          <w:sz w:val="24"/>
          <w:szCs w:val="24"/>
        </w:rPr>
      </w:pPr>
    </w:p>
    <w:p w:rsidRPr="00B463F3" w:rsidR="00320E85" w:rsidP="00320E85" w:rsidRDefault="00320E85" w14:paraId="12B142DE" w14:textId="77777777">
      <w:pPr>
        <w:widowControl/>
        <w:rPr>
          <w:color w:val="000000"/>
          <w:sz w:val="24"/>
          <w:szCs w:val="24"/>
        </w:rPr>
      </w:pPr>
      <w:r w:rsidRPr="003171D9">
        <w:rPr>
          <w:sz w:val="24"/>
          <w:szCs w:val="24"/>
        </w:rPr>
        <w:t xml:space="preserve">This data collection is intended to bring greater transparency to the college and university credit card market.  The CARD Act prohibits credit card issuers from extending credit without assessing the consumers’ ability to pay, specifically persons under </w:t>
      </w:r>
      <w:r w:rsidRPr="00B463F3">
        <w:rPr>
          <w:sz w:val="24"/>
          <w:szCs w:val="24"/>
        </w:rPr>
        <w:t xml:space="preserve">the age of 21.  This collection is vital to the ongoing regulatory surveillance of this potentially risky market segment.  The </w:t>
      </w:r>
      <w:r w:rsidRPr="00B463F3">
        <w:rPr>
          <w:sz w:val="24"/>
          <w:szCs w:val="24"/>
        </w:rPr>
        <w:lastRenderedPageBreak/>
        <w:t xml:space="preserve">collection also provides consumers, including college students, clear and comparable information regarding their credit cards.  </w:t>
      </w:r>
    </w:p>
    <w:p w:rsidRPr="00376B51" w:rsidR="00320E85" w:rsidP="00320E85" w:rsidRDefault="00320E85" w14:paraId="355F0B73" w14:textId="77777777">
      <w:pPr>
        <w:widowControl/>
        <w:rPr>
          <w:color w:val="000000"/>
          <w:sz w:val="24"/>
          <w:szCs w:val="24"/>
        </w:rPr>
      </w:pPr>
    </w:p>
    <w:p w:rsidR="00C721AA" w:rsidP="00BC5C20" w:rsidRDefault="00320E85" w14:paraId="2B2B7C97" w14:textId="77777777">
      <w:pPr>
        <w:pStyle w:val="Default"/>
        <w:rPr>
          <w:rStyle w:val="Hyperlink"/>
          <w:rFonts w:ascii="Sitka Text" w:hAnsi="Sitka Text"/>
        </w:rPr>
      </w:pPr>
      <w:r w:rsidRPr="00376B51">
        <w:rPr>
          <w:rFonts w:eastAsiaTheme="minorHAnsi"/>
        </w:rPr>
        <w:t>The college credit card data is posted</w:t>
      </w:r>
      <w:r w:rsidRPr="00376B51">
        <w:t xml:space="preserve"> at </w:t>
      </w:r>
      <w:hyperlink w:history="1" r:id="rId15">
        <w:r w:rsidR="00EC4DFF">
          <w:rPr>
            <w:rStyle w:val="Hyperlink"/>
            <w:rFonts w:ascii="Sitka Text" w:hAnsi="Sitka Text"/>
          </w:rPr>
          <w:t>http://collect.consumerfinance.gov/</w:t>
        </w:r>
      </w:hyperlink>
    </w:p>
    <w:p w:rsidR="00C721AA" w:rsidP="00BC5C20" w:rsidRDefault="00C721AA" w14:paraId="3DEE6DD1" w14:textId="77777777">
      <w:pPr>
        <w:pStyle w:val="Default"/>
        <w:rPr>
          <w:rStyle w:val="Hyperlink"/>
          <w:rFonts w:ascii="Sitka Text" w:hAnsi="Sitka Text"/>
        </w:rPr>
      </w:pPr>
    </w:p>
    <w:p w:rsidRPr="00983DCE" w:rsidR="00BC5C20" w:rsidP="00BC5C20" w:rsidRDefault="00BC5C20" w14:paraId="4246D2CB" w14:textId="3E5780A1">
      <w:pPr>
        <w:pStyle w:val="Default"/>
        <w:rPr>
          <w:color w:val="auto"/>
        </w:rPr>
      </w:pPr>
      <w:r w:rsidRPr="00983DCE">
        <w:rPr>
          <w:b/>
          <w:bCs/>
        </w:rPr>
        <w:t>3.</w:t>
      </w:r>
      <w:r w:rsidRPr="00983DCE" w:rsidR="00C474DC">
        <w:rPr>
          <w:b/>
          <w:bCs/>
        </w:rPr>
        <w:t xml:space="preserve"> </w:t>
      </w:r>
      <w:r w:rsidRPr="00983DCE">
        <w:rPr>
          <w:b/>
          <w:bCs/>
          <w:u w:val="single"/>
        </w:rPr>
        <w:t>Use of Information Technology</w:t>
      </w:r>
    </w:p>
    <w:p w:rsidRPr="00983DCE" w:rsidR="00BC5C20" w:rsidRDefault="00BC5C20" w14:paraId="321189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83DCE">
        <w:rPr>
          <w:sz w:val="24"/>
          <w:szCs w:val="24"/>
        </w:rPr>
        <w:tab/>
      </w:r>
    </w:p>
    <w:p w:rsidRPr="00376B51" w:rsidR="00FE5895" w:rsidP="00F16222" w:rsidRDefault="00FE5895" w14:paraId="00D727BB" w14:textId="760D5138">
      <w:pPr>
        <w:rPr>
          <w:sz w:val="24"/>
          <w:szCs w:val="24"/>
          <w:u w:val="single"/>
        </w:rPr>
      </w:pPr>
      <w:r>
        <w:rPr>
          <w:sz w:val="24"/>
          <w:szCs w:val="24"/>
          <w:u w:val="single"/>
        </w:rPr>
        <w:t>T</w:t>
      </w:r>
      <w:r w:rsidR="00A7236B">
        <w:rPr>
          <w:sz w:val="24"/>
          <w:szCs w:val="24"/>
          <w:u w:val="single"/>
        </w:rPr>
        <w:t xml:space="preserve">erms of </w:t>
      </w:r>
      <w:r>
        <w:rPr>
          <w:sz w:val="24"/>
          <w:szCs w:val="24"/>
          <w:u w:val="single"/>
        </w:rPr>
        <w:t>C</w:t>
      </w:r>
      <w:r w:rsidR="00A7236B">
        <w:rPr>
          <w:sz w:val="24"/>
          <w:szCs w:val="24"/>
          <w:u w:val="single"/>
        </w:rPr>
        <w:t xml:space="preserve">redit </w:t>
      </w:r>
      <w:r>
        <w:rPr>
          <w:sz w:val="24"/>
          <w:szCs w:val="24"/>
          <w:u w:val="single"/>
        </w:rPr>
        <w:t>C</w:t>
      </w:r>
      <w:r w:rsidR="00A7236B">
        <w:rPr>
          <w:sz w:val="24"/>
          <w:szCs w:val="24"/>
          <w:u w:val="single"/>
        </w:rPr>
        <w:t xml:space="preserve">ard </w:t>
      </w:r>
      <w:r>
        <w:rPr>
          <w:sz w:val="24"/>
          <w:szCs w:val="24"/>
          <w:u w:val="single"/>
        </w:rPr>
        <w:t>P</w:t>
      </w:r>
      <w:r w:rsidR="00A7236B">
        <w:rPr>
          <w:sz w:val="24"/>
          <w:szCs w:val="24"/>
          <w:u w:val="single"/>
        </w:rPr>
        <w:t>lan</w:t>
      </w:r>
      <w:r w:rsidR="004B21C5">
        <w:rPr>
          <w:sz w:val="24"/>
          <w:szCs w:val="24"/>
          <w:u w:val="single"/>
        </w:rPr>
        <w:t xml:space="preserve"> Survey</w:t>
      </w:r>
    </w:p>
    <w:p w:rsidR="00FE5895" w:rsidP="00F16222" w:rsidRDefault="00FE5895" w14:paraId="1FEDCC9C" w14:textId="77777777">
      <w:pPr>
        <w:rPr>
          <w:sz w:val="24"/>
          <w:szCs w:val="24"/>
        </w:rPr>
      </w:pPr>
    </w:p>
    <w:p w:rsidR="005A41E8" w:rsidP="00F16222" w:rsidRDefault="00700B28" w14:paraId="1A984804" w14:textId="6D0E4178">
      <w:pPr>
        <w:rPr>
          <w:sz w:val="24"/>
          <w:szCs w:val="24"/>
        </w:rPr>
      </w:pPr>
      <w:r w:rsidRPr="00983DCE">
        <w:rPr>
          <w:sz w:val="24"/>
          <w:szCs w:val="24"/>
        </w:rPr>
        <w:t>In July 2018</w:t>
      </w:r>
      <w:r w:rsidRPr="00983DCE" w:rsidR="00AA73D0">
        <w:rPr>
          <w:sz w:val="24"/>
          <w:szCs w:val="24"/>
        </w:rPr>
        <w:t>,</w:t>
      </w:r>
      <w:r w:rsidRPr="00983DCE">
        <w:rPr>
          <w:sz w:val="24"/>
          <w:szCs w:val="24"/>
        </w:rPr>
        <w:t xml:space="preserve"> the Bureau </w:t>
      </w:r>
      <w:r w:rsidRPr="00983DCE" w:rsidR="003B77D9">
        <w:rPr>
          <w:sz w:val="24"/>
          <w:szCs w:val="24"/>
        </w:rPr>
        <w:t xml:space="preserve">began </w:t>
      </w:r>
      <w:r w:rsidRPr="00983DCE" w:rsidR="00AA73D0">
        <w:rPr>
          <w:sz w:val="24"/>
          <w:szCs w:val="24"/>
        </w:rPr>
        <w:t xml:space="preserve">allowing </w:t>
      </w:r>
      <w:r w:rsidR="00A7236B">
        <w:rPr>
          <w:sz w:val="24"/>
          <w:szCs w:val="24"/>
        </w:rPr>
        <w:t xml:space="preserve">TCCP Survey </w:t>
      </w:r>
      <w:r w:rsidRPr="00983DCE" w:rsidR="003B77D9">
        <w:rPr>
          <w:sz w:val="24"/>
          <w:szCs w:val="24"/>
        </w:rPr>
        <w:t>responses to be submitted</w:t>
      </w:r>
      <w:r w:rsidR="00A7236B">
        <w:rPr>
          <w:sz w:val="24"/>
          <w:szCs w:val="24"/>
        </w:rPr>
        <w:t xml:space="preserve"> on a voluntary basis</w:t>
      </w:r>
      <w:r w:rsidRPr="00983DCE" w:rsidR="003B77D9">
        <w:rPr>
          <w:sz w:val="24"/>
          <w:szCs w:val="24"/>
        </w:rPr>
        <w:t xml:space="preserve"> through its online channel </w:t>
      </w:r>
      <w:r w:rsidRPr="00983DCE" w:rsidR="000F6E2C">
        <w:rPr>
          <w:sz w:val="24"/>
          <w:szCs w:val="24"/>
        </w:rPr>
        <w:t>“Collect.”</w:t>
      </w:r>
      <w:r w:rsidR="00A7236B">
        <w:rPr>
          <w:sz w:val="24"/>
          <w:szCs w:val="24"/>
        </w:rPr>
        <w:t xml:space="preserve"> Respondents were also able to submit TCCP Survey responses on FR 2572 forms through email.</w:t>
      </w:r>
      <w:r w:rsidRPr="00983DCE" w:rsidR="000F6E2C">
        <w:rPr>
          <w:sz w:val="24"/>
          <w:szCs w:val="24"/>
        </w:rPr>
        <w:t xml:space="preserve"> </w:t>
      </w:r>
      <w:r w:rsidR="00A7236B">
        <w:rPr>
          <w:sz w:val="24"/>
          <w:szCs w:val="24"/>
        </w:rPr>
        <w:t xml:space="preserve"> </w:t>
      </w:r>
      <w:r w:rsidRPr="00983DCE" w:rsidR="000F6E2C">
        <w:rPr>
          <w:sz w:val="24"/>
          <w:szCs w:val="24"/>
        </w:rPr>
        <w:t xml:space="preserve">About 60 percent of respondents submitted the survey via Collect, and burden to respond decreased by about </w:t>
      </w:r>
      <w:r w:rsidRPr="00983DCE" w:rsidR="001E0D55">
        <w:rPr>
          <w:sz w:val="24"/>
          <w:szCs w:val="24"/>
        </w:rPr>
        <w:t>one-third</w:t>
      </w:r>
      <w:r w:rsidRPr="00983DCE" w:rsidR="000F6E2C">
        <w:rPr>
          <w:sz w:val="24"/>
          <w:szCs w:val="24"/>
        </w:rPr>
        <w:t>.</w:t>
      </w:r>
      <w:r w:rsidR="00C721AA">
        <w:rPr>
          <w:sz w:val="24"/>
          <w:szCs w:val="24"/>
        </w:rPr>
        <w:t xml:space="preserve"> </w:t>
      </w:r>
      <w:r w:rsidR="00556C5F">
        <w:rPr>
          <w:sz w:val="24"/>
          <w:szCs w:val="24"/>
        </w:rPr>
        <w:t>For</w:t>
      </w:r>
      <w:r w:rsidR="00C721AA">
        <w:rPr>
          <w:sz w:val="24"/>
          <w:szCs w:val="24"/>
        </w:rPr>
        <w:t xml:space="preserve"> the </w:t>
      </w:r>
      <w:r w:rsidRPr="00F61427" w:rsidR="00C721AA">
        <w:rPr>
          <w:sz w:val="24"/>
          <w:szCs w:val="24"/>
        </w:rPr>
        <w:t>January 20</w:t>
      </w:r>
      <w:r w:rsidR="00DD308F">
        <w:rPr>
          <w:sz w:val="24"/>
          <w:szCs w:val="24"/>
        </w:rPr>
        <w:t>21</w:t>
      </w:r>
      <w:r w:rsidR="00C721AA">
        <w:rPr>
          <w:sz w:val="24"/>
          <w:szCs w:val="24"/>
        </w:rPr>
        <w:t xml:space="preserve"> survey</w:t>
      </w:r>
      <w:r w:rsidR="00556C5F">
        <w:rPr>
          <w:sz w:val="24"/>
          <w:szCs w:val="24"/>
        </w:rPr>
        <w:t xml:space="preserve"> cycle</w:t>
      </w:r>
      <w:r w:rsidR="00C721AA">
        <w:rPr>
          <w:sz w:val="24"/>
          <w:szCs w:val="24"/>
        </w:rPr>
        <w:t xml:space="preserve">, the Bureau received 83% of responses via Collect, further reducing the burden to respond. On average, email submissions using the FR 2572 form took 15 minutes while issuers using Collect were able to submit in 10 minutes, on average. </w:t>
      </w:r>
      <w:r w:rsidR="00A7236B">
        <w:rPr>
          <w:sz w:val="24"/>
          <w:szCs w:val="24"/>
        </w:rPr>
        <w:t xml:space="preserve"> On August </w:t>
      </w:r>
      <w:r w:rsidR="00A659CE">
        <w:rPr>
          <w:sz w:val="24"/>
          <w:szCs w:val="24"/>
        </w:rPr>
        <w:t>23</w:t>
      </w:r>
      <w:r w:rsidR="00A7236B">
        <w:rPr>
          <w:sz w:val="24"/>
          <w:szCs w:val="24"/>
        </w:rPr>
        <w:t xml:space="preserve">, 2021, the Bureau published a notice of technical specifications </w:t>
      </w:r>
      <w:r w:rsidR="005133D8">
        <w:rPr>
          <w:sz w:val="24"/>
          <w:szCs w:val="24"/>
        </w:rPr>
        <w:t>stating</w:t>
      </w:r>
      <w:r w:rsidR="00A7236B">
        <w:rPr>
          <w:sz w:val="24"/>
          <w:szCs w:val="24"/>
        </w:rPr>
        <w:t xml:space="preserve"> that respondents must use Collect to make TCCP Survey submissions</w:t>
      </w:r>
      <w:r w:rsidR="000E49BA">
        <w:rPr>
          <w:sz w:val="24"/>
          <w:szCs w:val="24"/>
        </w:rPr>
        <w:t xml:space="preserve"> beginning with the Survey cycle beginning on January 31, 2022 and for future Survey responses going forward</w:t>
      </w:r>
      <w:r w:rsidR="00A7236B">
        <w:rPr>
          <w:sz w:val="24"/>
          <w:szCs w:val="24"/>
        </w:rPr>
        <w:t>.  Based on the information described above about the January 20</w:t>
      </w:r>
      <w:r w:rsidR="00786926">
        <w:rPr>
          <w:sz w:val="24"/>
          <w:szCs w:val="24"/>
        </w:rPr>
        <w:t>21</w:t>
      </w:r>
      <w:r w:rsidR="00A7236B">
        <w:rPr>
          <w:sz w:val="24"/>
          <w:szCs w:val="24"/>
        </w:rPr>
        <w:t xml:space="preserve"> survey, </w:t>
      </w:r>
      <w:r w:rsidR="00C721AA">
        <w:rPr>
          <w:sz w:val="24"/>
          <w:szCs w:val="24"/>
        </w:rPr>
        <w:t>moving the submission process entirely to Collect will reduce the submission burden for the remaining 17% of submissions previously occurring via email.</w:t>
      </w:r>
    </w:p>
    <w:p w:rsidR="00FE5895" w:rsidP="6B7F0614" w:rsidRDefault="00FE5895" w14:paraId="1BAA06BE" w14:textId="2936E3FB">
      <w:pPr>
        <w:rPr>
          <w:sz w:val="24"/>
          <w:szCs w:val="24"/>
        </w:rPr>
      </w:pPr>
    </w:p>
    <w:p w:rsidR="0036726B" w:rsidP="00F16222" w:rsidRDefault="00A7236B" w14:paraId="6D734A8D" w14:textId="67B6DF1A">
      <w:pPr>
        <w:rPr>
          <w:sz w:val="24"/>
          <w:szCs w:val="24"/>
          <w:u w:val="single"/>
        </w:rPr>
      </w:pPr>
      <w:r w:rsidRPr="00F445C5">
        <w:rPr>
          <w:bCs/>
          <w:iCs/>
          <w:sz w:val="24"/>
          <w:szCs w:val="24"/>
          <w:u w:val="single"/>
        </w:rPr>
        <w:t>Consumer Credit Card Agreement Quarterly Submission</w:t>
      </w:r>
    </w:p>
    <w:p w:rsidR="00132C3C" w:rsidP="0036726B" w:rsidRDefault="00132C3C" w14:paraId="0C35934F" w14:textId="77777777">
      <w:pPr>
        <w:rPr>
          <w:sz w:val="24"/>
          <w:szCs w:val="24"/>
        </w:rPr>
      </w:pPr>
    </w:p>
    <w:p w:rsidRPr="00FE5895" w:rsidR="0036726B" w:rsidP="0036726B" w:rsidRDefault="0036726B" w14:paraId="3E339DF2" w14:textId="6BED65D3">
      <w:pPr>
        <w:rPr>
          <w:sz w:val="24"/>
          <w:szCs w:val="24"/>
        </w:rPr>
      </w:pPr>
      <w:r>
        <w:rPr>
          <w:sz w:val="24"/>
          <w:szCs w:val="24"/>
        </w:rPr>
        <w:t xml:space="preserve">Submissions of college credit card agreements and information </w:t>
      </w:r>
      <w:r w:rsidR="00132C3C">
        <w:rPr>
          <w:sz w:val="24"/>
          <w:szCs w:val="24"/>
        </w:rPr>
        <w:t xml:space="preserve">have been </w:t>
      </w:r>
      <w:r>
        <w:rPr>
          <w:sz w:val="24"/>
          <w:szCs w:val="24"/>
        </w:rPr>
        <w:t>made via e</w:t>
      </w:r>
      <w:r w:rsidR="005133D8">
        <w:rPr>
          <w:sz w:val="24"/>
          <w:szCs w:val="24"/>
        </w:rPr>
        <w:t>mail</w:t>
      </w:r>
      <w:r>
        <w:rPr>
          <w:sz w:val="24"/>
          <w:szCs w:val="24"/>
        </w:rPr>
        <w:t xml:space="preserve"> to a dedicated Bureau inbox created for that purpose. The</w:t>
      </w:r>
      <w:r w:rsidR="00A7236B">
        <w:rPr>
          <w:sz w:val="24"/>
          <w:szCs w:val="24"/>
        </w:rPr>
        <w:t xml:space="preserve"> notice of technical specifications published by the Bureau on August </w:t>
      </w:r>
      <w:r w:rsidR="00A659CE">
        <w:rPr>
          <w:sz w:val="24"/>
          <w:szCs w:val="24"/>
        </w:rPr>
        <w:t>23</w:t>
      </w:r>
      <w:r w:rsidR="00A7236B">
        <w:rPr>
          <w:sz w:val="24"/>
          <w:szCs w:val="24"/>
        </w:rPr>
        <w:t xml:space="preserve">, 2021 </w:t>
      </w:r>
      <w:r w:rsidR="005133D8">
        <w:rPr>
          <w:sz w:val="24"/>
          <w:szCs w:val="24"/>
        </w:rPr>
        <w:t>states</w:t>
      </w:r>
      <w:r w:rsidR="00A7236B">
        <w:rPr>
          <w:sz w:val="24"/>
          <w:szCs w:val="24"/>
        </w:rPr>
        <w:t xml:space="preserve"> that </w:t>
      </w:r>
      <w:r w:rsidR="00132C3C">
        <w:rPr>
          <w:sz w:val="24"/>
          <w:szCs w:val="24"/>
        </w:rPr>
        <w:t xml:space="preserve">issuers must submit </w:t>
      </w:r>
      <w:r>
        <w:rPr>
          <w:sz w:val="24"/>
          <w:szCs w:val="24"/>
        </w:rPr>
        <w:t>agreements exclusively via Collect</w:t>
      </w:r>
      <w:r w:rsidR="00132C3C">
        <w:rPr>
          <w:sz w:val="24"/>
          <w:szCs w:val="24"/>
        </w:rPr>
        <w:t xml:space="preserve">, </w:t>
      </w:r>
      <w:r w:rsidRPr="00132C3C" w:rsidR="00132C3C">
        <w:rPr>
          <w:sz w:val="24"/>
          <w:szCs w:val="24"/>
        </w:rPr>
        <w:t>starting with the submissions for the fourth quarter of calendar year 2021 that are due on January 31, 2022</w:t>
      </w:r>
      <w:r w:rsidR="00132C3C">
        <w:rPr>
          <w:sz w:val="24"/>
          <w:szCs w:val="24"/>
        </w:rPr>
        <w:t>, to continue on an ongoing basis.</w:t>
      </w:r>
      <w:r w:rsidR="00DD308F">
        <w:rPr>
          <w:rStyle w:val="FootnoteReference"/>
          <w:sz w:val="24"/>
          <w:szCs w:val="24"/>
        </w:rPr>
        <w:footnoteReference w:id="9"/>
      </w:r>
    </w:p>
    <w:p w:rsidR="0036726B" w:rsidP="00F16222" w:rsidRDefault="0036726B" w14:paraId="4AC9BBC2" w14:textId="5D3F24E1">
      <w:pPr>
        <w:rPr>
          <w:sz w:val="24"/>
          <w:szCs w:val="24"/>
          <w:u w:val="single"/>
        </w:rPr>
      </w:pPr>
    </w:p>
    <w:p w:rsidR="00FE5895" w:rsidP="00F16222" w:rsidRDefault="00132C3C" w14:paraId="29478ACE" w14:textId="4E0E4762">
      <w:pPr>
        <w:rPr>
          <w:sz w:val="24"/>
          <w:szCs w:val="24"/>
          <w:u w:val="single"/>
        </w:rPr>
      </w:pPr>
      <w:r w:rsidRPr="00F445C5">
        <w:rPr>
          <w:rFonts w:eastAsiaTheme="minorHAnsi"/>
          <w:bCs/>
          <w:iCs/>
          <w:color w:val="000000"/>
          <w:sz w:val="24"/>
          <w:szCs w:val="24"/>
          <w:u w:val="single"/>
        </w:rPr>
        <w:t>College Credit Card Agreement Annual Submission</w:t>
      </w:r>
    </w:p>
    <w:p w:rsidR="00FE5895" w:rsidP="00F16222" w:rsidRDefault="00FE5895" w14:paraId="40CCEE4E" w14:textId="10DEFAC9">
      <w:pPr>
        <w:rPr>
          <w:sz w:val="24"/>
          <w:szCs w:val="24"/>
          <w:u w:val="single"/>
        </w:rPr>
      </w:pPr>
    </w:p>
    <w:p w:rsidRPr="00FE5895" w:rsidR="00FE5895" w:rsidP="00F16222" w:rsidRDefault="00FE5895" w14:paraId="01689D24" w14:textId="6ADAD863">
      <w:pPr>
        <w:rPr>
          <w:sz w:val="24"/>
          <w:szCs w:val="24"/>
        </w:rPr>
      </w:pPr>
      <w:r>
        <w:rPr>
          <w:sz w:val="24"/>
          <w:szCs w:val="24"/>
        </w:rPr>
        <w:t xml:space="preserve">Submissions of college credit card agreements and information </w:t>
      </w:r>
      <w:r w:rsidR="00132C3C">
        <w:rPr>
          <w:sz w:val="24"/>
          <w:szCs w:val="24"/>
        </w:rPr>
        <w:t xml:space="preserve">have been </w:t>
      </w:r>
      <w:r w:rsidR="00E30656">
        <w:rPr>
          <w:sz w:val="24"/>
          <w:szCs w:val="24"/>
        </w:rPr>
        <w:t>made via e</w:t>
      </w:r>
      <w:r w:rsidR="005133D8">
        <w:rPr>
          <w:sz w:val="24"/>
          <w:szCs w:val="24"/>
        </w:rPr>
        <w:t>mail</w:t>
      </w:r>
      <w:r w:rsidR="00E30656">
        <w:rPr>
          <w:sz w:val="24"/>
          <w:szCs w:val="24"/>
        </w:rPr>
        <w:t xml:space="preserve"> to a dedicated Bureau inbox created for that purpose. In certain </w:t>
      </w:r>
      <w:proofErr w:type="gramStart"/>
      <w:r w:rsidR="00E30656">
        <w:rPr>
          <w:sz w:val="24"/>
          <w:szCs w:val="24"/>
        </w:rPr>
        <w:t>cases</w:t>
      </w:r>
      <w:proofErr w:type="gramEnd"/>
      <w:r w:rsidR="00E30656">
        <w:rPr>
          <w:sz w:val="24"/>
          <w:szCs w:val="24"/>
        </w:rPr>
        <w:t xml:space="preserve"> issuers also request to submit information via compact disc or secure FTP, which the Bureau </w:t>
      </w:r>
      <w:proofErr w:type="spellStart"/>
      <w:r w:rsidR="00315C36">
        <w:rPr>
          <w:sz w:val="24"/>
          <w:szCs w:val="24"/>
        </w:rPr>
        <w:t>accomodates</w:t>
      </w:r>
      <w:proofErr w:type="spellEnd"/>
      <w:r w:rsidR="00315C36">
        <w:rPr>
          <w:sz w:val="24"/>
          <w:szCs w:val="24"/>
        </w:rPr>
        <w:t>.</w:t>
      </w:r>
      <w:r w:rsidR="000026D7">
        <w:rPr>
          <w:sz w:val="24"/>
          <w:szCs w:val="24"/>
        </w:rPr>
        <w:t xml:space="preserve"> </w:t>
      </w:r>
      <w:r w:rsidR="00132C3C">
        <w:rPr>
          <w:sz w:val="24"/>
          <w:szCs w:val="24"/>
        </w:rPr>
        <w:t xml:space="preserve">The notice of technical specifications published by the Bureau on August </w:t>
      </w:r>
      <w:r w:rsidR="00A659CE">
        <w:rPr>
          <w:sz w:val="24"/>
          <w:szCs w:val="24"/>
        </w:rPr>
        <w:t>23</w:t>
      </w:r>
      <w:r w:rsidR="00132C3C">
        <w:rPr>
          <w:sz w:val="24"/>
          <w:szCs w:val="24"/>
        </w:rPr>
        <w:t xml:space="preserve">, 2021 </w:t>
      </w:r>
      <w:r w:rsidR="005133D8">
        <w:rPr>
          <w:sz w:val="24"/>
          <w:szCs w:val="24"/>
        </w:rPr>
        <w:t>states</w:t>
      </w:r>
      <w:r w:rsidR="00132C3C">
        <w:rPr>
          <w:sz w:val="24"/>
          <w:szCs w:val="24"/>
        </w:rPr>
        <w:t xml:space="preserve"> that these submissions must be made </w:t>
      </w:r>
      <w:r w:rsidR="00452D6E">
        <w:rPr>
          <w:sz w:val="24"/>
          <w:szCs w:val="24"/>
        </w:rPr>
        <w:t>exclusively via Collect</w:t>
      </w:r>
      <w:r w:rsidR="000E49BA">
        <w:rPr>
          <w:sz w:val="24"/>
          <w:szCs w:val="24"/>
        </w:rPr>
        <w:t>, starting with the submissions that are due March 31, 2022 and going forward</w:t>
      </w:r>
      <w:r w:rsidR="00452D6E">
        <w:rPr>
          <w:sz w:val="24"/>
          <w:szCs w:val="24"/>
        </w:rPr>
        <w:t>.</w:t>
      </w:r>
      <w:r w:rsidR="00C721AA">
        <w:rPr>
          <w:sz w:val="24"/>
          <w:szCs w:val="24"/>
        </w:rPr>
        <w:t xml:space="preserve"> </w:t>
      </w:r>
    </w:p>
    <w:p w:rsidRPr="00983DCE" w:rsidR="003F3477" w:rsidP="008F735E" w:rsidRDefault="003F3477" w14:paraId="6AB5B2B8" w14:textId="77777777">
      <w:pPr>
        <w:rPr>
          <w:sz w:val="24"/>
          <w:szCs w:val="24"/>
        </w:rPr>
      </w:pPr>
    </w:p>
    <w:p w:rsidRPr="00983DCE" w:rsidR="00BC5C20" w:rsidP="00C637C0" w:rsidRDefault="00BC5C20" w14:paraId="579638B3" w14:textId="09572433">
      <w:pPr>
        <w:pStyle w:val="CM12"/>
        <w:keepNext/>
        <w:spacing w:line="276" w:lineRule="atLeast"/>
      </w:pPr>
      <w:r w:rsidRPr="00983DCE">
        <w:rPr>
          <w:b/>
          <w:bCs/>
        </w:rPr>
        <w:lastRenderedPageBreak/>
        <w:t>4.</w:t>
      </w:r>
      <w:r w:rsidRPr="00983DCE" w:rsidR="00C474DC">
        <w:rPr>
          <w:b/>
          <w:bCs/>
        </w:rPr>
        <w:t xml:space="preserve"> </w:t>
      </w:r>
      <w:r w:rsidRPr="00983DCE">
        <w:rPr>
          <w:b/>
          <w:bCs/>
          <w:u w:val="single"/>
        </w:rPr>
        <w:t>Efforts to Identify Duplication</w:t>
      </w:r>
    </w:p>
    <w:p w:rsidRPr="00983DCE" w:rsidR="00B47E7F" w:rsidP="00107407" w:rsidRDefault="00B47E7F" w14:paraId="390A0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295103" w:rsidRDefault="00107407" w14:paraId="51DC59A3" w14:textId="3194C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3DCE">
        <w:rPr>
          <w:sz w:val="24"/>
          <w:szCs w:val="24"/>
        </w:rPr>
        <w:t>This d</w:t>
      </w:r>
      <w:r w:rsidRPr="00983DCE" w:rsidR="00820E63">
        <w:rPr>
          <w:sz w:val="24"/>
          <w:szCs w:val="24"/>
        </w:rPr>
        <w:t xml:space="preserve">ata </w:t>
      </w:r>
      <w:r w:rsidR="002B4C45">
        <w:rPr>
          <w:sz w:val="24"/>
          <w:szCs w:val="24"/>
        </w:rPr>
        <w:t>is</w:t>
      </w:r>
      <w:r w:rsidRPr="00983DCE" w:rsidR="002B4C45">
        <w:rPr>
          <w:sz w:val="24"/>
          <w:szCs w:val="24"/>
        </w:rPr>
        <w:t xml:space="preserve"> </w:t>
      </w:r>
      <w:r w:rsidRPr="00983DCE" w:rsidR="00820E63">
        <w:rPr>
          <w:sz w:val="24"/>
          <w:szCs w:val="24"/>
        </w:rPr>
        <w:t>not otherwise available from any other source.</w:t>
      </w:r>
    </w:p>
    <w:p w:rsidRPr="00983DCE" w:rsidR="006F2703" w:rsidP="00BC5C20" w:rsidRDefault="006F2703" w14:paraId="5B9B2E17" w14:textId="77777777">
      <w:pPr>
        <w:pStyle w:val="CM12"/>
        <w:spacing w:line="276" w:lineRule="atLeast"/>
        <w:rPr>
          <w:b/>
          <w:bCs/>
        </w:rPr>
      </w:pPr>
    </w:p>
    <w:p w:rsidRPr="00983DCE" w:rsidR="00BC5C20" w:rsidP="00BC5C20" w:rsidRDefault="00BC5C20" w14:paraId="6B44208A" w14:textId="7B38AE49">
      <w:pPr>
        <w:pStyle w:val="CM12"/>
        <w:spacing w:line="276" w:lineRule="atLeast"/>
        <w:rPr>
          <w:b/>
          <w:bCs/>
          <w:u w:val="single"/>
        </w:rPr>
      </w:pPr>
      <w:r w:rsidRPr="00983DCE">
        <w:rPr>
          <w:b/>
          <w:bCs/>
        </w:rPr>
        <w:t>5.</w:t>
      </w:r>
      <w:r w:rsidRPr="00983DCE" w:rsidR="00C474DC">
        <w:rPr>
          <w:b/>
          <w:bCs/>
        </w:rPr>
        <w:t xml:space="preserve"> </w:t>
      </w:r>
      <w:r w:rsidRPr="00983DCE">
        <w:rPr>
          <w:b/>
          <w:bCs/>
          <w:u w:val="single"/>
        </w:rPr>
        <w:t>Efforts to Minimize Burdens on Small Entities</w:t>
      </w:r>
    </w:p>
    <w:p w:rsidRPr="00983DCE" w:rsidR="004247D4" w:rsidP="002210CD" w:rsidRDefault="004247D4" w14:paraId="2FA13576" w14:textId="77777777">
      <w:pPr>
        <w:rPr>
          <w:sz w:val="24"/>
          <w:szCs w:val="24"/>
        </w:rPr>
      </w:pPr>
    </w:p>
    <w:p w:rsidRPr="00983DCE" w:rsidR="00BC5C20" w:rsidP="007F7A03" w:rsidRDefault="002443B1" w14:paraId="568CB5ED" w14:textId="1FE8CF4A">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3DCE">
        <w:rPr>
          <w:sz w:val="24"/>
          <w:szCs w:val="24"/>
        </w:rPr>
        <w:t xml:space="preserve">The Bureau is </w:t>
      </w:r>
      <w:r w:rsidRPr="00983DCE" w:rsidR="00806F21">
        <w:rPr>
          <w:sz w:val="24"/>
          <w:szCs w:val="24"/>
        </w:rPr>
        <w:t xml:space="preserve">required by the FCCCA to populate a sample from </w:t>
      </w:r>
      <w:r w:rsidRPr="00983DCE" w:rsidR="00806F21">
        <w:rPr>
          <w:color w:val="000000"/>
          <w:sz w:val="24"/>
          <w:szCs w:val="24"/>
        </w:rPr>
        <w:t>both an equitable geographic distribution and representation of a wide spectrum of institutions. Therefore, some small entities are included</w:t>
      </w:r>
      <w:r w:rsidRPr="00983DCE" w:rsidR="00891731">
        <w:rPr>
          <w:color w:val="000000"/>
          <w:sz w:val="24"/>
          <w:szCs w:val="24"/>
        </w:rPr>
        <w:t xml:space="preserve"> in the panel</w:t>
      </w:r>
      <w:r w:rsidRPr="00983DCE" w:rsidR="00806F21">
        <w:rPr>
          <w:color w:val="000000"/>
          <w:sz w:val="24"/>
          <w:szCs w:val="24"/>
        </w:rPr>
        <w:t xml:space="preserve"> by necessity. The Bureau has endeavored to make this collection minimally burdensome to all </w:t>
      </w:r>
      <w:proofErr w:type="gramStart"/>
      <w:r w:rsidRPr="00983DCE" w:rsidR="00806F21">
        <w:rPr>
          <w:color w:val="000000"/>
          <w:sz w:val="24"/>
          <w:szCs w:val="24"/>
        </w:rPr>
        <w:t>institutions, and</w:t>
      </w:r>
      <w:proofErr w:type="gramEnd"/>
      <w:r w:rsidRPr="00983DCE" w:rsidR="00806F21">
        <w:rPr>
          <w:color w:val="000000"/>
          <w:sz w:val="24"/>
          <w:szCs w:val="24"/>
        </w:rPr>
        <w:t xml:space="preserve"> does not expect that small entities experience </w:t>
      </w:r>
      <w:r w:rsidRPr="00983DCE" w:rsidR="00906B06">
        <w:rPr>
          <w:color w:val="000000"/>
          <w:sz w:val="24"/>
          <w:szCs w:val="24"/>
        </w:rPr>
        <w:t>excess burden compared to large institutions</w:t>
      </w:r>
      <w:r w:rsidRPr="00983DCE" w:rsidR="00806F21">
        <w:rPr>
          <w:color w:val="000000"/>
          <w:sz w:val="24"/>
          <w:szCs w:val="24"/>
        </w:rPr>
        <w:t>.</w:t>
      </w:r>
    </w:p>
    <w:p w:rsidRPr="00983DCE" w:rsidR="00295103" w:rsidRDefault="00295103" w14:paraId="09B75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BC5C20" w:rsidP="00BC5C20" w:rsidRDefault="00BC5C20" w14:paraId="59FEDEAE" w14:textId="69466667">
      <w:pPr>
        <w:pStyle w:val="CM12"/>
        <w:spacing w:line="276" w:lineRule="atLeast"/>
      </w:pPr>
      <w:r w:rsidRPr="00983DCE">
        <w:rPr>
          <w:b/>
          <w:bCs/>
        </w:rPr>
        <w:t>6.</w:t>
      </w:r>
      <w:r w:rsidRPr="00983DCE" w:rsidR="00C474DC">
        <w:rPr>
          <w:b/>
          <w:bCs/>
        </w:rPr>
        <w:t xml:space="preserve"> </w:t>
      </w:r>
      <w:r w:rsidRPr="00983DCE">
        <w:rPr>
          <w:b/>
          <w:bCs/>
          <w:u w:val="single"/>
        </w:rPr>
        <w:t>Consequences of Less Frequent Collection and Obstacles to Burden Reduction</w:t>
      </w:r>
    </w:p>
    <w:p w:rsidRPr="00983DCE" w:rsidR="00BC5C20" w:rsidP="00BC5C20" w:rsidRDefault="00BC5C20" w14:paraId="21B194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54FA3" w:rsidR="00154FA3" w:rsidRDefault="00910053" w14:paraId="3D464B39" w14:textId="45EDD0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u w:val="single"/>
        </w:rPr>
      </w:pPr>
      <w:r>
        <w:rPr>
          <w:b/>
          <w:bCs/>
          <w:i/>
          <w:iCs/>
          <w:sz w:val="24"/>
          <w:szCs w:val="24"/>
          <w:u w:val="single"/>
        </w:rPr>
        <w:t>T</w:t>
      </w:r>
      <w:r w:rsidR="00132C3C">
        <w:rPr>
          <w:b/>
          <w:bCs/>
          <w:i/>
          <w:iCs/>
          <w:sz w:val="24"/>
          <w:szCs w:val="24"/>
          <w:u w:val="single"/>
        </w:rPr>
        <w:t xml:space="preserve">erms of </w:t>
      </w:r>
      <w:r>
        <w:rPr>
          <w:b/>
          <w:bCs/>
          <w:i/>
          <w:iCs/>
          <w:sz w:val="24"/>
          <w:szCs w:val="24"/>
          <w:u w:val="single"/>
        </w:rPr>
        <w:t>C</w:t>
      </w:r>
      <w:r w:rsidR="00132C3C">
        <w:rPr>
          <w:b/>
          <w:bCs/>
          <w:i/>
          <w:iCs/>
          <w:sz w:val="24"/>
          <w:szCs w:val="24"/>
          <w:u w:val="single"/>
        </w:rPr>
        <w:t xml:space="preserve">redit </w:t>
      </w:r>
      <w:r>
        <w:rPr>
          <w:b/>
          <w:bCs/>
          <w:i/>
          <w:iCs/>
          <w:sz w:val="24"/>
          <w:szCs w:val="24"/>
          <w:u w:val="single"/>
        </w:rPr>
        <w:t>C</w:t>
      </w:r>
      <w:r w:rsidR="00132C3C">
        <w:rPr>
          <w:b/>
          <w:bCs/>
          <w:i/>
          <w:iCs/>
          <w:sz w:val="24"/>
          <w:szCs w:val="24"/>
          <w:u w:val="single"/>
        </w:rPr>
        <w:t xml:space="preserve">ard </w:t>
      </w:r>
      <w:r>
        <w:rPr>
          <w:b/>
          <w:bCs/>
          <w:i/>
          <w:iCs/>
          <w:sz w:val="24"/>
          <w:szCs w:val="24"/>
          <w:u w:val="single"/>
        </w:rPr>
        <w:t>P</w:t>
      </w:r>
      <w:r w:rsidR="00132C3C">
        <w:rPr>
          <w:b/>
          <w:bCs/>
          <w:i/>
          <w:iCs/>
          <w:sz w:val="24"/>
          <w:szCs w:val="24"/>
          <w:u w:val="single"/>
        </w:rPr>
        <w:t>lan</w:t>
      </w:r>
      <w:r>
        <w:rPr>
          <w:b/>
          <w:bCs/>
          <w:i/>
          <w:iCs/>
          <w:sz w:val="24"/>
          <w:szCs w:val="24"/>
          <w:u w:val="single"/>
        </w:rPr>
        <w:t xml:space="preserve"> Survey</w:t>
      </w:r>
    </w:p>
    <w:p w:rsidR="00295103" w:rsidRDefault="006900B1" w14:paraId="34AB082A" w14:textId="4CC0AD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983DCE">
        <w:rPr>
          <w:sz w:val="24"/>
          <w:szCs w:val="24"/>
        </w:rPr>
        <w:t>To meet statutory requirements</w:t>
      </w:r>
      <w:r w:rsidRPr="00983DCE" w:rsidR="00C548C6">
        <w:rPr>
          <w:sz w:val="24"/>
          <w:szCs w:val="24"/>
        </w:rPr>
        <w:t xml:space="preserve">, the </w:t>
      </w:r>
      <w:r w:rsidRPr="00983DCE" w:rsidR="004946F4">
        <w:rPr>
          <w:sz w:val="24"/>
          <w:szCs w:val="24"/>
        </w:rPr>
        <w:t>Bureau</w:t>
      </w:r>
      <w:r w:rsidRPr="00983DCE" w:rsidR="00C548C6">
        <w:rPr>
          <w:sz w:val="24"/>
          <w:szCs w:val="24"/>
        </w:rPr>
        <w:t xml:space="preserve"> is required to collect the data twice a year and make the </w:t>
      </w:r>
      <w:r w:rsidRPr="00983DCE" w:rsidR="00955214">
        <w:rPr>
          <w:sz w:val="24"/>
          <w:szCs w:val="24"/>
        </w:rPr>
        <w:t>information</w:t>
      </w:r>
      <w:r w:rsidRPr="00983DCE" w:rsidR="00C548C6">
        <w:rPr>
          <w:sz w:val="24"/>
          <w:szCs w:val="24"/>
        </w:rPr>
        <w:t xml:space="preserve"> </w:t>
      </w:r>
      <w:r w:rsidRPr="00983DCE" w:rsidR="00955214">
        <w:rPr>
          <w:sz w:val="24"/>
          <w:szCs w:val="24"/>
        </w:rPr>
        <w:t>available</w:t>
      </w:r>
      <w:r w:rsidRPr="00983DCE" w:rsidR="00C548C6">
        <w:rPr>
          <w:sz w:val="24"/>
          <w:szCs w:val="24"/>
        </w:rPr>
        <w:t xml:space="preserve"> to</w:t>
      </w:r>
      <w:r w:rsidRPr="00983DCE" w:rsidR="00FB7486">
        <w:rPr>
          <w:sz w:val="24"/>
          <w:szCs w:val="24"/>
        </w:rPr>
        <w:t xml:space="preserve"> </w:t>
      </w:r>
      <w:r w:rsidRPr="00983DCE" w:rsidR="00C548C6">
        <w:rPr>
          <w:sz w:val="24"/>
          <w:szCs w:val="24"/>
        </w:rPr>
        <w:t xml:space="preserve">Congress and the </w:t>
      </w:r>
      <w:proofErr w:type="gramStart"/>
      <w:r w:rsidRPr="00983DCE" w:rsidR="00C548C6">
        <w:rPr>
          <w:sz w:val="24"/>
          <w:szCs w:val="24"/>
        </w:rPr>
        <w:t>general public</w:t>
      </w:r>
      <w:proofErr w:type="gramEnd"/>
      <w:r w:rsidRPr="00983DCE" w:rsidR="00C548C6">
        <w:rPr>
          <w:sz w:val="24"/>
          <w:szCs w:val="24"/>
        </w:rPr>
        <w:t>.</w:t>
      </w:r>
      <w:r w:rsidRPr="00983DCE" w:rsidR="00C474DC">
        <w:rPr>
          <w:sz w:val="24"/>
          <w:szCs w:val="24"/>
        </w:rPr>
        <w:t xml:space="preserve"> </w:t>
      </w:r>
      <w:r w:rsidRPr="00983DCE" w:rsidR="00107407">
        <w:rPr>
          <w:sz w:val="24"/>
          <w:szCs w:val="24"/>
        </w:rPr>
        <w:t xml:space="preserve">Without this data the </w:t>
      </w:r>
      <w:r w:rsidRPr="00983DCE" w:rsidR="00E86ABF">
        <w:rPr>
          <w:sz w:val="24"/>
          <w:szCs w:val="24"/>
        </w:rPr>
        <w:t xml:space="preserve">public would be hindered in </w:t>
      </w:r>
      <w:r w:rsidRPr="00983DCE" w:rsidR="00955214">
        <w:rPr>
          <w:sz w:val="24"/>
          <w:szCs w:val="24"/>
        </w:rPr>
        <w:t>their</w:t>
      </w:r>
      <w:r w:rsidRPr="00983DCE" w:rsidR="00E86ABF">
        <w:rPr>
          <w:sz w:val="24"/>
          <w:szCs w:val="24"/>
        </w:rPr>
        <w:t xml:space="preserve"> ability to comparison shop for credit cards </w:t>
      </w:r>
      <w:r w:rsidRPr="00983DCE" w:rsidR="00E86ABF">
        <w:rPr>
          <w:color w:val="000000"/>
          <w:sz w:val="24"/>
          <w:szCs w:val="24"/>
        </w:rPr>
        <w:t>and competition would thereby be harmed</w:t>
      </w:r>
      <w:r w:rsidRPr="00983DCE" w:rsidR="004247D4">
        <w:rPr>
          <w:color w:val="000000"/>
          <w:sz w:val="24"/>
          <w:szCs w:val="24"/>
        </w:rPr>
        <w:t>.</w:t>
      </w:r>
    </w:p>
    <w:p w:rsidR="00154FA3" w:rsidRDefault="00154FA3" w14:paraId="16BC131C" w14:textId="4835D9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376B51" w:rsidR="00A87E51" w:rsidP="00A87E51" w:rsidRDefault="00315C36" w14:paraId="47F14098" w14:textId="0970CD36">
      <w:pPr>
        <w:widowControl/>
        <w:spacing w:after="200" w:line="276" w:lineRule="auto"/>
        <w:rPr>
          <w:rFonts w:eastAsiaTheme="minorHAnsi"/>
          <w:b/>
          <w:i/>
          <w:color w:val="000000"/>
          <w:sz w:val="24"/>
          <w:szCs w:val="24"/>
          <w:u w:val="single"/>
        </w:rPr>
      </w:pPr>
      <w:r>
        <w:rPr>
          <w:rFonts w:eastAsiaTheme="minorHAnsi"/>
          <w:b/>
          <w:i/>
          <w:color w:val="000000"/>
          <w:sz w:val="24"/>
          <w:szCs w:val="24"/>
          <w:u w:val="single"/>
        </w:rPr>
        <w:t xml:space="preserve">Credit Card Quarterly Agreement and </w:t>
      </w:r>
      <w:r w:rsidRPr="00376B51" w:rsidR="00A87E51">
        <w:rPr>
          <w:rFonts w:eastAsiaTheme="minorHAnsi"/>
          <w:b/>
          <w:i/>
          <w:color w:val="000000"/>
          <w:sz w:val="24"/>
          <w:szCs w:val="24"/>
          <w:u w:val="single"/>
        </w:rPr>
        <w:t xml:space="preserve">College Credit Card </w:t>
      </w:r>
      <w:r>
        <w:rPr>
          <w:rFonts w:eastAsiaTheme="minorHAnsi"/>
          <w:b/>
          <w:i/>
          <w:color w:val="000000"/>
          <w:sz w:val="24"/>
          <w:szCs w:val="24"/>
          <w:u w:val="single"/>
        </w:rPr>
        <w:t xml:space="preserve">Annual </w:t>
      </w:r>
      <w:r w:rsidRPr="00376B51" w:rsidR="00A87E51">
        <w:rPr>
          <w:rFonts w:eastAsiaTheme="minorHAnsi"/>
          <w:b/>
          <w:i/>
          <w:color w:val="000000"/>
          <w:sz w:val="24"/>
          <w:szCs w:val="24"/>
          <w:u w:val="single"/>
        </w:rPr>
        <w:t>Agreement Submission</w:t>
      </w:r>
    </w:p>
    <w:p w:rsidRPr="00315C36" w:rsidR="00154FA3" w:rsidRDefault="00154FA3" w14:paraId="54F59716" w14:textId="4F53C9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315C36">
        <w:rPr>
          <w:color w:val="000000"/>
          <w:sz w:val="24"/>
          <w:szCs w:val="24"/>
        </w:rPr>
        <w:t xml:space="preserve">To meet statutory requirements, the Bureau is required to collect these data quarterly and annually and make the information available to the Congress and the </w:t>
      </w:r>
      <w:proofErr w:type="gramStart"/>
      <w:r w:rsidRPr="00315C36">
        <w:rPr>
          <w:color w:val="000000"/>
          <w:sz w:val="24"/>
          <w:szCs w:val="24"/>
        </w:rPr>
        <w:t>general public</w:t>
      </w:r>
      <w:proofErr w:type="gramEnd"/>
      <w:r w:rsidRPr="00315C36">
        <w:rPr>
          <w:color w:val="000000"/>
          <w:sz w:val="24"/>
          <w:szCs w:val="24"/>
        </w:rPr>
        <w:t xml:space="preserve">. </w:t>
      </w:r>
      <w:r w:rsidR="005D7AB7">
        <w:rPr>
          <w:color w:val="000000"/>
          <w:sz w:val="24"/>
          <w:szCs w:val="24"/>
        </w:rPr>
        <w:t xml:space="preserve">Failing to do </w:t>
      </w:r>
      <w:proofErr w:type="gramStart"/>
      <w:r w:rsidR="005D7AB7">
        <w:rPr>
          <w:color w:val="000000"/>
          <w:sz w:val="24"/>
          <w:szCs w:val="24"/>
        </w:rPr>
        <w:t>so, or</w:t>
      </w:r>
      <w:proofErr w:type="gramEnd"/>
      <w:r w:rsidR="005D7AB7">
        <w:rPr>
          <w:color w:val="000000"/>
          <w:sz w:val="24"/>
          <w:szCs w:val="24"/>
        </w:rPr>
        <w:t xml:space="preserve"> doing so in a way that fails to meet the Bureau’s statutory obligation, would risk thwarting the clear and explicit intent of Congress. Further, w</w:t>
      </w:r>
      <w:r w:rsidRPr="00315C36">
        <w:rPr>
          <w:color w:val="000000"/>
          <w:sz w:val="24"/>
          <w:szCs w:val="24"/>
        </w:rPr>
        <w:t xml:space="preserve">ithout the Bureau’s collection of </w:t>
      </w:r>
      <w:r w:rsidR="005D7AB7">
        <w:rPr>
          <w:color w:val="000000"/>
          <w:sz w:val="24"/>
          <w:szCs w:val="24"/>
        </w:rPr>
        <w:t>these data</w:t>
      </w:r>
      <w:r w:rsidRPr="00315C36">
        <w:rPr>
          <w:color w:val="000000"/>
          <w:sz w:val="24"/>
          <w:szCs w:val="24"/>
        </w:rPr>
        <w:t xml:space="preserve">, </w:t>
      </w:r>
      <w:r w:rsidR="00315C36">
        <w:rPr>
          <w:color w:val="000000"/>
          <w:sz w:val="24"/>
          <w:szCs w:val="24"/>
        </w:rPr>
        <w:t>Congress and the public</w:t>
      </w:r>
      <w:r w:rsidRPr="00315C36" w:rsidR="00315C36">
        <w:rPr>
          <w:color w:val="000000"/>
          <w:sz w:val="24"/>
          <w:szCs w:val="24"/>
        </w:rPr>
        <w:t xml:space="preserve"> </w:t>
      </w:r>
      <w:r w:rsidR="00315C36">
        <w:rPr>
          <w:color w:val="000000"/>
          <w:sz w:val="24"/>
          <w:szCs w:val="24"/>
        </w:rPr>
        <w:t xml:space="preserve">would generally </w:t>
      </w:r>
      <w:r w:rsidRPr="00315C36">
        <w:rPr>
          <w:color w:val="000000"/>
          <w:sz w:val="24"/>
          <w:szCs w:val="24"/>
        </w:rPr>
        <w:t xml:space="preserve">not have access to </w:t>
      </w:r>
      <w:r w:rsidR="00315C36">
        <w:rPr>
          <w:color w:val="000000"/>
          <w:sz w:val="24"/>
          <w:szCs w:val="24"/>
        </w:rPr>
        <w:t>th</w:t>
      </w:r>
      <w:r w:rsidR="002B13CE">
        <w:rPr>
          <w:color w:val="000000"/>
          <w:sz w:val="24"/>
          <w:szCs w:val="24"/>
        </w:rPr>
        <w:t>is</w:t>
      </w:r>
      <w:r w:rsidR="00315C36">
        <w:rPr>
          <w:color w:val="000000"/>
          <w:sz w:val="24"/>
          <w:szCs w:val="24"/>
        </w:rPr>
        <w:t xml:space="preserve"> information</w:t>
      </w:r>
      <w:r w:rsidRPr="00315C36">
        <w:rPr>
          <w:color w:val="000000"/>
          <w:sz w:val="24"/>
          <w:szCs w:val="24"/>
        </w:rPr>
        <w:t xml:space="preserve">.  </w:t>
      </w:r>
      <w:r w:rsidR="00315C36">
        <w:rPr>
          <w:color w:val="000000"/>
          <w:sz w:val="24"/>
          <w:szCs w:val="24"/>
        </w:rPr>
        <w:t xml:space="preserve">In such a case </w:t>
      </w:r>
      <w:r w:rsidRPr="00315C36">
        <w:rPr>
          <w:color w:val="000000"/>
          <w:sz w:val="24"/>
          <w:szCs w:val="24"/>
        </w:rPr>
        <w:t>the public would be hindered in their ability to comparison shop for credit cards</w:t>
      </w:r>
      <w:r w:rsidR="00315C36">
        <w:rPr>
          <w:color w:val="000000"/>
          <w:sz w:val="24"/>
          <w:szCs w:val="24"/>
        </w:rPr>
        <w:t xml:space="preserve"> and the market for credit cards would be worse-understood by consumers, consumers’ agents and representatives, and consumer advocates,</w:t>
      </w:r>
      <w:r w:rsidRPr="00315C36">
        <w:rPr>
          <w:color w:val="000000"/>
          <w:sz w:val="24"/>
          <w:szCs w:val="24"/>
        </w:rPr>
        <w:t xml:space="preserve"> and competition would thereby be harmed.  </w:t>
      </w:r>
    </w:p>
    <w:p w:rsidRPr="00983DCE" w:rsidR="006F2703" w:rsidP="00BC5C20" w:rsidRDefault="006F2703" w14:paraId="5BB217EC" w14:textId="77777777">
      <w:pPr>
        <w:pStyle w:val="Default"/>
        <w:rPr>
          <w:b/>
          <w:bCs/>
        </w:rPr>
      </w:pPr>
    </w:p>
    <w:p w:rsidRPr="00983DCE" w:rsidR="00BC5C20" w:rsidP="00BC5C20" w:rsidRDefault="00BC5C20" w14:paraId="5A4C9F89" w14:textId="370A5360">
      <w:pPr>
        <w:pStyle w:val="Default"/>
        <w:rPr>
          <w:b/>
          <w:bCs/>
          <w:u w:val="single"/>
        </w:rPr>
      </w:pPr>
      <w:r w:rsidRPr="00983DCE">
        <w:rPr>
          <w:b/>
          <w:bCs/>
        </w:rPr>
        <w:t>7.</w:t>
      </w:r>
      <w:r w:rsidRPr="00983DCE" w:rsidR="00C474DC">
        <w:rPr>
          <w:b/>
          <w:bCs/>
        </w:rPr>
        <w:t xml:space="preserve"> </w:t>
      </w:r>
      <w:r w:rsidRPr="00983DCE">
        <w:rPr>
          <w:b/>
          <w:bCs/>
          <w:u w:val="single"/>
        </w:rPr>
        <w:t>Circumstances Requiring Special Information Collection</w:t>
      </w:r>
    </w:p>
    <w:p w:rsidR="00A87E51" w:rsidP="00BC5C20" w:rsidRDefault="00A87E51" w14:paraId="6BF95E86" w14:textId="01410AC8">
      <w:pPr>
        <w:pStyle w:val="CM12"/>
        <w:spacing w:line="276" w:lineRule="atLeast"/>
        <w:rPr>
          <w:b/>
          <w:bCs/>
          <w:i/>
          <w:iCs/>
          <w:u w:val="single"/>
        </w:rPr>
      </w:pPr>
    </w:p>
    <w:p w:rsidR="000056DE" w:rsidP="00A87E51" w:rsidRDefault="00955214" w14:paraId="7AC68C47" w14:textId="773CB1FB">
      <w:pPr>
        <w:pStyle w:val="CM12"/>
        <w:spacing w:line="276" w:lineRule="atLeast"/>
      </w:pPr>
      <w:r>
        <w:t>This collection</w:t>
      </w:r>
      <w:r w:rsidR="00E86ABF">
        <w:t xml:space="preserve"> of information </w:t>
      </w:r>
      <w:r>
        <w:t>is consistent</w:t>
      </w:r>
      <w:r w:rsidR="00E86ABF">
        <w:t xml:space="preserve"> with the applicable guidelines contained in 5 </w:t>
      </w:r>
      <w:r w:rsidR="00F36AB0">
        <w:t>CFR</w:t>
      </w:r>
      <w:r w:rsidR="00E86ABF">
        <w:t xml:space="preserve"> 1320.5(d</w:t>
      </w:r>
      <w:r>
        <w:t>)(</w:t>
      </w:r>
      <w:r w:rsidR="00E86ABF">
        <w:t>2)</w:t>
      </w:r>
      <w:r w:rsidR="00AB6073">
        <w:t>, demonstrating that the information collection is necessary to satisfy statutory requirements</w:t>
      </w:r>
      <w:r w:rsidR="00E86ABF">
        <w:t>.</w:t>
      </w:r>
      <w:r w:rsidR="00BE596D">
        <w:t xml:space="preserve"> The Bureau notes that </w:t>
      </w:r>
      <w:r w:rsidR="00C637C0">
        <w:t xml:space="preserve">it </w:t>
      </w:r>
      <w:r w:rsidR="00BE596D">
        <w:t>request</w:t>
      </w:r>
      <w:r w:rsidR="00C637C0">
        <w:t>s</w:t>
      </w:r>
      <w:r w:rsidR="00BE596D">
        <w:t xml:space="preserve"> </w:t>
      </w:r>
      <w:r w:rsidR="00C637C0">
        <w:t>e</w:t>
      </w:r>
      <w:r w:rsidR="00BE596D">
        <w:t>ntities</w:t>
      </w:r>
      <w:r w:rsidR="00C637C0">
        <w:t xml:space="preserve"> to</w:t>
      </w:r>
      <w:r w:rsidR="00BE596D">
        <w:t xml:space="preserve"> respond within 10 business days </w:t>
      </w:r>
      <w:r w:rsidR="00C637C0">
        <w:t>in order</w:t>
      </w:r>
      <w:r w:rsidR="00BE596D">
        <w:t xml:space="preserve"> that </w:t>
      </w:r>
      <w:r w:rsidR="00C637C0">
        <w:t xml:space="preserve">it </w:t>
      </w:r>
      <w:r w:rsidR="00BE596D">
        <w:t xml:space="preserve">can provide information in its entirety to </w:t>
      </w:r>
      <w:r w:rsidR="00B47E7F">
        <w:t xml:space="preserve">the </w:t>
      </w:r>
      <w:proofErr w:type="gramStart"/>
      <w:r w:rsidR="00BE596D">
        <w:t>general public</w:t>
      </w:r>
      <w:proofErr w:type="gramEnd"/>
      <w:r w:rsidR="00BE596D">
        <w:t xml:space="preserve"> in a timely fashion. However</w:t>
      </w:r>
      <w:r w:rsidR="00C637C0">
        <w:t>,</w:t>
      </w:r>
      <w:r w:rsidR="00BE596D">
        <w:t xml:space="preserve"> </w:t>
      </w:r>
      <w:r w:rsidR="00C637C0">
        <w:t xml:space="preserve">the Bureau </w:t>
      </w:r>
      <w:r w:rsidR="00BE596D">
        <w:t>appreciate</w:t>
      </w:r>
      <w:r w:rsidR="00C637C0">
        <w:t>s</w:t>
      </w:r>
      <w:r w:rsidR="00BE596D">
        <w:t xml:space="preserve"> that this is not always possible for all institutions</w:t>
      </w:r>
      <w:r w:rsidR="0002637A">
        <w:t xml:space="preserve"> to comport</w:t>
      </w:r>
      <w:r w:rsidR="00BE596D">
        <w:t xml:space="preserve"> with OMB rules regarding information collections</w:t>
      </w:r>
      <w:r w:rsidR="007C4278">
        <w:t xml:space="preserve"> </w:t>
      </w:r>
      <w:r w:rsidR="00567AFE">
        <w:t>within this timeframe</w:t>
      </w:r>
      <w:r w:rsidR="0002637A">
        <w:t>.  A</w:t>
      </w:r>
      <w:r w:rsidR="00567AFE">
        <w:t>s such, a</w:t>
      </w:r>
      <w:r w:rsidR="00BE596D">
        <w:t>n entity has up to 30 days to make the required response.</w:t>
      </w:r>
    </w:p>
    <w:p w:rsidRPr="002B4C45" w:rsidR="002B4C45" w:rsidP="00B26213" w:rsidRDefault="002B4C45" w14:paraId="3BFED2C9" w14:textId="77777777"/>
    <w:p w:rsidRPr="00983DCE" w:rsidR="00BC5C20" w:rsidP="00BC5C20" w:rsidRDefault="00BC5C20" w14:paraId="11E8D1E9" w14:textId="3FDED19B">
      <w:pPr>
        <w:pStyle w:val="CM12"/>
        <w:spacing w:line="276" w:lineRule="atLeast"/>
        <w:rPr>
          <w:b/>
          <w:bCs/>
          <w:u w:val="single"/>
        </w:rPr>
      </w:pPr>
      <w:r w:rsidRPr="00983DCE">
        <w:rPr>
          <w:b/>
          <w:bCs/>
        </w:rPr>
        <w:t>8.</w:t>
      </w:r>
      <w:r w:rsidRPr="00983DCE" w:rsidR="00C474DC">
        <w:rPr>
          <w:b/>
          <w:bCs/>
        </w:rPr>
        <w:t xml:space="preserve"> </w:t>
      </w:r>
      <w:r w:rsidRPr="00983DCE">
        <w:rPr>
          <w:b/>
          <w:bCs/>
          <w:u w:val="single"/>
        </w:rPr>
        <w:t>Consultation Outside the Agency</w:t>
      </w:r>
    </w:p>
    <w:p w:rsidRPr="00983DCE" w:rsidR="00BC5C20" w:rsidRDefault="00BC5C20" w14:paraId="2BC9A3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83DCE" w:rsidR="00037E57" w:rsidP="007F7A03" w:rsidRDefault="0019212F" w14:paraId="718B6C29" w14:textId="77FF5661">
      <w:pPr>
        <w:rPr>
          <w:sz w:val="24"/>
          <w:szCs w:val="24"/>
        </w:rPr>
      </w:pPr>
      <w:r w:rsidRPr="00983DCE">
        <w:rPr>
          <w:sz w:val="24"/>
          <w:szCs w:val="24"/>
        </w:rPr>
        <w:t xml:space="preserve">In accordance with 5 </w:t>
      </w:r>
      <w:r w:rsidRPr="00983DCE" w:rsidR="00F36AB0">
        <w:rPr>
          <w:sz w:val="24"/>
          <w:szCs w:val="24"/>
        </w:rPr>
        <w:t>CFR</w:t>
      </w:r>
      <w:r w:rsidRPr="00983DCE">
        <w:rPr>
          <w:sz w:val="24"/>
          <w:szCs w:val="24"/>
        </w:rPr>
        <w:t xml:space="preserve"> 1320.8(d)(1), the Bureau published a notice</w:t>
      </w:r>
      <w:r w:rsidRPr="00983DCE" w:rsidR="00FF6D47">
        <w:rPr>
          <w:sz w:val="24"/>
          <w:szCs w:val="24"/>
        </w:rPr>
        <w:t xml:space="preserve"> in the</w:t>
      </w:r>
      <w:r w:rsidRPr="00983DCE">
        <w:rPr>
          <w:sz w:val="24"/>
          <w:szCs w:val="24"/>
        </w:rPr>
        <w:t xml:space="preserve"> </w:t>
      </w:r>
      <w:r w:rsidRPr="00983DCE">
        <w:rPr>
          <w:i/>
          <w:sz w:val="24"/>
          <w:szCs w:val="24"/>
        </w:rPr>
        <w:t>Federal Register</w:t>
      </w:r>
      <w:r w:rsidRPr="00983DCE">
        <w:rPr>
          <w:sz w:val="24"/>
          <w:szCs w:val="24"/>
        </w:rPr>
        <w:t xml:space="preserve"> allowing th</w:t>
      </w:r>
      <w:r w:rsidRPr="00983DCE" w:rsidR="00056DCE">
        <w:rPr>
          <w:sz w:val="24"/>
          <w:szCs w:val="24"/>
        </w:rPr>
        <w:t>e</w:t>
      </w:r>
      <w:r w:rsidRPr="00983DCE">
        <w:rPr>
          <w:sz w:val="24"/>
          <w:szCs w:val="24"/>
        </w:rPr>
        <w:t xml:space="preserve"> public 60 days to comment on the proposed renewal of the Form FR 2572</w:t>
      </w:r>
      <w:r w:rsidRPr="00983DCE" w:rsidR="002210CD">
        <w:rPr>
          <w:sz w:val="24"/>
          <w:szCs w:val="24"/>
        </w:rPr>
        <w:t xml:space="preserve">. </w:t>
      </w:r>
      <w:r w:rsidRPr="00983DCE" w:rsidR="00153183">
        <w:rPr>
          <w:sz w:val="24"/>
          <w:szCs w:val="24"/>
        </w:rPr>
        <w:t xml:space="preserve"> </w:t>
      </w:r>
      <w:r w:rsidRPr="00983DCE" w:rsidR="001C5CCD">
        <w:rPr>
          <w:sz w:val="24"/>
          <w:szCs w:val="24"/>
        </w:rPr>
        <w:t>I</w:t>
      </w:r>
      <w:r w:rsidRPr="00983DCE" w:rsidR="00A435AA">
        <w:rPr>
          <w:sz w:val="24"/>
          <w:szCs w:val="24"/>
        </w:rPr>
        <w:t xml:space="preserve">n accordance with 5 </w:t>
      </w:r>
      <w:r w:rsidRPr="00983DCE" w:rsidR="00F36AB0">
        <w:rPr>
          <w:sz w:val="24"/>
          <w:szCs w:val="24"/>
        </w:rPr>
        <w:t>CFR</w:t>
      </w:r>
      <w:r w:rsidRPr="00983DCE" w:rsidR="00A435AA">
        <w:rPr>
          <w:sz w:val="24"/>
          <w:szCs w:val="24"/>
        </w:rPr>
        <w:t xml:space="preserve"> 1320.5(a)(1)(iv), the Bureau </w:t>
      </w:r>
      <w:r w:rsidRPr="00983DCE" w:rsidR="00056DCE">
        <w:rPr>
          <w:sz w:val="24"/>
          <w:szCs w:val="24"/>
        </w:rPr>
        <w:t>publish</w:t>
      </w:r>
      <w:r w:rsidRPr="00983DCE" w:rsidR="00FF6D47">
        <w:rPr>
          <w:sz w:val="24"/>
          <w:szCs w:val="24"/>
        </w:rPr>
        <w:t>ed</w:t>
      </w:r>
      <w:r w:rsidRPr="00983DCE" w:rsidR="00A435AA">
        <w:rPr>
          <w:sz w:val="24"/>
          <w:szCs w:val="24"/>
        </w:rPr>
        <w:t xml:space="preserve"> a notice in the </w:t>
      </w:r>
      <w:r w:rsidRPr="00983DCE" w:rsidR="00A435AA">
        <w:rPr>
          <w:i/>
          <w:sz w:val="24"/>
          <w:szCs w:val="24"/>
        </w:rPr>
        <w:t>Federal Register</w:t>
      </w:r>
      <w:r w:rsidRPr="00983DCE" w:rsidR="00A435AA">
        <w:rPr>
          <w:sz w:val="24"/>
          <w:szCs w:val="24"/>
        </w:rPr>
        <w:t xml:space="preserve"> allowing the public 30 days to comment on the subm</w:t>
      </w:r>
      <w:r w:rsidRPr="00983DCE" w:rsidR="00056DCE">
        <w:rPr>
          <w:sz w:val="24"/>
          <w:szCs w:val="24"/>
        </w:rPr>
        <w:t>is</w:t>
      </w:r>
      <w:r w:rsidRPr="00983DCE" w:rsidR="00A435AA">
        <w:rPr>
          <w:sz w:val="24"/>
          <w:szCs w:val="24"/>
        </w:rPr>
        <w:t xml:space="preserve">sion of this renewal request to the </w:t>
      </w:r>
      <w:r w:rsidRPr="00983DCE" w:rsidR="00D879B1">
        <w:rPr>
          <w:sz w:val="24"/>
          <w:szCs w:val="24"/>
        </w:rPr>
        <w:t>OMB</w:t>
      </w:r>
      <w:r w:rsidRPr="00983DCE" w:rsidR="00A435AA">
        <w:rPr>
          <w:sz w:val="24"/>
          <w:szCs w:val="24"/>
        </w:rPr>
        <w:t>.</w:t>
      </w:r>
      <w:r w:rsidRPr="00983DCE" w:rsidR="00056DCE">
        <w:rPr>
          <w:sz w:val="24"/>
          <w:szCs w:val="24"/>
        </w:rPr>
        <w:t xml:space="preserve"> </w:t>
      </w:r>
    </w:p>
    <w:p w:rsidRPr="00983DCE" w:rsidR="00BC5C20" w:rsidP="00BC5C20" w:rsidRDefault="00BC5C20" w14:paraId="0CC145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BC5C20" w:rsidP="00BC5C20" w:rsidRDefault="00BC5C20" w14:paraId="6DA35CB2" w14:textId="52763956">
      <w:pPr>
        <w:pStyle w:val="Default"/>
        <w:tabs>
          <w:tab w:val="left" w:pos="720"/>
        </w:tabs>
        <w:rPr>
          <w:color w:val="auto"/>
        </w:rPr>
      </w:pPr>
      <w:r w:rsidRPr="00983DCE">
        <w:rPr>
          <w:b/>
          <w:bCs/>
          <w:color w:val="auto"/>
        </w:rPr>
        <w:t>9.</w:t>
      </w:r>
      <w:r w:rsidRPr="00983DCE" w:rsidR="00C474DC">
        <w:rPr>
          <w:b/>
          <w:bCs/>
          <w:color w:val="auto"/>
        </w:rPr>
        <w:t xml:space="preserve"> </w:t>
      </w:r>
      <w:r w:rsidRPr="00983DCE">
        <w:rPr>
          <w:b/>
          <w:bCs/>
          <w:color w:val="auto"/>
          <w:u w:val="single"/>
        </w:rPr>
        <w:t>Payments or Gifts to Respondents</w:t>
      </w:r>
    </w:p>
    <w:p w:rsidRPr="00983DCE" w:rsidR="008F735E" w:rsidP="00BC5C20" w:rsidRDefault="008F735E" w14:paraId="2F281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295103" w:rsidP="6B7F0614" w:rsidRDefault="00483DF5" w14:paraId="3034EFA3" w14:textId="1625536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6B7F0614">
        <w:rPr>
          <w:sz w:val="24"/>
          <w:szCs w:val="24"/>
        </w:rPr>
        <w:t>The Bureau provided n</w:t>
      </w:r>
      <w:r w:rsidRPr="6B7F0614" w:rsidR="00C73072">
        <w:rPr>
          <w:sz w:val="24"/>
          <w:szCs w:val="24"/>
        </w:rPr>
        <w:t>o payments or gifts</w:t>
      </w:r>
      <w:r w:rsidRPr="6B7F0614">
        <w:rPr>
          <w:sz w:val="24"/>
          <w:szCs w:val="24"/>
        </w:rPr>
        <w:t xml:space="preserve"> to respondents.</w:t>
      </w:r>
    </w:p>
    <w:p w:rsidRPr="00983DCE" w:rsidR="006F2703" w:rsidP="00BC5C20" w:rsidRDefault="006F2703" w14:paraId="79D9FFE7" w14:textId="77777777">
      <w:pPr>
        <w:ind w:right="990"/>
        <w:rPr>
          <w:b/>
          <w:bCs/>
          <w:sz w:val="24"/>
          <w:szCs w:val="24"/>
        </w:rPr>
      </w:pPr>
    </w:p>
    <w:p w:rsidRPr="00983DCE" w:rsidR="00BC5C20" w:rsidP="00BC5C20" w:rsidRDefault="00BC5C20" w14:paraId="3B3B29E5" w14:textId="51B5F471">
      <w:pPr>
        <w:ind w:right="990"/>
        <w:rPr>
          <w:sz w:val="24"/>
          <w:szCs w:val="24"/>
        </w:rPr>
      </w:pPr>
      <w:r w:rsidRPr="00983DCE">
        <w:rPr>
          <w:b/>
          <w:bCs/>
          <w:sz w:val="24"/>
          <w:szCs w:val="24"/>
        </w:rPr>
        <w:t>10.</w:t>
      </w:r>
      <w:r w:rsidRPr="00983DCE" w:rsidR="00C474DC">
        <w:rPr>
          <w:b/>
          <w:bCs/>
          <w:sz w:val="24"/>
          <w:szCs w:val="24"/>
        </w:rPr>
        <w:t xml:space="preserve"> </w:t>
      </w:r>
      <w:r w:rsidRPr="00983DCE">
        <w:rPr>
          <w:b/>
          <w:bCs/>
          <w:sz w:val="24"/>
          <w:szCs w:val="24"/>
          <w:u w:val="single"/>
        </w:rPr>
        <w:t>Assurances of Confidentiality</w:t>
      </w:r>
    </w:p>
    <w:p w:rsidRPr="00983DCE" w:rsidR="00BC5C20" w:rsidRDefault="00BC5C20" w14:paraId="67C2FC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A2304F" w:rsidP="6B7F0614" w:rsidRDefault="00A2304F" w14:paraId="3E4E36FB" w14:textId="02C4F4C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6B7F0614">
        <w:rPr>
          <w:sz w:val="24"/>
          <w:szCs w:val="24"/>
        </w:rPr>
        <w:t>The information collected will be made publicly available and no assurances of confidentiality are given to respondents.</w:t>
      </w:r>
      <w:r w:rsidRPr="6B7F0614" w:rsidR="00C474DC">
        <w:rPr>
          <w:sz w:val="24"/>
          <w:szCs w:val="24"/>
        </w:rPr>
        <w:t xml:space="preserve"> </w:t>
      </w:r>
      <w:r w:rsidRPr="6B7F0614">
        <w:rPr>
          <w:sz w:val="24"/>
          <w:szCs w:val="24"/>
        </w:rPr>
        <w:t xml:space="preserve">No personally </w:t>
      </w:r>
      <w:r w:rsidRPr="6B7F0614" w:rsidR="00F16222">
        <w:rPr>
          <w:sz w:val="24"/>
          <w:szCs w:val="24"/>
        </w:rPr>
        <w:t xml:space="preserve">identifiable </w:t>
      </w:r>
      <w:r w:rsidRPr="6B7F0614">
        <w:rPr>
          <w:sz w:val="24"/>
          <w:szCs w:val="24"/>
        </w:rPr>
        <w:t>information is collected</w:t>
      </w:r>
      <w:r w:rsidRPr="6B7F0614" w:rsidR="00884AB0">
        <w:rPr>
          <w:sz w:val="24"/>
          <w:szCs w:val="24"/>
        </w:rPr>
        <w:t>.  T</w:t>
      </w:r>
      <w:r w:rsidRPr="6B7F0614">
        <w:rPr>
          <w:sz w:val="24"/>
          <w:szCs w:val="24"/>
        </w:rPr>
        <w:t xml:space="preserve">he Bureau will treat all information received consistent with its confidentiality regulations at 12 </w:t>
      </w:r>
      <w:r w:rsidRPr="6B7F0614" w:rsidR="00F36AB0">
        <w:rPr>
          <w:sz w:val="24"/>
          <w:szCs w:val="24"/>
        </w:rPr>
        <w:t>CFR</w:t>
      </w:r>
      <w:r w:rsidRPr="6B7F0614">
        <w:rPr>
          <w:sz w:val="24"/>
          <w:szCs w:val="24"/>
        </w:rPr>
        <w:t xml:space="preserve"> Part 1070 </w:t>
      </w:r>
      <w:r w:rsidRPr="6B7F0614">
        <w:rPr>
          <w:i/>
          <w:iCs/>
          <w:sz w:val="24"/>
          <w:szCs w:val="24"/>
        </w:rPr>
        <w:t>et seq.</w:t>
      </w:r>
      <w:r w:rsidRPr="6B7F0614">
        <w:rPr>
          <w:sz w:val="24"/>
          <w:szCs w:val="24"/>
        </w:rPr>
        <w:t xml:space="preserve"> </w:t>
      </w:r>
      <w:r w:rsidRPr="6B7F0614" w:rsidR="00884AB0">
        <w:rPr>
          <w:sz w:val="24"/>
          <w:szCs w:val="24"/>
        </w:rPr>
        <w:t xml:space="preserve"> </w:t>
      </w:r>
      <w:r w:rsidRPr="6B7F0614" w:rsidR="000F792D">
        <w:rPr>
          <w:sz w:val="24"/>
          <w:szCs w:val="24"/>
        </w:rPr>
        <w:t>Since t</w:t>
      </w:r>
      <w:r w:rsidRPr="6B7F0614">
        <w:rPr>
          <w:sz w:val="24"/>
          <w:szCs w:val="24"/>
        </w:rPr>
        <w:t xml:space="preserve">here is no personally </w:t>
      </w:r>
      <w:r w:rsidRPr="6B7F0614" w:rsidR="00F16222">
        <w:rPr>
          <w:sz w:val="24"/>
          <w:szCs w:val="24"/>
        </w:rPr>
        <w:t xml:space="preserve">identifiable </w:t>
      </w:r>
      <w:r w:rsidRPr="6B7F0614">
        <w:rPr>
          <w:sz w:val="24"/>
          <w:szCs w:val="24"/>
        </w:rPr>
        <w:t>information collected by this collection, no System of Records Notice (SORN) or Privacy Impact Assessment (PIA)</w:t>
      </w:r>
      <w:r w:rsidRPr="6B7F0614" w:rsidR="000F792D">
        <w:rPr>
          <w:sz w:val="24"/>
          <w:szCs w:val="24"/>
        </w:rPr>
        <w:t xml:space="preserve"> </w:t>
      </w:r>
      <w:r w:rsidRPr="6B7F0614">
        <w:rPr>
          <w:sz w:val="24"/>
          <w:szCs w:val="24"/>
        </w:rPr>
        <w:t>appl</w:t>
      </w:r>
      <w:r w:rsidRPr="6B7F0614" w:rsidR="000F792D">
        <w:rPr>
          <w:sz w:val="24"/>
          <w:szCs w:val="24"/>
        </w:rPr>
        <w:t>ies</w:t>
      </w:r>
      <w:r w:rsidRPr="6B7F0614">
        <w:rPr>
          <w:sz w:val="24"/>
          <w:szCs w:val="24"/>
        </w:rPr>
        <w:t xml:space="preserve"> to this collection</w:t>
      </w:r>
      <w:r w:rsidRPr="6B7F0614" w:rsidR="00AA73D0">
        <w:rPr>
          <w:sz w:val="24"/>
          <w:szCs w:val="24"/>
        </w:rPr>
        <w:t>.</w:t>
      </w:r>
      <w:r w:rsidRPr="6B7F0614">
        <w:rPr>
          <w:sz w:val="24"/>
          <w:szCs w:val="24"/>
        </w:rPr>
        <w:t xml:space="preserve"> </w:t>
      </w:r>
    </w:p>
    <w:p w:rsidRPr="00983DCE" w:rsidR="006F2703" w:rsidP="00BC5C20" w:rsidRDefault="006F2703" w14:paraId="6ACF75D1" w14:textId="0EBF7A7A">
      <w:pPr>
        <w:pStyle w:val="Default"/>
        <w:rPr>
          <w:b/>
        </w:rPr>
      </w:pPr>
    </w:p>
    <w:p w:rsidRPr="00983DCE" w:rsidR="00BC5C20" w:rsidP="00BC5C20" w:rsidRDefault="00BC5C20" w14:paraId="33E7D514" w14:textId="120E504C">
      <w:pPr>
        <w:pStyle w:val="Default"/>
        <w:rPr>
          <w:color w:val="auto"/>
        </w:rPr>
      </w:pPr>
      <w:r w:rsidRPr="00983DCE">
        <w:rPr>
          <w:b/>
        </w:rPr>
        <w:t>11.</w:t>
      </w:r>
      <w:r w:rsidRPr="00983DCE" w:rsidR="00C474DC">
        <w:rPr>
          <w:b/>
        </w:rPr>
        <w:t xml:space="preserve"> </w:t>
      </w:r>
      <w:r w:rsidRPr="00983DCE">
        <w:rPr>
          <w:b/>
          <w:bCs/>
          <w:color w:val="auto"/>
          <w:u w:val="single"/>
        </w:rPr>
        <w:t>Justification for Sensitive Questions</w:t>
      </w:r>
    </w:p>
    <w:p w:rsidRPr="00983DCE" w:rsidR="00BC5C20" w:rsidRDefault="00BC5C20" w14:paraId="5FE62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83DCE" w:rsidR="00CA34A2" w:rsidP="003B4F1C" w:rsidRDefault="006900B1" w14:paraId="1B814FD0" w14:textId="1EE3F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3DCE">
        <w:rPr>
          <w:sz w:val="24"/>
          <w:szCs w:val="24"/>
        </w:rPr>
        <w:t>This information collection does not include questions of a sensitive nature</w:t>
      </w:r>
      <w:r w:rsidRPr="00983DCE" w:rsidR="004247D4">
        <w:rPr>
          <w:sz w:val="24"/>
          <w:szCs w:val="24"/>
        </w:rPr>
        <w:t>.</w:t>
      </w:r>
      <w:r w:rsidRPr="00983DCE">
        <w:rPr>
          <w:sz w:val="24"/>
          <w:szCs w:val="24"/>
        </w:rPr>
        <w:t xml:space="preserve"> </w:t>
      </w:r>
    </w:p>
    <w:p w:rsidRPr="00983DCE" w:rsidR="00CA34A2" w:rsidP="00BC5C20" w:rsidRDefault="00CA34A2" w14:paraId="4ADFB268" w14:textId="77777777">
      <w:pPr>
        <w:pStyle w:val="Default"/>
        <w:rPr>
          <w:b/>
          <w:bCs/>
        </w:rPr>
      </w:pPr>
    </w:p>
    <w:p w:rsidRPr="00983DCE" w:rsidR="00BC5C20" w:rsidP="008E4117" w:rsidRDefault="00BC5C20" w14:paraId="02CC2371" w14:textId="105DD52C">
      <w:pPr>
        <w:pStyle w:val="Default"/>
        <w:keepNext/>
        <w:rPr>
          <w:b/>
          <w:bCs/>
          <w:u w:val="single"/>
        </w:rPr>
      </w:pPr>
      <w:r w:rsidRPr="6B7F0614">
        <w:rPr>
          <w:b/>
          <w:bCs/>
        </w:rPr>
        <w:t>12.</w:t>
      </w:r>
      <w:r w:rsidRPr="6B7F0614" w:rsidR="00C474DC">
        <w:rPr>
          <w:b/>
          <w:bCs/>
        </w:rPr>
        <w:t xml:space="preserve"> </w:t>
      </w:r>
      <w:r w:rsidRPr="6B7F0614">
        <w:rPr>
          <w:b/>
          <w:bCs/>
          <w:u w:val="single"/>
        </w:rPr>
        <w:t>Estimated Burden of Information Collection</w:t>
      </w:r>
    </w:p>
    <w:p w:rsidRPr="00983DCE" w:rsidR="008E4117" w:rsidP="008E4117" w:rsidRDefault="008E4117" w14:paraId="7AC7B6CC" w14:textId="77777777">
      <w:pPr>
        <w:pStyle w:val="Default"/>
        <w:keepNext/>
        <w:rPr>
          <w:b/>
          <w:bCs/>
          <w:u w:val="single"/>
        </w:rPr>
      </w:pPr>
    </w:p>
    <w:tbl>
      <w:tblPr>
        <w:tblW w:w="9450"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9" w:type="dxa"/>
          <w:right w:w="139" w:type="dxa"/>
        </w:tblCellMar>
        <w:tblLook w:val="0000" w:firstRow="0" w:lastRow="0" w:firstColumn="0" w:lastColumn="0" w:noHBand="0" w:noVBand="0"/>
      </w:tblPr>
      <w:tblGrid>
        <w:gridCol w:w="1926"/>
        <w:gridCol w:w="1620"/>
        <w:gridCol w:w="1674"/>
        <w:gridCol w:w="1440"/>
        <w:gridCol w:w="1350"/>
        <w:gridCol w:w="1440"/>
      </w:tblGrid>
      <w:tr w:rsidRPr="00983DCE" w:rsidR="00C6590B" w:rsidTr="33F5B6BA" w14:paraId="6183112A" w14:textId="77777777">
        <w:trPr>
          <w:cantSplit/>
          <w:trHeight w:val="912"/>
        </w:trPr>
        <w:tc>
          <w:tcPr>
            <w:tcW w:w="1926" w:type="dxa"/>
            <w:shd w:val="clear" w:color="auto" w:fill="A6A6A6" w:themeFill="background1" w:themeFillShade="A6"/>
            <w:vAlign w:val="center"/>
          </w:tcPr>
          <w:p w:rsidRPr="005D7AB7" w:rsidR="00C6590B" w:rsidP="6B7F0614" w:rsidRDefault="055E05BD" w14:paraId="5DA83D64" w14:textId="4A722DF4">
            <w:pPr>
              <w:tabs>
                <w:tab w:val="left" w:pos="240"/>
                <w:tab w:val="left" w:pos="720"/>
                <w:tab w:val="left" w:pos="1440"/>
                <w:tab w:val="left" w:pos="2160"/>
                <w:tab w:val="left" w:pos="2880"/>
                <w:tab w:val="left" w:pos="3600"/>
              </w:tabs>
              <w:spacing w:before="163" w:after="30"/>
              <w:rPr>
                <w:b/>
                <w:bCs/>
                <w:sz w:val="24"/>
                <w:szCs w:val="24"/>
              </w:rPr>
            </w:pPr>
            <w:r w:rsidRPr="6B7F0614">
              <w:rPr>
                <w:b/>
                <w:bCs/>
                <w:sz w:val="24"/>
                <w:szCs w:val="24"/>
              </w:rPr>
              <w:t>Collection</w:t>
            </w:r>
            <w:r w:rsidRPr="6B7F0614" w:rsidR="32C7464D">
              <w:rPr>
                <w:b/>
                <w:bCs/>
                <w:sz w:val="24"/>
                <w:szCs w:val="24"/>
              </w:rPr>
              <w:t>s</w:t>
            </w:r>
            <w:r w:rsidRPr="6B7F0614">
              <w:rPr>
                <w:b/>
                <w:bCs/>
                <w:sz w:val="24"/>
                <w:szCs w:val="24"/>
              </w:rPr>
              <w:t xml:space="preserve"> of Information</w:t>
            </w:r>
          </w:p>
        </w:tc>
        <w:tc>
          <w:tcPr>
            <w:tcW w:w="1620" w:type="dxa"/>
            <w:shd w:val="clear" w:color="auto" w:fill="A6A6A6" w:themeFill="background1" w:themeFillShade="A6"/>
            <w:vAlign w:val="center"/>
          </w:tcPr>
          <w:p w:rsidRPr="005D7AB7" w:rsidR="00C6590B" w:rsidP="6B7F0614" w:rsidRDefault="055E05BD" w14:paraId="1A481559" w14:textId="207AE87F">
            <w:pPr>
              <w:tabs>
                <w:tab w:val="left" w:pos="240"/>
                <w:tab w:val="left" w:pos="720"/>
              </w:tabs>
              <w:spacing w:after="30"/>
              <w:jc w:val="center"/>
              <w:rPr>
                <w:b/>
                <w:bCs/>
                <w:color w:val="000000"/>
                <w:sz w:val="24"/>
                <w:szCs w:val="24"/>
              </w:rPr>
            </w:pPr>
            <w:r w:rsidRPr="6B7F0614">
              <w:rPr>
                <w:b/>
                <w:bCs/>
                <w:color w:val="000000" w:themeColor="text1"/>
                <w:sz w:val="24"/>
                <w:szCs w:val="24"/>
              </w:rPr>
              <w:t xml:space="preserve">Number </w:t>
            </w:r>
          </w:p>
          <w:p w:rsidRPr="005D7AB7" w:rsidR="00C6590B" w:rsidP="00AB03D7" w:rsidRDefault="00C6590B" w14:paraId="5A67C003" w14:textId="5AD1B017">
            <w:pPr>
              <w:tabs>
                <w:tab w:val="left" w:pos="-1440"/>
                <w:tab w:val="left" w:pos="-720"/>
                <w:tab w:val="left" w:pos="0"/>
                <w:tab w:val="left" w:pos="240"/>
                <w:tab w:val="left" w:pos="720"/>
              </w:tabs>
              <w:spacing w:after="30"/>
              <w:jc w:val="center"/>
              <w:rPr>
                <w:b/>
                <w:sz w:val="24"/>
                <w:szCs w:val="24"/>
              </w:rPr>
            </w:pPr>
            <w:r w:rsidRPr="005D7AB7">
              <w:rPr>
                <w:b/>
                <w:color w:val="000000"/>
                <w:sz w:val="24"/>
                <w:szCs w:val="24"/>
              </w:rPr>
              <w:t>of Annual Respondents</w:t>
            </w:r>
          </w:p>
        </w:tc>
        <w:tc>
          <w:tcPr>
            <w:tcW w:w="1674" w:type="dxa"/>
            <w:shd w:val="clear" w:color="auto" w:fill="A6A6A6" w:themeFill="background1" w:themeFillShade="A6"/>
            <w:vAlign w:val="center"/>
          </w:tcPr>
          <w:p w:rsidRPr="005D7AB7" w:rsidR="00C6590B" w:rsidP="008B092F" w:rsidRDefault="00C6590B" w14:paraId="593E1445" w14:textId="187C3B62">
            <w:pPr>
              <w:tabs>
                <w:tab w:val="left" w:pos="-1440"/>
                <w:tab w:val="left" w:pos="-720"/>
                <w:tab w:val="left" w:pos="0"/>
                <w:tab w:val="left" w:pos="240"/>
                <w:tab w:val="left" w:pos="720"/>
              </w:tabs>
              <w:spacing w:after="30"/>
              <w:jc w:val="center"/>
              <w:rPr>
                <w:b/>
                <w:sz w:val="24"/>
                <w:szCs w:val="24"/>
              </w:rPr>
            </w:pPr>
            <w:r w:rsidRPr="005D7AB7">
              <w:rPr>
                <w:b/>
                <w:color w:val="000000"/>
                <w:sz w:val="24"/>
                <w:szCs w:val="24"/>
              </w:rPr>
              <w:t xml:space="preserve">Average Number of Responses Per Respondent </w:t>
            </w:r>
          </w:p>
        </w:tc>
        <w:tc>
          <w:tcPr>
            <w:tcW w:w="1440" w:type="dxa"/>
            <w:shd w:val="clear" w:color="auto" w:fill="A6A6A6" w:themeFill="background1" w:themeFillShade="A6"/>
          </w:tcPr>
          <w:p w:rsidRPr="005D7AB7" w:rsidR="00C6590B" w:rsidP="6B7F0614" w:rsidRDefault="055E05BD" w14:paraId="27B7D369" w14:textId="6D25D91F">
            <w:pPr>
              <w:tabs>
                <w:tab w:val="left" w:pos="240"/>
                <w:tab w:val="left" w:pos="720"/>
              </w:tabs>
              <w:jc w:val="center"/>
              <w:rPr>
                <w:b/>
                <w:bCs/>
                <w:sz w:val="24"/>
                <w:szCs w:val="24"/>
              </w:rPr>
            </w:pPr>
            <w:r w:rsidRPr="6B7F0614">
              <w:rPr>
                <w:b/>
                <w:bCs/>
                <w:sz w:val="24"/>
                <w:szCs w:val="24"/>
              </w:rPr>
              <w:t xml:space="preserve">Number of Annual </w:t>
            </w:r>
            <w:r w:rsidRPr="6B7F0614" w:rsidR="06660E30">
              <w:rPr>
                <w:b/>
                <w:bCs/>
                <w:sz w:val="24"/>
                <w:szCs w:val="24"/>
              </w:rPr>
              <w:t>Responses</w:t>
            </w:r>
            <w:r w:rsidRPr="6B7F0614">
              <w:rPr>
                <w:b/>
                <w:bCs/>
                <w:sz w:val="24"/>
                <w:szCs w:val="24"/>
              </w:rPr>
              <w:t xml:space="preserve"> </w:t>
            </w:r>
          </w:p>
        </w:tc>
        <w:tc>
          <w:tcPr>
            <w:tcW w:w="1350" w:type="dxa"/>
            <w:shd w:val="clear" w:color="auto" w:fill="A6A6A6" w:themeFill="background1" w:themeFillShade="A6"/>
            <w:vAlign w:val="center"/>
          </w:tcPr>
          <w:p w:rsidRPr="005D7AB7" w:rsidR="00C6590B" w:rsidP="6B7F0614" w:rsidRDefault="055E05BD" w14:paraId="399EF307" w14:textId="573EBFC1">
            <w:pPr>
              <w:tabs>
                <w:tab w:val="left" w:pos="240"/>
                <w:tab w:val="left" w:pos="720"/>
              </w:tabs>
              <w:jc w:val="center"/>
              <w:rPr>
                <w:b/>
                <w:bCs/>
                <w:sz w:val="24"/>
                <w:szCs w:val="24"/>
              </w:rPr>
            </w:pPr>
            <w:r w:rsidRPr="6B7F0614">
              <w:rPr>
                <w:b/>
                <w:bCs/>
                <w:sz w:val="24"/>
                <w:szCs w:val="24"/>
              </w:rPr>
              <w:t>Average Response Time</w:t>
            </w:r>
            <w:r w:rsidR="00ED66FE">
              <w:rPr>
                <w:rStyle w:val="FootnoteReference"/>
                <w:b/>
                <w:bCs/>
                <w:sz w:val="24"/>
                <w:szCs w:val="24"/>
              </w:rPr>
              <w:footnoteReference w:id="10"/>
            </w:r>
            <w:r w:rsidRPr="6B7F0614">
              <w:rPr>
                <w:b/>
                <w:bCs/>
                <w:sz w:val="24"/>
                <w:szCs w:val="24"/>
              </w:rPr>
              <w:t xml:space="preserve"> (hours)</w:t>
            </w:r>
          </w:p>
        </w:tc>
        <w:tc>
          <w:tcPr>
            <w:tcW w:w="1440" w:type="dxa"/>
            <w:shd w:val="clear" w:color="auto" w:fill="A6A6A6" w:themeFill="background1" w:themeFillShade="A6"/>
            <w:vAlign w:val="center"/>
          </w:tcPr>
          <w:p w:rsidRPr="005D7AB7" w:rsidR="00C6590B" w:rsidP="6B7F0614" w:rsidRDefault="055E05BD" w14:paraId="21DE201F" w14:textId="06957F0A">
            <w:pPr>
              <w:tabs>
                <w:tab w:val="left" w:pos="240"/>
                <w:tab w:val="left" w:pos="720"/>
              </w:tabs>
              <w:spacing w:before="163" w:after="30"/>
              <w:jc w:val="center"/>
              <w:rPr>
                <w:b/>
                <w:bCs/>
                <w:sz w:val="24"/>
                <w:szCs w:val="24"/>
              </w:rPr>
            </w:pPr>
            <w:r w:rsidRPr="6B7F0614">
              <w:rPr>
                <w:b/>
                <w:bCs/>
                <w:sz w:val="24"/>
                <w:szCs w:val="24"/>
              </w:rPr>
              <w:t>Annual Burden (hours)</w:t>
            </w:r>
          </w:p>
        </w:tc>
      </w:tr>
      <w:tr w:rsidRPr="00983DCE" w:rsidR="00255F69" w:rsidTr="33F5B6BA" w14:paraId="319CE5AD" w14:textId="77777777">
        <w:trPr>
          <w:cantSplit/>
          <w:trHeight w:val="449"/>
        </w:trPr>
        <w:tc>
          <w:tcPr>
            <w:tcW w:w="1926" w:type="dxa"/>
            <w:vAlign w:val="bottom"/>
          </w:tcPr>
          <w:p w:rsidRPr="005D7AB7" w:rsidR="00255F69" w:rsidP="00255F69" w:rsidRDefault="00255F69" w14:paraId="17FACFE3" w14:textId="5C6EF58E">
            <w:pPr>
              <w:rPr>
                <w:sz w:val="24"/>
                <w:szCs w:val="24"/>
              </w:rPr>
            </w:pPr>
            <w:r w:rsidRPr="005D7AB7">
              <w:rPr>
                <w:sz w:val="24"/>
                <w:szCs w:val="24"/>
              </w:rPr>
              <w:t xml:space="preserve">Collection of </w:t>
            </w:r>
            <w:r w:rsidR="00132C3C">
              <w:rPr>
                <w:sz w:val="24"/>
                <w:szCs w:val="24"/>
              </w:rPr>
              <w:t xml:space="preserve">Terms of </w:t>
            </w:r>
            <w:r w:rsidRPr="005D7AB7">
              <w:rPr>
                <w:sz w:val="24"/>
                <w:szCs w:val="24"/>
              </w:rPr>
              <w:t>Credit Card Plan</w:t>
            </w:r>
            <w:r w:rsidR="00132C3C">
              <w:rPr>
                <w:sz w:val="24"/>
                <w:szCs w:val="24"/>
              </w:rPr>
              <w:t xml:space="preserve"> Survey</w:t>
            </w:r>
            <w:r w:rsidRPr="005D7AB7">
              <w:rPr>
                <w:sz w:val="24"/>
                <w:szCs w:val="24"/>
              </w:rPr>
              <w:t xml:space="preserve"> Information </w:t>
            </w:r>
          </w:p>
        </w:tc>
        <w:tc>
          <w:tcPr>
            <w:tcW w:w="1620" w:type="dxa"/>
            <w:vAlign w:val="bottom"/>
          </w:tcPr>
          <w:p w:rsidRPr="005D7AB7" w:rsidR="00255F69" w:rsidP="00255F69" w:rsidRDefault="00255F69" w14:paraId="0C0601B9" w14:textId="27CF34A2">
            <w:pPr>
              <w:pStyle w:val="Footer"/>
              <w:tabs>
                <w:tab w:val="clear" w:pos="4320"/>
                <w:tab w:val="clear" w:pos="8640"/>
              </w:tabs>
              <w:spacing w:before="163" w:after="30"/>
              <w:jc w:val="right"/>
              <w:rPr>
                <w:snapToGrid w:val="0"/>
                <w:szCs w:val="24"/>
              </w:rPr>
            </w:pPr>
            <w:r w:rsidRPr="005D7AB7">
              <w:rPr>
                <w:snapToGrid w:val="0"/>
                <w:szCs w:val="24"/>
              </w:rPr>
              <w:t>1</w:t>
            </w:r>
            <w:r w:rsidR="00905D66">
              <w:rPr>
                <w:snapToGrid w:val="0"/>
                <w:szCs w:val="24"/>
              </w:rPr>
              <w:t>75</w:t>
            </w:r>
          </w:p>
        </w:tc>
        <w:tc>
          <w:tcPr>
            <w:tcW w:w="1674" w:type="dxa"/>
            <w:vAlign w:val="bottom"/>
          </w:tcPr>
          <w:p w:rsidRPr="005D7AB7" w:rsidR="00255F69" w:rsidP="00255F69" w:rsidRDefault="00255F69" w14:paraId="5D7CC9E8" w14:textId="4BF9EBC6">
            <w:pPr>
              <w:pStyle w:val="Footer"/>
              <w:tabs>
                <w:tab w:val="clear" w:pos="4320"/>
                <w:tab w:val="clear" w:pos="8640"/>
              </w:tabs>
              <w:spacing w:before="163" w:after="30"/>
              <w:jc w:val="right"/>
              <w:rPr>
                <w:snapToGrid w:val="0"/>
                <w:szCs w:val="24"/>
              </w:rPr>
            </w:pPr>
            <w:r w:rsidRPr="005D7AB7">
              <w:rPr>
                <w:snapToGrid w:val="0"/>
                <w:szCs w:val="24"/>
              </w:rPr>
              <w:t>2</w:t>
            </w:r>
          </w:p>
        </w:tc>
        <w:tc>
          <w:tcPr>
            <w:tcW w:w="1440" w:type="dxa"/>
            <w:vAlign w:val="bottom"/>
          </w:tcPr>
          <w:p w:rsidRPr="005D7AB7" w:rsidR="00255F69" w:rsidP="00255F69" w:rsidRDefault="000D1830" w14:paraId="175AAFDC" w14:textId="532301D8">
            <w:pPr>
              <w:spacing w:before="163" w:after="30"/>
              <w:jc w:val="right"/>
              <w:rPr>
                <w:sz w:val="24"/>
                <w:szCs w:val="24"/>
              </w:rPr>
            </w:pPr>
            <w:r>
              <w:rPr>
                <w:sz w:val="24"/>
                <w:szCs w:val="24"/>
              </w:rPr>
              <w:t>350</w:t>
            </w:r>
          </w:p>
        </w:tc>
        <w:tc>
          <w:tcPr>
            <w:tcW w:w="1350" w:type="dxa"/>
            <w:vAlign w:val="bottom"/>
          </w:tcPr>
          <w:p w:rsidRPr="005D7AB7" w:rsidR="00255F69" w:rsidP="00255F69" w:rsidRDefault="40686A83" w14:paraId="0D1957F4" w14:textId="0EC8FF79">
            <w:pPr>
              <w:spacing w:before="163" w:after="30"/>
              <w:jc w:val="right"/>
              <w:rPr>
                <w:sz w:val="24"/>
                <w:szCs w:val="24"/>
              </w:rPr>
            </w:pPr>
            <w:r w:rsidRPr="6B7F0614">
              <w:rPr>
                <w:sz w:val="24"/>
                <w:szCs w:val="24"/>
              </w:rPr>
              <w:t>0</w:t>
            </w:r>
            <w:r w:rsidRPr="6B7F0614" w:rsidR="00255F69">
              <w:rPr>
                <w:sz w:val="24"/>
                <w:szCs w:val="24"/>
              </w:rPr>
              <w:t>.</w:t>
            </w:r>
            <w:r w:rsidR="00F71442">
              <w:rPr>
                <w:sz w:val="24"/>
                <w:szCs w:val="24"/>
              </w:rPr>
              <w:t>166</w:t>
            </w:r>
          </w:p>
        </w:tc>
        <w:tc>
          <w:tcPr>
            <w:tcW w:w="1440" w:type="dxa"/>
            <w:vAlign w:val="bottom"/>
          </w:tcPr>
          <w:p w:rsidRPr="005D7AB7" w:rsidR="00255F69" w:rsidP="00255F69" w:rsidRDefault="000D1830" w14:paraId="204FD4A1" w14:textId="010A90E4">
            <w:pPr>
              <w:spacing w:before="163" w:after="30"/>
              <w:jc w:val="right"/>
              <w:rPr>
                <w:sz w:val="24"/>
                <w:szCs w:val="24"/>
              </w:rPr>
            </w:pPr>
            <w:r>
              <w:rPr>
                <w:sz w:val="24"/>
                <w:szCs w:val="24"/>
              </w:rPr>
              <w:t>5</w:t>
            </w:r>
            <w:r w:rsidR="007616DD">
              <w:rPr>
                <w:sz w:val="24"/>
                <w:szCs w:val="24"/>
              </w:rPr>
              <w:t>8</w:t>
            </w:r>
            <w:r>
              <w:rPr>
                <w:sz w:val="24"/>
                <w:szCs w:val="24"/>
              </w:rPr>
              <w:t>.</w:t>
            </w:r>
            <w:r w:rsidR="007616DD">
              <w:rPr>
                <w:sz w:val="24"/>
                <w:szCs w:val="24"/>
              </w:rPr>
              <w:t>3</w:t>
            </w:r>
          </w:p>
        </w:tc>
      </w:tr>
      <w:tr w:rsidRPr="00983DCE" w:rsidR="005C7352" w:rsidTr="33F5B6BA" w14:paraId="52E40741" w14:textId="77777777">
        <w:trPr>
          <w:cantSplit/>
          <w:trHeight w:val="449"/>
        </w:trPr>
        <w:tc>
          <w:tcPr>
            <w:tcW w:w="1926" w:type="dxa"/>
          </w:tcPr>
          <w:p w:rsidRPr="005D7AB7" w:rsidR="005C7352" w:rsidP="005C7352" w:rsidRDefault="005C7352" w14:paraId="37DC3F55" w14:textId="0D653101">
            <w:pPr>
              <w:rPr>
                <w:sz w:val="24"/>
                <w:szCs w:val="24"/>
              </w:rPr>
            </w:pPr>
            <w:r w:rsidRPr="00376B51">
              <w:rPr>
                <w:sz w:val="24"/>
                <w:szCs w:val="24"/>
              </w:rPr>
              <w:lastRenderedPageBreak/>
              <w:t>Credit Card</w:t>
            </w:r>
            <w:r w:rsidR="00745A76">
              <w:rPr>
                <w:sz w:val="24"/>
                <w:szCs w:val="24"/>
              </w:rPr>
              <w:t xml:space="preserve"> Quarterly</w:t>
            </w:r>
            <w:r w:rsidRPr="00376B51">
              <w:rPr>
                <w:sz w:val="24"/>
                <w:szCs w:val="24"/>
              </w:rPr>
              <w:t xml:space="preserve"> Agreement Submission</w:t>
            </w:r>
          </w:p>
        </w:tc>
        <w:tc>
          <w:tcPr>
            <w:tcW w:w="1620" w:type="dxa"/>
            <w:vAlign w:val="bottom"/>
          </w:tcPr>
          <w:p w:rsidRPr="005D7AB7" w:rsidR="005C7352" w:rsidP="00065352" w:rsidRDefault="005C7352" w14:paraId="177679CC" w14:textId="15D52444">
            <w:pPr>
              <w:pStyle w:val="Footer"/>
              <w:tabs>
                <w:tab w:val="clear" w:pos="4320"/>
                <w:tab w:val="clear" w:pos="8640"/>
              </w:tabs>
              <w:spacing w:before="163" w:after="30"/>
              <w:jc w:val="right"/>
              <w:rPr>
                <w:snapToGrid w:val="0"/>
                <w:szCs w:val="24"/>
              </w:rPr>
            </w:pPr>
            <w:r w:rsidRPr="005D7AB7">
              <w:rPr>
                <w:szCs w:val="24"/>
              </w:rPr>
              <w:t>400</w:t>
            </w:r>
          </w:p>
        </w:tc>
        <w:tc>
          <w:tcPr>
            <w:tcW w:w="1674" w:type="dxa"/>
            <w:vAlign w:val="bottom"/>
          </w:tcPr>
          <w:p w:rsidRPr="005D7AB7" w:rsidR="005C7352" w:rsidP="00996BEE" w:rsidRDefault="005C7352" w14:paraId="372B3963" w14:textId="2CDCF7F5">
            <w:pPr>
              <w:pStyle w:val="Footer"/>
              <w:tabs>
                <w:tab w:val="clear" w:pos="4320"/>
                <w:tab w:val="clear" w:pos="8640"/>
              </w:tabs>
              <w:spacing w:before="163" w:after="30"/>
              <w:jc w:val="right"/>
              <w:rPr>
                <w:snapToGrid w:val="0"/>
                <w:szCs w:val="24"/>
              </w:rPr>
            </w:pPr>
            <w:r w:rsidRPr="00376B51">
              <w:rPr>
                <w:szCs w:val="24"/>
              </w:rPr>
              <w:t>4</w:t>
            </w:r>
          </w:p>
        </w:tc>
        <w:tc>
          <w:tcPr>
            <w:tcW w:w="1440" w:type="dxa"/>
            <w:vAlign w:val="bottom"/>
          </w:tcPr>
          <w:p w:rsidRPr="005D7AB7" w:rsidR="005C7352" w:rsidP="00C15DFA" w:rsidRDefault="005C7352" w14:paraId="1045603D" w14:textId="34212EC6">
            <w:pPr>
              <w:spacing w:before="163" w:after="30"/>
              <w:jc w:val="right"/>
              <w:rPr>
                <w:sz w:val="24"/>
                <w:szCs w:val="24"/>
              </w:rPr>
            </w:pPr>
            <w:r w:rsidRPr="00376B51">
              <w:rPr>
                <w:sz w:val="24"/>
                <w:szCs w:val="24"/>
              </w:rPr>
              <w:t>1,600</w:t>
            </w:r>
          </w:p>
        </w:tc>
        <w:tc>
          <w:tcPr>
            <w:tcW w:w="1350" w:type="dxa"/>
            <w:vAlign w:val="bottom"/>
          </w:tcPr>
          <w:p w:rsidRPr="005D7AB7" w:rsidR="005C7352" w:rsidP="00A260C2" w:rsidRDefault="40686A83" w14:paraId="5089AC65" w14:textId="7E15B35A">
            <w:pPr>
              <w:spacing w:before="163" w:after="30"/>
              <w:jc w:val="right"/>
              <w:rPr>
                <w:sz w:val="24"/>
                <w:szCs w:val="24"/>
              </w:rPr>
            </w:pPr>
            <w:r w:rsidRPr="6B7F0614">
              <w:rPr>
                <w:sz w:val="24"/>
                <w:szCs w:val="24"/>
              </w:rPr>
              <w:t>0</w:t>
            </w:r>
            <w:r w:rsidRPr="6B7F0614" w:rsidR="005C7352">
              <w:rPr>
                <w:sz w:val="24"/>
                <w:szCs w:val="24"/>
              </w:rPr>
              <w:t>.</w:t>
            </w:r>
            <w:r w:rsidR="005D4411">
              <w:rPr>
                <w:sz w:val="24"/>
                <w:szCs w:val="24"/>
              </w:rPr>
              <w:t>17</w:t>
            </w:r>
            <w:r w:rsidR="003D1025">
              <w:rPr>
                <w:rStyle w:val="FootnoteReference"/>
                <w:sz w:val="24"/>
                <w:szCs w:val="24"/>
              </w:rPr>
              <w:footnoteReference w:id="11"/>
            </w:r>
          </w:p>
        </w:tc>
        <w:tc>
          <w:tcPr>
            <w:tcW w:w="1440" w:type="dxa"/>
            <w:vAlign w:val="bottom"/>
          </w:tcPr>
          <w:p w:rsidRPr="005D7AB7" w:rsidR="005C7352" w:rsidP="6B7F0614" w:rsidRDefault="005D4411" w14:paraId="4CA78D49" w14:textId="218E6DAF">
            <w:pPr>
              <w:spacing w:before="163" w:after="30"/>
              <w:jc w:val="right"/>
              <w:rPr>
                <w:sz w:val="24"/>
                <w:szCs w:val="24"/>
              </w:rPr>
            </w:pPr>
            <w:r>
              <w:rPr>
                <w:sz w:val="24"/>
                <w:szCs w:val="24"/>
              </w:rPr>
              <w:t>2</w:t>
            </w:r>
            <w:r w:rsidR="007616DD">
              <w:rPr>
                <w:sz w:val="24"/>
                <w:szCs w:val="24"/>
              </w:rPr>
              <w:t>66.7</w:t>
            </w:r>
          </w:p>
        </w:tc>
      </w:tr>
      <w:tr w:rsidRPr="00983DCE" w:rsidR="005C7352" w:rsidTr="33F5B6BA" w14:paraId="55F1952E" w14:textId="77777777">
        <w:trPr>
          <w:cantSplit/>
          <w:trHeight w:val="449"/>
        </w:trPr>
        <w:tc>
          <w:tcPr>
            <w:tcW w:w="1926" w:type="dxa"/>
          </w:tcPr>
          <w:p w:rsidRPr="00376B51" w:rsidR="005C7352" w:rsidP="005C7352" w:rsidRDefault="005C7352" w14:paraId="1DF173EC" w14:textId="701296AE">
            <w:pPr>
              <w:rPr>
                <w:sz w:val="24"/>
                <w:szCs w:val="24"/>
              </w:rPr>
            </w:pPr>
            <w:r w:rsidRPr="00376B51">
              <w:rPr>
                <w:sz w:val="24"/>
                <w:szCs w:val="24"/>
              </w:rPr>
              <w:t>College Credit Card</w:t>
            </w:r>
            <w:r w:rsidR="00745A76">
              <w:rPr>
                <w:sz w:val="24"/>
                <w:szCs w:val="24"/>
              </w:rPr>
              <w:t xml:space="preserve"> Annual</w:t>
            </w:r>
            <w:r w:rsidRPr="00376B51">
              <w:rPr>
                <w:sz w:val="24"/>
                <w:szCs w:val="24"/>
              </w:rPr>
              <w:t xml:space="preserve"> Agreement Submission</w:t>
            </w:r>
          </w:p>
        </w:tc>
        <w:tc>
          <w:tcPr>
            <w:tcW w:w="1620" w:type="dxa"/>
            <w:vAlign w:val="bottom"/>
          </w:tcPr>
          <w:p w:rsidRPr="005D7AB7" w:rsidR="005C7352" w:rsidP="00065352" w:rsidRDefault="005D7AB7" w14:paraId="52F8E279" w14:textId="068FAEED">
            <w:pPr>
              <w:pStyle w:val="Footer"/>
              <w:tabs>
                <w:tab w:val="clear" w:pos="4320"/>
                <w:tab w:val="clear" w:pos="8640"/>
              </w:tabs>
              <w:spacing w:before="163" w:after="30"/>
              <w:jc w:val="right"/>
              <w:rPr>
                <w:szCs w:val="24"/>
              </w:rPr>
            </w:pPr>
            <w:r>
              <w:rPr>
                <w:szCs w:val="24"/>
              </w:rPr>
              <w:t>4</w:t>
            </w:r>
            <w:r w:rsidRPr="005D7AB7" w:rsidR="005C7352">
              <w:rPr>
                <w:szCs w:val="24"/>
              </w:rPr>
              <w:t>0</w:t>
            </w:r>
          </w:p>
        </w:tc>
        <w:tc>
          <w:tcPr>
            <w:tcW w:w="1674" w:type="dxa"/>
            <w:vAlign w:val="bottom"/>
          </w:tcPr>
          <w:p w:rsidRPr="005D7AB7" w:rsidR="005C7352" w:rsidP="00996BEE" w:rsidRDefault="005C7352" w14:paraId="31152F93" w14:textId="30387444">
            <w:pPr>
              <w:pStyle w:val="Footer"/>
              <w:tabs>
                <w:tab w:val="clear" w:pos="4320"/>
                <w:tab w:val="clear" w:pos="8640"/>
              </w:tabs>
              <w:spacing w:before="163" w:after="30"/>
              <w:jc w:val="right"/>
              <w:rPr>
                <w:szCs w:val="24"/>
              </w:rPr>
            </w:pPr>
            <w:r w:rsidRPr="005D7AB7">
              <w:rPr>
                <w:szCs w:val="24"/>
              </w:rPr>
              <w:t>1</w:t>
            </w:r>
          </w:p>
        </w:tc>
        <w:tc>
          <w:tcPr>
            <w:tcW w:w="1440" w:type="dxa"/>
            <w:vAlign w:val="bottom"/>
          </w:tcPr>
          <w:p w:rsidRPr="00376B51" w:rsidR="005C7352" w:rsidP="00C15DFA" w:rsidRDefault="005D7AB7" w14:paraId="14CED84C" w14:textId="513660D6">
            <w:pPr>
              <w:spacing w:before="163" w:after="30"/>
              <w:jc w:val="right"/>
              <w:rPr>
                <w:sz w:val="24"/>
                <w:szCs w:val="24"/>
              </w:rPr>
            </w:pPr>
            <w:r>
              <w:rPr>
                <w:sz w:val="24"/>
                <w:szCs w:val="24"/>
              </w:rPr>
              <w:t>40</w:t>
            </w:r>
          </w:p>
        </w:tc>
        <w:tc>
          <w:tcPr>
            <w:tcW w:w="1350" w:type="dxa"/>
            <w:vAlign w:val="bottom"/>
          </w:tcPr>
          <w:p w:rsidRPr="00376B51" w:rsidR="005C7352" w:rsidP="00A260C2" w:rsidRDefault="00903157" w14:paraId="5E4C906F" w14:textId="142B95B0">
            <w:pPr>
              <w:spacing w:before="163" w:after="30"/>
              <w:jc w:val="right"/>
              <w:rPr>
                <w:sz w:val="24"/>
                <w:szCs w:val="24"/>
              </w:rPr>
            </w:pPr>
            <w:r>
              <w:rPr>
                <w:sz w:val="24"/>
                <w:szCs w:val="24"/>
              </w:rPr>
              <w:t>.92</w:t>
            </w:r>
          </w:p>
        </w:tc>
        <w:tc>
          <w:tcPr>
            <w:tcW w:w="1440" w:type="dxa"/>
            <w:vAlign w:val="bottom"/>
          </w:tcPr>
          <w:p w:rsidRPr="00376B51" w:rsidR="005C7352" w:rsidP="6B7F0614" w:rsidRDefault="00F62918" w14:paraId="3A4DCE56" w14:textId="671A39CE">
            <w:pPr>
              <w:spacing w:before="163" w:after="30"/>
              <w:jc w:val="right"/>
              <w:rPr>
                <w:sz w:val="24"/>
                <w:szCs w:val="24"/>
              </w:rPr>
            </w:pPr>
            <w:r>
              <w:rPr>
                <w:sz w:val="24"/>
                <w:szCs w:val="24"/>
              </w:rPr>
              <w:t>36.7</w:t>
            </w:r>
          </w:p>
        </w:tc>
      </w:tr>
      <w:tr w:rsidRPr="00983DCE" w:rsidR="005C7352" w:rsidTr="33F5B6BA" w14:paraId="741A4730" w14:textId="77777777">
        <w:trPr>
          <w:cantSplit/>
          <w:trHeight w:val="449"/>
        </w:trPr>
        <w:tc>
          <w:tcPr>
            <w:tcW w:w="1926" w:type="dxa"/>
            <w:vAlign w:val="bottom"/>
          </w:tcPr>
          <w:p w:rsidRPr="005D7AB7" w:rsidR="005C7352" w:rsidP="6B7F0614" w:rsidRDefault="7F997DE1" w14:paraId="12F7243A" w14:textId="5F1AA19D">
            <w:pPr>
              <w:jc w:val="right"/>
              <w:rPr>
                <w:b/>
                <w:bCs/>
                <w:sz w:val="24"/>
                <w:szCs w:val="24"/>
              </w:rPr>
            </w:pPr>
            <w:r w:rsidRPr="6B7F0614">
              <w:rPr>
                <w:b/>
                <w:bCs/>
                <w:sz w:val="24"/>
                <w:szCs w:val="24"/>
              </w:rPr>
              <w:t>TOTAL</w:t>
            </w:r>
          </w:p>
        </w:tc>
        <w:tc>
          <w:tcPr>
            <w:tcW w:w="1620" w:type="dxa"/>
            <w:vAlign w:val="bottom"/>
          </w:tcPr>
          <w:p w:rsidRPr="005D7AB7" w:rsidR="005C7352" w:rsidP="6B7F0614" w:rsidRDefault="0005274A" w14:paraId="2E3589EF" w14:textId="6454550D">
            <w:pPr>
              <w:pStyle w:val="Footer"/>
              <w:tabs>
                <w:tab w:val="clear" w:pos="4320"/>
                <w:tab w:val="clear" w:pos="8640"/>
              </w:tabs>
              <w:spacing w:before="163" w:after="30"/>
              <w:jc w:val="right"/>
              <w:rPr>
                <w:b/>
                <w:bCs/>
                <w:snapToGrid w:val="0"/>
              </w:rPr>
            </w:pPr>
            <w:r w:rsidRPr="6B7F0614">
              <w:rPr>
                <w:b/>
                <w:bCs/>
                <w:snapToGrid w:val="0"/>
              </w:rPr>
              <w:t>6</w:t>
            </w:r>
            <w:r w:rsidRPr="6B7F0614" w:rsidR="74C3D6CC">
              <w:rPr>
                <w:b/>
                <w:bCs/>
                <w:snapToGrid w:val="0"/>
              </w:rPr>
              <w:t>1</w:t>
            </w:r>
            <w:r w:rsidRPr="6B7F0614">
              <w:rPr>
                <w:b/>
                <w:bCs/>
                <w:snapToGrid w:val="0"/>
              </w:rPr>
              <w:t>5</w:t>
            </w:r>
          </w:p>
        </w:tc>
        <w:tc>
          <w:tcPr>
            <w:tcW w:w="1674" w:type="dxa"/>
            <w:shd w:val="clear" w:color="auto" w:fill="A6A6A6" w:themeFill="background1" w:themeFillShade="A6"/>
            <w:vAlign w:val="bottom"/>
          </w:tcPr>
          <w:p w:rsidRPr="005D7AB7" w:rsidR="005C7352" w:rsidP="6B7F0614" w:rsidRDefault="005C7352" w14:paraId="56F95D88" w14:textId="403D7FA2">
            <w:pPr>
              <w:pStyle w:val="Footer"/>
              <w:tabs>
                <w:tab w:val="clear" w:pos="4320"/>
                <w:tab w:val="clear" w:pos="8640"/>
              </w:tabs>
              <w:spacing w:before="163" w:after="30"/>
              <w:jc w:val="right"/>
              <w:rPr>
                <w:b/>
                <w:bCs/>
                <w:snapToGrid w:val="0"/>
              </w:rPr>
            </w:pPr>
          </w:p>
        </w:tc>
        <w:tc>
          <w:tcPr>
            <w:tcW w:w="1440" w:type="dxa"/>
            <w:vAlign w:val="bottom"/>
          </w:tcPr>
          <w:p w:rsidRPr="005D7AB7" w:rsidR="005C7352" w:rsidP="6B7F0614" w:rsidRDefault="0005274A" w14:paraId="3785FDBA" w14:textId="50E6A65F">
            <w:pPr>
              <w:spacing w:before="163" w:after="30"/>
              <w:jc w:val="right"/>
              <w:rPr>
                <w:b/>
                <w:bCs/>
                <w:sz w:val="24"/>
                <w:szCs w:val="24"/>
              </w:rPr>
            </w:pPr>
            <w:r w:rsidRPr="6B7F0614">
              <w:rPr>
                <w:b/>
                <w:bCs/>
                <w:sz w:val="24"/>
                <w:szCs w:val="24"/>
              </w:rPr>
              <w:t>1</w:t>
            </w:r>
            <w:r w:rsidRPr="6B7F0614" w:rsidR="08320D47">
              <w:rPr>
                <w:b/>
                <w:bCs/>
                <w:sz w:val="24"/>
                <w:szCs w:val="24"/>
              </w:rPr>
              <w:t>,990</w:t>
            </w:r>
          </w:p>
        </w:tc>
        <w:tc>
          <w:tcPr>
            <w:tcW w:w="1350" w:type="dxa"/>
            <w:shd w:val="clear" w:color="auto" w:fill="A6A6A6" w:themeFill="background1" w:themeFillShade="A6"/>
            <w:vAlign w:val="bottom"/>
          </w:tcPr>
          <w:p w:rsidRPr="005D7AB7" w:rsidR="005C7352" w:rsidP="6B7F0614" w:rsidRDefault="005C7352" w14:paraId="2A63A1D0" w14:textId="08B4C1A9">
            <w:pPr>
              <w:spacing w:before="163" w:after="30"/>
              <w:jc w:val="right"/>
              <w:rPr>
                <w:b/>
                <w:bCs/>
                <w:sz w:val="24"/>
                <w:szCs w:val="24"/>
              </w:rPr>
            </w:pPr>
          </w:p>
        </w:tc>
        <w:tc>
          <w:tcPr>
            <w:tcW w:w="1440" w:type="dxa"/>
            <w:vAlign w:val="bottom"/>
          </w:tcPr>
          <w:p w:rsidRPr="005D7AB7" w:rsidR="005C7352" w:rsidP="6B7F0614" w:rsidRDefault="002E4CE7" w14:paraId="4B4368DA" w14:textId="74288EDE">
            <w:pPr>
              <w:spacing w:before="163" w:after="30"/>
              <w:jc w:val="right"/>
              <w:rPr>
                <w:b/>
                <w:bCs/>
                <w:sz w:val="24"/>
                <w:szCs w:val="24"/>
              </w:rPr>
            </w:pPr>
            <w:r>
              <w:rPr>
                <w:b/>
                <w:bCs/>
                <w:sz w:val="24"/>
                <w:szCs w:val="24"/>
              </w:rPr>
              <w:t>36</w:t>
            </w:r>
            <w:r w:rsidR="007616DD">
              <w:rPr>
                <w:b/>
                <w:bCs/>
                <w:sz w:val="24"/>
                <w:szCs w:val="24"/>
              </w:rPr>
              <w:t>1</w:t>
            </w:r>
            <w:r>
              <w:rPr>
                <w:b/>
                <w:bCs/>
                <w:sz w:val="24"/>
                <w:szCs w:val="24"/>
              </w:rPr>
              <w:t>.</w:t>
            </w:r>
            <w:r w:rsidR="007616DD">
              <w:rPr>
                <w:b/>
                <w:bCs/>
                <w:sz w:val="24"/>
                <w:szCs w:val="24"/>
              </w:rPr>
              <w:t>7</w:t>
            </w:r>
          </w:p>
        </w:tc>
      </w:tr>
    </w:tbl>
    <w:p w:rsidR="0005274A" w:rsidP="00127DB0" w:rsidRDefault="0005274A" w14:paraId="3D59AB49" w14:textId="77777777">
      <w:pPr>
        <w:tabs>
          <w:tab w:val="left" w:pos="-1080"/>
          <w:tab w:val="left" w:pos="-720"/>
          <w:tab w:val="left" w:pos="0"/>
          <w:tab w:val="left" w:pos="27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p>
    <w:p w:rsidR="005C7352" w:rsidP="005C7352" w:rsidRDefault="005C7352" w14:paraId="26940DD1" w14:textId="0E1E6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354E7" w:rsidP="000354E7" w:rsidRDefault="00745A76" w14:paraId="41300E60" w14:textId="55FC4073">
      <w:pPr>
        <w:spacing w:after="200" w:line="276" w:lineRule="auto"/>
        <w:rPr>
          <w:b/>
          <w:i/>
          <w:color w:val="000000"/>
          <w:sz w:val="24"/>
          <w:szCs w:val="24"/>
          <w:u w:val="single"/>
        </w:rPr>
      </w:pPr>
      <w:r>
        <w:rPr>
          <w:b/>
          <w:i/>
          <w:color w:val="000000"/>
          <w:sz w:val="24"/>
          <w:szCs w:val="24"/>
          <w:u w:val="single"/>
        </w:rPr>
        <w:t>Terms of Credit Card Plan Survey</w:t>
      </w:r>
    </w:p>
    <w:p w:rsidRPr="00226571" w:rsidR="000354E7" w:rsidP="000354E7" w:rsidRDefault="000354E7" w14:paraId="6BA45137" w14:textId="7E12E142">
      <w:pPr>
        <w:spacing w:after="200" w:line="276" w:lineRule="auto"/>
        <w:rPr>
          <w:rFonts w:ascii="TimesNewRomanPSMT" w:hAnsi="TimesNewRomanPSMT" w:cs="TimesNewRomanPSMT"/>
          <w:sz w:val="24"/>
          <w:szCs w:val="24"/>
        </w:rPr>
      </w:pPr>
      <w:r>
        <w:rPr>
          <w:rFonts w:ascii="TimesNewRomanPSMT" w:hAnsi="TimesNewRomanPSMT" w:cs="TimesNewRomanPSMT"/>
          <w:sz w:val="24"/>
          <w:szCs w:val="24"/>
        </w:rPr>
        <w:t>In the January 2019 survey, the Bureau received 83% of TCCP Survey responses via Collect (10 minutes to respond on average</w:t>
      </w:r>
      <w:r w:rsidR="00F21F3F">
        <w:rPr>
          <w:rFonts w:ascii="TimesNewRomanPSMT" w:hAnsi="TimesNewRomanPSMT" w:cs="TimesNewRomanPSMT"/>
          <w:sz w:val="24"/>
          <w:szCs w:val="24"/>
        </w:rPr>
        <w:t>, including registration</w:t>
      </w:r>
      <w:r>
        <w:rPr>
          <w:rFonts w:ascii="TimesNewRomanPSMT" w:hAnsi="TimesNewRomanPSMT" w:cs="TimesNewRomanPSMT"/>
          <w:sz w:val="24"/>
          <w:szCs w:val="24"/>
        </w:rPr>
        <w:t xml:space="preserve">). The changes outlined in </w:t>
      </w:r>
      <w:r w:rsidR="00745A76">
        <w:rPr>
          <w:rFonts w:ascii="TimesNewRomanPSMT" w:hAnsi="TimesNewRomanPSMT" w:cs="TimesNewRomanPSMT"/>
          <w:sz w:val="24"/>
          <w:szCs w:val="24"/>
        </w:rPr>
        <w:t xml:space="preserve">the Bureau’s August </w:t>
      </w:r>
      <w:r w:rsidR="00A659CE">
        <w:rPr>
          <w:rFonts w:ascii="TimesNewRomanPSMT" w:hAnsi="TimesNewRomanPSMT" w:cs="TimesNewRomanPSMT"/>
          <w:sz w:val="24"/>
          <w:szCs w:val="24"/>
        </w:rPr>
        <w:t>23</w:t>
      </w:r>
      <w:r w:rsidR="00745A76">
        <w:rPr>
          <w:rFonts w:ascii="TimesNewRomanPSMT" w:hAnsi="TimesNewRomanPSMT" w:cs="TimesNewRomanPSMT"/>
          <w:sz w:val="24"/>
          <w:szCs w:val="24"/>
        </w:rPr>
        <w:t>, 2021 notice of</w:t>
      </w:r>
      <w:r>
        <w:rPr>
          <w:rFonts w:ascii="TimesNewRomanPSMT" w:hAnsi="TimesNewRomanPSMT" w:cs="TimesNewRomanPSMT"/>
          <w:sz w:val="24"/>
          <w:szCs w:val="24"/>
        </w:rPr>
        <w:t xml:space="preserve"> technical specifications will decrease the burden of information provision for the remaining 17% of submissions previously </w:t>
      </w:r>
      <w:r w:rsidRPr="00A64CC7">
        <w:rPr>
          <w:sz w:val="24"/>
          <w:szCs w:val="24"/>
        </w:rPr>
        <w:t>using</w:t>
      </w:r>
      <w:r w:rsidR="00745A76">
        <w:rPr>
          <w:sz w:val="24"/>
          <w:szCs w:val="24"/>
        </w:rPr>
        <w:t xml:space="preserve"> the FR 2572 form sent through email to</w:t>
      </w:r>
      <w:r w:rsidRPr="00A64CC7">
        <w:rPr>
          <w:sz w:val="24"/>
          <w:szCs w:val="24"/>
        </w:rPr>
        <w:t xml:space="preserve"> </w:t>
      </w:r>
      <w:hyperlink w:history="1" r:id="rId16">
        <w:r w:rsidRPr="24428ADD">
          <w:rPr>
            <w:rStyle w:val="Hyperlink"/>
            <w:sz w:val="24"/>
            <w:szCs w:val="24"/>
          </w:rPr>
          <w:t>Collect_Support@cfpb.gov</w:t>
        </w:r>
      </w:hyperlink>
      <w:r w:rsidRPr="00A64CC7">
        <w:rPr>
          <w:rFonts w:ascii="TimesNewRomanPSMT" w:hAnsi="TimesNewRomanPSMT" w:cs="TimesNewRomanPSMT"/>
          <w:sz w:val="24"/>
          <w:szCs w:val="24"/>
        </w:rPr>
        <w:t xml:space="preserve"> (15 minutes to respond)</w:t>
      </w:r>
      <w:r>
        <w:rPr>
          <w:rFonts w:ascii="TimesNewRomanPSMT" w:hAnsi="TimesNewRomanPSMT" w:cs="TimesNewRomanPSMT"/>
          <w:sz w:val="24"/>
          <w:szCs w:val="24"/>
        </w:rPr>
        <w:t xml:space="preserve"> by 5 minutes on average</w:t>
      </w:r>
      <w:r w:rsidR="0054582F">
        <w:rPr>
          <w:rStyle w:val="FootnoteReference"/>
          <w:rFonts w:ascii="TimesNewRomanPSMT" w:hAnsi="TimesNewRomanPSMT" w:cs="TimesNewRomanPSMT"/>
          <w:sz w:val="24"/>
          <w:szCs w:val="24"/>
        </w:rPr>
        <w:footnoteReference w:id="12"/>
      </w:r>
      <w:r>
        <w:rPr>
          <w:rFonts w:ascii="TimesNewRomanPSMT" w:hAnsi="TimesNewRomanPSMT" w:cs="TimesNewRomanPSMT"/>
          <w:sz w:val="24"/>
          <w:szCs w:val="24"/>
        </w:rPr>
        <w:t xml:space="preserve"> and leave the burden unchanged for the 83% whose current submission practice already conforms to these requirements. Collective ongoing costs for issuers amount to 59.5 hours annually, down from 61 hours under previous practices. </w:t>
      </w:r>
    </w:p>
    <w:p w:rsidRPr="00F445C5" w:rsidR="006C32BE" w:rsidP="006C32BE" w:rsidRDefault="006C32BE" w14:paraId="47BD49C2" w14:textId="77777777">
      <w:pPr>
        <w:rPr>
          <w:b/>
          <w:bCs/>
          <w:i/>
          <w:iCs/>
          <w:color w:val="000000"/>
          <w:sz w:val="24"/>
          <w:szCs w:val="24"/>
          <w:u w:val="single"/>
        </w:rPr>
      </w:pPr>
      <w:r w:rsidRPr="00F445C5">
        <w:rPr>
          <w:b/>
          <w:bCs/>
          <w:i/>
          <w:iCs/>
          <w:color w:val="000000"/>
          <w:sz w:val="24"/>
          <w:szCs w:val="24"/>
          <w:u w:val="single"/>
        </w:rPr>
        <w:t>Consumer Credit Card Agreement Quarterly Submission</w:t>
      </w:r>
    </w:p>
    <w:p w:rsidR="000354E7" w:rsidP="000354E7" w:rsidRDefault="000354E7" w14:paraId="56F353E5" w14:textId="724B9263">
      <w:pPr>
        <w:spacing w:after="200" w:line="276" w:lineRule="auto"/>
        <w:rPr>
          <w:bCs/>
          <w:iCs/>
          <w:color w:val="000000"/>
          <w:sz w:val="24"/>
          <w:szCs w:val="24"/>
        </w:rPr>
      </w:pPr>
      <w:r w:rsidRPr="00376B51">
        <w:rPr>
          <w:color w:val="000000"/>
          <w:sz w:val="24"/>
          <w:szCs w:val="24"/>
        </w:rPr>
        <w:t>The Bureau is required to collect the agreements from credit card issuers</w:t>
      </w:r>
      <w:r w:rsidR="00D94FEC">
        <w:rPr>
          <w:color w:val="000000"/>
          <w:sz w:val="24"/>
          <w:szCs w:val="24"/>
        </w:rPr>
        <w:t xml:space="preserve"> with 10,000 </w:t>
      </w:r>
      <w:r w:rsidR="00B176DB">
        <w:rPr>
          <w:color w:val="000000"/>
          <w:sz w:val="24"/>
          <w:szCs w:val="24"/>
        </w:rPr>
        <w:t xml:space="preserve">or more </w:t>
      </w:r>
      <w:r w:rsidR="00D94FEC">
        <w:rPr>
          <w:color w:val="000000"/>
          <w:sz w:val="24"/>
          <w:szCs w:val="24"/>
        </w:rPr>
        <w:t>accounts</w:t>
      </w:r>
      <w:r w:rsidRPr="00376B51">
        <w:rPr>
          <w:color w:val="000000"/>
          <w:sz w:val="24"/>
          <w:szCs w:val="24"/>
        </w:rPr>
        <w:t>; typically</w:t>
      </w:r>
      <w:r w:rsidR="005133D8">
        <w:rPr>
          <w:color w:val="000000"/>
          <w:sz w:val="24"/>
          <w:szCs w:val="24"/>
        </w:rPr>
        <w:t>,</w:t>
      </w:r>
      <w:r w:rsidRPr="00376B51">
        <w:rPr>
          <w:color w:val="000000"/>
          <w:sz w:val="24"/>
          <w:szCs w:val="24"/>
        </w:rPr>
        <w:t xml:space="preserve"> the number of respondents fluctuates around 400.  </w:t>
      </w:r>
      <w:r>
        <w:rPr>
          <w:bCs/>
          <w:iCs/>
          <w:color w:val="000000"/>
          <w:sz w:val="24"/>
          <w:szCs w:val="24"/>
        </w:rPr>
        <w:t>Requiring issuers to submit credit card agreements on a quarterly basis through Collect rather than manually through email is expected to reduce the burden of information provision for credit card issuers by 32% annually. Generally, issuers submit agreements via email, which takes approximately 15 minutes per submission. The Bureau estimates that using Collect to submit all agreements</w:t>
      </w:r>
      <w:r w:rsidR="00745A76">
        <w:rPr>
          <w:bCs/>
          <w:iCs/>
          <w:color w:val="000000"/>
          <w:sz w:val="24"/>
          <w:szCs w:val="24"/>
        </w:rPr>
        <w:t xml:space="preserve">, starting with the submissions due January 31, 2022 and into </w:t>
      </w:r>
      <w:r>
        <w:rPr>
          <w:bCs/>
          <w:iCs/>
          <w:color w:val="000000"/>
          <w:sz w:val="24"/>
          <w:szCs w:val="24"/>
        </w:rPr>
        <w:t>the future</w:t>
      </w:r>
      <w:r w:rsidR="00745A76">
        <w:rPr>
          <w:bCs/>
          <w:iCs/>
          <w:color w:val="000000"/>
          <w:sz w:val="24"/>
          <w:szCs w:val="24"/>
        </w:rPr>
        <w:t>,</w:t>
      </w:r>
      <w:r>
        <w:rPr>
          <w:bCs/>
          <w:iCs/>
          <w:color w:val="000000"/>
          <w:sz w:val="24"/>
          <w:szCs w:val="24"/>
        </w:rPr>
        <w:t xml:space="preserve"> will carry a cost of 10 minutes</w:t>
      </w:r>
      <w:r w:rsidR="00514B56">
        <w:rPr>
          <w:bCs/>
          <w:iCs/>
          <w:color w:val="000000"/>
          <w:sz w:val="24"/>
          <w:szCs w:val="24"/>
        </w:rPr>
        <w:t xml:space="preserve"> per submission</w:t>
      </w:r>
      <w:r>
        <w:rPr>
          <w:bCs/>
          <w:iCs/>
          <w:color w:val="000000"/>
          <w:sz w:val="24"/>
          <w:szCs w:val="24"/>
        </w:rPr>
        <w:t xml:space="preserve">, thus reducing the aggregate annual burden from 400 to 272 hours. </w:t>
      </w:r>
    </w:p>
    <w:p w:rsidRPr="00376B51" w:rsidR="000354E7" w:rsidP="00F445C5" w:rsidRDefault="000354E7" w14:paraId="4FE64CDC" w14:textId="744AEF6F">
      <w:pPr>
        <w:keepNext/>
        <w:widowControl/>
        <w:spacing w:after="200" w:line="276" w:lineRule="auto"/>
        <w:rPr>
          <w:rFonts w:eastAsiaTheme="minorHAnsi"/>
          <w:b/>
          <w:i/>
          <w:color w:val="000000"/>
          <w:sz w:val="24"/>
          <w:szCs w:val="24"/>
          <w:u w:val="single"/>
        </w:rPr>
      </w:pPr>
      <w:r>
        <w:rPr>
          <w:b/>
          <w:i/>
          <w:color w:val="000000"/>
          <w:sz w:val="24"/>
          <w:szCs w:val="24"/>
          <w:u w:val="single"/>
        </w:rPr>
        <w:lastRenderedPageBreak/>
        <w:t xml:space="preserve">College Card </w:t>
      </w:r>
      <w:r w:rsidR="004B21C5">
        <w:rPr>
          <w:b/>
          <w:i/>
          <w:color w:val="000000"/>
          <w:sz w:val="24"/>
          <w:szCs w:val="24"/>
          <w:u w:val="single"/>
        </w:rPr>
        <w:t xml:space="preserve">Agreement Annual Submission </w:t>
      </w:r>
    </w:p>
    <w:p w:rsidRPr="00376B51" w:rsidR="000354E7" w:rsidP="000354E7" w:rsidRDefault="000354E7" w14:paraId="511F7780" w14:textId="583BC98A">
      <w:pPr>
        <w:tabs>
          <w:tab w:val="left" w:pos="-1080"/>
          <w:tab w:val="left" w:pos="-720"/>
          <w:tab w:val="left" w:pos="0"/>
          <w:tab w:val="left" w:pos="27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376B51">
        <w:rPr>
          <w:sz w:val="24"/>
          <w:szCs w:val="24"/>
        </w:rPr>
        <w:t xml:space="preserve">The proposed annual burden </w:t>
      </w:r>
      <w:r>
        <w:rPr>
          <w:sz w:val="24"/>
          <w:szCs w:val="24"/>
        </w:rPr>
        <w:t xml:space="preserve">of these technical specifications </w:t>
      </w:r>
      <w:r w:rsidRPr="00376B51">
        <w:rPr>
          <w:sz w:val="24"/>
          <w:szCs w:val="24"/>
        </w:rPr>
        <w:t xml:space="preserve">for the </w:t>
      </w:r>
      <w:r>
        <w:rPr>
          <w:sz w:val="24"/>
          <w:szCs w:val="24"/>
        </w:rPr>
        <w:t xml:space="preserve">annual college </w:t>
      </w:r>
      <w:r w:rsidRPr="00376B51">
        <w:rPr>
          <w:sz w:val="24"/>
          <w:szCs w:val="24"/>
        </w:rPr>
        <w:t>credit card agreement</w:t>
      </w:r>
      <w:r w:rsidR="004B21C5">
        <w:rPr>
          <w:sz w:val="24"/>
          <w:szCs w:val="24"/>
        </w:rPr>
        <w:t>s and information</w:t>
      </w:r>
      <w:r w:rsidRPr="00376B51">
        <w:rPr>
          <w:sz w:val="24"/>
          <w:szCs w:val="24"/>
        </w:rPr>
        <w:t xml:space="preserve"> submission would be</w:t>
      </w:r>
      <w:r w:rsidR="006764E2">
        <w:rPr>
          <w:sz w:val="24"/>
          <w:szCs w:val="24"/>
        </w:rPr>
        <w:t xml:space="preserve"> 5 minutes fewer than </w:t>
      </w:r>
      <w:r w:rsidR="00364959">
        <w:rPr>
          <w:sz w:val="24"/>
          <w:szCs w:val="24"/>
        </w:rPr>
        <w:t xml:space="preserve">that </w:t>
      </w:r>
      <w:r w:rsidR="00514B56">
        <w:rPr>
          <w:sz w:val="24"/>
          <w:szCs w:val="24"/>
        </w:rPr>
        <w:t xml:space="preserve">under the </w:t>
      </w:r>
      <w:r w:rsidR="00364959">
        <w:rPr>
          <w:sz w:val="24"/>
          <w:szCs w:val="24"/>
        </w:rPr>
        <w:t xml:space="preserve">current submission procedures. In aggregate, ongoing costs for issuers </w:t>
      </w:r>
      <w:r w:rsidR="00514B56">
        <w:rPr>
          <w:sz w:val="24"/>
          <w:szCs w:val="24"/>
        </w:rPr>
        <w:t xml:space="preserve">would </w:t>
      </w:r>
      <w:r w:rsidR="00364959">
        <w:rPr>
          <w:sz w:val="24"/>
          <w:szCs w:val="24"/>
        </w:rPr>
        <w:t xml:space="preserve">amount to </w:t>
      </w:r>
      <w:r w:rsidR="00E25D29">
        <w:rPr>
          <w:sz w:val="24"/>
          <w:szCs w:val="24"/>
        </w:rPr>
        <w:t>37 hours, a reduction from</w:t>
      </w:r>
      <w:r w:rsidRPr="00376B51">
        <w:rPr>
          <w:sz w:val="24"/>
          <w:szCs w:val="24"/>
        </w:rPr>
        <w:t xml:space="preserve"> 40 hours. </w:t>
      </w:r>
      <w:r w:rsidR="00D20F40">
        <w:rPr>
          <w:sz w:val="24"/>
          <w:szCs w:val="24"/>
        </w:rPr>
        <w:t xml:space="preserve">This burden includes time required to </w:t>
      </w:r>
      <w:r w:rsidR="003B66A6">
        <w:rPr>
          <w:sz w:val="24"/>
          <w:szCs w:val="24"/>
        </w:rPr>
        <w:t xml:space="preserve">review accounting records and/or query necessary databases </w:t>
      </w:r>
      <w:r w:rsidR="00EF623A">
        <w:rPr>
          <w:sz w:val="24"/>
          <w:szCs w:val="24"/>
        </w:rPr>
        <w:t>in order to calculate aggregate metrics related to the submitted agreements.</w:t>
      </w:r>
      <w:r w:rsidRPr="00376B51">
        <w:rPr>
          <w:sz w:val="24"/>
          <w:szCs w:val="24"/>
        </w:rPr>
        <w:t xml:space="preserve"> </w:t>
      </w:r>
    </w:p>
    <w:p w:rsidRPr="00376B51" w:rsidR="005C7352" w:rsidP="005C7352" w:rsidRDefault="005C7352" w14:paraId="2598AC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sz w:val="24"/>
          <w:szCs w:val="24"/>
        </w:rPr>
      </w:pPr>
    </w:p>
    <w:p w:rsidRPr="00983DCE" w:rsidR="00BC5C20" w:rsidP="00BC5C20" w:rsidRDefault="00BC5C20" w14:paraId="7FE2DB09" w14:textId="07822B72">
      <w:pPr>
        <w:pStyle w:val="CM12"/>
        <w:spacing w:line="276" w:lineRule="atLeast"/>
      </w:pPr>
      <w:r w:rsidRPr="00983DCE">
        <w:rPr>
          <w:b/>
          <w:bCs/>
        </w:rPr>
        <w:t>13.</w:t>
      </w:r>
      <w:r w:rsidRPr="00983DCE" w:rsidR="00C474DC">
        <w:rPr>
          <w:b/>
          <w:bCs/>
        </w:rPr>
        <w:t xml:space="preserve"> </w:t>
      </w:r>
      <w:r w:rsidRPr="00983DCE">
        <w:rPr>
          <w:b/>
          <w:bCs/>
          <w:u w:val="single"/>
        </w:rPr>
        <w:t xml:space="preserve">Estimated Total Annual Cost Burden to Respondents or Recordkeepers </w:t>
      </w:r>
    </w:p>
    <w:p w:rsidRPr="00983DCE" w:rsidR="00CE364E" w:rsidP="00CE364E" w:rsidRDefault="00CE364E" w14:paraId="3CF9E374" w14:textId="77777777">
      <w:pPr>
        <w:rPr>
          <w:sz w:val="24"/>
          <w:szCs w:val="24"/>
        </w:rPr>
      </w:pPr>
    </w:p>
    <w:p w:rsidRPr="00983DCE" w:rsidR="005B4F40" w:rsidP="001A0B68" w:rsidRDefault="00C34410" w14:paraId="5997A44B" w14:textId="3D49497D">
      <w:pPr>
        <w:rPr>
          <w:sz w:val="24"/>
          <w:szCs w:val="24"/>
        </w:rPr>
      </w:pPr>
      <w:r>
        <w:rPr>
          <w:sz w:val="24"/>
          <w:szCs w:val="24"/>
        </w:rPr>
        <w:t>Because</w:t>
      </w:r>
      <w:r w:rsidRPr="6B7F0614">
        <w:rPr>
          <w:sz w:val="24"/>
          <w:szCs w:val="24"/>
        </w:rPr>
        <w:t xml:space="preserve"> </w:t>
      </w:r>
      <w:r>
        <w:rPr>
          <w:sz w:val="24"/>
          <w:szCs w:val="24"/>
        </w:rPr>
        <w:t>r</w:t>
      </w:r>
      <w:r w:rsidRPr="6B7F0614" w:rsidR="006D6E5A">
        <w:rPr>
          <w:sz w:val="24"/>
          <w:szCs w:val="24"/>
        </w:rPr>
        <w:t xml:space="preserve">eporting </w:t>
      </w:r>
      <w:r w:rsidRPr="6B7F0614" w:rsidR="00C15105">
        <w:rPr>
          <w:sz w:val="24"/>
          <w:szCs w:val="24"/>
        </w:rPr>
        <w:t>requirements within</w:t>
      </w:r>
      <w:r w:rsidRPr="6B7F0614" w:rsidR="0012667E">
        <w:rPr>
          <w:sz w:val="24"/>
          <w:szCs w:val="24"/>
        </w:rPr>
        <w:t xml:space="preserve"> this form impose no significant additional </w:t>
      </w:r>
      <w:r w:rsidRPr="6B7F0614" w:rsidR="00127DB0">
        <w:rPr>
          <w:sz w:val="24"/>
          <w:szCs w:val="24"/>
        </w:rPr>
        <w:t>material</w:t>
      </w:r>
      <w:r w:rsidRPr="6B7F0614" w:rsidR="00634158">
        <w:rPr>
          <w:sz w:val="24"/>
          <w:szCs w:val="24"/>
        </w:rPr>
        <w:t xml:space="preserve"> or equipment </w:t>
      </w:r>
      <w:r w:rsidRPr="6B7F0614" w:rsidR="0012667E">
        <w:rPr>
          <w:sz w:val="24"/>
          <w:szCs w:val="24"/>
        </w:rPr>
        <w:t>costs on them</w:t>
      </w:r>
      <w:r w:rsidRPr="6B7F0614" w:rsidR="00C15105">
        <w:rPr>
          <w:sz w:val="24"/>
          <w:szCs w:val="24"/>
        </w:rPr>
        <w:t xml:space="preserve"> because these data are already collected by the respondents in their ordinary course of business.</w:t>
      </w:r>
    </w:p>
    <w:p w:rsidRPr="00983DCE" w:rsidR="006F2703" w:rsidP="00BC5C20" w:rsidRDefault="006F2703" w14:paraId="2986B234" w14:textId="77777777">
      <w:pPr>
        <w:pStyle w:val="CM12"/>
        <w:spacing w:line="276" w:lineRule="atLeast"/>
        <w:rPr>
          <w:b/>
          <w:bCs/>
        </w:rPr>
      </w:pPr>
    </w:p>
    <w:p w:rsidRPr="00983DCE" w:rsidR="00BC5C20" w:rsidP="00BC5C20" w:rsidRDefault="00BC5C20" w14:paraId="2F6F5061" w14:textId="73EB6FC6">
      <w:pPr>
        <w:pStyle w:val="CM12"/>
        <w:spacing w:line="276" w:lineRule="atLeast"/>
      </w:pPr>
      <w:r w:rsidRPr="00983DCE">
        <w:rPr>
          <w:b/>
          <w:bCs/>
        </w:rPr>
        <w:t>14.</w:t>
      </w:r>
      <w:r w:rsidRPr="00983DCE" w:rsidR="00C474DC">
        <w:rPr>
          <w:b/>
          <w:bCs/>
        </w:rPr>
        <w:t xml:space="preserve"> </w:t>
      </w:r>
      <w:r w:rsidRPr="00983DCE">
        <w:rPr>
          <w:b/>
          <w:bCs/>
          <w:u w:val="single"/>
        </w:rPr>
        <w:t>Estimated Cost to the Federal Government</w:t>
      </w:r>
    </w:p>
    <w:p w:rsidRPr="00983DCE" w:rsidR="00CE364E" w:rsidP="00CE364E" w:rsidRDefault="00CE364E" w14:paraId="5C6B6AC2" w14:textId="77777777">
      <w:pPr>
        <w:rPr>
          <w:sz w:val="24"/>
          <w:szCs w:val="24"/>
        </w:rPr>
      </w:pPr>
    </w:p>
    <w:p w:rsidRPr="00983DCE" w:rsidR="005B4F40" w:rsidP="001A0B68" w:rsidRDefault="00150A99" w14:paraId="1FEB864B" w14:textId="7FB989E0">
      <w:pPr>
        <w:rPr>
          <w:color w:val="000000"/>
          <w:sz w:val="24"/>
          <w:szCs w:val="24"/>
        </w:rPr>
      </w:pPr>
      <w:r w:rsidRPr="00983DCE">
        <w:rPr>
          <w:color w:val="000000"/>
          <w:sz w:val="24"/>
          <w:szCs w:val="24"/>
        </w:rPr>
        <w:t xml:space="preserve">None. The </w:t>
      </w:r>
      <w:r w:rsidRPr="00983DCE" w:rsidR="004946F4">
        <w:rPr>
          <w:color w:val="000000"/>
          <w:sz w:val="24"/>
          <w:szCs w:val="24"/>
        </w:rPr>
        <w:t>Bureau</w:t>
      </w:r>
      <w:r w:rsidRPr="00983DCE">
        <w:rPr>
          <w:color w:val="000000"/>
          <w:sz w:val="24"/>
          <w:szCs w:val="24"/>
        </w:rPr>
        <w:t xml:space="preserve"> incurs no unique costs as a result of this data collection.</w:t>
      </w:r>
    </w:p>
    <w:p w:rsidRPr="00983DCE" w:rsidR="006F2703" w:rsidP="00BC5C20" w:rsidRDefault="006F2703" w14:paraId="298BC1B7" w14:textId="77777777">
      <w:pPr>
        <w:pStyle w:val="Default"/>
        <w:rPr>
          <w:b/>
          <w:bCs/>
        </w:rPr>
      </w:pPr>
    </w:p>
    <w:p w:rsidRPr="00983DCE" w:rsidR="00BC5C20" w:rsidP="000563D2" w:rsidRDefault="00BC5C20" w14:paraId="7193547B" w14:textId="741E5626">
      <w:pPr>
        <w:pStyle w:val="Default"/>
        <w:keepNext/>
        <w:rPr>
          <w:b/>
          <w:bCs/>
          <w:u w:val="single"/>
        </w:rPr>
      </w:pPr>
      <w:r w:rsidRPr="00983DCE">
        <w:rPr>
          <w:b/>
          <w:bCs/>
        </w:rPr>
        <w:t>15.</w:t>
      </w:r>
      <w:r w:rsidRPr="00983DCE" w:rsidR="00C474DC">
        <w:rPr>
          <w:b/>
          <w:bCs/>
        </w:rPr>
        <w:t xml:space="preserve"> </w:t>
      </w:r>
      <w:r w:rsidRPr="00983DCE">
        <w:rPr>
          <w:b/>
          <w:bCs/>
          <w:u w:val="single"/>
        </w:rPr>
        <w:t>Program Changes or Adjustments</w:t>
      </w:r>
    </w:p>
    <w:p w:rsidRPr="00983DCE" w:rsidR="00CE364E" w:rsidP="00CE364E" w:rsidRDefault="00CE364E" w14:paraId="3C1CEC11" w14:textId="77777777">
      <w:pPr>
        <w:rPr>
          <w:b/>
          <w:bCs/>
          <w:color w:val="000000"/>
          <w:sz w:val="24"/>
          <w:szCs w:val="24"/>
          <w:u w:val="single"/>
        </w:rPr>
      </w:pPr>
    </w:p>
    <w:tbl>
      <w:tblPr>
        <w:tblStyle w:val="TableGrid"/>
        <w:tblW w:w="9360" w:type="dxa"/>
        <w:tblInd w:w="-5" w:type="dxa"/>
        <w:tblLayout w:type="fixed"/>
        <w:tblLook w:val="04A0" w:firstRow="1" w:lastRow="0" w:firstColumn="1" w:lastColumn="0" w:noHBand="0" w:noVBand="1"/>
      </w:tblPr>
      <w:tblGrid>
        <w:gridCol w:w="2273"/>
        <w:gridCol w:w="1800"/>
        <w:gridCol w:w="1417"/>
        <w:gridCol w:w="1710"/>
        <w:gridCol w:w="2160"/>
      </w:tblGrid>
      <w:tr w:rsidRPr="00983DCE" w:rsidR="000563D2" w:rsidTr="6B7F0614" w14:paraId="5D9D09AB" w14:textId="77777777">
        <w:tc>
          <w:tcPr>
            <w:tcW w:w="2273" w:type="dxa"/>
            <w:vAlign w:val="center"/>
          </w:tcPr>
          <w:p w:rsidRPr="00983DCE" w:rsidR="000563D2" w:rsidP="003E065E" w:rsidRDefault="000563D2" w14:paraId="3E6AA096" w14:textId="77777777">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tc>
        <w:tc>
          <w:tcPr>
            <w:tcW w:w="1800" w:type="dxa"/>
            <w:vAlign w:val="center"/>
          </w:tcPr>
          <w:p w:rsidRPr="00983DCE" w:rsidR="000563D2" w:rsidP="008E4117" w:rsidRDefault="000563D2" w14:paraId="1B9F7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 w:val="24"/>
                <w:szCs w:val="24"/>
              </w:rPr>
            </w:pPr>
            <w:r w:rsidRPr="00983DCE">
              <w:rPr>
                <w:b/>
                <w:color w:val="000000" w:themeColor="text1"/>
                <w:sz w:val="24"/>
                <w:szCs w:val="24"/>
              </w:rPr>
              <w:t>Total Respondents</w:t>
            </w:r>
          </w:p>
        </w:tc>
        <w:tc>
          <w:tcPr>
            <w:tcW w:w="1417" w:type="dxa"/>
            <w:vAlign w:val="center"/>
          </w:tcPr>
          <w:p w:rsidRPr="00983DCE" w:rsidR="000563D2" w:rsidP="008E4117" w:rsidRDefault="000563D2" w14:paraId="504446C8" w14:textId="70AA67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 w:val="24"/>
                <w:szCs w:val="24"/>
              </w:rPr>
            </w:pPr>
            <w:r w:rsidRPr="00983DCE">
              <w:rPr>
                <w:b/>
                <w:color w:val="000000" w:themeColor="text1"/>
                <w:sz w:val="24"/>
                <w:szCs w:val="24"/>
              </w:rPr>
              <w:t>Annual Responses</w:t>
            </w:r>
          </w:p>
        </w:tc>
        <w:tc>
          <w:tcPr>
            <w:tcW w:w="1710" w:type="dxa"/>
            <w:vAlign w:val="center"/>
          </w:tcPr>
          <w:p w:rsidRPr="00983DCE" w:rsidR="000563D2" w:rsidP="008E4117" w:rsidRDefault="000563D2" w14:paraId="665C4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 w:val="24"/>
                <w:szCs w:val="24"/>
              </w:rPr>
            </w:pPr>
            <w:r w:rsidRPr="00983DCE">
              <w:rPr>
                <w:b/>
                <w:color w:val="000000" w:themeColor="text1"/>
                <w:sz w:val="24"/>
                <w:szCs w:val="24"/>
              </w:rPr>
              <w:t>Burden Hours</w:t>
            </w:r>
          </w:p>
        </w:tc>
        <w:tc>
          <w:tcPr>
            <w:tcW w:w="2160" w:type="dxa"/>
            <w:vAlign w:val="center"/>
          </w:tcPr>
          <w:p w:rsidRPr="00983DCE" w:rsidR="000563D2" w:rsidP="008E4117" w:rsidRDefault="000563D2" w14:paraId="7D5C6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00983DCE">
              <w:rPr>
                <w:b/>
                <w:color w:val="000000" w:themeColor="text1"/>
                <w:sz w:val="24"/>
                <w:szCs w:val="24"/>
              </w:rPr>
              <w:t>Cost Burden (O &amp; M)</w:t>
            </w:r>
          </w:p>
        </w:tc>
      </w:tr>
      <w:tr w:rsidRPr="00983DCE" w:rsidR="000563D2" w:rsidTr="6B7F0614" w14:paraId="68947A7A" w14:textId="77777777">
        <w:tc>
          <w:tcPr>
            <w:tcW w:w="2273" w:type="dxa"/>
            <w:vAlign w:val="center"/>
          </w:tcPr>
          <w:p w:rsidRPr="00983DCE" w:rsidR="000563D2" w:rsidP="003E065E" w:rsidRDefault="000563D2" w14:paraId="6C88D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Total Annual Burden Requested</w:t>
            </w:r>
          </w:p>
        </w:tc>
        <w:tc>
          <w:tcPr>
            <w:tcW w:w="1800" w:type="dxa"/>
            <w:vAlign w:val="center"/>
          </w:tcPr>
          <w:p w:rsidRPr="00983DCE" w:rsidR="000563D2" w:rsidP="00CF7F02" w:rsidRDefault="2046043B" w14:paraId="59798258" w14:textId="61ED423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right"/>
              <w:rPr>
                <w:sz w:val="24"/>
                <w:szCs w:val="24"/>
              </w:rPr>
            </w:pPr>
            <w:r w:rsidRPr="00363F8C">
              <w:rPr>
                <w:color w:val="000000" w:themeColor="text1"/>
                <w:sz w:val="24"/>
                <w:szCs w:val="24"/>
              </w:rPr>
              <w:t>615</w:t>
            </w:r>
          </w:p>
        </w:tc>
        <w:tc>
          <w:tcPr>
            <w:tcW w:w="1417" w:type="dxa"/>
            <w:vAlign w:val="center"/>
          </w:tcPr>
          <w:p w:rsidRPr="00983DCE" w:rsidR="000563D2" w:rsidP="6B7F0614" w:rsidRDefault="08E07130" w14:paraId="258A3F50" w14:textId="66114EC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6B7F0614">
              <w:rPr>
                <w:color w:val="000000" w:themeColor="text1"/>
                <w:sz w:val="24"/>
                <w:szCs w:val="24"/>
              </w:rPr>
              <w:t>1,990</w:t>
            </w:r>
          </w:p>
        </w:tc>
        <w:tc>
          <w:tcPr>
            <w:tcW w:w="1710" w:type="dxa"/>
            <w:vAlign w:val="center"/>
          </w:tcPr>
          <w:p w:rsidRPr="00983DCE" w:rsidR="000563D2" w:rsidP="6B7F0614" w:rsidRDefault="00363F8C" w14:paraId="43ABB5A1" w14:textId="3BD431B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Pr>
                <w:color w:val="000000" w:themeColor="text1"/>
                <w:sz w:val="24"/>
                <w:szCs w:val="24"/>
              </w:rPr>
              <w:t>36</w:t>
            </w:r>
            <w:r w:rsidR="007616DD">
              <w:rPr>
                <w:color w:val="000000" w:themeColor="text1"/>
                <w:sz w:val="24"/>
                <w:szCs w:val="24"/>
              </w:rPr>
              <w:t>2</w:t>
            </w:r>
          </w:p>
        </w:tc>
        <w:tc>
          <w:tcPr>
            <w:tcW w:w="2160" w:type="dxa"/>
            <w:vAlign w:val="center"/>
          </w:tcPr>
          <w:p w:rsidRPr="00983DCE" w:rsidR="000563D2" w:rsidP="008E4117" w:rsidRDefault="00BD4171" w14:paraId="2D63CBF6" w14:textId="67BF0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00983DCE">
              <w:rPr>
                <w:color w:val="000000" w:themeColor="text1"/>
                <w:sz w:val="24"/>
                <w:szCs w:val="24"/>
              </w:rPr>
              <w:t>$0</w:t>
            </w:r>
          </w:p>
        </w:tc>
      </w:tr>
      <w:tr w:rsidRPr="00983DCE" w:rsidR="00DF173C" w:rsidTr="6B7F0614" w14:paraId="0F85833B" w14:textId="77777777">
        <w:tc>
          <w:tcPr>
            <w:tcW w:w="2273" w:type="dxa"/>
            <w:vAlign w:val="center"/>
          </w:tcPr>
          <w:p w:rsidRPr="00983DCE" w:rsidR="00DF173C" w:rsidP="00DF173C" w:rsidRDefault="00DF173C" w14:paraId="232B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Current OMB Inventory</w:t>
            </w:r>
          </w:p>
        </w:tc>
        <w:tc>
          <w:tcPr>
            <w:tcW w:w="1800" w:type="dxa"/>
            <w:vAlign w:val="center"/>
          </w:tcPr>
          <w:p w:rsidRPr="00983DCE" w:rsidR="00DF173C" w:rsidP="00DF173C" w:rsidRDefault="00DF173C" w14:paraId="55E31141" w14:textId="292941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00983DCE">
              <w:rPr>
                <w:color w:val="000000" w:themeColor="text1"/>
                <w:sz w:val="24"/>
                <w:szCs w:val="24"/>
              </w:rPr>
              <w:t>175</w:t>
            </w:r>
          </w:p>
        </w:tc>
        <w:tc>
          <w:tcPr>
            <w:tcW w:w="1417" w:type="dxa"/>
            <w:vAlign w:val="center"/>
          </w:tcPr>
          <w:p w:rsidRPr="00983DCE" w:rsidR="00DF173C" w:rsidP="00DF173C" w:rsidRDefault="00DF173C" w14:paraId="0319CE32" w14:textId="22F7DC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00983DCE">
              <w:rPr>
                <w:color w:val="000000" w:themeColor="text1"/>
                <w:sz w:val="24"/>
                <w:szCs w:val="24"/>
              </w:rPr>
              <w:t>490</w:t>
            </w:r>
          </w:p>
        </w:tc>
        <w:tc>
          <w:tcPr>
            <w:tcW w:w="1710" w:type="dxa"/>
            <w:vAlign w:val="center"/>
          </w:tcPr>
          <w:p w:rsidRPr="00983DCE" w:rsidR="00DF173C" w:rsidP="00DF173C" w:rsidRDefault="00DF173C" w14:paraId="10081701" w14:textId="5B25DB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00983DCE">
              <w:rPr>
                <w:color w:val="000000" w:themeColor="text1"/>
                <w:sz w:val="24"/>
                <w:szCs w:val="24"/>
              </w:rPr>
              <w:t>63</w:t>
            </w:r>
          </w:p>
        </w:tc>
        <w:tc>
          <w:tcPr>
            <w:tcW w:w="2160" w:type="dxa"/>
            <w:vAlign w:val="center"/>
          </w:tcPr>
          <w:p w:rsidRPr="00983DCE" w:rsidR="00DF173C" w:rsidP="00DF173C" w:rsidRDefault="00DF173C" w14:paraId="216735BE" w14:textId="168AAD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00983DCE">
              <w:rPr>
                <w:color w:val="000000" w:themeColor="text1"/>
                <w:sz w:val="24"/>
                <w:szCs w:val="24"/>
              </w:rPr>
              <w:t>$0</w:t>
            </w:r>
          </w:p>
        </w:tc>
      </w:tr>
      <w:tr w:rsidRPr="00983DCE" w:rsidR="000563D2" w:rsidTr="6B7F0614" w14:paraId="69D46689" w14:textId="77777777">
        <w:tc>
          <w:tcPr>
            <w:tcW w:w="2273" w:type="dxa"/>
            <w:tcBorders>
              <w:bottom w:val="single" w:color="auto" w:sz="4" w:space="0"/>
            </w:tcBorders>
            <w:vAlign w:val="center"/>
          </w:tcPr>
          <w:p w:rsidRPr="00983DCE" w:rsidR="000563D2" w:rsidP="003E065E" w:rsidRDefault="000563D2" w14:paraId="100833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Difference (+/-)</w:t>
            </w:r>
          </w:p>
        </w:tc>
        <w:tc>
          <w:tcPr>
            <w:tcW w:w="1800" w:type="dxa"/>
            <w:tcBorders>
              <w:bottom w:val="single" w:color="auto" w:sz="4" w:space="0"/>
            </w:tcBorders>
            <w:vAlign w:val="center"/>
          </w:tcPr>
          <w:p w:rsidRPr="00983DCE" w:rsidR="000563D2" w:rsidP="005D449A" w:rsidRDefault="385E7CEF" w14:paraId="25B2FAAB" w14:textId="70E3E35C">
            <w:pPr>
              <w:jc w:val="right"/>
              <w:rPr>
                <w:color w:val="000000"/>
                <w:sz w:val="24"/>
                <w:szCs w:val="24"/>
              </w:rPr>
            </w:pPr>
            <w:r w:rsidRPr="6B7F0614">
              <w:rPr>
                <w:color w:val="000000" w:themeColor="text1"/>
                <w:sz w:val="24"/>
                <w:szCs w:val="24"/>
              </w:rPr>
              <w:t>+</w:t>
            </w:r>
            <w:r w:rsidRPr="6B7F0614" w:rsidR="339F749D">
              <w:rPr>
                <w:color w:val="000000" w:themeColor="text1"/>
                <w:sz w:val="24"/>
                <w:szCs w:val="24"/>
              </w:rPr>
              <w:t>440</w:t>
            </w:r>
          </w:p>
        </w:tc>
        <w:tc>
          <w:tcPr>
            <w:tcW w:w="1417" w:type="dxa"/>
            <w:tcBorders>
              <w:bottom w:val="single" w:color="auto" w:sz="4" w:space="0"/>
            </w:tcBorders>
            <w:vAlign w:val="center"/>
          </w:tcPr>
          <w:p w:rsidRPr="00983DCE" w:rsidR="000563D2" w:rsidP="00C6590B" w:rsidRDefault="1B39C56C" w14:paraId="5E4739E7" w14:textId="5E76DD76">
            <w:pPr>
              <w:jc w:val="right"/>
              <w:rPr>
                <w:color w:val="000000"/>
                <w:sz w:val="24"/>
                <w:szCs w:val="24"/>
              </w:rPr>
            </w:pPr>
            <w:r w:rsidRPr="6B7F0614">
              <w:rPr>
                <w:color w:val="000000" w:themeColor="text1"/>
                <w:sz w:val="24"/>
                <w:szCs w:val="24"/>
              </w:rPr>
              <w:t>+</w:t>
            </w:r>
            <w:r w:rsidRPr="6B7F0614" w:rsidR="67FDF992">
              <w:rPr>
                <w:color w:val="000000" w:themeColor="text1"/>
                <w:sz w:val="24"/>
                <w:szCs w:val="24"/>
              </w:rPr>
              <w:t>1500</w:t>
            </w:r>
          </w:p>
        </w:tc>
        <w:tc>
          <w:tcPr>
            <w:tcW w:w="1710" w:type="dxa"/>
            <w:tcBorders>
              <w:bottom w:val="single" w:color="auto" w:sz="4" w:space="0"/>
            </w:tcBorders>
            <w:vAlign w:val="center"/>
          </w:tcPr>
          <w:p w:rsidRPr="00983DCE" w:rsidR="000563D2" w:rsidP="6B7F0614" w:rsidRDefault="21A05BD0" w14:paraId="6D852D34" w14:textId="568374E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6B7F0614">
              <w:rPr>
                <w:color w:val="000000" w:themeColor="text1"/>
                <w:sz w:val="24"/>
                <w:szCs w:val="24"/>
              </w:rPr>
              <w:t>+</w:t>
            </w:r>
            <w:r w:rsidR="007616DD">
              <w:rPr>
                <w:color w:val="000000" w:themeColor="text1"/>
                <w:sz w:val="24"/>
                <w:szCs w:val="24"/>
              </w:rPr>
              <w:t>299</w:t>
            </w:r>
          </w:p>
        </w:tc>
        <w:tc>
          <w:tcPr>
            <w:tcW w:w="2160" w:type="dxa"/>
            <w:tcBorders>
              <w:bottom w:val="single" w:color="auto" w:sz="4" w:space="0"/>
            </w:tcBorders>
            <w:vAlign w:val="center"/>
          </w:tcPr>
          <w:p w:rsidRPr="00983DCE" w:rsidR="000563D2" w:rsidP="008E4117" w:rsidRDefault="000563D2" w14:paraId="29241F60" w14:textId="4F22DC70">
            <w:pPr>
              <w:jc w:val="right"/>
              <w:rPr>
                <w:color w:val="000000" w:themeColor="text1"/>
                <w:sz w:val="24"/>
                <w:szCs w:val="24"/>
              </w:rPr>
            </w:pPr>
          </w:p>
        </w:tc>
      </w:tr>
      <w:tr w:rsidRPr="00983DCE" w:rsidR="000563D2" w:rsidTr="6B7F0614" w14:paraId="4C31DD17" w14:textId="77777777">
        <w:tc>
          <w:tcPr>
            <w:tcW w:w="2273" w:type="dxa"/>
            <w:tcBorders>
              <w:bottom w:val="single" w:color="auto" w:sz="4" w:space="0"/>
            </w:tcBorders>
            <w:shd w:val="clear" w:color="auto" w:fill="auto"/>
            <w:vAlign w:val="center"/>
          </w:tcPr>
          <w:p w:rsidRPr="00983DCE" w:rsidR="000563D2" w:rsidP="003E065E" w:rsidRDefault="000563D2" w14:paraId="146E8C9C" w14:textId="34261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Program Change</w:t>
            </w:r>
          </w:p>
        </w:tc>
        <w:tc>
          <w:tcPr>
            <w:tcW w:w="1800" w:type="dxa"/>
            <w:tcBorders>
              <w:bottom w:val="single" w:color="auto" w:sz="4" w:space="0"/>
            </w:tcBorders>
            <w:shd w:val="clear" w:color="auto" w:fill="auto"/>
            <w:vAlign w:val="center"/>
          </w:tcPr>
          <w:p w:rsidRPr="00983DCE" w:rsidR="000563D2" w:rsidP="008E4117" w:rsidRDefault="000563D2" w14:paraId="7014F3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417" w:type="dxa"/>
            <w:tcBorders>
              <w:bottom w:val="single" w:color="auto" w:sz="4" w:space="0"/>
            </w:tcBorders>
            <w:shd w:val="clear" w:color="auto" w:fill="auto"/>
            <w:vAlign w:val="center"/>
          </w:tcPr>
          <w:p w:rsidRPr="00983DCE" w:rsidR="000563D2" w:rsidP="008E4117" w:rsidRDefault="000563D2" w14:paraId="6EC66E0B" w14:textId="172E4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710" w:type="dxa"/>
            <w:tcBorders>
              <w:bottom w:val="single" w:color="auto" w:sz="4" w:space="0"/>
            </w:tcBorders>
            <w:shd w:val="clear" w:color="auto" w:fill="auto"/>
            <w:vAlign w:val="center"/>
          </w:tcPr>
          <w:p w:rsidRPr="00983DCE" w:rsidR="000563D2" w:rsidP="008E4117" w:rsidRDefault="000563D2" w14:paraId="4D78881E" w14:textId="5090B2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2160" w:type="dxa"/>
            <w:tcBorders>
              <w:bottom w:val="single" w:color="auto" w:sz="4" w:space="0"/>
            </w:tcBorders>
            <w:shd w:val="clear" w:color="auto" w:fill="auto"/>
            <w:vAlign w:val="center"/>
          </w:tcPr>
          <w:p w:rsidRPr="00983DCE" w:rsidR="000563D2" w:rsidP="008E4117" w:rsidRDefault="000563D2" w14:paraId="240AC4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r>
      <w:tr w:rsidRPr="00983DCE" w:rsidR="000563D2" w:rsidTr="6B7F0614" w14:paraId="2F3A3A9C" w14:textId="77777777">
        <w:tc>
          <w:tcPr>
            <w:tcW w:w="2273" w:type="dxa"/>
            <w:shd w:val="clear" w:color="auto" w:fill="auto"/>
            <w:vAlign w:val="center"/>
          </w:tcPr>
          <w:p w:rsidRPr="00983DCE" w:rsidR="000563D2" w:rsidP="003E065E" w:rsidRDefault="000563D2" w14:paraId="2FFB9426" w14:textId="3408EA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Discretionary</w:t>
            </w:r>
          </w:p>
        </w:tc>
        <w:tc>
          <w:tcPr>
            <w:tcW w:w="1800" w:type="dxa"/>
            <w:shd w:val="clear" w:color="auto" w:fill="auto"/>
            <w:vAlign w:val="center"/>
          </w:tcPr>
          <w:p w:rsidRPr="00983DCE" w:rsidR="000563D2" w:rsidP="008E4117" w:rsidRDefault="000563D2" w14:paraId="616F3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417" w:type="dxa"/>
            <w:shd w:val="clear" w:color="auto" w:fill="auto"/>
            <w:vAlign w:val="center"/>
          </w:tcPr>
          <w:p w:rsidRPr="00983DCE" w:rsidR="000563D2" w:rsidP="008E4117" w:rsidRDefault="000563D2" w14:paraId="01F6D0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710" w:type="dxa"/>
            <w:shd w:val="clear" w:color="auto" w:fill="auto"/>
            <w:vAlign w:val="center"/>
          </w:tcPr>
          <w:p w:rsidRPr="00983DCE" w:rsidR="000563D2" w:rsidP="008E4117" w:rsidRDefault="000563D2" w14:paraId="74AFD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2160" w:type="dxa"/>
            <w:shd w:val="clear" w:color="auto" w:fill="auto"/>
            <w:vAlign w:val="center"/>
          </w:tcPr>
          <w:p w:rsidRPr="00983DCE" w:rsidR="000563D2" w:rsidP="008E4117" w:rsidRDefault="000563D2" w14:paraId="18347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r>
      <w:tr w:rsidRPr="00983DCE" w:rsidR="000563D2" w:rsidTr="6B7F0614" w14:paraId="1022566E" w14:textId="77777777">
        <w:tc>
          <w:tcPr>
            <w:tcW w:w="2273" w:type="dxa"/>
            <w:shd w:val="clear" w:color="auto" w:fill="auto"/>
            <w:vAlign w:val="center"/>
          </w:tcPr>
          <w:p w:rsidRPr="00983DCE" w:rsidR="000563D2" w:rsidP="003E065E" w:rsidRDefault="000563D2" w14:paraId="67E73043" w14:textId="5507AC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New Statute</w:t>
            </w:r>
          </w:p>
        </w:tc>
        <w:tc>
          <w:tcPr>
            <w:tcW w:w="1800" w:type="dxa"/>
            <w:shd w:val="clear" w:color="auto" w:fill="auto"/>
            <w:vAlign w:val="center"/>
          </w:tcPr>
          <w:p w:rsidRPr="00983DCE" w:rsidR="000563D2" w:rsidP="008E4117" w:rsidRDefault="000563D2" w14:paraId="2B3360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417" w:type="dxa"/>
            <w:shd w:val="clear" w:color="auto" w:fill="auto"/>
            <w:vAlign w:val="center"/>
          </w:tcPr>
          <w:p w:rsidRPr="00983DCE" w:rsidR="000563D2" w:rsidP="008E4117" w:rsidRDefault="000563D2" w14:paraId="6CF76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710" w:type="dxa"/>
            <w:shd w:val="clear" w:color="auto" w:fill="auto"/>
            <w:vAlign w:val="center"/>
          </w:tcPr>
          <w:p w:rsidRPr="00983DCE" w:rsidR="000563D2" w:rsidP="008E4117" w:rsidRDefault="000563D2" w14:paraId="6A0EF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2160" w:type="dxa"/>
            <w:shd w:val="clear" w:color="auto" w:fill="auto"/>
            <w:vAlign w:val="center"/>
          </w:tcPr>
          <w:p w:rsidRPr="00983DCE" w:rsidR="000563D2" w:rsidP="008E4117" w:rsidRDefault="000563D2" w14:paraId="5AF550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r>
      <w:tr w:rsidRPr="00983DCE" w:rsidR="000563D2" w:rsidTr="6B7F0614" w14:paraId="15EF817E" w14:textId="77777777">
        <w:tc>
          <w:tcPr>
            <w:tcW w:w="2273" w:type="dxa"/>
            <w:shd w:val="clear" w:color="auto" w:fill="auto"/>
            <w:vAlign w:val="center"/>
          </w:tcPr>
          <w:p w:rsidRPr="00983DCE" w:rsidR="000563D2" w:rsidP="003E065E" w:rsidRDefault="000563D2" w14:paraId="105A60B4" w14:textId="22847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Violation</w:t>
            </w:r>
          </w:p>
        </w:tc>
        <w:tc>
          <w:tcPr>
            <w:tcW w:w="1800" w:type="dxa"/>
            <w:shd w:val="clear" w:color="auto" w:fill="auto"/>
            <w:vAlign w:val="center"/>
          </w:tcPr>
          <w:p w:rsidRPr="00983DCE" w:rsidR="000563D2" w:rsidP="008E4117" w:rsidRDefault="000563D2" w14:paraId="763C89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417" w:type="dxa"/>
            <w:shd w:val="clear" w:color="auto" w:fill="auto"/>
            <w:vAlign w:val="center"/>
          </w:tcPr>
          <w:p w:rsidRPr="00983DCE" w:rsidR="000563D2" w:rsidP="008E4117" w:rsidRDefault="000563D2" w14:paraId="0B6DD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1710" w:type="dxa"/>
            <w:shd w:val="clear" w:color="auto" w:fill="auto"/>
            <w:vAlign w:val="center"/>
          </w:tcPr>
          <w:p w:rsidRPr="00983DCE" w:rsidR="000563D2" w:rsidP="008E4117" w:rsidRDefault="000563D2" w14:paraId="10139C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c>
          <w:tcPr>
            <w:tcW w:w="2160" w:type="dxa"/>
            <w:shd w:val="clear" w:color="auto" w:fill="auto"/>
            <w:vAlign w:val="center"/>
          </w:tcPr>
          <w:p w:rsidRPr="00983DCE" w:rsidR="000563D2" w:rsidP="008E4117" w:rsidRDefault="000563D2" w14:paraId="5B639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p>
        </w:tc>
      </w:tr>
      <w:tr w:rsidRPr="00983DCE" w:rsidR="008D28C4" w:rsidTr="6B7F0614" w14:paraId="6D7C2E2E" w14:textId="77777777">
        <w:tc>
          <w:tcPr>
            <w:tcW w:w="2273" w:type="dxa"/>
            <w:shd w:val="clear" w:color="auto" w:fill="auto"/>
            <w:vAlign w:val="center"/>
          </w:tcPr>
          <w:p w:rsidRPr="00983DCE" w:rsidR="008D28C4" w:rsidP="008D28C4" w:rsidRDefault="008D28C4" w14:paraId="20476E21" w14:textId="53D86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83DCE">
              <w:rPr>
                <w:color w:val="000000" w:themeColor="text1"/>
                <w:sz w:val="24"/>
                <w:szCs w:val="24"/>
              </w:rPr>
              <w:t>Adjustment</w:t>
            </w:r>
          </w:p>
        </w:tc>
        <w:tc>
          <w:tcPr>
            <w:tcW w:w="1800" w:type="dxa"/>
            <w:shd w:val="clear" w:color="auto" w:fill="auto"/>
            <w:vAlign w:val="center"/>
          </w:tcPr>
          <w:p w:rsidRPr="00983DCE" w:rsidR="008D28C4" w:rsidP="008D28C4" w:rsidRDefault="008D28C4" w14:paraId="6F58BA08" w14:textId="4FCBBD51">
            <w:pPr>
              <w:jc w:val="right"/>
              <w:rPr>
                <w:color w:val="000000"/>
                <w:sz w:val="24"/>
                <w:szCs w:val="24"/>
              </w:rPr>
            </w:pPr>
            <w:r w:rsidRPr="6B7F0614">
              <w:rPr>
                <w:color w:val="000000" w:themeColor="text1"/>
                <w:sz w:val="24"/>
                <w:szCs w:val="24"/>
              </w:rPr>
              <w:t>+</w:t>
            </w:r>
            <w:r w:rsidRPr="6B7F0614" w:rsidR="3F138178">
              <w:rPr>
                <w:color w:val="000000" w:themeColor="text1"/>
                <w:sz w:val="24"/>
                <w:szCs w:val="24"/>
              </w:rPr>
              <w:t>449</w:t>
            </w:r>
          </w:p>
        </w:tc>
        <w:tc>
          <w:tcPr>
            <w:tcW w:w="1417" w:type="dxa"/>
            <w:shd w:val="clear" w:color="auto" w:fill="auto"/>
            <w:vAlign w:val="center"/>
          </w:tcPr>
          <w:p w:rsidRPr="00983DCE" w:rsidR="008D28C4" w:rsidP="008D28C4" w:rsidRDefault="008D28C4" w14:paraId="39E5C123" w14:textId="562AB8FF">
            <w:pPr>
              <w:jc w:val="right"/>
              <w:rPr>
                <w:color w:val="000000"/>
                <w:sz w:val="24"/>
                <w:szCs w:val="24"/>
              </w:rPr>
            </w:pPr>
            <w:r w:rsidRPr="6B7F0614">
              <w:rPr>
                <w:color w:val="000000" w:themeColor="text1"/>
                <w:sz w:val="24"/>
                <w:szCs w:val="24"/>
              </w:rPr>
              <w:t>+1,</w:t>
            </w:r>
            <w:r w:rsidRPr="6B7F0614" w:rsidR="5A205733">
              <w:rPr>
                <w:color w:val="000000" w:themeColor="text1"/>
                <w:sz w:val="24"/>
                <w:szCs w:val="24"/>
              </w:rPr>
              <w:t>500</w:t>
            </w:r>
          </w:p>
        </w:tc>
        <w:tc>
          <w:tcPr>
            <w:tcW w:w="1710" w:type="dxa"/>
            <w:shd w:val="clear" w:color="auto" w:fill="auto"/>
            <w:vAlign w:val="center"/>
          </w:tcPr>
          <w:p w:rsidRPr="00983DCE" w:rsidR="008D28C4" w:rsidP="6B7F0614" w:rsidRDefault="21A05BD0" w14:paraId="3E2F3BD9" w14:textId="0C2953D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 w:val="24"/>
                <w:szCs w:val="24"/>
              </w:rPr>
            </w:pPr>
            <w:r w:rsidRPr="6B7F0614">
              <w:rPr>
                <w:color w:val="000000" w:themeColor="text1"/>
                <w:sz w:val="24"/>
                <w:szCs w:val="24"/>
              </w:rPr>
              <w:t>+</w:t>
            </w:r>
            <w:r w:rsidR="007616DD">
              <w:rPr>
                <w:color w:val="000000" w:themeColor="text1"/>
                <w:sz w:val="24"/>
                <w:szCs w:val="24"/>
              </w:rPr>
              <w:t>299</w:t>
            </w:r>
          </w:p>
        </w:tc>
        <w:tc>
          <w:tcPr>
            <w:tcW w:w="2160" w:type="dxa"/>
            <w:shd w:val="clear" w:color="auto" w:fill="auto"/>
            <w:vAlign w:val="center"/>
          </w:tcPr>
          <w:p w:rsidRPr="00983DCE" w:rsidR="008D28C4" w:rsidP="008D28C4" w:rsidRDefault="001E7F73" w14:paraId="3517CF65" w14:textId="29B0736F">
            <w:pPr>
              <w:jc w:val="right"/>
              <w:rPr>
                <w:color w:val="000000" w:themeColor="text1"/>
                <w:sz w:val="24"/>
                <w:szCs w:val="24"/>
              </w:rPr>
            </w:pPr>
            <w:r>
              <w:rPr>
                <w:color w:val="000000"/>
                <w:sz w:val="24"/>
                <w:szCs w:val="24"/>
              </w:rPr>
              <w:t>0</w:t>
            </w:r>
          </w:p>
        </w:tc>
      </w:tr>
    </w:tbl>
    <w:p w:rsidRPr="00983DCE" w:rsidR="00B0514F" w:rsidP="008E4117" w:rsidRDefault="00B0514F" w14:paraId="3A0DF568" w14:textId="67729DC4">
      <w:pPr>
        <w:rPr>
          <w:sz w:val="24"/>
          <w:szCs w:val="24"/>
        </w:rPr>
      </w:pPr>
    </w:p>
    <w:p w:rsidRPr="00983DCE" w:rsidR="003224CD" w:rsidP="6B7F0614" w:rsidRDefault="008D28C4" w14:paraId="26D60010" w14:textId="2882D566">
      <w:pPr>
        <w:tabs>
          <w:tab w:val="left" w:pos="27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6B7F0614">
        <w:rPr>
          <w:sz w:val="24"/>
          <w:szCs w:val="24"/>
        </w:rPr>
        <w:t xml:space="preserve">The </w:t>
      </w:r>
      <w:r w:rsidRPr="6B7F0614" w:rsidR="00095353">
        <w:rPr>
          <w:sz w:val="24"/>
          <w:szCs w:val="24"/>
        </w:rPr>
        <w:t>i</w:t>
      </w:r>
      <w:r w:rsidRPr="6B7F0614">
        <w:rPr>
          <w:sz w:val="24"/>
          <w:szCs w:val="24"/>
        </w:rPr>
        <w:t xml:space="preserve">ncreases in </w:t>
      </w:r>
      <w:r w:rsidRPr="6B7F0614" w:rsidR="00095353">
        <w:rPr>
          <w:sz w:val="24"/>
          <w:szCs w:val="24"/>
        </w:rPr>
        <w:t>b</w:t>
      </w:r>
      <w:r w:rsidRPr="6B7F0614">
        <w:rPr>
          <w:sz w:val="24"/>
          <w:szCs w:val="24"/>
        </w:rPr>
        <w:t>urden in this collection are the result of incorporating the burden pr</w:t>
      </w:r>
      <w:r w:rsidRPr="6B7F0614" w:rsidR="00095353">
        <w:rPr>
          <w:sz w:val="24"/>
          <w:szCs w:val="24"/>
        </w:rPr>
        <w:t>e</w:t>
      </w:r>
      <w:r w:rsidRPr="6B7F0614">
        <w:rPr>
          <w:sz w:val="24"/>
          <w:szCs w:val="24"/>
        </w:rPr>
        <w:t>viou</w:t>
      </w:r>
      <w:r w:rsidRPr="6B7F0614" w:rsidR="00095353">
        <w:rPr>
          <w:sz w:val="24"/>
          <w:szCs w:val="24"/>
        </w:rPr>
        <w:t>s</w:t>
      </w:r>
      <w:r w:rsidRPr="6B7F0614">
        <w:rPr>
          <w:sz w:val="24"/>
          <w:szCs w:val="24"/>
        </w:rPr>
        <w:t xml:space="preserve">ly </w:t>
      </w:r>
      <w:r w:rsidRPr="6B7F0614" w:rsidR="00095353">
        <w:rPr>
          <w:sz w:val="24"/>
          <w:szCs w:val="24"/>
        </w:rPr>
        <w:t>approved</w:t>
      </w:r>
      <w:r w:rsidRPr="6B7F0614" w:rsidR="24CC8A75">
        <w:rPr>
          <w:sz w:val="24"/>
          <w:szCs w:val="24"/>
        </w:rPr>
        <w:t xml:space="preserve"> </w:t>
      </w:r>
      <w:r w:rsidRPr="6B7F0614">
        <w:rPr>
          <w:sz w:val="24"/>
          <w:szCs w:val="24"/>
        </w:rPr>
        <w:t xml:space="preserve">under </w:t>
      </w:r>
      <w:r w:rsidRPr="6B7F0614" w:rsidR="00095353">
        <w:rPr>
          <w:sz w:val="24"/>
          <w:szCs w:val="24"/>
        </w:rPr>
        <w:t xml:space="preserve">OMB Control Number </w:t>
      </w:r>
      <w:r w:rsidRPr="6B7F0614">
        <w:rPr>
          <w:sz w:val="24"/>
          <w:szCs w:val="24"/>
        </w:rPr>
        <w:t xml:space="preserve">3170-0052 into this collection.  There is no net change in burden from </w:t>
      </w:r>
      <w:r w:rsidRPr="6B7F0614" w:rsidR="00B66226">
        <w:rPr>
          <w:sz w:val="24"/>
          <w:szCs w:val="24"/>
        </w:rPr>
        <w:t>e</w:t>
      </w:r>
      <w:r w:rsidRPr="6B7F0614">
        <w:rPr>
          <w:sz w:val="24"/>
          <w:szCs w:val="24"/>
        </w:rPr>
        <w:t>ither collection</w:t>
      </w:r>
      <w:r w:rsidRPr="6B7F0614" w:rsidR="00B66226">
        <w:rPr>
          <w:sz w:val="24"/>
          <w:szCs w:val="24"/>
        </w:rPr>
        <w:t xml:space="preserve"> activity.</w:t>
      </w:r>
    </w:p>
    <w:p w:rsidRPr="00983DCE" w:rsidR="00BD4171" w:rsidP="008E4117" w:rsidRDefault="00BD4171" w14:paraId="1D226F52" w14:textId="77777777">
      <w:pPr>
        <w:rPr>
          <w:sz w:val="24"/>
          <w:szCs w:val="24"/>
        </w:rPr>
      </w:pPr>
    </w:p>
    <w:p w:rsidRPr="00983DCE" w:rsidR="00BC5C20" w:rsidP="00BC5C20" w:rsidRDefault="00BC5C20" w14:paraId="4977CF95" w14:textId="200662A6">
      <w:pPr>
        <w:pStyle w:val="CM12"/>
        <w:spacing w:line="276" w:lineRule="atLeast"/>
      </w:pPr>
      <w:r w:rsidRPr="00983DCE">
        <w:rPr>
          <w:b/>
          <w:bCs/>
        </w:rPr>
        <w:t>16.</w:t>
      </w:r>
      <w:r w:rsidRPr="00983DCE" w:rsidR="00C474DC">
        <w:rPr>
          <w:b/>
          <w:bCs/>
        </w:rPr>
        <w:t xml:space="preserve"> </w:t>
      </w:r>
      <w:r w:rsidRPr="00983DCE">
        <w:rPr>
          <w:b/>
          <w:bCs/>
          <w:u w:val="single"/>
        </w:rPr>
        <w:t>Plans for Tabulation, Statistical Analysis, and Publication</w:t>
      </w:r>
    </w:p>
    <w:p w:rsidRPr="00983DCE" w:rsidR="00295103" w:rsidRDefault="00295103" w14:paraId="146360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295103" w:rsidP="6B7F0614" w:rsidRDefault="00610D9C" w14:paraId="4377BCAC" w14:textId="74A33BA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6B7F0614">
        <w:rPr>
          <w:color w:val="000000" w:themeColor="text1"/>
          <w:sz w:val="24"/>
          <w:szCs w:val="24"/>
        </w:rPr>
        <w:t>Ind</w:t>
      </w:r>
      <w:r w:rsidRPr="6B7F0614" w:rsidR="00FB7486">
        <w:rPr>
          <w:color w:val="000000" w:themeColor="text1"/>
          <w:sz w:val="24"/>
          <w:szCs w:val="24"/>
        </w:rPr>
        <w:t>ividual respondent data are collected and</w:t>
      </w:r>
      <w:r w:rsidRPr="6B7F0614">
        <w:rPr>
          <w:color w:val="000000" w:themeColor="text1"/>
          <w:sz w:val="24"/>
          <w:szCs w:val="24"/>
        </w:rPr>
        <w:t xml:space="preserve"> published on </w:t>
      </w:r>
      <w:r w:rsidRPr="6B7F0614" w:rsidR="001A1E34">
        <w:rPr>
          <w:color w:val="000000" w:themeColor="text1"/>
          <w:sz w:val="24"/>
          <w:szCs w:val="24"/>
        </w:rPr>
        <w:t xml:space="preserve">the </w:t>
      </w:r>
      <w:r w:rsidRPr="6B7F0614" w:rsidR="004946F4">
        <w:rPr>
          <w:color w:val="000000" w:themeColor="text1"/>
          <w:sz w:val="24"/>
          <w:szCs w:val="24"/>
        </w:rPr>
        <w:t>Bureau</w:t>
      </w:r>
      <w:r w:rsidRPr="6B7F0614">
        <w:rPr>
          <w:color w:val="000000" w:themeColor="text1"/>
          <w:sz w:val="24"/>
          <w:szCs w:val="24"/>
        </w:rPr>
        <w:t>’s public web site</w:t>
      </w:r>
      <w:r w:rsidRPr="6B7F0614" w:rsidR="00FB7486">
        <w:rPr>
          <w:color w:val="000000" w:themeColor="text1"/>
          <w:sz w:val="24"/>
          <w:szCs w:val="24"/>
        </w:rPr>
        <w:t xml:space="preserve">. There </w:t>
      </w:r>
      <w:r w:rsidRPr="6B7F0614" w:rsidR="00E13EC5">
        <w:rPr>
          <w:color w:val="000000" w:themeColor="text1"/>
          <w:sz w:val="24"/>
          <w:szCs w:val="24"/>
        </w:rPr>
        <w:t xml:space="preserve">are </w:t>
      </w:r>
      <w:r w:rsidRPr="6B7F0614" w:rsidR="00FB7486">
        <w:rPr>
          <w:color w:val="000000" w:themeColor="text1"/>
          <w:sz w:val="24"/>
          <w:szCs w:val="24"/>
        </w:rPr>
        <w:t xml:space="preserve">no complex analytical techniques being used. The final presentation of the information does </w:t>
      </w:r>
      <w:r w:rsidRPr="6B7F0614" w:rsidR="00FB7486">
        <w:rPr>
          <w:color w:val="000000" w:themeColor="text1"/>
          <w:sz w:val="24"/>
          <w:szCs w:val="24"/>
        </w:rPr>
        <w:lastRenderedPageBreak/>
        <w:t>include basic search, filter and sort functionalities.</w:t>
      </w:r>
    </w:p>
    <w:p w:rsidRPr="00983DCE" w:rsidR="006F2703" w:rsidP="00BC5C20" w:rsidRDefault="006F2703" w14:paraId="638DE25B" w14:textId="77777777">
      <w:pPr>
        <w:pStyle w:val="Default"/>
        <w:rPr>
          <w:b/>
          <w:bCs/>
          <w:color w:val="auto"/>
        </w:rPr>
      </w:pPr>
    </w:p>
    <w:p w:rsidRPr="00983DCE" w:rsidR="00BC5C20" w:rsidP="00BC5C20" w:rsidRDefault="00BC5C20" w14:paraId="5531AF06" w14:textId="379FE4AA">
      <w:pPr>
        <w:pStyle w:val="Default"/>
        <w:rPr>
          <w:b/>
          <w:bCs/>
          <w:color w:val="auto"/>
          <w:u w:val="single"/>
        </w:rPr>
      </w:pPr>
      <w:r w:rsidRPr="00983DCE">
        <w:rPr>
          <w:b/>
          <w:bCs/>
          <w:color w:val="auto"/>
        </w:rPr>
        <w:t>17.</w:t>
      </w:r>
      <w:r w:rsidRPr="00983DCE" w:rsidR="00C474DC">
        <w:rPr>
          <w:b/>
          <w:bCs/>
          <w:color w:val="auto"/>
        </w:rPr>
        <w:t xml:space="preserve"> </w:t>
      </w:r>
      <w:r w:rsidRPr="00983DCE">
        <w:rPr>
          <w:b/>
          <w:bCs/>
          <w:color w:val="auto"/>
          <w:u w:val="single"/>
        </w:rPr>
        <w:t>Display of Expiration Date</w:t>
      </w:r>
    </w:p>
    <w:p w:rsidRPr="00983DCE" w:rsidR="00BC5C20" w:rsidP="00BC5C20" w:rsidRDefault="00BC5C20" w14:paraId="6E145D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CA34A2" w:rsidP="00B0514F" w:rsidRDefault="00FB7486" w14:paraId="1E570641" w14:textId="502DAC16">
      <w:pPr>
        <w:spacing w:before="29" w:line="246" w:lineRule="auto"/>
        <w:rPr>
          <w:sz w:val="24"/>
          <w:szCs w:val="24"/>
        </w:rPr>
      </w:pPr>
      <w:r w:rsidRPr="6B7F0614">
        <w:rPr>
          <w:sz w:val="24"/>
          <w:szCs w:val="24"/>
        </w:rPr>
        <w:t xml:space="preserve">The Bureau plans to display the </w:t>
      </w:r>
      <w:r w:rsidRPr="6B7F0614" w:rsidR="00B47E7F">
        <w:rPr>
          <w:sz w:val="24"/>
          <w:szCs w:val="24"/>
        </w:rPr>
        <w:t xml:space="preserve">OMB control number and </w:t>
      </w:r>
      <w:r w:rsidRPr="6B7F0614">
        <w:rPr>
          <w:sz w:val="24"/>
          <w:szCs w:val="24"/>
        </w:rPr>
        <w:t>expiration date for OMB approval of the information collection on all instruments</w:t>
      </w:r>
      <w:r w:rsidRPr="6B7F0614" w:rsidR="00714132">
        <w:rPr>
          <w:sz w:val="24"/>
          <w:szCs w:val="24"/>
        </w:rPr>
        <w:t xml:space="preserve"> including the Collect registration form</w:t>
      </w:r>
      <w:r w:rsidRPr="6B7F0614" w:rsidR="004247D4">
        <w:rPr>
          <w:sz w:val="24"/>
          <w:szCs w:val="24"/>
        </w:rPr>
        <w:t>.</w:t>
      </w:r>
      <w:r w:rsidRPr="6B7F0614" w:rsidR="00B47E7F">
        <w:rPr>
          <w:sz w:val="24"/>
          <w:szCs w:val="24"/>
        </w:rPr>
        <w:t xml:space="preserve"> </w:t>
      </w:r>
      <w:r w:rsidRPr="6B7F0614" w:rsidR="00CA34A2">
        <w:rPr>
          <w:color w:val="000000" w:themeColor="text1"/>
          <w:sz w:val="24"/>
          <w:szCs w:val="24"/>
        </w:rPr>
        <w:t xml:space="preserve">The OMB control number and expiration date associated with this </w:t>
      </w:r>
      <w:r w:rsidRPr="6B7F0614" w:rsidR="003065F0">
        <w:rPr>
          <w:color w:val="000000" w:themeColor="text1"/>
          <w:sz w:val="24"/>
          <w:szCs w:val="24"/>
        </w:rPr>
        <w:t>information collection</w:t>
      </w:r>
      <w:r w:rsidRPr="6B7F0614" w:rsidR="00CA34A2">
        <w:rPr>
          <w:color w:val="000000" w:themeColor="text1"/>
          <w:sz w:val="24"/>
          <w:szCs w:val="24"/>
        </w:rPr>
        <w:t xml:space="preserve"> will be displayed on the Federal</w:t>
      </w:r>
      <w:r w:rsidRPr="6B7F0614" w:rsidR="00B0514F">
        <w:rPr>
          <w:color w:val="000000" w:themeColor="text1"/>
          <w:sz w:val="24"/>
          <w:szCs w:val="24"/>
        </w:rPr>
        <w:t xml:space="preserve"> </w:t>
      </w:r>
      <w:r w:rsidRPr="6B7F0614" w:rsidR="00CA34A2">
        <w:rPr>
          <w:color w:val="000000" w:themeColor="text1"/>
          <w:sz w:val="24"/>
          <w:szCs w:val="24"/>
        </w:rPr>
        <w:t>government’s electronic PRA docket at www.reginfo.gov, as well as in the Federal Register Notice of the submission.</w:t>
      </w:r>
    </w:p>
    <w:p w:rsidRPr="00983DCE" w:rsidR="004247D4" w:rsidRDefault="004247D4" w14:paraId="0B97B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BC5C20" w:rsidRDefault="00BC5C20" w14:paraId="5798CF28" w14:textId="7B1D97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983DCE">
        <w:rPr>
          <w:b/>
          <w:bCs/>
          <w:sz w:val="24"/>
          <w:szCs w:val="24"/>
        </w:rPr>
        <w:t>18.</w:t>
      </w:r>
      <w:r w:rsidRPr="00983DCE" w:rsidR="00C474DC">
        <w:rPr>
          <w:b/>
          <w:bCs/>
          <w:sz w:val="24"/>
          <w:szCs w:val="24"/>
        </w:rPr>
        <w:t xml:space="preserve"> </w:t>
      </w:r>
      <w:r w:rsidRPr="00983DCE">
        <w:rPr>
          <w:b/>
          <w:bCs/>
          <w:sz w:val="24"/>
          <w:szCs w:val="24"/>
          <w:u w:val="single"/>
        </w:rPr>
        <w:t>Exceptions to the Certification Requirement</w:t>
      </w:r>
    </w:p>
    <w:p w:rsidRPr="00983DCE" w:rsidR="004247D4" w:rsidRDefault="004247D4" w14:paraId="1C502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990AEC" w:rsidP="001A0B68" w:rsidRDefault="00634158" w14:paraId="56ECCAA0" w14:textId="77777777">
      <w:pPr>
        <w:pStyle w:val="NoSpacing"/>
        <w:rPr>
          <w:sz w:val="24"/>
        </w:rPr>
      </w:pPr>
      <w:bookmarkStart w:name="_Hlk70680085" w:id="0"/>
      <w:r w:rsidRPr="00983DCE">
        <w:rPr>
          <w:sz w:val="24"/>
        </w:rPr>
        <w:t xml:space="preserve">The Bureau certifies that this collection of information is consistent with the requirements of </w:t>
      </w:r>
    </w:p>
    <w:p w:rsidRPr="00983DCE" w:rsidR="00634158" w:rsidP="6B7F0614" w:rsidRDefault="00634158" w14:paraId="4929A6A5" w14:textId="7910D3F2">
      <w:pPr>
        <w:pStyle w:val="NoSpacing"/>
        <w:rPr>
          <w:sz w:val="24"/>
        </w:rPr>
      </w:pPr>
      <w:r w:rsidRPr="6B7F0614">
        <w:rPr>
          <w:sz w:val="24"/>
        </w:rPr>
        <w:t>5 CFR 1320.9</w:t>
      </w:r>
      <w:r w:rsidRPr="6B7F0614" w:rsidR="00D60F9C">
        <w:rPr>
          <w:sz w:val="24"/>
        </w:rPr>
        <w:t xml:space="preserve"> </w:t>
      </w:r>
      <w:r w:rsidRPr="6B7F0614">
        <w:rPr>
          <w:sz w:val="24"/>
        </w:rPr>
        <w:t>and the related provisions of 5 CFR 1320.8(b)(3)</w:t>
      </w:r>
      <w:r w:rsidRPr="6B7F0614" w:rsidR="00D60F9C">
        <w:rPr>
          <w:sz w:val="24"/>
        </w:rPr>
        <w:t xml:space="preserve">.  </w:t>
      </w:r>
      <w:bookmarkEnd w:id="0"/>
      <w:r w:rsidRPr="6B7F0614" w:rsidR="00D60F9C">
        <w:rPr>
          <w:sz w:val="24"/>
        </w:rPr>
        <w:t>The Bureau</w:t>
      </w:r>
      <w:r w:rsidRPr="6B7F0614" w:rsidR="35F6B577">
        <w:rPr>
          <w:sz w:val="24"/>
        </w:rPr>
        <w:t xml:space="preserve"> </w:t>
      </w:r>
      <w:r w:rsidRPr="6B7F0614">
        <w:rPr>
          <w:sz w:val="24"/>
        </w:rPr>
        <w:t>is not seeking an exemption to these certification requirements.</w:t>
      </w:r>
    </w:p>
    <w:p w:rsidRPr="00983DCE" w:rsidR="00295103" w:rsidP="00634158" w:rsidRDefault="00295103" w14:paraId="5DEAE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3DCE" w:rsidR="00295103" w:rsidP="6B7F0614" w:rsidRDefault="00295103" w14:paraId="7D3D3B6B" w14:textId="68D10AB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sectPr w:rsidRPr="00983DCE" w:rsidR="00295103">
      <w:headerReference w:type="default" r:id="rId17"/>
      <w:footerReference w:type="default" r:id="rId1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37D8F" w14:textId="77777777" w:rsidR="00C24A63" w:rsidRDefault="00C24A63" w:rsidP="008F3DE2">
      <w:r>
        <w:separator/>
      </w:r>
    </w:p>
  </w:endnote>
  <w:endnote w:type="continuationSeparator" w:id="0">
    <w:p w14:paraId="0BAAADCD" w14:textId="77777777" w:rsidR="00C24A63" w:rsidRDefault="00C24A63" w:rsidP="008F3DE2">
      <w:r>
        <w:continuationSeparator/>
      </w:r>
    </w:p>
  </w:endnote>
  <w:endnote w:type="continuationNotice" w:id="1">
    <w:p w14:paraId="28212C23" w14:textId="77777777" w:rsidR="00C24A63" w:rsidRDefault="00C24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Text">
    <w:panose1 w:val="02000505000000020004"/>
    <w:charset w:val="00"/>
    <w:family w:val="auto"/>
    <w:pitch w:val="variable"/>
    <w:sig w:usb0="A00002EF" w:usb1="400020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245092"/>
      <w:docPartObj>
        <w:docPartGallery w:val="Page Numbers (Bottom of Page)"/>
        <w:docPartUnique/>
      </w:docPartObj>
    </w:sdtPr>
    <w:sdtEndPr>
      <w:rPr>
        <w:noProof/>
      </w:rPr>
    </w:sdtEndPr>
    <w:sdtContent>
      <w:p w14:paraId="55C97D72" w14:textId="61377F67" w:rsidR="003303C6" w:rsidRDefault="003303C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DE6A89" w14:textId="77777777" w:rsidR="003303C6" w:rsidRDefault="00330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B0F83" w14:textId="77777777" w:rsidR="00C24A63" w:rsidRDefault="00C24A63" w:rsidP="008F3DE2">
      <w:r>
        <w:separator/>
      </w:r>
    </w:p>
  </w:footnote>
  <w:footnote w:type="continuationSeparator" w:id="0">
    <w:p w14:paraId="35D83BB4" w14:textId="77777777" w:rsidR="00C24A63" w:rsidRDefault="00C24A63" w:rsidP="008F3DE2">
      <w:r>
        <w:continuationSeparator/>
      </w:r>
    </w:p>
  </w:footnote>
  <w:footnote w:type="continuationNotice" w:id="1">
    <w:p w14:paraId="520679AA" w14:textId="77777777" w:rsidR="00C24A63" w:rsidRDefault="00C24A63"/>
  </w:footnote>
  <w:footnote w:id="2">
    <w:p w14:paraId="010F34DF" w14:textId="3D942693" w:rsidR="00D64E0F" w:rsidRPr="00BA45D9" w:rsidRDefault="00D64E0F">
      <w:pPr>
        <w:pStyle w:val="FootnoteText"/>
      </w:pPr>
      <w:r w:rsidRPr="00BA45D9">
        <w:rPr>
          <w:rStyle w:val="FootnoteReference"/>
        </w:rPr>
        <w:footnoteRef/>
      </w:r>
      <w:r w:rsidRPr="00BA45D9">
        <w:t xml:space="preserve"> This information collection request is incorporating the reporting requirements of OMB Control Number 3170-0052.  Upon approval of this request for OMB Control Number 3170-0001, CFPB will move to discontinue OMB Control Number 3170-0052</w:t>
      </w:r>
      <w:r w:rsidR="00D124BE">
        <w:t>.</w:t>
      </w:r>
    </w:p>
  </w:footnote>
  <w:footnote w:id="3">
    <w:p w14:paraId="79B2DFEE" w14:textId="16BE4A9D" w:rsidR="003303C6" w:rsidRPr="00BA45D9" w:rsidRDefault="003303C6">
      <w:r w:rsidRPr="00BA45D9">
        <w:rPr>
          <w:rStyle w:val="FootnoteReference"/>
        </w:rPr>
        <w:footnoteRef/>
      </w:r>
      <w:r w:rsidRPr="00BA45D9">
        <w:t xml:space="preserve"> The FCCCA was enacted on November 3, 1988, and amends </w:t>
      </w:r>
      <w:r w:rsidR="001804B4" w:rsidRPr="00BA45D9">
        <w:t xml:space="preserve">TILA, 15 U.S.C. 1601, </w:t>
      </w:r>
      <w:r w:rsidR="001804B4" w:rsidRPr="00BA45D9">
        <w:rPr>
          <w:i/>
          <w:iCs/>
        </w:rPr>
        <w:t>et seq</w:t>
      </w:r>
      <w:r w:rsidR="001804B4" w:rsidRPr="00BA45D9">
        <w:t>.,</w:t>
      </w:r>
      <w:r w:rsidRPr="00BA45D9">
        <w:t xml:space="preserve"> Section 5 of the FCCCA added section 136(b) of TILA (15 U.S.C. 1646(b). Amendments to Regulation Z</w:t>
      </w:r>
      <w:r w:rsidR="0054216E">
        <w:t xml:space="preserve"> </w:t>
      </w:r>
      <w:r w:rsidRPr="00BA45D9">
        <w:t>implementing the provisions of the FCCCA</w:t>
      </w:r>
      <w:r w:rsidR="007F19F6" w:rsidRPr="00BA45D9">
        <w:t>,</w:t>
      </w:r>
      <w:r w:rsidRPr="00BA45D9">
        <w:t xml:space="preserve"> were adopted by the Federal Reserve Board on March 30, 1989, with an effective date of April 3, 1989. Creditors were required to comply with the new disclosure rules by August 31, 1989. </w:t>
      </w:r>
      <w:r w:rsidRPr="00BA45D9">
        <w:rPr>
          <w:i/>
          <w:iCs/>
        </w:rPr>
        <w:t>See</w:t>
      </w:r>
      <w:r w:rsidRPr="00BA45D9">
        <w:t xml:space="preserve"> 54 FR 13855 (Apr. 6, 1989).</w:t>
      </w:r>
    </w:p>
  </w:footnote>
  <w:footnote w:id="4">
    <w:p w14:paraId="18968099" w14:textId="04826775" w:rsidR="00A659CE" w:rsidRDefault="008F6374">
      <w:pPr>
        <w:pStyle w:val="FootnoteText"/>
      </w:pPr>
      <w:r>
        <w:rPr>
          <w:rStyle w:val="FootnoteReference"/>
        </w:rPr>
        <w:footnoteRef/>
      </w:r>
      <w:r>
        <w:t xml:space="preserve"> When the TCCP Survey data was collected by the Federal Reserve, it was collected through the </w:t>
      </w:r>
      <w:r w:rsidRPr="008F6374">
        <w:t>FR 2572, “Report of Terms of Credit Card Plans,” form</w:t>
      </w:r>
      <w:r>
        <w:t xml:space="preserve">, which respondents would email to the Federal Reserve. As explained later in this section, the requirement to conduct the TCCP Survey was transferred to the Bureau on July 21, 2011. The Bureau also used the FR 2572 form to collect TCCP Survey data through to the July 21, 2021 TCCP Survey cycle.  On August </w:t>
      </w:r>
      <w:r w:rsidR="00A659CE">
        <w:t>23</w:t>
      </w:r>
      <w:r>
        <w:t xml:space="preserve">, 2021, the Bureau published a notice of technical specifications stating, among other things, that TCCP Survey respondents must use the Bureau’s “Collect” website to submit TCCP Survey responses, starting with the </w:t>
      </w:r>
      <w:r w:rsidR="000E49BA">
        <w:t>S</w:t>
      </w:r>
      <w:r w:rsidR="00DD308F">
        <w:t>urve</w:t>
      </w:r>
      <w:r w:rsidR="002419F4">
        <w:t>y</w:t>
      </w:r>
      <w:r w:rsidR="00DD308F">
        <w:t xml:space="preserve"> cycle beginning on January 31, 2022 and on an ongoing basis.</w:t>
      </w:r>
      <w:r>
        <w:t xml:space="preserve"> </w:t>
      </w:r>
      <w:hyperlink r:id="rId1" w:history="1">
        <w:r w:rsidR="00A659CE" w:rsidRPr="00CF2C03">
          <w:rPr>
            <w:rStyle w:val="Hyperlink"/>
          </w:rPr>
          <w:t>https://www.govinfo.gov/content/pkg/FR-2021-08-23/pdf/2021-17994.pdf</w:t>
        </w:r>
      </w:hyperlink>
      <w:r w:rsidR="00A659CE">
        <w:t>.</w:t>
      </w:r>
    </w:p>
  </w:footnote>
  <w:footnote w:id="5">
    <w:p w14:paraId="5EC72E58" w14:textId="255A6A3B" w:rsidR="003303C6" w:rsidRPr="00BA45D9" w:rsidRDefault="003303C6" w:rsidP="00F445C5">
      <w:r w:rsidRPr="00BA45D9">
        <w:rPr>
          <w:rStyle w:val="FootnoteReference"/>
        </w:rPr>
        <w:footnoteRef/>
      </w:r>
      <w:r w:rsidRPr="00BA45D9">
        <w:t xml:space="preserve"> The FCCCA was enacted on November 3, 1988, and amends the Truth in Lending Act (TILA) (15 U.S.C. 1601 et seq). Section 5 of the FCCCA added section 136(b) of TILA (15 U.S.C. 1646(b). Amendments to Regulation Z implementing the provisions of the FCCCA were adopted by the Federal Reserve Board on March 30, 1989, with an effective date of April 3, 1989. Creditors were required to comply with the new disclosure rules by August 31, 1989. </w:t>
      </w:r>
      <w:r w:rsidRPr="00BA45D9">
        <w:rPr>
          <w:i/>
        </w:rPr>
        <w:t>See</w:t>
      </w:r>
      <w:r w:rsidRPr="00BA45D9">
        <w:t xml:space="preserve"> 54 FR 13855 (Apr. 6, 1989).</w:t>
      </w:r>
    </w:p>
  </w:footnote>
  <w:footnote w:id="6">
    <w:p w14:paraId="1BA92A5B" w14:textId="0B198FB5" w:rsidR="003303C6" w:rsidRPr="00BA45D9" w:rsidRDefault="003303C6" w:rsidP="008F3DE2">
      <w:pPr>
        <w:spacing w:after="240"/>
        <w:rPr>
          <w:szCs w:val="22"/>
        </w:rPr>
      </w:pPr>
      <w:r w:rsidRPr="00BA45D9">
        <w:rPr>
          <w:rStyle w:val="FootnoteReference"/>
        </w:rPr>
        <w:footnoteRef/>
      </w:r>
      <w:r w:rsidRPr="00BA45D9">
        <w:t xml:space="preserve"> Board of Governors of the Federal Reserve System, </w:t>
      </w:r>
      <w:r w:rsidR="004F2649">
        <w:t>“</w:t>
      </w:r>
      <w:r w:rsidRPr="00BA45D9">
        <w:t>Annual Percentage Rate Demonstration Project,</w:t>
      </w:r>
      <w:r w:rsidR="004F2649">
        <w:t>”</w:t>
      </w:r>
      <w:r w:rsidRPr="00BA45D9">
        <w:t xml:space="preserve"> March 1987.</w:t>
      </w:r>
    </w:p>
    <w:p w14:paraId="43CA9C48" w14:textId="77777777" w:rsidR="003303C6" w:rsidRPr="00BA45D9" w:rsidRDefault="003303C6" w:rsidP="008F3DE2">
      <w:pPr>
        <w:pStyle w:val="FootnoteText"/>
      </w:pPr>
    </w:p>
  </w:footnote>
  <w:footnote w:id="7">
    <w:p w14:paraId="4EDA4AF9" w14:textId="284A19B2" w:rsidR="003303C6" w:rsidRPr="00BA45D9" w:rsidRDefault="003303C6" w:rsidP="00A87919">
      <w:pPr>
        <w:spacing w:after="240"/>
        <w:rPr>
          <w:sz w:val="22"/>
          <w:szCs w:val="22"/>
        </w:rPr>
      </w:pPr>
      <w:r w:rsidRPr="00BA45D9">
        <w:rPr>
          <w:rStyle w:val="FootnoteReference"/>
        </w:rPr>
        <w:footnoteRef/>
      </w:r>
      <w:r w:rsidRPr="00BA45D9">
        <w:t xml:space="preserve"> Retailers are excluded since they are not financial institutions and because their card issuance is limited to store-specific cards. The Bureau may add retailers to the panel at its discretion when it deems it appropriate to do so. The </w:t>
      </w:r>
      <w:r w:rsidR="00003AF6">
        <w:t>TCCP Survey</w:t>
      </w:r>
      <w:r w:rsidRPr="00BA45D9">
        <w:t xml:space="preserve"> includes credit card banks, such as Discover Bank, which issues the Discover Card, and American Express Centurion Bank (a subsidiary of the</w:t>
      </w:r>
      <w:r w:rsidRPr="00F445C5">
        <w:t xml:space="preserve"> </w:t>
      </w:r>
      <w:r w:rsidRPr="00BA45D9">
        <w:t>American Express Company), which issues the Optima Card. It also includes large consumer finance companies that issue credit cards through banks or thrifts.</w:t>
      </w:r>
      <w:r w:rsidRPr="00F445C5">
        <w:t xml:space="preserve"> </w:t>
      </w:r>
    </w:p>
    <w:p w14:paraId="277B23FA" w14:textId="77777777" w:rsidR="003303C6" w:rsidRPr="00BA45D9" w:rsidRDefault="003303C6" w:rsidP="00A87919">
      <w:pPr>
        <w:pStyle w:val="FootnoteText"/>
      </w:pPr>
    </w:p>
  </w:footnote>
  <w:footnote w:id="8">
    <w:p w14:paraId="6F561AA0" w14:textId="3BD1727A" w:rsidR="003303C6" w:rsidRPr="00BA45D9" w:rsidRDefault="003303C6">
      <w:pPr>
        <w:pStyle w:val="FootnoteText"/>
      </w:pPr>
      <w:r w:rsidRPr="00BA45D9">
        <w:rPr>
          <w:rStyle w:val="FootnoteReference"/>
        </w:rPr>
        <w:footnoteRef/>
      </w:r>
      <w:r w:rsidRPr="00BA45D9">
        <w:t xml:space="preserve"> Because the collections requires certain information that spans the full calendar year, issuers are further unable to make this submission prior to January 1, meaning that issuers essentially have a three-month window in which to make this submission each year.</w:t>
      </w:r>
    </w:p>
  </w:footnote>
  <w:footnote w:id="9">
    <w:p w14:paraId="063F529E" w14:textId="15290A75" w:rsidR="00DD308F" w:rsidRDefault="00DD308F">
      <w:pPr>
        <w:pStyle w:val="FootnoteText"/>
      </w:pPr>
      <w:r>
        <w:rPr>
          <w:rStyle w:val="FootnoteReference"/>
        </w:rPr>
        <w:footnoteRef/>
      </w:r>
      <w:r>
        <w:t xml:space="preserve"> </w:t>
      </w:r>
      <w:r w:rsidR="003D1025">
        <w:t>Issuers will be making c</w:t>
      </w:r>
      <w:r>
        <w:t>redit card agreement submissions for the third quarter of 2021 that are due on</w:t>
      </w:r>
      <w:r w:rsidR="003D1025">
        <w:t xml:space="preserve"> November 1, 2021 (the first business day after October 31, 2021, which is a Sunday) through email to the Bureau.</w:t>
      </w:r>
    </w:p>
  </w:footnote>
  <w:footnote w:id="10">
    <w:p w14:paraId="4F85AFA1" w14:textId="21BD8349" w:rsidR="00ED66FE" w:rsidRDefault="00ED66FE">
      <w:pPr>
        <w:pStyle w:val="FootnoteText"/>
      </w:pPr>
      <w:r>
        <w:rPr>
          <w:rStyle w:val="FootnoteReference"/>
        </w:rPr>
        <w:footnoteRef/>
      </w:r>
      <w:r>
        <w:t xml:space="preserve"> </w:t>
      </w:r>
      <w:r w:rsidR="00017E3A">
        <w:t xml:space="preserve">Estimated response time includes </w:t>
      </w:r>
      <w:r w:rsidR="006258F8">
        <w:t>a one-time user registration with Collect.</w:t>
      </w:r>
    </w:p>
  </w:footnote>
  <w:footnote w:id="11">
    <w:p w14:paraId="06788363" w14:textId="0AE2CA32" w:rsidR="003D1025" w:rsidRDefault="003D1025">
      <w:pPr>
        <w:pStyle w:val="FootnoteText"/>
      </w:pPr>
      <w:r>
        <w:rPr>
          <w:rStyle w:val="FootnoteReference"/>
        </w:rPr>
        <w:footnoteRef/>
      </w:r>
      <w:r>
        <w:t xml:space="preserve"> Estimated average response time accounts for the response time both for submissions made through email for the third quarter of 2021, due on November 1, 2021 (see note 8) and for submissions made through Collect made thereafter and on an ongoing basis. </w:t>
      </w:r>
    </w:p>
  </w:footnote>
  <w:footnote w:id="12">
    <w:p w14:paraId="6A447E5A" w14:textId="3C864123" w:rsidR="0054582F" w:rsidRPr="00BA45D9" w:rsidRDefault="0054582F">
      <w:pPr>
        <w:pStyle w:val="FootnoteText"/>
      </w:pPr>
      <w:r w:rsidRPr="00BA45D9">
        <w:rPr>
          <w:rStyle w:val="FootnoteReference"/>
        </w:rPr>
        <w:footnoteRef/>
      </w:r>
      <w:r w:rsidRPr="00BA45D9">
        <w:t xml:space="preserve"> </w:t>
      </w:r>
      <w:r w:rsidR="00BA45D9" w:rsidRPr="00F445C5">
        <w:rPr>
          <w:color w:val="333333"/>
          <w:sz w:val="18"/>
          <w:szCs w:val="18"/>
          <w:shd w:val="clear" w:color="auto" w:fill="FFFFFF"/>
        </w:rPr>
        <w:t>The Bureau acknowledges that this cost burden may be slightly larger or smaller than average for particular issuers. For instance, if issuers of the 17% of submissions made voluntarily via email did so because it had a lower cost in their particular case, the estimated average cost of switching submission methods for those 17% would be higher. Nevertheless, given the length of the Survey, even under the relatively extreme assumption that this subgroup of issuers would require twice as long as the average to complete an online submission, any additional burden on Survey respondents will be minimal</w:t>
      </w:r>
      <w:r w:rsidR="0077597D" w:rsidRPr="00BA45D9">
        <w:t>.</w:t>
      </w:r>
      <w:r w:rsidR="007551E2" w:rsidRPr="00BA45D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338F2" w14:textId="0A0C3D43" w:rsidR="003303C6" w:rsidRDefault="003303C6" w:rsidP="00917B53">
    <w:pPr>
      <w:pStyle w:val="Header"/>
    </w:pPr>
    <w:r>
      <w:t>OMB Control Number: 3170-0001 (incorporating 3170-0052)</w:t>
    </w:r>
  </w:p>
  <w:p w14:paraId="680E370C" w14:textId="781DC441" w:rsidR="003303C6" w:rsidRDefault="003303C6" w:rsidP="00CF7F02">
    <w:pPr>
      <w:pStyle w:val="Header"/>
    </w:pPr>
    <w:r>
      <w:t>Expiration date: 8/31/2022 (3170-0001) and 10/31/2021 (3170-0052)</w:t>
    </w:r>
  </w:p>
  <w:p w14:paraId="28FED977" w14:textId="77777777" w:rsidR="003303C6" w:rsidRDefault="003303C6" w:rsidP="00CF7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CE3"/>
    <w:multiLevelType w:val="hybridMultilevel"/>
    <w:tmpl w:val="4A924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A05D2"/>
    <w:multiLevelType w:val="hybridMultilevel"/>
    <w:tmpl w:val="ED18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573ED"/>
    <w:multiLevelType w:val="hybridMultilevel"/>
    <w:tmpl w:val="38B8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E6F87"/>
    <w:multiLevelType w:val="hybridMultilevel"/>
    <w:tmpl w:val="D4820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6B96C0C"/>
    <w:multiLevelType w:val="hybridMultilevel"/>
    <w:tmpl w:val="91CC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A2E78"/>
    <w:multiLevelType w:val="hybridMultilevel"/>
    <w:tmpl w:val="E17616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644D3E"/>
    <w:multiLevelType w:val="hybridMultilevel"/>
    <w:tmpl w:val="F628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66EF8"/>
    <w:multiLevelType w:val="hybridMultilevel"/>
    <w:tmpl w:val="FB6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A7882"/>
    <w:multiLevelType w:val="hybridMultilevel"/>
    <w:tmpl w:val="B07E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5"/>
  </w:num>
  <w:num w:numId="4">
    <w:abstractNumId w:val="11"/>
  </w:num>
  <w:num w:numId="5">
    <w:abstractNumId w:val="6"/>
  </w:num>
  <w:num w:numId="6">
    <w:abstractNumId w:val="16"/>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num>
  <w:num w:numId="9">
    <w:abstractNumId w:val="4"/>
  </w:num>
  <w:num w:numId="10">
    <w:abstractNumId w:val="8"/>
  </w:num>
  <w:num w:numId="11">
    <w:abstractNumId w:val="12"/>
  </w:num>
  <w:num w:numId="12">
    <w:abstractNumId w:val="5"/>
  </w:num>
  <w:num w:numId="13">
    <w:abstractNumId w:val="2"/>
  </w:num>
  <w:num w:numId="14">
    <w:abstractNumId w:val="7"/>
  </w:num>
  <w:num w:numId="15">
    <w:abstractNumId w:val="13"/>
  </w:num>
  <w:num w:numId="16">
    <w:abstractNumId w:val="10"/>
  </w:num>
  <w:num w:numId="17">
    <w:abstractNumId w:val="15"/>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72F"/>
    <w:rsid w:val="000026D7"/>
    <w:rsid w:val="00003AF6"/>
    <w:rsid w:val="000056DE"/>
    <w:rsid w:val="00007815"/>
    <w:rsid w:val="00012EF3"/>
    <w:rsid w:val="000133C0"/>
    <w:rsid w:val="000136BA"/>
    <w:rsid w:val="000166CD"/>
    <w:rsid w:val="000174C7"/>
    <w:rsid w:val="00017E3A"/>
    <w:rsid w:val="000209F4"/>
    <w:rsid w:val="000257C8"/>
    <w:rsid w:val="00026233"/>
    <w:rsid w:val="0002637A"/>
    <w:rsid w:val="00026490"/>
    <w:rsid w:val="0003508E"/>
    <w:rsid w:val="000354E7"/>
    <w:rsid w:val="00037E57"/>
    <w:rsid w:val="00040710"/>
    <w:rsid w:val="00042C86"/>
    <w:rsid w:val="00043B5A"/>
    <w:rsid w:val="0005274A"/>
    <w:rsid w:val="000552AF"/>
    <w:rsid w:val="000563D2"/>
    <w:rsid w:val="00056DCE"/>
    <w:rsid w:val="00057EBC"/>
    <w:rsid w:val="00061175"/>
    <w:rsid w:val="0006370B"/>
    <w:rsid w:val="00065100"/>
    <w:rsid w:val="00065352"/>
    <w:rsid w:val="00067E72"/>
    <w:rsid w:val="0007037A"/>
    <w:rsid w:val="000704B2"/>
    <w:rsid w:val="0007056A"/>
    <w:rsid w:val="000721C9"/>
    <w:rsid w:val="00080E35"/>
    <w:rsid w:val="00081760"/>
    <w:rsid w:val="00083D08"/>
    <w:rsid w:val="00095353"/>
    <w:rsid w:val="000971B2"/>
    <w:rsid w:val="000A1E2E"/>
    <w:rsid w:val="000A734F"/>
    <w:rsid w:val="000B09E6"/>
    <w:rsid w:val="000C3D76"/>
    <w:rsid w:val="000D1830"/>
    <w:rsid w:val="000D2677"/>
    <w:rsid w:val="000D26AC"/>
    <w:rsid w:val="000E3B55"/>
    <w:rsid w:val="000E49BA"/>
    <w:rsid w:val="000E5BFC"/>
    <w:rsid w:val="000E61AE"/>
    <w:rsid w:val="000F1C17"/>
    <w:rsid w:val="000F3AF1"/>
    <w:rsid w:val="000F6B8D"/>
    <w:rsid w:val="000F6E2C"/>
    <w:rsid w:val="000F792D"/>
    <w:rsid w:val="0010088E"/>
    <w:rsid w:val="001047DF"/>
    <w:rsid w:val="0010663D"/>
    <w:rsid w:val="00107407"/>
    <w:rsid w:val="00111A2A"/>
    <w:rsid w:val="00112426"/>
    <w:rsid w:val="0011482E"/>
    <w:rsid w:val="00114CE7"/>
    <w:rsid w:val="00116ADC"/>
    <w:rsid w:val="00117590"/>
    <w:rsid w:val="001249D0"/>
    <w:rsid w:val="00124DCE"/>
    <w:rsid w:val="0012667E"/>
    <w:rsid w:val="00127DB0"/>
    <w:rsid w:val="0013192F"/>
    <w:rsid w:val="00131C50"/>
    <w:rsid w:val="00132C3C"/>
    <w:rsid w:val="001354FF"/>
    <w:rsid w:val="001367CD"/>
    <w:rsid w:val="001368D8"/>
    <w:rsid w:val="001376E6"/>
    <w:rsid w:val="00142A60"/>
    <w:rsid w:val="00150A99"/>
    <w:rsid w:val="00153183"/>
    <w:rsid w:val="00153BC9"/>
    <w:rsid w:val="00154FA3"/>
    <w:rsid w:val="00162B02"/>
    <w:rsid w:val="0016317A"/>
    <w:rsid w:val="001648FA"/>
    <w:rsid w:val="00167A3D"/>
    <w:rsid w:val="001701B2"/>
    <w:rsid w:val="0017051F"/>
    <w:rsid w:val="001741AD"/>
    <w:rsid w:val="001804B4"/>
    <w:rsid w:val="001810C4"/>
    <w:rsid w:val="001816F8"/>
    <w:rsid w:val="00187384"/>
    <w:rsid w:val="0019212F"/>
    <w:rsid w:val="00193EFD"/>
    <w:rsid w:val="00195B91"/>
    <w:rsid w:val="001A0B68"/>
    <w:rsid w:val="001A1E34"/>
    <w:rsid w:val="001B0159"/>
    <w:rsid w:val="001B79FC"/>
    <w:rsid w:val="001C04A6"/>
    <w:rsid w:val="001C1A8F"/>
    <w:rsid w:val="001C466D"/>
    <w:rsid w:val="001C5CCD"/>
    <w:rsid w:val="001D0075"/>
    <w:rsid w:val="001D175B"/>
    <w:rsid w:val="001D3EAF"/>
    <w:rsid w:val="001D75F1"/>
    <w:rsid w:val="001E0D55"/>
    <w:rsid w:val="001E4B50"/>
    <w:rsid w:val="001E6D6C"/>
    <w:rsid w:val="001E7F73"/>
    <w:rsid w:val="001F2506"/>
    <w:rsid w:val="001F2840"/>
    <w:rsid w:val="001F2FF5"/>
    <w:rsid w:val="001F5A0C"/>
    <w:rsid w:val="002120E6"/>
    <w:rsid w:val="0021461D"/>
    <w:rsid w:val="0021592D"/>
    <w:rsid w:val="002210CD"/>
    <w:rsid w:val="00222D51"/>
    <w:rsid w:val="0022552A"/>
    <w:rsid w:val="0023208B"/>
    <w:rsid w:val="002353DA"/>
    <w:rsid w:val="00236942"/>
    <w:rsid w:val="00240E97"/>
    <w:rsid w:val="002419F4"/>
    <w:rsid w:val="002443B1"/>
    <w:rsid w:val="00244705"/>
    <w:rsid w:val="00250ED8"/>
    <w:rsid w:val="00255F69"/>
    <w:rsid w:val="00264288"/>
    <w:rsid w:val="002703ED"/>
    <w:rsid w:val="002723DF"/>
    <w:rsid w:val="002738A0"/>
    <w:rsid w:val="00283B1B"/>
    <w:rsid w:val="00284AA6"/>
    <w:rsid w:val="00293793"/>
    <w:rsid w:val="00295103"/>
    <w:rsid w:val="002A49F6"/>
    <w:rsid w:val="002A566F"/>
    <w:rsid w:val="002B093F"/>
    <w:rsid w:val="002B13CE"/>
    <w:rsid w:val="002B2F1E"/>
    <w:rsid w:val="002B4C45"/>
    <w:rsid w:val="002B550B"/>
    <w:rsid w:val="002B7349"/>
    <w:rsid w:val="002C1760"/>
    <w:rsid w:val="002C1A91"/>
    <w:rsid w:val="002C2B5A"/>
    <w:rsid w:val="002C3C05"/>
    <w:rsid w:val="002C487D"/>
    <w:rsid w:val="002C55F1"/>
    <w:rsid w:val="002D6189"/>
    <w:rsid w:val="002E4CE7"/>
    <w:rsid w:val="002E6DB9"/>
    <w:rsid w:val="002E7779"/>
    <w:rsid w:val="002F33DB"/>
    <w:rsid w:val="002F419D"/>
    <w:rsid w:val="00300F9B"/>
    <w:rsid w:val="00303785"/>
    <w:rsid w:val="003056A3"/>
    <w:rsid w:val="003065F0"/>
    <w:rsid w:val="00306B46"/>
    <w:rsid w:val="00315C36"/>
    <w:rsid w:val="003171D9"/>
    <w:rsid w:val="00320E85"/>
    <w:rsid w:val="003224CD"/>
    <w:rsid w:val="003248D5"/>
    <w:rsid w:val="003303C6"/>
    <w:rsid w:val="00330B54"/>
    <w:rsid w:val="0033338F"/>
    <w:rsid w:val="0033388A"/>
    <w:rsid w:val="0034140F"/>
    <w:rsid w:val="003463F7"/>
    <w:rsid w:val="00346D64"/>
    <w:rsid w:val="0035112F"/>
    <w:rsid w:val="00352210"/>
    <w:rsid w:val="00357022"/>
    <w:rsid w:val="00360E94"/>
    <w:rsid w:val="00362C9C"/>
    <w:rsid w:val="00363530"/>
    <w:rsid w:val="00363F8C"/>
    <w:rsid w:val="00364959"/>
    <w:rsid w:val="00364A6E"/>
    <w:rsid w:val="00365E65"/>
    <w:rsid w:val="0036726B"/>
    <w:rsid w:val="00371B07"/>
    <w:rsid w:val="00376B51"/>
    <w:rsid w:val="00380345"/>
    <w:rsid w:val="00381EF4"/>
    <w:rsid w:val="003973E1"/>
    <w:rsid w:val="003B038B"/>
    <w:rsid w:val="003B4B8B"/>
    <w:rsid w:val="003B4F1C"/>
    <w:rsid w:val="003B623A"/>
    <w:rsid w:val="003B66A6"/>
    <w:rsid w:val="003B66C3"/>
    <w:rsid w:val="003B77D9"/>
    <w:rsid w:val="003B7D75"/>
    <w:rsid w:val="003C3292"/>
    <w:rsid w:val="003D0C48"/>
    <w:rsid w:val="003D1025"/>
    <w:rsid w:val="003D4121"/>
    <w:rsid w:val="003D4CD1"/>
    <w:rsid w:val="003D5305"/>
    <w:rsid w:val="003E065E"/>
    <w:rsid w:val="003E42F0"/>
    <w:rsid w:val="003E4871"/>
    <w:rsid w:val="003F3477"/>
    <w:rsid w:val="003F6CFB"/>
    <w:rsid w:val="00403A7A"/>
    <w:rsid w:val="00417755"/>
    <w:rsid w:val="0042277B"/>
    <w:rsid w:val="00424406"/>
    <w:rsid w:val="004247D4"/>
    <w:rsid w:val="00430DC8"/>
    <w:rsid w:val="00442EBD"/>
    <w:rsid w:val="00450F4A"/>
    <w:rsid w:val="00452D6E"/>
    <w:rsid w:val="0046284B"/>
    <w:rsid w:val="00463EF1"/>
    <w:rsid w:val="0046417B"/>
    <w:rsid w:val="0046434A"/>
    <w:rsid w:val="00466374"/>
    <w:rsid w:val="00473473"/>
    <w:rsid w:val="004734C7"/>
    <w:rsid w:val="00475E14"/>
    <w:rsid w:val="00483DF5"/>
    <w:rsid w:val="004848C6"/>
    <w:rsid w:val="004850BB"/>
    <w:rsid w:val="004853A2"/>
    <w:rsid w:val="0049043C"/>
    <w:rsid w:val="00491344"/>
    <w:rsid w:val="004946F4"/>
    <w:rsid w:val="00494DC4"/>
    <w:rsid w:val="004965CA"/>
    <w:rsid w:val="004A0214"/>
    <w:rsid w:val="004A5B46"/>
    <w:rsid w:val="004A6351"/>
    <w:rsid w:val="004A6DFA"/>
    <w:rsid w:val="004B21C5"/>
    <w:rsid w:val="004B323B"/>
    <w:rsid w:val="004B38AE"/>
    <w:rsid w:val="004C6168"/>
    <w:rsid w:val="004C723D"/>
    <w:rsid w:val="004D3C55"/>
    <w:rsid w:val="004E4309"/>
    <w:rsid w:val="004F0C2E"/>
    <w:rsid w:val="004F1066"/>
    <w:rsid w:val="004F2649"/>
    <w:rsid w:val="004F3550"/>
    <w:rsid w:val="004F395B"/>
    <w:rsid w:val="004F6D67"/>
    <w:rsid w:val="005133D8"/>
    <w:rsid w:val="00514B56"/>
    <w:rsid w:val="005176E6"/>
    <w:rsid w:val="0052089F"/>
    <w:rsid w:val="005222DB"/>
    <w:rsid w:val="00525467"/>
    <w:rsid w:val="00534EC4"/>
    <w:rsid w:val="00536431"/>
    <w:rsid w:val="00541487"/>
    <w:rsid w:val="0054216E"/>
    <w:rsid w:val="0054582F"/>
    <w:rsid w:val="005476A0"/>
    <w:rsid w:val="0055199E"/>
    <w:rsid w:val="00556C5F"/>
    <w:rsid w:val="00556EC6"/>
    <w:rsid w:val="0055706F"/>
    <w:rsid w:val="00557C8C"/>
    <w:rsid w:val="005627DE"/>
    <w:rsid w:val="00563184"/>
    <w:rsid w:val="00567AFE"/>
    <w:rsid w:val="005764F8"/>
    <w:rsid w:val="005774FC"/>
    <w:rsid w:val="005800E8"/>
    <w:rsid w:val="00590090"/>
    <w:rsid w:val="00590571"/>
    <w:rsid w:val="00594B20"/>
    <w:rsid w:val="00594B63"/>
    <w:rsid w:val="005A12FA"/>
    <w:rsid w:val="005A41E8"/>
    <w:rsid w:val="005A4DFB"/>
    <w:rsid w:val="005A5D13"/>
    <w:rsid w:val="005B49F9"/>
    <w:rsid w:val="005B4F21"/>
    <w:rsid w:val="005B4F40"/>
    <w:rsid w:val="005C13AF"/>
    <w:rsid w:val="005C2214"/>
    <w:rsid w:val="005C530D"/>
    <w:rsid w:val="005C7352"/>
    <w:rsid w:val="005D02D4"/>
    <w:rsid w:val="005D39A7"/>
    <w:rsid w:val="005D3F43"/>
    <w:rsid w:val="005D4411"/>
    <w:rsid w:val="005D449A"/>
    <w:rsid w:val="005D7AB7"/>
    <w:rsid w:val="005E0031"/>
    <w:rsid w:val="005E0FC9"/>
    <w:rsid w:val="005E1A82"/>
    <w:rsid w:val="005E74D0"/>
    <w:rsid w:val="005F3315"/>
    <w:rsid w:val="00600321"/>
    <w:rsid w:val="006008B8"/>
    <w:rsid w:val="006042F7"/>
    <w:rsid w:val="006053A1"/>
    <w:rsid w:val="00606415"/>
    <w:rsid w:val="0060758B"/>
    <w:rsid w:val="00610D9C"/>
    <w:rsid w:val="006127E7"/>
    <w:rsid w:val="00616C6B"/>
    <w:rsid w:val="00620D1A"/>
    <w:rsid w:val="00623C71"/>
    <w:rsid w:val="00623E10"/>
    <w:rsid w:val="00623F86"/>
    <w:rsid w:val="006245CF"/>
    <w:rsid w:val="006258F8"/>
    <w:rsid w:val="0062699D"/>
    <w:rsid w:val="00634158"/>
    <w:rsid w:val="0063494D"/>
    <w:rsid w:val="00635A2D"/>
    <w:rsid w:val="00646D51"/>
    <w:rsid w:val="00650CA9"/>
    <w:rsid w:val="00654FBB"/>
    <w:rsid w:val="0066185D"/>
    <w:rsid w:val="00674F17"/>
    <w:rsid w:val="006764E2"/>
    <w:rsid w:val="00682670"/>
    <w:rsid w:val="00687E1A"/>
    <w:rsid w:val="006900B1"/>
    <w:rsid w:val="00692A54"/>
    <w:rsid w:val="006959CF"/>
    <w:rsid w:val="006971C1"/>
    <w:rsid w:val="00697AF1"/>
    <w:rsid w:val="00697FC3"/>
    <w:rsid w:val="006A6278"/>
    <w:rsid w:val="006A7645"/>
    <w:rsid w:val="006B2DB0"/>
    <w:rsid w:val="006B4029"/>
    <w:rsid w:val="006B5076"/>
    <w:rsid w:val="006C32BE"/>
    <w:rsid w:val="006C4996"/>
    <w:rsid w:val="006D551B"/>
    <w:rsid w:val="006D631A"/>
    <w:rsid w:val="006D6E5A"/>
    <w:rsid w:val="006E12A4"/>
    <w:rsid w:val="006E1FD4"/>
    <w:rsid w:val="006E339F"/>
    <w:rsid w:val="006E5B8A"/>
    <w:rsid w:val="006E6609"/>
    <w:rsid w:val="006E6F2B"/>
    <w:rsid w:val="006F042C"/>
    <w:rsid w:val="006F2703"/>
    <w:rsid w:val="006F59BD"/>
    <w:rsid w:val="006F634F"/>
    <w:rsid w:val="006F685D"/>
    <w:rsid w:val="00700B28"/>
    <w:rsid w:val="00701C0C"/>
    <w:rsid w:val="007029A7"/>
    <w:rsid w:val="00702EAE"/>
    <w:rsid w:val="00705E6D"/>
    <w:rsid w:val="0071048B"/>
    <w:rsid w:val="0071177E"/>
    <w:rsid w:val="00714132"/>
    <w:rsid w:val="00717752"/>
    <w:rsid w:val="00720DF1"/>
    <w:rsid w:val="00733834"/>
    <w:rsid w:val="007353C8"/>
    <w:rsid w:val="007413B2"/>
    <w:rsid w:val="007447B9"/>
    <w:rsid w:val="0074527D"/>
    <w:rsid w:val="00745A76"/>
    <w:rsid w:val="00746E36"/>
    <w:rsid w:val="00751C90"/>
    <w:rsid w:val="007551E2"/>
    <w:rsid w:val="00755675"/>
    <w:rsid w:val="007616DD"/>
    <w:rsid w:val="007625A3"/>
    <w:rsid w:val="00762AF1"/>
    <w:rsid w:val="00763F2C"/>
    <w:rsid w:val="00767ECD"/>
    <w:rsid w:val="007701C7"/>
    <w:rsid w:val="0077597D"/>
    <w:rsid w:val="007851E9"/>
    <w:rsid w:val="007857B8"/>
    <w:rsid w:val="00786926"/>
    <w:rsid w:val="00786B07"/>
    <w:rsid w:val="007A7F35"/>
    <w:rsid w:val="007B4C0A"/>
    <w:rsid w:val="007C3CDE"/>
    <w:rsid w:val="007C4278"/>
    <w:rsid w:val="007C45FA"/>
    <w:rsid w:val="007C461E"/>
    <w:rsid w:val="007D752C"/>
    <w:rsid w:val="007E1232"/>
    <w:rsid w:val="007E21B5"/>
    <w:rsid w:val="007E7DEF"/>
    <w:rsid w:val="007F14BB"/>
    <w:rsid w:val="007F19F6"/>
    <w:rsid w:val="007F1E12"/>
    <w:rsid w:val="007F7A03"/>
    <w:rsid w:val="00800998"/>
    <w:rsid w:val="008049AA"/>
    <w:rsid w:val="00805083"/>
    <w:rsid w:val="00806BAE"/>
    <w:rsid w:val="00806F21"/>
    <w:rsid w:val="008072AA"/>
    <w:rsid w:val="0081259F"/>
    <w:rsid w:val="0081762B"/>
    <w:rsid w:val="00820E63"/>
    <w:rsid w:val="00825858"/>
    <w:rsid w:val="00830674"/>
    <w:rsid w:val="008311EB"/>
    <w:rsid w:val="00847EAC"/>
    <w:rsid w:val="008516F6"/>
    <w:rsid w:val="008530D4"/>
    <w:rsid w:val="00855AE0"/>
    <w:rsid w:val="008560B0"/>
    <w:rsid w:val="0086060D"/>
    <w:rsid w:val="00864A21"/>
    <w:rsid w:val="008739C2"/>
    <w:rsid w:val="00876726"/>
    <w:rsid w:val="008772C4"/>
    <w:rsid w:val="00884AB0"/>
    <w:rsid w:val="00891731"/>
    <w:rsid w:val="00891A94"/>
    <w:rsid w:val="00893F79"/>
    <w:rsid w:val="008959DA"/>
    <w:rsid w:val="008A2A66"/>
    <w:rsid w:val="008A3399"/>
    <w:rsid w:val="008B092F"/>
    <w:rsid w:val="008B1508"/>
    <w:rsid w:val="008B2EE6"/>
    <w:rsid w:val="008B3962"/>
    <w:rsid w:val="008C1BAB"/>
    <w:rsid w:val="008C7EE7"/>
    <w:rsid w:val="008D28C4"/>
    <w:rsid w:val="008D28DF"/>
    <w:rsid w:val="008D3FF4"/>
    <w:rsid w:val="008E3234"/>
    <w:rsid w:val="008E37FA"/>
    <w:rsid w:val="008E4117"/>
    <w:rsid w:val="008E4D44"/>
    <w:rsid w:val="008F3DE2"/>
    <w:rsid w:val="008F60B6"/>
    <w:rsid w:val="008F6374"/>
    <w:rsid w:val="008F735E"/>
    <w:rsid w:val="008F7746"/>
    <w:rsid w:val="0090282E"/>
    <w:rsid w:val="00903157"/>
    <w:rsid w:val="0090366B"/>
    <w:rsid w:val="00905D66"/>
    <w:rsid w:val="00906B06"/>
    <w:rsid w:val="00910053"/>
    <w:rsid w:val="00910CA6"/>
    <w:rsid w:val="009129FE"/>
    <w:rsid w:val="00916B3F"/>
    <w:rsid w:val="00917B53"/>
    <w:rsid w:val="00923399"/>
    <w:rsid w:val="00926485"/>
    <w:rsid w:val="00926FE9"/>
    <w:rsid w:val="00932A14"/>
    <w:rsid w:val="0093351B"/>
    <w:rsid w:val="00933891"/>
    <w:rsid w:val="00937C24"/>
    <w:rsid w:val="00943273"/>
    <w:rsid w:val="00944C21"/>
    <w:rsid w:val="009471C2"/>
    <w:rsid w:val="009516C0"/>
    <w:rsid w:val="00952549"/>
    <w:rsid w:val="0095385B"/>
    <w:rsid w:val="00955214"/>
    <w:rsid w:val="00962F45"/>
    <w:rsid w:val="009648DC"/>
    <w:rsid w:val="009652B5"/>
    <w:rsid w:val="00972C76"/>
    <w:rsid w:val="009745F9"/>
    <w:rsid w:val="0098195D"/>
    <w:rsid w:val="00981FBD"/>
    <w:rsid w:val="00982996"/>
    <w:rsid w:val="00983DCE"/>
    <w:rsid w:val="00990AEC"/>
    <w:rsid w:val="009922E3"/>
    <w:rsid w:val="009940C0"/>
    <w:rsid w:val="00996BEE"/>
    <w:rsid w:val="009A1541"/>
    <w:rsid w:val="009A2969"/>
    <w:rsid w:val="009B359F"/>
    <w:rsid w:val="009B60A1"/>
    <w:rsid w:val="009B7FB0"/>
    <w:rsid w:val="009C36DA"/>
    <w:rsid w:val="009C5BE6"/>
    <w:rsid w:val="009C6DFA"/>
    <w:rsid w:val="009C7A4A"/>
    <w:rsid w:val="009D2440"/>
    <w:rsid w:val="009E67D6"/>
    <w:rsid w:val="00A02FF7"/>
    <w:rsid w:val="00A03E71"/>
    <w:rsid w:val="00A040A3"/>
    <w:rsid w:val="00A05DA9"/>
    <w:rsid w:val="00A113D0"/>
    <w:rsid w:val="00A11BAE"/>
    <w:rsid w:val="00A14256"/>
    <w:rsid w:val="00A153F8"/>
    <w:rsid w:val="00A16823"/>
    <w:rsid w:val="00A179E6"/>
    <w:rsid w:val="00A21C33"/>
    <w:rsid w:val="00A21E09"/>
    <w:rsid w:val="00A2304F"/>
    <w:rsid w:val="00A23CF0"/>
    <w:rsid w:val="00A260C2"/>
    <w:rsid w:val="00A276F4"/>
    <w:rsid w:val="00A27FCF"/>
    <w:rsid w:val="00A318B8"/>
    <w:rsid w:val="00A33A6D"/>
    <w:rsid w:val="00A34429"/>
    <w:rsid w:val="00A42DB0"/>
    <w:rsid w:val="00A435AA"/>
    <w:rsid w:val="00A4412C"/>
    <w:rsid w:val="00A57119"/>
    <w:rsid w:val="00A574FB"/>
    <w:rsid w:val="00A659CE"/>
    <w:rsid w:val="00A67C6D"/>
    <w:rsid w:val="00A71085"/>
    <w:rsid w:val="00A7236B"/>
    <w:rsid w:val="00A751ED"/>
    <w:rsid w:val="00A7642D"/>
    <w:rsid w:val="00A76D25"/>
    <w:rsid w:val="00A81E75"/>
    <w:rsid w:val="00A854D7"/>
    <w:rsid w:val="00A873DC"/>
    <w:rsid w:val="00A87919"/>
    <w:rsid w:val="00A87E51"/>
    <w:rsid w:val="00A93332"/>
    <w:rsid w:val="00A93553"/>
    <w:rsid w:val="00AA29A3"/>
    <w:rsid w:val="00AA59DF"/>
    <w:rsid w:val="00AA73D0"/>
    <w:rsid w:val="00AB03D7"/>
    <w:rsid w:val="00AB0A90"/>
    <w:rsid w:val="00AB5340"/>
    <w:rsid w:val="00AB5B45"/>
    <w:rsid w:val="00AB6073"/>
    <w:rsid w:val="00AC2B28"/>
    <w:rsid w:val="00AC4814"/>
    <w:rsid w:val="00AD5B28"/>
    <w:rsid w:val="00AD5C08"/>
    <w:rsid w:val="00AD765F"/>
    <w:rsid w:val="00AE3AAD"/>
    <w:rsid w:val="00AE4752"/>
    <w:rsid w:val="00AE7594"/>
    <w:rsid w:val="00AF534C"/>
    <w:rsid w:val="00AF53A4"/>
    <w:rsid w:val="00B00100"/>
    <w:rsid w:val="00B00F5C"/>
    <w:rsid w:val="00B048A7"/>
    <w:rsid w:val="00B0514F"/>
    <w:rsid w:val="00B05AFB"/>
    <w:rsid w:val="00B104D4"/>
    <w:rsid w:val="00B176DB"/>
    <w:rsid w:val="00B17C94"/>
    <w:rsid w:val="00B20409"/>
    <w:rsid w:val="00B23838"/>
    <w:rsid w:val="00B26213"/>
    <w:rsid w:val="00B35E64"/>
    <w:rsid w:val="00B37B64"/>
    <w:rsid w:val="00B41FBA"/>
    <w:rsid w:val="00B463F3"/>
    <w:rsid w:val="00B46660"/>
    <w:rsid w:val="00B4689F"/>
    <w:rsid w:val="00B47E7F"/>
    <w:rsid w:val="00B51334"/>
    <w:rsid w:val="00B5475E"/>
    <w:rsid w:val="00B55558"/>
    <w:rsid w:val="00B60EBC"/>
    <w:rsid w:val="00B61D65"/>
    <w:rsid w:val="00B66226"/>
    <w:rsid w:val="00B6650B"/>
    <w:rsid w:val="00B66EC1"/>
    <w:rsid w:val="00B72D05"/>
    <w:rsid w:val="00B73D71"/>
    <w:rsid w:val="00B8125B"/>
    <w:rsid w:val="00B838B9"/>
    <w:rsid w:val="00B87225"/>
    <w:rsid w:val="00B927AD"/>
    <w:rsid w:val="00B941D3"/>
    <w:rsid w:val="00B95029"/>
    <w:rsid w:val="00BA45D9"/>
    <w:rsid w:val="00BA5740"/>
    <w:rsid w:val="00BA6D08"/>
    <w:rsid w:val="00BA7FAB"/>
    <w:rsid w:val="00BB05A0"/>
    <w:rsid w:val="00BB1ED8"/>
    <w:rsid w:val="00BB7282"/>
    <w:rsid w:val="00BC0B41"/>
    <w:rsid w:val="00BC43F0"/>
    <w:rsid w:val="00BC5C20"/>
    <w:rsid w:val="00BC5D10"/>
    <w:rsid w:val="00BD4171"/>
    <w:rsid w:val="00BD68FB"/>
    <w:rsid w:val="00BD75F5"/>
    <w:rsid w:val="00BE0ECA"/>
    <w:rsid w:val="00BE394F"/>
    <w:rsid w:val="00BE4BF1"/>
    <w:rsid w:val="00BE596D"/>
    <w:rsid w:val="00BE6873"/>
    <w:rsid w:val="00BE7394"/>
    <w:rsid w:val="00BF793D"/>
    <w:rsid w:val="00C00FD6"/>
    <w:rsid w:val="00C018D9"/>
    <w:rsid w:val="00C14CF9"/>
    <w:rsid w:val="00C15105"/>
    <w:rsid w:val="00C15DFA"/>
    <w:rsid w:val="00C16C78"/>
    <w:rsid w:val="00C213E9"/>
    <w:rsid w:val="00C22A0C"/>
    <w:rsid w:val="00C24A63"/>
    <w:rsid w:val="00C25369"/>
    <w:rsid w:val="00C27AEC"/>
    <w:rsid w:val="00C304A0"/>
    <w:rsid w:val="00C317F4"/>
    <w:rsid w:val="00C32E6F"/>
    <w:rsid w:val="00C33337"/>
    <w:rsid w:val="00C337DD"/>
    <w:rsid w:val="00C34410"/>
    <w:rsid w:val="00C36475"/>
    <w:rsid w:val="00C37B85"/>
    <w:rsid w:val="00C4731B"/>
    <w:rsid w:val="00C474DC"/>
    <w:rsid w:val="00C47AB5"/>
    <w:rsid w:val="00C53AA1"/>
    <w:rsid w:val="00C548C6"/>
    <w:rsid w:val="00C637C0"/>
    <w:rsid w:val="00C6590B"/>
    <w:rsid w:val="00C6725B"/>
    <w:rsid w:val="00C67FF7"/>
    <w:rsid w:val="00C721AA"/>
    <w:rsid w:val="00C721BE"/>
    <w:rsid w:val="00C72F12"/>
    <w:rsid w:val="00C73072"/>
    <w:rsid w:val="00C77C72"/>
    <w:rsid w:val="00C81D29"/>
    <w:rsid w:val="00C85068"/>
    <w:rsid w:val="00C861C7"/>
    <w:rsid w:val="00C9616C"/>
    <w:rsid w:val="00CA34A2"/>
    <w:rsid w:val="00CA41B8"/>
    <w:rsid w:val="00CA7DBA"/>
    <w:rsid w:val="00CB0808"/>
    <w:rsid w:val="00CB1018"/>
    <w:rsid w:val="00CB184D"/>
    <w:rsid w:val="00CB2984"/>
    <w:rsid w:val="00CB3C59"/>
    <w:rsid w:val="00CB7BD1"/>
    <w:rsid w:val="00CC2285"/>
    <w:rsid w:val="00CC68E0"/>
    <w:rsid w:val="00CD0D00"/>
    <w:rsid w:val="00CD298F"/>
    <w:rsid w:val="00CD3A02"/>
    <w:rsid w:val="00CE262D"/>
    <w:rsid w:val="00CE364E"/>
    <w:rsid w:val="00CE4A3E"/>
    <w:rsid w:val="00CE567F"/>
    <w:rsid w:val="00CE6217"/>
    <w:rsid w:val="00CF30A7"/>
    <w:rsid w:val="00CF5324"/>
    <w:rsid w:val="00CF67FD"/>
    <w:rsid w:val="00CF7F02"/>
    <w:rsid w:val="00D01B12"/>
    <w:rsid w:val="00D124BE"/>
    <w:rsid w:val="00D12FF1"/>
    <w:rsid w:val="00D13445"/>
    <w:rsid w:val="00D13BDC"/>
    <w:rsid w:val="00D17113"/>
    <w:rsid w:val="00D20F40"/>
    <w:rsid w:val="00D21803"/>
    <w:rsid w:val="00D25603"/>
    <w:rsid w:val="00D26123"/>
    <w:rsid w:val="00D26E30"/>
    <w:rsid w:val="00D30829"/>
    <w:rsid w:val="00D3337E"/>
    <w:rsid w:val="00D60F9C"/>
    <w:rsid w:val="00D64E0F"/>
    <w:rsid w:val="00D675CB"/>
    <w:rsid w:val="00D7277A"/>
    <w:rsid w:val="00D758C4"/>
    <w:rsid w:val="00D76553"/>
    <w:rsid w:val="00D77C7C"/>
    <w:rsid w:val="00D8196B"/>
    <w:rsid w:val="00D81BDE"/>
    <w:rsid w:val="00D85940"/>
    <w:rsid w:val="00D879B1"/>
    <w:rsid w:val="00D93D28"/>
    <w:rsid w:val="00D94881"/>
    <w:rsid w:val="00D94FEC"/>
    <w:rsid w:val="00D9527E"/>
    <w:rsid w:val="00DA51EA"/>
    <w:rsid w:val="00DB06A6"/>
    <w:rsid w:val="00DB0BA0"/>
    <w:rsid w:val="00DC4149"/>
    <w:rsid w:val="00DC7252"/>
    <w:rsid w:val="00DD308F"/>
    <w:rsid w:val="00DD373B"/>
    <w:rsid w:val="00DD46A8"/>
    <w:rsid w:val="00DE1D48"/>
    <w:rsid w:val="00DE1FFE"/>
    <w:rsid w:val="00DE4E4A"/>
    <w:rsid w:val="00DE57D1"/>
    <w:rsid w:val="00DE7630"/>
    <w:rsid w:val="00DF173C"/>
    <w:rsid w:val="00E043D2"/>
    <w:rsid w:val="00E13EC5"/>
    <w:rsid w:val="00E1420B"/>
    <w:rsid w:val="00E153BE"/>
    <w:rsid w:val="00E1666C"/>
    <w:rsid w:val="00E16AF6"/>
    <w:rsid w:val="00E2292D"/>
    <w:rsid w:val="00E24729"/>
    <w:rsid w:val="00E25D29"/>
    <w:rsid w:val="00E30656"/>
    <w:rsid w:val="00E41059"/>
    <w:rsid w:val="00E5119B"/>
    <w:rsid w:val="00E51E4D"/>
    <w:rsid w:val="00E6013B"/>
    <w:rsid w:val="00E60D7B"/>
    <w:rsid w:val="00E616C1"/>
    <w:rsid w:val="00E65CEE"/>
    <w:rsid w:val="00E66008"/>
    <w:rsid w:val="00E740D3"/>
    <w:rsid w:val="00E75585"/>
    <w:rsid w:val="00E84FD0"/>
    <w:rsid w:val="00E85FDC"/>
    <w:rsid w:val="00E86ABF"/>
    <w:rsid w:val="00E91AF0"/>
    <w:rsid w:val="00EA2208"/>
    <w:rsid w:val="00EA3EEC"/>
    <w:rsid w:val="00EA5839"/>
    <w:rsid w:val="00EA5873"/>
    <w:rsid w:val="00EA5FAC"/>
    <w:rsid w:val="00EB4458"/>
    <w:rsid w:val="00EB7037"/>
    <w:rsid w:val="00EC4DFF"/>
    <w:rsid w:val="00ED2D12"/>
    <w:rsid w:val="00ED66FE"/>
    <w:rsid w:val="00ED763A"/>
    <w:rsid w:val="00EE7F03"/>
    <w:rsid w:val="00EF3AB2"/>
    <w:rsid w:val="00EF3F63"/>
    <w:rsid w:val="00EF623A"/>
    <w:rsid w:val="00F01A23"/>
    <w:rsid w:val="00F04E3A"/>
    <w:rsid w:val="00F053BC"/>
    <w:rsid w:val="00F14B37"/>
    <w:rsid w:val="00F16222"/>
    <w:rsid w:val="00F16EEF"/>
    <w:rsid w:val="00F21F3F"/>
    <w:rsid w:val="00F23238"/>
    <w:rsid w:val="00F355C7"/>
    <w:rsid w:val="00F35BAD"/>
    <w:rsid w:val="00F36AB0"/>
    <w:rsid w:val="00F445C5"/>
    <w:rsid w:val="00F55280"/>
    <w:rsid w:val="00F55648"/>
    <w:rsid w:val="00F61427"/>
    <w:rsid w:val="00F62370"/>
    <w:rsid w:val="00F62918"/>
    <w:rsid w:val="00F63C5A"/>
    <w:rsid w:val="00F71442"/>
    <w:rsid w:val="00F73931"/>
    <w:rsid w:val="00F760E0"/>
    <w:rsid w:val="00F766CB"/>
    <w:rsid w:val="00F80605"/>
    <w:rsid w:val="00F84503"/>
    <w:rsid w:val="00F850C1"/>
    <w:rsid w:val="00F9665D"/>
    <w:rsid w:val="00F9781E"/>
    <w:rsid w:val="00FA17EE"/>
    <w:rsid w:val="00FA3E35"/>
    <w:rsid w:val="00FB3CC1"/>
    <w:rsid w:val="00FB7486"/>
    <w:rsid w:val="00FB77B3"/>
    <w:rsid w:val="00FC10F9"/>
    <w:rsid w:val="00FC5B90"/>
    <w:rsid w:val="00FD05BA"/>
    <w:rsid w:val="00FD3008"/>
    <w:rsid w:val="00FD484C"/>
    <w:rsid w:val="00FE5765"/>
    <w:rsid w:val="00FE5895"/>
    <w:rsid w:val="00FE6B24"/>
    <w:rsid w:val="00FE7D89"/>
    <w:rsid w:val="00FF3AFA"/>
    <w:rsid w:val="00FF3BAE"/>
    <w:rsid w:val="00FF6D47"/>
    <w:rsid w:val="01DA082F"/>
    <w:rsid w:val="0460FE1A"/>
    <w:rsid w:val="05574E2D"/>
    <w:rsid w:val="055E05BD"/>
    <w:rsid w:val="06660E30"/>
    <w:rsid w:val="08320D47"/>
    <w:rsid w:val="08E07130"/>
    <w:rsid w:val="0B80EA75"/>
    <w:rsid w:val="0E089043"/>
    <w:rsid w:val="0E9F62DA"/>
    <w:rsid w:val="12F9D68F"/>
    <w:rsid w:val="187240A7"/>
    <w:rsid w:val="19227200"/>
    <w:rsid w:val="199AD779"/>
    <w:rsid w:val="19A63B08"/>
    <w:rsid w:val="1B39C56C"/>
    <w:rsid w:val="2046043B"/>
    <w:rsid w:val="21A05BD0"/>
    <w:rsid w:val="22E0EA59"/>
    <w:rsid w:val="24428ADD"/>
    <w:rsid w:val="24CC8A75"/>
    <w:rsid w:val="26188B1B"/>
    <w:rsid w:val="2CB3C826"/>
    <w:rsid w:val="30C447A4"/>
    <w:rsid w:val="32C7464D"/>
    <w:rsid w:val="339F749D"/>
    <w:rsid w:val="33F5B6BA"/>
    <w:rsid w:val="35F6B577"/>
    <w:rsid w:val="36369C6B"/>
    <w:rsid w:val="3778DCD4"/>
    <w:rsid w:val="385E7CEF"/>
    <w:rsid w:val="38BE4239"/>
    <w:rsid w:val="39891751"/>
    <w:rsid w:val="3B1947C9"/>
    <w:rsid w:val="3DA955B9"/>
    <w:rsid w:val="3F138178"/>
    <w:rsid w:val="3FCB5BBF"/>
    <w:rsid w:val="40686A83"/>
    <w:rsid w:val="424BFC22"/>
    <w:rsid w:val="43216AE4"/>
    <w:rsid w:val="433C8947"/>
    <w:rsid w:val="4462AC71"/>
    <w:rsid w:val="449BEF80"/>
    <w:rsid w:val="48ECEAE7"/>
    <w:rsid w:val="4D9A89DB"/>
    <w:rsid w:val="4F13FFBE"/>
    <w:rsid w:val="4F2E97F8"/>
    <w:rsid w:val="505A1EAE"/>
    <w:rsid w:val="508F2CFA"/>
    <w:rsid w:val="53D00E54"/>
    <w:rsid w:val="540A05DC"/>
    <w:rsid w:val="56B27BF8"/>
    <w:rsid w:val="57245638"/>
    <w:rsid w:val="5A205733"/>
    <w:rsid w:val="5DA00DA4"/>
    <w:rsid w:val="6385ABAD"/>
    <w:rsid w:val="63E92620"/>
    <w:rsid w:val="64983080"/>
    <w:rsid w:val="67C23EA7"/>
    <w:rsid w:val="67FDF992"/>
    <w:rsid w:val="6B170EB9"/>
    <w:rsid w:val="6B7F0614"/>
    <w:rsid w:val="6C20BE4F"/>
    <w:rsid w:val="6DBC8EB0"/>
    <w:rsid w:val="6E9D7E79"/>
    <w:rsid w:val="72A4B285"/>
    <w:rsid w:val="7370EF9C"/>
    <w:rsid w:val="7464B28F"/>
    <w:rsid w:val="74C3D6CC"/>
    <w:rsid w:val="7D2AA50C"/>
    <w:rsid w:val="7F997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9C14B9"/>
  <w15:docId w15:val="{400C646D-3A1B-431F-B4F0-1C25C67B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FootnoteText">
    <w:name w:val="footnote text"/>
    <w:basedOn w:val="Normal"/>
    <w:link w:val="FootnoteTextChar"/>
    <w:uiPriority w:val="99"/>
    <w:qFormat/>
    <w:rsid w:val="008F3DE2"/>
    <w:pPr>
      <w:widowControl/>
      <w:autoSpaceDE/>
      <w:autoSpaceDN/>
      <w:adjustRightInd/>
    </w:pPr>
    <w:rPr>
      <w:snapToGrid w:val="0"/>
    </w:rPr>
  </w:style>
  <w:style w:type="character" w:customStyle="1" w:styleId="FootnoteTextChar">
    <w:name w:val="Footnote Text Char"/>
    <w:basedOn w:val="DefaultParagraphFont"/>
    <w:link w:val="FootnoteText"/>
    <w:uiPriority w:val="99"/>
    <w:rsid w:val="008F3DE2"/>
    <w:rPr>
      <w:rFonts w:ascii="Times New Roman" w:hAnsi="Times New Roman"/>
      <w:snapToGrid w:val="0"/>
    </w:rPr>
  </w:style>
  <w:style w:type="character" w:styleId="FootnoteReference">
    <w:name w:val="footnote reference"/>
    <w:basedOn w:val="DefaultParagraphFont"/>
    <w:uiPriority w:val="99"/>
    <w:semiHidden/>
    <w:rsid w:val="008F3DE2"/>
    <w:rPr>
      <w:vertAlign w:val="superscript"/>
    </w:rPr>
  </w:style>
  <w:style w:type="character" w:styleId="CommentReference">
    <w:name w:val="annotation reference"/>
    <w:basedOn w:val="DefaultParagraphFont"/>
    <w:uiPriority w:val="99"/>
    <w:semiHidden/>
    <w:unhideWhenUsed/>
    <w:rsid w:val="000133C0"/>
    <w:rPr>
      <w:sz w:val="16"/>
      <w:szCs w:val="16"/>
    </w:rPr>
  </w:style>
  <w:style w:type="paragraph" w:styleId="CommentText">
    <w:name w:val="annotation text"/>
    <w:basedOn w:val="Normal"/>
    <w:link w:val="CommentTextChar"/>
    <w:uiPriority w:val="99"/>
    <w:unhideWhenUsed/>
    <w:rsid w:val="000133C0"/>
  </w:style>
  <w:style w:type="character" w:customStyle="1" w:styleId="CommentTextChar">
    <w:name w:val="Comment Text Char"/>
    <w:basedOn w:val="DefaultParagraphFont"/>
    <w:link w:val="CommentText"/>
    <w:uiPriority w:val="99"/>
    <w:rsid w:val="000133C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133C0"/>
    <w:rPr>
      <w:b/>
      <w:bCs/>
    </w:rPr>
  </w:style>
  <w:style w:type="character" w:customStyle="1" w:styleId="CommentSubjectChar">
    <w:name w:val="Comment Subject Char"/>
    <w:basedOn w:val="CommentTextChar"/>
    <w:link w:val="CommentSubject"/>
    <w:uiPriority w:val="99"/>
    <w:semiHidden/>
    <w:rsid w:val="000133C0"/>
    <w:rPr>
      <w:rFonts w:ascii="Times New Roman" w:hAnsi="Times New Roman"/>
      <w:b/>
      <w:bCs/>
    </w:rPr>
  </w:style>
  <w:style w:type="paragraph" w:styleId="Footer">
    <w:name w:val="footer"/>
    <w:basedOn w:val="Normal"/>
    <w:link w:val="FooterChar"/>
    <w:uiPriority w:val="99"/>
    <w:rsid w:val="008F735E"/>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uiPriority w:val="99"/>
    <w:rsid w:val="008F735E"/>
    <w:rPr>
      <w:rFonts w:ascii="Times New Roman" w:hAnsi="Times New Roman"/>
      <w:sz w:val="24"/>
    </w:rPr>
  </w:style>
  <w:style w:type="character" w:styleId="FollowedHyperlink">
    <w:name w:val="FollowedHyperlink"/>
    <w:basedOn w:val="DefaultParagraphFont"/>
    <w:uiPriority w:val="99"/>
    <w:semiHidden/>
    <w:unhideWhenUsed/>
    <w:rsid w:val="00E043D2"/>
    <w:rPr>
      <w:color w:val="800080" w:themeColor="followedHyperlink"/>
      <w:u w:val="single"/>
    </w:rPr>
  </w:style>
  <w:style w:type="paragraph" w:styleId="Header">
    <w:name w:val="header"/>
    <w:basedOn w:val="Normal"/>
    <w:link w:val="HeaderChar"/>
    <w:uiPriority w:val="99"/>
    <w:unhideWhenUsed/>
    <w:rsid w:val="006F2703"/>
    <w:pPr>
      <w:tabs>
        <w:tab w:val="center" w:pos="4680"/>
        <w:tab w:val="right" w:pos="9360"/>
      </w:tabs>
    </w:pPr>
  </w:style>
  <w:style w:type="character" w:customStyle="1" w:styleId="HeaderChar">
    <w:name w:val="Header Char"/>
    <w:basedOn w:val="DefaultParagraphFont"/>
    <w:link w:val="Header"/>
    <w:uiPriority w:val="99"/>
    <w:rsid w:val="006F2703"/>
    <w:rPr>
      <w:rFonts w:ascii="Times New Roman" w:hAnsi="Times New Roman"/>
    </w:rPr>
  </w:style>
  <w:style w:type="paragraph" w:styleId="NoSpacing">
    <w:name w:val="No Spacing"/>
    <w:uiPriority w:val="1"/>
    <w:qFormat/>
    <w:rsid w:val="00634158"/>
    <w:rPr>
      <w:rFonts w:ascii="Times New Roman" w:eastAsia="Calibri" w:hAnsi="Times New Roman"/>
      <w:szCs w:val="24"/>
    </w:rPr>
  </w:style>
  <w:style w:type="table" w:styleId="TableGrid">
    <w:name w:val="Table Grid"/>
    <w:basedOn w:val="TableNormal"/>
    <w:uiPriority w:val="59"/>
    <w:rsid w:val="00D30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95029"/>
    <w:rPr>
      <w:color w:val="605E5C"/>
      <w:shd w:val="clear" w:color="auto" w:fill="E1DFDD"/>
    </w:rPr>
  </w:style>
  <w:style w:type="paragraph" w:styleId="Revision">
    <w:name w:val="Revision"/>
    <w:hidden/>
    <w:uiPriority w:val="99"/>
    <w:semiHidden/>
    <w:rsid w:val="00A57119"/>
    <w:rPr>
      <w:rFonts w:ascii="Times New Roman" w:hAnsi="Times New Roman"/>
    </w:rPr>
  </w:style>
  <w:style w:type="character" w:styleId="Mention">
    <w:name w:val="Mention"/>
    <w:basedOn w:val="DefaultParagraphFont"/>
    <w:uiPriority w:val="99"/>
    <w:unhideWhenUsed/>
    <w:rsid w:val="008606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937834067">
      <w:bodyDiv w:val="1"/>
      <w:marLeft w:val="0"/>
      <w:marRight w:val="0"/>
      <w:marTop w:val="0"/>
      <w:marBottom w:val="0"/>
      <w:divBdr>
        <w:top w:val="none" w:sz="0" w:space="0" w:color="auto"/>
        <w:left w:val="none" w:sz="0" w:space="0" w:color="auto"/>
        <w:bottom w:val="none" w:sz="0" w:space="0" w:color="auto"/>
        <w:right w:val="none" w:sz="0" w:space="0" w:color="auto"/>
      </w:divBdr>
    </w:div>
    <w:div w:id="1197698457">
      <w:bodyDiv w:val="1"/>
      <w:marLeft w:val="0"/>
      <w:marRight w:val="0"/>
      <w:marTop w:val="0"/>
      <w:marBottom w:val="0"/>
      <w:divBdr>
        <w:top w:val="none" w:sz="0" w:space="0" w:color="auto"/>
        <w:left w:val="none" w:sz="0" w:space="0" w:color="auto"/>
        <w:bottom w:val="none" w:sz="0" w:space="0" w:color="auto"/>
        <w:right w:val="none" w:sz="0" w:space="0" w:color="auto"/>
      </w:divBdr>
    </w:div>
    <w:div w:id="14245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onsumerfinance.gov/credit-card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CCP@cfpb.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ollect.consumerfinance.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nsumerfinance.gov/credit-cards/agree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FR-2021-08-23/pdf/2021-17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3B1842B5CD6C4946B5D34D49FF3F0AAB" ma:contentTypeVersion="1757" ma:contentTypeDescription="" ma:contentTypeScope="" ma:versionID="8c475ff370b4eb744ca924b6306cf8b7">
  <xsd:schema xmlns:xsd="http://www.w3.org/2001/XMLSchema" xmlns:xs="http://www.w3.org/2001/XMLSchema" xmlns:p="http://schemas.microsoft.com/office/2006/metadata/properties" xmlns:ns2="8ad2afa7-ad9a-4224-8e10-f94b3ba3fda2" xmlns:ns3="f6f73781-70c4-4328-acc7-2aa385702a57" xmlns:ns4="2ec9bf1d-f160-4c78-b368-c464c722edba" xmlns:ns5="12800946-8a38-4c7c-bc52-c2c1ece4a28f" targetNamespace="http://schemas.microsoft.com/office/2006/metadata/properties" ma:root="true" ma:fieldsID="f8a1c1f787167f2e36da789b8e29b1f3" ns2:_="" ns3:_="" ns4:_="" ns5:_="">
    <xsd:import namespace="8ad2afa7-ad9a-4224-8e10-f94b3ba3fda2"/>
    <xsd:import namespace="f6f73781-70c4-4328-acc7-2aa385702a57"/>
    <xsd:import namespace="2ec9bf1d-f160-4c78-b368-c464c722edba"/>
    <xsd:import namespace="12800946-8a38-4c7c-bc52-c2c1ece4a28f"/>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4:MediaServiceMetadata" minOccurs="0"/>
                <xsd:element ref="ns4:MediaServiceFastMetadata"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0f942484-3cf5-4f8c-ba52-99523afd93bb}" ma:internalName="TaxCatchAll" ma:showField="CatchAllData" ma:web="12800946-8a38-4c7c-bc52-c2c1ece4a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c9bf1d-f160-4c78-b368-c464c722edb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00946-8a38-4c7c-bc52-c2c1ece4a2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8ad2afa7-ad9a-4224-8e10-f94b3ba3fda2">RMRREGS-598577193-691497</_dlc_DocId>
    <_dlc_DocIdUrl xmlns="8ad2afa7-ad9a-4224-8e10-f94b3ba3fda2">
      <Url>https://bcfp365.sharepoint.com/sites/rmr-regs/_layouts/15/DocIdRedir.aspx?ID=RMRREGS-598577193-691497</Url>
      <Description>RMRREGS-598577193-691497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6CFF-E49E-43E2-B359-2D78E53ECB65}">
  <ds:schemaRefs>
    <ds:schemaRef ds:uri="http://schemas.microsoft.com/sharepoint/events"/>
  </ds:schemaRefs>
</ds:datastoreItem>
</file>

<file path=customXml/itemProps2.xml><?xml version="1.0" encoding="utf-8"?>
<ds:datastoreItem xmlns:ds="http://schemas.openxmlformats.org/officeDocument/2006/customXml" ds:itemID="{5D8D3AFE-1062-4EE2-8C43-C1F7A344D927}">
  <ds:schemaRefs>
    <ds:schemaRef ds:uri="Microsoft.SharePoint.Taxonomy.ContentTypeSync"/>
  </ds:schemaRefs>
</ds:datastoreItem>
</file>

<file path=customXml/itemProps3.xml><?xml version="1.0" encoding="utf-8"?>
<ds:datastoreItem xmlns:ds="http://schemas.openxmlformats.org/officeDocument/2006/customXml" ds:itemID="{571115CD-F745-4D11-98B2-02AA13428832}">
  <ds:schemaRefs>
    <ds:schemaRef ds:uri="http://schemas.microsoft.com/sharepoint/v3/contenttype/forms"/>
  </ds:schemaRefs>
</ds:datastoreItem>
</file>

<file path=customXml/itemProps4.xml><?xml version="1.0" encoding="utf-8"?>
<ds:datastoreItem xmlns:ds="http://schemas.openxmlformats.org/officeDocument/2006/customXml" ds:itemID="{8BCA3D39-4F95-4D1B-8C3B-3FE98122D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f6f73781-70c4-4328-acc7-2aa385702a57"/>
    <ds:schemaRef ds:uri="2ec9bf1d-f160-4c78-b368-c464c722edba"/>
    <ds:schemaRef ds:uri="12800946-8a38-4c7c-bc52-c2c1ece4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F4B36-E2A1-494B-A3A1-EC281AB30730}">
  <ds:schemaRefs>
    <ds:schemaRef ds:uri="http://schemas.microsoft.com/office/2006/metadata/properties"/>
    <ds:schemaRef ds:uri="http://schemas.microsoft.com/office/infopath/2007/PartnerControls"/>
    <ds:schemaRef ds:uri="f6f73781-70c4-4328-acc7-2aa385702a57"/>
    <ds:schemaRef ds:uri="8ad2afa7-ad9a-4224-8e10-f94b3ba3fda2"/>
  </ds:schemaRefs>
</ds:datastoreItem>
</file>

<file path=customXml/itemProps6.xml><?xml version="1.0" encoding="utf-8"?>
<ds:datastoreItem xmlns:ds="http://schemas.openxmlformats.org/officeDocument/2006/customXml" ds:itemID="{CC590953-6402-4454-9369-E8411590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3604</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23905</CharactersWithSpaces>
  <SharedDoc>false</SharedDoc>
  <HLinks>
    <vt:vector size="48" baseType="variant">
      <vt:variant>
        <vt:i4>2097163</vt:i4>
      </vt:variant>
      <vt:variant>
        <vt:i4>12</vt:i4>
      </vt:variant>
      <vt:variant>
        <vt:i4>0</vt:i4>
      </vt:variant>
      <vt:variant>
        <vt:i4>5</vt:i4>
      </vt:variant>
      <vt:variant>
        <vt:lpwstr>mailto:TCCP@cfpb.gov</vt:lpwstr>
      </vt:variant>
      <vt:variant>
        <vt:lpwstr/>
      </vt:variant>
      <vt:variant>
        <vt:i4>3801198</vt:i4>
      </vt:variant>
      <vt:variant>
        <vt:i4>9</vt:i4>
      </vt:variant>
      <vt:variant>
        <vt:i4>0</vt:i4>
      </vt:variant>
      <vt:variant>
        <vt:i4>5</vt:i4>
      </vt:variant>
      <vt:variant>
        <vt:lpwstr>http://collect.consumerfinance.gov/</vt:lpwstr>
      </vt:variant>
      <vt:variant>
        <vt:lpwstr/>
      </vt:variant>
      <vt:variant>
        <vt:i4>4063281</vt:i4>
      </vt:variant>
      <vt:variant>
        <vt:i4>6</vt:i4>
      </vt:variant>
      <vt:variant>
        <vt:i4>0</vt:i4>
      </vt:variant>
      <vt:variant>
        <vt:i4>5</vt:i4>
      </vt:variant>
      <vt:variant>
        <vt:lpwstr>http://www.consumerfinance.gov/credit-cards/agreements/</vt:lpwstr>
      </vt:variant>
      <vt:variant>
        <vt:lpwstr/>
      </vt:variant>
      <vt:variant>
        <vt:i4>4980822</vt:i4>
      </vt:variant>
      <vt:variant>
        <vt:i4>0</vt:i4>
      </vt:variant>
      <vt:variant>
        <vt:i4>0</vt:i4>
      </vt:variant>
      <vt:variant>
        <vt:i4>5</vt:i4>
      </vt:variant>
      <vt:variant>
        <vt:lpwstr>http://www.consumerfinance.gov/credit-cards/</vt:lpwstr>
      </vt:variant>
      <vt:variant>
        <vt:lpwstr/>
      </vt:variant>
      <vt:variant>
        <vt:i4>327789</vt:i4>
      </vt:variant>
      <vt:variant>
        <vt:i4>9</vt:i4>
      </vt:variant>
      <vt:variant>
        <vt:i4>0</vt:i4>
      </vt:variant>
      <vt:variant>
        <vt:i4>5</vt:i4>
      </vt:variant>
      <vt:variant>
        <vt:lpwstr>mailto:Caroline.Hong@cfpb.gov</vt:lpwstr>
      </vt:variant>
      <vt:variant>
        <vt:lpwstr/>
      </vt:variant>
      <vt:variant>
        <vt:i4>4784173</vt:i4>
      </vt:variant>
      <vt:variant>
        <vt:i4>6</vt:i4>
      </vt:variant>
      <vt:variant>
        <vt:i4>0</vt:i4>
      </vt:variant>
      <vt:variant>
        <vt:i4>5</vt:i4>
      </vt:variant>
      <vt:variant>
        <vt:lpwstr>mailto:Cortnie.Shupe@cfpb.gov</vt:lpwstr>
      </vt:variant>
      <vt:variant>
        <vt:lpwstr/>
      </vt:variant>
      <vt:variant>
        <vt:i4>327789</vt:i4>
      </vt:variant>
      <vt:variant>
        <vt:i4>3</vt:i4>
      </vt:variant>
      <vt:variant>
        <vt:i4>0</vt:i4>
      </vt:variant>
      <vt:variant>
        <vt:i4>5</vt:i4>
      </vt:variant>
      <vt:variant>
        <vt:lpwstr>mailto:Caroline.Hong@cfpb.gov</vt:lpwstr>
      </vt:variant>
      <vt:variant>
        <vt:lpwstr/>
      </vt:variant>
      <vt:variant>
        <vt:i4>327789</vt:i4>
      </vt:variant>
      <vt:variant>
        <vt:i4>0</vt:i4>
      </vt:variant>
      <vt:variant>
        <vt:i4>0</vt:i4>
      </vt:variant>
      <vt:variant>
        <vt:i4>5</vt:i4>
      </vt:variant>
      <vt:variant>
        <vt:lpwstr>mailto:Caroline.Hong@cfpb.gov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May, Anthony (CFPB)</cp:lastModifiedBy>
  <cp:revision>2</cp:revision>
  <cp:lastPrinted>2019-02-21T15:10:00Z</cp:lastPrinted>
  <dcterms:created xsi:type="dcterms:W3CDTF">2021-10-08T19:10:00Z</dcterms:created>
  <dcterms:modified xsi:type="dcterms:W3CDTF">2021-10-08T19:10:00Z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0x010100AF5D719A330BE9498B2C5974DBEAC038003B1842B5CD6C4946B5D34D49FF3F0AAB</vt:lpwstr>
  </property>
  <property fmtid="{D5CDD505-2E9C-101B-9397-08002B2CF9AE}" pid="3" name="Order">
    <vt:r8>13508800</vt:r8>
  </property>
  <property fmtid="{D5CDD505-2E9C-101B-9397-08002B2CF9AE}" pid="4" name="TaxKeyword">
    <vt:lpwstr/>
  </property>
  <property fmtid="{D5CDD505-2E9C-101B-9397-08002B2CF9AE}" pid="5" name="_dlc_DocIdItemGuid">
    <vt:lpwstr>0b2f6a68-36c6-40ac-a221-b0bc152c1cf9</vt:lpwstr>
  </property>
</Properties>
</file>