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01A53" w:rsidR="00001A53" w:rsidP="001F67F7" w:rsidRDefault="00001A53" w14:paraId="1697AA3A" w14:textId="0C0428AA">
      <w:pPr>
        <w:jc w:val="center"/>
        <w:rPr>
          <w:rFonts w:ascii="Arial" w:hAnsi="Arial" w:cs="Arial"/>
          <w:b/>
          <w:sz w:val="28"/>
          <w:szCs w:val="28"/>
          <w:u w:val="single"/>
        </w:rPr>
      </w:pPr>
      <w:r w:rsidRPr="00001A53">
        <w:rPr>
          <w:rFonts w:ascii="Arial" w:hAnsi="Arial" w:cs="Arial"/>
          <w:b/>
          <w:sz w:val="28"/>
          <w:szCs w:val="28"/>
          <w:u w:val="single"/>
        </w:rPr>
        <w:t>FNS Response to:</w:t>
      </w:r>
    </w:p>
    <w:p w:rsidRPr="001F67F7" w:rsidR="001F67F7" w:rsidP="001F67F7" w:rsidRDefault="001F67F7" w14:paraId="06C6D057" w14:textId="58CEF4F1">
      <w:pPr>
        <w:jc w:val="center"/>
        <w:rPr>
          <w:rFonts w:ascii="Arial" w:hAnsi="Arial" w:cs="Arial"/>
          <w:b/>
          <w:sz w:val="28"/>
          <w:szCs w:val="28"/>
        </w:rPr>
      </w:pPr>
      <w:r w:rsidRPr="001F67F7">
        <w:rPr>
          <w:rFonts w:ascii="Arial" w:hAnsi="Arial" w:cs="Arial"/>
          <w:b/>
          <w:sz w:val="28"/>
          <w:szCs w:val="28"/>
        </w:rPr>
        <w:t>Review of</w:t>
      </w:r>
    </w:p>
    <w:p w:rsidR="0074580A" w:rsidP="001F67F7" w:rsidRDefault="003D1B85" w14:paraId="31450976" w14:textId="668D4572">
      <w:pPr>
        <w:jc w:val="center"/>
        <w:rPr>
          <w:rFonts w:ascii="Arial" w:hAnsi="Arial" w:cs="Arial"/>
          <w:b/>
          <w:sz w:val="28"/>
          <w:szCs w:val="28"/>
        </w:rPr>
      </w:pPr>
      <w:r>
        <w:rPr>
          <w:rFonts w:ascii="Arial" w:hAnsi="Arial" w:cs="Arial"/>
          <w:b/>
          <w:sz w:val="28"/>
          <w:szCs w:val="28"/>
        </w:rPr>
        <w:t xml:space="preserve">WIC Infant and Toddler Feeding Practices Study-2 </w:t>
      </w:r>
      <w:r w:rsidR="0074580A">
        <w:rPr>
          <w:rFonts w:ascii="Arial" w:hAnsi="Arial" w:cs="Arial"/>
          <w:b/>
          <w:sz w:val="28"/>
          <w:szCs w:val="28"/>
        </w:rPr>
        <w:t>(ITFPS-2)</w:t>
      </w:r>
    </w:p>
    <w:p w:rsidR="001F67F7" w:rsidP="001F67F7" w:rsidRDefault="0074580A" w14:paraId="14334F55" w14:textId="75FAADF8">
      <w:pPr>
        <w:jc w:val="center"/>
        <w:rPr>
          <w:rFonts w:ascii="Arial" w:hAnsi="Arial" w:cs="Arial"/>
          <w:b/>
          <w:sz w:val="28"/>
          <w:szCs w:val="28"/>
        </w:rPr>
      </w:pPr>
      <w:r>
        <w:rPr>
          <w:rFonts w:ascii="Arial" w:hAnsi="Arial" w:cs="Arial"/>
          <w:b/>
          <w:sz w:val="28"/>
          <w:szCs w:val="28"/>
        </w:rPr>
        <w:t xml:space="preserve">Year </w:t>
      </w:r>
      <w:r w:rsidR="003D1B85">
        <w:rPr>
          <w:rFonts w:ascii="Arial" w:hAnsi="Arial" w:cs="Arial"/>
          <w:b/>
          <w:sz w:val="28"/>
          <w:szCs w:val="28"/>
        </w:rPr>
        <w:t>9 Follow Up</w:t>
      </w:r>
      <w:r>
        <w:rPr>
          <w:rFonts w:ascii="Arial" w:hAnsi="Arial" w:cs="Arial"/>
          <w:b/>
          <w:sz w:val="28"/>
          <w:szCs w:val="28"/>
        </w:rPr>
        <w:t xml:space="preserve"> (Y9FU)</w:t>
      </w:r>
    </w:p>
    <w:p w:rsidR="0074580A" w:rsidP="001F67F7" w:rsidRDefault="0074580A" w14:paraId="36A1D03F" w14:textId="77777777">
      <w:pPr>
        <w:jc w:val="center"/>
        <w:rPr>
          <w:rFonts w:ascii="Arial" w:hAnsi="Arial" w:cs="Arial"/>
          <w:b/>
          <w:sz w:val="28"/>
          <w:szCs w:val="28"/>
        </w:rPr>
      </w:pPr>
    </w:p>
    <w:p w:rsidRPr="001F67F7" w:rsidR="001F67F7" w:rsidP="001F67F7" w:rsidRDefault="001F67F7" w14:paraId="0F772C6D" w14:textId="3B368BE6">
      <w:pPr>
        <w:jc w:val="center"/>
        <w:rPr>
          <w:rFonts w:ascii="Arial" w:hAnsi="Arial" w:cs="Arial"/>
          <w:b/>
          <w:sz w:val="28"/>
          <w:szCs w:val="28"/>
        </w:rPr>
      </w:pPr>
      <w:r>
        <w:rPr>
          <w:rFonts w:ascii="Arial" w:hAnsi="Arial" w:cs="Arial"/>
          <w:b/>
          <w:sz w:val="28"/>
          <w:szCs w:val="28"/>
        </w:rPr>
        <w:t>Food and Nutrition Service (FNS)</w:t>
      </w:r>
    </w:p>
    <w:p w:rsidR="001F67F7" w:rsidP="001F67F7" w:rsidRDefault="00FF5E54" w14:paraId="69EFFC14" w14:textId="6F08983E">
      <w:pPr>
        <w:spacing w:after="0" w:line="240" w:lineRule="auto"/>
        <w:rPr>
          <w:rFonts w:ascii="Arial" w:hAnsi="Arial" w:cs="Arial"/>
          <w:sz w:val="24"/>
          <w:szCs w:val="24"/>
        </w:rPr>
      </w:pPr>
      <w:r>
        <w:rPr>
          <w:rFonts w:ascii="Arial" w:hAnsi="Arial" w:cs="Arial"/>
          <w:sz w:val="24"/>
          <w:szCs w:val="24"/>
        </w:rPr>
        <w:t>To:</w:t>
      </w:r>
    </w:p>
    <w:p w:rsidR="00FF5E54" w:rsidP="001F67F7" w:rsidRDefault="00FF5E54" w14:paraId="56E7127E" w14:textId="332377C0">
      <w:pPr>
        <w:spacing w:after="0" w:line="240" w:lineRule="auto"/>
        <w:rPr>
          <w:rFonts w:ascii="Arial" w:hAnsi="Arial" w:cs="Arial"/>
          <w:sz w:val="24"/>
          <w:szCs w:val="24"/>
        </w:rPr>
      </w:pPr>
      <w:r>
        <w:rPr>
          <w:rFonts w:ascii="Arial" w:hAnsi="Arial" w:cs="Arial"/>
          <w:sz w:val="24"/>
          <w:szCs w:val="24"/>
        </w:rPr>
        <w:t>David Hancock</w:t>
      </w:r>
    </w:p>
    <w:p w:rsidR="00FF5E54" w:rsidP="001F67F7" w:rsidRDefault="00FF5E54" w14:paraId="72B5E1A1" w14:textId="014D2312">
      <w:pPr>
        <w:spacing w:after="0" w:line="240" w:lineRule="auto"/>
        <w:rPr>
          <w:rFonts w:ascii="Arial" w:hAnsi="Arial" w:cs="Arial"/>
          <w:sz w:val="24"/>
          <w:szCs w:val="24"/>
        </w:rPr>
      </w:pPr>
      <w:r>
        <w:rPr>
          <w:rFonts w:ascii="Arial" w:hAnsi="Arial" w:cs="Arial"/>
          <w:sz w:val="24"/>
          <w:szCs w:val="24"/>
        </w:rPr>
        <w:t>NASS OMB Clearance Officer</w:t>
      </w:r>
    </w:p>
    <w:p w:rsidR="00FF5E54" w:rsidP="001F67F7" w:rsidRDefault="00FF5E54" w14:paraId="07471F44" w14:textId="4FCE740E">
      <w:pPr>
        <w:spacing w:after="0" w:line="240" w:lineRule="auto"/>
        <w:rPr>
          <w:rFonts w:ascii="Arial" w:hAnsi="Arial" w:cs="Arial"/>
          <w:sz w:val="24"/>
          <w:szCs w:val="24"/>
        </w:rPr>
      </w:pPr>
      <w:hyperlink w:history="1" r:id="rId7">
        <w:r w:rsidRPr="00E24A57">
          <w:rPr>
            <w:rStyle w:val="Hyperlink"/>
            <w:rFonts w:ascii="Arial" w:hAnsi="Arial" w:cs="Arial"/>
            <w:sz w:val="24"/>
            <w:szCs w:val="24"/>
          </w:rPr>
          <w:t>David.w.hancock@usda.gov</w:t>
        </w:r>
      </w:hyperlink>
    </w:p>
    <w:p w:rsidR="00FF5E54" w:rsidP="001F67F7" w:rsidRDefault="00FF5E54" w14:paraId="553093C5" w14:textId="21E16146">
      <w:pPr>
        <w:spacing w:after="0" w:line="240" w:lineRule="auto"/>
        <w:rPr>
          <w:rFonts w:ascii="Arial" w:hAnsi="Arial" w:cs="Arial"/>
          <w:sz w:val="24"/>
          <w:szCs w:val="24"/>
        </w:rPr>
      </w:pPr>
      <w:r>
        <w:rPr>
          <w:rFonts w:ascii="Arial" w:hAnsi="Arial" w:cs="Arial"/>
          <w:sz w:val="24"/>
          <w:szCs w:val="24"/>
        </w:rPr>
        <w:t>(202) 690 2388</w:t>
      </w:r>
    </w:p>
    <w:p w:rsidR="00FF5E54" w:rsidP="001F67F7" w:rsidRDefault="00FF5E54" w14:paraId="5E5D7A44" w14:textId="77777777">
      <w:pPr>
        <w:spacing w:after="0" w:line="240" w:lineRule="auto"/>
        <w:rPr>
          <w:rFonts w:ascii="Arial" w:hAnsi="Arial" w:cs="Arial"/>
          <w:sz w:val="24"/>
          <w:szCs w:val="24"/>
        </w:rPr>
      </w:pPr>
    </w:p>
    <w:p w:rsidR="00FF5E54" w:rsidP="00FF5E54" w:rsidRDefault="00FF5E54" w14:paraId="0CA80454" w14:textId="139D05C5">
      <w:pPr>
        <w:spacing w:after="0" w:line="240" w:lineRule="auto"/>
        <w:rPr>
          <w:rFonts w:ascii="Arial" w:hAnsi="Arial" w:cs="Arial"/>
          <w:sz w:val="24"/>
          <w:szCs w:val="24"/>
        </w:rPr>
      </w:pPr>
      <w:r>
        <w:rPr>
          <w:rFonts w:ascii="Arial" w:hAnsi="Arial" w:cs="Arial"/>
          <w:sz w:val="24"/>
          <w:szCs w:val="24"/>
        </w:rPr>
        <w:t xml:space="preserve">And the </w:t>
      </w:r>
      <w:r w:rsidRPr="00FF5E54">
        <w:rPr>
          <w:rFonts w:ascii="Arial" w:hAnsi="Arial" w:cs="Arial"/>
          <w:sz w:val="24"/>
          <w:szCs w:val="24"/>
        </w:rPr>
        <w:t>Sampling and Frame Development Section</w:t>
      </w:r>
      <w:r>
        <w:rPr>
          <w:rFonts w:ascii="Arial" w:hAnsi="Arial" w:cs="Arial"/>
          <w:sz w:val="24"/>
          <w:szCs w:val="24"/>
        </w:rPr>
        <w:t xml:space="preserve"> of NASS</w:t>
      </w:r>
      <w:r w:rsidRPr="00FF5E54">
        <w:rPr>
          <w:rFonts w:ascii="Arial" w:hAnsi="Arial" w:cs="Arial"/>
          <w:sz w:val="24"/>
          <w:szCs w:val="24"/>
        </w:rPr>
        <w:t xml:space="preserve">    </w:t>
      </w:r>
    </w:p>
    <w:p w:rsidRPr="00FF5E54" w:rsidR="00FF5E54" w:rsidP="00FF5E54" w:rsidRDefault="00FF5E54" w14:paraId="2AD52404" w14:textId="2FBB9281">
      <w:pPr>
        <w:spacing w:after="0" w:line="240" w:lineRule="auto"/>
        <w:ind w:left="720"/>
        <w:rPr>
          <w:rFonts w:ascii="Arial" w:hAnsi="Arial" w:cs="Arial"/>
          <w:sz w:val="24"/>
          <w:szCs w:val="24"/>
          <w:lang w:val="es-MX"/>
        </w:rPr>
      </w:pPr>
      <w:r w:rsidRPr="00FF5E54">
        <w:rPr>
          <w:rFonts w:ascii="Arial" w:hAnsi="Arial" w:cs="Arial"/>
          <w:sz w:val="24"/>
          <w:szCs w:val="24"/>
          <w:lang w:val="es-MX"/>
        </w:rPr>
        <w:t>Peter Quan</w:t>
      </w:r>
      <w:r w:rsidRPr="00FF5E54">
        <w:rPr>
          <w:rFonts w:ascii="Arial" w:hAnsi="Arial" w:cs="Arial"/>
          <w:sz w:val="24"/>
          <w:szCs w:val="24"/>
          <w:lang w:val="es-MX"/>
        </w:rPr>
        <w:t xml:space="preserve"> -peter.quan@usda.gov </w:t>
      </w:r>
    </w:p>
    <w:p w:rsidRPr="00FF5E54" w:rsidR="00FF5E54" w:rsidP="00FF5E54" w:rsidRDefault="00FF5E54" w14:paraId="4DD377EE" w14:textId="04CBB4B4">
      <w:pPr>
        <w:spacing w:after="0" w:line="240" w:lineRule="auto"/>
        <w:ind w:left="720"/>
        <w:rPr>
          <w:rFonts w:ascii="Arial" w:hAnsi="Arial" w:cs="Arial"/>
          <w:sz w:val="24"/>
          <w:szCs w:val="24"/>
        </w:rPr>
      </w:pPr>
      <w:r w:rsidRPr="00FF5E54">
        <w:rPr>
          <w:rFonts w:ascii="Arial" w:hAnsi="Arial" w:cs="Arial"/>
          <w:sz w:val="24"/>
          <w:szCs w:val="24"/>
        </w:rPr>
        <w:t>Alison Black</w:t>
      </w:r>
      <w:r>
        <w:rPr>
          <w:rFonts w:ascii="Arial" w:hAnsi="Arial" w:cs="Arial"/>
          <w:sz w:val="24"/>
          <w:szCs w:val="24"/>
        </w:rPr>
        <w:t xml:space="preserve"> - </w:t>
      </w:r>
      <w:r w:rsidRPr="00FF5E54">
        <w:rPr>
          <w:rFonts w:ascii="Arial" w:hAnsi="Arial" w:cs="Arial"/>
          <w:sz w:val="24"/>
          <w:szCs w:val="24"/>
        </w:rPr>
        <w:t>alison.black@usda.gov</w:t>
      </w:r>
    </w:p>
    <w:p w:rsidRPr="00FF5E54" w:rsidR="00FF5E54" w:rsidP="00FF5E54" w:rsidRDefault="00FF5E54" w14:paraId="44ACD46E" w14:textId="7059C78E">
      <w:pPr>
        <w:spacing w:after="0" w:line="240" w:lineRule="auto"/>
        <w:ind w:left="720"/>
        <w:rPr>
          <w:rFonts w:ascii="Arial" w:hAnsi="Arial" w:cs="Arial"/>
          <w:sz w:val="24"/>
          <w:szCs w:val="24"/>
        </w:rPr>
      </w:pPr>
      <w:r w:rsidRPr="00FF5E54">
        <w:rPr>
          <w:rFonts w:ascii="Arial" w:hAnsi="Arial" w:cs="Arial"/>
          <w:sz w:val="24"/>
          <w:szCs w:val="24"/>
        </w:rPr>
        <w:t>Beth Schlein</w:t>
      </w:r>
      <w:r>
        <w:rPr>
          <w:rFonts w:ascii="Arial" w:hAnsi="Arial" w:cs="Arial"/>
          <w:sz w:val="24"/>
          <w:szCs w:val="24"/>
        </w:rPr>
        <w:t xml:space="preserve"> - </w:t>
      </w:r>
      <w:r w:rsidRPr="00FF5E54">
        <w:rPr>
          <w:rFonts w:ascii="Arial" w:hAnsi="Arial" w:cs="Arial"/>
          <w:sz w:val="24"/>
          <w:szCs w:val="24"/>
        </w:rPr>
        <w:t>beth.schlein@usda.gov</w:t>
      </w:r>
    </w:p>
    <w:p w:rsidRPr="00FF5E54" w:rsidR="00FF5E54" w:rsidP="00FF5E54" w:rsidRDefault="00FF5E54" w14:paraId="355E5A2D" w14:textId="3457E842">
      <w:pPr>
        <w:spacing w:after="0" w:line="240" w:lineRule="auto"/>
        <w:ind w:left="720"/>
        <w:rPr>
          <w:rFonts w:ascii="Arial" w:hAnsi="Arial" w:cs="Arial"/>
          <w:sz w:val="24"/>
          <w:szCs w:val="24"/>
        </w:rPr>
      </w:pPr>
      <w:r w:rsidRPr="00FF5E54">
        <w:rPr>
          <w:rFonts w:ascii="Arial" w:hAnsi="Arial" w:cs="Arial"/>
          <w:sz w:val="24"/>
          <w:szCs w:val="24"/>
        </w:rPr>
        <w:t>Linette Lanclos</w:t>
      </w:r>
      <w:r>
        <w:rPr>
          <w:rFonts w:ascii="Arial" w:hAnsi="Arial" w:cs="Arial"/>
          <w:sz w:val="24"/>
          <w:szCs w:val="24"/>
        </w:rPr>
        <w:t xml:space="preserve"> - </w:t>
      </w:r>
      <w:r w:rsidRPr="00FF5E54">
        <w:rPr>
          <w:rFonts w:ascii="Arial" w:hAnsi="Arial" w:cs="Arial"/>
          <w:sz w:val="24"/>
          <w:szCs w:val="24"/>
        </w:rPr>
        <w:t>linette.lanclos@usda.gov</w:t>
      </w:r>
    </w:p>
    <w:p w:rsidRPr="00FF5E54" w:rsidR="00FF5E54" w:rsidP="00FF5E54" w:rsidRDefault="00FF5E54" w14:paraId="7FB63E7F" w14:textId="5FF514DE">
      <w:pPr>
        <w:spacing w:after="0" w:line="240" w:lineRule="auto"/>
        <w:ind w:left="720"/>
        <w:rPr>
          <w:rFonts w:ascii="Arial" w:hAnsi="Arial" w:cs="Arial"/>
          <w:sz w:val="24"/>
          <w:szCs w:val="24"/>
        </w:rPr>
      </w:pPr>
      <w:r>
        <w:rPr>
          <w:rFonts w:ascii="Arial" w:hAnsi="Arial" w:cs="Arial"/>
          <w:sz w:val="24"/>
          <w:szCs w:val="24"/>
        </w:rPr>
        <w:t xml:space="preserve">Bayazid Sarkar - </w:t>
      </w:r>
      <w:r w:rsidRPr="00FF5E54">
        <w:rPr>
          <w:rFonts w:ascii="Arial" w:hAnsi="Arial" w:cs="Arial"/>
          <w:sz w:val="24"/>
          <w:szCs w:val="24"/>
        </w:rPr>
        <w:t>bayazid.sarkar@usda.gov</w:t>
      </w:r>
    </w:p>
    <w:p w:rsidRPr="00FF5E54" w:rsidR="00FF5E54" w:rsidP="00FF5E54" w:rsidRDefault="00FF5E54" w14:paraId="0D88794A" w14:textId="6D19A144">
      <w:pPr>
        <w:spacing w:after="0" w:line="240" w:lineRule="auto"/>
        <w:ind w:left="720"/>
        <w:rPr>
          <w:rFonts w:ascii="Arial" w:hAnsi="Arial" w:cs="Arial"/>
          <w:sz w:val="24"/>
          <w:szCs w:val="24"/>
        </w:rPr>
      </w:pPr>
      <w:r w:rsidRPr="00FF5E54">
        <w:rPr>
          <w:rFonts w:ascii="Arial" w:hAnsi="Arial" w:cs="Arial"/>
          <w:sz w:val="24"/>
          <w:szCs w:val="24"/>
        </w:rPr>
        <w:t>Duan Franklin</w:t>
      </w:r>
      <w:r>
        <w:rPr>
          <w:rFonts w:ascii="Arial" w:hAnsi="Arial" w:cs="Arial"/>
          <w:sz w:val="24"/>
          <w:szCs w:val="24"/>
        </w:rPr>
        <w:t xml:space="preserve"> - </w:t>
      </w:r>
      <w:r w:rsidRPr="00FF5E54">
        <w:rPr>
          <w:rFonts w:ascii="Arial" w:hAnsi="Arial" w:cs="Arial"/>
          <w:sz w:val="24"/>
          <w:szCs w:val="24"/>
        </w:rPr>
        <w:t>franklin.duan@usda.gov</w:t>
      </w:r>
    </w:p>
    <w:p w:rsidR="00FF5E54" w:rsidP="00FF5E54" w:rsidRDefault="00FF5E54" w14:paraId="47A1B5C5" w14:textId="35B2AD9D">
      <w:pPr>
        <w:spacing w:after="0" w:line="240" w:lineRule="auto"/>
        <w:rPr>
          <w:rFonts w:ascii="Arial" w:hAnsi="Arial" w:cs="Arial"/>
          <w:sz w:val="24"/>
          <w:szCs w:val="24"/>
        </w:rPr>
      </w:pPr>
    </w:p>
    <w:p w:rsidR="00E343E1" w:rsidP="00FF5E54" w:rsidRDefault="00E343E1" w14:paraId="6E45D0C6" w14:textId="77777777">
      <w:pPr>
        <w:spacing w:after="0" w:line="240" w:lineRule="auto"/>
        <w:rPr>
          <w:rFonts w:ascii="Arial" w:hAnsi="Arial" w:cs="Arial"/>
          <w:sz w:val="24"/>
          <w:szCs w:val="24"/>
        </w:rPr>
      </w:pPr>
    </w:p>
    <w:p w:rsidR="00E343E1" w:rsidP="00FF5E54" w:rsidRDefault="00E343E1" w14:paraId="22BB2F63" w14:textId="6AC2A2A6">
      <w:pPr>
        <w:spacing w:after="0" w:line="240" w:lineRule="auto"/>
        <w:rPr>
          <w:rFonts w:ascii="Arial" w:hAnsi="Arial" w:cs="Arial"/>
          <w:sz w:val="24"/>
          <w:szCs w:val="24"/>
        </w:rPr>
      </w:pPr>
      <w:r>
        <w:rPr>
          <w:rFonts w:ascii="Arial" w:hAnsi="Arial" w:cs="Arial"/>
          <w:sz w:val="24"/>
          <w:szCs w:val="24"/>
        </w:rPr>
        <w:t>Thank you for your thoughtful review of the ITFPS-2 Year 9 Follow Up.</w:t>
      </w:r>
      <w:r w:rsidR="00AF7106">
        <w:rPr>
          <w:rFonts w:ascii="Arial" w:hAnsi="Arial" w:cs="Arial"/>
          <w:sz w:val="24"/>
          <w:szCs w:val="24"/>
        </w:rPr>
        <w:t xml:space="preserve"> Please see our responses to your comments and questions below as well as </w:t>
      </w:r>
      <w:bookmarkStart w:name="_GoBack" w:id="0"/>
      <w:r w:rsidR="00AF7106">
        <w:rPr>
          <w:rFonts w:ascii="Arial" w:hAnsi="Arial" w:cs="Arial"/>
          <w:sz w:val="24"/>
          <w:szCs w:val="24"/>
        </w:rPr>
        <w:t xml:space="preserve">indications </w:t>
      </w:r>
      <w:bookmarkEnd w:id="0"/>
      <w:r w:rsidR="00AF7106">
        <w:rPr>
          <w:rFonts w:ascii="Arial" w:hAnsi="Arial" w:cs="Arial"/>
          <w:sz w:val="24"/>
          <w:szCs w:val="24"/>
        </w:rPr>
        <w:t xml:space="preserve">of where we edited the ICR documents to reflect your comments. </w:t>
      </w:r>
    </w:p>
    <w:p w:rsidR="00E343E1" w:rsidP="00FF5E54" w:rsidRDefault="00E343E1" w14:paraId="3944AF8D" w14:textId="3D6AED5F">
      <w:pPr>
        <w:spacing w:after="0" w:line="240" w:lineRule="auto"/>
        <w:rPr>
          <w:rFonts w:ascii="Arial" w:hAnsi="Arial" w:cs="Arial"/>
          <w:sz w:val="24"/>
          <w:szCs w:val="24"/>
        </w:rPr>
      </w:pPr>
    </w:p>
    <w:p w:rsidR="001F67F7" w:rsidP="00FF5E54" w:rsidRDefault="001F67F7" w14:paraId="1D8AC470" w14:textId="388033FE">
      <w:pPr>
        <w:spacing w:after="0" w:line="240" w:lineRule="auto"/>
        <w:rPr>
          <w:rFonts w:ascii="Arial" w:hAnsi="Arial" w:cs="Arial"/>
          <w:sz w:val="24"/>
          <w:szCs w:val="24"/>
        </w:rPr>
      </w:pPr>
    </w:p>
    <w:p w:rsidRPr="00E343E1" w:rsidR="00E343E1" w:rsidP="00FF5E54" w:rsidRDefault="00E343E1" w14:paraId="29575E62" w14:textId="11CEEF36">
      <w:pPr>
        <w:spacing w:after="0" w:line="240" w:lineRule="auto"/>
        <w:rPr>
          <w:rFonts w:ascii="Arial" w:hAnsi="Arial" w:cs="Arial"/>
          <w:b/>
          <w:sz w:val="24"/>
          <w:szCs w:val="24"/>
        </w:rPr>
      </w:pPr>
      <w:r w:rsidRPr="00E343E1">
        <w:rPr>
          <w:rFonts w:ascii="Arial" w:hAnsi="Arial" w:cs="Arial"/>
          <w:b/>
          <w:sz w:val="24"/>
          <w:szCs w:val="24"/>
        </w:rPr>
        <w:t>Reviewer Comments:</w:t>
      </w:r>
    </w:p>
    <w:p w:rsidR="00E343E1" w:rsidP="00FF5E54" w:rsidRDefault="00E343E1" w14:paraId="3E3B718C" w14:textId="77777777">
      <w:pPr>
        <w:spacing w:after="0" w:line="240" w:lineRule="auto"/>
        <w:rPr>
          <w:b/>
        </w:rPr>
      </w:pPr>
    </w:p>
    <w:p w:rsidR="003D1B85" w:rsidRDefault="003D1B85" w14:paraId="7EBE415B" w14:textId="3FA29801">
      <w:pPr>
        <w:rPr>
          <w:rFonts w:ascii="Arial" w:hAnsi="Arial" w:cs="Arial"/>
          <w:sz w:val="24"/>
          <w:szCs w:val="24"/>
        </w:rPr>
      </w:pPr>
      <w:r w:rsidRPr="003D1B85">
        <w:rPr>
          <w:rFonts w:ascii="Arial" w:hAnsi="Arial" w:cs="Arial"/>
          <w:sz w:val="24"/>
          <w:szCs w:val="24"/>
        </w:rPr>
        <w:t xml:space="preserve">The first phase sampling frame process to create 40 strata were not clear. </w:t>
      </w:r>
    </w:p>
    <w:p w:rsidRPr="002100E1" w:rsidR="009F0D29" w:rsidP="009F0D29" w:rsidRDefault="009F0D29" w14:paraId="7F712C7E" w14:textId="7F300DEF">
      <w:pPr>
        <w:pStyle w:val="ListParagraph"/>
        <w:numPr>
          <w:ilvl w:val="0"/>
          <w:numId w:val="1"/>
        </w:numPr>
        <w:rPr>
          <w:rFonts w:ascii="Times New Roman" w:hAnsi="Times New Roman" w:cs="Times New Roman"/>
          <w:sz w:val="24"/>
          <w:szCs w:val="24"/>
        </w:rPr>
      </w:pPr>
      <w:r w:rsidRPr="002100E1">
        <w:rPr>
          <w:rFonts w:ascii="Times New Roman" w:hAnsi="Times New Roman" w:cs="Times New Roman"/>
          <w:b/>
          <w:bCs/>
          <w:sz w:val="24"/>
          <w:szCs w:val="24"/>
        </w:rPr>
        <w:t>FNS Response:</w:t>
      </w:r>
      <w:r w:rsidRPr="002100E1">
        <w:rPr>
          <w:rFonts w:ascii="Times New Roman" w:hAnsi="Times New Roman" w:cs="Times New Roman"/>
          <w:sz w:val="24"/>
          <w:szCs w:val="24"/>
        </w:rPr>
        <w:t xml:space="preserve"> </w:t>
      </w:r>
      <w:r w:rsidR="003D1B85">
        <w:rPr>
          <w:rFonts w:ascii="Times New Roman" w:hAnsi="Times New Roman" w:cs="Times New Roman"/>
          <w:sz w:val="24"/>
          <w:szCs w:val="24"/>
        </w:rPr>
        <w:t>Added language to App_Z.Base study sampling methods.docx further explain the 40 strata</w:t>
      </w:r>
      <w:r w:rsidRPr="002100E1">
        <w:rPr>
          <w:rFonts w:ascii="Times New Roman" w:hAnsi="Times New Roman" w:cs="Times New Roman"/>
          <w:sz w:val="24"/>
          <w:szCs w:val="24"/>
        </w:rPr>
        <w:t>.</w:t>
      </w:r>
    </w:p>
    <w:p w:rsidRPr="003D1B85" w:rsidR="003D1B85" w:rsidP="003D1B85" w:rsidRDefault="003D1B85" w14:paraId="74687055" w14:textId="7D56C2CB">
      <w:pPr>
        <w:rPr>
          <w:rFonts w:ascii="Arial" w:hAnsi="Arial" w:cs="Arial"/>
          <w:sz w:val="24"/>
          <w:szCs w:val="24"/>
        </w:rPr>
      </w:pPr>
      <w:r w:rsidRPr="003D1B85">
        <w:rPr>
          <w:rFonts w:ascii="Arial" w:hAnsi="Arial" w:cs="Arial"/>
          <w:sz w:val="24"/>
          <w:szCs w:val="24"/>
        </w:rPr>
        <w:t>After the second phase WIC site selection; the selection of the mothers/caregivers within a</w:t>
      </w:r>
      <w:r>
        <w:rPr>
          <w:rFonts w:ascii="Arial" w:hAnsi="Arial" w:cs="Arial"/>
          <w:sz w:val="24"/>
          <w:szCs w:val="24"/>
        </w:rPr>
        <w:t xml:space="preserve"> ‘window’ were not clear.</w:t>
      </w:r>
    </w:p>
    <w:p w:rsidRPr="002100E1" w:rsidR="003D1B85" w:rsidP="003D1B85" w:rsidRDefault="003D1B85" w14:paraId="4BBEEC18" w14:textId="24CD64FA">
      <w:pPr>
        <w:pStyle w:val="ListParagraph"/>
        <w:numPr>
          <w:ilvl w:val="0"/>
          <w:numId w:val="1"/>
        </w:numPr>
        <w:rPr>
          <w:rFonts w:ascii="Times New Roman" w:hAnsi="Times New Roman" w:cs="Times New Roman"/>
          <w:sz w:val="24"/>
          <w:szCs w:val="24"/>
        </w:rPr>
      </w:pPr>
      <w:r w:rsidRPr="002100E1">
        <w:rPr>
          <w:rFonts w:ascii="Times New Roman" w:hAnsi="Times New Roman" w:cs="Times New Roman"/>
          <w:b/>
          <w:bCs/>
          <w:sz w:val="24"/>
          <w:szCs w:val="24"/>
        </w:rPr>
        <w:t>FNS Response:</w:t>
      </w:r>
      <w:r w:rsidRPr="002100E1">
        <w:rPr>
          <w:rFonts w:ascii="Times New Roman" w:hAnsi="Times New Roman" w:cs="Times New Roman"/>
          <w:sz w:val="24"/>
          <w:szCs w:val="24"/>
        </w:rPr>
        <w:t xml:space="preserve"> </w:t>
      </w:r>
      <w:r>
        <w:rPr>
          <w:rFonts w:ascii="Times New Roman" w:hAnsi="Times New Roman" w:cs="Times New Roman"/>
          <w:sz w:val="24"/>
          <w:szCs w:val="24"/>
        </w:rPr>
        <w:t>Added language to App_Z.Base study sampling methods.docx further explain the recruitment “window”</w:t>
      </w:r>
      <w:r w:rsidRPr="002100E1">
        <w:rPr>
          <w:rFonts w:ascii="Times New Roman" w:hAnsi="Times New Roman" w:cs="Times New Roman"/>
          <w:sz w:val="24"/>
          <w:szCs w:val="24"/>
        </w:rPr>
        <w:t>.</w:t>
      </w:r>
    </w:p>
    <w:p w:rsidR="00D62901" w:rsidRDefault="003D1B85" w14:paraId="4FCE1E25" w14:textId="63667602">
      <w:pPr>
        <w:rPr>
          <w:rFonts w:ascii="Arial" w:hAnsi="Arial" w:cs="Arial"/>
          <w:sz w:val="24"/>
          <w:szCs w:val="24"/>
        </w:rPr>
      </w:pPr>
      <w:r>
        <w:rPr>
          <w:rFonts w:ascii="Arial" w:hAnsi="Arial" w:cs="Arial"/>
          <w:sz w:val="24"/>
          <w:szCs w:val="24"/>
        </w:rPr>
        <w:t xml:space="preserve">It’s not clear how the Y9FU Study subsample will be selected. </w:t>
      </w:r>
    </w:p>
    <w:p w:rsidRPr="002100E1" w:rsidR="00491634" w:rsidP="00491634" w:rsidRDefault="00491634" w14:paraId="668F0C94" w14:textId="2BBBDDAF">
      <w:pPr>
        <w:pStyle w:val="ListParagraph"/>
        <w:numPr>
          <w:ilvl w:val="0"/>
          <w:numId w:val="1"/>
        </w:numPr>
        <w:rPr>
          <w:rFonts w:ascii="Times New Roman" w:hAnsi="Times New Roman" w:cs="Times New Roman"/>
          <w:sz w:val="24"/>
          <w:szCs w:val="24"/>
        </w:rPr>
      </w:pPr>
      <w:r w:rsidRPr="002100E1">
        <w:rPr>
          <w:rFonts w:ascii="Times New Roman" w:hAnsi="Times New Roman" w:cs="Times New Roman"/>
          <w:b/>
          <w:bCs/>
          <w:sz w:val="24"/>
          <w:szCs w:val="24"/>
        </w:rPr>
        <w:lastRenderedPageBreak/>
        <w:t>FNS Response:</w:t>
      </w:r>
      <w:r w:rsidRPr="002100E1">
        <w:rPr>
          <w:rFonts w:ascii="Times New Roman" w:hAnsi="Times New Roman" w:cs="Times New Roman"/>
          <w:sz w:val="24"/>
          <w:szCs w:val="24"/>
        </w:rPr>
        <w:t xml:space="preserve"> </w:t>
      </w:r>
      <w:r w:rsidRPr="002100E1" w:rsidR="002100E1">
        <w:rPr>
          <w:rFonts w:ascii="Times New Roman" w:hAnsi="Times New Roman" w:cs="Times New Roman"/>
          <w:sz w:val="24"/>
          <w:szCs w:val="24"/>
        </w:rPr>
        <w:t>T</w:t>
      </w:r>
      <w:r w:rsidR="007134E5">
        <w:rPr>
          <w:rFonts w:ascii="Times New Roman" w:hAnsi="Times New Roman" w:cs="Times New Roman"/>
          <w:sz w:val="24"/>
          <w:szCs w:val="24"/>
        </w:rPr>
        <w:t>he subsample obtained from the beginning of the ITFPS-2 sampling will comprise the Y9FU subsample. No new recruitment will take place for this study</w:t>
      </w:r>
      <w:r w:rsidR="00296250">
        <w:rPr>
          <w:rFonts w:ascii="Times New Roman" w:hAnsi="Times New Roman" w:cs="Times New Roman"/>
          <w:sz w:val="24"/>
          <w:szCs w:val="24"/>
        </w:rPr>
        <w:t xml:space="preserve"> and no cases will be dropped</w:t>
      </w:r>
      <w:r w:rsidRPr="002100E1" w:rsidR="002100E1">
        <w:rPr>
          <w:rFonts w:ascii="Times New Roman" w:hAnsi="Times New Roman" w:cs="Times New Roman"/>
          <w:sz w:val="24"/>
          <w:szCs w:val="24"/>
        </w:rPr>
        <w:t>.</w:t>
      </w:r>
    </w:p>
    <w:p w:rsidR="00E61046" w:rsidP="007134E5" w:rsidRDefault="007134E5" w14:paraId="31675818" w14:textId="784239F0">
      <w:pPr>
        <w:rPr>
          <w:rFonts w:ascii="Arial" w:hAnsi="Arial" w:cs="Arial"/>
          <w:sz w:val="24"/>
          <w:szCs w:val="24"/>
        </w:rPr>
      </w:pPr>
      <w:r w:rsidRPr="007134E5">
        <w:rPr>
          <w:rFonts w:ascii="Arial" w:hAnsi="Arial" w:cs="Arial"/>
          <w:sz w:val="24"/>
          <w:szCs w:val="24"/>
        </w:rPr>
        <w:t>For the Y9FU Study sample, it instructs mothers/caregivers – w</w:t>
      </w:r>
      <w:r>
        <w:rPr>
          <w:rFonts w:ascii="Arial" w:hAnsi="Arial" w:cs="Arial"/>
          <w:sz w:val="24"/>
          <w:szCs w:val="24"/>
        </w:rPr>
        <w:t xml:space="preserve">ho were just at a WIC site – to </w:t>
      </w:r>
      <w:r w:rsidRPr="007134E5">
        <w:rPr>
          <w:rFonts w:ascii="Arial" w:hAnsi="Arial" w:cs="Arial"/>
          <w:sz w:val="24"/>
          <w:szCs w:val="24"/>
        </w:rPr>
        <w:t>mail measurement results back to WIC. Why not drop it of at th</w:t>
      </w:r>
      <w:r>
        <w:rPr>
          <w:rFonts w:ascii="Arial" w:hAnsi="Arial" w:cs="Arial"/>
          <w:sz w:val="24"/>
          <w:szCs w:val="24"/>
        </w:rPr>
        <w:t xml:space="preserve">e WIC site or have the WIC site </w:t>
      </w:r>
      <w:r w:rsidRPr="007134E5">
        <w:rPr>
          <w:rFonts w:ascii="Arial" w:hAnsi="Arial" w:cs="Arial"/>
          <w:sz w:val="24"/>
          <w:szCs w:val="24"/>
        </w:rPr>
        <w:t>mail it back.</w:t>
      </w:r>
      <w:r w:rsidRPr="001F67F7" w:rsidR="00E61046">
        <w:rPr>
          <w:rFonts w:ascii="Arial" w:hAnsi="Arial" w:cs="Arial"/>
          <w:sz w:val="24"/>
          <w:szCs w:val="24"/>
        </w:rPr>
        <w:t>2.</w:t>
      </w:r>
    </w:p>
    <w:p w:rsidRPr="002100E1" w:rsidR="009E342A" w:rsidP="009E342A" w:rsidRDefault="009E342A" w14:paraId="401D4CDF" w14:textId="572F2962">
      <w:pPr>
        <w:pStyle w:val="ListParagraph"/>
        <w:numPr>
          <w:ilvl w:val="0"/>
          <w:numId w:val="1"/>
        </w:numPr>
        <w:rPr>
          <w:rFonts w:ascii="Times New Roman" w:hAnsi="Times New Roman" w:cs="Times New Roman"/>
          <w:sz w:val="24"/>
          <w:szCs w:val="24"/>
        </w:rPr>
      </w:pPr>
      <w:r w:rsidRPr="002100E1">
        <w:rPr>
          <w:rFonts w:ascii="Times New Roman" w:hAnsi="Times New Roman" w:cs="Times New Roman"/>
          <w:b/>
          <w:bCs/>
          <w:sz w:val="24"/>
          <w:szCs w:val="24"/>
        </w:rPr>
        <w:t xml:space="preserve">FNS Response: </w:t>
      </w:r>
      <w:r w:rsidR="007134E5">
        <w:rPr>
          <w:rFonts w:ascii="Times New Roman" w:hAnsi="Times New Roman" w:cs="Times New Roman"/>
          <w:sz w:val="24"/>
          <w:szCs w:val="24"/>
        </w:rPr>
        <w:t>Mothers/caregivers will be instructed to send their measurement results back to Westat, the contractor conducting data collection. So far in the study, we’ve had good results with participants being responsible for sending their measurement results back – there is low burden and a high return rate</w:t>
      </w:r>
      <w:r w:rsidR="00554115">
        <w:rPr>
          <w:rFonts w:ascii="Times New Roman" w:hAnsi="Times New Roman" w:cs="Times New Roman"/>
          <w:sz w:val="24"/>
          <w:szCs w:val="24"/>
        </w:rPr>
        <w:t xml:space="preserve"> as we provide respondents with a postage-paid return envelope</w:t>
      </w:r>
      <w:r w:rsidR="007134E5">
        <w:rPr>
          <w:rFonts w:ascii="Times New Roman" w:hAnsi="Times New Roman" w:cs="Times New Roman"/>
          <w:sz w:val="24"/>
          <w:szCs w:val="24"/>
        </w:rPr>
        <w:t xml:space="preserve">. We want to avoid asking the WIC sites to be responsible for mailing back the participants measurement information to reduce burden on the WIC sites. </w:t>
      </w:r>
    </w:p>
    <w:p w:rsidR="00E61046" w:rsidRDefault="007134E5" w14:paraId="64AB64B6" w14:textId="7E021C83">
      <w:pPr>
        <w:rPr>
          <w:rFonts w:ascii="Arial" w:hAnsi="Arial" w:cs="Arial"/>
          <w:sz w:val="24"/>
          <w:szCs w:val="24"/>
        </w:rPr>
      </w:pPr>
      <w:r w:rsidRPr="007134E5">
        <w:rPr>
          <w:rFonts w:ascii="Arial" w:hAnsi="Arial" w:cs="Arial"/>
          <w:sz w:val="24"/>
          <w:szCs w:val="24"/>
        </w:rPr>
        <w:t>Incentives to participate in the study seems like they should work.</w:t>
      </w:r>
      <w:r>
        <w:rPr>
          <w:rFonts w:ascii="Arial" w:hAnsi="Arial" w:cs="Arial"/>
          <w:sz w:val="24"/>
          <w:szCs w:val="24"/>
        </w:rPr>
        <w:t xml:space="preserve"> </w:t>
      </w:r>
    </w:p>
    <w:p w:rsidRPr="002100E1" w:rsidR="009E342A" w:rsidP="009E342A" w:rsidRDefault="009E342A" w14:paraId="2F0AE3B4" w14:textId="30B84D7C">
      <w:pPr>
        <w:pStyle w:val="ListParagraph"/>
        <w:numPr>
          <w:ilvl w:val="0"/>
          <w:numId w:val="1"/>
        </w:numPr>
        <w:rPr>
          <w:rFonts w:ascii="Times New Roman" w:hAnsi="Times New Roman" w:cs="Times New Roman"/>
          <w:sz w:val="24"/>
          <w:szCs w:val="24"/>
        </w:rPr>
      </w:pPr>
      <w:r w:rsidRPr="002100E1">
        <w:rPr>
          <w:rFonts w:ascii="Times New Roman" w:hAnsi="Times New Roman" w:cs="Times New Roman"/>
          <w:b/>
          <w:bCs/>
          <w:sz w:val="24"/>
          <w:szCs w:val="24"/>
        </w:rPr>
        <w:t xml:space="preserve">FNS Response: </w:t>
      </w:r>
      <w:r w:rsidR="007134E5">
        <w:rPr>
          <w:rFonts w:ascii="Times New Roman" w:hAnsi="Times New Roman" w:cs="Times New Roman"/>
          <w:sz w:val="24"/>
          <w:szCs w:val="24"/>
        </w:rPr>
        <w:t>We agree and have had positive responses in past years of the ITFPS-2</w:t>
      </w:r>
      <w:r w:rsidRPr="002100E1" w:rsidR="002F7BA7">
        <w:rPr>
          <w:rFonts w:ascii="Times New Roman" w:hAnsi="Times New Roman" w:cs="Times New Roman"/>
          <w:sz w:val="24"/>
          <w:szCs w:val="24"/>
        </w:rPr>
        <w:t>.</w:t>
      </w:r>
    </w:p>
    <w:p w:rsidR="000F17C4" w:rsidRDefault="007134E5" w14:paraId="205386AF" w14:textId="1917D8DE">
      <w:pPr>
        <w:rPr>
          <w:rFonts w:ascii="Arial" w:hAnsi="Arial" w:cs="Arial"/>
          <w:sz w:val="24"/>
          <w:szCs w:val="24"/>
        </w:rPr>
      </w:pPr>
      <w:r w:rsidRPr="007134E5">
        <w:rPr>
          <w:rFonts w:ascii="Arial" w:hAnsi="Arial" w:cs="Arial"/>
          <w:sz w:val="24"/>
          <w:szCs w:val="24"/>
        </w:rPr>
        <w:t>Will sampled mothers/caregivers receive a copy of the questionnaire?</w:t>
      </w:r>
      <w:r>
        <w:rPr>
          <w:rFonts w:ascii="Arial" w:hAnsi="Arial" w:cs="Arial"/>
          <w:sz w:val="24"/>
          <w:szCs w:val="24"/>
        </w:rPr>
        <w:t xml:space="preserve"> </w:t>
      </w:r>
    </w:p>
    <w:p w:rsidRPr="002100E1" w:rsidR="002F7BA7" w:rsidP="002F7BA7" w:rsidRDefault="002F7BA7" w14:paraId="58A22DC4" w14:textId="084EC0D0">
      <w:pPr>
        <w:pStyle w:val="ListParagraph"/>
        <w:numPr>
          <w:ilvl w:val="0"/>
          <w:numId w:val="1"/>
        </w:numPr>
        <w:rPr>
          <w:rFonts w:ascii="Times New Roman" w:hAnsi="Times New Roman" w:cs="Times New Roman"/>
          <w:sz w:val="24"/>
          <w:szCs w:val="24"/>
        </w:rPr>
      </w:pPr>
      <w:r w:rsidRPr="002100E1">
        <w:rPr>
          <w:rFonts w:ascii="Times New Roman" w:hAnsi="Times New Roman" w:cs="Times New Roman"/>
          <w:b/>
          <w:bCs/>
          <w:sz w:val="24"/>
          <w:szCs w:val="24"/>
        </w:rPr>
        <w:t>FNS Response:</w:t>
      </w:r>
      <w:r w:rsidR="007134E5">
        <w:rPr>
          <w:rFonts w:ascii="Times New Roman" w:hAnsi="Times New Roman" w:cs="Times New Roman"/>
          <w:sz w:val="24"/>
          <w:szCs w:val="24"/>
        </w:rPr>
        <w:t xml:space="preserve"> We avoid giving mothers/caregivers a copy of the questionnaire so as not to prime them for the dietary recall and other questions. They do receive a copy of materials that may help with the dietary recall such as serving size visuals and a school meal journal to track what their child has eaten away from home</w:t>
      </w:r>
      <w:r w:rsidRPr="002100E1" w:rsidR="00E63B47">
        <w:rPr>
          <w:rFonts w:ascii="Times New Roman" w:hAnsi="Times New Roman" w:cs="Times New Roman"/>
          <w:sz w:val="24"/>
          <w:szCs w:val="24"/>
        </w:rPr>
        <w:t>.</w:t>
      </w:r>
    </w:p>
    <w:p w:rsidRPr="00224250" w:rsidR="00224250" w:rsidP="007134E5" w:rsidRDefault="007134E5" w14:paraId="4C3BD299" w14:textId="457D256B">
      <w:pPr>
        <w:rPr>
          <w:rFonts w:ascii="Arial" w:hAnsi="Arial" w:cs="Arial"/>
          <w:sz w:val="24"/>
          <w:szCs w:val="24"/>
        </w:rPr>
      </w:pPr>
      <w:r w:rsidRPr="00224250">
        <w:rPr>
          <w:rFonts w:ascii="Arial" w:hAnsi="Arial" w:cs="Arial"/>
          <w:sz w:val="24"/>
          <w:szCs w:val="24"/>
        </w:rPr>
        <w:t>It is not clear if the first or second interview correspondence ti</w:t>
      </w:r>
      <w:r w:rsidRPr="00224250" w:rsidR="00224250">
        <w:rPr>
          <w:rFonts w:ascii="Arial" w:hAnsi="Arial" w:cs="Arial"/>
          <w:sz w:val="24"/>
          <w:szCs w:val="24"/>
        </w:rPr>
        <w:t xml:space="preserve">meframe overlap with the weight </w:t>
      </w:r>
      <w:r w:rsidRPr="00224250">
        <w:rPr>
          <w:rFonts w:ascii="Arial" w:hAnsi="Arial" w:cs="Arial"/>
          <w:sz w:val="24"/>
          <w:szCs w:val="24"/>
        </w:rPr>
        <w:t>measurement card correspondence timeframe.</w:t>
      </w:r>
    </w:p>
    <w:p w:rsidRPr="002100E1" w:rsidR="00E63B47" w:rsidP="00E63B47" w:rsidRDefault="00E63B47" w14:paraId="0D35DF7F" w14:textId="384DA919">
      <w:pPr>
        <w:pStyle w:val="ListParagraph"/>
        <w:numPr>
          <w:ilvl w:val="0"/>
          <w:numId w:val="1"/>
        </w:numPr>
        <w:rPr>
          <w:rFonts w:ascii="Times New Roman" w:hAnsi="Times New Roman" w:cs="Times New Roman"/>
          <w:sz w:val="24"/>
          <w:szCs w:val="24"/>
        </w:rPr>
      </w:pPr>
      <w:r w:rsidRPr="002100E1">
        <w:rPr>
          <w:rFonts w:ascii="Times New Roman" w:hAnsi="Times New Roman" w:cs="Times New Roman"/>
          <w:b/>
          <w:bCs/>
          <w:sz w:val="24"/>
          <w:szCs w:val="24"/>
        </w:rPr>
        <w:t xml:space="preserve">FNS Response: </w:t>
      </w:r>
      <w:r w:rsidRPr="001A26DA" w:rsidR="003264E0">
        <w:rPr>
          <w:rFonts w:ascii="Times New Roman" w:hAnsi="Times New Roman" w:cs="Times New Roman"/>
          <w:bCs/>
          <w:sz w:val="24"/>
          <w:szCs w:val="24"/>
        </w:rPr>
        <w:t>(see page 2 of SSB)</w:t>
      </w:r>
      <w:r w:rsidR="003264E0">
        <w:rPr>
          <w:rFonts w:ascii="Times New Roman" w:hAnsi="Times New Roman" w:cs="Times New Roman"/>
          <w:b/>
          <w:bCs/>
          <w:sz w:val="24"/>
          <w:szCs w:val="24"/>
        </w:rPr>
        <w:t xml:space="preserve"> </w:t>
      </w:r>
      <w:r w:rsidR="00224250">
        <w:rPr>
          <w:rFonts w:ascii="Times New Roman" w:hAnsi="Times New Roman" w:cs="Times New Roman"/>
          <w:sz w:val="24"/>
          <w:szCs w:val="24"/>
        </w:rPr>
        <w:t>The SSA describes that the measurement cards will be sent to mothers/caregivers in the advanced letter (Appendix H1/H2) prior to the first and second interviews. The timing of return of the measurement card will be completely at the convenience of the mother/caregiver which could overlap the first or second interview</w:t>
      </w:r>
      <w:r w:rsidRPr="002100E1">
        <w:rPr>
          <w:rFonts w:ascii="Times New Roman" w:hAnsi="Times New Roman" w:cs="Times New Roman"/>
          <w:sz w:val="24"/>
          <w:szCs w:val="24"/>
        </w:rPr>
        <w:t>.</w:t>
      </w:r>
    </w:p>
    <w:p w:rsidR="00752614" w:rsidP="00224250" w:rsidRDefault="00224250" w14:paraId="1F583CB1" w14:textId="4F3FE06A">
      <w:pPr>
        <w:rPr>
          <w:rFonts w:ascii="Arial" w:hAnsi="Arial" w:cs="Arial"/>
          <w:sz w:val="24"/>
          <w:szCs w:val="24"/>
        </w:rPr>
      </w:pPr>
      <w:r w:rsidRPr="00224250">
        <w:rPr>
          <w:rFonts w:ascii="Arial" w:hAnsi="Arial" w:cs="Arial"/>
          <w:sz w:val="24"/>
          <w:szCs w:val="24"/>
        </w:rPr>
        <w:t>It is not clear if Y9FU Study sample interviews will occur periodica</w:t>
      </w:r>
      <w:r>
        <w:rPr>
          <w:rFonts w:ascii="Arial" w:hAnsi="Arial" w:cs="Arial"/>
          <w:sz w:val="24"/>
          <w:szCs w:val="24"/>
        </w:rPr>
        <w:t xml:space="preserve">lly as children turn nine years </w:t>
      </w:r>
      <w:r w:rsidRPr="00224250">
        <w:rPr>
          <w:rFonts w:ascii="Arial" w:hAnsi="Arial" w:cs="Arial"/>
          <w:sz w:val="24"/>
          <w:szCs w:val="24"/>
        </w:rPr>
        <w:t>old; or if there will be one designated survey period.</w:t>
      </w:r>
    </w:p>
    <w:p w:rsidRPr="002100E1" w:rsidR="00E63B47" w:rsidP="00E63B47" w:rsidRDefault="00E63B47" w14:paraId="57080EEE" w14:textId="4F8D184E">
      <w:pPr>
        <w:pStyle w:val="ListParagraph"/>
        <w:numPr>
          <w:ilvl w:val="0"/>
          <w:numId w:val="1"/>
        </w:numPr>
        <w:rPr>
          <w:rFonts w:ascii="Times New Roman" w:hAnsi="Times New Roman" w:cs="Times New Roman"/>
          <w:sz w:val="24"/>
          <w:szCs w:val="24"/>
        </w:rPr>
      </w:pPr>
      <w:r w:rsidRPr="002100E1">
        <w:rPr>
          <w:rFonts w:ascii="Times New Roman" w:hAnsi="Times New Roman" w:cs="Times New Roman"/>
          <w:b/>
          <w:bCs/>
          <w:sz w:val="24"/>
          <w:szCs w:val="24"/>
        </w:rPr>
        <w:t>FNS Response:</w:t>
      </w:r>
      <w:r w:rsidR="003264E0">
        <w:rPr>
          <w:rFonts w:ascii="Times New Roman" w:hAnsi="Times New Roman" w:cs="Times New Roman"/>
          <w:b/>
          <w:bCs/>
          <w:sz w:val="24"/>
          <w:szCs w:val="24"/>
        </w:rPr>
        <w:t xml:space="preserve"> </w:t>
      </w:r>
      <w:r w:rsidRPr="001A26DA" w:rsidR="003264E0">
        <w:rPr>
          <w:rFonts w:ascii="Times New Roman" w:hAnsi="Times New Roman" w:cs="Times New Roman"/>
          <w:bCs/>
          <w:sz w:val="24"/>
          <w:szCs w:val="24"/>
        </w:rPr>
        <w:t>(see pages 1, 2, and 4 of SSB)</w:t>
      </w:r>
      <w:r w:rsidRPr="002100E1">
        <w:rPr>
          <w:rFonts w:ascii="Times New Roman" w:hAnsi="Times New Roman" w:cs="Times New Roman"/>
          <w:b/>
          <w:bCs/>
          <w:sz w:val="24"/>
          <w:szCs w:val="24"/>
        </w:rPr>
        <w:t xml:space="preserve"> </w:t>
      </w:r>
      <w:r w:rsidR="0004746C">
        <w:rPr>
          <w:rFonts w:ascii="Times New Roman" w:hAnsi="Times New Roman" w:cs="Times New Roman"/>
          <w:sz w:val="24"/>
          <w:szCs w:val="24"/>
        </w:rPr>
        <w:t>The interviews will be around the child’s 9</w:t>
      </w:r>
      <w:r w:rsidRPr="0004746C" w:rsidR="0004746C">
        <w:rPr>
          <w:rFonts w:ascii="Times New Roman" w:hAnsi="Times New Roman" w:cs="Times New Roman"/>
          <w:sz w:val="24"/>
          <w:szCs w:val="24"/>
          <w:vertAlign w:val="superscript"/>
        </w:rPr>
        <w:t>th</w:t>
      </w:r>
      <w:r w:rsidR="0004746C">
        <w:rPr>
          <w:rFonts w:ascii="Times New Roman" w:hAnsi="Times New Roman" w:cs="Times New Roman"/>
          <w:sz w:val="24"/>
          <w:szCs w:val="24"/>
        </w:rPr>
        <w:t xml:space="preserve"> birthday (we will attempt to interview mothers/caregivers within 14 days prior to </w:t>
      </w:r>
      <w:r w:rsidR="00706267">
        <w:rPr>
          <w:rFonts w:ascii="Times New Roman" w:hAnsi="Times New Roman" w:cs="Times New Roman"/>
          <w:sz w:val="24"/>
          <w:szCs w:val="24"/>
        </w:rPr>
        <w:t xml:space="preserve">the child’s birthday to 28 days </w:t>
      </w:r>
      <w:r w:rsidR="0004746C">
        <w:rPr>
          <w:rFonts w:ascii="Times New Roman" w:hAnsi="Times New Roman" w:cs="Times New Roman"/>
          <w:sz w:val="24"/>
          <w:szCs w:val="24"/>
        </w:rPr>
        <w:t xml:space="preserve">after the child’s birthday) and since the children’s birthdays are spread out, the interview period will be from </w:t>
      </w:r>
      <w:r w:rsidR="00B664A5">
        <w:rPr>
          <w:rFonts w:ascii="Times New Roman" w:hAnsi="Times New Roman" w:cs="Times New Roman"/>
          <w:sz w:val="24"/>
          <w:szCs w:val="24"/>
        </w:rPr>
        <w:t>April 2022</w:t>
      </w:r>
      <w:r w:rsidR="0004746C">
        <w:rPr>
          <w:rFonts w:ascii="Times New Roman" w:hAnsi="Times New Roman" w:cs="Times New Roman"/>
          <w:sz w:val="24"/>
          <w:szCs w:val="24"/>
        </w:rPr>
        <w:t xml:space="preserve"> to about </w:t>
      </w:r>
      <w:r w:rsidR="00B664A5">
        <w:rPr>
          <w:rFonts w:ascii="Times New Roman" w:hAnsi="Times New Roman" w:cs="Times New Roman"/>
          <w:sz w:val="24"/>
          <w:szCs w:val="24"/>
        </w:rPr>
        <w:t>August 2023.</w:t>
      </w:r>
    </w:p>
    <w:p w:rsidR="006452DF" w:rsidP="0004746C" w:rsidRDefault="0004746C" w14:paraId="519B5C22" w14:textId="74B7ED89">
      <w:pPr>
        <w:rPr>
          <w:rFonts w:ascii="Arial" w:hAnsi="Arial" w:cs="Arial"/>
          <w:sz w:val="24"/>
          <w:szCs w:val="24"/>
        </w:rPr>
      </w:pPr>
      <w:r w:rsidRPr="0004746C">
        <w:rPr>
          <w:rFonts w:ascii="Arial" w:hAnsi="Arial" w:cs="Arial"/>
          <w:sz w:val="24"/>
          <w:szCs w:val="24"/>
        </w:rPr>
        <w:t>The sample size may not be effective in conducting the hypothesis tests based on the reduced</w:t>
      </w:r>
      <w:r>
        <w:rPr>
          <w:rFonts w:ascii="Arial" w:hAnsi="Arial" w:cs="Arial"/>
          <w:sz w:val="24"/>
          <w:szCs w:val="24"/>
        </w:rPr>
        <w:t xml:space="preserve"> </w:t>
      </w:r>
      <w:r w:rsidRPr="0004746C">
        <w:rPr>
          <w:rFonts w:ascii="Arial" w:hAnsi="Arial" w:cs="Arial"/>
          <w:sz w:val="24"/>
          <w:szCs w:val="24"/>
        </w:rPr>
        <w:t>sample from the base study and the content of the sample. The supplemental sample was</w:t>
      </w:r>
      <w:r>
        <w:rPr>
          <w:rFonts w:ascii="Arial" w:hAnsi="Arial" w:cs="Arial"/>
          <w:sz w:val="24"/>
          <w:szCs w:val="24"/>
        </w:rPr>
        <w:t xml:space="preserve"> </w:t>
      </w:r>
      <w:r w:rsidRPr="0004746C">
        <w:rPr>
          <w:rFonts w:ascii="Arial" w:hAnsi="Arial" w:cs="Arial"/>
          <w:sz w:val="24"/>
          <w:szCs w:val="24"/>
        </w:rPr>
        <w:t>designed to ensure participants with certain characteristics were represented. Through attrition</w:t>
      </w:r>
      <w:r>
        <w:rPr>
          <w:rFonts w:ascii="Arial" w:hAnsi="Arial" w:cs="Arial"/>
          <w:sz w:val="24"/>
          <w:szCs w:val="24"/>
        </w:rPr>
        <w:t xml:space="preserve"> </w:t>
      </w:r>
      <w:r w:rsidRPr="0004746C">
        <w:rPr>
          <w:rFonts w:ascii="Arial" w:hAnsi="Arial" w:cs="Arial"/>
          <w:sz w:val="24"/>
          <w:szCs w:val="24"/>
        </w:rPr>
        <w:t xml:space="preserve">that may no longer be the case. While it appears that </w:t>
      </w:r>
      <w:r w:rsidRPr="0004746C">
        <w:rPr>
          <w:rFonts w:ascii="Arial" w:hAnsi="Arial" w:cs="Arial"/>
          <w:sz w:val="24"/>
          <w:szCs w:val="24"/>
        </w:rPr>
        <w:lastRenderedPageBreak/>
        <w:t>hazard models of ord</w:t>
      </w:r>
      <w:r>
        <w:rPr>
          <w:rFonts w:ascii="Arial" w:hAnsi="Arial" w:cs="Arial"/>
          <w:sz w:val="24"/>
          <w:szCs w:val="24"/>
        </w:rPr>
        <w:t xml:space="preserve">inal data with repeated </w:t>
      </w:r>
      <w:r w:rsidRPr="0004746C">
        <w:rPr>
          <w:rFonts w:ascii="Arial" w:hAnsi="Arial" w:cs="Arial"/>
          <w:sz w:val="24"/>
          <w:szCs w:val="24"/>
        </w:rPr>
        <w:t>measures have been used to impute data; it is unclear what data would be imputed</w:t>
      </w:r>
      <w:r>
        <w:rPr>
          <w:rFonts w:ascii="Arial" w:hAnsi="Arial" w:cs="Arial"/>
          <w:sz w:val="24"/>
          <w:szCs w:val="24"/>
        </w:rPr>
        <w:t>.</w:t>
      </w:r>
    </w:p>
    <w:p w:rsidRPr="00B20470" w:rsidR="00E63B47" w:rsidP="00FD2E90" w:rsidRDefault="00E63B47" w14:paraId="5EC09910" w14:textId="04DF7A49">
      <w:pPr>
        <w:pStyle w:val="ListParagraph"/>
        <w:numPr>
          <w:ilvl w:val="0"/>
          <w:numId w:val="1"/>
        </w:numPr>
        <w:rPr>
          <w:rFonts w:ascii="Times New Roman" w:hAnsi="Times New Roman" w:cs="Times New Roman"/>
          <w:sz w:val="24"/>
          <w:szCs w:val="24"/>
        </w:rPr>
      </w:pPr>
      <w:r w:rsidRPr="002100E1">
        <w:rPr>
          <w:rFonts w:ascii="Times New Roman" w:hAnsi="Times New Roman" w:cs="Times New Roman"/>
          <w:b/>
          <w:bCs/>
          <w:sz w:val="24"/>
          <w:szCs w:val="24"/>
        </w:rPr>
        <w:t>FNS Response:</w:t>
      </w:r>
      <w:r w:rsidRPr="002100E1">
        <w:rPr>
          <w:rFonts w:ascii="Times New Roman" w:hAnsi="Times New Roman" w:cs="Times New Roman"/>
          <w:sz w:val="24"/>
          <w:szCs w:val="24"/>
        </w:rPr>
        <w:t xml:space="preserve"> </w:t>
      </w:r>
      <w:r w:rsidR="003264E0">
        <w:rPr>
          <w:rFonts w:ascii="Times New Roman" w:hAnsi="Times New Roman" w:cs="Times New Roman"/>
          <w:sz w:val="24"/>
          <w:szCs w:val="24"/>
        </w:rPr>
        <w:t xml:space="preserve">(see pages 7-8 of SSB) </w:t>
      </w:r>
      <w:r w:rsidR="00B20470">
        <w:rPr>
          <w:rFonts w:ascii="Times New Roman" w:hAnsi="Times New Roman" w:cs="Times New Roman"/>
          <w:sz w:val="24"/>
          <w:szCs w:val="24"/>
        </w:rPr>
        <w:t>T</w:t>
      </w:r>
      <w:r w:rsidR="00FD2E90">
        <w:rPr>
          <w:rFonts w:ascii="Times New Roman" w:hAnsi="Times New Roman" w:cs="Times New Roman"/>
          <w:sz w:val="24"/>
          <w:szCs w:val="24"/>
        </w:rPr>
        <w:t>here are</w:t>
      </w:r>
      <w:r w:rsidR="0075129B">
        <w:rPr>
          <w:rFonts w:ascii="Times New Roman" w:hAnsi="Times New Roman" w:cs="Times New Roman"/>
          <w:sz w:val="24"/>
          <w:szCs w:val="24"/>
        </w:rPr>
        <w:t xml:space="preserve"> no plan</w:t>
      </w:r>
      <w:r w:rsidR="00FD2E90">
        <w:rPr>
          <w:rFonts w:ascii="Times New Roman" w:hAnsi="Times New Roman" w:cs="Times New Roman"/>
          <w:sz w:val="24"/>
          <w:szCs w:val="24"/>
        </w:rPr>
        <w:t xml:space="preserve">s to impute outcomes of interest. </w:t>
      </w:r>
      <w:r w:rsidR="00B20470">
        <w:rPr>
          <w:rFonts w:ascii="Times New Roman" w:hAnsi="Times New Roman" w:cs="Times New Roman"/>
          <w:sz w:val="24"/>
          <w:szCs w:val="24"/>
        </w:rPr>
        <w:t>Rather, w</w:t>
      </w:r>
      <w:r w:rsidRPr="00B20470" w:rsidR="0074580A">
        <w:rPr>
          <w:rFonts w:ascii="Times New Roman" w:hAnsi="Times New Roman" w:cs="Times New Roman"/>
          <w:sz w:val="24"/>
          <w:szCs w:val="24"/>
        </w:rPr>
        <w:t xml:space="preserve">e will </w:t>
      </w:r>
      <w:r w:rsidR="00D02B91">
        <w:rPr>
          <w:rFonts w:ascii="Times New Roman" w:hAnsi="Times New Roman" w:cs="Times New Roman"/>
          <w:sz w:val="24"/>
          <w:szCs w:val="24"/>
        </w:rPr>
        <w:t xml:space="preserve">limit </w:t>
      </w:r>
      <w:r w:rsidRPr="00B20470" w:rsidR="0074580A">
        <w:rPr>
          <w:rFonts w:ascii="Times New Roman" w:hAnsi="Times New Roman" w:cs="Times New Roman"/>
          <w:sz w:val="24"/>
          <w:szCs w:val="24"/>
        </w:rPr>
        <w:t xml:space="preserve">imputation to </w:t>
      </w:r>
      <w:r w:rsidR="00D02B91">
        <w:rPr>
          <w:rFonts w:ascii="Times New Roman" w:hAnsi="Times New Roman" w:cs="Times New Roman"/>
          <w:sz w:val="24"/>
          <w:szCs w:val="24"/>
        </w:rPr>
        <w:t xml:space="preserve">a few </w:t>
      </w:r>
      <w:r w:rsidRPr="00B20470" w:rsidR="00FD2E90">
        <w:rPr>
          <w:rFonts w:ascii="Times New Roman" w:hAnsi="Times New Roman" w:cs="Times New Roman"/>
          <w:sz w:val="24"/>
          <w:szCs w:val="24"/>
        </w:rPr>
        <w:t>select sociodemographic characteristics of participants</w:t>
      </w:r>
      <w:r w:rsidR="00E267AB">
        <w:rPr>
          <w:rFonts w:ascii="Times New Roman" w:hAnsi="Times New Roman" w:cs="Times New Roman"/>
          <w:sz w:val="24"/>
          <w:szCs w:val="24"/>
        </w:rPr>
        <w:t>. The imputed characteristics will be used in conjunction with the unimputed responses to define</w:t>
      </w:r>
      <w:r w:rsidR="00FD2E90">
        <w:rPr>
          <w:rFonts w:ascii="Times New Roman" w:hAnsi="Times New Roman" w:cs="Times New Roman"/>
          <w:sz w:val="24"/>
          <w:szCs w:val="24"/>
        </w:rPr>
        <w:t xml:space="preserve"> </w:t>
      </w:r>
      <w:r w:rsidR="00E267AB">
        <w:rPr>
          <w:rFonts w:ascii="Times New Roman" w:hAnsi="Times New Roman" w:cs="Times New Roman"/>
          <w:sz w:val="24"/>
          <w:szCs w:val="24"/>
        </w:rPr>
        <w:t xml:space="preserve">key sociodemographic </w:t>
      </w:r>
      <w:r w:rsidR="00FD2E90">
        <w:rPr>
          <w:rFonts w:ascii="Times New Roman" w:hAnsi="Times New Roman" w:cs="Times New Roman"/>
          <w:sz w:val="24"/>
          <w:szCs w:val="24"/>
        </w:rPr>
        <w:t xml:space="preserve">subgroups. </w:t>
      </w:r>
      <w:r w:rsidR="00E267AB">
        <w:rPr>
          <w:rFonts w:ascii="Times New Roman" w:hAnsi="Times New Roman" w:cs="Times New Roman"/>
          <w:sz w:val="24"/>
          <w:szCs w:val="24"/>
        </w:rPr>
        <w:t>When defining key subgroups, s</w:t>
      </w:r>
      <w:r w:rsidR="0075129B">
        <w:rPr>
          <w:rFonts w:ascii="Times New Roman" w:hAnsi="Times New Roman" w:cs="Times New Roman"/>
          <w:sz w:val="24"/>
          <w:szCs w:val="24"/>
        </w:rPr>
        <w:t xml:space="preserve">ample size will be considered in order to ensure sufficient size for comparisons on </w:t>
      </w:r>
      <w:r w:rsidR="00CD1556">
        <w:rPr>
          <w:rFonts w:ascii="Times New Roman" w:hAnsi="Times New Roman" w:cs="Times New Roman"/>
          <w:sz w:val="24"/>
          <w:szCs w:val="24"/>
        </w:rPr>
        <w:t xml:space="preserve">broad </w:t>
      </w:r>
      <w:r w:rsidR="0075129B">
        <w:rPr>
          <w:rFonts w:ascii="Times New Roman" w:hAnsi="Times New Roman" w:cs="Times New Roman"/>
          <w:sz w:val="24"/>
          <w:szCs w:val="24"/>
        </w:rPr>
        <w:t>outcomes of interest</w:t>
      </w:r>
      <w:r w:rsidR="00AD6DA5">
        <w:rPr>
          <w:rFonts w:ascii="Times New Roman" w:hAnsi="Times New Roman" w:cs="Times New Roman"/>
          <w:sz w:val="24"/>
          <w:szCs w:val="24"/>
        </w:rPr>
        <w:t xml:space="preserve"> (e.g., mean vitamin D intake). </w:t>
      </w:r>
      <w:r w:rsidRPr="00B20470" w:rsidR="0074580A">
        <w:rPr>
          <w:rFonts w:ascii="Times New Roman" w:hAnsi="Times New Roman" w:cs="Times New Roman"/>
          <w:sz w:val="24"/>
          <w:szCs w:val="24"/>
        </w:rPr>
        <w:t xml:space="preserve"> As with weighting, a carefully designed imputation procedure will reduce bias due to item nonresponse</w:t>
      </w:r>
      <w:r w:rsidR="00D02B91">
        <w:rPr>
          <w:rFonts w:ascii="Times New Roman" w:hAnsi="Times New Roman" w:cs="Times New Roman"/>
          <w:sz w:val="24"/>
          <w:szCs w:val="24"/>
        </w:rPr>
        <w:t xml:space="preserve"> (i.e., missing data for particular</w:t>
      </w:r>
      <w:r w:rsidR="007D646F">
        <w:rPr>
          <w:rFonts w:ascii="Times New Roman" w:hAnsi="Times New Roman" w:cs="Times New Roman"/>
          <w:sz w:val="24"/>
          <w:szCs w:val="24"/>
        </w:rPr>
        <w:t xml:space="preserve"> survey</w:t>
      </w:r>
      <w:r w:rsidR="00D02B91">
        <w:rPr>
          <w:rFonts w:ascii="Times New Roman" w:hAnsi="Times New Roman" w:cs="Times New Roman"/>
          <w:sz w:val="24"/>
          <w:szCs w:val="24"/>
        </w:rPr>
        <w:t xml:space="preserve"> items among those who respond to a given interview)</w:t>
      </w:r>
      <w:r w:rsidRPr="00B20470" w:rsidR="0074580A">
        <w:rPr>
          <w:rFonts w:ascii="Times New Roman" w:hAnsi="Times New Roman" w:cs="Times New Roman"/>
          <w:sz w:val="24"/>
          <w:szCs w:val="24"/>
        </w:rPr>
        <w:t xml:space="preserve">. </w:t>
      </w:r>
    </w:p>
    <w:p w:rsidR="0074580A" w:rsidP="0074580A" w:rsidRDefault="0074580A" w14:paraId="4A44843F" w14:textId="5505A68A">
      <w:pPr>
        <w:rPr>
          <w:rFonts w:ascii="Arial" w:hAnsi="Arial" w:cs="Arial"/>
          <w:sz w:val="24"/>
          <w:szCs w:val="24"/>
        </w:rPr>
      </w:pPr>
      <w:r w:rsidRPr="0074580A">
        <w:rPr>
          <w:rFonts w:ascii="Arial" w:hAnsi="Arial" w:cs="Arial"/>
          <w:sz w:val="24"/>
          <w:szCs w:val="24"/>
        </w:rPr>
        <w:t>Authors noted for generic characteristics with certain given percent prevalence, the projected</w:t>
      </w:r>
      <w:r>
        <w:rPr>
          <w:rFonts w:ascii="Arial" w:hAnsi="Arial" w:cs="Arial"/>
          <w:sz w:val="24"/>
          <w:szCs w:val="24"/>
        </w:rPr>
        <w:t xml:space="preserve"> </w:t>
      </w:r>
      <w:r w:rsidRPr="0074580A">
        <w:rPr>
          <w:rFonts w:ascii="Arial" w:hAnsi="Arial" w:cs="Arial"/>
          <w:sz w:val="24"/>
          <w:szCs w:val="24"/>
        </w:rPr>
        <w:t>sample sizes at age 9 years are expected to yield confidence interval half-widths ranging from 2.9</w:t>
      </w:r>
      <w:r>
        <w:rPr>
          <w:rFonts w:ascii="Arial" w:hAnsi="Arial" w:cs="Arial"/>
          <w:sz w:val="24"/>
          <w:szCs w:val="24"/>
        </w:rPr>
        <w:t xml:space="preserve"> </w:t>
      </w:r>
      <w:r w:rsidRPr="0074580A">
        <w:rPr>
          <w:rFonts w:ascii="Arial" w:hAnsi="Arial" w:cs="Arial"/>
          <w:sz w:val="24"/>
          <w:szCs w:val="24"/>
        </w:rPr>
        <w:t>to 11.6 percentage points for 95 percent confidence intervals, and from 2.5 to 9.7 percentage</w:t>
      </w:r>
      <w:r>
        <w:rPr>
          <w:rFonts w:ascii="Arial" w:hAnsi="Arial" w:cs="Arial"/>
          <w:sz w:val="24"/>
          <w:szCs w:val="24"/>
        </w:rPr>
        <w:t xml:space="preserve"> </w:t>
      </w:r>
      <w:r w:rsidRPr="0074580A">
        <w:rPr>
          <w:rFonts w:ascii="Arial" w:hAnsi="Arial" w:cs="Arial"/>
          <w:sz w:val="24"/>
          <w:szCs w:val="24"/>
        </w:rPr>
        <w:t>points for 90 percent confidence intervals, and are expected to yield CVs ranging from 3.7</w:t>
      </w:r>
      <w:r>
        <w:rPr>
          <w:rFonts w:ascii="Arial" w:hAnsi="Arial" w:cs="Arial"/>
          <w:sz w:val="24"/>
          <w:szCs w:val="24"/>
        </w:rPr>
        <w:t xml:space="preserve"> </w:t>
      </w:r>
      <w:r w:rsidRPr="0074580A">
        <w:rPr>
          <w:rFonts w:ascii="Arial" w:hAnsi="Arial" w:cs="Arial"/>
          <w:sz w:val="24"/>
          <w:szCs w:val="24"/>
        </w:rPr>
        <w:t>percent to 23.7 percent (for the range of estimates considered). Explicit mathematical formula for</w:t>
      </w:r>
      <w:r>
        <w:rPr>
          <w:rFonts w:ascii="Arial" w:hAnsi="Arial" w:cs="Arial"/>
          <w:sz w:val="24"/>
          <w:szCs w:val="24"/>
        </w:rPr>
        <w:t xml:space="preserve"> </w:t>
      </w:r>
      <w:r w:rsidRPr="0074580A">
        <w:rPr>
          <w:rFonts w:ascii="Arial" w:hAnsi="Arial" w:cs="Arial"/>
          <w:sz w:val="24"/>
          <w:szCs w:val="24"/>
        </w:rPr>
        <w:t>sample size calculation should be provided in terms of half-width of given confidence limit,</w:t>
      </w:r>
      <w:r>
        <w:rPr>
          <w:rFonts w:ascii="Arial" w:hAnsi="Arial" w:cs="Arial"/>
          <w:sz w:val="24"/>
          <w:szCs w:val="24"/>
        </w:rPr>
        <w:t xml:space="preserve"> </w:t>
      </w:r>
      <w:r w:rsidRPr="0074580A">
        <w:rPr>
          <w:rFonts w:ascii="Arial" w:hAnsi="Arial" w:cs="Arial"/>
          <w:sz w:val="24"/>
          <w:szCs w:val="24"/>
        </w:rPr>
        <w:t>precision, sample size and prevalence.</w:t>
      </w:r>
    </w:p>
    <w:p w:rsidRPr="00306ACD" w:rsidR="0074580A" w:rsidP="0074580A" w:rsidRDefault="0074580A" w14:paraId="54D2DE83" w14:textId="7847C5E7">
      <w:pPr>
        <w:pStyle w:val="ListParagraph"/>
        <w:numPr>
          <w:ilvl w:val="0"/>
          <w:numId w:val="2"/>
        </w:numPr>
        <w:rPr>
          <w:rFonts w:ascii="Arial" w:hAnsi="Arial" w:cs="Arial"/>
          <w:sz w:val="24"/>
          <w:szCs w:val="24"/>
        </w:rPr>
      </w:pPr>
      <w:r w:rsidRPr="0074580A">
        <w:rPr>
          <w:rFonts w:ascii="Times New Roman" w:hAnsi="Times New Roman" w:cs="Times New Roman"/>
          <w:b/>
          <w:bCs/>
          <w:sz w:val="24"/>
          <w:szCs w:val="24"/>
        </w:rPr>
        <w:t>FNS Response</w:t>
      </w:r>
      <w:r>
        <w:rPr>
          <w:rFonts w:ascii="Times New Roman" w:hAnsi="Times New Roman" w:cs="Times New Roman"/>
          <w:b/>
          <w:bCs/>
          <w:sz w:val="24"/>
          <w:szCs w:val="24"/>
        </w:rPr>
        <w:t>:</w:t>
      </w:r>
      <w:r w:rsidR="003264E0">
        <w:rPr>
          <w:rFonts w:ascii="Times New Roman" w:hAnsi="Times New Roman" w:cs="Times New Roman"/>
          <w:b/>
          <w:bCs/>
          <w:sz w:val="24"/>
          <w:szCs w:val="24"/>
        </w:rPr>
        <w:t xml:space="preserve"> (see page 8 of SSB)</w:t>
      </w:r>
    </w:p>
    <w:p w:rsidRPr="00284199" w:rsidR="00306ACD" w:rsidP="00306ACD" w:rsidRDefault="00306ACD" w14:paraId="7035DB76" w14:textId="77777777">
      <w:pPr>
        <w:ind w:left="360"/>
        <w:rPr>
          <w:rFonts w:ascii="Times New Roman" w:hAnsi="Times New Roman" w:cs="Times New Roman"/>
        </w:rPr>
      </w:pPr>
      <w:r w:rsidRPr="00284199">
        <w:rPr>
          <w:rFonts w:ascii="Times New Roman" w:hAnsi="Times New Roman" w:cs="Times New Roman"/>
        </w:rPr>
        <w:t>The mathematical formula used to compute the half-widths of the confidence intervals is the following:</w:t>
      </w:r>
    </w:p>
    <w:p w:rsidRPr="00284199" w:rsidR="00306ACD" w:rsidP="00306ACD" w:rsidRDefault="00AF7106" w14:paraId="5D3135E7" w14:textId="77777777">
      <w:pPr>
        <w:ind w:left="36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1-α</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α</m:t>
              </m:r>
            </m:sub>
          </m:sSub>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P</m:t>
                  </m:r>
                  <m:d>
                    <m:dPr>
                      <m:ctrlPr>
                        <w:rPr>
                          <w:rFonts w:ascii="Cambria Math" w:hAnsi="Cambria Math" w:cs="Times New Roman"/>
                          <w:i/>
                        </w:rPr>
                      </m:ctrlPr>
                    </m:dPr>
                    <m:e>
                      <m:r>
                        <w:rPr>
                          <w:rFonts w:ascii="Cambria Math" w:hAnsi="Cambria Math" w:cs="Times New Roman"/>
                        </w:rPr>
                        <m:t>1-P</m:t>
                      </m:r>
                    </m:e>
                  </m:d>
                </m:num>
                <m:den>
                  <m:r>
                    <w:rPr>
                      <w:rFonts w:ascii="Cambria Math" w:hAnsi="Cambria Math" w:cs="Times New Roman"/>
                    </w:rPr>
                    <m:t>n</m:t>
                  </m:r>
                </m:den>
              </m:f>
            </m:e>
          </m:rad>
        </m:oMath>
      </m:oMathPara>
    </w:p>
    <w:p w:rsidRPr="00284199" w:rsidR="00306ACD" w:rsidP="00306ACD" w:rsidRDefault="00306ACD" w14:paraId="43EDB875" w14:textId="77777777">
      <w:pPr>
        <w:ind w:left="360"/>
        <w:rPr>
          <w:rFonts w:ascii="Times New Roman" w:hAnsi="Times New Roman" w:cs="Times New Roman" w:eastAsiaTheme="minorEastAsia"/>
        </w:rPr>
      </w:pPr>
      <w:r w:rsidRPr="00284199">
        <w:rPr>
          <w:rFonts w:ascii="Times New Roman" w:hAnsi="Times New Roman" w:cs="Times New Roman" w:eastAsiaTheme="minorEastAsia"/>
        </w:rPr>
        <w:t xml:space="preserve">where </w:t>
      </w:r>
    </w:p>
    <w:p w:rsidRPr="00284199" w:rsidR="00306ACD" w:rsidP="00306ACD" w:rsidRDefault="00AF7106" w14:paraId="11CA3CAB" w14:textId="77777777">
      <w:pPr>
        <w:ind w:left="360"/>
        <w:rPr>
          <w:rFonts w:ascii="Times New Roman" w:hAnsi="Times New Roman" w:cs="Times New Roman" w:eastAsiaTheme="minorEastAsia"/>
        </w:rPr>
      </w:pPr>
      <m:oMathPara>
        <m:oMathParaPr>
          <m:jc m:val="left"/>
        </m:oMathPara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1-α</m:t>
              </m:r>
            </m:sub>
          </m:sSub>
          <m:r>
            <w:rPr>
              <w:rFonts w:ascii="Cambria Math" w:hAnsi="Cambria Math" w:cs="Times New Roman"/>
            </w:rPr>
            <m:t>=</m:t>
          </m:r>
          <m:r>
            <m:rPr>
              <m:nor/>
            </m:rPr>
            <w:rPr>
              <w:rFonts w:ascii="Times New Roman" w:hAnsi="Times New Roman" w:cs="Times New Roman"/>
            </w:rPr>
            <m:t xml:space="preserve">half-width of </m:t>
          </m:r>
          <m:r>
            <w:rPr>
              <w:rFonts w:ascii="Cambria Math" w:hAnsi="Cambria Math" w:cs="Times New Roman"/>
            </w:rPr>
            <m:t>100</m:t>
          </m:r>
          <m:d>
            <m:dPr>
              <m:ctrlPr>
                <w:rPr>
                  <w:rFonts w:ascii="Cambria Math" w:hAnsi="Cambria Math" w:cs="Times New Roman"/>
                  <w:i/>
                </w:rPr>
              </m:ctrlPr>
            </m:dPr>
            <m:e>
              <m:r>
                <w:rPr>
                  <w:rFonts w:ascii="Cambria Math" w:hAnsi="Cambria Math" w:cs="Times New Roman"/>
                </w:rPr>
                <m:t>1-α</m:t>
              </m:r>
            </m:e>
          </m:d>
          <m:r>
            <w:rPr>
              <w:rFonts w:ascii="Cambria Math" w:hAnsi="Cambria Math" w:cs="Times New Roman"/>
            </w:rPr>
            <m:t xml:space="preserve">% </m:t>
          </m:r>
          <m:r>
            <m:rPr>
              <m:nor/>
            </m:rPr>
            <w:rPr>
              <w:rFonts w:ascii="Times New Roman" w:hAnsi="Times New Roman" w:cs="Times New Roman"/>
            </w:rPr>
            <m:t>confidence interval;</m:t>
          </m:r>
        </m:oMath>
      </m:oMathPara>
    </w:p>
    <w:p w:rsidRPr="00284199" w:rsidR="00306ACD" w:rsidP="00306ACD" w:rsidRDefault="00AF7106" w14:paraId="16862FA2" w14:textId="77777777">
      <w:pPr>
        <w:ind w:left="360"/>
        <w:rPr>
          <w:rFonts w:ascii="Times New Roman" w:hAnsi="Times New Roman" w:cs="Times New Roman" w:eastAsiaTheme="minorEastAsia"/>
        </w:rPr>
      </w:pPr>
      <m:oMathPara>
        <m:oMathParaPr>
          <m:jc m:val="left"/>
        </m:oMathParaP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α</m:t>
              </m:r>
            </m:sub>
          </m:sSub>
          <m:r>
            <m:rPr>
              <m:nor/>
            </m:rPr>
            <w:rPr>
              <w:rFonts w:ascii="Times New Roman" w:hAnsi="Times New Roman" w:cs="Times New Roman"/>
            </w:rPr>
            <m:t xml:space="preserve"> is the value such that </m:t>
          </m:r>
          <m:r>
            <w:rPr>
              <w:rFonts w:ascii="Cambria Math" w:hAnsi="Cambria Math" w:cs="Times New Roman"/>
            </w:rPr>
            <m:t>100</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α</m:t>
                  </m:r>
                </m:num>
                <m:den>
                  <m:r>
                    <w:rPr>
                      <w:rFonts w:ascii="Cambria Math" w:hAnsi="Cambria Math" w:cs="Times New Roman"/>
                    </w:rPr>
                    <m:t>2</m:t>
                  </m:r>
                </m:den>
              </m:f>
            </m:e>
          </m:d>
          <m:r>
            <w:rPr>
              <w:rFonts w:ascii="Cambria Math" w:hAnsi="Cambria Math" w:cs="Times New Roman"/>
            </w:rPr>
            <m:t>%</m:t>
          </m:r>
          <m:r>
            <m:rPr>
              <m:nor/>
            </m:rPr>
            <w:rPr>
              <w:rFonts w:ascii="Times New Roman" w:hAnsi="Times New Roman" w:cs="Times New Roman"/>
            </w:rPr>
            <m:t xml:space="preserve"> of the standard normal distribution falls above that value;</m:t>
          </m:r>
        </m:oMath>
      </m:oMathPara>
    </w:p>
    <w:p w:rsidRPr="00284199" w:rsidR="00306ACD" w:rsidP="00306ACD" w:rsidRDefault="00306ACD" w14:paraId="34DE2694" w14:textId="77777777">
      <w:pPr>
        <w:ind w:left="360"/>
        <w:rPr>
          <w:rFonts w:ascii="Times New Roman" w:hAnsi="Times New Roman" w:cs="Times New Roman" w:eastAsiaTheme="minorEastAsia"/>
        </w:rPr>
      </w:pPr>
      <m:oMathPara>
        <m:oMathParaPr>
          <m:jc m:val="left"/>
        </m:oMathParaPr>
        <m:oMath>
          <m:r>
            <w:rPr>
              <w:rFonts w:ascii="Cambria Math" w:hAnsi="Cambria Math" w:cs="Times New Roman" w:eastAsiaTheme="minorEastAsia"/>
            </w:rPr>
            <m:t xml:space="preserve">P </m:t>
          </m:r>
          <m:r>
            <m:rPr>
              <m:nor/>
            </m:rPr>
            <w:rPr>
              <w:rFonts w:ascii="Times New Roman" w:hAnsi="Times New Roman" w:cs="Times New Roman" w:eastAsiaTheme="minorEastAsia"/>
            </w:rPr>
            <m:t>is a hypothetical value of the population proportion; and</m:t>
          </m:r>
        </m:oMath>
      </m:oMathPara>
    </w:p>
    <w:p w:rsidRPr="00284199" w:rsidR="00306ACD" w:rsidP="00306ACD" w:rsidRDefault="00306ACD" w14:paraId="497AD59B" w14:textId="77777777">
      <w:pPr>
        <w:ind w:left="360"/>
        <w:rPr>
          <w:rFonts w:ascii="Times New Roman" w:hAnsi="Times New Roman" w:cs="Times New Roman" w:eastAsiaTheme="minorEastAsia"/>
        </w:rPr>
      </w:pPr>
      <m:oMathPara>
        <m:oMathParaPr>
          <m:jc m:val="left"/>
        </m:oMathParaPr>
        <m:oMath>
          <m:r>
            <w:rPr>
              <w:rFonts w:ascii="Cambria Math" w:hAnsi="Cambria Math" w:cs="Times New Roman" w:eastAsiaTheme="minorEastAsia"/>
            </w:rPr>
            <m:t xml:space="preserve">n </m:t>
          </m:r>
          <m:r>
            <m:rPr>
              <m:nor/>
            </m:rPr>
            <w:rPr>
              <w:rFonts w:ascii="Times New Roman" w:hAnsi="Times New Roman" w:cs="Times New Roman" w:eastAsiaTheme="minorEastAsia"/>
            </w:rPr>
            <m:t>is the expected effective number of respondents (to the Y9 interview).</m:t>
          </m:r>
        </m:oMath>
      </m:oMathPara>
    </w:p>
    <w:p w:rsidRPr="00284199" w:rsidR="00306ACD" w:rsidP="00306ACD" w:rsidRDefault="00306ACD" w14:paraId="06275314" w14:textId="77777777">
      <w:pPr>
        <w:ind w:left="360"/>
        <w:rPr>
          <w:rFonts w:ascii="Times New Roman" w:hAnsi="Times New Roman" w:cs="Times New Roman"/>
          <w:sz w:val="24"/>
          <w:szCs w:val="24"/>
        </w:rPr>
      </w:pPr>
    </w:p>
    <w:sectPr w:rsidRPr="00284199" w:rsidR="00306AC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BE236" w14:textId="77777777" w:rsidR="001F67F7" w:rsidRDefault="001F67F7" w:rsidP="001F67F7">
      <w:pPr>
        <w:spacing w:after="0" w:line="240" w:lineRule="auto"/>
      </w:pPr>
      <w:r>
        <w:separator/>
      </w:r>
    </w:p>
  </w:endnote>
  <w:endnote w:type="continuationSeparator" w:id="0">
    <w:p w14:paraId="735C2D7F" w14:textId="77777777" w:rsidR="001F67F7" w:rsidRDefault="001F67F7" w:rsidP="001F6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5158431"/>
      <w:docPartObj>
        <w:docPartGallery w:val="Page Numbers (Bottom of Page)"/>
        <w:docPartUnique/>
      </w:docPartObj>
    </w:sdtPr>
    <w:sdtEndPr>
      <w:rPr>
        <w:noProof/>
      </w:rPr>
    </w:sdtEndPr>
    <w:sdtContent>
      <w:p w14:paraId="1875841E" w14:textId="12F4870F" w:rsidR="001F67F7" w:rsidRDefault="001F67F7">
        <w:pPr>
          <w:pStyle w:val="Footer"/>
          <w:jc w:val="center"/>
        </w:pPr>
        <w:r>
          <w:fldChar w:fldCharType="begin"/>
        </w:r>
        <w:r>
          <w:instrText xml:space="preserve"> PAGE   \* MERGEFORMAT </w:instrText>
        </w:r>
        <w:r>
          <w:fldChar w:fldCharType="separate"/>
        </w:r>
        <w:r w:rsidR="00AF7106">
          <w:rPr>
            <w:noProof/>
          </w:rPr>
          <w:t>2</w:t>
        </w:r>
        <w:r>
          <w:rPr>
            <w:noProof/>
          </w:rPr>
          <w:fldChar w:fldCharType="end"/>
        </w:r>
      </w:p>
    </w:sdtContent>
  </w:sdt>
  <w:p w14:paraId="6F5A3F66" w14:textId="77777777" w:rsidR="001F67F7" w:rsidRDefault="001F6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EAA1F" w14:textId="77777777" w:rsidR="001F67F7" w:rsidRDefault="001F67F7" w:rsidP="001F67F7">
      <w:pPr>
        <w:spacing w:after="0" w:line="240" w:lineRule="auto"/>
      </w:pPr>
      <w:r>
        <w:separator/>
      </w:r>
    </w:p>
  </w:footnote>
  <w:footnote w:type="continuationSeparator" w:id="0">
    <w:p w14:paraId="2248FB1B" w14:textId="77777777" w:rsidR="001F67F7" w:rsidRDefault="001F67F7" w:rsidP="001F67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FA6FCC"/>
    <w:multiLevelType w:val="hybridMultilevel"/>
    <w:tmpl w:val="0E669B50"/>
    <w:lvl w:ilvl="0" w:tplc="3C8080C2">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5A05D7"/>
    <w:multiLevelType w:val="hybridMultilevel"/>
    <w:tmpl w:val="832A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901"/>
    <w:rsid w:val="00001A53"/>
    <w:rsid w:val="00027A08"/>
    <w:rsid w:val="0004746C"/>
    <w:rsid w:val="000F17C4"/>
    <w:rsid w:val="001A26DA"/>
    <w:rsid w:val="001D54E2"/>
    <w:rsid w:val="001F67F7"/>
    <w:rsid w:val="002100E1"/>
    <w:rsid w:val="00224250"/>
    <w:rsid w:val="00284199"/>
    <w:rsid w:val="00296250"/>
    <w:rsid w:val="002F7BA7"/>
    <w:rsid w:val="00306ACD"/>
    <w:rsid w:val="00320C1A"/>
    <w:rsid w:val="003264E0"/>
    <w:rsid w:val="00374C90"/>
    <w:rsid w:val="003D1B85"/>
    <w:rsid w:val="00465A46"/>
    <w:rsid w:val="00491634"/>
    <w:rsid w:val="004B198E"/>
    <w:rsid w:val="004F0C16"/>
    <w:rsid w:val="005108E8"/>
    <w:rsid w:val="005307E7"/>
    <w:rsid w:val="00554115"/>
    <w:rsid w:val="00584C70"/>
    <w:rsid w:val="005E2DA3"/>
    <w:rsid w:val="006452DF"/>
    <w:rsid w:val="00706267"/>
    <w:rsid w:val="007134E5"/>
    <w:rsid w:val="0072502D"/>
    <w:rsid w:val="0074580A"/>
    <w:rsid w:val="0075129B"/>
    <w:rsid w:val="00752614"/>
    <w:rsid w:val="007851D3"/>
    <w:rsid w:val="007D646F"/>
    <w:rsid w:val="008241B9"/>
    <w:rsid w:val="008A719C"/>
    <w:rsid w:val="00922378"/>
    <w:rsid w:val="00935A3F"/>
    <w:rsid w:val="00947EEA"/>
    <w:rsid w:val="00955CFB"/>
    <w:rsid w:val="009E342A"/>
    <w:rsid w:val="009F0D29"/>
    <w:rsid w:val="00A456F8"/>
    <w:rsid w:val="00AB6749"/>
    <w:rsid w:val="00AD6DA5"/>
    <w:rsid w:val="00AF7106"/>
    <w:rsid w:val="00B20470"/>
    <w:rsid w:val="00B664A5"/>
    <w:rsid w:val="00C625DC"/>
    <w:rsid w:val="00CA46A3"/>
    <w:rsid w:val="00CD1556"/>
    <w:rsid w:val="00CF2AC8"/>
    <w:rsid w:val="00D02B91"/>
    <w:rsid w:val="00D62901"/>
    <w:rsid w:val="00DD71FE"/>
    <w:rsid w:val="00E267AB"/>
    <w:rsid w:val="00E343E1"/>
    <w:rsid w:val="00E503CB"/>
    <w:rsid w:val="00E61046"/>
    <w:rsid w:val="00E63B47"/>
    <w:rsid w:val="00EE2F97"/>
    <w:rsid w:val="00EF1436"/>
    <w:rsid w:val="00F472C9"/>
    <w:rsid w:val="00FD2E90"/>
    <w:rsid w:val="00FF5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03A202F"/>
  <w15:chartTrackingRefBased/>
  <w15:docId w15:val="{9E91A592-5B00-4A04-87E9-6F8B5791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D62901"/>
    <w:rPr>
      <w:sz w:val="16"/>
      <w:szCs w:val="16"/>
    </w:rPr>
  </w:style>
  <w:style w:type="character" w:styleId="Hyperlink">
    <w:name w:val="Hyperlink"/>
    <w:basedOn w:val="DefaultParagraphFont"/>
    <w:uiPriority w:val="99"/>
    <w:unhideWhenUsed/>
    <w:rsid w:val="001F67F7"/>
    <w:rPr>
      <w:color w:val="0563C1"/>
      <w:u w:val="single"/>
    </w:rPr>
  </w:style>
  <w:style w:type="paragraph" w:styleId="Header">
    <w:name w:val="header"/>
    <w:basedOn w:val="Normal"/>
    <w:link w:val="HeaderChar"/>
    <w:uiPriority w:val="99"/>
    <w:unhideWhenUsed/>
    <w:rsid w:val="001F6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7F7"/>
  </w:style>
  <w:style w:type="paragraph" w:styleId="Footer">
    <w:name w:val="footer"/>
    <w:basedOn w:val="Normal"/>
    <w:link w:val="FooterChar"/>
    <w:uiPriority w:val="99"/>
    <w:unhideWhenUsed/>
    <w:rsid w:val="001F6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7F7"/>
  </w:style>
  <w:style w:type="paragraph" w:styleId="BalloonText">
    <w:name w:val="Balloon Text"/>
    <w:basedOn w:val="Normal"/>
    <w:link w:val="BalloonTextChar"/>
    <w:uiPriority w:val="99"/>
    <w:semiHidden/>
    <w:unhideWhenUsed/>
    <w:rsid w:val="009F0D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D29"/>
    <w:rPr>
      <w:rFonts w:ascii="Segoe UI" w:hAnsi="Segoe UI" w:cs="Segoe UI"/>
      <w:sz w:val="18"/>
      <w:szCs w:val="18"/>
    </w:rPr>
  </w:style>
  <w:style w:type="paragraph" w:styleId="ListParagraph">
    <w:name w:val="List Paragraph"/>
    <w:basedOn w:val="Normal"/>
    <w:uiPriority w:val="34"/>
    <w:qFormat/>
    <w:rsid w:val="009F0D29"/>
    <w:pPr>
      <w:ind w:left="720"/>
      <w:contextualSpacing/>
    </w:pPr>
  </w:style>
  <w:style w:type="paragraph" w:styleId="CommentText">
    <w:name w:val="annotation text"/>
    <w:basedOn w:val="Normal"/>
    <w:link w:val="CommentTextChar"/>
    <w:uiPriority w:val="99"/>
    <w:semiHidden/>
    <w:unhideWhenUsed/>
    <w:rsid w:val="009E342A"/>
    <w:pPr>
      <w:spacing w:line="240" w:lineRule="auto"/>
    </w:pPr>
    <w:rPr>
      <w:sz w:val="20"/>
      <w:szCs w:val="20"/>
    </w:rPr>
  </w:style>
  <w:style w:type="character" w:customStyle="1" w:styleId="CommentTextChar">
    <w:name w:val="Comment Text Char"/>
    <w:basedOn w:val="DefaultParagraphFont"/>
    <w:link w:val="CommentText"/>
    <w:uiPriority w:val="99"/>
    <w:semiHidden/>
    <w:rsid w:val="009E342A"/>
    <w:rPr>
      <w:sz w:val="20"/>
      <w:szCs w:val="20"/>
    </w:rPr>
  </w:style>
  <w:style w:type="paragraph" w:styleId="CommentSubject">
    <w:name w:val="annotation subject"/>
    <w:basedOn w:val="CommentText"/>
    <w:next w:val="CommentText"/>
    <w:link w:val="CommentSubjectChar"/>
    <w:uiPriority w:val="99"/>
    <w:semiHidden/>
    <w:unhideWhenUsed/>
    <w:rsid w:val="009E342A"/>
    <w:rPr>
      <w:b/>
      <w:bCs/>
    </w:rPr>
  </w:style>
  <w:style w:type="character" w:customStyle="1" w:styleId="CommentSubjectChar">
    <w:name w:val="Comment Subject Char"/>
    <w:basedOn w:val="CommentTextChar"/>
    <w:link w:val="CommentSubject"/>
    <w:uiPriority w:val="99"/>
    <w:semiHidden/>
    <w:rsid w:val="009E34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6462">
      <w:bodyDiv w:val="1"/>
      <w:marLeft w:val="0"/>
      <w:marRight w:val="0"/>
      <w:marTop w:val="0"/>
      <w:marBottom w:val="0"/>
      <w:divBdr>
        <w:top w:val="none" w:sz="0" w:space="0" w:color="auto"/>
        <w:left w:val="none" w:sz="0" w:space="0" w:color="auto"/>
        <w:bottom w:val="none" w:sz="0" w:space="0" w:color="auto"/>
        <w:right w:val="none" w:sz="0" w:space="0" w:color="auto"/>
      </w:divBdr>
    </w:div>
    <w:div w:id="134774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w.hancock@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Anthony - NASS</dc:creator>
  <cp:keywords/>
  <dc:description/>
  <cp:lastModifiedBy>Reat, Amanda - FNS</cp:lastModifiedBy>
  <cp:revision>5</cp:revision>
  <dcterms:created xsi:type="dcterms:W3CDTF">2021-09-15T20:36:00Z</dcterms:created>
  <dcterms:modified xsi:type="dcterms:W3CDTF">2021-09-15T20:48:00Z</dcterms:modified>
</cp:coreProperties>
</file>