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40D7B" w:rsidR="00CC5B0B" w:rsidP="00CC5B0B" w:rsidRDefault="00CC5B0B">
      <w:pPr>
        <w:pStyle w:val="MarkforAppendixTitle"/>
        <w:rPr>
          <w:rFonts w:ascii="Arial" w:hAnsi="Arial" w:cs="Arial"/>
          <w:b/>
          <w:bCs/>
          <w:sz w:val="20"/>
        </w:rPr>
      </w:pPr>
      <w:r>
        <w:rPr>
          <w:rFonts w:ascii="Arial" w:hAnsi="Arial" w:cs="Arial"/>
          <w:b/>
          <w:bCs/>
          <w:sz w:val="20"/>
        </w:rPr>
        <w:t>Appendix i.1</w:t>
      </w:r>
    </w:p>
    <w:p w:rsidRPr="00840D7B" w:rsidR="00CC5B0B" w:rsidP="00CC5B0B" w:rsidRDefault="00CC5B0B">
      <w:pPr>
        <w:pStyle w:val="MarkforAppendixTitle"/>
        <w:spacing w:before="240"/>
        <w:rPr>
          <w:rFonts w:ascii="Arial" w:hAnsi="Arial" w:cs="Arial"/>
          <w:b/>
          <w:bCs/>
          <w:sz w:val="20"/>
        </w:rPr>
        <w:sectPr w:rsidRPr="00840D7B" w:rsidR="00CC5B0B" w:rsidSect="00CC5B0B">
          <w:headerReference w:type="default" r:id="rId6"/>
          <w:footerReference w:type="default" r:id="rId7"/>
          <w:pgSz w:w="12240" w:h="15840"/>
          <w:pgMar w:top="1500" w:right="1280" w:bottom="280" w:left="1320" w:header="720" w:footer="720" w:gutter="0"/>
          <w:cols w:space="720"/>
        </w:sectPr>
      </w:pPr>
      <w:r>
        <w:rPr>
          <w:rFonts w:ascii="Arial" w:hAnsi="Arial" w:cs="Arial"/>
          <w:b/>
          <w:bCs/>
          <w:sz w:val="20"/>
        </w:rPr>
        <w:t>National Agricultural statistics service comments</w:t>
      </w:r>
    </w:p>
    <w:p w:rsidRPr="007209F0" w:rsidR="007209F0" w:rsidP="007209F0" w:rsidRDefault="007209F0">
      <w:pPr>
        <w:spacing w:after="160" w:line="259" w:lineRule="auto"/>
        <w:ind w:firstLine="0"/>
        <w:jc w:val="center"/>
        <w:rPr>
          <w:rFonts w:ascii="Calibri" w:hAnsi="Calibri" w:eastAsia="Calibri"/>
          <w:sz w:val="22"/>
          <w:szCs w:val="22"/>
        </w:rPr>
      </w:pPr>
      <w:r w:rsidRPr="007209F0">
        <w:rPr>
          <w:rFonts w:ascii="Calibri" w:hAnsi="Calibri" w:eastAsia="Calibri"/>
          <w:sz w:val="22"/>
          <w:szCs w:val="22"/>
        </w:rPr>
        <w:lastRenderedPageBreak/>
        <w:t>Food and Nutrition Service</w:t>
      </w:r>
    </w:p>
    <w:p w:rsidRPr="007209F0" w:rsidR="007209F0" w:rsidP="007209F0" w:rsidRDefault="007209F0">
      <w:pPr>
        <w:spacing w:after="60" w:line="360" w:lineRule="exact"/>
        <w:ind w:firstLine="0"/>
        <w:jc w:val="center"/>
        <w:rPr>
          <w:rFonts w:ascii="Lucida Sans" w:hAnsi="Lucida Sans" w:eastAsia="Calibri"/>
          <w:b/>
          <w:sz w:val="22"/>
          <w:szCs w:val="22"/>
        </w:rPr>
      </w:pPr>
      <w:r w:rsidRPr="007209F0">
        <w:rPr>
          <w:rFonts w:ascii="Lucida Sans" w:hAnsi="Lucida Sans" w:eastAsia="Calibri"/>
          <w:b/>
          <w:sz w:val="22"/>
          <w:szCs w:val="22"/>
        </w:rPr>
        <w:t>Revision to OMB # 0584-0607, School Meals Operations Study (SMO)</w:t>
      </w:r>
    </w:p>
    <w:p w:rsidRPr="007209F0" w:rsidR="007209F0" w:rsidP="007209F0" w:rsidRDefault="007209F0">
      <w:pPr>
        <w:spacing w:after="160" w:line="259" w:lineRule="auto"/>
        <w:ind w:firstLine="0"/>
        <w:jc w:val="center"/>
        <w:rPr>
          <w:rFonts w:ascii="Calibri" w:hAnsi="Calibri" w:eastAsia="Calibri"/>
          <w:sz w:val="22"/>
          <w:szCs w:val="22"/>
        </w:rPr>
      </w:pPr>
      <w:r w:rsidRPr="007209F0">
        <w:rPr>
          <w:rFonts w:ascii="Calibri" w:hAnsi="Calibri" w:eastAsia="Calibri"/>
          <w:sz w:val="22"/>
          <w:szCs w:val="22"/>
        </w:rPr>
        <w:t xml:space="preserve">Doug </w:t>
      </w:r>
      <w:proofErr w:type="spellStart"/>
      <w:r w:rsidRPr="007209F0">
        <w:rPr>
          <w:rFonts w:ascii="Calibri" w:hAnsi="Calibri" w:eastAsia="Calibri"/>
          <w:sz w:val="22"/>
          <w:szCs w:val="22"/>
        </w:rPr>
        <w:t>Kilburg</w:t>
      </w:r>
      <w:proofErr w:type="spellEnd"/>
    </w:p>
    <w:p w:rsidRPr="007209F0" w:rsidR="007209F0" w:rsidP="007209F0" w:rsidRDefault="007209F0">
      <w:pPr>
        <w:spacing w:after="160" w:line="259" w:lineRule="auto"/>
        <w:ind w:firstLine="0"/>
        <w:jc w:val="center"/>
        <w:rPr>
          <w:rFonts w:ascii="Calibri" w:hAnsi="Calibri" w:eastAsia="Calibri"/>
          <w:sz w:val="22"/>
          <w:szCs w:val="22"/>
        </w:rPr>
      </w:pPr>
      <w:r w:rsidRPr="007209F0">
        <w:rPr>
          <w:rFonts w:ascii="Calibri" w:hAnsi="Calibri" w:eastAsia="Calibri"/>
          <w:sz w:val="22"/>
          <w:szCs w:val="22"/>
        </w:rPr>
        <w:t>NASS Reviewer</w:t>
      </w:r>
    </w:p>
    <w:p w:rsidRPr="007209F0" w:rsidR="007209F0" w:rsidP="007209F0" w:rsidRDefault="007209F0">
      <w:pPr>
        <w:spacing w:after="160" w:line="259" w:lineRule="auto"/>
        <w:ind w:firstLine="0"/>
        <w:rPr>
          <w:rFonts w:ascii="Calibri" w:hAnsi="Calibri" w:eastAsia="Calibri"/>
          <w:sz w:val="22"/>
          <w:szCs w:val="22"/>
        </w:rPr>
      </w:pPr>
    </w:p>
    <w:p w:rsidRPr="007209F0" w:rsidR="007209F0" w:rsidP="007209F0" w:rsidRDefault="007209F0">
      <w:pPr>
        <w:spacing w:after="160" w:line="259" w:lineRule="auto"/>
        <w:ind w:firstLine="0"/>
        <w:rPr>
          <w:rFonts w:ascii="Calibri" w:hAnsi="Calibri" w:eastAsia="Calibri"/>
          <w:sz w:val="22"/>
          <w:szCs w:val="22"/>
        </w:rPr>
      </w:pPr>
      <w:r w:rsidRPr="007209F0">
        <w:rPr>
          <w:rFonts w:ascii="Calibri" w:hAnsi="Calibri" w:eastAsia="Calibri"/>
          <w:sz w:val="22"/>
          <w:szCs w:val="22"/>
        </w:rPr>
        <w:t xml:space="preserve">Most of the study was well documented and justified.  Most of the suggested comments below are for enhanced documentation for mostly clarity purposes but may require some adjustments to the plans if the criteria </w:t>
      </w:r>
      <w:proofErr w:type="gramStart"/>
      <w:r w:rsidRPr="007209F0">
        <w:rPr>
          <w:rFonts w:ascii="Calibri" w:hAnsi="Calibri" w:eastAsia="Calibri"/>
          <w:sz w:val="22"/>
          <w:szCs w:val="22"/>
        </w:rPr>
        <w:t>aren’t</w:t>
      </w:r>
      <w:proofErr w:type="gramEnd"/>
      <w:r w:rsidRPr="007209F0">
        <w:rPr>
          <w:rFonts w:ascii="Calibri" w:hAnsi="Calibri" w:eastAsia="Calibri"/>
          <w:sz w:val="22"/>
          <w:szCs w:val="22"/>
        </w:rPr>
        <w:t xml:space="preserve"> met.</w:t>
      </w:r>
    </w:p>
    <w:p w:rsidRPr="007209F0" w:rsidR="007209F0" w:rsidP="007209F0" w:rsidRDefault="007209F0">
      <w:pPr>
        <w:spacing w:after="160" w:line="259" w:lineRule="auto"/>
        <w:ind w:firstLine="0"/>
        <w:rPr>
          <w:rFonts w:ascii="Calibri" w:hAnsi="Calibri" w:eastAsia="Calibri"/>
          <w:sz w:val="22"/>
          <w:szCs w:val="22"/>
        </w:rPr>
      </w:pPr>
      <w:r w:rsidRPr="007209F0">
        <w:rPr>
          <w:rFonts w:ascii="Calibri" w:hAnsi="Calibri" w:eastAsia="Calibri"/>
          <w:sz w:val="22"/>
          <w:szCs w:val="22"/>
        </w:rPr>
        <w:t>Part A:</w:t>
      </w:r>
    </w:p>
    <w:p w:rsidRPr="007209F0" w:rsidR="007209F0" w:rsidP="007209F0" w:rsidRDefault="007209F0">
      <w:pPr>
        <w:spacing w:after="160" w:line="259" w:lineRule="auto"/>
        <w:ind w:firstLine="0"/>
        <w:rPr>
          <w:rFonts w:ascii="Calibri" w:hAnsi="Calibri" w:eastAsia="Calibri"/>
          <w:sz w:val="22"/>
          <w:szCs w:val="22"/>
        </w:rPr>
      </w:pPr>
      <w:r w:rsidRPr="007209F0">
        <w:rPr>
          <w:rFonts w:ascii="Calibri" w:hAnsi="Calibri" w:eastAsia="Calibri"/>
          <w:sz w:val="22"/>
          <w:szCs w:val="22"/>
        </w:rPr>
        <w:t>A1:  no comments</w:t>
      </w:r>
    </w:p>
    <w:p w:rsidRPr="007209F0" w:rsidR="007209F0" w:rsidP="007209F0" w:rsidRDefault="007209F0">
      <w:pPr>
        <w:spacing w:after="160" w:line="259" w:lineRule="auto"/>
        <w:ind w:firstLine="0"/>
        <w:rPr>
          <w:rFonts w:ascii="Calibri" w:hAnsi="Calibri" w:eastAsia="Calibri"/>
          <w:sz w:val="22"/>
          <w:szCs w:val="22"/>
        </w:rPr>
      </w:pPr>
      <w:r w:rsidRPr="007209F0">
        <w:rPr>
          <w:rFonts w:ascii="Calibri" w:hAnsi="Calibri" w:eastAsia="Calibri"/>
          <w:sz w:val="22"/>
          <w:szCs w:val="22"/>
        </w:rPr>
        <w:t xml:space="preserve">A2:  We at NASS have </w:t>
      </w:r>
      <w:proofErr w:type="gramStart"/>
      <w:r w:rsidRPr="007209F0">
        <w:rPr>
          <w:rFonts w:ascii="Calibri" w:hAnsi="Calibri" w:eastAsia="Calibri"/>
          <w:sz w:val="22"/>
          <w:szCs w:val="22"/>
        </w:rPr>
        <w:t>found early reminders sent at short intervals are the most effective in soliciting improved response rates</w:t>
      </w:r>
      <w:proofErr w:type="gramEnd"/>
      <w:r w:rsidRPr="007209F0">
        <w:rPr>
          <w:rFonts w:ascii="Calibri" w:hAnsi="Calibri" w:eastAsia="Calibri"/>
          <w:sz w:val="22"/>
          <w:szCs w:val="22"/>
        </w:rPr>
        <w:t>.</w:t>
      </w:r>
    </w:p>
    <w:p w:rsidRPr="007209F0" w:rsidR="007209F0" w:rsidP="007209F0" w:rsidRDefault="007209F0">
      <w:pPr>
        <w:spacing w:after="160" w:line="259" w:lineRule="auto"/>
        <w:ind w:firstLine="0"/>
        <w:rPr>
          <w:rFonts w:ascii="Calibri" w:hAnsi="Calibri" w:eastAsia="Calibri"/>
          <w:sz w:val="22"/>
          <w:szCs w:val="22"/>
        </w:rPr>
      </w:pPr>
      <w:r w:rsidRPr="007209F0">
        <w:rPr>
          <w:rFonts w:ascii="Calibri" w:hAnsi="Calibri" w:eastAsia="Calibri"/>
          <w:sz w:val="22"/>
          <w:szCs w:val="22"/>
        </w:rPr>
        <w:t>A3-A18:  no comments</w:t>
      </w:r>
    </w:p>
    <w:p w:rsidRPr="007209F0" w:rsidR="007209F0" w:rsidP="007209F0" w:rsidRDefault="007209F0">
      <w:pPr>
        <w:spacing w:after="160" w:line="259" w:lineRule="auto"/>
        <w:ind w:firstLine="0"/>
        <w:rPr>
          <w:rFonts w:ascii="Calibri" w:hAnsi="Calibri" w:eastAsia="Calibri"/>
          <w:sz w:val="22"/>
          <w:szCs w:val="22"/>
        </w:rPr>
      </w:pPr>
      <w:r w:rsidRPr="007209F0">
        <w:rPr>
          <w:rFonts w:ascii="Calibri" w:hAnsi="Calibri" w:eastAsia="Calibri"/>
          <w:sz w:val="22"/>
          <w:szCs w:val="22"/>
        </w:rPr>
        <w:t xml:space="preserve"> </w:t>
      </w:r>
    </w:p>
    <w:p w:rsidRPr="007209F0" w:rsidR="007209F0" w:rsidP="007209F0" w:rsidRDefault="007209F0">
      <w:pPr>
        <w:spacing w:after="160" w:line="259" w:lineRule="auto"/>
        <w:ind w:firstLine="0"/>
        <w:rPr>
          <w:rFonts w:ascii="Calibri" w:hAnsi="Calibri" w:eastAsia="Calibri"/>
          <w:sz w:val="22"/>
          <w:szCs w:val="22"/>
        </w:rPr>
      </w:pPr>
      <w:r w:rsidRPr="007209F0">
        <w:rPr>
          <w:rFonts w:ascii="Calibri" w:hAnsi="Calibri" w:eastAsia="Calibri"/>
          <w:sz w:val="22"/>
          <w:szCs w:val="22"/>
        </w:rPr>
        <w:t>Part B:</w:t>
      </w:r>
    </w:p>
    <w:p w:rsidRPr="007209F0" w:rsidR="007209F0" w:rsidP="007209F0" w:rsidRDefault="007209F0">
      <w:pPr>
        <w:spacing w:after="160" w:line="259" w:lineRule="auto"/>
        <w:ind w:firstLine="0"/>
        <w:rPr>
          <w:rFonts w:ascii="Calibri" w:hAnsi="Calibri" w:eastAsia="Calibri"/>
          <w:sz w:val="22"/>
          <w:szCs w:val="22"/>
        </w:rPr>
      </w:pPr>
      <w:proofErr w:type="gramStart"/>
      <w:r w:rsidRPr="007209F0">
        <w:rPr>
          <w:rFonts w:ascii="Calibri" w:hAnsi="Calibri" w:eastAsia="Calibri"/>
          <w:sz w:val="22"/>
          <w:szCs w:val="22"/>
        </w:rPr>
        <w:t>B1:  The proposed sampling strategy seems possible but will require some weighting strategy adjustments to make it feasible.</w:t>
      </w:r>
      <w:proofErr w:type="gramEnd"/>
      <w:r w:rsidRPr="007209F0">
        <w:rPr>
          <w:rFonts w:ascii="Calibri" w:hAnsi="Calibri" w:eastAsia="Calibri"/>
          <w:sz w:val="22"/>
          <w:szCs w:val="22"/>
        </w:rPr>
        <w:t xml:space="preserve">  Clearly outline how the weighting </w:t>
      </w:r>
      <w:proofErr w:type="gramStart"/>
      <w:r w:rsidRPr="007209F0">
        <w:rPr>
          <w:rFonts w:ascii="Calibri" w:hAnsi="Calibri" w:eastAsia="Calibri"/>
          <w:sz w:val="22"/>
          <w:szCs w:val="22"/>
        </w:rPr>
        <w:t>will be handled</w:t>
      </w:r>
      <w:proofErr w:type="gramEnd"/>
      <w:r w:rsidRPr="007209F0">
        <w:rPr>
          <w:rFonts w:ascii="Calibri" w:hAnsi="Calibri" w:eastAsia="Calibri"/>
          <w:sz w:val="22"/>
          <w:szCs w:val="22"/>
        </w:rPr>
        <w:t xml:space="preserve"> if the minimum number of reports are not met within a stratum and the reserve sample is utilized.  Typically, sample quotas are only used in a nonprobability-based setting where sample weighting </w:t>
      </w:r>
      <w:proofErr w:type="gramStart"/>
      <w:r w:rsidRPr="007209F0">
        <w:rPr>
          <w:rFonts w:ascii="Calibri" w:hAnsi="Calibri" w:eastAsia="Calibri"/>
          <w:sz w:val="22"/>
          <w:szCs w:val="22"/>
        </w:rPr>
        <w:t>isn’t</w:t>
      </w:r>
      <w:proofErr w:type="gramEnd"/>
      <w:r w:rsidRPr="007209F0">
        <w:rPr>
          <w:rFonts w:ascii="Calibri" w:hAnsi="Calibri" w:eastAsia="Calibri"/>
          <w:sz w:val="22"/>
          <w:szCs w:val="22"/>
        </w:rPr>
        <w:t xml:space="preserve"> implemented.</w:t>
      </w:r>
    </w:p>
    <w:p w:rsidRPr="007209F0" w:rsidR="007209F0" w:rsidP="007209F0" w:rsidRDefault="007209F0">
      <w:pPr>
        <w:spacing w:after="160" w:line="259" w:lineRule="auto"/>
        <w:ind w:firstLine="0"/>
        <w:rPr>
          <w:rFonts w:ascii="Calibri" w:hAnsi="Calibri" w:eastAsia="Calibri"/>
          <w:sz w:val="22"/>
          <w:szCs w:val="22"/>
        </w:rPr>
      </w:pPr>
      <w:r w:rsidRPr="007209F0">
        <w:rPr>
          <w:rFonts w:ascii="Calibri" w:hAnsi="Calibri" w:eastAsia="Calibri"/>
          <w:sz w:val="22"/>
          <w:szCs w:val="22"/>
        </w:rPr>
        <w:t xml:space="preserve">B2: The documentation states, “The web survey of State CN Directors and the disaggregated administrative data collection will be conducted with a census of State CN directors. Because this study involves a census of SAs and a 100 percent response rate is expected, there is no need for sampling, weighting or nonresponse adjustments at the state level.”  </w:t>
      </w:r>
      <w:proofErr w:type="gramStart"/>
      <w:r w:rsidRPr="007209F0">
        <w:rPr>
          <w:rFonts w:ascii="Calibri" w:hAnsi="Calibri" w:eastAsia="Calibri"/>
          <w:sz w:val="22"/>
          <w:szCs w:val="22"/>
        </w:rPr>
        <w:t>I’m</w:t>
      </w:r>
      <w:proofErr w:type="gramEnd"/>
      <w:r w:rsidRPr="007209F0">
        <w:rPr>
          <w:rFonts w:ascii="Calibri" w:hAnsi="Calibri" w:eastAsia="Calibri"/>
          <w:sz w:val="22"/>
          <w:szCs w:val="22"/>
        </w:rPr>
        <w:t xml:space="preserve"> not sure how a 100% response rate can be guaranteed from a survey of state CN directors.  Even with statutory reporting, unless a penalty </w:t>
      </w:r>
      <w:proofErr w:type="gramStart"/>
      <w:r w:rsidRPr="007209F0">
        <w:rPr>
          <w:rFonts w:ascii="Calibri" w:hAnsi="Calibri" w:eastAsia="Calibri"/>
          <w:sz w:val="22"/>
          <w:szCs w:val="22"/>
        </w:rPr>
        <w:t>is enforced</w:t>
      </w:r>
      <w:proofErr w:type="gramEnd"/>
      <w:r w:rsidRPr="007209F0">
        <w:rPr>
          <w:rFonts w:ascii="Calibri" w:hAnsi="Calibri" w:eastAsia="Calibri"/>
          <w:sz w:val="22"/>
          <w:szCs w:val="22"/>
        </w:rPr>
        <w:t xml:space="preserve"> for not reporting.  If not, it would be feasible to have a back-up plan in place for nonresponse weighting adjustments, if a 100% response rate is not obtained.</w:t>
      </w:r>
    </w:p>
    <w:p w:rsidRPr="007209F0" w:rsidR="007209F0" w:rsidP="007209F0" w:rsidRDefault="007209F0">
      <w:pPr>
        <w:spacing w:after="160" w:line="259" w:lineRule="auto"/>
        <w:ind w:firstLine="0"/>
        <w:rPr>
          <w:rFonts w:ascii="Calibri" w:hAnsi="Calibri" w:eastAsia="Calibri"/>
          <w:sz w:val="22"/>
          <w:szCs w:val="22"/>
        </w:rPr>
      </w:pPr>
      <w:r w:rsidRPr="007209F0">
        <w:rPr>
          <w:rFonts w:ascii="Calibri" w:hAnsi="Calibri" w:eastAsia="Calibri"/>
          <w:sz w:val="22"/>
          <w:szCs w:val="22"/>
        </w:rPr>
        <w:t xml:space="preserve">I did see a comment that telephone </w:t>
      </w:r>
      <w:proofErr w:type="gramStart"/>
      <w:r w:rsidRPr="007209F0">
        <w:rPr>
          <w:rFonts w:ascii="Calibri" w:hAnsi="Calibri" w:eastAsia="Calibri"/>
          <w:sz w:val="22"/>
          <w:szCs w:val="22"/>
        </w:rPr>
        <w:t>follow ups</w:t>
      </w:r>
      <w:proofErr w:type="gramEnd"/>
      <w:r w:rsidRPr="007209F0">
        <w:rPr>
          <w:rFonts w:ascii="Calibri" w:hAnsi="Calibri" w:eastAsia="Calibri"/>
          <w:sz w:val="22"/>
          <w:szCs w:val="22"/>
        </w:rPr>
        <w:t xml:space="preserve"> will be made with directors who do not complete the survey; however, a telephone follow-up is not likely to result in a 100% response rate and would necessitate a nonresponse weighting adjustment plan.  It should be relatively easy to implement using the strata design.</w:t>
      </w:r>
    </w:p>
    <w:p w:rsidRPr="007209F0" w:rsidR="007209F0" w:rsidP="007209F0" w:rsidRDefault="007209F0">
      <w:pPr>
        <w:spacing w:after="160" w:line="259" w:lineRule="auto"/>
        <w:ind w:firstLine="0"/>
        <w:rPr>
          <w:rFonts w:ascii="Calibri" w:hAnsi="Calibri" w:eastAsia="Calibri"/>
          <w:sz w:val="22"/>
          <w:szCs w:val="22"/>
        </w:rPr>
      </w:pPr>
      <w:r w:rsidRPr="007209F0">
        <w:rPr>
          <w:rFonts w:ascii="Calibri" w:hAnsi="Calibri" w:eastAsia="Calibri"/>
          <w:sz w:val="22"/>
          <w:szCs w:val="22"/>
        </w:rPr>
        <w:t>B3.  What are the characteristics of the respondents that you plan to assess for non-respondent bias across the frame, sample and respondents?  You reference them, but never list them.</w:t>
      </w:r>
    </w:p>
    <w:p w:rsidRPr="007209F0" w:rsidR="007209F0" w:rsidP="007209F0" w:rsidRDefault="007209F0">
      <w:pPr>
        <w:spacing w:after="160" w:line="259" w:lineRule="auto"/>
        <w:ind w:firstLine="0"/>
        <w:rPr>
          <w:rFonts w:ascii="Calibri" w:hAnsi="Calibri" w:eastAsia="Calibri"/>
          <w:sz w:val="22"/>
          <w:szCs w:val="22"/>
        </w:rPr>
      </w:pPr>
      <w:r w:rsidRPr="007209F0">
        <w:rPr>
          <w:rFonts w:ascii="Calibri" w:hAnsi="Calibri" w:eastAsia="Calibri"/>
          <w:sz w:val="22"/>
          <w:szCs w:val="22"/>
        </w:rPr>
        <w:t>B4.  Great responses to the results of the cognitive testing.</w:t>
      </w:r>
    </w:p>
    <w:p w:rsidR="000877F8" w:rsidP="007209F0" w:rsidRDefault="007209F0">
      <w:pPr>
        <w:spacing w:after="160" w:line="259" w:lineRule="auto"/>
        <w:ind w:firstLine="0"/>
      </w:pPr>
      <w:r w:rsidRPr="007209F0">
        <w:rPr>
          <w:rFonts w:ascii="Calibri" w:hAnsi="Calibri" w:eastAsia="Calibri"/>
          <w:sz w:val="22"/>
          <w:szCs w:val="22"/>
        </w:rPr>
        <w:t>B5.  No comments</w:t>
      </w:r>
      <w:bookmarkStart w:name="_GoBack" w:id="0"/>
      <w:bookmarkEnd w:id="0"/>
    </w:p>
    <w:sectPr w:rsidR="000877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209F0">
      <w:pPr>
        <w:spacing w:line="240" w:lineRule="auto"/>
      </w:pPr>
      <w:r>
        <w:separator/>
      </w:r>
    </w:p>
  </w:endnote>
  <w:endnote w:type="continuationSeparator" w:id="0">
    <w:p w:rsidR="00000000" w:rsidRDefault="007209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w:altName w:val="Mangal"/>
    <w:panose1 w:val="020B0703040504020204"/>
    <w:charset w:val="00"/>
    <w:family w:val="swiss"/>
    <w:pitch w:val="variable"/>
    <w:sig w:usb0="8100AAF7" w:usb1="0000807B" w:usb2="00000008" w:usb3="00000000" w:csb0="000100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17C" w:rsidRDefault="007209F0" w:rsidP="00EA3201">
    <w:pPr>
      <w:pStyle w:val="Footer"/>
      <w:pBdr>
        <w:bottom w:val="none" w:sz="0" w:space="0"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209F0">
      <w:pPr>
        <w:spacing w:line="240" w:lineRule="auto"/>
      </w:pPr>
      <w:r>
        <w:separator/>
      </w:r>
    </w:p>
  </w:footnote>
  <w:footnote w:type="continuationSeparator" w:id="0">
    <w:p w:rsidR="00000000" w:rsidRDefault="007209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201" w:rsidRDefault="007209F0" w:rsidP="00EA3201">
    <w:pPr>
      <w:pStyle w:val="Header"/>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B0B"/>
    <w:rsid w:val="00393FB8"/>
    <w:rsid w:val="007209F0"/>
    <w:rsid w:val="007639F3"/>
    <w:rsid w:val="00CC5B0B"/>
    <w:rsid w:val="00F070EF"/>
    <w:rsid w:val="00FE4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C4C216-3475-4D73-8E6E-408524F2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B0B"/>
    <w:pPr>
      <w:spacing w:after="0" w:line="480" w:lineRule="auto"/>
      <w:ind w:firstLine="432"/>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CC5B0B"/>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CC5B0B"/>
    <w:rPr>
      <w:rFonts w:ascii="Arial" w:eastAsia="Times New Roman" w:hAnsi="Arial" w:cs="Times New Roman"/>
      <w:sz w:val="20"/>
      <w:szCs w:val="20"/>
    </w:rPr>
  </w:style>
  <w:style w:type="paragraph" w:styleId="Header">
    <w:name w:val="header"/>
    <w:basedOn w:val="Normal"/>
    <w:link w:val="HeaderChar"/>
    <w:qFormat/>
    <w:rsid w:val="00CC5B0B"/>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CC5B0B"/>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CC5B0B"/>
    <w:pPr>
      <w:spacing w:before="2640" w:after="240" w:line="240" w:lineRule="auto"/>
      <w:ind w:firstLine="0"/>
      <w:jc w:val="center"/>
      <w:outlineLvl w:val="1"/>
    </w:pPr>
    <w:rPr>
      <w:rFonts w:ascii="Arial Black" w:hAnsi="Arial Black"/>
      <w:cap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Holly - FNS</dc:creator>
  <cp:keywords/>
  <dc:description/>
  <cp:lastModifiedBy>Figueroa, Holly - FNS</cp:lastModifiedBy>
  <cp:revision>2</cp:revision>
  <dcterms:created xsi:type="dcterms:W3CDTF">2021-09-03T01:35:00Z</dcterms:created>
  <dcterms:modified xsi:type="dcterms:W3CDTF">2021-09-03T01:35:00Z</dcterms:modified>
</cp:coreProperties>
</file>