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C24" w:rsidP="00B36A76" w:rsidRDefault="00C20811">
      <w:pPr>
        <w:pStyle w:val="Heading1"/>
        <w:spacing w:before="0"/>
        <w:ind w:left="0"/>
        <w:jc w:val="center"/>
      </w:pPr>
      <w:r>
        <w:t xml:space="preserve"> </w:t>
      </w:r>
      <w:r w:rsidR="00440E81">
        <w:t>SUPPORTING STATEMENT</w:t>
      </w:r>
    </w:p>
    <w:p w:rsidR="00366C24" w:rsidRDefault="00440E81">
      <w:pPr>
        <w:spacing w:before="22" w:line="259" w:lineRule="auto"/>
        <w:ind w:firstLine="14"/>
        <w:jc w:val="center"/>
        <w:rPr>
          <w:b/>
        </w:rPr>
      </w:pPr>
      <w:r>
        <w:rPr>
          <w:b/>
        </w:rPr>
        <w:t>U.S. Department of Commerce</w:t>
      </w:r>
    </w:p>
    <w:p w:rsidR="00366C24" w:rsidRDefault="00440E81">
      <w:pPr>
        <w:spacing w:before="22" w:line="259" w:lineRule="auto"/>
        <w:ind w:firstLine="14"/>
        <w:jc w:val="center"/>
        <w:rPr>
          <w:b/>
        </w:rPr>
      </w:pPr>
      <w:r>
        <w:rPr>
          <w:b/>
        </w:rPr>
        <w:t>National Oceanic &amp; Atmospheric Administration</w:t>
      </w:r>
    </w:p>
    <w:p w:rsidRPr="00681EE4" w:rsidR="007535A3" w:rsidP="007535A3" w:rsidRDefault="00D66D1F">
      <w:pPr>
        <w:jc w:val="center"/>
        <w:rPr>
          <w:b/>
          <w:bCs/>
        </w:rPr>
      </w:pPr>
      <w:r>
        <w:rPr>
          <w:b/>
          <w:bCs/>
        </w:rPr>
        <w:t>Documentation of Fish Harvest</w:t>
      </w:r>
    </w:p>
    <w:p w:rsidRPr="00681EE4" w:rsidR="007535A3" w:rsidP="007535A3" w:rsidRDefault="007535A3">
      <w:pPr>
        <w:jc w:val="center"/>
        <w:rPr>
          <w:b/>
          <w:bCs/>
        </w:rPr>
      </w:pPr>
      <w:r w:rsidRPr="00681EE4">
        <w:rPr>
          <w:b/>
          <w:bCs/>
        </w:rPr>
        <w:t xml:space="preserve">OMB </w:t>
      </w:r>
      <w:r w:rsidR="00D66D1F">
        <w:rPr>
          <w:b/>
          <w:bCs/>
        </w:rPr>
        <w:t>Control No</w:t>
      </w:r>
      <w:r w:rsidRPr="00681EE4">
        <w:rPr>
          <w:b/>
          <w:bCs/>
        </w:rPr>
        <w:t>. 0648-0365</w:t>
      </w:r>
    </w:p>
    <w:p w:rsidR="00366C24" w:rsidRDefault="00366C24">
      <w:pPr>
        <w:pBdr>
          <w:top w:val="nil"/>
          <w:left w:val="nil"/>
          <w:bottom w:val="nil"/>
          <w:right w:val="nil"/>
          <w:between w:val="nil"/>
        </w:pBdr>
        <w:spacing w:before="1"/>
        <w:jc w:val="center"/>
        <w:rPr>
          <w:b/>
          <w:color w:val="000000"/>
        </w:rPr>
      </w:pPr>
    </w:p>
    <w:p w:rsidR="007535A3" w:rsidP="007535A3" w:rsidRDefault="007535A3">
      <w:pPr>
        <w:rPr>
          <w:b/>
        </w:rPr>
      </w:pPr>
    </w:p>
    <w:p w:rsidRPr="007535A3" w:rsidR="00366C24" w:rsidP="007535A3" w:rsidRDefault="00440E81">
      <w:pPr>
        <w:rPr>
          <w:b/>
        </w:rPr>
      </w:pPr>
      <w:r w:rsidRPr="007535A3">
        <w:rPr>
          <w:b/>
        </w:rPr>
        <w:t>Abstract</w:t>
      </w:r>
    </w:p>
    <w:p w:rsidR="00C90707" w:rsidP="007535A3" w:rsidRDefault="00C90707"/>
    <w:p w:rsidRPr="00681EE4" w:rsidR="007535A3" w:rsidP="007535A3" w:rsidRDefault="007535A3">
      <w:r w:rsidRPr="00681EE4">
        <w:t xml:space="preserve">This request is for an extension of a currently approved information collection. </w:t>
      </w:r>
    </w:p>
    <w:p w:rsidR="007535A3" w:rsidP="007535A3" w:rsidRDefault="007535A3"/>
    <w:p w:rsidRPr="007535A3" w:rsidR="00366C24" w:rsidP="007535A3" w:rsidRDefault="00440E81">
      <w:pPr>
        <w:rPr>
          <w:b/>
        </w:rPr>
      </w:pPr>
      <w:r w:rsidRPr="007535A3">
        <w:rPr>
          <w:b/>
        </w:rPr>
        <w:t>Justification</w:t>
      </w:r>
    </w:p>
    <w:p w:rsidR="00366C24" w:rsidRDefault="00440E81">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90707" w:rsidRDefault="00C90707">
      <w:pPr>
        <w:pBdr>
          <w:top w:val="nil"/>
          <w:left w:val="nil"/>
          <w:bottom w:val="nil"/>
          <w:right w:val="nil"/>
          <w:between w:val="nil"/>
        </w:pBdr>
        <w:spacing w:before="159" w:line="259" w:lineRule="auto"/>
        <w:rPr>
          <w:color w:val="2F5496"/>
        </w:rPr>
      </w:pPr>
    </w:p>
    <w:p w:rsidRPr="00681EE4" w:rsidR="00C90707" w:rsidP="00C90707" w:rsidRDefault="00C90707">
      <w:r w:rsidRPr="00681EE4">
        <w:t xml:space="preserve">The National Oceanic and Atmospheric Administration’s (NOAA) National Marine Fisheries Service (NMFS) requires seafood dealers that purchase or sell certain snapper-grouper species harvested during fishery closures must maintain documentation that such fish were harvested from areas other than the South Atlantic. Regulations at </w:t>
      </w:r>
      <w:hyperlink w:history="1" r:id="rId9">
        <w:r w:rsidRPr="00681EE4">
          <w:rPr>
            <w:rStyle w:val="Hyperlink"/>
          </w:rPr>
          <w:t>50 C</w:t>
        </w:r>
        <w:r w:rsidRPr="00681EE4">
          <w:rPr>
            <w:rStyle w:val="Hyperlink"/>
          </w:rPr>
          <w:t>F</w:t>
        </w:r>
        <w:r w:rsidRPr="00681EE4">
          <w:rPr>
            <w:rStyle w:val="Hyperlink"/>
          </w:rPr>
          <w:t>R 622.192(</w:t>
        </w:r>
        <w:proofErr w:type="spellStart"/>
        <w:r w:rsidRPr="00681EE4">
          <w:rPr>
            <w:rStyle w:val="Hyperlink"/>
          </w:rPr>
          <w:t>i</w:t>
        </w:r>
        <w:proofErr w:type="spellEnd"/>
        <w:r w:rsidRPr="00681EE4">
          <w:rPr>
            <w:rStyle w:val="Hyperlink"/>
          </w:rPr>
          <w:t>)</w:t>
        </w:r>
      </w:hyperlink>
      <w:r w:rsidRPr="00681EE4">
        <w:t xml:space="preserve"> specify the necessary documentation to support a dealer’s purchase or sale of applicable species during times specified below and in 50 CFR 622.192(</w:t>
      </w:r>
      <w:r>
        <w:t>g</w:t>
      </w:r>
      <w:r w:rsidRPr="00681EE4">
        <w:t xml:space="preserve">) </w:t>
      </w:r>
      <w:r>
        <w:t>and</w:t>
      </w:r>
      <w:r w:rsidRPr="00681EE4">
        <w:t xml:space="preserve"> (h). </w:t>
      </w:r>
    </w:p>
    <w:p w:rsidRPr="00681EE4" w:rsidR="00C90707" w:rsidP="00C90707" w:rsidRDefault="00C90707"/>
    <w:p w:rsidR="00C90707" w:rsidP="00C90707" w:rsidRDefault="00C90707">
      <w:r w:rsidRPr="00681EE4">
        <w:t>During April, no person may purchase or sell greater amberjack if: 1) the fish is harvested from South Atlantic federal waters, or 2) the fish is harvested from state or federal waters in the South Atlantic by a vessel with a valid federal commercial permit for South Atlantic snapper-grouper (50 CFR 622.192(g)).</w:t>
      </w:r>
    </w:p>
    <w:p w:rsidRPr="00681EE4" w:rsidR="00C90707" w:rsidP="00C90707" w:rsidRDefault="00C90707">
      <w:r w:rsidRPr="00681EE4">
        <w:t xml:space="preserve"> </w:t>
      </w:r>
    </w:p>
    <w:p w:rsidRPr="00681EE4" w:rsidR="00C90707" w:rsidP="00C90707" w:rsidRDefault="00C90707">
      <w:r w:rsidRPr="00681EE4">
        <w:t xml:space="preserve">During January through April, no person may purchase or sell a red porgy, gag </w:t>
      </w:r>
      <w:r>
        <w:t>(</w:t>
      </w:r>
      <w:r w:rsidRPr="00681EE4">
        <w:t>grouper</w:t>
      </w:r>
      <w:r>
        <w:t>)</w:t>
      </w:r>
      <w:r w:rsidRPr="00681EE4">
        <w:t>, black grouper, red grouper, scamp, red hind, rock hind, yellowmouth grouper, yellowfin grouper, graysby, or coney if: 1) the fish are harvested from South Atlantic federal waters, or 2) the fish are harvested from state or federal waters in the South Atlantic by a vessel with a valid federal commercial permit for South Atlantic snapper-grouper  (50 CFR 622.192(h)).</w:t>
      </w:r>
    </w:p>
    <w:p w:rsidRPr="00681EE4" w:rsidR="00C90707" w:rsidP="00C90707" w:rsidRDefault="00C90707"/>
    <w:p w:rsidRPr="00681EE4" w:rsidR="00C90707" w:rsidP="00C90707" w:rsidRDefault="00C90707">
      <w:r w:rsidRPr="00681EE4">
        <w:t>These prohibitions do not apply to a dealer's purchase or sale of such species harvested from an area other than the South Atlantic, provided such fish is accompanied by documentation of harvest outside the South Atlantic as specified in 50 CFR 622.192(</w:t>
      </w:r>
      <w:proofErr w:type="spellStart"/>
      <w:r w:rsidRPr="00681EE4">
        <w:t>i</w:t>
      </w:r>
      <w:proofErr w:type="spellEnd"/>
      <w:r w:rsidRPr="00681EE4">
        <w:t xml:space="preserve">). </w:t>
      </w:r>
    </w:p>
    <w:p w:rsidR="00C90707" w:rsidRDefault="00C90707">
      <w:pPr>
        <w:pBdr>
          <w:top w:val="nil"/>
          <w:left w:val="nil"/>
          <w:bottom w:val="nil"/>
          <w:right w:val="nil"/>
          <w:between w:val="nil"/>
        </w:pBdr>
        <w:spacing w:before="159" w:line="259" w:lineRule="auto"/>
        <w:rPr>
          <w:color w:val="2F5496"/>
        </w:rPr>
      </w:pPr>
    </w:p>
    <w:p w:rsidR="00366C24" w:rsidRDefault="00440E81">
      <w:pPr>
        <w:pStyle w:val="Heading1"/>
        <w:numPr>
          <w:ilvl w:val="0"/>
          <w:numId w:val="3"/>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440E81" w:rsidRDefault="00440E81">
      <w:pPr>
        <w:pBdr>
          <w:top w:val="nil"/>
          <w:left w:val="nil"/>
          <w:bottom w:val="nil"/>
          <w:right w:val="nil"/>
          <w:between w:val="nil"/>
        </w:pBdr>
        <w:spacing w:before="161"/>
        <w:rPr>
          <w:color w:val="2F5496"/>
        </w:rPr>
      </w:pPr>
    </w:p>
    <w:p w:rsidRPr="00681EE4" w:rsidR="00440E81" w:rsidP="00440E81" w:rsidRDefault="00440E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81EE4">
        <w:lastRenderedPageBreak/>
        <w:t>A dealer's purchase or sale of greater amberjack, red porgy, gag, black grouper, red grouper, scamp, red hind, rock hind, yellowmouth grouper, yellowfin grouper, graysby, or coney harvested from an area other than the South Atlantic must be accompanied by documentation of harvest outside the South Atlantic. Such documentation must contain the information specified in 50 CFR 622.192(</w:t>
      </w:r>
      <w:proofErr w:type="spellStart"/>
      <w:r w:rsidRPr="00681EE4">
        <w:t>i</w:t>
      </w:r>
      <w:proofErr w:type="spellEnd"/>
      <w:r w:rsidRPr="00681EE4">
        <w:t xml:space="preserve">), and </w:t>
      </w:r>
      <w:hyperlink w:history="1" r:id="rId10">
        <w:r w:rsidRPr="00681EE4">
          <w:rPr>
            <w:rStyle w:val="Hyperlink"/>
          </w:rPr>
          <w:t>50 CFR part 300</w:t>
        </w:r>
      </w:hyperlink>
      <w:r w:rsidRPr="00681EE4">
        <w:t xml:space="preserve">, subpart K for marking containers or packages of fish or wildlife that are imported, exported, or transported in interstate commerce. The required documentation allows dealers to sell fish that were caught from areas outside the South Atlantic during closed seasons. The documentation supporting a dealer's purchase or sale of applicable species during an applicable closed season must contain the information below. </w:t>
      </w:r>
    </w:p>
    <w:p w:rsidRPr="00681EE4" w:rsidR="00440E81" w:rsidP="00440E81" w:rsidRDefault="00440E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681EE4" w:rsidR="00440E81" w:rsidP="00440E81" w:rsidRDefault="00440E81">
      <w:pPr>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Cs/>
        </w:rPr>
      </w:pPr>
      <w:r w:rsidRPr="00681EE4">
        <w:rPr>
          <w:bCs/>
        </w:rPr>
        <w:t>The information specified in 50 CFR part 300, subpart K for marking containers or packages of fish or wildlife that are imported, exported, or transported in interstate commerce</w:t>
      </w:r>
    </w:p>
    <w:p w:rsidRPr="00681EE4" w:rsidR="00440E81" w:rsidP="00440E81" w:rsidRDefault="00440E81">
      <w:pPr>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Cs/>
        </w:rPr>
      </w:pPr>
      <w:r w:rsidRPr="00681EE4">
        <w:rPr>
          <w:bCs/>
        </w:rPr>
        <w:t xml:space="preserve">The official number of the vessel harvesting the </w:t>
      </w:r>
      <w:r w:rsidRPr="00681EE4">
        <w:t>species</w:t>
      </w:r>
      <w:r w:rsidRPr="00681EE4" w:rsidDel="00F748FE">
        <w:rPr>
          <w:bCs/>
        </w:rPr>
        <w:t xml:space="preserve"> </w:t>
      </w:r>
    </w:p>
    <w:p w:rsidRPr="00681EE4" w:rsidR="00440E81" w:rsidP="00440E81" w:rsidRDefault="00440E81">
      <w:pPr>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Cs/>
        </w:rPr>
      </w:pPr>
      <w:r w:rsidRPr="00681EE4">
        <w:rPr>
          <w:bCs/>
        </w:rPr>
        <w:t xml:space="preserve">The registered name of the vessel harvesting the </w:t>
      </w:r>
      <w:r w:rsidRPr="00681EE4">
        <w:t>species</w:t>
      </w:r>
      <w:r w:rsidRPr="00681EE4" w:rsidDel="00F748FE">
        <w:rPr>
          <w:bCs/>
        </w:rPr>
        <w:t xml:space="preserve"> </w:t>
      </w:r>
    </w:p>
    <w:p w:rsidRPr="00681EE4" w:rsidR="00440E81" w:rsidP="00440E81" w:rsidRDefault="00440E81">
      <w:pPr>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Cs/>
        </w:rPr>
      </w:pPr>
      <w:r w:rsidRPr="00681EE4">
        <w:rPr>
          <w:bCs/>
        </w:rPr>
        <w:t xml:space="preserve">The home port of the vessel harvesting the </w:t>
      </w:r>
      <w:r w:rsidRPr="00681EE4">
        <w:t>species</w:t>
      </w:r>
      <w:r w:rsidRPr="00681EE4" w:rsidDel="00F748FE">
        <w:rPr>
          <w:bCs/>
        </w:rPr>
        <w:t xml:space="preserve"> </w:t>
      </w:r>
    </w:p>
    <w:p w:rsidRPr="00681EE4" w:rsidR="00440E81" w:rsidP="00440E81" w:rsidRDefault="00440E81">
      <w:pPr>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Cs/>
        </w:rPr>
      </w:pPr>
      <w:r w:rsidRPr="00681EE4">
        <w:rPr>
          <w:bCs/>
        </w:rPr>
        <w:t xml:space="preserve">The port of offloading from the vessel harvesting the </w:t>
      </w:r>
      <w:r w:rsidRPr="00681EE4">
        <w:t>species</w:t>
      </w:r>
      <w:r w:rsidRPr="00681EE4" w:rsidDel="00F748FE">
        <w:rPr>
          <w:bCs/>
        </w:rPr>
        <w:t xml:space="preserve"> </w:t>
      </w:r>
    </w:p>
    <w:p w:rsidRPr="00681EE4" w:rsidR="00440E81" w:rsidP="00440E81" w:rsidRDefault="00440E81">
      <w:pPr>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Cs/>
        </w:rPr>
      </w:pPr>
      <w:r w:rsidRPr="00681EE4">
        <w:rPr>
          <w:bCs/>
        </w:rPr>
        <w:t xml:space="preserve">The date of offloading from the vessel harvesting the </w:t>
      </w:r>
      <w:r w:rsidRPr="00681EE4">
        <w:t>species</w:t>
      </w:r>
      <w:r w:rsidRPr="00681EE4" w:rsidDel="00A11165">
        <w:rPr>
          <w:bCs/>
        </w:rPr>
        <w:t xml:space="preserve"> </w:t>
      </w:r>
    </w:p>
    <w:p w:rsidRPr="00681EE4" w:rsidR="00440E81" w:rsidP="00440E81" w:rsidRDefault="00440E81">
      <w:pPr>
        <w:pStyle w:val="ListParagraph"/>
        <w:numPr>
          <w:ilvl w:val="0"/>
          <w:numId w:val="12"/>
        </w:numPr>
        <w:autoSpaceDE w:val="0"/>
        <w:autoSpaceDN w:val="0"/>
        <w:adjustRightInd w:val="0"/>
        <w:spacing w:before="0"/>
        <w:contextualSpacing/>
        <w:rPr>
          <w:bCs/>
        </w:rPr>
      </w:pPr>
      <w:r w:rsidRPr="00681EE4">
        <w:rPr>
          <w:bCs/>
        </w:rPr>
        <w:t>A statement signed by the dealer attesting that the species were harvested from an area other than in state or federal waters of the South Atlantic</w:t>
      </w:r>
    </w:p>
    <w:p w:rsidRPr="00681EE4" w:rsidR="00440E81" w:rsidP="00440E81" w:rsidRDefault="00440E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rPr>
      </w:pPr>
    </w:p>
    <w:p w:rsidRPr="00681EE4" w:rsidR="00440E81" w:rsidP="00440E81" w:rsidRDefault="00440E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rPr>
      </w:pPr>
      <w:r w:rsidRPr="00681EE4">
        <w:rPr>
          <w:bCs/>
        </w:rPr>
        <w:t>NOAA’s Office of Law Enforcement (OLE) will use the data when investigating the sale of fish during those periods when fishing is restricted. Record keeping is required to document the origin of the fish being sold out of season.</w:t>
      </w:r>
    </w:p>
    <w:p w:rsidRPr="00681EE4" w:rsidR="00440E81" w:rsidP="00440E81" w:rsidRDefault="00440E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rPr>
      </w:pPr>
    </w:p>
    <w:p w:rsidR="00440E81" w:rsidP="00440E81" w:rsidRDefault="00440E81">
      <w:pPr>
        <w:pBdr>
          <w:top w:val="nil"/>
          <w:left w:val="nil"/>
          <w:bottom w:val="nil"/>
          <w:right w:val="nil"/>
          <w:between w:val="nil"/>
        </w:pBdr>
        <w:spacing w:before="161"/>
        <w:rPr>
          <w:color w:val="2F5496"/>
        </w:rPr>
      </w:pPr>
      <w:r w:rsidRPr="00681EE4">
        <w:rPr>
          <w:bCs/>
        </w:rPr>
        <w:t xml:space="preserve">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NMFS decide to disseminate the information, it will be subject to the quality control measures and pre-dissemination review pursuant to </w:t>
      </w:r>
      <w:hyperlink w:history="1" r:id="rId11">
        <w:r w:rsidRPr="00681EE4">
          <w:rPr>
            <w:rStyle w:val="Hyperlink"/>
            <w:bCs/>
          </w:rPr>
          <w:t>Section 515 of Public Law 106-554</w:t>
        </w:r>
      </w:hyperlink>
      <w:r w:rsidRPr="00681EE4">
        <w:rPr>
          <w:bCs/>
        </w:rPr>
        <w:t>.</w:t>
      </w:r>
    </w:p>
    <w:p w:rsidR="00366C24" w:rsidRDefault="00366C24">
      <w:pPr>
        <w:pBdr>
          <w:top w:val="nil"/>
          <w:left w:val="nil"/>
          <w:bottom w:val="nil"/>
          <w:right w:val="nil"/>
          <w:between w:val="nil"/>
        </w:pBdr>
        <w:spacing w:before="159"/>
        <w:rPr>
          <w:color w:val="000000"/>
        </w:rPr>
      </w:pPr>
    </w:p>
    <w:p w:rsidR="00366C24" w:rsidRDefault="00440E81">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0E81" w:rsidRDefault="00440E81">
      <w:pPr>
        <w:spacing w:before="161"/>
        <w:rPr>
          <w:color w:val="2F5496"/>
        </w:rPr>
      </w:pPr>
    </w:p>
    <w:p w:rsidRPr="00681EE4" w:rsidR="00440E81" w:rsidP="00440E81" w:rsidRDefault="00440E81">
      <w:r w:rsidRPr="00681EE4">
        <w:t xml:space="preserve">The records required at the time of inspection are to be maintained by the fish dealer and must remain and be retained with the fish product, container, and/or catch being sold during those periods when fishing is restricted. Also, a copy must be maintained with the sales records. </w:t>
      </w:r>
      <w:r w:rsidRPr="00681EE4">
        <w:lastRenderedPageBreak/>
        <w:t>Currently, these documents are required to be maintained in paper form. The main concern for NOAA OLE is maintaining a signature in the event that the authenticity becomes a question.</w:t>
      </w:r>
    </w:p>
    <w:p w:rsidR="00366C24" w:rsidRDefault="00366C24">
      <w:pPr>
        <w:spacing w:before="161"/>
        <w:rPr>
          <w:b/>
        </w:rPr>
      </w:pPr>
    </w:p>
    <w:p w:rsidR="00366C24" w:rsidRDefault="00440E8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440E81" w:rsidRDefault="00440E81">
      <w:pPr>
        <w:pBdr>
          <w:top w:val="nil"/>
          <w:left w:val="nil"/>
          <w:bottom w:val="nil"/>
          <w:right w:val="nil"/>
          <w:between w:val="nil"/>
        </w:pBdr>
        <w:spacing w:before="161"/>
        <w:rPr>
          <w:color w:val="2F5496"/>
        </w:rPr>
      </w:pPr>
    </w:p>
    <w:p w:rsidRPr="00681EE4" w:rsidR="00440E81" w:rsidP="00440E81" w:rsidRDefault="00440E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81EE4">
        <w:t>There are no similar or comparable programs, as only federal regulations have been developed for this specific situation.</w:t>
      </w:r>
    </w:p>
    <w:p w:rsidR="00440E81" w:rsidRDefault="00440E81">
      <w:pPr>
        <w:pBdr>
          <w:top w:val="nil"/>
          <w:left w:val="nil"/>
          <w:bottom w:val="nil"/>
          <w:right w:val="nil"/>
          <w:between w:val="nil"/>
        </w:pBdr>
        <w:spacing w:before="161"/>
        <w:rPr>
          <w:color w:val="2F5496"/>
        </w:rPr>
      </w:pPr>
    </w:p>
    <w:p w:rsidR="00366C24" w:rsidRDefault="00440E8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440E81" w:rsidRDefault="00440E81">
      <w:pPr>
        <w:pBdr>
          <w:top w:val="nil"/>
          <w:left w:val="nil"/>
          <w:bottom w:val="nil"/>
          <w:right w:val="nil"/>
          <w:between w:val="nil"/>
        </w:pBdr>
        <w:spacing w:before="160"/>
        <w:rPr>
          <w:color w:val="2F5496"/>
        </w:rPr>
      </w:pPr>
    </w:p>
    <w:p w:rsidRPr="00681EE4" w:rsidR="00440E81" w:rsidP="00440E81" w:rsidRDefault="00440E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81EE4">
        <w:t>Most of the dealers in these fisheries can be categorized as small businesses. The collection will not have a significant impact on small businesses, and no special modifications of the requirements were considered necessary to accommodate the needs of small businesses.</w:t>
      </w:r>
    </w:p>
    <w:p w:rsidR="00440E81" w:rsidRDefault="00440E81">
      <w:pPr>
        <w:pBdr>
          <w:top w:val="nil"/>
          <w:left w:val="nil"/>
          <w:bottom w:val="nil"/>
          <w:right w:val="nil"/>
          <w:between w:val="nil"/>
        </w:pBdr>
        <w:spacing w:before="160"/>
        <w:rPr>
          <w:color w:val="2F5496"/>
        </w:rPr>
      </w:pPr>
    </w:p>
    <w:p w:rsidR="00366C24" w:rsidRDefault="00440E8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440E81" w:rsidRDefault="00440E81">
      <w:pPr>
        <w:pBdr>
          <w:top w:val="nil"/>
          <w:left w:val="nil"/>
          <w:bottom w:val="nil"/>
          <w:right w:val="nil"/>
          <w:between w:val="nil"/>
        </w:pBdr>
        <w:spacing w:before="115"/>
        <w:rPr>
          <w:color w:val="2F5496"/>
        </w:rPr>
      </w:pPr>
    </w:p>
    <w:p w:rsidRPr="00681EE4" w:rsidR="00440E81" w:rsidP="00440E81" w:rsidRDefault="00440E81">
      <w:r w:rsidRPr="00681EE4">
        <w:t xml:space="preserve">There is no reporting frequency requirement for the dealers. </w:t>
      </w:r>
      <w:r>
        <w:t>Regulations require federally permitted s</w:t>
      </w:r>
      <w:r w:rsidRPr="00681EE4">
        <w:t>eafood dealers to maintain records of purchase or sale, and make those records available to NOAA OLE upon request. If records are not kept, either proper enforcement could not take place or dealers would be prohibited from possessing otherwise legal fish.</w:t>
      </w:r>
    </w:p>
    <w:p w:rsidR="00440E81" w:rsidRDefault="00440E81">
      <w:pPr>
        <w:pBdr>
          <w:top w:val="nil"/>
          <w:left w:val="nil"/>
          <w:bottom w:val="nil"/>
          <w:right w:val="nil"/>
          <w:between w:val="nil"/>
        </w:pBdr>
        <w:spacing w:before="115"/>
        <w:rPr>
          <w:color w:val="2F5496"/>
        </w:rPr>
      </w:pPr>
    </w:p>
    <w:p w:rsidR="00366C24" w:rsidRDefault="00440E8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Pr="00246136" w:rsidR="00366C24" w:rsidP="00246136" w:rsidRDefault="00246136">
      <w:pPr>
        <w:pBdr>
          <w:top w:val="nil"/>
          <w:left w:val="nil"/>
          <w:bottom w:val="nil"/>
          <w:right w:val="nil"/>
          <w:between w:val="nil"/>
        </w:pBdr>
        <w:spacing w:before="120"/>
      </w:pPr>
      <w:r w:rsidRPr="00246136">
        <w:t>This collection of information will be conducted in a manner consistent with OMB guidelines.</w:t>
      </w:r>
    </w:p>
    <w:p w:rsidR="00823EA6" w:rsidP="00823EA6" w:rsidRDefault="00823EA6">
      <w:pPr>
        <w:pBdr>
          <w:top w:val="nil"/>
          <w:left w:val="nil"/>
          <w:bottom w:val="nil"/>
          <w:right w:val="nil"/>
          <w:between w:val="nil"/>
        </w:pBdr>
        <w:spacing w:before="120"/>
        <w:ind w:left="720"/>
        <w:rPr>
          <w:color w:val="1F497D"/>
        </w:rPr>
      </w:pPr>
    </w:p>
    <w:p w:rsidR="00366C24" w:rsidRDefault="00440E8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D633C" w:rsidRDefault="009D633C">
      <w:pPr>
        <w:pBdr>
          <w:top w:val="nil"/>
          <w:left w:val="nil"/>
          <w:bottom w:val="nil"/>
          <w:right w:val="nil"/>
          <w:between w:val="nil"/>
        </w:pBdr>
        <w:spacing w:before="159"/>
        <w:rPr>
          <w:color w:val="2F5496"/>
        </w:rPr>
      </w:pPr>
    </w:p>
    <w:p w:rsidR="009D633C" w:rsidRDefault="009D633C">
      <w:pPr>
        <w:pBdr>
          <w:top w:val="nil"/>
          <w:left w:val="nil"/>
          <w:bottom w:val="nil"/>
          <w:right w:val="nil"/>
          <w:between w:val="nil"/>
        </w:pBdr>
        <w:spacing w:before="159"/>
        <w:rPr>
          <w:color w:val="2F5496"/>
        </w:rPr>
      </w:pPr>
    </w:p>
    <w:p w:rsidRPr="00681EE4" w:rsidR="009D633C" w:rsidP="009D633C" w:rsidRDefault="009D633C">
      <w:pPr>
        <w:widowControl/>
      </w:pPr>
      <w:r w:rsidRPr="00681EE4">
        <w:lastRenderedPageBreak/>
        <w:t xml:space="preserve">On </w:t>
      </w:r>
      <w:r>
        <w:t>June 8, 2021</w:t>
      </w:r>
      <w:r w:rsidRPr="00681EE4">
        <w:t xml:space="preserve">, NMFS published a notice in the </w:t>
      </w:r>
      <w:r w:rsidRPr="00681EE4">
        <w:rPr>
          <w:i/>
        </w:rPr>
        <w:t>Federal Register</w:t>
      </w:r>
      <w:r w:rsidRPr="00681EE4">
        <w:t xml:space="preserve"> soliciting public comment on the information collection (8</w:t>
      </w:r>
      <w:r>
        <w:t>6</w:t>
      </w:r>
      <w:r w:rsidRPr="00681EE4">
        <w:t xml:space="preserve"> FR </w:t>
      </w:r>
      <w:r>
        <w:t>30448</w:t>
      </w:r>
      <w:r w:rsidRPr="00681EE4">
        <w:t>). NMFS did not receive any</w:t>
      </w:r>
      <w:r>
        <w:t xml:space="preserve"> public</w:t>
      </w:r>
      <w:r w:rsidRPr="00681EE4">
        <w:t xml:space="preserve"> comments on the notice.</w:t>
      </w:r>
    </w:p>
    <w:p w:rsidRPr="00681EE4" w:rsidR="009D633C" w:rsidP="009D633C" w:rsidRDefault="009D633C">
      <w:pPr>
        <w:widowControl/>
      </w:pPr>
    </w:p>
    <w:p w:rsidR="009D633C" w:rsidP="009D633C" w:rsidRDefault="009D633C">
      <w:pPr>
        <w:widowControl/>
      </w:pPr>
      <w:r w:rsidRPr="00681EE4">
        <w:t>In June 20</w:t>
      </w:r>
      <w:r>
        <w:t>21</w:t>
      </w:r>
      <w:r w:rsidRPr="00681EE4">
        <w:t xml:space="preserve">, NMFS contacted </w:t>
      </w:r>
      <w:r w:rsidR="00246136">
        <w:t>three</w:t>
      </w:r>
      <w:r w:rsidRPr="00681EE4">
        <w:t xml:space="preserve"> </w:t>
      </w:r>
      <w:r>
        <w:t xml:space="preserve">federally permitted </w:t>
      </w:r>
      <w:r w:rsidRPr="00681EE4">
        <w:t xml:space="preserve">seafood dealers to obtain their feedback on estimated annual burden per response. They stated that the current estimate of 10 minutes per response was </w:t>
      </w:r>
      <w:r>
        <w:t>reasonable in their experiences</w:t>
      </w:r>
      <w:r w:rsidRPr="00681EE4">
        <w:t>. Therefore, NMFS has</w:t>
      </w:r>
      <w:r>
        <w:t xml:space="preserve"> not changed this information collection based on respondent feedback.</w:t>
      </w:r>
    </w:p>
    <w:p w:rsidRPr="00681EE4" w:rsidR="00823EA6" w:rsidP="009D633C" w:rsidRDefault="00823EA6">
      <w:pPr>
        <w:widowControl/>
      </w:pPr>
    </w:p>
    <w:p w:rsidR="00366C24" w:rsidRDefault="00440E8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9D633C" w:rsidP="009D633C" w:rsidRDefault="009D633C">
      <w:pPr>
        <w:pBdr>
          <w:top w:val="nil"/>
          <w:left w:val="nil"/>
          <w:bottom w:val="nil"/>
          <w:right w:val="nil"/>
          <w:between w:val="nil"/>
        </w:pBdr>
        <w:tabs>
          <w:tab w:val="left" w:pos="360"/>
        </w:tabs>
        <w:spacing w:before="80"/>
        <w:rPr>
          <w:b/>
          <w:color w:val="000000"/>
        </w:rPr>
      </w:pPr>
    </w:p>
    <w:p w:rsidRPr="00681EE4" w:rsidR="009D633C" w:rsidP="009D633C" w:rsidRDefault="009D633C">
      <w:pPr>
        <w:widowControl/>
      </w:pPr>
      <w:r w:rsidRPr="00681EE4">
        <w:t>No payments or gifts are provided.</w:t>
      </w:r>
    </w:p>
    <w:p w:rsidR="009D633C" w:rsidP="009D633C" w:rsidRDefault="009D633C">
      <w:pPr>
        <w:pBdr>
          <w:top w:val="nil"/>
          <w:left w:val="nil"/>
          <w:bottom w:val="nil"/>
          <w:right w:val="nil"/>
          <w:between w:val="nil"/>
        </w:pBdr>
        <w:tabs>
          <w:tab w:val="left" w:pos="360"/>
        </w:tabs>
        <w:spacing w:before="80"/>
        <w:rPr>
          <w:b/>
          <w:color w:val="000000"/>
        </w:rPr>
      </w:pPr>
    </w:p>
    <w:p w:rsidR="00366C24" w:rsidRDefault="00440E8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D633C" w:rsidRDefault="009D633C">
      <w:pPr>
        <w:pBdr>
          <w:top w:val="nil"/>
          <w:left w:val="nil"/>
          <w:bottom w:val="nil"/>
          <w:right w:val="nil"/>
          <w:between w:val="nil"/>
        </w:pBdr>
        <w:spacing w:before="158"/>
        <w:rPr>
          <w:color w:val="2F5496"/>
        </w:rPr>
      </w:pPr>
    </w:p>
    <w:p w:rsidRPr="00681EE4" w:rsidR="009D633C" w:rsidP="009D633C" w:rsidRDefault="009D633C">
      <w:pPr>
        <w:widowControl/>
      </w:pPr>
      <w:r w:rsidRPr="00681EE4">
        <w:t>There is no assurance of confidentiality provided</w:t>
      </w:r>
      <w:r w:rsidR="00823EA6">
        <w:t xml:space="preserve"> to respondents</w:t>
      </w:r>
      <w:r w:rsidRPr="00681EE4">
        <w:t>.</w:t>
      </w:r>
    </w:p>
    <w:p w:rsidR="009D633C" w:rsidRDefault="00AD53F9">
      <w:pPr>
        <w:pBdr>
          <w:top w:val="nil"/>
          <w:left w:val="nil"/>
          <w:bottom w:val="nil"/>
          <w:right w:val="nil"/>
          <w:between w:val="nil"/>
        </w:pBdr>
        <w:spacing w:before="158"/>
      </w:pPr>
      <w:r w:rsidRPr="007737CB">
        <w:t xml:space="preserve">This information is collected under </w:t>
      </w:r>
      <w:r w:rsidRPr="007737CB" w:rsidR="007737CB">
        <w:t xml:space="preserve">system of records </w:t>
      </w:r>
      <w:hyperlink w:history="1" r:id="rId12">
        <w:r w:rsidRPr="007737CB" w:rsidR="007737CB">
          <w:rPr>
            <w:rStyle w:val="Hyperlink"/>
          </w:rPr>
          <w:t>COMMERCE/NOAA-19</w:t>
        </w:r>
      </w:hyperlink>
      <w:r w:rsidRPr="007737CB" w:rsidR="007737CB">
        <w:t>, Permits and Registrations for United States Federally Regulated Fisheries.</w:t>
      </w:r>
    </w:p>
    <w:p w:rsidRPr="007737CB" w:rsidR="007737CB" w:rsidRDefault="007737CB">
      <w:pPr>
        <w:pBdr>
          <w:top w:val="nil"/>
          <w:left w:val="nil"/>
          <w:bottom w:val="nil"/>
          <w:right w:val="nil"/>
          <w:between w:val="nil"/>
        </w:pBdr>
        <w:spacing w:before="158"/>
      </w:pPr>
    </w:p>
    <w:p w:rsidR="00366C24" w:rsidRDefault="00440E8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D633C" w:rsidRDefault="009D633C">
      <w:pPr>
        <w:pBdr>
          <w:top w:val="nil"/>
          <w:left w:val="nil"/>
          <w:bottom w:val="nil"/>
          <w:right w:val="nil"/>
          <w:between w:val="nil"/>
        </w:pBdr>
        <w:tabs>
          <w:tab w:val="left" w:pos="360"/>
        </w:tabs>
        <w:spacing w:before="80"/>
        <w:rPr>
          <w:b/>
          <w:color w:val="000000"/>
        </w:rPr>
      </w:pPr>
    </w:p>
    <w:p w:rsidRPr="00681EE4" w:rsidR="009D633C" w:rsidP="009D633C" w:rsidRDefault="009D633C">
      <w:pPr>
        <w:widowControl/>
      </w:pPr>
      <w:r w:rsidRPr="00681EE4">
        <w:t>No sensitive information is required.</w:t>
      </w:r>
    </w:p>
    <w:p w:rsidR="001F4769" w:rsidRDefault="001F4769">
      <w:pPr>
        <w:pBdr>
          <w:top w:val="nil"/>
          <w:left w:val="nil"/>
          <w:bottom w:val="nil"/>
          <w:right w:val="nil"/>
          <w:between w:val="nil"/>
        </w:pBdr>
        <w:tabs>
          <w:tab w:val="left" w:pos="360"/>
        </w:tabs>
        <w:spacing w:before="80"/>
        <w:rPr>
          <w:b/>
          <w:color w:val="000000"/>
        </w:rPr>
        <w:sectPr w:rsidR="001F4769" w:rsidSect="00B36A76">
          <w:footerReference w:type="default" r:id="rId13"/>
          <w:pgSz w:w="12240" w:h="15840"/>
          <w:pgMar w:top="1440" w:right="1440" w:bottom="1440" w:left="1440" w:header="0" w:footer="1014" w:gutter="0"/>
          <w:cols w:space="720"/>
          <w:docGrid w:linePitch="326"/>
        </w:sectPr>
      </w:pPr>
    </w:p>
    <w:p w:rsidR="00366C24" w:rsidRDefault="00366C24">
      <w:pPr>
        <w:spacing w:line="259" w:lineRule="auto"/>
      </w:pPr>
    </w:p>
    <w:p w:rsidR="00366C24" w:rsidRDefault="00440E8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0571D1" w:rsidP="000571D1" w:rsidRDefault="000571D1">
      <w:pPr>
        <w:pBdr>
          <w:top w:val="nil"/>
          <w:left w:val="nil"/>
          <w:bottom w:val="nil"/>
          <w:right w:val="nil"/>
          <w:between w:val="nil"/>
        </w:pBdr>
        <w:spacing w:before="120"/>
        <w:rPr>
          <w:color w:val="000000"/>
        </w:rPr>
      </w:pPr>
    </w:p>
    <w:p w:rsidRPr="000571D1" w:rsidR="000571D1" w:rsidP="000571D1" w:rsidRDefault="000571D1">
      <w:pPr>
        <w:pBdr>
          <w:top w:val="nil"/>
          <w:left w:val="nil"/>
          <w:bottom w:val="nil"/>
          <w:right w:val="nil"/>
          <w:between w:val="nil"/>
        </w:pBdr>
        <w:rPr>
          <w:color w:val="000000"/>
        </w:rPr>
      </w:pPr>
      <w:r w:rsidRPr="000571D1">
        <w:rPr>
          <w:color w:val="000000"/>
        </w:rPr>
        <w:t xml:space="preserve">The recordkeeping requirement affects federally permitted seafood dealers with a Gulf of Mexico and South Atlantic Dealer Permit. As of August 26, 2021, there were 379 dealers with an active or renewable permit. NMFS expects the annual number of affected respondents to be lower than the total number of federally permitted dealers; however, data is not available to determine a more accurate number. Therefore, NMFS estimates the requirement would affect 379 respondents annually. </w:t>
      </w:r>
    </w:p>
    <w:p w:rsidRPr="000571D1" w:rsidR="000571D1" w:rsidP="000571D1" w:rsidRDefault="000571D1">
      <w:pPr>
        <w:pBdr>
          <w:top w:val="nil"/>
          <w:left w:val="nil"/>
          <w:bottom w:val="nil"/>
          <w:right w:val="nil"/>
          <w:between w:val="nil"/>
        </w:pBdr>
        <w:rPr>
          <w:color w:val="000000"/>
        </w:rPr>
      </w:pPr>
    </w:p>
    <w:p w:rsidRPr="000571D1" w:rsidR="000571D1" w:rsidP="000571D1" w:rsidRDefault="000571D1">
      <w:pPr>
        <w:pBdr>
          <w:top w:val="nil"/>
          <w:left w:val="nil"/>
          <w:bottom w:val="nil"/>
          <w:right w:val="nil"/>
          <w:between w:val="nil"/>
        </w:pBdr>
        <w:rPr>
          <w:color w:val="000000"/>
        </w:rPr>
      </w:pPr>
      <w:r w:rsidRPr="000571D1">
        <w:rPr>
          <w:color w:val="000000"/>
        </w:rPr>
        <w:t xml:space="preserve">Due to a lack of available data for a more accurate estimate, NMFS estimates that the recordkeeping requirement would affect each respondent once annually, and therefore, the estimated number of responses would be 379 annually. </w:t>
      </w:r>
    </w:p>
    <w:p w:rsidRPr="000571D1" w:rsidR="000571D1" w:rsidP="000571D1" w:rsidRDefault="000571D1">
      <w:pPr>
        <w:pBdr>
          <w:top w:val="nil"/>
          <w:left w:val="nil"/>
          <w:bottom w:val="nil"/>
          <w:right w:val="nil"/>
          <w:between w:val="nil"/>
        </w:pBdr>
        <w:rPr>
          <w:color w:val="000000"/>
        </w:rPr>
      </w:pPr>
    </w:p>
    <w:p w:rsidRPr="000571D1" w:rsidR="000571D1" w:rsidP="000571D1" w:rsidRDefault="000571D1">
      <w:pPr>
        <w:pBdr>
          <w:top w:val="nil"/>
          <w:left w:val="nil"/>
          <w:bottom w:val="nil"/>
          <w:right w:val="nil"/>
          <w:between w:val="nil"/>
        </w:pBdr>
        <w:rPr>
          <w:color w:val="000000"/>
        </w:rPr>
      </w:pPr>
      <w:r w:rsidRPr="000571D1">
        <w:rPr>
          <w:color w:val="000000"/>
        </w:rPr>
        <w:t xml:space="preserve">Based on feedback from federally permitted dealers in June 2021, NMFS estimates that the time for each response would average 10 minutes. </w:t>
      </w:r>
    </w:p>
    <w:p w:rsidRPr="000571D1" w:rsidR="000571D1" w:rsidP="000571D1" w:rsidRDefault="000571D1">
      <w:pPr>
        <w:pBdr>
          <w:top w:val="nil"/>
          <w:left w:val="nil"/>
          <w:bottom w:val="nil"/>
          <w:right w:val="nil"/>
          <w:between w:val="nil"/>
        </w:pBdr>
        <w:rPr>
          <w:color w:val="000000"/>
        </w:rPr>
      </w:pPr>
    </w:p>
    <w:p w:rsidR="000571D1" w:rsidP="000571D1" w:rsidRDefault="000571D1">
      <w:pPr>
        <w:pBdr>
          <w:top w:val="nil"/>
          <w:left w:val="nil"/>
          <w:bottom w:val="nil"/>
          <w:right w:val="nil"/>
          <w:between w:val="nil"/>
        </w:pBdr>
        <w:rPr>
          <w:color w:val="000000"/>
        </w:rPr>
      </w:pPr>
      <w:r w:rsidRPr="000571D1">
        <w:rPr>
          <w:color w:val="000000"/>
        </w:rPr>
        <w:t>Therefore, NMFS estimates the total time burden for the recordkeeping requirement at 63 hours annually.</w:t>
      </w:r>
    </w:p>
    <w:p w:rsidR="00366C24" w:rsidRDefault="00366C24">
      <w:pPr>
        <w:spacing w:line="259" w:lineRule="auto"/>
        <w:ind w:hanging="43"/>
        <w:jc w:val="center"/>
        <w:rPr>
          <w:b/>
          <w:color w:val="FF0000"/>
        </w:rPr>
      </w:pPr>
    </w:p>
    <w:tbl>
      <w:tblPr>
        <w:tblStyle w:val="a0"/>
        <w:tblW w:w="12885" w:type="dxa"/>
        <w:tblInd w:w="-25" w:type="dxa"/>
        <w:tblLayout w:type="fixed"/>
        <w:tblLook w:val="0400" w:firstRow="0" w:lastRow="0" w:firstColumn="0" w:lastColumn="0" w:noHBand="0" w:noVBand="1"/>
      </w:tblPr>
      <w:tblGrid>
        <w:gridCol w:w="1985"/>
        <w:gridCol w:w="2010"/>
        <w:gridCol w:w="1335"/>
        <w:gridCol w:w="1260"/>
        <w:gridCol w:w="1155"/>
        <w:gridCol w:w="1050"/>
        <w:gridCol w:w="1305"/>
        <w:gridCol w:w="960"/>
        <w:gridCol w:w="1825"/>
      </w:tblGrid>
      <w:tr w:rsidR="00366C24" w:rsidTr="007A551E">
        <w:trPr>
          <w:trHeight w:val="1365"/>
        </w:trPr>
        <w:tc>
          <w:tcPr>
            <w:tcW w:w="1985"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2010" w:type="dxa"/>
            <w:tcBorders>
              <w:top w:val="single" w:color="000000" w:sz="8" w:space="0"/>
              <w:left w:val="nil"/>
              <w:bottom w:val="single" w:color="000000" w:sz="8" w:space="0"/>
              <w:right w:val="single" w:color="000000" w:sz="8" w:space="0"/>
            </w:tcBorders>
            <w:shd w:val="clear" w:color="auto" w:fill="BDD7EE"/>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335" w:type="dxa"/>
            <w:tcBorders>
              <w:top w:val="single" w:color="000000" w:sz="8" w:space="0"/>
              <w:left w:val="nil"/>
              <w:bottom w:val="single" w:color="000000" w:sz="8" w:space="0"/>
              <w:right w:val="single" w:color="000000" w:sz="8" w:space="0"/>
            </w:tcBorders>
            <w:shd w:val="clear" w:color="auto" w:fill="BDD7EE"/>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155" w:type="dxa"/>
            <w:tcBorders>
              <w:top w:val="single" w:color="000000" w:sz="8" w:space="0"/>
              <w:left w:val="nil"/>
              <w:bottom w:val="single" w:color="000000" w:sz="8" w:space="0"/>
              <w:right w:val="single" w:color="000000" w:sz="8" w:space="0"/>
            </w:tcBorders>
            <w:shd w:val="clear" w:color="auto" w:fill="BDD7EE"/>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050" w:type="dxa"/>
            <w:tcBorders>
              <w:top w:val="single" w:color="000000" w:sz="8" w:space="0"/>
              <w:left w:val="nil"/>
              <w:bottom w:val="single" w:color="000000" w:sz="8" w:space="0"/>
              <w:right w:val="single" w:color="000000" w:sz="8" w:space="0"/>
            </w:tcBorders>
            <w:shd w:val="clear" w:color="auto" w:fill="BDD7EE"/>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1305" w:type="dxa"/>
            <w:tcBorders>
              <w:top w:val="single" w:color="000000" w:sz="8" w:space="0"/>
              <w:left w:val="nil"/>
              <w:bottom w:val="single" w:color="000000" w:sz="8" w:space="0"/>
              <w:right w:val="single" w:color="000000" w:sz="8" w:space="0"/>
            </w:tcBorders>
            <w:shd w:val="clear" w:color="auto" w:fill="BDD7EE"/>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960" w:type="dxa"/>
            <w:tcBorders>
              <w:top w:val="single" w:color="000000" w:sz="8" w:space="0"/>
              <w:left w:val="nil"/>
              <w:bottom w:val="single" w:color="000000" w:sz="8" w:space="0"/>
              <w:right w:val="single" w:color="000000" w:sz="8" w:space="0"/>
            </w:tcBorders>
            <w:shd w:val="clear" w:color="auto" w:fill="BDD7EE"/>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w:t>
            </w:r>
            <w:r w:rsidR="007A551E">
              <w:rPr>
                <w:rFonts w:ascii="Calibri" w:hAnsi="Calibri" w:eastAsia="Calibri" w:cs="Calibri"/>
                <w:b/>
                <w:color w:val="000000"/>
                <w:sz w:val="16"/>
                <w:szCs w:val="16"/>
              </w:rPr>
              <w:t xml:space="preserve"> $</w:t>
            </w:r>
            <w:r>
              <w:rPr>
                <w:rFonts w:ascii="Calibri" w:hAnsi="Calibri" w:eastAsia="Calibri" w:cs="Calibri"/>
                <w:b/>
                <w:color w:val="000000"/>
                <w:sz w:val="16"/>
                <w:szCs w:val="16"/>
              </w:rPr>
              <w:t xml:space="preserve">  (for Type of Respondent)</w:t>
            </w:r>
            <w:r>
              <w:rPr>
                <w:rFonts w:ascii="Calibri" w:hAnsi="Calibri" w:eastAsia="Calibri" w:cs="Calibri"/>
                <w:b/>
                <w:color w:val="000000"/>
                <w:sz w:val="16"/>
                <w:szCs w:val="16"/>
              </w:rPr>
              <w:br/>
              <w:t>(f)</w:t>
            </w:r>
          </w:p>
        </w:tc>
        <w:tc>
          <w:tcPr>
            <w:tcW w:w="1825" w:type="dxa"/>
            <w:tcBorders>
              <w:top w:val="single" w:color="000000" w:sz="8" w:space="0"/>
              <w:left w:val="nil"/>
              <w:bottom w:val="single" w:color="000000" w:sz="8" w:space="0"/>
              <w:right w:val="single" w:color="000000" w:sz="8" w:space="0"/>
            </w:tcBorders>
            <w:shd w:val="clear" w:color="auto" w:fill="BDD7EE"/>
            <w:vAlign w:val="center"/>
          </w:tcPr>
          <w:p w:rsidRPr="007A551E" w:rsidR="00366C24" w:rsidP="007A551E" w:rsidRDefault="00440E81">
            <w:pPr>
              <w:rPr>
                <w:rFonts w:eastAsia="Calibri"/>
                <w:sz w:val="16"/>
                <w:szCs w:val="16"/>
              </w:rPr>
            </w:pPr>
            <w:r w:rsidRPr="007A551E">
              <w:rPr>
                <w:rFonts w:eastAsia="Calibri"/>
                <w:sz w:val="16"/>
                <w:szCs w:val="16"/>
              </w:rPr>
              <w:t>Total Annual Wage Burden Costs</w:t>
            </w:r>
            <w:r w:rsidR="007A551E">
              <w:rPr>
                <w:rFonts w:eastAsia="Calibri"/>
                <w:sz w:val="16"/>
                <w:szCs w:val="16"/>
              </w:rPr>
              <w:t xml:space="preserve"> $</w:t>
            </w:r>
            <w:r w:rsidRPr="007A551E">
              <w:rPr>
                <w:rFonts w:eastAsia="Calibri"/>
                <w:sz w:val="16"/>
                <w:szCs w:val="16"/>
              </w:rPr>
              <w:br/>
              <w:t>(g) = (e) x (f)</w:t>
            </w:r>
          </w:p>
        </w:tc>
      </w:tr>
      <w:tr w:rsidR="00366C24" w:rsidTr="007A551E">
        <w:trPr>
          <w:trHeight w:val="300"/>
        </w:trPr>
        <w:tc>
          <w:tcPr>
            <w:tcW w:w="1985" w:type="dxa"/>
            <w:tcBorders>
              <w:top w:val="nil"/>
              <w:left w:val="single" w:color="000000" w:sz="8" w:space="0"/>
              <w:bottom w:val="single" w:color="000000" w:sz="4" w:space="0"/>
              <w:right w:val="single" w:color="000000" w:sz="4" w:space="0"/>
            </w:tcBorders>
            <w:shd w:val="clear" w:color="auto" w:fill="auto"/>
            <w:vAlign w:val="bottom"/>
          </w:tcPr>
          <w:p w:rsidR="00366C24" w:rsidRDefault="00440E81">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2F230C">
              <w:rPr>
                <w:rFonts w:ascii="Calibri" w:hAnsi="Calibri" w:eastAsia="Calibri" w:cs="Calibri"/>
                <w:color w:val="000000"/>
                <w:sz w:val="16"/>
                <w:szCs w:val="16"/>
              </w:rPr>
              <w:t>Documentation of Fish Harvest</w:t>
            </w:r>
          </w:p>
        </w:tc>
        <w:tc>
          <w:tcPr>
            <w:tcW w:w="2010" w:type="dxa"/>
            <w:tcBorders>
              <w:top w:val="nil"/>
              <w:left w:val="nil"/>
              <w:bottom w:val="single" w:color="000000" w:sz="4" w:space="0"/>
              <w:right w:val="single" w:color="000000" w:sz="4" w:space="0"/>
            </w:tcBorders>
            <w:shd w:val="clear" w:color="auto" w:fill="auto"/>
            <w:vAlign w:val="bottom"/>
          </w:tcPr>
          <w:p w:rsidR="00366C24" w:rsidRDefault="00440E81">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2F230C">
              <w:rPr>
                <w:rFonts w:ascii="Calibri" w:hAnsi="Calibri" w:eastAsia="Calibri" w:cs="Calibri"/>
                <w:color w:val="000000"/>
                <w:sz w:val="16"/>
                <w:szCs w:val="16"/>
              </w:rPr>
              <w:t>Seafood dealer</w:t>
            </w:r>
          </w:p>
        </w:tc>
        <w:tc>
          <w:tcPr>
            <w:tcW w:w="1335" w:type="dxa"/>
            <w:tcBorders>
              <w:top w:val="nil"/>
              <w:left w:val="nil"/>
              <w:bottom w:val="single" w:color="000000" w:sz="4" w:space="0"/>
              <w:right w:val="single" w:color="000000" w:sz="4" w:space="0"/>
            </w:tcBorders>
            <w:shd w:val="clear" w:color="auto" w:fill="auto"/>
            <w:vAlign w:val="bottom"/>
          </w:tcPr>
          <w:p w:rsidR="00366C24" w:rsidRDefault="002F230C">
            <w:pPr>
              <w:widowControl/>
              <w:jc w:val="right"/>
              <w:rPr>
                <w:rFonts w:ascii="Calibri" w:hAnsi="Calibri" w:eastAsia="Calibri" w:cs="Calibri"/>
                <w:color w:val="000000"/>
                <w:sz w:val="16"/>
                <w:szCs w:val="16"/>
              </w:rPr>
            </w:pPr>
            <w:r>
              <w:rPr>
                <w:rFonts w:ascii="Calibri" w:hAnsi="Calibri" w:eastAsia="Calibri" w:cs="Calibri"/>
                <w:color w:val="000000"/>
                <w:sz w:val="16"/>
                <w:szCs w:val="16"/>
              </w:rPr>
              <w:t>379</w:t>
            </w:r>
            <w:r w:rsidR="00440E81">
              <w:rPr>
                <w:rFonts w:ascii="Calibri" w:hAnsi="Calibri" w:eastAsia="Calibri" w:cs="Calibri"/>
                <w:color w:val="000000"/>
                <w:sz w:val="16"/>
                <w:szCs w:val="16"/>
              </w:rPr>
              <w:t> </w:t>
            </w:r>
          </w:p>
        </w:tc>
        <w:tc>
          <w:tcPr>
            <w:tcW w:w="1260" w:type="dxa"/>
            <w:tcBorders>
              <w:top w:val="nil"/>
              <w:left w:val="nil"/>
              <w:bottom w:val="single" w:color="000000" w:sz="4" w:space="0"/>
              <w:right w:val="single" w:color="000000" w:sz="4" w:space="0"/>
            </w:tcBorders>
            <w:shd w:val="clear" w:color="auto" w:fill="auto"/>
            <w:vAlign w:val="bottom"/>
          </w:tcPr>
          <w:p w:rsidR="00366C24" w:rsidRDefault="002F230C">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r w:rsidR="00440E81">
              <w:rPr>
                <w:rFonts w:ascii="Calibri" w:hAnsi="Calibri" w:eastAsia="Calibri" w:cs="Calibri"/>
                <w:color w:val="000000"/>
                <w:sz w:val="16"/>
                <w:szCs w:val="16"/>
              </w:rPr>
              <w:t> </w:t>
            </w:r>
          </w:p>
        </w:tc>
        <w:tc>
          <w:tcPr>
            <w:tcW w:w="1155" w:type="dxa"/>
            <w:tcBorders>
              <w:top w:val="nil"/>
              <w:left w:val="nil"/>
              <w:bottom w:val="single" w:color="000000" w:sz="4" w:space="0"/>
              <w:right w:val="single" w:color="000000" w:sz="4" w:space="0"/>
            </w:tcBorders>
            <w:shd w:val="clear" w:color="auto" w:fill="auto"/>
            <w:vAlign w:val="bottom"/>
          </w:tcPr>
          <w:p w:rsidR="00366C24" w:rsidRDefault="002F230C">
            <w:pPr>
              <w:widowControl/>
              <w:jc w:val="right"/>
              <w:rPr>
                <w:rFonts w:ascii="Calibri" w:hAnsi="Calibri" w:eastAsia="Calibri" w:cs="Calibri"/>
                <w:color w:val="000000"/>
                <w:sz w:val="16"/>
                <w:szCs w:val="16"/>
              </w:rPr>
            </w:pPr>
            <w:r>
              <w:rPr>
                <w:rFonts w:ascii="Calibri" w:hAnsi="Calibri" w:eastAsia="Calibri" w:cs="Calibri"/>
                <w:color w:val="000000"/>
                <w:sz w:val="16"/>
                <w:szCs w:val="16"/>
              </w:rPr>
              <w:t>379</w:t>
            </w:r>
            <w:r w:rsidR="00440E81">
              <w:rPr>
                <w:rFonts w:ascii="Calibri" w:hAnsi="Calibri" w:eastAsia="Calibri" w:cs="Calibri"/>
                <w:color w:val="000000"/>
                <w:sz w:val="16"/>
                <w:szCs w:val="16"/>
              </w:rPr>
              <w:t> </w:t>
            </w:r>
          </w:p>
        </w:tc>
        <w:tc>
          <w:tcPr>
            <w:tcW w:w="1050" w:type="dxa"/>
            <w:tcBorders>
              <w:top w:val="nil"/>
              <w:left w:val="nil"/>
              <w:bottom w:val="single" w:color="000000" w:sz="4" w:space="0"/>
              <w:right w:val="single" w:color="000000" w:sz="4" w:space="0"/>
            </w:tcBorders>
            <w:shd w:val="clear" w:color="auto" w:fill="auto"/>
            <w:vAlign w:val="bottom"/>
          </w:tcPr>
          <w:p w:rsidR="00366C24" w:rsidRDefault="002F230C">
            <w:pPr>
              <w:widowControl/>
              <w:jc w:val="right"/>
              <w:rPr>
                <w:rFonts w:ascii="Calibri" w:hAnsi="Calibri" w:eastAsia="Calibri" w:cs="Calibri"/>
                <w:color w:val="000000"/>
                <w:sz w:val="16"/>
                <w:szCs w:val="16"/>
              </w:rPr>
            </w:pPr>
            <w:r>
              <w:rPr>
                <w:rFonts w:ascii="Calibri" w:hAnsi="Calibri" w:eastAsia="Calibri" w:cs="Calibri"/>
                <w:color w:val="000000"/>
                <w:sz w:val="16"/>
                <w:szCs w:val="16"/>
              </w:rPr>
              <w:t>10 minutes</w:t>
            </w:r>
            <w:r w:rsidR="00440E81">
              <w:rPr>
                <w:rFonts w:ascii="Calibri" w:hAnsi="Calibri" w:eastAsia="Calibri" w:cs="Calibri"/>
                <w:color w:val="000000"/>
                <w:sz w:val="16"/>
                <w:szCs w:val="16"/>
              </w:rPr>
              <w:t> </w:t>
            </w:r>
          </w:p>
        </w:tc>
        <w:tc>
          <w:tcPr>
            <w:tcW w:w="1305" w:type="dxa"/>
            <w:tcBorders>
              <w:top w:val="nil"/>
              <w:left w:val="nil"/>
              <w:bottom w:val="single" w:color="000000" w:sz="4" w:space="0"/>
              <w:right w:val="single" w:color="000000" w:sz="4" w:space="0"/>
            </w:tcBorders>
            <w:shd w:val="clear" w:color="auto" w:fill="auto"/>
            <w:vAlign w:val="bottom"/>
          </w:tcPr>
          <w:p w:rsidR="00366C24" w:rsidRDefault="002F230C">
            <w:pPr>
              <w:widowControl/>
              <w:jc w:val="right"/>
              <w:rPr>
                <w:rFonts w:ascii="Calibri" w:hAnsi="Calibri" w:eastAsia="Calibri" w:cs="Calibri"/>
                <w:color w:val="000000"/>
                <w:sz w:val="16"/>
                <w:szCs w:val="16"/>
              </w:rPr>
            </w:pPr>
            <w:r>
              <w:rPr>
                <w:rFonts w:ascii="Calibri" w:hAnsi="Calibri" w:eastAsia="Calibri" w:cs="Calibri"/>
                <w:color w:val="000000"/>
                <w:sz w:val="16"/>
                <w:szCs w:val="16"/>
              </w:rPr>
              <w:t>63</w:t>
            </w:r>
            <w:r w:rsidR="00440E81">
              <w:rPr>
                <w:rFonts w:ascii="Calibri" w:hAnsi="Calibri" w:eastAsia="Calibri" w:cs="Calibri"/>
                <w:color w:val="000000"/>
                <w:sz w:val="16"/>
                <w:szCs w:val="16"/>
              </w:rPr>
              <w:t> </w:t>
            </w:r>
          </w:p>
        </w:tc>
        <w:tc>
          <w:tcPr>
            <w:tcW w:w="960" w:type="dxa"/>
            <w:tcBorders>
              <w:top w:val="nil"/>
              <w:left w:val="nil"/>
              <w:bottom w:val="single" w:color="000000" w:sz="4" w:space="0"/>
              <w:right w:val="single" w:color="000000" w:sz="4" w:space="0"/>
            </w:tcBorders>
            <w:shd w:val="clear" w:color="auto" w:fill="auto"/>
            <w:vAlign w:val="bottom"/>
          </w:tcPr>
          <w:p w:rsidR="00366C24" w:rsidRDefault="007A551E">
            <w:pPr>
              <w:widowControl/>
              <w:jc w:val="right"/>
              <w:rPr>
                <w:rFonts w:ascii="Calibri" w:hAnsi="Calibri" w:eastAsia="Calibri" w:cs="Calibri"/>
                <w:color w:val="000000"/>
                <w:sz w:val="16"/>
                <w:szCs w:val="16"/>
              </w:rPr>
            </w:pPr>
            <w:r>
              <w:rPr>
                <w:rFonts w:ascii="Calibri" w:hAnsi="Calibri" w:eastAsia="Calibri" w:cs="Calibri"/>
                <w:color w:val="000000"/>
                <w:sz w:val="16"/>
                <w:szCs w:val="16"/>
              </w:rPr>
              <w:t>26.16</w:t>
            </w:r>
            <w:r w:rsidR="00440E81">
              <w:rPr>
                <w:rFonts w:ascii="Calibri" w:hAnsi="Calibri" w:eastAsia="Calibri" w:cs="Calibri"/>
                <w:color w:val="000000"/>
                <w:sz w:val="16"/>
                <w:szCs w:val="16"/>
              </w:rPr>
              <w:t> </w:t>
            </w:r>
          </w:p>
        </w:tc>
        <w:tc>
          <w:tcPr>
            <w:tcW w:w="1825" w:type="dxa"/>
            <w:tcBorders>
              <w:top w:val="nil"/>
              <w:left w:val="nil"/>
              <w:bottom w:val="single" w:color="000000" w:sz="4" w:space="0"/>
              <w:right w:val="single" w:color="000000" w:sz="8" w:space="0"/>
            </w:tcBorders>
            <w:shd w:val="clear" w:color="auto" w:fill="auto"/>
            <w:vAlign w:val="bottom"/>
          </w:tcPr>
          <w:p w:rsidR="00366C24" w:rsidRDefault="002F230C">
            <w:pPr>
              <w:widowControl/>
              <w:jc w:val="right"/>
              <w:rPr>
                <w:rFonts w:ascii="Calibri" w:hAnsi="Calibri" w:eastAsia="Calibri" w:cs="Calibri"/>
                <w:color w:val="000000"/>
                <w:sz w:val="16"/>
                <w:szCs w:val="16"/>
              </w:rPr>
            </w:pPr>
            <w:r>
              <w:rPr>
                <w:rFonts w:ascii="Calibri" w:hAnsi="Calibri" w:eastAsia="Calibri" w:cs="Calibri"/>
                <w:color w:val="000000"/>
                <w:sz w:val="16"/>
                <w:szCs w:val="16"/>
              </w:rPr>
              <w:t>1648.08</w:t>
            </w:r>
            <w:r w:rsidR="00440E81">
              <w:rPr>
                <w:rFonts w:ascii="Calibri" w:hAnsi="Calibri" w:eastAsia="Calibri" w:cs="Calibri"/>
                <w:color w:val="000000"/>
                <w:sz w:val="16"/>
                <w:szCs w:val="16"/>
              </w:rPr>
              <w:t> </w:t>
            </w:r>
          </w:p>
        </w:tc>
      </w:tr>
      <w:tr w:rsidR="00366C24" w:rsidTr="007A551E">
        <w:trPr>
          <w:trHeight w:val="615"/>
        </w:trPr>
        <w:tc>
          <w:tcPr>
            <w:tcW w:w="1985" w:type="dxa"/>
            <w:tcBorders>
              <w:top w:val="nil"/>
              <w:left w:val="single" w:color="000000" w:sz="8" w:space="0"/>
              <w:bottom w:val="single" w:color="000000" w:sz="8" w:space="0"/>
              <w:right w:val="single" w:color="000000" w:sz="8" w:space="0"/>
            </w:tcBorders>
            <w:shd w:val="clear" w:color="auto" w:fill="DDEBF7"/>
            <w:vAlign w:val="bottom"/>
          </w:tcPr>
          <w:p w:rsidR="00366C24" w:rsidRDefault="00440E81">
            <w:pPr>
              <w:widowControl/>
              <w:rPr>
                <w:rFonts w:ascii="Calibri" w:hAnsi="Calibri" w:eastAsia="Calibri" w:cs="Calibri"/>
                <w:b/>
                <w:color w:val="000000"/>
              </w:rPr>
            </w:pPr>
            <w:r>
              <w:rPr>
                <w:rFonts w:ascii="Calibri" w:hAnsi="Calibri" w:eastAsia="Calibri" w:cs="Calibri"/>
                <w:b/>
                <w:color w:val="000000"/>
              </w:rPr>
              <w:t>Totals</w:t>
            </w:r>
          </w:p>
        </w:tc>
        <w:tc>
          <w:tcPr>
            <w:tcW w:w="2010" w:type="dxa"/>
            <w:tcBorders>
              <w:top w:val="nil"/>
              <w:left w:val="nil"/>
              <w:bottom w:val="single" w:color="000000" w:sz="8" w:space="0"/>
              <w:right w:val="single" w:color="000000" w:sz="8" w:space="0"/>
            </w:tcBorders>
            <w:shd w:val="clear" w:color="auto" w:fill="000000"/>
            <w:vAlign w:val="bottom"/>
          </w:tcPr>
          <w:p w:rsidR="00366C24" w:rsidRDefault="00440E81">
            <w:pPr>
              <w:widowControl/>
              <w:rPr>
                <w:rFonts w:ascii="Calibri" w:hAnsi="Calibri" w:eastAsia="Calibri" w:cs="Calibri"/>
                <w:b/>
                <w:color w:val="000000"/>
              </w:rPr>
            </w:pPr>
            <w:r>
              <w:rPr>
                <w:rFonts w:ascii="Calibri" w:hAnsi="Calibri" w:eastAsia="Calibri" w:cs="Calibri"/>
                <w:b/>
                <w:color w:val="000000"/>
              </w:rPr>
              <w:t> </w:t>
            </w:r>
          </w:p>
        </w:tc>
        <w:tc>
          <w:tcPr>
            <w:tcW w:w="1335" w:type="dxa"/>
            <w:tcBorders>
              <w:top w:val="nil"/>
              <w:left w:val="nil"/>
              <w:bottom w:val="single" w:color="000000" w:sz="8" w:space="0"/>
              <w:right w:val="single" w:color="000000" w:sz="8" w:space="0"/>
            </w:tcBorders>
            <w:shd w:val="clear" w:color="auto" w:fill="000000"/>
            <w:vAlign w:val="bottom"/>
          </w:tcPr>
          <w:p w:rsidR="00366C24" w:rsidRDefault="00440E81">
            <w:pPr>
              <w:widowControl/>
              <w:rPr>
                <w:rFonts w:ascii="Calibri" w:hAnsi="Calibri" w:eastAsia="Calibri" w:cs="Calibri"/>
                <w:b/>
                <w:color w:val="000000"/>
              </w:rPr>
            </w:pPr>
            <w:r>
              <w:rPr>
                <w:rFonts w:ascii="Calibri" w:hAnsi="Calibri" w:eastAsia="Calibri" w:cs="Calibri"/>
                <w:b/>
                <w:color w:val="000000"/>
              </w:rPr>
              <w:t> </w:t>
            </w:r>
          </w:p>
        </w:tc>
        <w:tc>
          <w:tcPr>
            <w:tcW w:w="1260" w:type="dxa"/>
            <w:tcBorders>
              <w:top w:val="nil"/>
              <w:left w:val="nil"/>
              <w:bottom w:val="single" w:color="000000" w:sz="8" w:space="0"/>
              <w:right w:val="single" w:color="000000" w:sz="8" w:space="0"/>
            </w:tcBorders>
            <w:shd w:val="clear" w:color="auto" w:fill="000000"/>
            <w:vAlign w:val="bottom"/>
          </w:tcPr>
          <w:p w:rsidR="00366C24" w:rsidRDefault="00440E81">
            <w:pPr>
              <w:widowControl/>
              <w:rPr>
                <w:rFonts w:ascii="Calibri" w:hAnsi="Calibri" w:eastAsia="Calibri" w:cs="Calibri"/>
                <w:b/>
                <w:color w:val="000000"/>
              </w:rPr>
            </w:pPr>
            <w:r>
              <w:rPr>
                <w:rFonts w:ascii="Calibri" w:hAnsi="Calibri" w:eastAsia="Calibri" w:cs="Calibri"/>
                <w:b/>
                <w:color w:val="000000"/>
              </w:rPr>
              <w:t> </w:t>
            </w:r>
          </w:p>
        </w:tc>
        <w:tc>
          <w:tcPr>
            <w:tcW w:w="1155" w:type="dxa"/>
            <w:tcBorders>
              <w:top w:val="nil"/>
              <w:left w:val="nil"/>
              <w:bottom w:val="single" w:color="000000" w:sz="8" w:space="0"/>
              <w:right w:val="single" w:color="000000" w:sz="8" w:space="0"/>
            </w:tcBorders>
            <w:shd w:val="clear" w:color="auto" w:fill="DDEBF7"/>
            <w:vAlign w:val="bottom"/>
          </w:tcPr>
          <w:p w:rsidR="00366C24" w:rsidRDefault="00440E81">
            <w:pPr>
              <w:widowControl/>
              <w:rPr>
                <w:rFonts w:ascii="Calibri" w:hAnsi="Calibri" w:eastAsia="Calibri" w:cs="Calibri"/>
                <w:b/>
                <w:color w:val="000000"/>
              </w:rPr>
            </w:pPr>
            <w:r>
              <w:rPr>
                <w:rFonts w:ascii="Calibri" w:hAnsi="Calibri" w:eastAsia="Calibri" w:cs="Calibri"/>
                <w:b/>
                <w:color w:val="000000"/>
              </w:rPr>
              <w:t> </w:t>
            </w:r>
            <w:r w:rsidR="002F230C">
              <w:rPr>
                <w:rFonts w:ascii="Calibri" w:hAnsi="Calibri" w:eastAsia="Calibri" w:cs="Calibri"/>
                <w:b/>
                <w:color w:val="000000"/>
              </w:rPr>
              <w:t>379</w:t>
            </w:r>
          </w:p>
        </w:tc>
        <w:tc>
          <w:tcPr>
            <w:tcW w:w="1050" w:type="dxa"/>
            <w:tcBorders>
              <w:top w:val="nil"/>
              <w:left w:val="nil"/>
              <w:bottom w:val="single" w:color="000000" w:sz="8" w:space="0"/>
              <w:right w:val="single" w:color="000000" w:sz="8" w:space="0"/>
            </w:tcBorders>
            <w:shd w:val="clear" w:color="auto" w:fill="000000"/>
            <w:vAlign w:val="bottom"/>
          </w:tcPr>
          <w:p w:rsidR="00366C24" w:rsidRDefault="00440E81">
            <w:pPr>
              <w:widowControl/>
              <w:rPr>
                <w:rFonts w:ascii="Calibri" w:hAnsi="Calibri" w:eastAsia="Calibri" w:cs="Calibri"/>
                <w:b/>
                <w:color w:val="000000"/>
              </w:rPr>
            </w:pPr>
            <w:r>
              <w:rPr>
                <w:rFonts w:ascii="Calibri" w:hAnsi="Calibri" w:eastAsia="Calibri" w:cs="Calibri"/>
                <w:b/>
                <w:color w:val="000000"/>
              </w:rPr>
              <w:t> </w:t>
            </w:r>
          </w:p>
        </w:tc>
        <w:tc>
          <w:tcPr>
            <w:tcW w:w="1305" w:type="dxa"/>
            <w:tcBorders>
              <w:top w:val="nil"/>
              <w:left w:val="nil"/>
              <w:bottom w:val="single" w:color="000000" w:sz="8" w:space="0"/>
              <w:right w:val="single" w:color="000000" w:sz="8" w:space="0"/>
            </w:tcBorders>
            <w:shd w:val="clear" w:color="auto" w:fill="DDEBF7"/>
            <w:vAlign w:val="bottom"/>
          </w:tcPr>
          <w:p w:rsidR="00366C24" w:rsidRDefault="00440E81">
            <w:pPr>
              <w:widowControl/>
              <w:rPr>
                <w:rFonts w:ascii="Calibri" w:hAnsi="Calibri" w:eastAsia="Calibri" w:cs="Calibri"/>
                <w:b/>
                <w:color w:val="000000"/>
              </w:rPr>
            </w:pPr>
            <w:r>
              <w:rPr>
                <w:rFonts w:ascii="Calibri" w:hAnsi="Calibri" w:eastAsia="Calibri" w:cs="Calibri"/>
                <w:b/>
                <w:color w:val="000000"/>
              </w:rPr>
              <w:t> </w:t>
            </w:r>
            <w:r w:rsidR="002F230C">
              <w:rPr>
                <w:rFonts w:ascii="Calibri" w:hAnsi="Calibri" w:eastAsia="Calibri" w:cs="Calibri"/>
                <w:b/>
                <w:color w:val="000000"/>
              </w:rPr>
              <w:t>63</w:t>
            </w:r>
          </w:p>
        </w:tc>
        <w:tc>
          <w:tcPr>
            <w:tcW w:w="960" w:type="dxa"/>
            <w:tcBorders>
              <w:top w:val="nil"/>
              <w:left w:val="nil"/>
              <w:bottom w:val="single" w:color="000000" w:sz="8" w:space="0"/>
              <w:right w:val="single" w:color="000000" w:sz="8" w:space="0"/>
            </w:tcBorders>
            <w:shd w:val="clear" w:color="auto" w:fill="000000"/>
            <w:vAlign w:val="bottom"/>
          </w:tcPr>
          <w:p w:rsidR="00366C24" w:rsidRDefault="00440E81">
            <w:pPr>
              <w:widowControl/>
              <w:rPr>
                <w:rFonts w:ascii="Calibri" w:hAnsi="Calibri" w:eastAsia="Calibri" w:cs="Calibri"/>
                <w:b/>
                <w:color w:val="000000"/>
              </w:rPr>
            </w:pPr>
            <w:r>
              <w:rPr>
                <w:rFonts w:ascii="Calibri" w:hAnsi="Calibri" w:eastAsia="Calibri" w:cs="Calibri"/>
                <w:b/>
                <w:color w:val="000000"/>
              </w:rPr>
              <w:t> </w:t>
            </w:r>
          </w:p>
        </w:tc>
        <w:tc>
          <w:tcPr>
            <w:tcW w:w="1825" w:type="dxa"/>
            <w:tcBorders>
              <w:top w:val="nil"/>
              <w:left w:val="nil"/>
              <w:bottom w:val="single" w:color="000000" w:sz="8" w:space="0"/>
              <w:right w:val="single" w:color="000000" w:sz="8" w:space="0"/>
            </w:tcBorders>
            <w:shd w:val="clear" w:color="auto" w:fill="DDEBF7"/>
            <w:vAlign w:val="bottom"/>
          </w:tcPr>
          <w:p w:rsidR="00366C24" w:rsidRDefault="00440E81">
            <w:pPr>
              <w:widowControl/>
              <w:rPr>
                <w:rFonts w:ascii="Calibri" w:hAnsi="Calibri" w:eastAsia="Calibri" w:cs="Calibri"/>
                <w:b/>
                <w:color w:val="000000"/>
              </w:rPr>
            </w:pPr>
            <w:r>
              <w:rPr>
                <w:rFonts w:ascii="Calibri" w:hAnsi="Calibri" w:eastAsia="Calibri" w:cs="Calibri"/>
                <w:b/>
                <w:color w:val="000000"/>
              </w:rPr>
              <w:t> </w:t>
            </w:r>
            <w:r w:rsidR="002F230C">
              <w:rPr>
                <w:rFonts w:ascii="Calibri" w:hAnsi="Calibri" w:eastAsia="Calibri" w:cs="Calibri"/>
                <w:b/>
                <w:color w:val="000000"/>
              </w:rPr>
              <w:t>1648.08</w:t>
            </w:r>
          </w:p>
        </w:tc>
      </w:tr>
    </w:tbl>
    <w:p w:rsidR="00366C24" w:rsidRDefault="00366C24">
      <w:pPr>
        <w:spacing w:line="259" w:lineRule="auto"/>
        <w:rPr>
          <w:b/>
          <w:color w:val="FF0000"/>
        </w:rPr>
      </w:pPr>
    </w:p>
    <w:p w:rsidR="00366C24" w:rsidP="002F230C" w:rsidRDefault="002F230C">
      <w:pPr>
        <w:spacing w:line="259" w:lineRule="auto"/>
        <w:ind w:hanging="43"/>
        <w:rPr>
          <w:b/>
        </w:rPr>
      </w:pPr>
      <w:r>
        <w:rPr>
          <w:b/>
          <w:color w:val="FF0000"/>
        </w:rPr>
        <w:t>S</w:t>
      </w:r>
      <w:r w:rsidR="00440E81">
        <w:rPr>
          <w:b/>
          <w:color w:val="FF0000"/>
        </w:rPr>
        <w:t>ource of hourly wage rate</w:t>
      </w:r>
      <w:r>
        <w:rPr>
          <w:b/>
          <w:color w:val="FF0000"/>
        </w:rPr>
        <w:t xml:space="preserve">: </w:t>
      </w:r>
      <w:r w:rsidRPr="002F230C">
        <w:rPr>
          <w:b/>
          <w:color w:val="FF0000"/>
        </w:rPr>
        <w:t>https://www.bls.gov/oes/current/oes451011.htm</w:t>
      </w:r>
    </w:p>
    <w:p w:rsidR="001F4769" w:rsidRDefault="001F4769">
      <w:pPr>
        <w:spacing w:line="259" w:lineRule="auto"/>
        <w:jc w:val="center"/>
        <w:sectPr w:rsidR="001F4769" w:rsidSect="001F4769">
          <w:pgSz w:w="15840" w:h="12240" w:orient="landscape"/>
          <w:pgMar w:top="640" w:right="1080" w:bottom="1200" w:left="1080" w:header="0" w:footer="1014" w:gutter="0"/>
          <w:cols w:space="720"/>
          <w:docGrid w:linePitch="326"/>
        </w:sectPr>
      </w:pPr>
    </w:p>
    <w:p w:rsidR="00366C24" w:rsidRDefault="00440E8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lastRenderedPageBreak/>
        <w:t>Provide an estimate for the total annual cost burden to respondents or record keepers resulting from the collection of information. (Do not include the cost of any hour burden already reflected on the burden worksheet).</w:t>
      </w:r>
    </w:p>
    <w:p w:rsidRPr="000571D1" w:rsidR="000571D1" w:rsidRDefault="000571D1"/>
    <w:p w:rsidRPr="000571D1" w:rsidR="00366C24" w:rsidRDefault="00440E81">
      <w:r w:rsidRPr="000571D1">
        <w:t xml:space="preserve">There are no capital costs or operating and maintenance costs </w:t>
      </w:r>
      <w:r w:rsidRPr="000571D1" w:rsidR="000571D1">
        <w:t xml:space="preserve">to respondents </w:t>
      </w:r>
      <w:r w:rsidRPr="000571D1">
        <w:t>associated with this information collection.</w:t>
      </w:r>
    </w:p>
    <w:p w:rsidR="00366C24" w:rsidRDefault="00366C24">
      <w:pPr>
        <w:pBdr>
          <w:top w:val="nil"/>
          <w:left w:val="nil"/>
          <w:bottom w:val="nil"/>
          <w:right w:val="nil"/>
          <w:between w:val="nil"/>
        </w:pBdr>
        <w:spacing w:before="7"/>
        <w:rPr>
          <w:b/>
          <w:color w:val="000000"/>
        </w:rPr>
      </w:pPr>
    </w:p>
    <w:p w:rsidR="00366C24" w:rsidRDefault="00440E8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Provide estimates of annualized cost to the Federal </w:t>
      </w:r>
      <w:r w:rsidR="00B36A76">
        <w:rPr>
          <w:b/>
          <w:color w:val="000000"/>
        </w:rPr>
        <w:t>G</w:t>
      </w:r>
      <w:r>
        <w:rPr>
          <w:b/>
          <w:color w:val="000000"/>
        </w:rPr>
        <w:t>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36A76" w:rsidRDefault="00B36A76">
      <w:pPr>
        <w:pBdr>
          <w:top w:val="nil"/>
          <w:left w:val="nil"/>
          <w:bottom w:val="nil"/>
          <w:right w:val="nil"/>
          <w:between w:val="nil"/>
        </w:pBdr>
        <w:spacing w:before="161"/>
        <w:rPr>
          <w:color w:val="2F5496"/>
        </w:rPr>
      </w:pPr>
    </w:p>
    <w:tbl>
      <w:tblPr>
        <w:tblW w:w="7953" w:type="dxa"/>
        <w:tblCellMar>
          <w:left w:w="0" w:type="dxa"/>
          <w:right w:w="0" w:type="dxa"/>
        </w:tblCellMar>
        <w:tblLook w:val="04A0" w:firstRow="1" w:lastRow="0" w:firstColumn="1" w:lastColumn="0" w:noHBand="0" w:noVBand="1"/>
      </w:tblPr>
      <w:tblGrid>
        <w:gridCol w:w="1408"/>
        <w:gridCol w:w="1070"/>
        <w:gridCol w:w="1440"/>
        <w:gridCol w:w="810"/>
        <w:gridCol w:w="1210"/>
        <w:gridCol w:w="2015"/>
      </w:tblGrid>
      <w:tr w:rsidRPr="0051189C" w:rsidR="0051189C" w:rsidTr="0051189C">
        <w:trPr>
          <w:trHeight w:val="300"/>
        </w:trPr>
        <w:tc>
          <w:tcPr>
            <w:tcW w:w="0" w:type="auto"/>
            <w:tcBorders>
              <w:top w:val="single" w:color="000000" w:sz="12" w:space="0"/>
              <w:left w:val="single" w:color="000000" w:sz="12"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51189C" w:rsidR="0051189C" w:rsidP="0051189C" w:rsidRDefault="0051189C">
            <w:pPr>
              <w:widowControl/>
              <w:jc w:val="center"/>
              <w:rPr>
                <w:rFonts w:ascii="Calibri" w:hAnsi="Calibri" w:cs="Calibri"/>
                <w:b/>
                <w:bCs/>
                <w:sz w:val="16"/>
                <w:szCs w:val="16"/>
              </w:rPr>
            </w:pPr>
            <w:r w:rsidRPr="0051189C">
              <w:rPr>
                <w:rFonts w:ascii="Calibri" w:hAnsi="Calibri" w:cs="Calibri"/>
                <w:b/>
                <w:bCs/>
                <w:sz w:val="16"/>
                <w:szCs w:val="16"/>
              </w:rPr>
              <w:t>Cost Descriptions</w:t>
            </w:r>
          </w:p>
        </w:tc>
        <w:tc>
          <w:tcPr>
            <w:tcW w:w="1070" w:type="dxa"/>
            <w:tcBorders>
              <w:top w:val="single" w:color="000000" w:sz="12" w:space="0"/>
              <w:left w:val="single" w:color="CCCCCC" w:sz="6"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51189C" w:rsidR="0051189C" w:rsidP="0051189C" w:rsidRDefault="0051189C">
            <w:pPr>
              <w:widowControl/>
              <w:jc w:val="center"/>
              <w:rPr>
                <w:rFonts w:ascii="Calibri" w:hAnsi="Calibri" w:cs="Calibri"/>
                <w:b/>
                <w:bCs/>
                <w:sz w:val="16"/>
                <w:szCs w:val="16"/>
              </w:rPr>
            </w:pPr>
            <w:r w:rsidRPr="0051189C">
              <w:rPr>
                <w:rFonts w:ascii="Calibri" w:hAnsi="Calibri" w:cs="Calibri"/>
                <w:b/>
                <w:bCs/>
                <w:sz w:val="16"/>
                <w:szCs w:val="16"/>
              </w:rPr>
              <w:t>Grade/Step</w:t>
            </w:r>
          </w:p>
        </w:tc>
        <w:tc>
          <w:tcPr>
            <w:tcW w:w="1440" w:type="dxa"/>
            <w:tcBorders>
              <w:top w:val="single" w:color="000000" w:sz="12" w:space="0"/>
              <w:left w:val="single" w:color="CCCCCC" w:sz="6"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51189C" w:rsidR="0051189C" w:rsidP="0051189C" w:rsidRDefault="0051189C">
            <w:pPr>
              <w:widowControl/>
              <w:jc w:val="center"/>
              <w:rPr>
                <w:rFonts w:ascii="Calibri" w:hAnsi="Calibri" w:cs="Calibri"/>
                <w:b/>
                <w:bCs/>
                <w:sz w:val="16"/>
                <w:szCs w:val="16"/>
              </w:rPr>
            </w:pPr>
            <w:r w:rsidRPr="0051189C">
              <w:rPr>
                <w:rFonts w:ascii="Calibri" w:hAnsi="Calibri" w:cs="Calibri"/>
                <w:b/>
                <w:bCs/>
                <w:sz w:val="16"/>
                <w:szCs w:val="16"/>
              </w:rPr>
              <w:t>Loaded Salary /Cost</w:t>
            </w:r>
          </w:p>
        </w:tc>
        <w:tc>
          <w:tcPr>
            <w:tcW w:w="810" w:type="dxa"/>
            <w:tcBorders>
              <w:top w:val="single" w:color="000000" w:sz="12" w:space="0"/>
              <w:left w:val="single" w:color="CCCCCC" w:sz="6"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51189C" w:rsidR="0051189C" w:rsidP="0051189C" w:rsidRDefault="0051189C">
            <w:pPr>
              <w:widowControl/>
              <w:jc w:val="center"/>
              <w:rPr>
                <w:rFonts w:ascii="Calibri" w:hAnsi="Calibri" w:cs="Calibri"/>
                <w:b/>
                <w:bCs/>
                <w:sz w:val="16"/>
                <w:szCs w:val="16"/>
              </w:rPr>
            </w:pPr>
            <w:r w:rsidRPr="0051189C">
              <w:rPr>
                <w:rFonts w:ascii="Calibri" w:hAnsi="Calibri" w:cs="Calibri"/>
                <w:b/>
                <w:bCs/>
                <w:sz w:val="16"/>
                <w:szCs w:val="16"/>
              </w:rPr>
              <w:t>% of Effort</w:t>
            </w:r>
          </w:p>
        </w:tc>
        <w:tc>
          <w:tcPr>
            <w:tcW w:w="1210" w:type="dxa"/>
            <w:tcBorders>
              <w:top w:val="single" w:color="000000" w:sz="12" w:space="0"/>
              <w:left w:val="single" w:color="CCCCCC" w:sz="6"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51189C" w:rsidR="0051189C" w:rsidP="0051189C" w:rsidRDefault="0051189C">
            <w:pPr>
              <w:widowControl/>
              <w:jc w:val="center"/>
              <w:rPr>
                <w:rFonts w:ascii="Calibri" w:hAnsi="Calibri" w:cs="Calibri"/>
                <w:b/>
                <w:bCs/>
                <w:sz w:val="16"/>
                <w:szCs w:val="16"/>
              </w:rPr>
            </w:pPr>
            <w:r w:rsidRPr="0051189C">
              <w:rPr>
                <w:rFonts w:ascii="Calibri" w:hAnsi="Calibri" w:cs="Calibri"/>
                <w:b/>
                <w:bCs/>
                <w:sz w:val="16"/>
                <w:szCs w:val="16"/>
              </w:rPr>
              <w:t>Fringe (if Applicable)</w:t>
            </w:r>
          </w:p>
        </w:tc>
        <w:tc>
          <w:tcPr>
            <w:tcW w:w="0" w:type="auto"/>
            <w:tcBorders>
              <w:top w:val="single" w:color="000000" w:sz="12" w:space="0"/>
              <w:left w:val="single" w:color="CCCCCC" w:sz="6"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51189C" w:rsidR="0051189C" w:rsidP="0051189C" w:rsidRDefault="0051189C">
            <w:pPr>
              <w:widowControl/>
              <w:jc w:val="center"/>
              <w:rPr>
                <w:rFonts w:ascii="Calibri" w:hAnsi="Calibri" w:cs="Calibri"/>
                <w:b/>
                <w:bCs/>
                <w:sz w:val="16"/>
                <w:szCs w:val="16"/>
              </w:rPr>
            </w:pPr>
            <w:r w:rsidRPr="0051189C">
              <w:rPr>
                <w:rFonts w:ascii="Calibri" w:hAnsi="Calibri" w:cs="Calibri"/>
                <w:b/>
                <w:bCs/>
                <w:sz w:val="16"/>
                <w:szCs w:val="16"/>
              </w:rPr>
              <w:t>Total Cost to Government</w:t>
            </w:r>
          </w:p>
        </w:tc>
      </w:tr>
      <w:tr w:rsidRPr="0051189C" w:rsidR="0051189C" w:rsidTr="0051189C">
        <w:trPr>
          <w:trHeight w:val="300"/>
        </w:trPr>
        <w:tc>
          <w:tcPr>
            <w:tcW w:w="0" w:type="auto"/>
            <w:tcBorders>
              <w:top w:val="single" w:color="CCCCCC" w:sz="6" w:space="0"/>
              <w:left w:val="single" w:color="000000" w:sz="12" w:space="0"/>
              <w:bottom w:val="single" w:color="000000" w:sz="6" w:space="0"/>
              <w:right w:val="single" w:color="000000" w:sz="12" w:space="0"/>
            </w:tcBorders>
            <w:tcMar>
              <w:top w:w="0" w:type="dxa"/>
              <w:left w:w="45" w:type="dxa"/>
              <w:bottom w:w="0" w:type="dxa"/>
              <w:right w:w="45" w:type="dxa"/>
            </w:tcMar>
            <w:vAlign w:val="bottom"/>
            <w:hideMark/>
          </w:tcPr>
          <w:p w:rsidRPr="0051189C" w:rsidR="0051189C" w:rsidP="0051189C" w:rsidRDefault="0051189C">
            <w:pPr>
              <w:widowControl/>
              <w:rPr>
                <w:rFonts w:ascii="Calibri" w:hAnsi="Calibri" w:cs="Calibri"/>
                <w:b/>
                <w:bCs/>
                <w:sz w:val="16"/>
                <w:szCs w:val="16"/>
              </w:rPr>
            </w:pPr>
            <w:r w:rsidRPr="0051189C">
              <w:rPr>
                <w:rFonts w:ascii="Calibri" w:hAnsi="Calibri" w:cs="Calibri"/>
                <w:b/>
                <w:bCs/>
                <w:sz w:val="16"/>
                <w:szCs w:val="16"/>
              </w:rPr>
              <w:t>Federal Oversight</w:t>
            </w:r>
          </w:p>
        </w:tc>
        <w:tc>
          <w:tcPr>
            <w:tcW w:w="1070"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51189C" w:rsidR="0051189C" w:rsidP="0051189C" w:rsidRDefault="0051189C">
            <w:pPr>
              <w:widowControl/>
              <w:rPr>
                <w:rFonts w:ascii="Calibri" w:hAnsi="Calibri" w:cs="Calibri"/>
                <w:bCs/>
                <w:sz w:val="16"/>
                <w:szCs w:val="16"/>
              </w:rPr>
            </w:pPr>
            <w:r w:rsidRPr="00BF5712">
              <w:rPr>
                <w:rFonts w:ascii="Calibri" w:hAnsi="Calibri" w:cs="Calibri"/>
                <w:bCs/>
                <w:sz w:val="16"/>
                <w:szCs w:val="16"/>
              </w:rPr>
              <w:t>ZP-4</w:t>
            </w:r>
          </w:p>
        </w:tc>
        <w:tc>
          <w:tcPr>
            <w:tcW w:w="1440"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51189C" w:rsidR="0051189C" w:rsidP="0051189C" w:rsidRDefault="00BF5712">
            <w:pPr>
              <w:widowControl/>
              <w:rPr>
                <w:rFonts w:asciiTheme="minorHAnsi" w:hAnsiTheme="minorHAnsi" w:cstheme="minorHAnsi"/>
                <w:sz w:val="18"/>
                <w:szCs w:val="18"/>
              </w:rPr>
            </w:pPr>
            <w:r w:rsidRPr="00BF5712">
              <w:rPr>
                <w:rFonts w:asciiTheme="minorHAnsi" w:hAnsiTheme="minorHAnsi" w:cstheme="minorHAnsi"/>
                <w:sz w:val="18"/>
                <w:szCs w:val="18"/>
              </w:rPr>
              <w:t>$ 212,322</w:t>
            </w:r>
          </w:p>
        </w:tc>
        <w:tc>
          <w:tcPr>
            <w:tcW w:w="810"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51189C" w:rsidR="0051189C" w:rsidP="0051189C" w:rsidRDefault="00BF5712">
            <w:pPr>
              <w:widowControl/>
              <w:rPr>
                <w:rFonts w:asciiTheme="minorHAnsi" w:hAnsiTheme="minorHAnsi" w:cstheme="minorHAnsi"/>
                <w:sz w:val="18"/>
                <w:szCs w:val="18"/>
              </w:rPr>
            </w:pPr>
            <w:r w:rsidRPr="00BF5712">
              <w:rPr>
                <w:rFonts w:asciiTheme="minorHAnsi" w:hAnsiTheme="minorHAnsi" w:cstheme="minorHAnsi"/>
                <w:sz w:val="18"/>
                <w:szCs w:val="18"/>
              </w:rPr>
              <w:t>1%</w:t>
            </w:r>
          </w:p>
        </w:tc>
        <w:tc>
          <w:tcPr>
            <w:tcW w:w="1210" w:type="dxa"/>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51189C" w:rsidR="0051189C" w:rsidP="0051189C" w:rsidRDefault="0051189C">
            <w:pPr>
              <w:widowControl/>
              <w:rPr>
                <w:rFonts w:asciiTheme="minorHAnsi" w:hAnsiTheme="minorHAnsi" w:cstheme="minorHAnsi"/>
                <w:sz w:val="18"/>
                <w:szCs w:val="18"/>
              </w:rPr>
            </w:pPr>
          </w:p>
        </w:tc>
        <w:tc>
          <w:tcPr>
            <w:tcW w:w="0" w:type="auto"/>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bottom"/>
            <w:hideMark/>
          </w:tcPr>
          <w:p w:rsidRPr="0051189C" w:rsidR="0051189C" w:rsidP="00BF5712" w:rsidRDefault="00BF5712">
            <w:pPr>
              <w:widowControl/>
              <w:jc w:val="center"/>
              <w:rPr>
                <w:rFonts w:asciiTheme="minorHAnsi" w:hAnsiTheme="minorHAnsi" w:cstheme="minorHAnsi"/>
                <w:sz w:val="18"/>
                <w:szCs w:val="18"/>
              </w:rPr>
            </w:pPr>
            <w:r w:rsidRPr="00BF5712">
              <w:rPr>
                <w:rFonts w:asciiTheme="minorHAnsi" w:hAnsiTheme="minorHAnsi" w:cstheme="minorHAnsi"/>
                <w:sz w:val="18"/>
                <w:szCs w:val="18"/>
              </w:rPr>
              <w:t>$ 2,123.22</w:t>
            </w:r>
          </w:p>
        </w:tc>
      </w:tr>
      <w:tr w:rsidRPr="0051189C" w:rsidR="0051189C" w:rsidTr="0051189C">
        <w:trPr>
          <w:trHeight w:val="300"/>
        </w:trPr>
        <w:tc>
          <w:tcPr>
            <w:tcW w:w="0" w:type="auto"/>
            <w:tcBorders>
              <w:top w:val="single" w:color="CCCCCC" w:sz="6" w:space="0"/>
              <w:left w:val="single" w:color="000000" w:sz="12" w:space="0"/>
              <w:bottom w:val="single" w:color="000000" w:sz="6" w:space="0"/>
              <w:right w:val="single" w:color="000000" w:sz="12" w:space="0"/>
            </w:tcBorders>
            <w:tcMar>
              <w:top w:w="0" w:type="dxa"/>
              <w:left w:w="45" w:type="dxa"/>
              <w:bottom w:w="0" w:type="dxa"/>
              <w:right w:w="45" w:type="dxa"/>
            </w:tcMar>
            <w:vAlign w:val="bottom"/>
            <w:hideMark/>
          </w:tcPr>
          <w:p w:rsidRPr="0051189C" w:rsidR="0051189C" w:rsidP="0051189C" w:rsidRDefault="0051189C">
            <w:pPr>
              <w:widowControl/>
              <w:rPr>
                <w:rFonts w:ascii="Calibri" w:hAnsi="Calibri" w:cs="Calibri"/>
                <w:b/>
                <w:bCs/>
                <w:sz w:val="16"/>
                <w:szCs w:val="16"/>
              </w:rPr>
            </w:pPr>
            <w:r w:rsidRPr="0051189C">
              <w:rPr>
                <w:rFonts w:ascii="Calibri" w:hAnsi="Calibri" w:cs="Calibri"/>
                <w:b/>
                <w:bCs/>
                <w:sz w:val="16"/>
                <w:szCs w:val="16"/>
              </w:rPr>
              <w:t>Contractor Cost</w:t>
            </w:r>
          </w:p>
        </w:tc>
        <w:tc>
          <w:tcPr>
            <w:tcW w:w="1070" w:type="dxa"/>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51189C" w:rsidR="0051189C" w:rsidP="0051189C" w:rsidRDefault="0051189C">
            <w:pPr>
              <w:widowControl/>
              <w:rPr>
                <w:rFonts w:ascii="Calibri" w:hAnsi="Calibri" w:cs="Calibri"/>
                <w:b/>
                <w:bCs/>
                <w:sz w:val="16"/>
                <w:szCs w:val="16"/>
              </w:rPr>
            </w:pPr>
          </w:p>
        </w:tc>
        <w:tc>
          <w:tcPr>
            <w:tcW w:w="1440"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51189C" w:rsidR="0051189C" w:rsidP="0051189C" w:rsidRDefault="0051189C">
            <w:pPr>
              <w:widowControl/>
              <w:rPr>
                <w:rFonts w:asciiTheme="minorHAnsi" w:hAnsiTheme="minorHAnsi" w:cstheme="minorHAnsi"/>
                <w:sz w:val="18"/>
                <w:szCs w:val="18"/>
              </w:rPr>
            </w:pPr>
          </w:p>
        </w:tc>
        <w:tc>
          <w:tcPr>
            <w:tcW w:w="810"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51189C" w:rsidR="0051189C" w:rsidP="0051189C" w:rsidRDefault="0051189C">
            <w:pPr>
              <w:widowControl/>
              <w:rPr>
                <w:rFonts w:asciiTheme="minorHAnsi" w:hAnsiTheme="minorHAnsi" w:cstheme="minorHAnsi"/>
                <w:sz w:val="18"/>
                <w:szCs w:val="18"/>
              </w:rPr>
            </w:pPr>
          </w:p>
        </w:tc>
        <w:tc>
          <w:tcPr>
            <w:tcW w:w="1210"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51189C" w:rsidR="0051189C" w:rsidP="0051189C" w:rsidRDefault="0051189C">
            <w:pPr>
              <w:widowControl/>
              <w:rPr>
                <w:rFonts w:asciiTheme="minorHAnsi" w:hAnsiTheme="minorHAnsi" w:cstheme="minorHAnsi"/>
                <w:sz w:val="18"/>
                <w:szCs w:val="18"/>
              </w:rPr>
            </w:pPr>
          </w:p>
        </w:tc>
        <w:tc>
          <w:tcPr>
            <w:tcW w:w="0" w:type="auto"/>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bottom"/>
            <w:hideMark/>
          </w:tcPr>
          <w:p w:rsidRPr="0051189C" w:rsidR="0051189C" w:rsidP="0051189C" w:rsidRDefault="0051189C">
            <w:pPr>
              <w:widowControl/>
              <w:rPr>
                <w:rFonts w:asciiTheme="minorHAnsi" w:hAnsiTheme="minorHAnsi" w:cstheme="minorHAnsi"/>
                <w:sz w:val="18"/>
                <w:szCs w:val="18"/>
              </w:rPr>
            </w:pPr>
          </w:p>
        </w:tc>
      </w:tr>
      <w:tr w:rsidRPr="0051189C" w:rsidR="0051189C" w:rsidTr="0051189C">
        <w:trPr>
          <w:trHeight w:val="300"/>
        </w:trPr>
        <w:tc>
          <w:tcPr>
            <w:tcW w:w="0" w:type="auto"/>
            <w:tcBorders>
              <w:top w:val="single" w:color="CCCCCC" w:sz="6" w:space="0"/>
              <w:left w:val="single" w:color="000000" w:sz="12" w:space="0"/>
              <w:bottom w:val="single" w:color="000000" w:sz="6" w:space="0"/>
              <w:right w:val="single" w:color="000000" w:sz="12" w:space="0"/>
            </w:tcBorders>
            <w:tcMar>
              <w:top w:w="0" w:type="dxa"/>
              <w:left w:w="45" w:type="dxa"/>
              <w:bottom w:w="0" w:type="dxa"/>
              <w:right w:w="45" w:type="dxa"/>
            </w:tcMar>
            <w:vAlign w:val="bottom"/>
            <w:hideMark/>
          </w:tcPr>
          <w:p w:rsidRPr="0051189C" w:rsidR="0051189C" w:rsidP="0051189C" w:rsidRDefault="0051189C">
            <w:pPr>
              <w:widowControl/>
              <w:rPr>
                <w:rFonts w:ascii="Calibri" w:hAnsi="Calibri" w:cs="Calibri"/>
                <w:b/>
                <w:bCs/>
                <w:sz w:val="16"/>
                <w:szCs w:val="16"/>
              </w:rPr>
            </w:pPr>
            <w:bookmarkStart w:name="_GoBack" w:id="0"/>
            <w:bookmarkEnd w:id="0"/>
            <w:r w:rsidRPr="0051189C">
              <w:rPr>
                <w:rFonts w:ascii="Calibri" w:hAnsi="Calibri" w:cs="Calibri"/>
                <w:b/>
                <w:bCs/>
                <w:sz w:val="16"/>
                <w:szCs w:val="16"/>
              </w:rPr>
              <w:t>Travel</w:t>
            </w:r>
          </w:p>
        </w:tc>
        <w:tc>
          <w:tcPr>
            <w:tcW w:w="1070" w:type="dxa"/>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51189C" w:rsidR="0051189C" w:rsidP="0051189C" w:rsidRDefault="0051189C">
            <w:pPr>
              <w:widowControl/>
              <w:rPr>
                <w:rFonts w:ascii="Calibri" w:hAnsi="Calibri" w:cs="Calibri"/>
                <w:b/>
                <w:bCs/>
                <w:sz w:val="16"/>
                <w:szCs w:val="16"/>
              </w:rPr>
            </w:pPr>
          </w:p>
        </w:tc>
        <w:tc>
          <w:tcPr>
            <w:tcW w:w="1440" w:type="dxa"/>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51189C" w:rsidR="0051189C" w:rsidP="0051189C" w:rsidRDefault="0051189C">
            <w:pPr>
              <w:widowControl/>
              <w:rPr>
                <w:rFonts w:asciiTheme="minorHAnsi" w:hAnsiTheme="minorHAnsi" w:cstheme="minorHAnsi"/>
                <w:sz w:val="18"/>
                <w:szCs w:val="18"/>
              </w:rPr>
            </w:pPr>
          </w:p>
        </w:tc>
        <w:tc>
          <w:tcPr>
            <w:tcW w:w="810" w:type="dxa"/>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51189C" w:rsidR="0051189C" w:rsidP="0051189C" w:rsidRDefault="0051189C">
            <w:pPr>
              <w:widowControl/>
              <w:rPr>
                <w:rFonts w:asciiTheme="minorHAnsi" w:hAnsiTheme="minorHAnsi" w:cstheme="minorHAnsi"/>
                <w:sz w:val="18"/>
                <w:szCs w:val="18"/>
              </w:rPr>
            </w:pPr>
          </w:p>
        </w:tc>
        <w:tc>
          <w:tcPr>
            <w:tcW w:w="1210" w:type="dxa"/>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51189C" w:rsidR="0051189C" w:rsidP="0051189C" w:rsidRDefault="0051189C">
            <w:pPr>
              <w:widowControl/>
              <w:rPr>
                <w:rFonts w:asciiTheme="minorHAnsi" w:hAnsiTheme="minorHAnsi" w:cstheme="minorHAnsi"/>
                <w:sz w:val="18"/>
                <w:szCs w:val="18"/>
              </w:rPr>
            </w:pPr>
          </w:p>
        </w:tc>
        <w:tc>
          <w:tcPr>
            <w:tcW w:w="0" w:type="auto"/>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bottom"/>
            <w:hideMark/>
          </w:tcPr>
          <w:p w:rsidRPr="0051189C" w:rsidR="0051189C" w:rsidP="0051189C" w:rsidRDefault="0051189C">
            <w:pPr>
              <w:widowControl/>
              <w:rPr>
                <w:rFonts w:asciiTheme="minorHAnsi" w:hAnsiTheme="minorHAnsi" w:cstheme="minorHAnsi"/>
                <w:sz w:val="18"/>
                <w:szCs w:val="18"/>
              </w:rPr>
            </w:pPr>
          </w:p>
        </w:tc>
      </w:tr>
      <w:tr w:rsidRPr="0051189C" w:rsidR="0051189C" w:rsidTr="00BF5712">
        <w:trPr>
          <w:trHeight w:val="344"/>
        </w:trPr>
        <w:tc>
          <w:tcPr>
            <w:tcW w:w="0" w:type="auto"/>
            <w:tcBorders>
              <w:top w:val="single" w:color="CCCCCC" w:sz="6" w:space="0"/>
              <w:left w:val="single" w:color="000000" w:sz="12" w:space="0"/>
              <w:bottom w:val="single" w:color="000000" w:sz="12" w:space="0"/>
              <w:right w:val="single" w:color="000000" w:sz="12" w:space="0"/>
            </w:tcBorders>
            <w:tcMar>
              <w:top w:w="0" w:type="dxa"/>
              <w:left w:w="45" w:type="dxa"/>
              <w:bottom w:w="0" w:type="dxa"/>
              <w:right w:w="45" w:type="dxa"/>
            </w:tcMar>
            <w:vAlign w:val="center"/>
            <w:hideMark/>
          </w:tcPr>
          <w:p w:rsidRPr="0051189C" w:rsidR="0051189C" w:rsidP="0051189C" w:rsidRDefault="0051189C">
            <w:pPr>
              <w:widowControl/>
              <w:rPr>
                <w:rFonts w:ascii="Calibri" w:hAnsi="Calibri" w:cs="Calibri"/>
                <w:b/>
                <w:bCs/>
                <w:sz w:val="16"/>
                <w:szCs w:val="16"/>
              </w:rPr>
            </w:pPr>
            <w:r w:rsidRPr="0051189C">
              <w:rPr>
                <w:rFonts w:ascii="Calibri" w:hAnsi="Calibri" w:cs="Calibri"/>
                <w:b/>
                <w:bCs/>
                <w:sz w:val="16"/>
                <w:szCs w:val="16"/>
              </w:rPr>
              <w:t xml:space="preserve">Other Costs: </w:t>
            </w:r>
          </w:p>
        </w:tc>
        <w:tc>
          <w:tcPr>
            <w:tcW w:w="1070" w:type="dxa"/>
            <w:tcBorders>
              <w:top w:val="single" w:color="CCCCCC" w:sz="6" w:space="0"/>
              <w:left w:val="single" w:color="CCCCCC" w:sz="6" w:space="0"/>
              <w:bottom w:val="single" w:color="000000" w:sz="12" w:space="0"/>
              <w:right w:val="single" w:color="000000" w:sz="6" w:space="0"/>
            </w:tcBorders>
            <w:shd w:val="clear" w:color="auto" w:fill="7F7F7F"/>
            <w:tcMar>
              <w:top w:w="0" w:type="dxa"/>
              <w:left w:w="45" w:type="dxa"/>
              <w:bottom w:w="0" w:type="dxa"/>
              <w:right w:w="45" w:type="dxa"/>
            </w:tcMar>
            <w:vAlign w:val="bottom"/>
            <w:hideMark/>
          </w:tcPr>
          <w:p w:rsidRPr="0051189C" w:rsidR="0051189C" w:rsidP="0051189C" w:rsidRDefault="0051189C">
            <w:pPr>
              <w:widowControl/>
              <w:rPr>
                <w:rFonts w:ascii="Calibri" w:hAnsi="Calibri" w:cs="Calibri"/>
                <w:b/>
                <w:bCs/>
                <w:sz w:val="16"/>
                <w:szCs w:val="16"/>
              </w:rPr>
            </w:pPr>
          </w:p>
        </w:tc>
        <w:tc>
          <w:tcPr>
            <w:tcW w:w="1440" w:type="dxa"/>
            <w:tcBorders>
              <w:top w:val="single" w:color="CCCCCC" w:sz="6" w:space="0"/>
              <w:left w:val="single" w:color="CCCCCC" w:sz="6" w:space="0"/>
              <w:bottom w:val="single" w:color="000000" w:sz="12" w:space="0"/>
              <w:right w:val="single" w:color="000000" w:sz="6" w:space="0"/>
            </w:tcBorders>
            <w:shd w:val="clear" w:color="auto" w:fill="7F7F7F"/>
            <w:tcMar>
              <w:top w:w="0" w:type="dxa"/>
              <w:left w:w="45" w:type="dxa"/>
              <w:bottom w:w="0" w:type="dxa"/>
              <w:right w:w="45" w:type="dxa"/>
            </w:tcMar>
            <w:vAlign w:val="bottom"/>
            <w:hideMark/>
          </w:tcPr>
          <w:p w:rsidRPr="0051189C" w:rsidR="0051189C" w:rsidP="0051189C" w:rsidRDefault="0051189C">
            <w:pPr>
              <w:widowControl/>
              <w:rPr>
                <w:rFonts w:asciiTheme="minorHAnsi" w:hAnsiTheme="minorHAnsi" w:cstheme="minorHAnsi"/>
                <w:sz w:val="18"/>
                <w:szCs w:val="18"/>
              </w:rPr>
            </w:pPr>
          </w:p>
        </w:tc>
        <w:tc>
          <w:tcPr>
            <w:tcW w:w="810" w:type="dxa"/>
            <w:tcBorders>
              <w:top w:val="single" w:color="CCCCCC" w:sz="6" w:space="0"/>
              <w:left w:val="single" w:color="CCCCCC" w:sz="6" w:space="0"/>
              <w:bottom w:val="single" w:color="000000" w:sz="12" w:space="0"/>
              <w:right w:val="single" w:color="000000" w:sz="6" w:space="0"/>
            </w:tcBorders>
            <w:shd w:val="clear" w:color="auto" w:fill="7F7F7F"/>
            <w:tcMar>
              <w:top w:w="0" w:type="dxa"/>
              <w:left w:w="45" w:type="dxa"/>
              <w:bottom w:w="0" w:type="dxa"/>
              <w:right w:w="45" w:type="dxa"/>
            </w:tcMar>
            <w:vAlign w:val="bottom"/>
            <w:hideMark/>
          </w:tcPr>
          <w:p w:rsidRPr="0051189C" w:rsidR="0051189C" w:rsidP="0051189C" w:rsidRDefault="0051189C">
            <w:pPr>
              <w:widowControl/>
              <w:rPr>
                <w:rFonts w:asciiTheme="minorHAnsi" w:hAnsiTheme="minorHAnsi" w:cstheme="minorHAnsi"/>
                <w:sz w:val="18"/>
                <w:szCs w:val="18"/>
              </w:rPr>
            </w:pPr>
          </w:p>
        </w:tc>
        <w:tc>
          <w:tcPr>
            <w:tcW w:w="1210" w:type="dxa"/>
            <w:tcBorders>
              <w:top w:val="single" w:color="CCCCCC" w:sz="6" w:space="0"/>
              <w:left w:val="single" w:color="CCCCCC" w:sz="6" w:space="0"/>
              <w:bottom w:val="single" w:color="000000" w:sz="12" w:space="0"/>
              <w:right w:val="single" w:color="000000" w:sz="6" w:space="0"/>
            </w:tcBorders>
            <w:shd w:val="clear" w:color="auto" w:fill="7F7F7F"/>
            <w:tcMar>
              <w:top w:w="0" w:type="dxa"/>
              <w:left w:w="45" w:type="dxa"/>
              <w:bottom w:w="0" w:type="dxa"/>
              <w:right w:w="45" w:type="dxa"/>
            </w:tcMar>
            <w:vAlign w:val="bottom"/>
            <w:hideMark/>
          </w:tcPr>
          <w:p w:rsidRPr="0051189C" w:rsidR="0051189C" w:rsidP="0051189C" w:rsidRDefault="0051189C">
            <w:pPr>
              <w:widowControl/>
              <w:rPr>
                <w:rFonts w:asciiTheme="minorHAnsi" w:hAnsiTheme="minorHAnsi" w:cstheme="minorHAnsi"/>
                <w:sz w:val="18"/>
                <w:szCs w:val="18"/>
              </w:rPr>
            </w:pPr>
          </w:p>
        </w:tc>
        <w:tc>
          <w:tcPr>
            <w:tcW w:w="0" w:type="auto"/>
            <w:tcBorders>
              <w:top w:val="single" w:color="CCCCCC" w:sz="6" w:space="0"/>
              <w:left w:val="single" w:color="CCCCCC" w:sz="6" w:space="0"/>
              <w:bottom w:val="single" w:color="000000" w:sz="12" w:space="0"/>
              <w:right w:val="single" w:color="000000" w:sz="12" w:space="0"/>
            </w:tcBorders>
            <w:tcMar>
              <w:top w:w="0" w:type="dxa"/>
              <w:left w:w="45" w:type="dxa"/>
              <w:bottom w:w="0" w:type="dxa"/>
              <w:right w:w="45" w:type="dxa"/>
            </w:tcMar>
            <w:vAlign w:val="bottom"/>
            <w:hideMark/>
          </w:tcPr>
          <w:p w:rsidRPr="0051189C" w:rsidR="0051189C" w:rsidP="0051189C" w:rsidRDefault="0051189C">
            <w:pPr>
              <w:widowControl/>
              <w:rPr>
                <w:rFonts w:asciiTheme="minorHAnsi" w:hAnsiTheme="minorHAnsi" w:cstheme="minorHAnsi"/>
                <w:sz w:val="18"/>
                <w:szCs w:val="18"/>
              </w:rPr>
            </w:pPr>
          </w:p>
        </w:tc>
      </w:tr>
      <w:tr w:rsidRPr="0051189C" w:rsidR="0051189C" w:rsidTr="0051189C">
        <w:trPr>
          <w:trHeight w:val="300"/>
        </w:trPr>
        <w:tc>
          <w:tcPr>
            <w:tcW w:w="0" w:type="auto"/>
            <w:tcBorders>
              <w:top w:val="single" w:color="CCCCCC" w:sz="6" w:space="0"/>
              <w:left w:val="single" w:color="000000" w:sz="12" w:space="0"/>
              <w:bottom w:val="single" w:color="000000" w:sz="12" w:space="0"/>
              <w:right w:val="single" w:color="000000" w:sz="12" w:space="0"/>
            </w:tcBorders>
            <w:shd w:val="clear" w:color="auto" w:fill="DEEAF6"/>
            <w:tcMar>
              <w:top w:w="0" w:type="dxa"/>
              <w:left w:w="45" w:type="dxa"/>
              <w:bottom w:w="0" w:type="dxa"/>
              <w:right w:w="45" w:type="dxa"/>
            </w:tcMar>
            <w:vAlign w:val="bottom"/>
            <w:hideMark/>
          </w:tcPr>
          <w:p w:rsidRPr="0051189C" w:rsidR="0051189C" w:rsidP="0051189C" w:rsidRDefault="0051189C">
            <w:pPr>
              <w:widowControl/>
              <w:rPr>
                <w:rFonts w:ascii="Calibri" w:hAnsi="Calibri" w:cs="Calibri"/>
                <w:b/>
                <w:bCs/>
                <w:sz w:val="16"/>
                <w:szCs w:val="16"/>
              </w:rPr>
            </w:pPr>
            <w:r w:rsidRPr="0051189C">
              <w:rPr>
                <w:rFonts w:ascii="Calibri" w:hAnsi="Calibri" w:cs="Calibri"/>
                <w:b/>
                <w:bCs/>
                <w:sz w:val="16"/>
                <w:szCs w:val="16"/>
              </w:rPr>
              <w:t>TOTAL</w:t>
            </w:r>
          </w:p>
        </w:tc>
        <w:tc>
          <w:tcPr>
            <w:tcW w:w="1070" w:type="dxa"/>
            <w:tcBorders>
              <w:top w:val="single" w:color="CCCCCC" w:sz="6" w:space="0"/>
              <w:left w:val="single" w:color="CCCCCC" w:sz="6" w:space="0"/>
              <w:bottom w:val="single" w:color="000000" w:sz="12" w:space="0"/>
              <w:right w:val="single" w:color="000000" w:sz="12" w:space="0"/>
            </w:tcBorders>
            <w:shd w:val="clear" w:color="auto" w:fill="7F7F7F"/>
            <w:tcMar>
              <w:top w:w="0" w:type="dxa"/>
              <w:left w:w="45" w:type="dxa"/>
              <w:bottom w:w="0" w:type="dxa"/>
              <w:right w:w="45" w:type="dxa"/>
            </w:tcMar>
            <w:vAlign w:val="bottom"/>
            <w:hideMark/>
          </w:tcPr>
          <w:p w:rsidRPr="0051189C" w:rsidR="0051189C" w:rsidP="0051189C" w:rsidRDefault="0051189C">
            <w:pPr>
              <w:widowControl/>
              <w:rPr>
                <w:rFonts w:ascii="Calibri" w:hAnsi="Calibri" w:cs="Calibri"/>
                <w:b/>
                <w:bCs/>
                <w:sz w:val="16"/>
                <w:szCs w:val="16"/>
              </w:rPr>
            </w:pPr>
          </w:p>
        </w:tc>
        <w:tc>
          <w:tcPr>
            <w:tcW w:w="1440" w:type="dxa"/>
            <w:tcBorders>
              <w:top w:val="single" w:color="CCCCCC" w:sz="6" w:space="0"/>
              <w:left w:val="single" w:color="CCCCCC" w:sz="6" w:space="0"/>
              <w:bottom w:val="single" w:color="000000" w:sz="12" w:space="0"/>
              <w:right w:val="single" w:color="000000" w:sz="12" w:space="0"/>
            </w:tcBorders>
            <w:shd w:val="clear" w:color="auto" w:fill="DEEAF6"/>
            <w:tcMar>
              <w:top w:w="0" w:type="dxa"/>
              <w:left w:w="45" w:type="dxa"/>
              <w:bottom w:w="0" w:type="dxa"/>
              <w:right w:w="45" w:type="dxa"/>
            </w:tcMar>
            <w:vAlign w:val="bottom"/>
            <w:hideMark/>
          </w:tcPr>
          <w:p w:rsidRPr="0051189C" w:rsidR="0051189C" w:rsidP="0051189C" w:rsidRDefault="0051189C">
            <w:pPr>
              <w:widowControl/>
              <w:rPr>
                <w:rFonts w:asciiTheme="minorHAnsi" w:hAnsiTheme="minorHAnsi" w:cstheme="minorHAnsi"/>
                <w:sz w:val="18"/>
                <w:szCs w:val="18"/>
              </w:rPr>
            </w:pPr>
          </w:p>
        </w:tc>
        <w:tc>
          <w:tcPr>
            <w:tcW w:w="810" w:type="dxa"/>
            <w:tcBorders>
              <w:top w:val="single" w:color="CCCCCC" w:sz="6" w:space="0"/>
              <w:left w:val="single" w:color="CCCCCC" w:sz="6" w:space="0"/>
              <w:bottom w:val="single" w:color="000000" w:sz="12" w:space="0"/>
              <w:right w:val="single" w:color="000000" w:sz="12" w:space="0"/>
            </w:tcBorders>
            <w:shd w:val="clear" w:color="auto" w:fill="757070"/>
            <w:tcMar>
              <w:top w:w="0" w:type="dxa"/>
              <w:left w:w="45" w:type="dxa"/>
              <w:bottom w:w="0" w:type="dxa"/>
              <w:right w:w="45" w:type="dxa"/>
            </w:tcMar>
            <w:vAlign w:val="bottom"/>
            <w:hideMark/>
          </w:tcPr>
          <w:p w:rsidRPr="0051189C" w:rsidR="0051189C" w:rsidP="0051189C" w:rsidRDefault="0051189C">
            <w:pPr>
              <w:widowControl/>
              <w:rPr>
                <w:rFonts w:asciiTheme="minorHAnsi" w:hAnsiTheme="minorHAnsi" w:cstheme="minorHAnsi"/>
                <w:sz w:val="18"/>
                <w:szCs w:val="18"/>
              </w:rPr>
            </w:pPr>
          </w:p>
        </w:tc>
        <w:tc>
          <w:tcPr>
            <w:tcW w:w="1210" w:type="dxa"/>
            <w:tcBorders>
              <w:top w:val="single" w:color="CCCCCC" w:sz="6" w:space="0"/>
              <w:left w:val="single" w:color="CCCCCC" w:sz="6" w:space="0"/>
              <w:bottom w:val="single" w:color="000000" w:sz="12" w:space="0"/>
              <w:right w:val="single" w:color="000000" w:sz="12" w:space="0"/>
            </w:tcBorders>
            <w:shd w:val="clear" w:color="auto" w:fill="DEEAF6"/>
            <w:tcMar>
              <w:top w:w="0" w:type="dxa"/>
              <w:left w:w="45" w:type="dxa"/>
              <w:bottom w:w="0" w:type="dxa"/>
              <w:right w:w="45" w:type="dxa"/>
            </w:tcMar>
            <w:vAlign w:val="bottom"/>
            <w:hideMark/>
          </w:tcPr>
          <w:p w:rsidRPr="0051189C" w:rsidR="0051189C" w:rsidP="0051189C" w:rsidRDefault="0051189C">
            <w:pPr>
              <w:widowControl/>
              <w:rPr>
                <w:rFonts w:asciiTheme="minorHAnsi" w:hAnsiTheme="minorHAnsi" w:cstheme="minorHAnsi"/>
                <w:sz w:val="18"/>
                <w:szCs w:val="18"/>
              </w:rPr>
            </w:pPr>
          </w:p>
        </w:tc>
        <w:tc>
          <w:tcPr>
            <w:tcW w:w="0" w:type="auto"/>
            <w:tcBorders>
              <w:top w:val="single" w:color="CCCCCC" w:sz="6" w:space="0"/>
              <w:left w:val="single" w:color="CCCCCC" w:sz="6" w:space="0"/>
              <w:bottom w:val="single" w:color="000000" w:sz="12" w:space="0"/>
              <w:right w:val="single" w:color="000000" w:sz="12" w:space="0"/>
            </w:tcBorders>
            <w:shd w:val="clear" w:color="auto" w:fill="DEEAF6"/>
            <w:tcMar>
              <w:top w:w="0" w:type="dxa"/>
              <w:left w:w="45" w:type="dxa"/>
              <w:bottom w:w="0" w:type="dxa"/>
              <w:right w:w="45" w:type="dxa"/>
            </w:tcMar>
            <w:vAlign w:val="bottom"/>
            <w:hideMark/>
          </w:tcPr>
          <w:p w:rsidRPr="0051189C" w:rsidR="0051189C" w:rsidP="00BF5712" w:rsidRDefault="00BF5712">
            <w:pPr>
              <w:widowControl/>
              <w:jc w:val="center"/>
              <w:rPr>
                <w:rFonts w:asciiTheme="minorHAnsi" w:hAnsiTheme="minorHAnsi" w:cstheme="minorHAnsi"/>
                <w:b/>
                <w:sz w:val="18"/>
                <w:szCs w:val="18"/>
              </w:rPr>
            </w:pPr>
            <w:r w:rsidRPr="00BF5712">
              <w:rPr>
                <w:rFonts w:asciiTheme="minorHAnsi" w:hAnsiTheme="minorHAnsi" w:cstheme="minorHAnsi"/>
                <w:b/>
                <w:sz w:val="18"/>
                <w:szCs w:val="18"/>
              </w:rPr>
              <w:t>$ 2,123.22</w:t>
            </w:r>
          </w:p>
        </w:tc>
      </w:tr>
    </w:tbl>
    <w:p w:rsidRPr="00681EE4" w:rsidR="00B36A76" w:rsidP="00B36A76" w:rsidRDefault="00B36A76"/>
    <w:p w:rsidR="00B36A76" w:rsidRDefault="00B36A76">
      <w:pPr>
        <w:pBdr>
          <w:top w:val="nil"/>
          <w:left w:val="nil"/>
          <w:bottom w:val="nil"/>
          <w:right w:val="nil"/>
          <w:between w:val="nil"/>
        </w:pBdr>
        <w:spacing w:before="161"/>
        <w:rPr>
          <w:color w:val="2F5496"/>
        </w:rPr>
      </w:pPr>
    </w:p>
    <w:p w:rsidR="00366C24" w:rsidRDefault="00366C24">
      <w:pPr>
        <w:pBdr>
          <w:top w:val="nil"/>
          <w:left w:val="nil"/>
          <w:bottom w:val="nil"/>
          <w:right w:val="nil"/>
          <w:between w:val="nil"/>
        </w:pBdr>
        <w:spacing w:before="9" w:after="1"/>
        <w:rPr>
          <w:b/>
          <w:color w:val="000000"/>
        </w:rPr>
        <w:sectPr w:rsidR="00366C24">
          <w:pgSz w:w="12240" w:h="15840"/>
          <w:pgMar w:top="640" w:right="1080" w:bottom="1200" w:left="1080" w:header="0" w:footer="1014" w:gutter="0"/>
          <w:cols w:space="720"/>
        </w:sectPr>
      </w:pPr>
    </w:p>
    <w:p w:rsidR="00366C24" w:rsidRDefault="00366C24">
      <w:pPr>
        <w:pBdr>
          <w:top w:val="nil"/>
          <w:left w:val="nil"/>
          <w:bottom w:val="nil"/>
          <w:right w:val="nil"/>
          <w:between w:val="nil"/>
        </w:pBdr>
        <w:spacing w:before="9" w:after="1"/>
        <w:rPr>
          <w:b/>
          <w:color w:val="000000"/>
        </w:rPr>
      </w:pPr>
    </w:p>
    <w:p w:rsidR="00366C24" w:rsidRDefault="00440E8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366C24" w:rsidRDefault="00366C24">
      <w:pPr>
        <w:pBdr>
          <w:top w:val="nil"/>
          <w:left w:val="nil"/>
          <w:bottom w:val="nil"/>
          <w:right w:val="nil"/>
          <w:between w:val="nil"/>
        </w:pBdr>
        <w:spacing w:before="7"/>
        <w:rPr>
          <w:b/>
          <w:color w:val="000000"/>
        </w:rPr>
      </w:pPr>
    </w:p>
    <w:tbl>
      <w:tblPr>
        <w:tblStyle w:val="a3"/>
        <w:tblW w:w="13500" w:type="dxa"/>
        <w:tblInd w:w="-10" w:type="dxa"/>
        <w:tblLayout w:type="fixed"/>
        <w:tblLook w:val="0400" w:firstRow="0" w:lastRow="0" w:firstColumn="0" w:lastColumn="0" w:noHBand="0" w:noVBand="1"/>
      </w:tblPr>
      <w:tblGrid>
        <w:gridCol w:w="2880"/>
        <w:gridCol w:w="900"/>
        <w:gridCol w:w="900"/>
        <w:gridCol w:w="900"/>
        <w:gridCol w:w="900"/>
        <w:gridCol w:w="900"/>
        <w:gridCol w:w="919"/>
        <w:gridCol w:w="5201"/>
      </w:tblGrid>
      <w:tr w:rsidR="00366C24" w:rsidTr="00B36A76">
        <w:trPr>
          <w:trHeight w:val="315"/>
        </w:trPr>
        <w:tc>
          <w:tcPr>
            <w:tcW w:w="288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1819" w:type="dxa"/>
            <w:gridSpan w:val="2"/>
            <w:tcBorders>
              <w:top w:val="single" w:color="000000" w:sz="8" w:space="0"/>
              <w:left w:val="nil"/>
              <w:bottom w:val="single" w:color="000000" w:sz="8" w:space="0"/>
              <w:right w:val="single" w:color="000000" w:sz="8" w:space="0"/>
            </w:tcBorders>
            <w:shd w:val="clear" w:color="auto" w:fill="5B9BD5"/>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5201"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366C24" w:rsidTr="00B36A76">
        <w:trPr>
          <w:trHeight w:val="690"/>
        </w:trPr>
        <w:tc>
          <w:tcPr>
            <w:tcW w:w="288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366C24" w:rsidRDefault="00366C24">
            <w:pPr>
              <w:pBdr>
                <w:top w:val="nil"/>
                <w:left w:val="nil"/>
                <w:bottom w:val="nil"/>
                <w:right w:val="nil"/>
                <w:between w:val="nil"/>
              </w:pBdr>
              <w:spacing w:line="276" w:lineRule="auto"/>
              <w:rPr>
                <w:rFonts w:ascii="Calibri" w:hAnsi="Calibri" w:eastAsia="Calibri" w:cs="Calibri"/>
                <w:b/>
                <w:color w:val="000000"/>
                <w:sz w:val="16"/>
                <w:szCs w:val="16"/>
              </w:rPr>
            </w:pPr>
          </w:p>
        </w:tc>
        <w:tc>
          <w:tcPr>
            <w:tcW w:w="900" w:type="dxa"/>
            <w:tcBorders>
              <w:top w:val="nil"/>
              <w:left w:val="nil"/>
              <w:bottom w:val="single" w:color="000000" w:sz="8" w:space="0"/>
              <w:right w:val="dashed" w:color="000000" w:sz="8" w:space="0"/>
            </w:tcBorders>
            <w:shd w:val="clear" w:color="auto" w:fill="FBE4D5"/>
            <w:vAlign w:val="center"/>
          </w:tcPr>
          <w:p w:rsidR="00366C24" w:rsidRDefault="00440E81">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366C24" w:rsidRDefault="00440E81">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366C24" w:rsidRDefault="00440E81">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366C24" w:rsidRDefault="00440E81">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366C24" w:rsidRDefault="00440E81">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19" w:type="dxa"/>
            <w:tcBorders>
              <w:top w:val="nil"/>
              <w:left w:val="nil"/>
              <w:bottom w:val="single" w:color="000000" w:sz="8" w:space="0"/>
              <w:right w:val="single" w:color="000000" w:sz="8" w:space="0"/>
            </w:tcBorders>
            <w:shd w:val="clear" w:color="auto" w:fill="FBE4D5"/>
            <w:vAlign w:val="center"/>
          </w:tcPr>
          <w:p w:rsidR="00366C24" w:rsidRDefault="00440E81">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5201"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366C24" w:rsidRDefault="00366C24">
            <w:pPr>
              <w:pBdr>
                <w:top w:val="nil"/>
                <w:left w:val="nil"/>
                <w:bottom w:val="nil"/>
                <w:right w:val="nil"/>
                <w:between w:val="nil"/>
              </w:pBdr>
              <w:spacing w:line="276" w:lineRule="auto"/>
              <w:rPr>
                <w:rFonts w:ascii="Calibri" w:hAnsi="Calibri" w:eastAsia="Calibri" w:cs="Calibri"/>
                <w:color w:val="000000"/>
                <w:sz w:val="16"/>
                <w:szCs w:val="16"/>
              </w:rPr>
            </w:pPr>
          </w:p>
        </w:tc>
      </w:tr>
      <w:tr w:rsidR="00366C24" w:rsidTr="00B36A76">
        <w:trPr>
          <w:trHeight w:val="315"/>
        </w:trPr>
        <w:tc>
          <w:tcPr>
            <w:tcW w:w="2880" w:type="dxa"/>
            <w:tcBorders>
              <w:top w:val="nil"/>
              <w:left w:val="single" w:color="000000" w:sz="8" w:space="0"/>
              <w:bottom w:val="single" w:color="000000" w:sz="8" w:space="0"/>
              <w:right w:val="single" w:color="000000" w:sz="8" w:space="0"/>
            </w:tcBorders>
            <w:shd w:val="clear" w:color="auto" w:fill="auto"/>
            <w:vAlign w:val="center"/>
          </w:tcPr>
          <w:p w:rsidR="00366C24" w:rsidRDefault="00440E81">
            <w:pPr>
              <w:widowControl/>
              <w:rPr>
                <w:rFonts w:ascii="Calibri" w:hAnsi="Calibri" w:eastAsia="Calibri" w:cs="Calibri"/>
                <w:color w:val="000000"/>
                <w:sz w:val="16"/>
                <w:szCs w:val="16"/>
              </w:rPr>
            </w:pPr>
            <w:r>
              <w:rPr>
                <w:rFonts w:ascii="Calibri" w:hAnsi="Calibri" w:eastAsia="Calibri" w:cs="Calibri"/>
                <w:color w:val="000000"/>
                <w:sz w:val="16"/>
                <w:szCs w:val="16"/>
              </w:rPr>
              <w:t> </w:t>
            </w:r>
            <w:r w:rsidRPr="004C6A45" w:rsidR="004C6A45">
              <w:rPr>
                <w:rFonts w:ascii="Calibri" w:hAnsi="Calibri" w:eastAsia="Calibri" w:cs="Calibri"/>
                <w:color w:val="000000"/>
                <w:sz w:val="16"/>
                <w:szCs w:val="16"/>
              </w:rPr>
              <w:t>Documentation of Fish Harvest</w:t>
            </w:r>
          </w:p>
        </w:tc>
        <w:tc>
          <w:tcPr>
            <w:tcW w:w="900" w:type="dxa"/>
            <w:tcBorders>
              <w:top w:val="nil"/>
              <w:left w:val="nil"/>
              <w:bottom w:val="dotted" w:color="000000" w:sz="4" w:space="0"/>
              <w:right w:val="dashed" w:color="000000" w:sz="8" w:space="0"/>
            </w:tcBorders>
            <w:shd w:val="clear" w:color="auto" w:fill="auto"/>
            <w:vAlign w:val="center"/>
          </w:tcPr>
          <w:p w:rsidR="00366C24" w:rsidRDefault="00440E81">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4C6A45">
              <w:rPr>
                <w:rFonts w:ascii="Calibri" w:hAnsi="Calibri" w:eastAsia="Calibri" w:cs="Calibri"/>
                <w:color w:val="000000"/>
                <w:sz w:val="16"/>
                <w:szCs w:val="16"/>
              </w:rPr>
              <w:t>379</w:t>
            </w:r>
          </w:p>
        </w:tc>
        <w:tc>
          <w:tcPr>
            <w:tcW w:w="900" w:type="dxa"/>
            <w:tcBorders>
              <w:top w:val="nil"/>
              <w:left w:val="nil"/>
              <w:bottom w:val="dotted" w:color="000000" w:sz="4" w:space="0"/>
              <w:right w:val="single" w:color="000000" w:sz="8" w:space="0"/>
            </w:tcBorders>
            <w:shd w:val="clear" w:color="auto" w:fill="auto"/>
            <w:vAlign w:val="center"/>
          </w:tcPr>
          <w:p w:rsidR="00366C24" w:rsidRDefault="004C6A45">
            <w:pPr>
              <w:widowControl/>
              <w:jc w:val="center"/>
              <w:rPr>
                <w:rFonts w:ascii="Calibri" w:hAnsi="Calibri" w:eastAsia="Calibri" w:cs="Calibri"/>
                <w:color w:val="000000"/>
                <w:sz w:val="16"/>
                <w:szCs w:val="16"/>
              </w:rPr>
            </w:pPr>
            <w:r>
              <w:rPr>
                <w:rFonts w:ascii="Calibri" w:hAnsi="Calibri" w:eastAsia="Calibri" w:cs="Calibri"/>
                <w:color w:val="000000"/>
                <w:sz w:val="16"/>
                <w:szCs w:val="16"/>
              </w:rPr>
              <w:t>414</w:t>
            </w:r>
            <w:r w:rsidR="00440E81">
              <w:rPr>
                <w:rFonts w:ascii="Calibri" w:hAnsi="Calibri" w:eastAsia="Calibri" w:cs="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00366C24" w:rsidRDefault="00440E81">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900" w:type="dxa"/>
            <w:tcBorders>
              <w:top w:val="nil"/>
              <w:left w:val="nil"/>
              <w:bottom w:val="dotted" w:color="000000" w:sz="4" w:space="0"/>
              <w:right w:val="single" w:color="000000" w:sz="8" w:space="0"/>
            </w:tcBorders>
            <w:shd w:val="clear" w:color="auto" w:fill="auto"/>
            <w:vAlign w:val="center"/>
          </w:tcPr>
          <w:p w:rsidR="00366C24" w:rsidRDefault="00440E81">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00366C24" w:rsidRDefault="00440E81">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4C6A45">
              <w:rPr>
                <w:rFonts w:ascii="Calibri" w:hAnsi="Calibri" w:eastAsia="Calibri" w:cs="Calibri"/>
                <w:color w:val="000000"/>
                <w:sz w:val="16"/>
                <w:szCs w:val="16"/>
              </w:rPr>
              <w:t>63</w:t>
            </w:r>
          </w:p>
        </w:tc>
        <w:tc>
          <w:tcPr>
            <w:tcW w:w="919" w:type="dxa"/>
            <w:tcBorders>
              <w:top w:val="nil"/>
              <w:left w:val="nil"/>
              <w:bottom w:val="dotted" w:color="000000" w:sz="4" w:space="0"/>
              <w:right w:val="single" w:color="000000" w:sz="8" w:space="0"/>
            </w:tcBorders>
            <w:shd w:val="clear" w:color="auto" w:fill="auto"/>
            <w:vAlign w:val="center"/>
          </w:tcPr>
          <w:p w:rsidR="00366C24" w:rsidRDefault="004C6A45">
            <w:pPr>
              <w:widowControl/>
              <w:jc w:val="center"/>
              <w:rPr>
                <w:rFonts w:ascii="Calibri" w:hAnsi="Calibri" w:eastAsia="Calibri" w:cs="Calibri"/>
                <w:color w:val="000000"/>
                <w:sz w:val="16"/>
                <w:szCs w:val="16"/>
              </w:rPr>
            </w:pPr>
            <w:r>
              <w:rPr>
                <w:rFonts w:ascii="Calibri" w:hAnsi="Calibri" w:eastAsia="Calibri" w:cs="Calibri"/>
                <w:color w:val="000000"/>
                <w:sz w:val="16"/>
                <w:szCs w:val="16"/>
              </w:rPr>
              <w:t>69</w:t>
            </w:r>
            <w:r w:rsidR="00440E81">
              <w:rPr>
                <w:rFonts w:ascii="Calibri" w:hAnsi="Calibri" w:eastAsia="Calibri" w:cs="Calibri"/>
                <w:color w:val="000000"/>
                <w:sz w:val="16"/>
                <w:szCs w:val="16"/>
              </w:rPr>
              <w:t> </w:t>
            </w:r>
          </w:p>
        </w:tc>
        <w:tc>
          <w:tcPr>
            <w:tcW w:w="5201" w:type="dxa"/>
            <w:tcBorders>
              <w:top w:val="nil"/>
              <w:left w:val="nil"/>
              <w:bottom w:val="dotted" w:color="000000" w:sz="4" w:space="0"/>
              <w:right w:val="single" w:color="000000" w:sz="8" w:space="0"/>
            </w:tcBorders>
            <w:shd w:val="clear" w:color="auto" w:fill="auto"/>
            <w:vAlign w:val="center"/>
          </w:tcPr>
          <w:p w:rsidR="00366C24" w:rsidRDefault="00440E81">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466DEC">
              <w:rPr>
                <w:rFonts w:ascii="Calibri" w:hAnsi="Calibri" w:eastAsia="Calibri" w:cs="Calibri"/>
                <w:color w:val="000000"/>
                <w:sz w:val="16"/>
                <w:szCs w:val="16"/>
              </w:rPr>
              <w:t>Fewer permitted dealers.</w:t>
            </w:r>
          </w:p>
        </w:tc>
      </w:tr>
      <w:tr w:rsidR="00366C24" w:rsidTr="00B36A76">
        <w:trPr>
          <w:trHeight w:val="465"/>
        </w:trPr>
        <w:tc>
          <w:tcPr>
            <w:tcW w:w="2880" w:type="dxa"/>
            <w:tcBorders>
              <w:top w:val="nil"/>
              <w:left w:val="single" w:color="000000" w:sz="8" w:space="0"/>
              <w:bottom w:val="nil"/>
              <w:right w:val="single" w:color="000000" w:sz="8" w:space="0"/>
            </w:tcBorders>
            <w:shd w:val="clear" w:color="auto" w:fill="BDD6EE"/>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00" w:type="dxa"/>
            <w:tcBorders>
              <w:top w:val="nil"/>
              <w:left w:val="nil"/>
              <w:bottom w:val="nil"/>
              <w:right w:val="dashed" w:color="000000" w:sz="8" w:space="0"/>
            </w:tcBorders>
            <w:shd w:val="clear" w:color="auto" w:fill="BDD6EE"/>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r w:rsidR="004C6A45">
              <w:rPr>
                <w:rFonts w:ascii="Calibri" w:hAnsi="Calibri" w:eastAsia="Calibri" w:cs="Calibri"/>
                <w:b/>
                <w:color w:val="000000"/>
                <w:sz w:val="16"/>
                <w:szCs w:val="16"/>
              </w:rPr>
              <w:t>379</w:t>
            </w:r>
          </w:p>
        </w:tc>
        <w:tc>
          <w:tcPr>
            <w:tcW w:w="900" w:type="dxa"/>
            <w:tcBorders>
              <w:top w:val="nil"/>
              <w:left w:val="nil"/>
              <w:bottom w:val="nil"/>
              <w:right w:val="single" w:color="000000" w:sz="8" w:space="0"/>
            </w:tcBorders>
            <w:shd w:val="clear" w:color="auto" w:fill="BDD6EE"/>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r w:rsidR="004C6A45">
              <w:rPr>
                <w:rFonts w:ascii="Calibri" w:hAnsi="Calibri" w:eastAsia="Calibri" w:cs="Calibri"/>
                <w:b/>
                <w:color w:val="000000"/>
                <w:sz w:val="16"/>
                <w:szCs w:val="16"/>
              </w:rPr>
              <w:t>414</w:t>
            </w:r>
          </w:p>
        </w:tc>
        <w:tc>
          <w:tcPr>
            <w:tcW w:w="900" w:type="dxa"/>
            <w:tcBorders>
              <w:top w:val="nil"/>
              <w:left w:val="nil"/>
              <w:bottom w:val="nil"/>
              <w:right w:val="dashed" w:color="000000" w:sz="8" w:space="0"/>
            </w:tcBorders>
            <w:shd w:val="clear" w:color="auto" w:fill="BDD6EE"/>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900" w:type="dxa"/>
            <w:tcBorders>
              <w:top w:val="nil"/>
              <w:left w:val="nil"/>
              <w:bottom w:val="nil"/>
              <w:right w:val="single" w:color="000000" w:sz="8" w:space="0"/>
            </w:tcBorders>
            <w:shd w:val="clear" w:color="auto" w:fill="BDD6EE"/>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900" w:type="dxa"/>
            <w:tcBorders>
              <w:top w:val="nil"/>
              <w:left w:val="nil"/>
              <w:bottom w:val="nil"/>
              <w:right w:val="dashed" w:color="000000" w:sz="8" w:space="0"/>
            </w:tcBorders>
            <w:shd w:val="clear" w:color="auto" w:fill="BDD6EE"/>
            <w:vAlign w:val="center"/>
          </w:tcPr>
          <w:p w:rsidR="00366C24" w:rsidRDefault="004C6A45">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63</w:t>
            </w:r>
            <w:r w:rsidR="00440E81">
              <w:rPr>
                <w:rFonts w:ascii="Calibri" w:hAnsi="Calibri" w:eastAsia="Calibri" w:cs="Calibri"/>
                <w:b/>
                <w:color w:val="000000"/>
                <w:sz w:val="16"/>
                <w:szCs w:val="16"/>
              </w:rPr>
              <w:t> </w:t>
            </w:r>
          </w:p>
        </w:tc>
        <w:tc>
          <w:tcPr>
            <w:tcW w:w="919" w:type="dxa"/>
            <w:tcBorders>
              <w:top w:val="nil"/>
              <w:left w:val="nil"/>
              <w:bottom w:val="nil"/>
              <w:right w:val="single" w:color="000000" w:sz="8" w:space="0"/>
            </w:tcBorders>
            <w:shd w:val="clear" w:color="auto" w:fill="BDD6EE"/>
            <w:vAlign w:val="center"/>
          </w:tcPr>
          <w:p w:rsidR="00366C24" w:rsidRDefault="004C6A45">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69</w:t>
            </w:r>
            <w:r w:rsidR="00440E81">
              <w:rPr>
                <w:rFonts w:ascii="Calibri" w:hAnsi="Calibri" w:eastAsia="Calibri" w:cs="Calibri"/>
                <w:b/>
                <w:color w:val="000000"/>
                <w:sz w:val="16"/>
                <w:szCs w:val="16"/>
              </w:rPr>
              <w:t> </w:t>
            </w:r>
          </w:p>
        </w:tc>
        <w:tc>
          <w:tcPr>
            <w:tcW w:w="5201" w:type="dxa"/>
            <w:tcBorders>
              <w:top w:val="nil"/>
              <w:left w:val="nil"/>
              <w:bottom w:val="nil"/>
              <w:right w:val="single" w:color="000000" w:sz="8" w:space="0"/>
            </w:tcBorders>
            <w:shd w:val="clear" w:color="auto" w:fill="000000"/>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366C24" w:rsidTr="00B36A76">
        <w:trPr>
          <w:trHeight w:val="315"/>
        </w:trPr>
        <w:tc>
          <w:tcPr>
            <w:tcW w:w="2880" w:type="dxa"/>
            <w:tcBorders>
              <w:top w:val="single" w:color="000000" w:sz="8" w:space="0"/>
              <w:left w:val="single" w:color="000000" w:sz="8" w:space="0"/>
              <w:bottom w:val="single" w:color="000000" w:sz="8" w:space="0"/>
              <w:right w:val="nil"/>
            </w:tcBorders>
            <w:shd w:val="clear" w:color="auto" w:fill="FCE4D6"/>
            <w:vAlign w:val="bottom"/>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80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366C24" w:rsidP="00E30ED0" w:rsidRDefault="00E30ED0">
            <w:pPr>
              <w:widowControl/>
              <w:rPr>
                <w:rFonts w:ascii="Calibri" w:hAnsi="Calibri" w:eastAsia="Calibri" w:cs="Calibri"/>
                <w:color w:val="000000"/>
              </w:rPr>
            </w:pPr>
            <w:r>
              <w:rPr>
                <w:rFonts w:ascii="Calibri" w:hAnsi="Calibri" w:eastAsia="Calibri" w:cs="Calibri"/>
                <w:color w:val="000000"/>
              </w:rPr>
              <w:t>(35)</w:t>
            </w:r>
          </w:p>
        </w:tc>
        <w:tc>
          <w:tcPr>
            <w:tcW w:w="1800" w:type="dxa"/>
            <w:gridSpan w:val="2"/>
            <w:tcBorders>
              <w:top w:val="single" w:color="000000" w:sz="8" w:space="0"/>
              <w:left w:val="nil"/>
              <w:bottom w:val="single" w:color="000000" w:sz="8" w:space="0"/>
              <w:right w:val="single" w:color="000000" w:sz="8" w:space="0"/>
            </w:tcBorders>
            <w:shd w:val="clear" w:color="auto" w:fill="FCE4D6"/>
            <w:vAlign w:val="bottom"/>
          </w:tcPr>
          <w:p w:rsidR="00366C24" w:rsidRDefault="00440E81">
            <w:pPr>
              <w:widowControl/>
              <w:jc w:val="center"/>
              <w:rPr>
                <w:rFonts w:ascii="Calibri" w:hAnsi="Calibri" w:eastAsia="Calibri" w:cs="Calibri"/>
                <w:color w:val="000000"/>
              </w:rPr>
            </w:pPr>
            <w:r>
              <w:rPr>
                <w:rFonts w:ascii="Calibri" w:hAnsi="Calibri" w:eastAsia="Calibri" w:cs="Calibri"/>
                <w:color w:val="000000"/>
              </w:rPr>
              <w:t> </w:t>
            </w:r>
          </w:p>
        </w:tc>
        <w:tc>
          <w:tcPr>
            <w:tcW w:w="1819" w:type="dxa"/>
            <w:gridSpan w:val="2"/>
            <w:tcBorders>
              <w:top w:val="single" w:color="000000" w:sz="8" w:space="0"/>
              <w:left w:val="nil"/>
              <w:bottom w:val="single" w:color="000000" w:sz="8" w:space="0"/>
              <w:right w:val="single" w:color="000000" w:sz="4" w:space="0"/>
            </w:tcBorders>
            <w:shd w:val="clear" w:color="auto" w:fill="FCE4D6"/>
            <w:vAlign w:val="bottom"/>
          </w:tcPr>
          <w:p w:rsidR="00366C24" w:rsidRDefault="00440E81">
            <w:pPr>
              <w:widowControl/>
              <w:jc w:val="center"/>
              <w:rPr>
                <w:rFonts w:ascii="Calibri" w:hAnsi="Calibri" w:eastAsia="Calibri" w:cs="Calibri"/>
                <w:color w:val="000000"/>
              </w:rPr>
            </w:pPr>
            <w:r>
              <w:rPr>
                <w:rFonts w:ascii="Calibri" w:hAnsi="Calibri" w:eastAsia="Calibri" w:cs="Calibri"/>
                <w:color w:val="000000"/>
              </w:rPr>
              <w:t> </w:t>
            </w:r>
            <w:r w:rsidR="00E30ED0">
              <w:rPr>
                <w:rFonts w:ascii="Calibri" w:hAnsi="Calibri" w:eastAsia="Calibri" w:cs="Calibri"/>
                <w:color w:val="000000"/>
              </w:rPr>
              <w:t>(6)</w:t>
            </w:r>
          </w:p>
        </w:tc>
        <w:tc>
          <w:tcPr>
            <w:tcW w:w="5201" w:type="dxa"/>
            <w:tcBorders>
              <w:top w:val="single" w:color="000000" w:sz="8" w:space="0"/>
              <w:left w:val="nil"/>
              <w:bottom w:val="single" w:color="000000" w:sz="8" w:space="0"/>
              <w:right w:val="single" w:color="000000" w:sz="8" w:space="0"/>
            </w:tcBorders>
            <w:shd w:val="clear" w:color="auto" w:fill="000000"/>
            <w:vAlign w:val="bottom"/>
          </w:tcPr>
          <w:p w:rsidR="00366C24" w:rsidRDefault="00440E81">
            <w:pPr>
              <w:widowControl/>
              <w:rPr>
                <w:rFonts w:ascii="Calibri" w:hAnsi="Calibri" w:eastAsia="Calibri" w:cs="Calibri"/>
                <w:color w:val="000000"/>
              </w:rPr>
            </w:pPr>
            <w:r>
              <w:rPr>
                <w:rFonts w:ascii="Calibri" w:hAnsi="Calibri" w:eastAsia="Calibri" w:cs="Calibri"/>
                <w:color w:val="000000"/>
              </w:rPr>
              <w:t> </w:t>
            </w:r>
          </w:p>
        </w:tc>
      </w:tr>
    </w:tbl>
    <w:p w:rsidR="00366C24" w:rsidRDefault="00366C24">
      <w:pPr>
        <w:pBdr>
          <w:top w:val="nil"/>
          <w:left w:val="nil"/>
          <w:bottom w:val="nil"/>
          <w:right w:val="nil"/>
          <w:between w:val="nil"/>
        </w:pBdr>
        <w:spacing w:before="7"/>
        <w:rPr>
          <w:b/>
          <w:color w:val="000000"/>
        </w:rPr>
      </w:pPr>
    </w:p>
    <w:p w:rsidR="00366C24" w:rsidRDefault="00366C24">
      <w:pPr>
        <w:pBdr>
          <w:top w:val="nil"/>
          <w:left w:val="nil"/>
          <w:bottom w:val="nil"/>
          <w:right w:val="nil"/>
          <w:between w:val="nil"/>
        </w:pBdr>
        <w:spacing w:before="7"/>
        <w:rPr>
          <w:b/>
          <w:color w:val="000000"/>
        </w:rPr>
      </w:pPr>
    </w:p>
    <w:p w:rsidR="00366C24" w:rsidRDefault="00366C24">
      <w:pPr>
        <w:pBdr>
          <w:top w:val="nil"/>
          <w:left w:val="nil"/>
          <w:bottom w:val="nil"/>
          <w:right w:val="nil"/>
          <w:between w:val="nil"/>
        </w:pBdr>
        <w:spacing w:before="7"/>
        <w:rPr>
          <w:b/>
          <w:color w:val="000000"/>
        </w:rPr>
      </w:pPr>
    </w:p>
    <w:p w:rsidR="00366C24" w:rsidRDefault="00366C24">
      <w:pPr>
        <w:pBdr>
          <w:top w:val="nil"/>
          <w:left w:val="nil"/>
          <w:bottom w:val="nil"/>
          <w:right w:val="nil"/>
          <w:between w:val="nil"/>
        </w:pBdr>
        <w:spacing w:before="7"/>
        <w:rPr>
          <w:b/>
          <w:color w:val="000000"/>
        </w:rPr>
      </w:pPr>
    </w:p>
    <w:tbl>
      <w:tblPr>
        <w:tblStyle w:val="a4"/>
        <w:tblW w:w="13155" w:type="dxa"/>
        <w:tblInd w:w="-25" w:type="dxa"/>
        <w:tblLayout w:type="fixed"/>
        <w:tblLook w:val="0400" w:firstRow="0" w:lastRow="0" w:firstColumn="0" w:lastColumn="0" w:noHBand="0" w:noVBand="1"/>
      </w:tblPr>
      <w:tblGrid>
        <w:gridCol w:w="3255"/>
        <w:gridCol w:w="810"/>
        <w:gridCol w:w="810"/>
        <w:gridCol w:w="900"/>
        <w:gridCol w:w="860"/>
        <w:gridCol w:w="6520"/>
      </w:tblGrid>
      <w:tr w:rsidR="00366C24">
        <w:trPr>
          <w:trHeight w:val="315"/>
        </w:trPr>
        <w:tc>
          <w:tcPr>
            <w:tcW w:w="3255"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620" w:type="dxa"/>
            <w:gridSpan w:val="2"/>
            <w:tcBorders>
              <w:top w:val="single" w:color="000000" w:sz="8" w:space="0"/>
              <w:left w:val="nil"/>
              <w:bottom w:val="single" w:color="000000" w:sz="8" w:space="0"/>
              <w:right w:val="single" w:color="000000" w:sz="8" w:space="0"/>
            </w:tcBorders>
            <w:shd w:val="clear" w:color="auto" w:fill="5B9BD5"/>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1760" w:type="dxa"/>
            <w:gridSpan w:val="2"/>
            <w:tcBorders>
              <w:top w:val="single" w:color="000000" w:sz="8" w:space="0"/>
              <w:left w:val="nil"/>
              <w:bottom w:val="single" w:color="000000" w:sz="8" w:space="0"/>
              <w:right w:val="single" w:color="000000" w:sz="8" w:space="0"/>
            </w:tcBorders>
            <w:shd w:val="clear" w:color="auto" w:fill="5B9BD5"/>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652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366C24">
        <w:trPr>
          <w:trHeight w:val="690"/>
        </w:trPr>
        <w:tc>
          <w:tcPr>
            <w:tcW w:w="3255"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366C24" w:rsidRDefault="00366C24">
            <w:pPr>
              <w:pBdr>
                <w:top w:val="nil"/>
                <w:left w:val="nil"/>
                <w:bottom w:val="nil"/>
                <w:right w:val="nil"/>
                <w:between w:val="nil"/>
              </w:pBdr>
              <w:spacing w:line="276" w:lineRule="auto"/>
              <w:rPr>
                <w:rFonts w:ascii="Calibri" w:hAnsi="Calibri" w:eastAsia="Calibri" w:cs="Calibri"/>
                <w:b/>
                <w:color w:val="000000"/>
                <w:sz w:val="16"/>
                <w:szCs w:val="16"/>
              </w:rPr>
            </w:pPr>
          </w:p>
        </w:tc>
        <w:tc>
          <w:tcPr>
            <w:tcW w:w="810" w:type="dxa"/>
            <w:tcBorders>
              <w:top w:val="nil"/>
              <w:left w:val="nil"/>
              <w:bottom w:val="single" w:color="000000" w:sz="8" w:space="0"/>
              <w:right w:val="dashed" w:color="000000" w:sz="8" w:space="0"/>
            </w:tcBorders>
            <w:shd w:val="clear" w:color="auto" w:fill="FBE4D5"/>
            <w:vAlign w:val="center"/>
          </w:tcPr>
          <w:p w:rsidR="00366C24" w:rsidRDefault="00440E81">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810" w:type="dxa"/>
            <w:tcBorders>
              <w:top w:val="nil"/>
              <w:left w:val="nil"/>
              <w:bottom w:val="single" w:color="000000" w:sz="8" w:space="0"/>
              <w:right w:val="single" w:color="000000" w:sz="8" w:space="0"/>
            </w:tcBorders>
            <w:shd w:val="clear" w:color="auto" w:fill="FBE4D5"/>
            <w:vAlign w:val="center"/>
          </w:tcPr>
          <w:p w:rsidR="00366C24" w:rsidRDefault="00440E81">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900" w:type="dxa"/>
            <w:tcBorders>
              <w:top w:val="nil"/>
              <w:left w:val="nil"/>
              <w:bottom w:val="single" w:color="000000" w:sz="8" w:space="0"/>
              <w:right w:val="dashed" w:color="000000" w:sz="8" w:space="0"/>
            </w:tcBorders>
            <w:shd w:val="clear" w:color="auto" w:fill="FBE4D5"/>
            <w:vAlign w:val="center"/>
          </w:tcPr>
          <w:p w:rsidR="00366C24" w:rsidRDefault="00440E81">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860" w:type="dxa"/>
            <w:tcBorders>
              <w:top w:val="nil"/>
              <w:left w:val="nil"/>
              <w:bottom w:val="single" w:color="000000" w:sz="8" w:space="0"/>
              <w:right w:val="single" w:color="000000" w:sz="8" w:space="0"/>
            </w:tcBorders>
            <w:shd w:val="clear" w:color="auto" w:fill="FBE4D5"/>
            <w:vAlign w:val="center"/>
          </w:tcPr>
          <w:p w:rsidR="00366C24" w:rsidRDefault="00440E81">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652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366C24" w:rsidRDefault="00366C24">
            <w:pPr>
              <w:pBdr>
                <w:top w:val="nil"/>
                <w:left w:val="nil"/>
                <w:bottom w:val="nil"/>
                <w:right w:val="nil"/>
                <w:between w:val="nil"/>
              </w:pBdr>
              <w:spacing w:line="276" w:lineRule="auto"/>
              <w:rPr>
                <w:rFonts w:ascii="Calibri" w:hAnsi="Calibri" w:eastAsia="Calibri" w:cs="Calibri"/>
                <w:color w:val="000000"/>
                <w:sz w:val="16"/>
                <w:szCs w:val="16"/>
              </w:rPr>
            </w:pPr>
          </w:p>
        </w:tc>
      </w:tr>
      <w:tr w:rsidR="00366C24">
        <w:trPr>
          <w:trHeight w:val="315"/>
        </w:trPr>
        <w:tc>
          <w:tcPr>
            <w:tcW w:w="3255" w:type="dxa"/>
            <w:tcBorders>
              <w:top w:val="nil"/>
              <w:left w:val="single" w:color="000000" w:sz="8" w:space="0"/>
              <w:bottom w:val="single" w:color="000000" w:sz="8" w:space="0"/>
              <w:right w:val="single" w:color="000000" w:sz="8" w:space="0"/>
            </w:tcBorders>
            <w:shd w:val="clear" w:color="auto" w:fill="auto"/>
            <w:vAlign w:val="center"/>
          </w:tcPr>
          <w:p w:rsidR="00366C24" w:rsidRDefault="00440E81">
            <w:pPr>
              <w:widowControl/>
              <w:rPr>
                <w:rFonts w:ascii="Calibri" w:hAnsi="Calibri" w:eastAsia="Calibri" w:cs="Calibri"/>
                <w:color w:val="000000"/>
                <w:sz w:val="16"/>
                <w:szCs w:val="16"/>
              </w:rPr>
            </w:pPr>
            <w:r>
              <w:rPr>
                <w:rFonts w:ascii="Calibri" w:hAnsi="Calibri" w:eastAsia="Calibri" w:cs="Calibri"/>
                <w:color w:val="000000"/>
                <w:sz w:val="16"/>
                <w:szCs w:val="16"/>
              </w:rPr>
              <w:t> </w:t>
            </w:r>
            <w:r w:rsidRPr="004C6A45" w:rsidR="004C6A45">
              <w:rPr>
                <w:rFonts w:ascii="Calibri" w:hAnsi="Calibri" w:eastAsia="Calibri" w:cs="Calibri"/>
                <w:color w:val="000000"/>
                <w:sz w:val="16"/>
                <w:szCs w:val="16"/>
              </w:rPr>
              <w:t>Documentation of Fish Harvest</w:t>
            </w:r>
          </w:p>
        </w:tc>
        <w:tc>
          <w:tcPr>
            <w:tcW w:w="810" w:type="dxa"/>
            <w:tcBorders>
              <w:top w:val="nil"/>
              <w:left w:val="nil"/>
              <w:bottom w:val="dotted" w:color="000000" w:sz="4" w:space="0"/>
              <w:right w:val="dashed" w:color="000000" w:sz="8" w:space="0"/>
            </w:tcBorders>
            <w:shd w:val="clear" w:color="auto" w:fill="auto"/>
            <w:vAlign w:val="center"/>
          </w:tcPr>
          <w:p w:rsidR="00366C24" w:rsidRDefault="00440E81">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4C6A45">
              <w:rPr>
                <w:rFonts w:ascii="Calibri" w:hAnsi="Calibri" w:eastAsia="Calibri" w:cs="Calibri"/>
                <w:color w:val="000000"/>
                <w:sz w:val="16"/>
                <w:szCs w:val="16"/>
              </w:rPr>
              <w:t>1648.08</w:t>
            </w:r>
          </w:p>
        </w:tc>
        <w:tc>
          <w:tcPr>
            <w:tcW w:w="810" w:type="dxa"/>
            <w:tcBorders>
              <w:top w:val="nil"/>
              <w:left w:val="nil"/>
              <w:bottom w:val="dotted" w:color="000000" w:sz="4" w:space="0"/>
              <w:right w:val="single" w:color="000000" w:sz="8" w:space="0"/>
            </w:tcBorders>
            <w:shd w:val="clear" w:color="auto" w:fill="auto"/>
            <w:vAlign w:val="center"/>
          </w:tcPr>
          <w:p w:rsidR="00366C24" w:rsidRDefault="00440E81">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4C6A45">
              <w:rPr>
                <w:rFonts w:ascii="Calibri" w:hAnsi="Calibri" w:eastAsia="Calibri" w:cs="Calibri"/>
                <w:color w:val="000000"/>
                <w:sz w:val="16"/>
                <w:szCs w:val="16"/>
              </w:rPr>
              <w:t>--</w:t>
            </w:r>
          </w:p>
        </w:tc>
        <w:tc>
          <w:tcPr>
            <w:tcW w:w="900" w:type="dxa"/>
            <w:tcBorders>
              <w:top w:val="nil"/>
              <w:left w:val="nil"/>
              <w:bottom w:val="dotted" w:color="000000" w:sz="4" w:space="0"/>
              <w:right w:val="dashed" w:color="000000" w:sz="8" w:space="0"/>
            </w:tcBorders>
            <w:shd w:val="clear" w:color="auto" w:fill="auto"/>
            <w:vAlign w:val="center"/>
          </w:tcPr>
          <w:p w:rsidR="00366C24" w:rsidRDefault="00440E81">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860" w:type="dxa"/>
            <w:tcBorders>
              <w:top w:val="nil"/>
              <w:left w:val="nil"/>
              <w:bottom w:val="dotted" w:color="000000" w:sz="4" w:space="0"/>
              <w:right w:val="single" w:color="000000" w:sz="8" w:space="0"/>
            </w:tcBorders>
            <w:shd w:val="clear" w:color="auto" w:fill="auto"/>
            <w:vAlign w:val="center"/>
          </w:tcPr>
          <w:p w:rsidR="00366C24" w:rsidRDefault="00440E81">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6520" w:type="dxa"/>
            <w:tcBorders>
              <w:top w:val="nil"/>
              <w:left w:val="nil"/>
              <w:bottom w:val="dotted" w:color="000000" w:sz="4" w:space="0"/>
              <w:right w:val="single" w:color="000000" w:sz="8" w:space="0"/>
            </w:tcBorders>
            <w:shd w:val="clear" w:color="auto" w:fill="auto"/>
            <w:vAlign w:val="center"/>
          </w:tcPr>
          <w:p w:rsidR="00366C24" w:rsidP="004C6A45" w:rsidRDefault="00440E81">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4C6A45">
              <w:rPr>
                <w:rFonts w:ascii="Calibri" w:hAnsi="Calibri" w:eastAsia="Calibri" w:cs="Calibri"/>
                <w:color w:val="000000"/>
                <w:sz w:val="16"/>
                <w:szCs w:val="16"/>
              </w:rPr>
              <w:t>Labor costs not estimated previously.</w:t>
            </w:r>
          </w:p>
        </w:tc>
      </w:tr>
      <w:tr w:rsidR="00366C24">
        <w:trPr>
          <w:trHeight w:val="465"/>
        </w:trPr>
        <w:tc>
          <w:tcPr>
            <w:tcW w:w="3255" w:type="dxa"/>
            <w:tcBorders>
              <w:top w:val="nil"/>
              <w:left w:val="single" w:color="000000" w:sz="8" w:space="0"/>
              <w:bottom w:val="nil"/>
              <w:right w:val="single" w:color="000000" w:sz="8" w:space="0"/>
            </w:tcBorders>
            <w:shd w:val="clear" w:color="auto" w:fill="BDD6EE"/>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810" w:type="dxa"/>
            <w:tcBorders>
              <w:top w:val="nil"/>
              <w:left w:val="nil"/>
              <w:bottom w:val="nil"/>
              <w:right w:val="dashed" w:color="000000" w:sz="8" w:space="0"/>
            </w:tcBorders>
            <w:shd w:val="clear" w:color="auto" w:fill="BDD6EE"/>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810" w:type="dxa"/>
            <w:tcBorders>
              <w:top w:val="nil"/>
              <w:left w:val="nil"/>
              <w:bottom w:val="nil"/>
              <w:right w:val="single" w:color="000000" w:sz="8" w:space="0"/>
            </w:tcBorders>
            <w:shd w:val="clear" w:color="auto" w:fill="BDD6EE"/>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900" w:type="dxa"/>
            <w:tcBorders>
              <w:top w:val="nil"/>
              <w:left w:val="nil"/>
              <w:bottom w:val="nil"/>
              <w:right w:val="dashed" w:color="000000" w:sz="8" w:space="0"/>
            </w:tcBorders>
            <w:shd w:val="clear" w:color="auto" w:fill="BDD6EE"/>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860" w:type="dxa"/>
            <w:tcBorders>
              <w:top w:val="nil"/>
              <w:left w:val="nil"/>
              <w:bottom w:val="nil"/>
              <w:right w:val="single" w:color="000000" w:sz="8" w:space="0"/>
            </w:tcBorders>
            <w:shd w:val="clear" w:color="auto" w:fill="BDD6EE"/>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6520" w:type="dxa"/>
            <w:tcBorders>
              <w:top w:val="nil"/>
              <w:left w:val="nil"/>
              <w:bottom w:val="nil"/>
              <w:right w:val="single" w:color="000000" w:sz="8" w:space="0"/>
            </w:tcBorders>
            <w:shd w:val="clear" w:color="auto" w:fill="000000"/>
            <w:vAlign w:val="center"/>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366C24">
        <w:trPr>
          <w:trHeight w:val="315"/>
        </w:trPr>
        <w:tc>
          <w:tcPr>
            <w:tcW w:w="3255" w:type="dxa"/>
            <w:tcBorders>
              <w:top w:val="single" w:color="000000" w:sz="8" w:space="0"/>
              <w:left w:val="single" w:color="000000" w:sz="8" w:space="0"/>
              <w:bottom w:val="single" w:color="000000" w:sz="8" w:space="0"/>
              <w:right w:val="nil"/>
            </w:tcBorders>
            <w:shd w:val="clear" w:color="auto" w:fill="FCE4D6"/>
            <w:vAlign w:val="bottom"/>
          </w:tcPr>
          <w:p w:rsidR="00366C24" w:rsidRDefault="00440E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62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366C24" w:rsidRDefault="00E30ED0">
            <w:pPr>
              <w:widowControl/>
              <w:jc w:val="center"/>
              <w:rPr>
                <w:rFonts w:ascii="Calibri" w:hAnsi="Calibri" w:eastAsia="Calibri" w:cs="Calibri"/>
                <w:color w:val="000000"/>
              </w:rPr>
            </w:pPr>
            <w:r>
              <w:rPr>
                <w:rFonts w:ascii="Calibri" w:hAnsi="Calibri" w:eastAsia="Calibri" w:cs="Calibri"/>
                <w:color w:val="000000"/>
              </w:rPr>
              <w:t>1648.08</w:t>
            </w:r>
            <w:r w:rsidR="00440E81">
              <w:rPr>
                <w:rFonts w:ascii="Calibri" w:hAnsi="Calibri" w:eastAsia="Calibri" w:cs="Calibri"/>
                <w:color w:val="000000"/>
              </w:rPr>
              <w:t> </w:t>
            </w:r>
          </w:p>
        </w:tc>
        <w:tc>
          <w:tcPr>
            <w:tcW w:w="1760" w:type="dxa"/>
            <w:gridSpan w:val="2"/>
            <w:tcBorders>
              <w:top w:val="single" w:color="000000" w:sz="8" w:space="0"/>
              <w:left w:val="nil"/>
              <w:bottom w:val="single" w:color="000000" w:sz="8" w:space="0"/>
              <w:right w:val="single" w:color="000000" w:sz="4" w:space="0"/>
            </w:tcBorders>
            <w:shd w:val="clear" w:color="auto" w:fill="FCE4D6"/>
            <w:vAlign w:val="bottom"/>
          </w:tcPr>
          <w:p w:rsidR="00366C24" w:rsidRDefault="00440E81">
            <w:pPr>
              <w:widowControl/>
              <w:jc w:val="center"/>
              <w:rPr>
                <w:rFonts w:ascii="Calibri" w:hAnsi="Calibri" w:eastAsia="Calibri" w:cs="Calibri"/>
                <w:color w:val="000000"/>
              </w:rPr>
            </w:pPr>
            <w:r>
              <w:rPr>
                <w:rFonts w:ascii="Calibri" w:hAnsi="Calibri" w:eastAsia="Calibri" w:cs="Calibri"/>
                <w:color w:val="000000"/>
              </w:rPr>
              <w:t> </w:t>
            </w:r>
          </w:p>
        </w:tc>
        <w:tc>
          <w:tcPr>
            <w:tcW w:w="6520" w:type="dxa"/>
            <w:tcBorders>
              <w:top w:val="single" w:color="000000" w:sz="8" w:space="0"/>
              <w:left w:val="nil"/>
              <w:bottom w:val="single" w:color="000000" w:sz="8" w:space="0"/>
              <w:right w:val="single" w:color="000000" w:sz="8" w:space="0"/>
            </w:tcBorders>
            <w:shd w:val="clear" w:color="auto" w:fill="000000"/>
            <w:vAlign w:val="bottom"/>
          </w:tcPr>
          <w:p w:rsidR="00366C24" w:rsidRDefault="00440E81">
            <w:pPr>
              <w:widowControl/>
              <w:rPr>
                <w:rFonts w:ascii="Calibri" w:hAnsi="Calibri" w:eastAsia="Calibri" w:cs="Calibri"/>
                <w:color w:val="000000"/>
              </w:rPr>
            </w:pPr>
            <w:r>
              <w:rPr>
                <w:rFonts w:ascii="Calibri" w:hAnsi="Calibri" w:eastAsia="Calibri" w:cs="Calibri"/>
                <w:color w:val="000000"/>
              </w:rPr>
              <w:t> </w:t>
            </w:r>
          </w:p>
        </w:tc>
      </w:tr>
    </w:tbl>
    <w:p w:rsidR="00366C24" w:rsidRDefault="00366C24">
      <w:pPr>
        <w:pBdr>
          <w:top w:val="nil"/>
          <w:left w:val="nil"/>
          <w:bottom w:val="nil"/>
          <w:right w:val="nil"/>
          <w:between w:val="nil"/>
        </w:pBdr>
        <w:spacing w:before="7"/>
        <w:rPr>
          <w:b/>
          <w:color w:val="000000"/>
        </w:rPr>
      </w:pPr>
    </w:p>
    <w:p w:rsidR="00366C24" w:rsidRDefault="00366C24">
      <w:pPr>
        <w:pBdr>
          <w:top w:val="nil"/>
          <w:left w:val="nil"/>
          <w:bottom w:val="nil"/>
          <w:right w:val="nil"/>
          <w:between w:val="nil"/>
        </w:pBdr>
        <w:spacing w:before="7"/>
        <w:rPr>
          <w:b/>
          <w:color w:val="000000"/>
        </w:rPr>
        <w:sectPr w:rsidR="00366C24" w:rsidSect="001F4769">
          <w:pgSz w:w="15840" w:h="12240" w:orient="landscape"/>
          <w:pgMar w:top="1200" w:right="1080" w:bottom="640" w:left="1080" w:header="0" w:footer="1014" w:gutter="0"/>
          <w:cols w:space="720"/>
          <w:docGrid w:linePitch="326"/>
        </w:sectPr>
      </w:pPr>
    </w:p>
    <w:p w:rsidR="00366C24" w:rsidRDefault="00366C24">
      <w:pPr>
        <w:pBdr>
          <w:top w:val="nil"/>
          <w:left w:val="nil"/>
          <w:bottom w:val="nil"/>
          <w:right w:val="nil"/>
          <w:between w:val="nil"/>
        </w:pBdr>
        <w:spacing w:before="7"/>
        <w:rPr>
          <w:b/>
          <w:color w:val="000000"/>
        </w:rPr>
      </w:pPr>
    </w:p>
    <w:p w:rsidR="00366C24" w:rsidRDefault="00440E8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6DEC" w:rsidRDefault="00466DEC">
      <w:pPr>
        <w:pBdr>
          <w:top w:val="nil"/>
          <w:left w:val="nil"/>
          <w:bottom w:val="nil"/>
          <w:right w:val="nil"/>
          <w:between w:val="nil"/>
        </w:pBdr>
        <w:spacing w:before="160"/>
        <w:rPr>
          <w:color w:val="2F5496"/>
        </w:rPr>
      </w:pPr>
    </w:p>
    <w:p w:rsidRPr="00681EE4" w:rsidR="00466DEC" w:rsidP="00466DEC" w:rsidRDefault="00466DEC">
      <w:pPr>
        <w:widowControl/>
      </w:pPr>
      <w:r w:rsidRPr="00681EE4">
        <w:t>No formal publication based on th</w:t>
      </w:r>
      <w:r>
        <w:t>is</w:t>
      </w:r>
      <w:r w:rsidRPr="00681EE4">
        <w:t xml:space="preserve"> collection </w:t>
      </w:r>
      <w:r>
        <w:t>is</w:t>
      </w:r>
      <w:r w:rsidRPr="00681EE4">
        <w:t xml:space="preserve"> planned.</w:t>
      </w:r>
    </w:p>
    <w:p w:rsidR="00466DEC" w:rsidRDefault="00466DEC">
      <w:pPr>
        <w:pBdr>
          <w:top w:val="nil"/>
          <w:left w:val="nil"/>
          <w:bottom w:val="nil"/>
          <w:right w:val="nil"/>
          <w:between w:val="nil"/>
        </w:pBdr>
        <w:spacing w:before="160"/>
        <w:rPr>
          <w:color w:val="2F5496"/>
        </w:rPr>
      </w:pPr>
    </w:p>
    <w:p w:rsidR="00366C24" w:rsidRDefault="00440E8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466DEC" w:rsidRDefault="00466DEC">
      <w:pPr>
        <w:pBdr>
          <w:top w:val="nil"/>
          <w:left w:val="nil"/>
          <w:bottom w:val="nil"/>
          <w:right w:val="nil"/>
          <w:between w:val="nil"/>
        </w:pBdr>
        <w:spacing w:before="161"/>
        <w:rPr>
          <w:color w:val="2F5496"/>
        </w:rPr>
      </w:pPr>
    </w:p>
    <w:p w:rsidRPr="00681EE4" w:rsidR="00466DEC" w:rsidP="00466DEC" w:rsidRDefault="00466DEC">
      <w:pPr>
        <w:widowControl/>
      </w:pPr>
      <w:r w:rsidRPr="00681EE4">
        <w:t>Not applicable.</w:t>
      </w:r>
      <w:r>
        <w:t xml:space="preserve"> There is no form or other medium to display an expiration date.</w:t>
      </w:r>
    </w:p>
    <w:p w:rsidR="00366C24" w:rsidRDefault="00366C24">
      <w:pPr>
        <w:spacing w:before="161"/>
        <w:rPr>
          <w:i/>
        </w:rPr>
      </w:pPr>
    </w:p>
    <w:p w:rsidR="00366C24" w:rsidRDefault="00440E8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366C24" w:rsidRDefault="00440E81">
      <w:pPr>
        <w:spacing w:before="221" w:line="259" w:lineRule="auto"/>
        <w:jc w:val="both"/>
      </w:pPr>
      <w:r>
        <w:t xml:space="preserve">The agency certifies compliance with </w:t>
      </w:r>
      <w:hyperlink r:id="rId14">
        <w:r>
          <w:rPr>
            <w:color w:val="0563C1"/>
            <w:u w:val="single"/>
          </w:rPr>
          <w:t>5 CFR 1320.9</w:t>
        </w:r>
      </w:hyperlink>
      <w:hyperlink r:id="rId15">
        <w:r>
          <w:rPr>
            <w:color w:val="0563C1"/>
          </w:rPr>
          <w:t xml:space="preserve"> </w:t>
        </w:r>
      </w:hyperlink>
      <w:r>
        <w:t xml:space="preserve">and the related provisions of </w:t>
      </w:r>
      <w:hyperlink r:id="rId16">
        <w:r>
          <w:rPr>
            <w:color w:val="0563C1"/>
            <w:u w:val="single"/>
          </w:rPr>
          <w:t>5 CFR</w:t>
        </w:r>
      </w:hyperlink>
      <w:r>
        <w:rPr>
          <w:color w:val="0563C1"/>
        </w:rPr>
        <w:t xml:space="preserve"> </w:t>
      </w:r>
      <w:hyperlink r:id="rId17">
        <w:r>
          <w:rPr>
            <w:color w:val="0563C1"/>
            <w:u w:val="single"/>
          </w:rPr>
          <w:t>1320.8(b)(3)</w:t>
        </w:r>
      </w:hyperlink>
      <w:r>
        <w:t>.</w:t>
      </w:r>
    </w:p>
    <w:sectPr w:rsidR="00366C24">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E81" w:rsidRDefault="00440E81">
      <w:r>
        <w:separator/>
      </w:r>
    </w:p>
  </w:endnote>
  <w:endnote w:type="continuationSeparator" w:id="0">
    <w:p w:rsidR="00440E81" w:rsidRDefault="0044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210516"/>
      <w:docPartObj>
        <w:docPartGallery w:val="Page Numbers (Bottom of Page)"/>
        <w:docPartUnique/>
      </w:docPartObj>
    </w:sdtPr>
    <w:sdtEndPr>
      <w:rPr>
        <w:noProof/>
      </w:rPr>
    </w:sdtEndPr>
    <w:sdtContent>
      <w:p w:rsidR="00440E81" w:rsidRDefault="00440E81">
        <w:pPr>
          <w:pStyle w:val="Footer"/>
          <w:jc w:val="center"/>
        </w:pPr>
        <w:r>
          <w:fldChar w:fldCharType="begin"/>
        </w:r>
        <w:r>
          <w:instrText xml:space="preserve"> PAGE   \* MERGEFORMAT </w:instrText>
        </w:r>
        <w:r>
          <w:fldChar w:fldCharType="separate"/>
        </w:r>
        <w:r w:rsidR="00BF5712">
          <w:rPr>
            <w:noProof/>
          </w:rPr>
          <w:t>7</w:t>
        </w:r>
        <w:r>
          <w:rPr>
            <w:noProof/>
          </w:rPr>
          <w:fldChar w:fldCharType="end"/>
        </w:r>
      </w:p>
    </w:sdtContent>
  </w:sdt>
  <w:p w:rsidR="00440E81" w:rsidRDefault="00440E81">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E81" w:rsidRDefault="00440E81">
      <w:r>
        <w:separator/>
      </w:r>
    </w:p>
  </w:footnote>
  <w:footnote w:type="continuationSeparator" w:id="0">
    <w:p w:rsidR="00440E81" w:rsidRDefault="00440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12F3"/>
    <w:multiLevelType w:val="multilevel"/>
    <w:tmpl w:val="56C064F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 w15:restartNumberingAfterBreak="0">
    <w:nsid w:val="128248BC"/>
    <w:multiLevelType w:val="multilevel"/>
    <w:tmpl w:val="33EAE61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15:restartNumberingAfterBreak="0">
    <w:nsid w:val="13E27E3E"/>
    <w:multiLevelType w:val="multilevel"/>
    <w:tmpl w:val="BA8AC5A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 w15:restartNumberingAfterBreak="0">
    <w:nsid w:val="2AF07354"/>
    <w:multiLevelType w:val="multilevel"/>
    <w:tmpl w:val="7552360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15:restartNumberingAfterBreak="0">
    <w:nsid w:val="387C3BDF"/>
    <w:multiLevelType w:val="multilevel"/>
    <w:tmpl w:val="2356E24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15:restartNumberingAfterBreak="0">
    <w:nsid w:val="3A5F7D20"/>
    <w:multiLevelType w:val="multilevel"/>
    <w:tmpl w:val="33F81F96"/>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6" w15:restartNumberingAfterBreak="0">
    <w:nsid w:val="468476A6"/>
    <w:multiLevelType w:val="multilevel"/>
    <w:tmpl w:val="19AC551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15:restartNumberingAfterBreak="0">
    <w:nsid w:val="481D446C"/>
    <w:multiLevelType w:val="multilevel"/>
    <w:tmpl w:val="6A86332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15:restartNumberingAfterBreak="0">
    <w:nsid w:val="4B4A14A4"/>
    <w:multiLevelType w:val="multilevel"/>
    <w:tmpl w:val="27E25584"/>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9" w15:restartNumberingAfterBreak="0">
    <w:nsid w:val="5B050F5B"/>
    <w:multiLevelType w:val="hybridMultilevel"/>
    <w:tmpl w:val="A1BE90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6A471D"/>
    <w:multiLevelType w:val="multilevel"/>
    <w:tmpl w:val="0290B0D0"/>
    <w:lvl w:ilvl="0">
      <w:start w:val="1"/>
      <w:numFmt w:val="decimal"/>
      <w:lvlText w:val="%1."/>
      <w:lvlJc w:val="left"/>
      <w:pPr>
        <w:ind w:left="400" w:hanging="269"/>
      </w:pPr>
      <w:rPr>
        <w:rFonts w:ascii="Times New Roman" w:eastAsia="Arial" w:hAnsi="Times New Roman" w:cs="Times New Roman" w:hint="default"/>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1" w15:restartNumberingAfterBreak="0">
    <w:nsid w:val="61C920DD"/>
    <w:multiLevelType w:val="multilevel"/>
    <w:tmpl w:val="CB50360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num w:numId="1">
    <w:abstractNumId w:val="11"/>
  </w:num>
  <w:num w:numId="2">
    <w:abstractNumId w:val="0"/>
  </w:num>
  <w:num w:numId="3">
    <w:abstractNumId w:val="10"/>
  </w:num>
  <w:num w:numId="4">
    <w:abstractNumId w:val="1"/>
  </w:num>
  <w:num w:numId="5">
    <w:abstractNumId w:val="6"/>
  </w:num>
  <w:num w:numId="6">
    <w:abstractNumId w:val="3"/>
  </w:num>
  <w:num w:numId="7">
    <w:abstractNumId w:val="7"/>
  </w:num>
  <w:num w:numId="8">
    <w:abstractNumId w:val="4"/>
  </w:num>
  <w:num w:numId="9">
    <w:abstractNumId w:val="8"/>
  </w:num>
  <w:num w:numId="10">
    <w:abstractNumId w:val="2"/>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24"/>
    <w:rsid w:val="000571D1"/>
    <w:rsid w:val="000E0023"/>
    <w:rsid w:val="00196CEE"/>
    <w:rsid w:val="001F4769"/>
    <w:rsid w:val="00246136"/>
    <w:rsid w:val="002F230C"/>
    <w:rsid w:val="00366C24"/>
    <w:rsid w:val="00440E81"/>
    <w:rsid w:val="00466DEC"/>
    <w:rsid w:val="004B2E1F"/>
    <w:rsid w:val="004C6A45"/>
    <w:rsid w:val="0051189C"/>
    <w:rsid w:val="005D14B3"/>
    <w:rsid w:val="006242F9"/>
    <w:rsid w:val="00675ED5"/>
    <w:rsid w:val="007535A3"/>
    <w:rsid w:val="007737CB"/>
    <w:rsid w:val="007A551E"/>
    <w:rsid w:val="007B59C5"/>
    <w:rsid w:val="00823EA6"/>
    <w:rsid w:val="008B1CF1"/>
    <w:rsid w:val="009D633C"/>
    <w:rsid w:val="00AD53F9"/>
    <w:rsid w:val="00B36A76"/>
    <w:rsid w:val="00B410CC"/>
    <w:rsid w:val="00BF5712"/>
    <w:rsid w:val="00C20811"/>
    <w:rsid w:val="00C90707"/>
    <w:rsid w:val="00D66D1F"/>
    <w:rsid w:val="00E3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8CBEA6"/>
  <w15:docId w15:val="{DC393833-E4EE-4243-9E38-F38DA5CA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038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osec.doc.gov/opog/PrivacyAct/SORNs/noaa-19.html"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customXml" Target="../customXml/item2.xml"/><Relationship Id="rId16"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hyperlink" Target="http://www.gpo.gov/fdsys/pkg/CFR-2014-title5-vol3/pdf/CFR-2014-title5-vol3-sec1320-9.pdf" TargetMode="External"/><Relationship Id="rId10" Type="http://schemas.openxmlformats.org/officeDocument/2006/relationships/hyperlink" Target="https://www.ecfr.gov/cgi-bin/text-idx?SID=62f6a8ed1ddedd0839331b06f6367b24&amp;mc=true&amp;node=sp50.11.300.k&amp;rgn=div6"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cfr.federalregister.gov/current/title-50/chapter-VI/part-622/subpart-I/section-622.192" TargetMode="External"/><Relationship Id="rId14"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0092FF3-7B11-4A9B-A837-FA93EDAA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2127</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Paper pusher 655321</dc:creator>
  <cp:lastModifiedBy>Adrienne.Thomas</cp:lastModifiedBy>
  <cp:revision>7</cp:revision>
  <dcterms:created xsi:type="dcterms:W3CDTF">2021-09-08T18:47:00Z</dcterms:created>
  <dcterms:modified xsi:type="dcterms:W3CDTF">2021-09-08T21:01:00Z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