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BDC" w:rsidRDefault="005F7BDC">
      <w:pPr>
        <w:jc w:val="center"/>
        <w:rPr>
          <w:b/>
        </w:rPr>
      </w:pPr>
      <w:r>
        <w:rPr>
          <w:lang w:val="en-CA"/>
        </w:rPr>
        <w:fldChar w:fldCharType="begin"/>
      </w:r>
      <w:r>
        <w:rPr>
          <w:lang w:val="en-CA"/>
        </w:rPr>
        <w:instrText xml:space="preserve"> SEQ CHAPTER \h \r 1</w:instrText>
      </w:r>
      <w:r>
        <w:rPr>
          <w:lang w:val="en-CA"/>
        </w:rPr>
        <w:fldChar w:fldCharType="end"/>
      </w:r>
      <w:r w:rsidR="00FD7344">
        <w:rPr>
          <w:b/>
        </w:rPr>
        <w:t>SUPPORTING STATEMENT</w:t>
      </w:r>
    </w:p>
    <w:p w:rsidRPr="0091150B" w:rsidR="0091150B" w:rsidP="0091150B" w:rsidRDefault="0091150B">
      <w:pPr>
        <w:spacing w:before="22"/>
        <w:ind w:firstLine="14"/>
        <w:jc w:val="center"/>
        <w:rPr>
          <w:szCs w:val="24"/>
        </w:rPr>
      </w:pPr>
      <w:r w:rsidRPr="0091150B">
        <w:rPr>
          <w:b/>
          <w:bCs/>
          <w:color w:val="000000"/>
          <w:szCs w:val="24"/>
        </w:rPr>
        <w:t>U.S. Department of Commerce</w:t>
      </w:r>
    </w:p>
    <w:p w:rsidRPr="0091150B" w:rsidR="0091150B" w:rsidP="0091150B" w:rsidRDefault="0091150B">
      <w:pPr>
        <w:spacing w:before="22"/>
        <w:ind w:firstLine="14"/>
        <w:jc w:val="center"/>
        <w:rPr>
          <w:szCs w:val="24"/>
        </w:rPr>
      </w:pPr>
      <w:r w:rsidRPr="0091150B">
        <w:rPr>
          <w:b/>
          <w:bCs/>
          <w:color w:val="000000"/>
          <w:szCs w:val="24"/>
        </w:rPr>
        <w:t>National Oceanic &amp; Atmospheric Administration</w:t>
      </w:r>
    </w:p>
    <w:p w:rsidR="0091150B" w:rsidRDefault="005E4DAE">
      <w:pPr>
        <w:jc w:val="center"/>
        <w:rPr>
          <w:b/>
        </w:rPr>
      </w:pPr>
      <w:r>
        <w:rPr>
          <w:b/>
        </w:rPr>
        <w:t>Highly Migratory Species Permit Family of Forms</w:t>
      </w:r>
    </w:p>
    <w:p w:rsidR="005F7BDC" w:rsidRDefault="00FD7344">
      <w:pPr>
        <w:jc w:val="center"/>
        <w:rPr>
          <w:b/>
        </w:rPr>
      </w:pPr>
      <w:r>
        <w:rPr>
          <w:b/>
        </w:rPr>
        <w:t>OMB CONTROL NO. 0648-0327</w:t>
      </w:r>
    </w:p>
    <w:p w:rsidR="005F7BDC" w:rsidP="00FD7344" w:rsidRDefault="005F7BDC">
      <w:pPr>
        <w:rPr>
          <w:b/>
        </w:rPr>
      </w:pPr>
    </w:p>
    <w:p w:rsidR="005F7BDC" w:rsidRDefault="005F7BDC"/>
    <w:p w:rsidR="005F7BDC" w:rsidRDefault="00760ADF">
      <w:r>
        <w:rPr>
          <w:b/>
        </w:rPr>
        <w:t>Abstract</w:t>
      </w:r>
    </w:p>
    <w:p w:rsidR="005F7BDC" w:rsidRDefault="005F7BDC"/>
    <w:p w:rsidR="00DA43B0" w:rsidRDefault="005F7BDC">
      <w:r>
        <w:t xml:space="preserve">This request </w:t>
      </w:r>
      <w:r w:rsidR="00EC0342">
        <w:t xml:space="preserve">is </w:t>
      </w:r>
      <w:r w:rsidR="00DA43B0">
        <w:t>for</w:t>
      </w:r>
      <w:r>
        <w:t xml:space="preserve"> </w:t>
      </w:r>
      <w:r w:rsidR="005E4DAE">
        <w:t xml:space="preserve">the </w:t>
      </w:r>
      <w:r w:rsidR="00D537E4">
        <w:t>revision</w:t>
      </w:r>
      <w:r w:rsidR="005E4DAE">
        <w:t xml:space="preserve"> and</w:t>
      </w:r>
      <w:r w:rsidR="008A455A">
        <w:t xml:space="preserve"> extension</w:t>
      </w:r>
      <w:r w:rsidR="00DA43B0">
        <w:t xml:space="preserve"> of a current</w:t>
      </w:r>
      <w:r>
        <w:t xml:space="preserve"> information co</w:t>
      </w:r>
      <w:r w:rsidR="00DA43B0">
        <w:t>llection</w:t>
      </w:r>
      <w:r w:rsidRPr="00F02B58" w:rsidR="00FD7344">
        <w:t>.</w:t>
      </w:r>
      <w:r w:rsidR="00D537E4">
        <w:t xml:space="preserve">  This collection is being revised to remove </w:t>
      </w:r>
      <w:r w:rsidR="00605739">
        <w:t xml:space="preserve">Atlantic tuna </w:t>
      </w:r>
      <w:r w:rsidR="00D537E4">
        <w:t xml:space="preserve">dealer permits as it was discovered that the burden for those permits is being captured under OMB Control Number 0648-0202.  </w:t>
      </w:r>
    </w:p>
    <w:p w:rsidR="00DA43B0" w:rsidRDefault="00DA43B0"/>
    <w:p w:rsidR="00461DC0" w:rsidRDefault="005F7BDC">
      <w:pPr>
        <w:rPr>
          <w:szCs w:val="24"/>
        </w:rPr>
      </w:pPr>
      <w:r>
        <w:t>Th</w:t>
      </w:r>
      <w:r w:rsidR="00D537E4">
        <w:t>e collection consists of vessel</w:t>
      </w:r>
      <w:r w:rsidR="00E03080">
        <w:t xml:space="preserve"> permits</w:t>
      </w:r>
      <w:r w:rsidR="00BB63EB">
        <w:t>,</w:t>
      </w:r>
      <w:r>
        <w:t xml:space="preserve"> which are part of the National Marine Fisheries Service (NMFS) program to manage Atlantic highly migratory species (HMS) including tuna</w:t>
      </w:r>
      <w:r w:rsidR="00026E05">
        <w:t>s</w:t>
      </w:r>
      <w:r>
        <w:t>, billfish, sharks, and swordfish.</w:t>
      </w:r>
      <w:r w:rsidR="00E036C4">
        <w:t xml:space="preserve"> </w:t>
      </w:r>
      <w:r w:rsidR="00DA43B0">
        <w:t xml:space="preserve">The HMS fishery management program is implemented under the </w:t>
      </w:r>
      <w:hyperlink w:history="1" r:id="rId8">
        <w:r w:rsidRPr="00A879BB" w:rsidR="00DA43B0">
          <w:rPr>
            <w:rStyle w:val="Hyperlink"/>
          </w:rPr>
          <w:t>Atlantic Tunas Convention Act</w:t>
        </w:r>
      </w:hyperlink>
      <w:r w:rsidR="00DA43B0">
        <w:t xml:space="preserve"> </w:t>
      </w:r>
      <w:r w:rsidR="0083126E">
        <w:t xml:space="preserve">(ATCA) </w:t>
      </w:r>
      <w:r w:rsidR="00DA43B0">
        <w:t>(16 U.S.C. 971)</w:t>
      </w:r>
      <w:r w:rsidR="004863B6">
        <w:t xml:space="preserve"> and</w:t>
      </w:r>
      <w:r w:rsidR="0083126E">
        <w:t xml:space="preserve"> the</w:t>
      </w:r>
      <w:r w:rsidR="00DA43B0">
        <w:t xml:space="preserve"> </w:t>
      </w:r>
      <w:hyperlink w:history="1" r:id="rId9">
        <w:r w:rsidRPr="00A879BB" w:rsidR="00DA43B0">
          <w:rPr>
            <w:rStyle w:val="Hyperlink"/>
          </w:rPr>
          <w:t>Magnuson-Stevens Fishery Conservation and Management Act</w:t>
        </w:r>
      </w:hyperlink>
      <w:r w:rsidRPr="00A879BB" w:rsidR="00181D9E">
        <w:t xml:space="preserve"> (</w:t>
      </w:r>
      <w:r w:rsidR="00181D9E">
        <w:t>MSA)</w:t>
      </w:r>
      <w:r w:rsidR="00DA43B0">
        <w:t xml:space="preserve"> (16 U.S.C. 1801), </w:t>
      </w:r>
      <w:r w:rsidR="004863B6">
        <w:t xml:space="preserve">through </w:t>
      </w:r>
      <w:r w:rsidR="00DA43B0">
        <w:t xml:space="preserve">the 2006 Consolidated </w:t>
      </w:r>
      <w:r w:rsidR="00FD7366">
        <w:t xml:space="preserve">Atlantic </w:t>
      </w:r>
      <w:r w:rsidR="00DA43B0">
        <w:t xml:space="preserve">HMS Fishery Management Plan </w:t>
      </w:r>
      <w:r w:rsidR="00395372">
        <w:t xml:space="preserve">(FMP) </w:t>
      </w:r>
      <w:r w:rsidR="00DA43B0">
        <w:t xml:space="preserve">and </w:t>
      </w:r>
      <w:r w:rsidR="004863B6">
        <w:t xml:space="preserve">implementing </w:t>
      </w:r>
      <w:r w:rsidR="00DA43B0">
        <w:t xml:space="preserve">regulations at </w:t>
      </w:r>
      <w:hyperlink w:history="1" r:id="rId10">
        <w:r w:rsidRPr="00A879BB" w:rsidR="00DA43B0">
          <w:rPr>
            <w:rStyle w:val="Hyperlink"/>
          </w:rPr>
          <w:t>50 CFR part 635</w:t>
        </w:r>
      </w:hyperlink>
      <w:r w:rsidR="00FD7344">
        <w:t>.</w:t>
      </w:r>
      <w:r w:rsidR="00E036C4">
        <w:t xml:space="preserve"> </w:t>
      </w:r>
    </w:p>
    <w:p w:rsidR="00615B44" w:rsidRDefault="00615B44"/>
    <w:p w:rsidR="00483FEE" w:rsidRDefault="0083126E">
      <w:r w:rsidRPr="003516BD">
        <w:t xml:space="preserve">NMFS </w:t>
      </w:r>
      <w:r>
        <w:t xml:space="preserve">issues </w:t>
      </w:r>
      <w:r w:rsidRPr="003516BD">
        <w:t>permits</w:t>
      </w:r>
      <w:r>
        <w:t xml:space="preserve"> to</w:t>
      </w:r>
      <w:r w:rsidRPr="003516BD">
        <w:t xml:space="preserve"> fishing vessels in order to collect information necessary to comply with domestic and international obligations, secure compliance with regulations, and disseminate necessary information.</w:t>
      </w:r>
      <w:r w:rsidR="00E036C4">
        <w:t xml:space="preserve"> </w:t>
      </w:r>
      <w:r>
        <w:t>R</w:t>
      </w:r>
      <w:r w:rsidRPr="003516BD">
        <w:t xml:space="preserve">egulations at 50 CFR 635.4 require that vessels participating in commercial and recreational fisheries for </w:t>
      </w:r>
      <w:r>
        <w:t xml:space="preserve">Atlantic HMS obtain a Federal permit issued by </w:t>
      </w:r>
      <w:r w:rsidRPr="003516BD">
        <w:t>NMFS.</w:t>
      </w:r>
      <w:r w:rsidR="00E036C4">
        <w:t xml:space="preserve"> </w:t>
      </w:r>
      <w:r>
        <w:t>Vessel permits include</w:t>
      </w:r>
      <w:r w:rsidRPr="003516BD">
        <w:t xml:space="preserve"> Atlantic </w:t>
      </w:r>
      <w:r>
        <w:t>T</w:t>
      </w:r>
      <w:r w:rsidRPr="003516BD">
        <w:t>u</w:t>
      </w:r>
      <w:r>
        <w:t xml:space="preserve">nas </w:t>
      </w:r>
      <w:r w:rsidR="004863B6">
        <w:t xml:space="preserve">permits (General, Harpoon, and Purse Seine), not including </w:t>
      </w:r>
      <w:r>
        <w:t>Longline permits, which are approved under OMB Control No. 0648-0205</w:t>
      </w:r>
      <w:r w:rsidR="004863B6">
        <w:t>;</w:t>
      </w:r>
      <w:r>
        <w:t xml:space="preserve"> HMS Charter/Headboat</w:t>
      </w:r>
      <w:r w:rsidR="004863B6">
        <w:t>;</w:t>
      </w:r>
      <w:r w:rsidR="00B835CF">
        <w:t xml:space="preserve"> </w:t>
      </w:r>
      <w:r w:rsidRPr="003516BD">
        <w:t xml:space="preserve">HMS </w:t>
      </w:r>
      <w:r>
        <w:t>A</w:t>
      </w:r>
      <w:r w:rsidRPr="003516BD">
        <w:t>ngling</w:t>
      </w:r>
      <w:r w:rsidR="004863B6">
        <w:t>;</w:t>
      </w:r>
      <w:r w:rsidRPr="003516BD">
        <w:t xml:space="preserve"> </w:t>
      </w:r>
      <w:r w:rsidR="006505A3">
        <w:t xml:space="preserve">and </w:t>
      </w:r>
      <w:r>
        <w:t>S</w:t>
      </w:r>
      <w:r w:rsidRPr="003516BD">
        <w:t>wordfish</w:t>
      </w:r>
      <w:r>
        <w:t xml:space="preserve"> General Commercial</w:t>
      </w:r>
      <w:r w:rsidRPr="006278C1">
        <w:t xml:space="preserve"> permits</w:t>
      </w:r>
      <w:r w:rsidR="000E1596">
        <w:t>.</w:t>
      </w:r>
      <w:r w:rsidR="00E036C4">
        <w:t xml:space="preserve"> </w:t>
      </w:r>
    </w:p>
    <w:p w:rsidR="008A5108" w:rsidRDefault="008A5108"/>
    <w:p w:rsidR="008A5108" w:rsidP="008A5108" w:rsidRDefault="008A5108">
      <w:r>
        <w:t xml:space="preserve">The </w:t>
      </w:r>
      <w:r w:rsidR="00D143EC">
        <w:t>information collection</w:t>
      </w:r>
      <w:r>
        <w:t xml:space="preserve"> also includes the one-time requirement for commercial vessels greater than </w:t>
      </w:r>
      <w:r w:rsidRPr="000B52E3">
        <w:t>20 meters (65’ 7”) in length</w:t>
      </w:r>
      <w:r>
        <w:t xml:space="preserve"> to obtain an </w:t>
      </w:r>
      <w:r w:rsidRPr="000B52E3">
        <w:t>International Maritime Organization/Lloyd’s Registry (IMO/LR) number</w:t>
      </w:r>
      <w:r w:rsidR="00E20000">
        <w:t>, consistent with domestic regulations implemented to meet the requirements of an</w:t>
      </w:r>
      <w:r w:rsidRPr="000B52E3">
        <w:t xml:space="preserve"> International Commission for the Conservation of Atlantic Tunas (ICCAT) </w:t>
      </w:r>
      <w:r w:rsidR="00E20000">
        <w:t>binding R</w:t>
      </w:r>
      <w:r w:rsidRPr="000B52E3">
        <w:t xml:space="preserve">ecommendation </w:t>
      </w:r>
      <w:r w:rsidR="00E20000">
        <w:t xml:space="preserve">adopted in 2013 </w:t>
      </w:r>
      <w:r w:rsidRPr="000B52E3">
        <w:t>(</w:t>
      </w:r>
      <w:r w:rsidR="00E20000">
        <w:t xml:space="preserve">Rec. </w:t>
      </w:r>
      <w:r w:rsidRPr="000B52E3">
        <w:t>13-13).</w:t>
      </w:r>
      <w:r w:rsidR="00E036C4">
        <w:t xml:space="preserve"> </w:t>
      </w:r>
      <w:r w:rsidRPr="000B52E3">
        <w:t xml:space="preserve">Current HMS regulations at </w:t>
      </w:r>
      <w:r>
        <w:t xml:space="preserve">50 CFR part </w:t>
      </w:r>
      <w:r w:rsidRPr="000B52E3">
        <w:t xml:space="preserve">635.4(h) require </w:t>
      </w:r>
      <w:r w:rsidR="00E20000">
        <w:t xml:space="preserve">the submission of </w:t>
      </w:r>
      <w:r w:rsidRPr="000B52E3">
        <w:t>supporting documents</w:t>
      </w:r>
      <w:r w:rsidR="00B835CF">
        <w:t xml:space="preserve"> </w:t>
      </w:r>
      <w:r w:rsidRPr="000B52E3">
        <w:t>as a condition for obtaining an Atlantic HMS permit and for being included on the ICCAT list of authorized large scale fishing vessels.</w:t>
      </w:r>
      <w:r w:rsidR="00E036C4">
        <w:t xml:space="preserve"> </w:t>
      </w:r>
      <w:r w:rsidR="00561D06">
        <w:t xml:space="preserve">Through this provision, NMFS requires a permit applicant or holder to provide </w:t>
      </w:r>
      <w:r w:rsidRPr="000B52E3" w:rsidR="00561D06">
        <w:t>an IMO/LR number</w:t>
      </w:r>
      <w:r w:rsidR="00561D06">
        <w:t>,</w:t>
      </w:r>
      <w:r w:rsidR="00B835CF">
        <w:t xml:space="preserve"> </w:t>
      </w:r>
      <w:r w:rsidRPr="000B52E3">
        <w:t xml:space="preserve">as described in </w:t>
      </w:r>
      <w:r w:rsidR="00561D06">
        <w:t>a</w:t>
      </w:r>
      <w:r w:rsidRPr="000B52E3">
        <w:t xml:space="preserve"> final rule published in the </w:t>
      </w:r>
      <w:r w:rsidRPr="000B52E3">
        <w:rPr>
          <w:u w:val="single"/>
        </w:rPr>
        <w:t>Federal</w:t>
      </w:r>
      <w:r w:rsidRPr="000B52E3">
        <w:t xml:space="preserve"> </w:t>
      </w:r>
      <w:r w:rsidRPr="000B52E3">
        <w:rPr>
          <w:u w:val="single"/>
        </w:rPr>
        <w:t>Register</w:t>
      </w:r>
      <w:r w:rsidRPr="000B52E3">
        <w:t xml:space="preserve"> December 5, 2014</w:t>
      </w:r>
      <w:r>
        <w:t xml:space="preserve"> (79 FR 72557)</w:t>
      </w:r>
      <w:r w:rsidRPr="000B52E3">
        <w:t>.</w:t>
      </w:r>
      <w:r w:rsidR="00E036C4">
        <w:t xml:space="preserve"> </w:t>
      </w:r>
      <w:r w:rsidRPr="000B52E3">
        <w:t>This one-time requirement appl</w:t>
      </w:r>
      <w:r w:rsidR="00D143EC">
        <w:t>ies</w:t>
      </w:r>
      <w:r w:rsidRPr="000B52E3">
        <w:t xml:space="preserve"> </w:t>
      </w:r>
      <w:r>
        <w:t xml:space="preserve">only </w:t>
      </w:r>
      <w:r w:rsidRPr="000B52E3">
        <w:t>to owners of commercial vessels</w:t>
      </w:r>
      <w:r w:rsidR="00B835CF">
        <w:t xml:space="preserve"> </w:t>
      </w:r>
      <w:r w:rsidR="00561D06">
        <w:t xml:space="preserve">greater than or equal to </w:t>
      </w:r>
      <w:r w:rsidRPr="000B52E3">
        <w:t xml:space="preserve">20 meters (65’ 7”) in length seeking to obtain an Atlantic </w:t>
      </w:r>
      <w:r w:rsidR="00FD7366">
        <w:t>T</w:t>
      </w:r>
      <w:r w:rsidRPr="000B52E3">
        <w:t>unas permit, HMS Charter/</w:t>
      </w:r>
      <w:r w:rsidR="00B835CF">
        <w:t>H</w:t>
      </w:r>
      <w:r w:rsidRPr="000B52E3" w:rsidR="00B835CF">
        <w:t xml:space="preserve">eadboat </w:t>
      </w:r>
      <w:r w:rsidRPr="000B52E3">
        <w:t>permit, and/or a Swordfish General Commercial permit</w:t>
      </w:r>
      <w:r>
        <w:t xml:space="preserve"> for the first time</w:t>
      </w:r>
      <w:r w:rsidR="00CC5026">
        <w:t>,</w:t>
      </w:r>
      <w:r>
        <w:t xml:space="preserve"> as all vessels currently participating in the fishery have already obtained their IMO/LR numbers.</w:t>
      </w:r>
    </w:p>
    <w:p w:rsidR="00483FEE" w:rsidRDefault="00483FEE"/>
    <w:p w:rsidRPr="002924EE" w:rsidR="00C3375B" w:rsidP="002924EE" w:rsidRDefault="00C3375B">
      <w:pPr>
        <w:jc w:val="center"/>
        <w:rPr>
          <w:b/>
          <w:sz w:val="22"/>
        </w:rPr>
      </w:pPr>
    </w:p>
    <w:p w:rsidR="00B618C1" w:rsidP="005F7BDC" w:rsidRDefault="00B618C1"/>
    <w:p w:rsidR="005F7BDC" w:rsidRDefault="005F7BDC">
      <w:r>
        <w:rPr>
          <w:b/>
        </w:rPr>
        <w:t>1.</w:t>
      </w:r>
      <w:r w:rsidR="00E036C4">
        <w:rPr>
          <w:b/>
        </w:rPr>
        <w:t xml:space="preserve"> </w:t>
      </w:r>
      <w:r w:rsidR="005E4DAE">
        <w:rPr>
          <w:b/>
          <w:bCs/>
          <w:color w:val="000000"/>
        </w:rPr>
        <w:t xml:space="preserve">Identify any legal or administrative requirements that necessitate the collection. Attach a copy of the appropriate section of each statute and regulation mandating or authorizing the </w:t>
      </w:r>
      <w:r w:rsidR="005E4DAE">
        <w:rPr>
          <w:b/>
          <w:bCs/>
          <w:color w:val="000000"/>
        </w:rPr>
        <w:lastRenderedPageBreak/>
        <w:t>collection of information. Identify any legal or administrative requirements that necessitate the collection. Attach a copy of the appropriate section of each statute and regulation mandating or authorizing the collection of information.</w:t>
      </w:r>
    </w:p>
    <w:p w:rsidR="00DA43B0" w:rsidP="005F7BDC" w:rsidRDefault="00DA43B0"/>
    <w:p w:rsidR="005F7BDC" w:rsidP="005F7BDC" w:rsidRDefault="005F7BDC">
      <w:r>
        <w:t xml:space="preserve">The purpose of this collection of information is to comply with the statutory </w:t>
      </w:r>
      <w:r w:rsidR="00A47A0B">
        <w:t>requirements of</w:t>
      </w:r>
      <w:r>
        <w:t xml:space="preserve"> ATCA (16 U.S.C</w:t>
      </w:r>
      <w:r w:rsidRPr="006345FF">
        <w:rPr>
          <w:szCs w:val="24"/>
        </w:rPr>
        <w:t xml:space="preserve">. </w:t>
      </w:r>
      <w:r w:rsidRPr="006345FF" w:rsidR="006345FF">
        <w:rPr>
          <w:color w:val="222222"/>
          <w:szCs w:val="24"/>
          <w:shd w:val="clear" w:color="auto" w:fill="FFFFFF"/>
        </w:rPr>
        <w:t>§</w:t>
      </w:r>
      <w:r w:rsidR="006345FF">
        <w:rPr>
          <w:rFonts w:ascii="Arial" w:hAnsi="Arial" w:cs="Arial"/>
          <w:color w:val="222222"/>
          <w:shd w:val="clear" w:color="auto" w:fill="FFFFFF"/>
        </w:rPr>
        <w:t xml:space="preserve"> </w:t>
      </w:r>
      <w:r>
        <w:t>971</w:t>
      </w:r>
      <w:r w:rsidR="006345FF">
        <w:t xml:space="preserve"> et seq.</w:t>
      </w:r>
      <w:r>
        <w:t>)</w:t>
      </w:r>
      <w:r w:rsidR="00A47A0B">
        <w:t xml:space="preserve"> and</w:t>
      </w:r>
      <w:r>
        <w:t xml:space="preserve"> the </w:t>
      </w:r>
      <w:r w:rsidR="00181D9E">
        <w:t>MSA</w:t>
      </w:r>
      <w:r w:rsidR="00BC44B3">
        <w:t xml:space="preserve"> </w:t>
      </w:r>
      <w:r w:rsidR="00E83F22">
        <w:t>(</w:t>
      </w:r>
      <w:r>
        <w:t xml:space="preserve">16 U.S.C. </w:t>
      </w:r>
      <w:r w:rsidRPr="006345FF" w:rsidR="006345FF">
        <w:rPr>
          <w:color w:val="222222"/>
          <w:szCs w:val="24"/>
          <w:shd w:val="clear" w:color="auto" w:fill="FFFFFF"/>
        </w:rPr>
        <w:t>§</w:t>
      </w:r>
      <w:r w:rsidR="006345FF">
        <w:rPr>
          <w:color w:val="222222"/>
          <w:szCs w:val="24"/>
          <w:shd w:val="clear" w:color="auto" w:fill="FFFFFF"/>
        </w:rPr>
        <w:t xml:space="preserve"> </w:t>
      </w:r>
      <w:r>
        <w:t>18</w:t>
      </w:r>
      <w:r w:rsidR="006345FF">
        <w:t>01 et seq.</w:t>
      </w:r>
      <w:r>
        <w:t xml:space="preserve">), and </w:t>
      </w:r>
      <w:r w:rsidR="00A47A0B">
        <w:t xml:space="preserve">federal </w:t>
      </w:r>
      <w:r>
        <w:t>implementing regulations at 50 CFR part 635.</w:t>
      </w:r>
      <w:r w:rsidR="00E036C4">
        <w:t xml:space="preserve"> </w:t>
      </w:r>
    </w:p>
    <w:p w:rsidR="005F7BDC" w:rsidP="005F7BDC" w:rsidRDefault="005F7BDC"/>
    <w:p w:rsidR="005F7BDC" w:rsidP="005F7BDC" w:rsidRDefault="005F7BDC">
      <w:r>
        <w:t xml:space="preserve">Section 971d(c)(3) of ATCA provides the statutory authority to promulgate regulations as necessary and appropriate to implement the </w:t>
      </w:r>
      <w:r w:rsidR="002D62C4">
        <w:t xml:space="preserve">binding </w:t>
      </w:r>
      <w:r>
        <w:t>recommendations of ICCAT</w:t>
      </w:r>
      <w:r w:rsidR="002D62C4">
        <w:t>, as required by ATCA</w:t>
      </w:r>
      <w:r>
        <w:t>.</w:t>
      </w:r>
      <w:r w:rsidR="00E036C4">
        <w:t xml:space="preserve"> </w:t>
      </w:r>
      <w:r>
        <w:t>As a contracting party to ICCAT, the United States is required to implement ICCAT recommendations</w:t>
      </w:r>
      <w:r w:rsidR="006345FF">
        <w:t>, which,</w:t>
      </w:r>
      <w:r w:rsidR="00AE09F0">
        <w:t xml:space="preserve"> </w:t>
      </w:r>
      <w:r w:rsidR="006345FF">
        <w:t>consistent with the ICCAT Convention, may require</w:t>
      </w:r>
      <w:r>
        <w:t xml:space="preserve"> the collection of </w:t>
      </w:r>
      <w:r w:rsidR="006345FF">
        <w:t xml:space="preserve">information </w:t>
      </w:r>
      <w:r>
        <w:t xml:space="preserve">for research </w:t>
      </w:r>
      <w:r w:rsidR="00E23285">
        <w:t xml:space="preserve">and management </w:t>
      </w:r>
      <w:r>
        <w:t>purposes (</w:t>
      </w:r>
      <w:r w:rsidR="006345FF">
        <w:t xml:space="preserve">e.g., </w:t>
      </w:r>
      <w:r>
        <w:t>fishing effort and catch</w:t>
      </w:r>
      <w:r w:rsidR="006345FF">
        <w:t xml:space="preserve"> information</w:t>
      </w:r>
      <w:r>
        <w:t>)</w:t>
      </w:r>
      <w:r w:rsidR="00A96FC2">
        <w:t xml:space="preserve"> and vital data for stock assessments</w:t>
      </w:r>
      <w:r>
        <w:t>.</w:t>
      </w:r>
      <w:r w:rsidR="00E036C4">
        <w:t xml:space="preserve"> </w:t>
      </w:r>
      <w:r>
        <w:t>The United States</w:t>
      </w:r>
      <w:r w:rsidR="00FA379B">
        <w:t xml:space="preserve"> </w:t>
      </w:r>
      <w:r>
        <w:t>must implement specific quotas established by ICCAT and ICCAT rebuilding</w:t>
      </w:r>
      <w:r w:rsidR="006345FF">
        <w:t xml:space="preserve"> programs</w:t>
      </w:r>
      <w:r>
        <w:t xml:space="preserve"> and fishery </w:t>
      </w:r>
      <w:r w:rsidR="006345FF">
        <w:t xml:space="preserve">conservation and </w:t>
      </w:r>
      <w:r>
        <w:t xml:space="preserve">management </w:t>
      </w:r>
      <w:r w:rsidR="006345FF">
        <w:t>measure</w:t>
      </w:r>
      <w:r>
        <w:t>s.</w:t>
      </w:r>
      <w:r w:rsidR="00E036C4">
        <w:t xml:space="preserve"> </w:t>
      </w:r>
      <w:r>
        <w:t>ICCAT recommendations have also established statistical and catch document programs to track the trade of bluefin tuna (Atlantic, Pacific, and Southern bluefin tuna), swordfish, and frozen bigeye tuna.</w:t>
      </w:r>
      <w:r w:rsidR="00E036C4">
        <w:t xml:space="preserve"> </w:t>
      </w:r>
      <w:r>
        <w:t>Statistical document programs recommended by the Commission for the Conservation of Southern Bluefin Tuna and the Indian Ocean Tuna Commission are also implemented under the authority of ATCA to effectively implement ICCAT consignment document programs.</w:t>
      </w:r>
    </w:p>
    <w:p w:rsidR="005F7BDC" w:rsidP="005F7BDC" w:rsidRDefault="005F7BDC"/>
    <w:p w:rsidR="005F7BDC" w:rsidP="005F7BDC" w:rsidRDefault="006345FF">
      <w:r>
        <w:t xml:space="preserve">Domestically, </w:t>
      </w:r>
      <w:r w:rsidR="005F7BDC">
        <w:t xml:space="preserve">Atlantic tunas, swordfish, billfish and shark fisheries are also managed </w:t>
      </w:r>
      <w:r>
        <w:t xml:space="preserve">to comply with domestic legal requirements including those </w:t>
      </w:r>
      <w:r w:rsidR="005F7BDC">
        <w:t xml:space="preserve">under the </w:t>
      </w:r>
      <w:r w:rsidR="00E83F22">
        <w:t>MSA</w:t>
      </w:r>
      <w:r>
        <w:t>.</w:t>
      </w:r>
      <w:r w:rsidR="00E036C4">
        <w:t xml:space="preserve"> </w:t>
      </w:r>
      <w:r>
        <w:t xml:space="preserve">Conservation and management measures are implemented through </w:t>
      </w:r>
      <w:r w:rsidR="00E23285">
        <w:t xml:space="preserve">the </w:t>
      </w:r>
      <w:r w:rsidR="00FA379B">
        <w:t xml:space="preserve">2006 </w:t>
      </w:r>
      <w:r w:rsidR="005F7BDC">
        <w:t>Consolidated HMS F</w:t>
      </w:r>
      <w:r w:rsidR="00395372">
        <w:t>MP</w:t>
      </w:r>
      <w:r>
        <w:t xml:space="preserve"> and its amendments.</w:t>
      </w:r>
      <w:r w:rsidR="00E036C4">
        <w:t xml:space="preserve"> </w:t>
      </w:r>
      <w:r w:rsidR="005F7BDC">
        <w:t xml:space="preserve">Section 303(b) of the </w:t>
      </w:r>
      <w:r w:rsidR="00E83F22">
        <w:t>MSA</w:t>
      </w:r>
      <w:r w:rsidR="005F7BDC">
        <w:t xml:space="preserve"> provides statutory authority to require permits for fisheries governed by </w:t>
      </w:r>
      <w:r w:rsidR="007F1EE8">
        <w:t xml:space="preserve">fishery </w:t>
      </w:r>
      <w:r w:rsidR="005F7BDC">
        <w:t>management plans issued by the Secretary of Commerce.</w:t>
      </w:r>
      <w:r w:rsidR="00E036C4">
        <w:t xml:space="preserve"> </w:t>
      </w:r>
    </w:p>
    <w:p w:rsidR="005F7BDC" w:rsidP="005F7BDC" w:rsidRDefault="005F7BDC"/>
    <w:p w:rsidRPr="00EB366A" w:rsidR="005F7BDC" w:rsidP="005F7BDC" w:rsidRDefault="005F7BDC">
      <w:pPr>
        <w:rPr>
          <w:color w:val="0000FF"/>
        </w:rPr>
      </w:pPr>
    </w:p>
    <w:p w:rsidRPr="00B76A52" w:rsidR="005F7BDC" w:rsidRDefault="005F7BDC">
      <w:pPr>
        <w:rPr>
          <w:b/>
          <w:szCs w:val="24"/>
        </w:rPr>
      </w:pPr>
      <w:r>
        <w:rPr>
          <w:b/>
        </w:rPr>
        <w:t>2</w:t>
      </w:r>
      <w:r w:rsidRPr="00B76A52">
        <w:rPr>
          <w:b/>
          <w:szCs w:val="24"/>
        </w:rPr>
        <w:t>.</w:t>
      </w:r>
      <w:r w:rsidR="00E036C4">
        <w:rPr>
          <w:b/>
          <w:szCs w:val="24"/>
        </w:rPr>
        <w:t xml:space="preserve"> </w:t>
      </w:r>
      <w:r w:rsidR="005E4DAE">
        <w:rPr>
          <w:b/>
          <w:bCs/>
          <w:color w:val="000000"/>
        </w:rPr>
        <w:t>Indicate how, by whom, and for what purpose the information is to be used. Except for a new collection, indicate the actual use the agency has made of the information received from the current collection.</w:t>
      </w:r>
    </w:p>
    <w:p w:rsidR="00DA43B0" w:rsidRDefault="00DA43B0">
      <w:pPr>
        <w:rPr>
          <w:szCs w:val="24"/>
        </w:rPr>
      </w:pPr>
    </w:p>
    <w:p w:rsidRPr="000079E3" w:rsidR="005F7BDC" w:rsidRDefault="008A653A">
      <w:r>
        <w:rPr>
          <w:szCs w:val="24"/>
        </w:rPr>
        <w:t>All permits in this collection must be renewed annually.</w:t>
      </w:r>
      <w:r w:rsidR="00E036C4">
        <w:rPr>
          <w:szCs w:val="24"/>
        </w:rPr>
        <w:t xml:space="preserve"> </w:t>
      </w:r>
      <w:r w:rsidRPr="00B76A52" w:rsidR="005F7BDC">
        <w:rPr>
          <w:szCs w:val="24"/>
        </w:rPr>
        <w:t>Permits can be used to accomplish many functions.</w:t>
      </w:r>
      <w:r w:rsidR="00E036C4">
        <w:rPr>
          <w:szCs w:val="24"/>
        </w:rPr>
        <w:t xml:space="preserve"> </w:t>
      </w:r>
      <w:r w:rsidRPr="00B76A52" w:rsidR="005F7BDC">
        <w:rPr>
          <w:szCs w:val="24"/>
        </w:rPr>
        <w:t>One of the main purposes</w:t>
      </w:r>
      <w:r w:rsidR="005F7BDC">
        <w:t xml:space="preserve"> for issuing permits is to identify the participants in a particular trade or industry</w:t>
      </w:r>
      <w:r w:rsidR="007F1EE8">
        <w:t xml:space="preserve"> and to provide a basis for regulating and monitoring activity carried out under authorization of the permit</w:t>
      </w:r>
      <w:r w:rsidR="005F7BDC">
        <w:t>.</w:t>
      </w:r>
      <w:r w:rsidR="00E036C4">
        <w:t xml:space="preserve"> </w:t>
      </w:r>
      <w:r w:rsidR="005F7BDC">
        <w:t>NMFS manages fisheries on a regional basis; likewise, permits are issued by regional offices and the permit databases are regionally distributed.</w:t>
      </w:r>
      <w:r w:rsidR="00E036C4">
        <w:t xml:space="preserve"> </w:t>
      </w:r>
      <w:r w:rsidRPr="00251137" w:rsidR="005F7BDC">
        <w:t>The HMS Management Division works with two region</w:t>
      </w:r>
      <w:r w:rsidR="002D62C4">
        <w:t>al offices</w:t>
      </w:r>
      <w:r w:rsidRPr="00251137" w:rsidR="005F7BDC">
        <w:t xml:space="preserve"> (</w:t>
      </w:r>
      <w:r w:rsidRPr="00251137">
        <w:t xml:space="preserve">Greater Atlantic </w:t>
      </w:r>
      <w:r w:rsidRPr="00251137" w:rsidR="005F7BDC">
        <w:t>and Southeast)</w:t>
      </w:r>
      <w:r w:rsidRPr="00251137">
        <w:t>, a contractor (ERT Corporation),</w:t>
      </w:r>
      <w:r w:rsidRPr="00251137" w:rsidR="005F7BDC">
        <w:t xml:space="preserve"> and </w:t>
      </w:r>
      <w:r w:rsidRPr="00251137">
        <w:t xml:space="preserve">NMFS’s </w:t>
      </w:r>
      <w:r w:rsidRPr="00251137" w:rsidR="005F7BDC">
        <w:t>Office of Science and Technology to issue HMS permits.</w:t>
      </w:r>
      <w:r w:rsidR="00E036C4">
        <w:t xml:space="preserve"> </w:t>
      </w:r>
      <w:r w:rsidR="005F7BDC">
        <w:t xml:space="preserve">Under current HMS regulations, it is possible that </w:t>
      </w:r>
      <w:r w:rsidR="007F1EE8">
        <w:t xml:space="preserve">a vessel, other than those in the HMS recreational fishery, </w:t>
      </w:r>
      <w:r w:rsidR="005F7BDC">
        <w:t>will hold more than one HMS permit.</w:t>
      </w:r>
      <w:r w:rsidR="00E036C4">
        <w:t xml:space="preserve"> </w:t>
      </w:r>
    </w:p>
    <w:p w:rsidRPr="00872344" w:rsidR="005F7BDC" w:rsidP="005F7BDC" w:rsidRDefault="005F7BDC"/>
    <w:p w:rsidR="005F7BDC" w:rsidP="005F7BDC" w:rsidRDefault="005F7BDC">
      <w:pPr>
        <w:rPr>
          <w:u w:val="single"/>
        </w:rPr>
      </w:pPr>
      <w:r>
        <w:rPr>
          <w:u w:val="single"/>
        </w:rPr>
        <w:t xml:space="preserve">Vessel Permits </w:t>
      </w:r>
    </w:p>
    <w:p w:rsidR="005F7BDC" w:rsidP="005F7BDC" w:rsidRDefault="005F7BDC">
      <w:r>
        <w:t>The general information collected for vessel permits includes all or some of the following:</w:t>
      </w:r>
    </w:p>
    <w:p w:rsidR="005F7BDC" w:rsidP="005F7BDC" w:rsidRDefault="005F7BDC"/>
    <w:p w:rsidR="005F7BDC" w:rsidP="00DA43B0" w:rsidRDefault="005F7BDC">
      <w:pPr>
        <w:numPr>
          <w:ilvl w:val="0"/>
          <w:numId w:val="7"/>
        </w:numPr>
      </w:pPr>
      <w:r>
        <w:lastRenderedPageBreak/>
        <w:t xml:space="preserve">Vessel owner, corporate status, birthdate or corporation filed date, social security number or Federal </w:t>
      </w:r>
      <w:r w:rsidR="002D62C4">
        <w:t xml:space="preserve">Tax </w:t>
      </w:r>
      <w:r>
        <w:t>I</w:t>
      </w:r>
      <w:r w:rsidR="002D62C4">
        <w:t>.</w:t>
      </w:r>
      <w:r>
        <w:t>D</w:t>
      </w:r>
      <w:r w:rsidR="002D62C4">
        <w:t>.</w:t>
      </w:r>
      <w:r>
        <w:t xml:space="preserve"> number</w:t>
      </w:r>
      <w:r w:rsidR="002D62C4">
        <w:t xml:space="preserve"> (TIN)</w:t>
      </w:r>
      <w:r>
        <w:t>, names of additional owners, and contact informat</w:t>
      </w:r>
      <w:r w:rsidR="00DA43B0">
        <w:t>ion (e.g. address, phone, etc.)</w:t>
      </w:r>
      <w:r w:rsidR="003E20D8">
        <w:t>;</w:t>
      </w:r>
    </w:p>
    <w:p w:rsidR="005F7BDC" w:rsidP="00DA43B0" w:rsidRDefault="005F7BDC">
      <w:pPr>
        <w:numPr>
          <w:ilvl w:val="0"/>
          <w:numId w:val="7"/>
        </w:numPr>
      </w:pPr>
      <w:r>
        <w:t>Vess</w:t>
      </w:r>
      <w:r w:rsidR="00DA43B0">
        <w:t>el name, registration, and port</w:t>
      </w:r>
      <w:r w:rsidR="003E20D8">
        <w:t>;</w:t>
      </w:r>
    </w:p>
    <w:p w:rsidR="005F7BDC" w:rsidP="00DA43B0" w:rsidRDefault="005F7BDC">
      <w:pPr>
        <w:numPr>
          <w:ilvl w:val="0"/>
          <w:numId w:val="7"/>
        </w:numPr>
      </w:pPr>
      <w:r>
        <w:t>Vessel characteristics (includin</w:t>
      </w:r>
      <w:r w:rsidR="00DA43B0">
        <w:t>g length) and construction type</w:t>
      </w:r>
      <w:r w:rsidR="003E20D8">
        <w:t>;</w:t>
      </w:r>
    </w:p>
    <w:p w:rsidR="005F7BDC" w:rsidP="00DA43B0" w:rsidRDefault="00DA43B0">
      <w:pPr>
        <w:numPr>
          <w:ilvl w:val="0"/>
          <w:numId w:val="7"/>
        </w:numPr>
      </w:pPr>
      <w:r>
        <w:t>Gear type/category</w:t>
      </w:r>
      <w:r w:rsidR="003E20D8">
        <w:t>;</w:t>
      </w:r>
    </w:p>
    <w:p w:rsidR="003E20D8" w:rsidP="00DA43B0" w:rsidRDefault="003E20D8">
      <w:pPr>
        <w:numPr>
          <w:ilvl w:val="0"/>
          <w:numId w:val="7"/>
        </w:numPr>
      </w:pPr>
      <w:r>
        <w:t>IMO/LR number</w:t>
      </w:r>
      <w:r w:rsidR="003A6827">
        <w:t xml:space="preserve"> (for commercial vessels ≥ 20 meters (65’ 7”))</w:t>
      </w:r>
      <w:r>
        <w:t>;</w:t>
      </w:r>
      <w:r w:rsidR="00A863B8">
        <w:t xml:space="preserve"> and</w:t>
      </w:r>
    </w:p>
    <w:p w:rsidR="003E20D8" w:rsidP="00DA43B0" w:rsidRDefault="005F7BDC">
      <w:pPr>
        <w:numPr>
          <w:ilvl w:val="0"/>
          <w:numId w:val="7"/>
        </w:numPr>
      </w:pPr>
      <w:r>
        <w:t>Signature and payment/delivery information</w:t>
      </w:r>
      <w:r w:rsidR="00A863B8">
        <w:t>.</w:t>
      </w:r>
    </w:p>
    <w:p w:rsidR="005F7BDC" w:rsidP="005F7BDC" w:rsidRDefault="005F7BDC"/>
    <w:p w:rsidR="005F7BDC" w:rsidP="005F7BDC" w:rsidRDefault="007F1EE8">
      <w:r>
        <w:t>Vessel permits are issued annually, which facilitates the collection of</w:t>
      </w:r>
      <w:r w:rsidR="005F7BDC">
        <w:t xml:space="preserve"> current information on fisher</w:t>
      </w:r>
      <w:r>
        <w:t>y participation.</w:t>
      </w:r>
      <w:r w:rsidR="00E036C4">
        <w:t xml:space="preserve"> </w:t>
      </w:r>
      <w:r>
        <w:t xml:space="preserve">Collection of such information also facilitates effective </w:t>
      </w:r>
      <w:r w:rsidR="005F7BDC">
        <w:t xml:space="preserve">monitoring </w:t>
      </w:r>
      <w:r>
        <w:t>and enforcement</w:t>
      </w:r>
      <w:r w:rsidR="005F7BDC">
        <w:t>.</w:t>
      </w:r>
      <w:r w:rsidR="00E036C4">
        <w:t xml:space="preserve"> </w:t>
      </w:r>
      <w:r w:rsidR="005F7BDC">
        <w:t xml:space="preserve">For example, NMFS requires that vessel permits be displayed to dealers and that permit numbers be recorded on dealer reports in order to validate landings of </w:t>
      </w:r>
      <w:r w:rsidR="008B0C69">
        <w:t>HMS</w:t>
      </w:r>
      <w:r>
        <w:t xml:space="preserve"> and to ensure effective tracking of catch quotas</w:t>
      </w:r>
      <w:r w:rsidR="008B0C69">
        <w:t>.</w:t>
      </w:r>
      <w:r w:rsidR="00E036C4">
        <w:t xml:space="preserve"> </w:t>
      </w:r>
      <w:r w:rsidR="00E23285">
        <w:t xml:space="preserve">Vessel permit lists also serve as </w:t>
      </w:r>
      <w:r w:rsidR="001827EF">
        <w:t>sampling frames for logbooks and recreational fishery surveys such as the Large Pelagic</w:t>
      </w:r>
      <w:r w:rsidR="00395372">
        <w:t>s</w:t>
      </w:r>
      <w:r w:rsidR="001827EF">
        <w:t xml:space="preserve"> Survey (LPS</w:t>
      </w:r>
      <w:r w:rsidR="005E4DAE">
        <w:t>), which provide</w:t>
      </w:r>
      <w:r w:rsidR="001827EF">
        <w:t xml:space="preserve"> essential data for management and stock assessments.</w:t>
      </w:r>
    </w:p>
    <w:p w:rsidR="005F7BDC" w:rsidP="005F7BDC" w:rsidRDefault="005F7BDC"/>
    <w:p w:rsidR="005F7BDC" w:rsidP="005F7BDC" w:rsidRDefault="005F7BDC">
      <w:r>
        <w:t>A current permit holder list aids NMFS in the communication and enforcement of fishery regulations through distribution of management program brochures, fish identification guides, and regulatory compliance guides.</w:t>
      </w:r>
      <w:r w:rsidR="00E036C4">
        <w:t xml:space="preserve"> </w:t>
      </w:r>
      <w:r>
        <w:t xml:space="preserve">In addition, a permit “universe” facilitates collecting catch and effort information about </w:t>
      </w:r>
      <w:r w:rsidR="002B6714">
        <w:t xml:space="preserve">commercial and </w:t>
      </w:r>
      <w:r>
        <w:t>recreational fisheries, as required by law.</w:t>
      </w:r>
      <w:r w:rsidR="00E036C4">
        <w:t xml:space="preserve"> </w:t>
      </w:r>
      <w:r>
        <w:t>NMFS constructs sampling frames for dockside and telephone surveys from permit holder lists and uses the list to select vessels for logbooks and/or at-sea observers (addressed under separate collections).</w:t>
      </w:r>
      <w:r w:rsidR="00E036C4">
        <w:t xml:space="preserve"> </w:t>
      </w:r>
      <w:r>
        <w:t>Such surveys, logbooks</w:t>
      </w:r>
      <w:r w:rsidR="002B6714">
        <w:t>,</w:t>
      </w:r>
      <w:r>
        <w:t xml:space="preserve"> and observer reports provide essential information for management of HMS fisheries in the </w:t>
      </w:r>
      <w:r w:rsidR="00DA43B0">
        <w:t>U</w:t>
      </w:r>
      <w:r w:rsidR="00FA379B">
        <w:t xml:space="preserve">nited </w:t>
      </w:r>
      <w:r w:rsidR="00DA43B0">
        <w:t>S</w:t>
      </w:r>
      <w:r w:rsidR="00FA379B">
        <w:t>tates</w:t>
      </w:r>
      <w:r>
        <w:t xml:space="preserve">, particularly in terms of quota allocation decisions </w:t>
      </w:r>
      <w:r w:rsidR="00FA1A12">
        <w:t xml:space="preserve">that </w:t>
      </w:r>
      <w:r>
        <w:t>follow ICCAT recommendations</w:t>
      </w:r>
      <w:r w:rsidR="00395372">
        <w:t>,</w:t>
      </w:r>
      <w:r w:rsidR="00D21594">
        <w:t xml:space="preserve"> MSA requirements</w:t>
      </w:r>
      <w:r w:rsidR="00395372">
        <w:t>,</w:t>
      </w:r>
      <w:r w:rsidR="00D21594">
        <w:t xml:space="preserve"> and National Standards.</w:t>
      </w:r>
      <w:r w:rsidR="00E036C4">
        <w:t xml:space="preserve"> </w:t>
      </w:r>
      <w:r w:rsidRPr="002B6714">
        <w:t>NMFS operates a mandatory angler catch reporting program for bluefin tuna</w:t>
      </w:r>
      <w:r w:rsidRPr="002B6714" w:rsidR="002B6714">
        <w:t xml:space="preserve">, swordfish, and billfish </w:t>
      </w:r>
      <w:r w:rsidRPr="002B6714">
        <w:t>(addressed under a separate collection) that is linked to the permit number to avoid false reporting and facilitates enforcement.</w:t>
      </w:r>
      <w:r w:rsidR="00E036C4">
        <w:t xml:space="preserve"> </w:t>
      </w:r>
      <w:r>
        <w:t>Another purpose of the vessel permit requirement is that it serves as a useful tool in support of enforcement of fishery regulations.</w:t>
      </w:r>
      <w:r w:rsidR="00E036C4">
        <w:t xml:space="preserve"> </w:t>
      </w:r>
      <w:r>
        <w:t xml:space="preserve">That is, the permit can be revoked as a penalty for a violation of fishery </w:t>
      </w:r>
      <w:r w:rsidR="002D62C4">
        <w:t>regulations.</w:t>
      </w:r>
      <w:r w:rsidR="00E036C4">
        <w:t xml:space="preserve"> </w:t>
      </w:r>
    </w:p>
    <w:p w:rsidR="005F7BDC" w:rsidP="005F7BDC" w:rsidRDefault="005F7BDC"/>
    <w:p w:rsidR="005F7BDC" w:rsidRDefault="005F7BDC">
      <w:pPr>
        <w:rPr>
          <w:szCs w:val="24"/>
        </w:rPr>
      </w:pPr>
      <w:r>
        <w:rPr>
          <w:szCs w:val="24"/>
        </w:rPr>
        <w:t xml:space="preserve">Although the information collected </w:t>
      </w:r>
      <w:r w:rsidR="00D21594">
        <w:rPr>
          <w:szCs w:val="24"/>
        </w:rPr>
        <w:t>under the authority of the M</w:t>
      </w:r>
      <w:r w:rsidR="00C5587B">
        <w:rPr>
          <w:szCs w:val="24"/>
        </w:rPr>
        <w:t>SA</w:t>
      </w:r>
      <w:r w:rsidR="00D21594">
        <w:rPr>
          <w:szCs w:val="24"/>
        </w:rPr>
        <w:t xml:space="preserve"> generally </w:t>
      </w:r>
      <w:r>
        <w:rPr>
          <w:szCs w:val="24"/>
        </w:rPr>
        <w:t xml:space="preserve">is not expected to be disseminated directly to the public, it may be used in the development or review of fishery management plans or subject to release through a </w:t>
      </w:r>
      <w:hyperlink w:history="1" r:id="rId11">
        <w:r w:rsidRPr="00BC44B3">
          <w:rPr>
            <w:rStyle w:val="Hyperlink"/>
            <w:szCs w:val="24"/>
          </w:rPr>
          <w:t>Freedom of Information Act</w:t>
        </w:r>
      </w:hyperlink>
      <w:r>
        <w:rPr>
          <w:szCs w:val="24"/>
        </w:rPr>
        <w:t xml:space="preserve"> request, and is therefore subject to NOAA’s Information Quality Guidelines.</w:t>
      </w:r>
      <w:r w:rsidR="00E036C4">
        <w:rPr>
          <w:szCs w:val="24"/>
        </w:rPr>
        <w:t xml:space="preserve"> </w:t>
      </w:r>
      <w:r w:rsidR="00E83F22">
        <w:rPr>
          <w:szCs w:val="24"/>
        </w:rPr>
        <w:t>The MSA</w:t>
      </w:r>
      <w:r>
        <w:rPr>
          <w:szCs w:val="24"/>
        </w:rPr>
        <w:t xml:space="preserve"> and other confidential requirements would apply</w:t>
      </w:r>
      <w:r w:rsidR="008A455A">
        <w:rPr>
          <w:szCs w:val="24"/>
        </w:rPr>
        <w:t xml:space="preserve"> to any such proposed release. </w:t>
      </w:r>
      <w:r>
        <w:rPr>
          <w:szCs w:val="24"/>
        </w:rPr>
        <w:t>N</w:t>
      </w:r>
      <w:r w:rsidR="002A77EA">
        <w:rPr>
          <w:szCs w:val="24"/>
        </w:rPr>
        <w:t xml:space="preserve">MFS </w:t>
      </w:r>
      <w:r>
        <w:rPr>
          <w:szCs w:val="24"/>
        </w:rPr>
        <w:t>will retain control over the information and safeguard it from improper access, modification, and destruction, consistent with NOAA standards for confidentiality, privacy, and electronic information.</w:t>
      </w:r>
      <w:r w:rsidR="00E036C4">
        <w:rPr>
          <w:szCs w:val="24"/>
        </w:rPr>
        <w:t xml:space="preserve"> </w:t>
      </w:r>
      <w:r>
        <w:rPr>
          <w:szCs w:val="24"/>
        </w:rPr>
        <w:t xml:space="preserve">See </w:t>
      </w:r>
      <w:r w:rsidR="005306AD">
        <w:rPr>
          <w:szCs w:val="24"/>
        </w:rPr>
        <w:t xml:space="preserve">the response to Question </w:t>
      </w:r>
      <w:r>
        <w:rPr>
          <w:szCs w:val="24"/>
        </w:rPr>
        <w:t>10 of this Supporting Statement for more information on confidentiality and privacy.</w:t>
      </w:r>
      <w:r w:rsidR="00E036C4">
        <w:rPr>
          <w:szCs w:val="24"/>
        </w:rPr>
        <w:t xml:space="preserve"> </w:t>
      </w:r>
      <w:r>
        <w:rPr>
          <w:szCs w:val="24"/>
        </w:rPr>
        <w:t>The information collection is designed to yield data that meet all applicable information quality guidelines.</w:t>
      </w:r>
      <w:r w:rsidR="00E036C4">
        <w:rPr>
          <w:szCs w:val="24"/>
        </w:rPr>
        <w:t xml:space="preserve"> </w:t>
      </w:r>
      <w:r>
        <w:rPr>
          <w:szCs w:val="24"/>
        </w:rPr>
        <w:t xml:space="preserve">Prior to dissemination, the information will be subject to quality control measures and a pre-dissemination review pursuant </w:t>
      </w:r>
      <w:r w:rsidRPr="00BC44B3">
        <w:rPr>
          <w:szCs w:val="24"/>
        </w:rPr>
        <w:t xml:space="preserve">to </w:t>
      </w:r>
      <w:hyperlink w:history="1" r:id="rId12">
        <w:r w:rsidRPr="00BC44B3">
          <w:rPr>
            <w:rStyle w:val="Hyperlink"/>
            <w:szCs w:val="24"/>
          </w:rPr>
          <w:t>Section 515 of Public Law 106-554</w:t>
        </w:r>
      </w:hyperlink>
      <w:r>
        <w:rPr>
          <w:szCs w:val="24"/>
        </w:rPr>
        <w:t>.</w:t>
      </w:r>
    </w:p>
    <w:p w:rsidR="005F7BDC" w:rsidRDefault="005F7BDC">
      <w:pPr>
        <w:rPr>
          <w:b/>
        </w:rPr>
      </w:pPr>
    </w:p>
    <w:p w:rsidRPr="00E036C4" w:rsidR="00E036C4" w:rsidP="00E036C4" w:rsidRDefault="005F7BDC">
      <w:pPr>
        <w:pStyle w:val="NormalWeb"/>
        <w:spacing w:before="199" w:after="0" w:line="240" w:lineRule="auto"/>
        <w:textAlignment w:val="baseline"/>
        <w:rPr>
          <w:b/>
          <w:bCs/>
          <w:color w:val="000000"/>
        </w:rPr>
      </w:pPr>
      <w:r>
        <w:rPr>
          <w:b/>
        </w:rPr>
        <w:t>3.</w:t>
      </w:r>
      <w:r w:rsidR="00E036C4">
        <w:rPr>
          <w:b/>
        </w:rPr>
        <w:t xml:space="preserve"> </w:t>
      </w:r>
      <w:r w:rsidRPr="00E036C4" w:rsidR="00E036C4">
        <w:rPr>
          <w:b/>
          <w:bCs/>
          <w:color w:val="000000"/>
        </w:rPr>
        <w:t>Describe whether, and to what extent, the collection of information involves the use of automated, electronic, mechanical, or other technological collection techniques or other forms of information technology, e.g.</w:t>
      </w:r>
      <w:r w:rsidR="00C5587B">
        <w:rPr>
          <w:b/>
          <w:bCs/>
          <w:color w:val="000000"/>
        </w:rPr>
        <w:t>,</w:t>
      </w:r>
      <w:r w:rsidRPr="00E036C4" w:rsidR="00E036C4">
        <w:rPr>
          <w:b/>
          <w:bCs/>
          <w:color w:val="000000"/>
        </w:rPr>
        <w:t xml:space="preserve"> permitting electronic submission of responses, and </w:t>
      </w:r>
      <w:r w:rsidRPr="00E036C4" w:rsidR="00E036C4">
        <w:rPr>
          <w:b/>
          <w:bCs/>
          <w:color w:val="000000"/>
        </w:rPr>
        <w:lastRenderedPageBreak/>
        <w:t>the basis for the decision for adopting this means of collection. Also, describe any consideration of using information technology to reduce burden.</w:t>
      </w:r>
    </w:p>
    <w:p w:rsidR="00760ADF" w:rsidRDefault="00760ADF"/>
    <w:p w:rsidR="004B7B98" w:rsidRDefault="002F2384">
      <w:r>
        <w:t xml:space="preserve">The public can request an application for </w:t>
      </w:r>
      <w:r w:rsidR="00026ECB">
        <w:t xml:space="preserve">an </w:t>
      </w:r>
      <w:r w:rsidR="005F7BDC">
        <w:t xml:space="preserve">Atlantic </w:t>
      </w:r>
      <w:r w:rsidR="00C5587B">
        <w:t>T</w:t>
      </w:r>
      <w:r w:rsidR="005F7BDC">
        <w:t>unas, HMS Charter/</w:t>
      </w:r>
      <w:r w:rsidR="00C5587B">
        <w:t>H</w:t>
      </w:r>
      <w:r w:rsidR="005F7BDC">
        <w:t xml:space="preserve">eadboat, </w:t>
      </w:r>
      <w:r w:rsidR="00C35140">
        <w:t xml:space="preserve">Swordfish General Commercial, </w:t>
      </w:r>
      <w:r w:rsidR="005F7BDC">
        <w:t xml:space="preserve">and HMS </w:t>
      </w:r>
      <w:r w:rsidR="00C35140">
        <w:t>Angling</w:t>
      </w:r>
      <w:r w:rsidR="005F7BDC">
        <w:t xml:space="preserve"> vessel permits</w:t>
      </w:r>
      <w:r w:rsidRPr="002F2384">
        <w:t xml:space="preserve"> </w:t>
      </w:r>
      <w:r>
        <w:t>via both telephone</w:t>
      </w:r>
      <w:r w:rsidR="00927DD1">
        <w:t xml:space="preserve"> (888-872-8862)</w:t>
      </w:r>
      <w:r>
        <w:t xml:space="preserve"> and</w:t>
      </w:r>
      <w:r w:rsidR="00E83F22">
        <w:t xml:space="preserve"> secu</w:t>
      </w:r>
      <w:r w:rsidR="00927DD1">
        <w:t>re</w:t>
      </w:r>
      <w:r>
        <w:t xml:space="preserve"> internet automated systems</w:t>
      </w:r>
      <w:r w:rsidR="00927DD1">
        <w:t xml:space="preserve"> (</w:t>
      </w:r>
      <w:hyperlink w:tgtFrame="_blank" w:history="1" r:id="rId13">
        <w:r w:rsidRPr="00927DD1" w:rsidR="00927DD1">
          <w:rPr>
            <w:rStyle w:val="Hyperlink"/>
            <w:color w:val="1155CC"/>
            <w:szCs w:val="24"/>
          </w:rPr>
          <w:t>https://hmsp</w:t>
        </w:r>
        <w:r w:rsidRPr="00927DD1" w:rsidR="00927DD1">
          <w:rPr>
            <w:rStyle w:val="Hyperlink"/>
            <w:color w:val="1155CC"/>
            <w:szCs w:val="24"/>
          </w:rPr>
          <w:t>e</w:t>
        </w:r>
        <w:r w:rsidRPr="00927DD1" w:rsidR="00927DD1">
          <w:rPr>
            <w:rStyle w:val="Hyperlink"/>
            <w:color w:val="1155CC"/>
            <w:szCs w:val="24"/>
          </w:rPr>
          <w:t>r</w:t>
        </w:r>
        <w:r w:rsidRPr="00927DD1" w:rsidR="00927DD1">
          <w:rPr>
            <w:rStyle w:val="Hyperlink"/>
            <w:color w:val="1155CC"/>
            <w:szCs w:val="24"/>
          </w:rPr>
          <w:t>m</w:t>
        </w:r>
        <w:r w:rsidRPr="00927DD1" w:rsidR="00927DD1">
          <w:rPr>
            <w:rStyle w:val="Hyperlink"/>
            <w:color w:val="1155CC"/>
            <w:szCs w:val="24"/>
          </w:rPr>
          <w:t>its.noaa.gov/</w:t>
        </w:r>
      </w:hyperlink>
      <w:r w:rsidR="00927DD1">
        <w:t>)</w:t>
      </w:r>
      <w:r w:rsidR="005F7BDC">
        <w:t>.</w:t>
      </w:r>
      <w:r w:rsidR="00E036C4">
        <w:t xml:space="preserve"> </w:t>
      </w:r>
      <w:r w:rsidR="004B7B98">
        <w:t>Applicants may</w:t>
      </w:r>
      <w:r>
        <w:t xml:space="preserve"> fill out and submit an application electronically via an internet automated system.</w:t>
      </w:r>
      <w:r w:rsidR="00E036C4">
        <w:t xml:space="preserve"> </w:t>
      </w:r>
      <w:r w:rsidR="005F7BDC">
        <w:t>These automated systems are available on a 7</w:t>
      </w:r>
      <w:r w:rsidR="00733267">
        <w:t>-</w:t>
      </w:r>
      <w:r w:rsidR="005F7BDC">
        <w:t>day</w:t>
      </w:r>
      <w:r w:rsidR="00733267">
        <w:t>-</w:t>
      </w:r>
      <w:r w:rsidR="007139E0">
        <w:t>per</w:t>
      </w:r>
      <w:r w:rsidR="00733267">
        <w:t>-</w:t>
      </w:r>
      <w:r w:rsidR="007139E0">
        <w:t>week</w:t>
      </w:r>
      <w:r w:rsidR="005F7BDC">
        <w:t>/24</w:t>
      </w:r>
      <w:r w:rsidR="00733267">
        <w:t>-</w:t>
      </w:r>
      <w:r w:rsidR="005F7BDC">
        <w:t>hour</w:t>
      </w:r>
      <w:r w:rsidR="00733267">
        <w:t>-</w:t>
      </w:r>
      <w:r w:rsidR="007139E0">
        <w:t>a</w:t>
      </w:r>
      <w:r w:rsidR="00733267">
        <w:t>-</w:t>
      </w:r>
      <w:r w:rsidR="007139E0">
        <w:t>day</w:t>
      </w:r>
      <w:r w:rsidR="005F7BDC">
        <w:t xml:space="preserve"> basis, and are available at no additional charge to the permit holder beyond the cost of the permit.</w:t>
      </w:r>
      <w:r w:rsidR="00E036C4">
        <w:t xml:space="preserve"> </w:t>
      </w:r>
      <w:r w:rsidR="005F7BDC">
        <w:t>After an electronic application has been submitted, a vessel owner can track the application pro</w:t>
      </w:r>
      <w:r w:rsidR="00C64745">
        <w:t xml:space="preserve">cess and permit status via the </w:t>
      </w:r>
      <w:r w:rsidR="00C35140">
        <w:t>i</w:t>
      </w:r>
      <w:r w:rsidR="005F7BDC">
        <w:t>nternet</w:t>
      </w:r>
      <w:r w:rsidR="00C35140">
        <w:t xml:space="preserve"> at </w:t>
      </w:r>
      <w:hyperlink w:tgtFrame="_blank" w:history="1" r:id="rId14">
        <w:r w:rsidRPr="00927DD1" w:rsidR="00C35140">
          <w:rPr>
            <w:rStyle w:val="Hyperlink"/>
            <w:color w:val="1155CC"/>
            <w:szCs w:val="24"/>
          </w:rPr>
          <w:t>https://hmspermits.noaa.gov/</w:t>
        </w:r>
      </w:hyperlink>
      <w:r w:rsidR="005F7BDC">
        <w:t>.</w:t>
      </w:r>
      <w:r w:rsidR="00E036C4">
        <w:t xml:space="preserve"> </w:t>
      </w:r>
      <w:r w:rsidR="005F7BDC">
        <w:t xml:space="preserve">Once application processing is complete, a permit can be printed off the </w:t>
      </w:r>
      <w:r w:rsidR="007139E0">
        <w:t>w</w:t>
      </w:r>
      <w:r w:rsidR="005F7BDC">
        <w:t>eb</w:t>
      </w:r>
      <w:r w:rsidR="007139E0">
        <w:t>s</w:t>
      </w:r>
      <w:r w:rsidR="00E036C4">
        <w:t>ite,</w:t>
      </w:r>
      <w:r w:rsidR="005F7BDC">
        <w:t xml:space="preserve"> faxed</w:t>
      </w:r>
      <w:r w:rsidR="00E036C4">
        <w:t>,</w:t>
      </w:r>
      <w:r w:rsidR="005F7BDC">
        <w:t xml:space="preserve"> or mailed back to the vessel owner.</w:t>
      </w:r>
      <w:r w:rsidR="00E036C4">
        <w:t xml:space="preserve"> </w:t>
      </w:r>
    </w:p>
    <w:p w:rsidR="00A55571" w:rsidRDefault="00A55571"/>
    <w:p w:rsidRPr="00626FCC" w:rsidR="00A55571" w:rsidP="00A55571" w:rsidRDefault="005F7BDC">
      <w:pPr>
        <w:rPr>
          <w:i/>
        </w:rPr>
      </w:pPr>
      <w:r>
        <w:t xml:space="preserve">Alternatively, </w:t>
      </w:r>
      <w:r w:rsidR="008A455A">
        <w:t>fill</w:t>
      </w:r>
      <w:r w:rsidR="00D366F8">
        <w:t>able, printable</w:t>
      </w:r>
      <w:r>
        <w:t xml:space="preserve"> applications </w:t>
      </w:r>
      <w:r w:rsidR="00B02A10">
        <w:t xml:space="preserve">for these vessel permits </w:t>
      </w:r>
      <w:r>
        <w:t>can be obtained directly from the internet site or through the mail via an automated internet or phone request and submitted by mail.</w:t>
      </w:r>
      <w:r w:rsidR="00E036C4">
        <w:t xml:space="preserve"> </w:t>
      </w:r>
      <w:r w:rsidR="00250711">
        <w:t>However, recreational permit holders that wish to retain sharks are required to obtain a Shark Endorsement on their permit.</w:t>
      </w:r>
      <w:r w:rsidR="00E036C4">
        <w:t xml:space="preserve"> </w:t>
      </w:r>
      <w:r w:rsidR="00250711">
        <w:t>This requires them to view a brief training video on prohibited shark identification and safe handling and release practices prior to taking a short education quiz on HMS recreational shark fishing regulations and prohibited shark identification, both of which are only available online.</w:t>
      </w:r>
      <w:r w:rsidR="00E036C4">
        <w:t xml:space="preserve"> </w:t>
      </w:r>
      <w:r w:rsidRPr="00626FCC" w:rsidR="00A55571">
        <w:rPr>
          <w:bCs/>
          <w:i/>
          <w:color w:val="222222"/>
          <w:shd w:val="clear" w:color="auto" w:fill="FFFFFF"/>
        </w:rPr>
        <w:t>The shark endorsement video is embedded within the online permit application/renewal process at </w:t>
      </w:r>
      <w:hyperlink w:tgtFrame="_blank" w:history="1" r:id="rId15">
        <w:r w:rsidRPr="0015755F" w:rsidR="00733267">
          <w:rPr>
            <w:rStyle w:val="Hyperlink"/>
            <w:color w:val="1155CC"/>
            <w:szCs w:val="24"/>
          </w:rPr>
          <w:t>https://hmspermits.noaa.gov/</w:t>
        </w:r>
      </w:hyperlink>
    </w:p>
    <w:p w:rsidR="00250711" w:rsidP="006A1D83" w:rsidRDefault="00250711"/>
    <w:p w:rsidR="007B057E" w:rsidRDefault="00B104A1">
      <w:r>
        <w:t>Fulfilling t</w:t>
      </w:r>
      <w:r w:rsidRPr="000B52E3" w:rsidR="007B057E">
        <w:t xml:space="preserve">he requirement for certain commercial HMS vessels to obtain an IMO/LR number </w:t>
      </w:r>
      <w:r>
        <w:t>can be</w:t>
      </w:r>
      <w:r w:rsidRPr="000B52E3" w:rsidR="007B057E">
        <w:t xml:space="preserve"> accomplished by accessing a secure internet automated system</w:t>
      </w:r>
      <w:r w:rsidRPr="000B52E3" w:rsidR="00F63841">
        <w:t xml:space="preserve"> supported by IHS/Fairplay</w:t>
      </w:r>
      <w:r w:rsidRPr="000B52E3" w:rsidR="007B057E">
        <w:t xml:space="preserve"> (</w:t>
      </w:r>
      <w:hyperlink w:history="1" r:id="rId16">
        <w:r w:rsidRPr="00DA32C8" w:rsidR="00C54192">
          <w:rPr>
            <w:rStyle w:val="Hyperlink"/>
          </w:rPr>
          <w:t>http://imonum</w:t>
        </w:r>
        <w:r w:rsidRPr="00DA32C8" w:rsidR="00C54192">
          <w:rPr>
            <w:rStyle w:val="Hyperlink"/>
          </w:rPr>
          <w:t>b</w:t>
        </w:r>
        <w:r w:rsidRPr="00DA32C8" w:rsidR="00C54192">
          <w:rPr>
            <w:rStyle w:val="Hyperlink"/>
          </w:rPr>
          <w:t>ers.lrfairplay</w:t>
        </w:r>
        <w:r w:rsidRPr="00DA32C8" w:rsidR="00C54192">
          <w:rPr>
            <w:rStyle w:val="Hyperlink"/>
          </w:rPr>
          <w:t>.</w:t>
        </w:r>
        <w:r w:rsidRPr="00DA32C8" w:rsidR="00C54192">
          <w:rPr>
            <w:rStyle w:val="Hyperlink"/>
          </w:rPr>
          <w:t>com/</w:t>
        </w:r>
      </w:hyperlink>
      <w:r w:rsidR="00443AA3">
        <w:t>).</w:t>
      </w:r>
      <w:r w:rsidR="00E036C4">
        <w:t xml:space="preserve"> </w:t>
      </w:r>
      <w:r w:rsidRPr="000B52E3" w:rsidR="007B057E">
        <w:t>Applicants may fill out and submit an application electronically.</w:t>
      </w:r>
      <w:r w:rsidR="00E036C4">
        <w:t xml:space="preserve"> </w:t>
      </w:r>
      <w:r w:rsidRPr="000B52E3" w:rsidR="007B057E">
        <w:t>Th</w:t>
      </w:r>
      <w:r w:rsidRPr="000B52E3" w:rsidR="00ED28E1">
        <w:t>is</w:t>
      </w:r>
      <w:r w:rsidRPr="000B52E3" w:rsidR="007B057E">
        <w:t xml:space="preserve"> automated system </w:t>
      </w:r>
      <w:r w:rsidRPr="000B52E3" w:rsidR="00ED28E1">
        <w:t xml:space="preserve">is </w:t>
      </w:r>
      <w:r w:rsidRPr="000B52E3" w:rsidR="007B057E">
        <w:t>available 7 day</w:t>
      </w:r>
      <w:r w:rsidR="007139E0">
        <w:t>s per week</w:t>
      </w:r>
      <w:r w:rsidRPr="000B52E3" w:rsidR="007B057E">
        <w:t>/24 hour</w:t>
      </w:r>
      <w:r w:rsidR="007139E0">
        <w:t>s per day</w:t>
      </w:r>
      <w:r w:rsidRPr="000B52E3" w:rsidR="007B057E">
        <w:t xml:space="preserve">, and </w:t>
      </w:r>
      <w:r w:rsidRPr="000B52E3" w:rsidR="00ED28E1">
        <w:t xml:space="preserve">the IMO/LR number is </w:t>
      </w:r>
      <w:r w:rsidRPr="000B52E3" w:rsidR="007B057E">
        <w:t xml:space="preserve">available at no additional charge to the </w:t>
      </w:r>
      <w:r w:rsidR="004E7CDB">
        <w:t>vessel owner</w:t>
      </w:r>
      <w:r w:rsidRPr="000B52E3" w:rsidR="00ED28E1">
        <w:t>.</w:t>
      </w:r>
      <w:r w:rsidR="007B057E">
        <w:t xml:space="preserve"> </w:t>
      </w:r>
    </w:p>
    <w:p w:rsidR="004E7CDB" w:rsidRDefault="004E7CDB">
      <w:pPr>
        <w:rPr>
          <w:b/>
        </w:rPr>
      </w:pPr>
    </w:p>
    <w:p w:rsidR="005F7BDC" w:rsidRDefault="005F7BDC">
      <w:r>
        <w:rPr>
          <w:b/>
        </w:rPr>
        <w:t>4.</w:t>
      </w:r>
      <w:r w:rsidR="00E036C4">
        <w:rPr>
          <w:b/>
        </w:rPr>
        <w:t xml:space="preserve"> </w:t>
      </w:r>
      <w:r w:rsidRPr="00E036C4">
        <w:rPr>
          <w:b/>
        </w:rPr>
        <w:t>Describe efforts to identify duplication</w:t>
      </w:r>
      <w:r>
        <w:rPr>
          <w:b/>
        </w:rPr>
        <w:t>.</w:t>
      </w:r>
      <w:r w:rsidR="00E036C4">
        <w:rPr>
          <w:b/>
        </w:rPr>
        <w:t xml:space="preserve"> </w:t>
      </w:r>
      <w:r w:rsidR="00E036C4">
        <w:rPr>
          <w:b/>
          <w:bCs/>
          <w:color w:val="000000"/>
        </w:rPr>
        <w:t>Show specifically why any similar information already available cannot be used or modified for use for the purposes described in Question 2.</w:t>
      </w:r>
    </w:p>
    <w:p w:rsidR="005F7BDC" w:rsidRDefault="005F7BDC"/>
    <w:p w:rsidR="005F7BDC" w:rsidRDefault="005F7BDC">
      <w:r>
        <w:t>The HMS Advisory Panel meets twice per year to discuss issues pertinent to management of HMS fisheries, including permits.</w:t>
      </w:r>
      <w:r w:rsidR="00E036C4">
        <w:t xml:space="preserve"> </w:t>
      </w:r>
      <w:r>
        <w:t>This panel includes representatives from fishing and processing industries, environmentalists, the academic community, and the Atlantic, Gulf of Mexico, and Caribbean states and/or territories.</w:t>
      </w:r>
      <w:r w:rsidR="00E036C4">
        <w:t xml:space="preserve"> </w:t>
      </w:r>
      <w:r>
        <w:t xml:space="preserve">Through this forum and the </w:t>
      </w:r>
      <w:r w:rsidR="00835A5A">
        <w:t>F</w:t>
      </w:r>
      <w:r>
        <w:t>ederal rulemaking process, information including any potential duplication of permitting requirements is identified.</w:t>
      </w:r>
    </w:p>
    <w:p w:rsidR="005F7BDC" w:rsidRDefault="005F7BDC"/>
    <w:p w:rsidR="005F7BDC" w:rsidRDefault="005F7BDC">
      <w:pPr>
        <w:rPr>
          <w:u w:val="single"/>
        </w:rPr>
      </w:pPr>
      <w:r>
        <w:rPr>
          <w:u w:val="single"/>
        </w:rPr>
        <w:t>Vessel Permits</w:t>
      </w:r>
    </w:p>
    <w:p w:rsidR="005F7BDC" w:rsidRDefault="005F7BDC">
      <w:r>
        <w:t>No other federally</w:t>
      </w:r>
      <w:r w:rsidR="0015755F">
        <w:t xml:space="preserve"> </w:t>
      </w:r>
      <w:r>
        <w:t>issued fishing permits are required for the activities covered by the permits in this collection.</w:t>
      </w:r>
      <w:r w:rsidR="00E036C4">
        <w:t xml:space="preserve"> </w:t>
      </w:r>
      <w:r>
        <w:t>State permits may be necessary for fishing in some states’ waters for certain species.</w:t>
      </w:r>
      <w:r w:rsidR="00E036C4">
        <w:t xml:space="preserve"> </w:t>
      </w:r>
      <w:r>
        <w:t>HMS</w:t>
      </w:r>
      <w:r w:rsidR="007139E0">
        <w:t>-</w:t>
      </w:r>
      <w:r>
        <w:t>permitted vessels may participate in other federally regulated commercial fisheries (</w:t>
      </w:r>
      <w:r w:rsidRPr="00443AA3" w:rsidR="00443AA3">
        <w:t>e.g</w:t>
      </w:r>
      <w:r w:rsidRPr="00443AA3">
        <w:t>.,</w:t>
      </w:r>
      <w:r>
        <w:t xml:space="preserve"> northeast multi-species) for which permits are issued.</w:t>
      </w:r>
      <w:r w:rsidR="00E036C4">
        <w:t xml:space="preserve"> </w:t>
      </w:r>
      <w:r>
        <w:t>NMFS is investigating means to consolidate the permitting process so that permits for multiple fisheries may be issued/renewed through a single application process (</w:t>
      </w:r>
      <w:r w:rsidRPr="00443AA3" w:rsidR="00443AA3">
        <w:t>e.g</w:t>
      </w:r>
      <w:r w:rsidRPr="00443AA3">
        <w:t xml:space="preserve">., </w:t>
      </w:r>
      <w:r>
        <w:t xml:space="preserve">one stop shopping). </w:t>
      </w:r>
    </w:p>
    <w:p w:rsidR="005F7BDC" w:rsidRDefault="005F7BDC">
      <w:r>
        <w:t xml:space="preserve"> </w:t>
      </w:r>
    </w:p>
    <w:p w:rsidR="005F7BDC" w:rsidRDefault="003C5F4A">
      <w:r>
        <w:rPr>
          <w:b/>
        </w:rPr>
        <w:br/>
      </w:r>
      <w:r w:rsidR="005F7BDC">
        <w:rPr>
          <w:b/>
        </w:rPr>
        <w:t>5.</w:t>
      </w:r>
      <w:r w:rsidR="00E036C4">
        <w:rPr>
          <w:b/>
        </w:rPr>
        <w:t xml:space="preserve"> </w:t>
      </w:r>
      <w:r w:rsidRPr="00E036C4" w:rsidR="005F7BDC">
        <w:rPr>
          <w:b/>
        </w:rPr>
        <w:t>If the collection of information involves small businesses or other small entities, describe the methods used to minimize burden.</w:t>
      </w:r>
      <w:r w:rsidR="005F7BDC">
        <w:t xml:space="preserve"> </w:t>
      </w:r>
    </w:p>
    <w:p w:rsidR="005F7BDC" w:rsidRDefault="005F7BDC"/>
    <w:p w:rsidR="005F7BDC" w:rsidRDefault="005F7BDC">
      <w:r>
        <w:t>Annual permitting does not have a significant impact on small businesses</w:t>
      </w:r>
      <w:r w:rsidR="00927DD1">
        <w:t xml:space="preserve"> (all respondents are considered small businesses)</w:t>
      </w:r>
      <w:r>
        <w:t>.</w:t>
      </w:r>
      <w:r w:rsidR="00E036C4">
        <w:t xml:space="preserve"> </w:t>
      </w:r>
      <w:r>
        <w:t>The minimal burden per application is outlined in</w:t>
      </w:r>
      <w:r w:rsidR="007139E0">
        <w:t xml:space="preserve"> the answer to</w:t>
      </w:r>
      <w:r>
        <w:t xml:space="preserve"> </w:t>
      </w:r>
      <w:r w:rsidR="00C64745">
        <w:t xml:space="preserve">Question </w:t>
      </w:r>
      <w:r>
        <w:t>12.</w:t>
      </w:r>
      <w:r w:rsidR="00E036C4">
        <w:t xml:space="preserve"> </w:t>
      </w:r>
      <w:r>
        <w:t xml:space="preserve">Impacts have been minimized for </w:t>
      </w:r>
      <w:r w:rsidR="00FB54A2">
        <w:t xml:space="preserve">all </w:t>
      </w:r>
      <w:r>
        <w:t>vessel permits by providing application</w:t>
      </w:r>
      <w:r w:rsidR="00B74209">
        <w:t xml:space="preserve"> and renewal services over the I</w:t>
      </w:r>
      <w:r>
        <w:t xml:space="preserve">nternet and telephone, as discussed in </w:t>
      </w:r>
      <w:r w:rsidR="007139E0">
        <w:t xml:space="preserve">the answer to </w:t>
      </w:r>
      <w:r w:rsidR="00B74209">
        <w:t>Question</w:t>
      </w:r>
      <w:r>
        <w:t xml:space="preserve"> 3.</w:t>
      </w:r>
    </w:p>
    <w:p w:rsidR="005F7BDC" w:rsidRDefault="005F7BDC"/>
    <w:p w:rsidR="005F7BDC" w:rsidRDefault="005F7BDC">
      <w:pPr>
        <w:rPr>
          <w:rStyle w:val="Strong"/>
          <w:color w:val="000000"/>
          <w:szCs w:val="24"/>
          <w:u w:val="single"/>
        </w:rPr>
      </w:pPr>
      <w:r>
        <w:rPr>
          <w:b/>
        </w:rPr>
        <w:t>6.</w:t>
      </w:r>
      <w:r w:rsidR="00E036C4">
        <w:rPr>
          <w:b/>
        </w:rPr>
        <w:t xml:space="preserve"> </w:t>
      </w:r>
      <w:r w:rsidRPr="00E036C4">
        <w:rPr>
          <w:b/>
        </w:rPr>
        <w:t xml:space="preserve">Describe the consequences to the </w:t>
      </w:r>
      <w:r w:rsidRPr="00E036C4">
        <w:rPr>
          <w:b/>
          <w:szCs w:val="24"/>
        </w:rPr>
        <w:t>Federal program or policy activities if the collection is not conducted or is conducted less frequently</w:t>
      </w:r>
      <w:r w:rsidRPr="00B76A52">
        <w:rPr>
          <w:b/>
          <w:szCs w:val="24"/>
        </w:rPr>
        <w:t>.</w:t>
      </w:r>
      <w:r w:rsidRPr="00B76A52">
        <w:rPr>
          <w:szCs w:val="24"/>
        </w:rPr>
        <w:t xml:space="preserve"> </w:t>
      </w:r>
    </w:p>
    <w:p w:rsidR="007139E0" w:rsidP="005F7BDC" w:rsidRDefault="007139E0">
      <w:pPr>
        <w:rPr>
          <w:szCs w:val="24"/>
        </w:rPr>
      </w:pPr>
    </w:p>
    <w:p w:rsidR="005F7BDC" w:rsidP="005F7BDC" w:rsidRDefault="005F7BDC">
      <w:r w:rsidRPr="00B76A52">
        <w:rPr>
          <w:szCs w:val="24"/>
        </w:rPr>
        <w:t xml:space="preserve">If this information collection </w:t>
      </w:r>
      <w:r w:rsidR="0015755F">
        <w:rPr>
          <w:szCs w:val="24"/>
        </w:rPr>
        <w:t>is</w:t>
      </w:r>
      <w:r w:rsidRPr="00B76A52" w:rsidR="0015755F">
        <w:rPr>
          <w:szCs w:val="24"/>
        </w:rPr>
        <w:t xml:space="preserve"> </w:t>
      </w:r>
      <w:r w:rsidRPr="00B76A52">
        <w:rPr>
          <w:szCs w:val="24"/>
        </w:rPr>
        <w:t xml:space="preserve">not conducted, the </w:t>
      </w:r>
      <w:r w:rsidR="00B74209">
        <w:rPr>
          <w:szCs w:val="24"/>
        </w:rPr>
        <w:t>U</w:t>
      </w:r>
      <w:r w:rsidR="00FA379B">
        <w:rPr>
          <w:szCs w:val="24"/>
        </w:rPr>
        <w:t xml:space="preserve">nited </w:t>
      </w:r>
      <w:r w:rsidR="00B74209">
        <w:rPr>
          <w:szCs w:val="24"/>
        </w:rPr>
        <w:t>S</w:t>
      </w:r>
      <w:r w:rsidR="00FA379B">
        <w:rPr>
          <w:szCs w:val="24"/>
        </w:rPr>
        <w:t>tates</w:t>
      </w:r>
      <w:r w:rsidRPr="00B76A52">
        <w:rPr>
          <w:szCs w:val="24"/>
        </w:rPr>
        <w:t xml:space="preserve"> would have difficulty </w:t>
      </w:r>
      <w:r w:rsidR="00C5166D">
        <w:rPr>
          <w:szCs w:val="24"/>
        </w:rPr>
        <w:t xml:space="preserve">fulfilling </w:t>
      </w:r>
      <w:r w:rsidRPr="00B76A52">
        <w:rPr>
          <w:szCs w:val="24"/>
        </w:rPr>
        <w:t xml:space="preserve">international </w:t>
      </w:r>
      <w:r>
        <w:rPr>
          <w:szCs w:val="24"/>
        </w:rPr>
        <w:t xml:space="preserve">reporting </w:t>
      </w:r>
      <w:r w:rsidR="00C5166D">
        <w:rPr>
          <w:szCs w:val="24"/>
        </w:rPr>
        <w:t xml:space="preserve">and compliance </w:t>
      </w:r>
      <w:r w:rsidRPr="00B76A52">
        <w:rPr>
          <w:szCs w:val="24"/>
        </w:rPr>
        <w:t xml:space="preserve">obligations </w:t>
      </w:r>
      <w:r w:rsidR="007139E0">
        <w:rPr>
          <w:szCs w:val="24"/>
        </w:rPr>
        <w:t xml:space="preserve">at </w:t>
      </w:r>
      <w:r w:rsidRPr="00B76A52">
        <w:rPr>
          <w:szCs w:val="24"/>
        </w:rPr>
        <w:t>ICCAT</w:t>
      </w:r>
      <w:r>
        <w:t>, po</w:t>
      </w:r>
      <w:r w:rsidR="007139E0">
        <w:t>tential</w:t>
      </w:r>
      <w:r>
        <w:t>ly resulting in violations of ICCAT recommendations, including catch and capacity reporting requirements.</w:t>
      </w:r>
      <w:r w:rsidR="00E036C4">
        <w:t xml:space="preserve"> </w:t>
      </w:r>
      <w:r>
        <w:t xml:space="preserve">ICCAT penalties may include reduction in the assigned country catch quota </w:t>
      </w:r>
      <w:r w:rsidR="00702405">
        <w:t>or trade restrictive measures.</w:t>
      </w:r>
      <w:r w:rsidR="00E036C4">
        <w:t xml:space="preserve"> </w:t>
      </w:r>
      <w:r>
        <w:t>In addition, trade restrictions may be imposed on countries that fail to restrict catch to the level of the assigned quotas.</w:t>
      </w:r>
      <w:r w:rsidR="00E036C4">
        <w:t xml:space="preserve"> </w:t>
      </w:r>
    </w:p>
    <w:p w:rsidR="005F7BDC" w:rsidP="005F7BDC" w:rsidRDefault="005F7BDC"/>
    <w:p w:rsidR="005F7BDC" w:rsidP="005F7BDC" w:rsidRDefault="005F7BDC">
      <w:r>
        <w:t>Estimates of the status of the Atlantic HMS stocks would be less accurate without this information, since all contracting parties to ICCAT must submit catch and effort information on an annual basis.</w:t>
      </w:r>
      <w:r w:rsidR="00E036C4">
        <w:t xml:space="preserve"> </w:t>
      </w:r>
      <w:r>
        <w:t xml:space="preserve">Without such catch and effort statistics, the conservation and management objectives of ICCAT with respect to </w:t>
      </w:r>
      <w:r w:rsidR="00702405">
        <w:t>species</w:t>
      </w:r>
      <w:r w:rsidR="00542016">
        <w:t xml:space="preserve"> </w:t>
      </w:r>
      <w:r>
        <w:t>rebuilding programs could be jeopardized.</w:t>
      </w:r>
      <w:r w:rsidR="00E036C4">
        <w:t xml:space="preserve"> </w:t>
      </w:r>
      <w:r>
        <w:t xml:space="preserve">Furthermore, it would be difficult for the United States to formulate domestic policy consistent with the </w:t>
      </w:r>
      <w:r w:rsidR="00E83F22">
        <w:t>MSA</w:t>
      </w:r>
      <w:r>
        <w:t>, which must be based on</w:t>
      </w:r>
      <w:r w:rsidR="00D3042D">
        <w:t xml:space="preserve"> the best available scientific information, including</w:t>
      </w:r>
      <w:r>
        <w:t xml:space="preserve"> sound</w:t>
      </w:r>
      <w:r w:rsidR="00D3042D">
        <w:t xml:space="preserve"> data and related analyses.</w:t>
      </w:r>
      <w:r w:rsidR="00E036C4">
        <w:t xml:space="preserve"> </w:t>
      </w:r>
      <w:r>
        <w:t>NMFS would be less able to prepare documents such as Regulatory Impact Reviews</w:t>
      </w:r>
      <w:r w:rsidR="00702405">
        <w:t xml:space="preserve"> and</w:t>
      </w:r>
      <w:r>
        <w:t xml:space="preserve"> Environmental Impact Statements, as required under the M</w:t>
      </w:r>
      <w:r w:rsidR="00C5587B">
        <w:t>SA</w:t>
      </w:r>
      <w:r>
        <w:t xml:space="preserve">, </w:t>
      </w:r>
      <w:r w:rsidR="00702405">
        <w:t xml:space="preserve">the </w:t>
      </w:r>
      <w:r>
        <w:t>National Environmental Policy Act, and other applicable laws.</w:t>
      </w:r>
    </w:p>
    <w:p w:rsidR="005F7BDC" w:rsidP="005F7BDC" w:rsidRDefault="005F7BDC"/>
    <w:p w:rsidR="005F7BDC" w:rsidP="005F7BDC" w:rsidRDefault="00167FDC">
      <w:r w:rsidRPr="00B76A52">
        <w:rPr>
          <w:szCs w:val="24"/>
        </w:rPr>
        <w:t xml:space="preserve">If this information collection </w:t>
      </w:r>
      <w:r w:rsidR="0015755F">
        <w:rPr>
          <w:szCs w:val="24"/>
        </w:rPr>
        <w:t>is</w:t>
      </w:r>
      <w:r w:rsidRPr="00B76A52" w:rsidR="0015755F">
        <w:rPr>
          <w:szCs w:val="24"/>
        </w:rPr>
        <w:t xml:space="preserve"> </w:t>
      </w:r>
      <w:r w:rsidRPr="00B76A52">
        <w:rPr>
          <w:szCs w:val="24"/>
        </w:rPr>
        <w:t>not conducted</w:t>
      </w:r>
      <w:r w:rsidR="00B258CB">
        <w:rPr>
          <w:szCs w:val="24"/>
        </w:rPr>
        <w:t xml:space="preserve">, NMFS </w:t>
      </w:r>
      <w:r w:rsidR="0015755F">
        <w:rPr>
          <w:szCs w:val="24"/>
        </w:rPr>
        <w:t xml:space="preserve">also </w:t>
      </w:r>
      <w:r w:rsidR="00B258CB">
        <w:rPr>
          <w:szCs w:val="24"/>
        </w:rPr>
        <w:t xml:space="preserve">would not </w:t>
      </w:r>
      <w:r w:rsidR="0017112D">
        <w:rPr>
          <w:szCs w:val="24"/>
        </w:rPr>
        <w:t xml:space="preserve">be able to </w:t>
      </w:r>
      <w:r w:rsidR="00B258CB">
        <w:rPr>
          <w:szCs w:val="24"/>
        </w:rPr>
        <w:t>gather the annual permitting information that provides an</w:t>
      </w:r>
      <w:r w:rsidR="00B258CB">
        <w:t xml:space="preserve"> </w:t>
      </w:r>
      <w:r w:rsidR="005F7BDC">
        <w:t xml:space="preserve">accurate vessel list and facilitates quota monitoring and data collections necessary to meet ICCAT </w:t>
      </w:r>
      <w:r w:rsidR="00702405">
        <w:t>and MSA requirement</w:t>
      </w:r>
      <w:r w:rsidR="005F7BDC">
        <w:t>s.</w:t>
      </w:r>
      <w:r w:rsidR="00E036C4">
        <w:t xml:space="preserve"> </w:t>
      </w:r>
      <w:r w:rsidR="005F7BDC">
        <w:t>Widening the timeframe for collection of information on HMS fisheries participants (</w:t>
      </w:r>
      <w:r w:rsidRPr="00443AA3" w:rsidR="005F7BDC">
        <w:t>e.g.,</w:t>
      </w:r>
      <w:r w:rsidR="005F7BDC">
        <w:t xml:space="preserve"> every two years rather than annually) would provide a less accurate sampling frame that is the basis for fleet size calculations used for annual catch and effort estimates.</w:t>
      </w:r>
      <w:r w:rsidR="00E036C4">
        <w:t xml:space="preserve"> </w:t>
      </w:r>
      <w:r w:rsidR="005F7BDC">
        <w:t>Many vessels are sold, transferred, or move to new locations from year to year.</w:t>
      </w:r>
      <w:r w:rsidR="00E036C4">
        <w:t xml:space="preserve"> </w:t>
      </w:r>
    </w:p>
    <w:p w:rsidR="005F7BDC" w:rsidP="005F7BDC" w:rsidRDefault="005F7BDC"/>
    <w:p w:rsidR="005F7BDC" w:rsidRDefault="005F7BDC">
      <w:r>
        <w:rPr>
          <w:b/>
        </w:rPr>
        <w:t>7.</w:t>
      </w:r>
      <w:r w:rsidR="00E036C4">
        <w:rPr>
          <w:b/>
        </w:rPr>
        <w:t xml:space="preserve"> </w:t>
      </w:r>
      <w:r w:rsidRPr="00E036C4">
        <w:rPr>
          <w:b/>
        </w:rPr>
        <w:t>Explain any special circumstances that require the collection to be conducted in a manner inconsistent with OMB guidelines</w:t>
      </w:r>
      <w:r>
        <w:rPr>
          <w:b/>
        </w:rPr>
        <w:t xml:space="preserve">. </w:t>
      </w:r>
    </w:p>
    <w:p w:rsidR="005F7BDC" w:rsidRDefault="005F7BDC"/>
    <w:p w:rsidR="00FD7344" w:rsidP="00FD7344" w:rsidRDefault="00E84B78">
      <w:r>
        <w:t>This collection will be conducted in a manner consistent with OMB guidelines</w:t>
      </w:r>
      <w:r w:rsidR="00FD7344">
        <w:t>.</w:t>
      </w:r>
    </w:p>
    <w:p w:rsidR="003C5F4A" w:rsidRDefault="003C5F4A">
      <w:pPr>
        <w:rPr>
          <w:b/>
        </w:rPr>
      </w:pPr>
    </w:p>
    <w:p w:rsidR="005F7BDC" w:rsidRDefault="005F7BDC">
      <w:pPr>
        <w:rPr>
          <w:b/>
        </w:rPr>
      </w:pPr>
      <w:r>
        <w:rPr>
          <w:b/>
        </w:rPr>
        <w:t>8.</w:t>
      </w:r>
      <w:r w:rsidR="00E036C4">
        <w:rPr>
          <w:b/>
        </w:rPr>
        <w:t xml:space="preserve"> </w:t>
      </w:r>
      <w:r w:rsidR="00E036C4">
        <w:rPr>
          <w:b/>
          <w:bCs/>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b/>
        </w:rPr>
        <w:t>.</w:t>
      </w:r>
    </w:p>
    <w:p w:rsidRPr="001D5379" w:rsidR="005F7BDC" w:rsidP="005F7BDC" w:rsidRDefault="005F7BDC"/>
    <w:p w:rsidR="00A234BC" w:rsidRDefault="00B74209">
      <w:r>
        <w:t xml:space="preserve">A </w:t>
      </w:r>
      <w:r w:rsidRPr="009C6531">
        <w:rPr>
          <w:u w:val="single"/>
        </w:rPr>
        <w:t>Federal</w:t>
      </w:r>
      <w:r>
        <w:t xml:space="preserve"> </w:t>
      </w:r>
      <w:r w:rsidRPr="009C6531">
        <w:rPr>
          <w:u w:val="single"/>
        </w:rPr>
        <w:t>Register</w:t>
      </w:r>
      <w:r>
        <w:t xml:space="preserve"> </w:t>
      </w:r>
      <w:r w:rsidR="003C5F4A">
        <w:t>N</w:t>
      </w:r>
      <w:r>
        <w:t xml:space="preserve">otice published on </w:t>
      </w:r>
      <w:r w:rsidR="00080D48">
        <w:t>June 8</w:t>
      </w:r>
      <w:r>
        <w:t>, 20</w:t>
      </w:r>
      <w:r w:rsidR="00080D48">
        <w:t>21</w:t>
      </w:r>
      <w:r>
        <w:t xml:space="preserve"> (</w:t>
      </w:r>
      <w:r w:rsidR="00305B9F">
        <w:t>8</w:t>
      </w:r>
      <w:r w:rsidR="00080D48">
        <w:t>6</w:t>
      </w:r>
      <w:r>
        <w:t xml:space="preserve"> FR </w:t>
      </w:r>
      <w:r w:rsidR="00080D48">
        <w:t>30411</w:t>
      </w:r>
      <w:r>
        <w:t>)</w:t>
      </w:r>
      <w:r w:rsidR="00D1787E">
        <w:t xml:space="preserve"> </w:t>
      </w:r>
      <w:r>
        <w:t>solicited public comment</w:t>
      </w:r>
      <w:r w:rsidR="00C5166D">
        <w:t xml:space="preserve"> regarding </w:t>
      </w:r>
      <w:r w:rsidR="00C20FDF">
        <w:t xml:space="preserve">the </w:t>
      </w:r>
      <w:r w:rsidR="003C5F4A">
        <w:t xml:space="preserve">revision and </w:t>
      </w:r>
      <w:r w:rsidR="00D1787E">
        <w:t>extension</w:t>
      </w:r>
      <w:r w:rsidR="00C5166D">
        <w:t xml:space="preserve"> of this information collection</w:t>
      </w:r>
      <w:r>
        <w:t>.</w:t>
      </w:r>
      <w:r w:rsidR="00E036C4">
        <w:t xml:space="preserve"> </w:t>
      </w:r>
      <w:r w:rsidR="00C319BE">
        <w:t xml:space="preserve">No comments were received as a result of this solicitation; however, the HMS </w:t>
      </w:r>
      <w:r w:rsidR="00CF19D0">
        <w:t xml:space="preserve">Management </w:t>
      </w:r>
      <w:r w:rsidR="00C319BE">
        <w:t xml:space="preserve">Division has received comments relevant to this ICR via other channels. On multiple occasions, HMS </w:t>
      </w:r>
      <w:r w:rsidR="00A43BA6">
        <w:t>A</w:t>
      </w:r>
      <w:r w:rsidR="00C319BE">
        <w:t xml:space="preserve">dvisory </w:t>
      </w:r>
      <w:r w:rsidR="00A43BA6">
        <w:t>P</w:t>
      </w:r>
      <w:r w:rsidR="00C319BE">
        <w:t xml:space="preserve">anel members have encouraged the agency to automatically add anyone purchasing an HMS permit to the HMS </w:t>
      </w:r>
      <w:r w:rsidR="00A43BA6">
        <w:t xml:space="preserve">News </w:t>
      </w:r>
      <w:r w:rsidR="00C319BE">
        <w:t>listserv list</w:t>
      </w:r>
      <w:r w:rsidR="00092CFB">
        <w:t xml:space="preserve"> (</w:t>
      </w:r>
      <w:r w:rsidRPr="00A43BA6" w:rsidR="00092CFB">
        <w:t>https://public.govdelivery.com/accounts/USNOAAFISHERIES/signup/12427</w:t>
      </w:r>
      <w:r w:rsidR="00092CFB">
        <w:t>)</w:t>
      </w:r>
      <w:r w:rsidR="00C319BE">
        <w:t xml:space="preserve"> if they provide an email address. The HMS listserv regularly sends out notifications regarding changes to the regulations, rulemakings, inseason actions openings and closing various HMS fisheries, and similar topics of interest to HMS constituents. Previously, individual purchasing HMS permits have been asked if they would like to receive HMS listserv notices,</w:t>
      </w:r>
      <w:r w:rsidR="00EC7C96">
        <w:t xml:space="preserve"> which is considered an “opt-in” model.</w:t>
      </w:r>
      <w:r w:rsidR="00C319BE">
        <w:t xml:space="preserve"> </w:t>
      </w:r>
      <w:r w:rsidR="00EC7C96">
        <w:t>C</w:t>
      </w:r>
      <w:r w:rsidR="00C319BE">
        <w:t xml:space="preserve">ommenters have recommended the agency </w:t>
      </w:r>
      <w:r w:rsidR="00EC7C96">
        <w:t>change this to</w:t>
      </w:r>
      <w:r w:rsidR="00C319BE">
        <w:t xml:space="preserve"> an “</w:t>
      </w:r>
      <w:r w:rsidR="00EC7C96">
        <w:t>o</w:t>
      </w:r>
      <w:r w:rsidR="00C319BE">
        <w:t>pt</w:t>
      </w:r>
      <w:r w:rsidR="00EC7C96">
        <w:t>-o</w:t>
      </w:r>
      <w:r w:rsidR="00C319BE">
        <w:t>ut”</w:t>
      </w:r>
      <w:r w:rsidR="00EC7C96">
        <w:t xml:space="preserve"> model, where those purchasing permits must instead uncheck a box to remove their email from the HMS listserv. Based on these comments, NOAA Fisheries has decided to modify the permit application process to use an “opt-out” approach for the HMS listserv.</w:t>
      </w:r>
      <w:r w:rsidDel="00CF19D0" w:rsidR="00CF19D0">
        <w:t xml:space="preserve"> </w:t>
      </w:r>
    </w:p>
    <w:p w:rsidR="00E84B78" w:rsidRDefault="00E84B78"/>
    <w:p w:rsidRPr="00E84B78" w:rsidR="00E84B78" w:rsidRDefault="00E84B78">
      <w:r>
        <w:t>Additionally, NMFS reached out to several HMS Advisory Panel members and permit holders</w:t>
      </w:r>
      <w:r w:rsidRPr="00E84B78">
        <w:t xml:space="preserve"> to obtain their views on the availability of data, frequency of collection, the clarity of instructions and recordkeeping, disclosure, or reporting format (if any), and on the data elements to be recorded, disclosed, or reported.</w:t>
      </w:r>
      <w:r>
        <w:t xml:space="preserve">  No comments were received.</w:t>
      </w:r>
    </w:p>
    <w:p w:rsidR="0017112D" w:rsidRDefault="0017112D"/>
    <w:p w:rsidR="005F7BDC" w:rsidRDefault="005F7BDC">
      <w:r>
        <w:rPr>
          <w:b/>
        </w:rPr>
        <w:t>9.</w:t>
      </w:r>
      <w:r w:rsidR="00E036C4">
        <w:rPr>
          <w:b/>
        </w:rPr>
        <w:t xml:space="preserve"> </w:t>
      </w:r>
      <w:r w:rsidRPr="00E036C4">
        <w:rPr>
          <w:b/>
        </w:rPr>
        <w:t>Explain any decisions to provide payments or gifts to respondents, other than remuneration of contractors or grantees</w:t>
      </w:r>
      <w:r>
        <w:rPr>
          <w:b/>
        </w:rPr>
        <w:t>.</w:t>
      </w:r>
    </w:p>
    <w:p w:rsidR="005F7BDC" w:rsidRDefault="005F7BDC"/>
    <w:p w:rsidR="005F7BDC" w:rsidRDefault="005F7BDC">
      <w:r>
        <w:t xml:space="preserve">There are no payments or </w:t>
      </w:r>
      <w:r w:rsidR="00B74209">
        <w:t>gifts</w:t>
      </w:r>
      <w:r>
        <w:t xml:space="preserve"> to respondents.</w:t>
      </w:r>
    </w:p>
    <w:p w:rsidR="005F7BDC" w:rsidRDefault="005F7BDC"/>
    <w:p w:rsidR="005F7BDC" w:rsidRDefault="005F7BDC">
      <w:r>
        <w:rPr>
          <w:b/>
        </w:rPr>
        <w:t>10.</w:t>
      </w:r>
      <w:r w:rsidR="00E036C4">
        <w:rPr>
          <w:b/>
        </w:rPr>
        <w:t xml:space="preserve"> </w:t>
      </w:r>
      <w:r w:rsidR="00E036C4">
        <w:rPr>
          <w:b/>
          <w:bCs/>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Pr>
          <w:b/>
        </w:rPr>
        <w:t>.</w:t>
      </w:r>
    </w:p>
    <w:p w:rsidR="005F7BDC" w:rsidRDefault="005F7BDC"/>
    <w:p w:rsidR="005F7BDC" w:rsidP="005F7BDC" w:rsidRDefault="00485FF3">
      <w:r>
        <w:t>As stated on the forms, t</w:t>
      </w:r>
      <w:r w:rsidRPr="0066541C" w:rsidR="005F7BDC">
        <w:t xml:space="preserve">he information collected </w:t>
      </w:r>
      <w:r w:rsidR="00073112">
        <w:t xml:space="preserve">will be handled as </w:t>
      </w:r>
      <w:r w:rsidRPr="0066541C" w:rsidR="005F7BDC">
        <w:t>confidential</w:t>
      </w:r>
      <w:r w:rsidR="00073112">
        <w:t xml:space="preserve"> material</w:t>
      </w:r>
      <w:r w:rsidRPr="0066541C" w:rsidR="005F7BDC">
        <w:t xml:space="preserve"> </w:t>
      </w:r>
      <w:r w:rsidR="00D3042D">
        <w:t xml:space="preserve">to the extent required </w:t>
      </w:r>
      <w:r w:rsidRPr="0066541C" w:rsidR="005F7BDC">
        <w:t xml:space="preserve">under section 402(b) of the </w:t>
      </w:r>
      <w:r w:rsidR="00E83F22">
        <w:t>MSA</w:t>
      </w:r>
      <w:r w:rsidRPr="0066541C" w:rsidR="005F7BDC">
        <w:t>, as amended in 2006</w:t>
      </w:r>
      <w:r w:rsidR="00073112">
        <w:t>, and</w:t>
      </w:r>
      <w:r w:rsidRPr="0066541C" w:rsidR="005F7BDC">
        <w:t xml:space="preserve"> </w:t>
      </w:r>
      <w:hyperlink w:history="1" r:id="rId17">
        <w:r w:rsidRPr="00BC44B3" w:rsidR="005F7BDC">
          <w:rPr>
            <w:rStyle w:val="Hyperlink"/>
          </w:rPr>
          <w:t>NOAA Administrative Order 216.100</w:t>
        </w:r>
      </w:hyperlink>
      <w:r w:rsidRPr="0066541C" w:rsidR="005F7BDC">
        <w:t>, which sets forth procedures to protect confiden</w:t>
      </w:r>
      <w:r w:rsidR="005F7BDC">
        <w:t>tiality of fishery statistics.</w:t>
      </w:r>
      <w:r w:rsidR="00073112">
        <w:t xml:space="preserve"> </w:t>
      </w:r>
      <w:r w:rsidR="00542E92">
        <w:t>P</w:t>
      </w:r>
      <w:r w:rsidR="000844A9">
        <w:t xml:space="preserve">ermit holder names and addresses are considered non-confidential, and are regularly posted on various NMFS websites. </w:t>
      </w:r>
      <w:r w:rsidR="0086026C">
        <w:t xml:space="preserve">Phone number, fax and email information, TIN and </w:t>
      </w:r>
      <w:r w:rsidR="00CF19D0">
        <w:t>date of birth</w:t>
      </w:r>
      <w:r w:rsidR="0086026C">
        <w:t xml:space="preserve"> are </w:t>
      </w:r>
      <w:r w:rsidR="000844A9">
        <w:t xml:space="preserve">considered confidential, and are </w:t>
      </w:r>
      <w:r w:rsidR="0086026C">
        <w:t xml:space="preserve">not released to the public. </w:t>
      </w:r>
      <w:r w:rsidR="00D3042D">
        <w:t>Generally, t</w:t>
      </w:r>
      <w:r w:rsidR="00073112">
        <w:t xml:space="preserve">he agency does not release confidential information submitted in compliance with provisions of the Act, other than in aggregate form or under circumstances </w:t>
      </w:r>
      <w:r w:rsidR="00D3042D">
        <w:t xml:space="preserve">otherwise </w:t>
      </w:r>
      <w:r w:rsidR="00073112">
        <w:t>required or authorized by law.</w:t>
      </w:r>
    </w:p>
    <w:p w:rsidR="005F7BDC" w:rsidP="005F7BDC" w:rsidRDefault="005F7BDC"/>
    <w:p w:rsidR="005F7BDC" w:rsidP="005F7BDC" w:rsidRDefault="005F7BDC">
      <w:pPr>
        <w:rPr>
          <w:rFonts w:ascii="Melior-Bold" w:hAnsi="Melior-Bold" w:cs="Melior-Bold"/>
          <w:b/>
          <w:bCs/>
          <w:sz w:val="22"/>
          <w:szCs w:val="22"/>
        </w:rPr>
      </w:pPr>
      <w:r>
        <w:t xml:space="preserve">A Privacy Act System of Records Notice, </w:t>
      </w:r>
      <w:hyperlink w:history="1" r:id="rId18">
        <w:r w:rsidRPr="00B16E90">
          <w:rPr>
            <w:rStyle w:val="Hyperlink"/>
          </w:rPr>
          <w:t>Commerce/NOAA-19</w:t>
        </w:r>
      </w:hyperlink>
      <w:r>
        <w:t xml:space="preserve">, Permits and Registrations for United States Federally Regulated Fisheries, was published in the </w:t>
      </w:r>
      <w:r w:rsidRPr="006C3D50">
        <w:rPr>
          <w:u w:val="single"/>
        </w:rPr>
        <w:t>Federal</w:t>
      </w:r>
      <w:r>
        <w:t xml:space="preserve"> </w:t>
      </w:r>
      <w:r w:rsidRPr="006C3D50">
        <w:rPr>
          <w:u w:val="single"/>
        </w:rPr>
        <w:t>Register</w:t>
      </w:r>
      <w:r>
        <w:t xml:space="preserve"> on </w:t>
      </w:r>
      <w:r w:rsidR="00AF2D63">
        <w:t>August 25</w:t>
      </w:r>
      <w:r>
        <w:t>, 20</w:t>
      </w:r>
      <w:r w:rsidR="00AF2D63">
        <w:t>20</w:t>
      </w:r>
      <w:r>
        <w:t xml:space="preserve"> (</w:t>
      </w:r>
      <w:r w:rsidR="00AF2D63">
        <w:t>85</w:t>
      </w:r>
      <w:r>
        <w:t xml:space="preserve"> FR </w:t>
      </w:r>
      <w:r w:rsidR="00AF2D63">
        <w:t>52303</w:t>
      </w:r>
      <w:r>
        <w:rPr>
          <w:rFonts w:ascii="Melior-Bold" w:hAnsi="Melior-Bold" w:cs="Melior-Bold"/>
          <w:b/>
          <w:bCs/>
          <w:sz w:val="22"/>
          <w:szCs w:val="22"/>
        </w:rPr>
        <w:t>).</w:t>
      </w:r>
      <w:r w:rsidR="00D1787E">
        <w:rPr>
          <w:rFonts w:ascii="Melior-Bold" w:hAnsi="Melior-Bold" w:cs="Melior-Bold"/>
          <w:b/>
          <w:bCs/>
          <w:sz w:val="22"/>
          <w:szCs w:val="22"/>
        </w:rPr>
        <w:t xml:space="preserve"> </w:t>
      </w:r>
    </w:p>
    <w:p w:rsidR="00AF2D63" w:rsidP="005F7BDC" w:rsidRDefault="00AF2D63"/>
    <w:p w:rsidR="005F7BDC" w:rsidRDefault="005F7BDC">
      <w:r>
        <w:rPr>
          <w:b/>
        </w:rPr>
        <w:t>11.</w:t>
      </w:r>
      <w:r w:rsidR="00E036C4">
        <w:rPr>
          <w:b/>
        </w:rPr>
        <w:t xml:space="preserve"> </w:t>
      </w:r>
      <w:r w:rsidR="00E036C4">
        <w:rPr>
          <w:b/>
          <w:bCs/>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w:t>
      </w:r>
    </w:p>
    <w:p w:rsidR="00486F81" w:rsidP="005F7BDC" w:rsidRDefault="00486F81"/>
    <w:p w:rsidR="005F7BDC" w:rsidP="005F7BDC" w:rsidRDefault="005F7BDC">
      <w:r w:rsidRPr="00054C46">
        <w:t>No sensitive questions are asked.</w:t>
      </w:r>
    </w:p>
    <w:p w:rsidR="00610292" w:rsidRDefault="00610292">
      <w:pPr>
        <w:rPr>
          <w:b/>
        </w:rPr>
      </w:pPr>
    </w:p>
    <w:p w:rsidR="005F7BDC" w:rsidRDefault="005F7BDC">
      <w:pPr>
        <w:rPr>
          <w:b/>
        </w:rPr>
      </w:pPr>
      <w:r>
        <w:rPr>
          <w:b/>
        </w:rPr>
        <w:t>12.</w:t>
      </w:r>
      <w:r w:rsidR="00E036C4">
        <w:rPr>
          <w:b/>
        </w:rPr>
        <w:t xml:space="preserve"> </w:t>
      </w:r>
      <w:r w:rsidR="00E036C4">
        <w:rPr>
          <w:b/>
          <w:bCs/>
          <w:color w:val="000000"/>
        </w:rPr>
        <w:t>Provide estimates of the hour burden of the collection of information</w:t>
      </w:r>
      <w:r>
        <w:rPr>
          <w:b/>
        </w:rPr>
        <w:t>.</w:t>
      </w:r>
    </w:p>
    <w:p w:rsidR="005F7BDC" w:rsidRDefault="005F7BDC"/>
    <w:p w:rsidR="00926514" w:rsidP="00926514" w:rsidRDefault="004B7B98">
      <w:r>
        <w:t>Numbers of respondents, responses, b</w:t>
      </w:r>
      <w:r w:rsidR="005F7BDC">
        <w:t>urden hours</w:t>
      </w:r>
      <w:r w:rsidR="00633A01">
        <w:t xml:space="preserve"> </w:t>
      </w:r>
      <w:r w:rsidR="005F7BDC">
        <w:t xml:space="preserve">and </w:t>
      </w:r>
      <w:r w:rsidR="00102255">
        <w:t xml:space="preserve">recordkeeping/reporting </w:t>
      </w:r>
      <w:r w:rsidR="005F7BDC">
        <w:t>costs for each permit are given in the table below.</w:t>
      </w:r>
      <w:r w:rsidR="00E036C4">
        <w:t xml:space="preserve"> </w:t>
      </w:r>
      <w:r w:rsidR="005F7BDC">
        <w:t>For most permit types, the number of respondents</w:t>
      </w:r>
      <w:r w:rsidR="00B944DA">
        <w:t>/responses in the first column</w:t>
      </w:r>
      <w:r w:rsidR="005F7BDC">
        <w:t xml:space="preserve"> </w:t>
      </w:r>
      <w:r w:rsidR="00B74209">
        <w:t>is</w:t>
      </w:r>
      <w:r w:rsidR="005F7BDC">
        <w:t xml:space="preserve"> </w:t>
      </w:r>
      <w:r w:rsidR="00B74209">
        <w:t xml:space="preserve">based </w:t>
      </w:r>
      <w:r w:rsidR="00BE3801">
        <w:t>up</w:t>
      </w:r>
      <w:r w:rsidR="00B74209">
        <w:t>on</w:t>
      </w:r>
      <w:r w:rsidR="005F7BDC">
        <w:t xml:space="preserve"> act</w:t>
      </w:r>
      <w:r w:rsidR="00153256">
        <w:t>u</w:t>
      </w:r>
      <w:r w:rsidR="005F7BDC">
        <w:t xml:space="preserve">al </w:t>
      </w:r>
      <w:r w:rsidR="00615C4A">
        <w:t>20</w:t>
      </w:r>
      <w:r w:rsidR="00CD05C8">
        <w:t>20</w:t>
      </w:r>
      <w:r w:rsidR="00615C4A">
        <w:t xml:space="preserve"> </w:t>
      </w:r>
      <w:r w:rsidR="005F7BDC">
        <w:t>data.</w:t>
      </w:r>
      <w:r w:rsidR="00502546">
        <w:t xml:space="preserve"> </w:t>
      </w:r>
    </w:p>
    <w:p w:rsidR="001C5FC7" w:rsidP="00926514" w:rsidRDefault="001C5FC7"/>
    <w:p w:rsidRPr="00926514" w:rsidR="001C5FC7" w:rsidP="00926514" w:rsidRDefault="001C5FC7"/>
    <w:p w:rsidR="003C5F4A" w:rsidP="009447E3" w:rsidRDefault="003C5F4A">
      <w:pPr>
        <w:rPr>
          <w:sz w:val="20"/>
        </w:rPr>
      </w:pPr>
    </w:p>
    <w:p w:rsidRPr="00C85F71" w:rsidR="003C5F4A" w:rsidP="00C85F71" w:rsidRDefault="00FA2901">
      <w:pPr>
        <w:tabs>
          <w:tab w:val="left" w:pos="1080"/>
        </w:tabs>
        <w:ind w:left="1080" w:hanging="1080"/>
        <w:rPr>
          <w:b/>
          <w:szCs w:val="24"/>
        </w:rPr>
      </w:pPr>
      <w:r w:rsidRPr="00C85F71">
        <w:rPr>
          <w:b/>
          <w:szCs w:val="24"/>
        </w:rPr>
        <w:t>Table 1.</w:t>
      </w:r>
      <w:r w:rsidR="00C85F71">
        <w:rPr>
          <w:b/>
          <w:szCs w:val="24"/>
        </w:rPr>
        <w:tab/>
      </w:r>
      <w:r w:rsidRPr="00C85F71">
        <w:rPr>
          <w:b/>
          <w:szCs w:val="24"/>
        </w:rPr>
        <w:t>Estimates of hourly burden and wage costs asso</w:t>
      </w:r>
      <w:r w:rsidR="00C85F71">
        <w:rPr>
          <w:b/>
          <w:szCs w:val="24"/>
        </w:rPr>
        <w:t xml:space="preserve">ciated with annual applications </w:t>
      </w:r>
      <w:r w:rsidRPr="00C85F71">
        <w:rPr>
          <w:b/>
          <w:szCs w:val="24"/>
        </w:rPr>
        <w:t>for Atlantic HMS vessel permits</w:t>
      </w:r>
    </w:p>
    <w:p w:rsidR="00FA2901" w:rsidP="009447E3" w:rsidRDefault="00FA2901">
      <w:pPr>
        <w:rPr>
          <w:sz w:val="20"/>
        </w:rPr>
      </w:pPr>
    </w:p>
    <w:tbl>
      <w:tblPr>
        <w:tblW w:w="10440" w:type="dxa"/>
        <w:tblInd w:w="-72" w:type="dxa"/>
        <w:tblLayout w:type="fixed"/>
        <w:tblLook w:val="0000" w:firstRow="0" w:lastRow="0" w:firstColumn="0" w:lastColumn="0" w:noHBand="0" w:noVBand="0"/>
      </w:tblPr>
      <w:tblGrid>
        <w:gridCol w:w="1620"/>
        <w:gridCol w:w="1170"/>
        <w:gridCol w:w="1080"/>
        <w:gridCol w:w="1080"/>
        <w:gridCol w:w="1170"/>
        <w:gridCol w:w="990"/>
        <w:gridCol w:w="1170"/>
        <w:gridCol w:w="1080"/>
        <w:gridCol w:w="1080"/>
      </w:tblGrid>
      <w:tr w:rsidR="00EC7C96" w:rsidTr="00121F2F">
        <w:tblPrEx>
          <w:tblCellMar>
            <w:top w:w="0" w:type="dxa"/>
            <w:bottom w:w="0" w:type="dxa"/>
          </w:tblCellMar>
        </w:tblPrEx>
        <w:trPr>
          <w:trHeight w:val="1075"/>
        </w:trPr>
        <w:tc>
          <w:tcPr>
            <w:tcW w:w="1620" w:type="dxa"/>
            <w:tcBorders>
              <w:top w:val="single" w:color="000000" w:sz="12" w:space="0"/>
              <w:left w:val="single" w:color="000000" w:sz="12" w:space="0"/>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Information Collection</w:t>
            </w:r>
          </w:p>
        </w:tc>
        <w:tc>
          <w:tcPr>
            <w:tcW w:w="1170" w:type="dxa"/>
            <w:tcBorders>
              <w:top w:val="single" w:color="000000" w:sz="12" w:space="0"/>
              <w:left w:val="single" w:color="000000" w:sz="12" w:space="0"/>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Type of Respondent (e.g., Occupational Title)</w:t>
            </w:r>
          </w:p>
        </w:tc>
        <w:tc>
          <w:tcPr>
            <w:tcW w:w="108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 of Respondents/year</w:t>
            </w:r>
          </w:p>
        </w:tc>
        <w:tc>
          <w:tcPr>
            <w:tcW w:w="108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Annual # of Responses / Respondent</w:t>
            </w:r>
          </w:p>
        </w:tc>
        <w:tc>
          <w:tcPr>
            <w:tcW w:w="117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 xml:space="preserve"> </w:t>
            </w: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Total # of Annual Responses</w:t>
            </w:r>
          </w:p>
        </w:tc>
        <w:tc>
          <w:tcPr>
            <w:tcW w:w="99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Burden Hrs / Response</w:t>
            </w:r>
          </w:p>
        </w:tc>
        <w:tc>
          <w:tcPr>
            <w:tcW w:w="117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Total Annual Burden Hrs</w:t>
            </w:r>
          </w:p>
        </w:tc>
        <w:tc>
          <w:tcPr>
            <w:tcW w:w="108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Hourly Wage Rate (for Type of Respondent)</w:t>
            </w:r>
          </w:p>
        </w:tc>
        <w:tc>
          <w:tcPr>
            <w:tcW w:w="1080" w:type="dxa"/>
            <w:tcBorders>
              <w:top w:val="single" w:color="000000" w:sz="12" w:space="0"/>
              <w:left w:val="nil"/>
              <w:bottom w:val="nil"/>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Total Annual Wage Burden Costs</w:t>
            </w:r>
          </w:p>
        </w:tc>
      </w:tr>
      <w:tr w:rsidR="00EC7C96" w:rsidTr="00121F2F">
        <w:tblPrEx>
          <w:tblCellMar>
            <w:top w:w="0" w:type="dxa"/>
            <w:bottom w:w="0" w:type="dxa"/>
          </w:tblCellMar>
        </w:tblPrEx>
        <w:trPr>
          <w:trHeight w:val="301"/>
        </w:trPr>
        <w:tc>
          <w:tcPr>
            <w:tcW w:w="1620" w:type="dxa"/>
            <w:tcBorders>
              <w:top w:val="nil"/>
              <w:left w:val="single" w:color="000000" w:sz="12" w:space="0"/>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tc>
        <w:tc>
          <w:tcPr>
            <w:tcW w:w="1170" w:type="dxa"/>
            <w:tcBorders>
              <w:top w:val="nil"/>
              <w:left w:val="single" w:color="000000" w:sz="12" w:space="0"/>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p>
        </w:tc>
        <w:tc>
          <w:tcPr>
            <w:tcW w:w="108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(a)</w:t>
            </w:r>
          </w:p>
        </w:tc>
        <w:tc>
          <w:tcPr>
            <w:tcW w:w="108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(b)</w:t>
            </w:r>
          </w:p>
        </w:tc>
        <w:tc>
          <w:tcPr>
            <w:tcW w:w="117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(c) = (a) x (b)</w:t>
            </w:r>
          </w:p>
        </w:tc>
        <w:tc>
          <w:tcPr>
            <w:tcW w:w="99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(d)</w:t>
            </w:r>
          </w:p>
        </w:tc>
        <w:tc>
          <w:tcPr>
            <w:tcW w:w="117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(e)  = (c) x (d)</w:t>
            </w:r>
          </w:p>
        </w:tc>
        <w:tc>
          <w:tcPr>
            <w:tcW w:w="108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(f)</w:t>
            </w:r>
          </w:p>
        </w:tc>
        <w:tc>
          <w:tcPr>
            <w:tcW w:w="1080" w:type="dxa"/>
            <w:tcBorders>
              <w:top w:val="nil"/>
              <w:left w:val="nil"/>
              <w:bottom w:val="single" w:color="000000" w:sz="12" w:space="0"/>
              <w:right w:val="single" w:color="000000" w:sz="12" w:space="0"/>
            </w:tcBorders>
            <w:shd w:val="solid" w:color="99CCFF" w:fill="auto"/>
          </w:tcPr>
          <w:p w:rsidRPr="00EC7C96" w:rsidR="00FA2901" w:rsidRDefault="00FA2901">
            <w:pPr>
              <w:autoSpaceDE w:val="0"/>
              <w:autoSpaceDN w:val="0"/>
              <w:adjustRightInd w:val="0"/>
              <w:jc w:val="center"/>
              <w:rPr>
                <w:rFonts w:ascii="Calibri" w:hAnsi="Calibri" w:cs="Calibri"/>
                <w:b/>
                <w:bCs/>
                <w:color w:val="000000"/>
                <w:sz w:val="16"/>
                <w:szCs w:val="16"/>
              </w:rPr>
            </w:pPr>
            <w:r w:rsidRPr="00EC7C96">
              <w:rPr>
                <w:rFonts w:ascii="Calibri" w:hAnsi="Calibri" w:cs="Calibri"/>
                <w:b/>
                <w:bCs/>
                <w:color w:val="000000"/>
                <w:sz w:val="16"/>
                <w:szCs w:val="16"/>
              </w:rPr>
              <w:t>(g) = (e) x (f)</w:t>
            </w:r>
          </w:p>
        </w:tc>
      </w:tr>
      <w:tr w:rsidR="00EC7C96" w:rsidTr="00121F2F">
        <w:tblPrEx>
          <w:tblCellMar>
            <w:top w:w="0" w:type="dxa"/>
            <w:bottom w:w="0" w:type="dxa"/>
          </w:tblCellMar>
        </w:tblPrEx>
        <w:trPr>
          <w:trHeight w:val="301"/>
        </w:trPr>
        <w:tc>
          <w:tcPr>
            <w:tcW w:w="1620" w:type="dxa"/>
            <w:tcBorders>
              <w:top w:val="nil"/>
              <w:left w:val="single" w:color="000000" w:sz="12" w:space="0"/>
              <w:bottom w:val="single" w:color="000000" w:sz="12" w:space="0"/>
              <w:right w:val="single" w:color="000000" w:sz="12" w:space="0"/>
            </w:tcBorders>
          </w:tcPr>
          <w:p w:rsidRPr="00EC7C96" w:rsidR="00FA2901" w:rsidRDefault="00FA2901">
            <w:pPr>
              <w:autoSpaceDE w:val="0"/>
              <w:autoSpaceDN w:val="0"/>
              <w:adjustRightInd w:val="0"/>
              <w:rPr>
                <w:rFonts w:ascii="Calibri" w:hAnsi="Calibri" w:cs="Calibri"/>
                <w:b/>
                <w:bCs/>
                <w:color w:val="000000"/>
                <w:sz w:val="16"/>
              </w:rPr>
            </w:pPr>
            <w:r w:rsidRPr="00EC7C96">
              <w:rPr>
                <w:rFonts w:ascii="Calibri" w:hAnsi="Calibri" w:cs="Calibri"/>
                <w:b/>
                <w:bCs/>
                <w:color w:val="000000"/>
                <w:sz w:val="16"/>
              </w:rPr>
              <w:t>Vessel Permits</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p>
        </w:tc>
      </w:tr>
      <w:tr w:rsidR="00EC7C96" w:rsidTr="00121F2F">
        <w:tblPrEx>
          <w:tblCellMar>
            <w:top w:w="0" w:type="dxa"/>
            <w:bottom w:w="0" w:type="dxa"/>
          </w:tblCellMar>
        </w:tblPrEx>
        <w:trPr>
          <w:trHeight w:val="989"/>
        </w:trPr>
        <w:tc>
          <w:tcPr>
            <w:tcW w:w="1620" w:type="dxa"/>
            <w:tcBorders>
              <w:top w:val="single" w:color="auto" w:sz="12" w:space="0"/>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INITIAL -- Atlantic Tunas (General, Harpoon &amp; Trap categories), HMS Charter/</w:t>
            </w:r>
            <w:r w:rsidR="00C5587B">
              <w:rPr>
                <w:rFonts w:ascii="Calibri" w:hAnsi="Calibri" w:cs="Calibri"/>
                <w:color w:val="000000"/>
                <w:sz w:val="16"/>
              </w:rPr>
              <w:t>H</w:t>
            </w:r>
            <w:r w:rsidRPr="00EC7C96">
              <w:rPr>
                <w:rFonts w:ascii="Calibri" w:hAnsi="Calibri" w:cs="Calibri"/>
                <w:color w:val="000000"/>
                <w:sz w:val="16"/>
              </w:rPr>
              <w:t>eadboat</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1,500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1,500</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34 min</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850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$13,617 </w:t>
            </w:r>
          </w:p>
        </w:tc>
      </w:tr>
      <w:tr w:rsidR="00EC7C96" w:rsidTr="00121F2F">
        <w:tblPrEx>
          <w:tblCellMar>
            <w:top w:w="0" w:type="dxa"/>
            <w:bottom w:w="0" w:type="dxa"/>
          </w:tblCellMar>
        </w:tblPrEx>
        <w:trPr>
          <w:trHeight w:val="989"/>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RENEWAL -- Atlantic Tunas (General, Harpoon &amp; Trap categories), HMS Charter/</w:t>
            </w:r>
            <w:r w:rsidR="00C5587B">
              <w:rPr>
                <w:rFonts w:ascii="Calibri" w:hAnsi="Calibri" w:cs="Calibri"/>
                <w:color w:val="000000"/>
                <w:sz w:val="16"/>
              </w:rPr>
              <w:t>H</w:t>
            </w:r>
            <w:r w:rsidRPr="00EC7C96">
              <w:rPr>
                <w:rFonts w:ascii="Calibri" w:hAnsi="Calibri" w:cs="Calibri"/>
                <w:color w:val="000000"/>
                <w:sz w:val="16"/>
              </w:rPr>
              <w:t>eadboat</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6,000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6,000</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10 min</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1,000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$16,020 </w:t>
            </w:r>
          </w:p>
        </w:tc>
      </w:tr>
      <w:tr w:rsidR="00EC7C96" w:rsidTr="00121F2F">
        <w:tblPrEx>
          <w:tblCellMar>
            <w:top w:w="0" w:type="dxa"/>
            <w:bottom w:w="0" w:type="dxa"/>
          </w:tblCellMar>
        </w:tblPrEx>
        <w:trPr>
          <w:trHeight w:val="444"/>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INITIAL -- HMS Angling</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6,000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6,000</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34 min</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3,400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$54,468 </w:t>
            </w:r>
          </w:p>
        </w:tc>
      </w:tr>
      <w:tr w:rsidR="00EC7C96" w:rsidTr="00121F2F">
        <w:tblPrEx>
          <w:tblCellMar>
            <w:top w:w="0" w:type="dxa"/>
            <w:bottom w:w="0" w:type="dxa"/>
          </w:tblCellMar>
        </w:tblPrEx>
        <w:trPr>
          <w:trHeight w:val="444"/>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RENEWAL -- HMS Angling</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20,000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20,000</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10 min</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3,333</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P="00E84B78"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$53,</w:t>
            </w:r>
            <w:r w:rsidR="00CF19D0">
              <w:rPr>
                <w:rFonts w:ascii="Calibri" w:hAnsi="Calibri" w:cs="Calibri"/>
                <w:color w:val="000000"/>
                <w:sz w:val="16"/>
                <w:szCs w:val="16"/>
              </w:rPr>
              <w:t>395</w:t>
            </w:r>
            <w:r w:rsidRPr="00EC7C96">
              <w:rPr>
                <w:rFonts w:ascii="Calibri" w:hAnsi="Calibri" w:cs="Calibri"/>
                <w:color w:val="000000"/>
                <w:sz w:val="16"/>
                <w:szCs w:val="16"/>
              </w:rPr>
              <w:t xml:space="preserve"> </w:t>
            </w:r>
          </w:p>
        </w:tc>
      </w:tr>
      <w:tr w:rsidR="00EC7C96" w:rsidTr="00121F2F">
        <w:tblPrEx>
          <w:tblCellMar>
            <w:top w:w="0" w:type="dxa"/>
            <w:bottom w:w="0" w:type="dxa"/>
          </w:tblCellMar>
        </w:tblPrEx>
        <w:trPr>
          <w:trHeight w:val="745"/>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 xml:space="preserve">RENEWAL -- Atlantic Tunas Purse </w:t>
            </w:r>
            <w:r w:rsidR="00733267">
              <w:rPr>
                <w:rFonts w:ascii="Calibri" w:hAnsi="Calibri" w:cs="Calibri"/>
                <w:color w:val="000000"/>
                <w:sz w:val="16"/>
              </w:rPr>
              <w:t>S</w:t>
            </w:r>
            <w:r w:rsidRPr="00EC7C96">
              <w:rPr>
                <w:rFonts w:ascii="Calibri" w:hAnsi="Calibri" w:cs="Calibri"/>
                <w:color w:val="000000"/>
                <w:sz w:val="16"/>
              </w:rPr>
              <w:t>eine limited access</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10 min</w:t>
            </w:r>
          </w:p>
        </w:tc>
        <w:tc>
          <w:tcPr>
            <w:tcW w:w="1170" w:type="dxa"/>
            <w:tcBorders>
              <w:top w:val="nil"/>
              <w:left w:val="nil"/>
              <w:bottom w:val="single" w:color="000000" w:sz="12" w:space="0"/>
              <w:right w:val="single" w:color="000000" w:sz="12" w:space="0"/>
            </w:tcBorders>
          </w:tcPr>
          <w:p w:rsidRPr="00EC7C96" w:rsidR="00FA2901" w:rsidRDefault="00C05C78">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0.5</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$8 </w:t>
            </w:r>
          </w:p>
        </w:tc>
      </w:tr>
      <w:tr w:rsidR="00EC7C96" w:rsidTr="00121F2F">
        <w:tblPrEx>
          <w:tblCellMar>
            <w:top w:w="0" w:type="dxa"/>
            <w:bottom w:w="0" w:type="dxa"/>
          </w:tblCellMar>
        </w:tblPrEx>
        <w:trPr>
          <w:trHeight w:val="502"/>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 xml:space="preserve">INITIAL -- Swordfish General Commercial </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500</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500</w:t>
            </w:r>
          </w:p>
        </w:tc>
        <w:tc>
          <w:tcPr>
            <w:tcW w:w="99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34 min</w:t>
            </w:r>
          </w:p>
        </w:tc>
        <w:tc>
          <w:tcPr>
            <w:tcW w:w="117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283</w:t>
            </w:r>
          </w:p>
        </w:tc>
        <w:tc>
          <w:tcPr>
            <w:tcW w:w="1080" w:type="dxa"/>
            <w:tcBorders>
              <w:top w:val="nil"/>
              <w:left w:val="nil"/>
              <w:bottom w:val="single" w:color="000000" w:sz="12" w:space="0"/>
              <w:right w:val="single" w:color="000000" w:sz="12" w:space="0"/>
            </w:tcBorders>
          </w:tcPr>
          <w:p w:rsidRPr="00EC7C96" w:rsidR="00FA2901"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Pr="00EC7C96" w:rsidR="00FA2901" w:rsidP="00CF19D0" w:rsidRDefault="00FA2901">
            <w:pPr>
              <w:autoSpaceDE w:val="0"/>
              <w:autoSpaceDN w:val="0"/>
              <w:adjustRightInd w:val="0"/>
              <w:jc w:val="center"/>
              <w:rPr>
                <w:rFonts w:ascii="Calibri" w:hAnsi="Calibri" w:cs="Calibri"/>
                <w:color w:val="000000"/>
                <w:sz w:val="16"/>
                <w:szCs w:val="16"/>
              </w:rPr>
            </w:pPr>
            <w:r w:rsidRPr="00EC7C96">
              <w:rPr>
                <w:rFonts w:ascii="Calibri" w:hAnsi="Calibri" w:cs="Calibri"/>
                <w:color w:val="000000"/>
                <w:sz w:val="16"/>
                <w:szCs w:val="16"/>
              </w:rPr>
              <w:t>$4,53</w:t>
            </w:r>
            <w:r w:rsidR="00CF19D0">
              <w:rPr>
                <w:rFonts w:ascii="Calibri" w:hAnsi="Calibri" w:cs="Calibri"/>
                <w:color w:val="000000"/>
                <w:sz w:val="16"/>
                <w:szCs w:val="16"/>
              </w:rPr>
              <w:t>4</w:t>
            </w:r>
            <w:r w:rsidRPr="00EC7C96">
              <w:rPr>
                <w:rFonts w:ascii="Calibri" w:hAnsi="Calibri" w:cs="Calibri"/>
                <w:color w:val="000000"/>
                <w:sz w:val="16"/>
                <w:szCs w:val="16"/>
              </w:rPr>
              <w:t xml:space="preserve"> </w:t>
            </w:r>
          </w:p>
        </w:tc>
      </w:tr>
      <w:tr w:rsidR="00EC7C96" w:rsidTr="00121F2F">
        <w:tblPrEx>
          <w:tblCellMar>
            <w:top w:w="0" w:type="dxa"/>
            <w:bottom w:w="0" w:type="dxa"/>
          </w:tblCellMar>
        </w:tblPrEx>
        <w:trPr>
          <w:trHeight w:val="502"/>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 xml:space="preserve">RENEWAL – Swordfish General Commercial </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w:t>
            </w:r>
          </w:p>
        </w:tc>
        <w:tc>
          <w:tcPr>
            <w:tcW w:w="99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10 min</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125</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$2,003 </w:t>
            </w:r>
          </w:p>
        </w:tc>
      </w:tr>
      <w:tr w:rsidR="00EC7C96" w:rsidTr="00121F2F">
        <w:tblPrEx>
          <w:tblCellMar>
            <w:top w:w="0" w:type="dxa"/>
            <w:bottom w:w="0" w:type="dxa"/>
          </w:tblCellMar>
        </w:tblPrEx>
        <w:trPr>
          <w:trHeight w:val="745"/>
        </w:trPr>
        <w:tc>
          <w:tcPr>
            <w:tcW w:w="1620" w:type="dxa"/>
            <w:tcBorders>
              <w:top w:val="nil"/>
              <w:left w:val="single" w:color="auto" w:sz="12" w:space="0"/>
              <w:bottom w:val="single" w:color="auto" w:sz="12" w:space="0"/>
              <w:right w:val="single" w:color="auto" w:sz="12" w:space="0"/>
            </w:tcBorders>
          </w:tcPr>
          <w:p w:rsidRPr="00EC7C96" w:rsidR="00FA2901" w:rsidP="006A6E6E" w:rsidRDefault="00FA2901">
            <w:pPr>
              <w:autoSpaceDE w:val="0"/>
              <w:autoSpaceDN w:val="0"/>
              <w:adjustRightInd w:val="0"/>
              <w:ind w:left="105"/>
              <w:rPr>
                <w:rFonts w:ascii="Calibri" w:hAnsi="Calibri" w:cs="Calibri"/>
                <w:color w:val="000000"/>
                <w:sz w:val="16"/>
              </w:rPr>
            </w:pPr>
            <w:r w:rsidRPr="00EC7C96">
              <w:rPr>
                <w:rFonts w:ascii="Calibri" w:hAnsi="Calibri" w:cs="Calibri"/>
                <w:color w:val="000000"/>
                <w:sz w:val="16"/>
              </w:rPr>
              <w:t xml:space="preserve">INITIAL &amp; RENEWAL – One-time requirement to obtain IMO/LR number </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Vessel Owner/ Captain</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w:t>
            </w:r>
          </w:p>
        </w:tc>
        <w:tc>
          <w:tcPr>
            <w:tcW w:w="99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30 min</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25</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$16.02 </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$401 </w:t>
            </w:r>
          </w:p>
        </w:tc>
      </w:tr>
      <w:tr w:rsidR="00EC7C96" w:rsidTr="00121F2F">
        <w:tblPrEx>
          <w:tblCellMar>
            <w:top w:w="0" w:type="dxa"/>
            <w:bottom w:w="0" w:type="dxa"/>
          </w:tblCellMar>
        </w:tblPrEx>
        <w:trPr>
          <w:trHeight w:val="301"/>
        </w:trPr>
        <w:tc>
          <w:tcPr>
            <w:tcW w:w="1620" w:type="dxa"/>
            <w:tcBorders>
              <w:top w:val="nil"/>
              <w:left w:val="single" w:color="auto" w:sz="12" w:space="0"/>
              <w:bottom w:val="single" w:color="auto" w:sz="12" w:space="0"/>
              <w:right w:val="single" w:color="auto" w:sz="12" w:space="0"/>
            </w:tcBorders>
          </w:tcPr>
          <w:p w:rsidRPr="00EC7C96" w:rsidR="00FA2901" w:rsidRDefault="00FA2901">
            <w:pPr>
              <w:autoSpaceDE w:val="0"/>
              <w:autoSpaceDN w:val="0"/>
              <w:adjustRightInd w:val="0"/>
              <w:rPr>
                <w:rFonts w:ascii="Calibri" w:hAnsi="Calibri" w:cs="Calibri"/>
                <w:b/>
                <w:bCs/>
                <w:color w:val="000000"/>
                <w:sz w:val="16"/>
              </w:rPr>
            </w:pPr>
            <w:r w:rsidRPr="00EC7C96">
              <w:rPr>
                <w:rFonts w:ascii="Calibri" w:hAnsi="Calibri" w:cs="Calibri"/>
                <w:b/>
                <w:bCs/>
                <w:color w:val="000000"/>
                <w:sz w:val="16"/>
              </w:rPr>
              <w:t>TOTALS (VESSEL)</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34,803</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34,803</w:t>
            </w:r>
          </w:p>
        </w:tc>
        <w:tc>
          <w:tcPr>
            <w:tcW w:w="99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9,017</w:t>
            </w: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p>
        </w:tc>
        <w:tc>
          <w:tcPr>
            <w:tcW w:w="108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$144,455</w:t>
            </w:r>
          </w:p>
        </w:tc>
      </w:tr>
      <w:tr w:rsidR="00EC7C96" w:rsidTr="00121F2F">
        <w:tblPrEx>
          <w:tblCellMar>
            <w:top w:w="0" w:type="dxa"/>
            <w:bottom w:w="0" w:type="dxa"/>
          </w:tblCellMar>
        </w:tblPrEx>
        <w:trPr>
          <w:trHeight w:val="316"/>
        </w:trPr>
        <w:tc>
          <w:tcPr>
            <w:tcW w:w="1620" w:type="dxa"/>
            <w:tcBorders>
              <w:top w:val="nil"/>
              <w:left w:val="single" w:color="000000" w:sz="12" w:space="0"/>
              <w:bottom w:val="single" w:color="000000" w:sz="12" w:space="0"/>
              <w:right w:val="single" w:color="000000" w:sz="12" w:space="0"/>
            </w:tcBorders>
            <w:shd w:val="solid" w:color="CCFFFF" w:fill="auto"/>
          </w:tcPr>
          <w:p w:rsidRPr="00EC7C96" w:rsidR="00FA2901" w:rsidRDefault="00FA2901">
            <w:pPr>
              <w:autoSpaceDE w:val="0"/>
              <w:autoSpaceDN w:val="0"/>
              <w:adjustRightInd w:val="0"/>
              <w:rPr>
                <w:rFonts w:ascii="Calibri" w:hAnsi="Calibri" w:cs="Calibri"/>
                <w:b/>
                <w:bCs/>
                <w:color w:val="000000"/>
                <w:sz w:val="22"/>
                <w:szCs w:val="24"/>
              </w:rPr>
            </w:pPr>
            <w:r w:rsidRPr="00EC7C96">
              <w:rPr>
                <w:rFonts w:ascii="Calibri" w:hAnsi="Calibri" w:cs="Calibri"/>
                <w:b/>
                <w:bCs/>
                <w:color w:val="000000"/>
                <w:sz w:val="22"/>
                <w:szCs w:val="24"/>
              </w:rPr>
              <w:t>Totals</w:t>
            </w:r>
          </w:p>
        </w:tc>
        <w:tc>
          <w:tcPr>
            <w:tcW w:w="1170" w:type="dxa"/>
            <w:tcBorders>
              <w:top w:val="nil"/>
              <w:left w:val="nil"/>
              <w:bottom w:val="single" w:color="000000" w:sz="12" w:space="0"/>
              <w:right w:val="single" w:color="000000" w:sz="12" w:space="0"/>
            </w:tcBorders>
            <w:shd w:val="solid" w:color="000000" w:fill="auto"/>
          </w:tcPr>
          <w:p w:rsidRPr="00EC7C96" w:rsidR="00FA2901" w:rsidRDefault="00FA2901">
            <w:pPr>
              <w:autoSpaceDE w:val="0"/>
              <w:autoSpaceDN w:val="0"/>
              <w:adjustRightInd w:val="0"/>
              <w:jc w:val="right"/>
              <w:rPr>
                <w:rFonts w:ascii="Calibri" w:hAnsi="Calibri" w:cs="Calibri"/>
                <w:b/>
                <w:bCs/>
                <w:color w:val="000000"/>
                <w:sz w:val="22"/>
                <w:szCs w:val="24"/>
              </w:rPr>
            </w:pPr>
          </w:p>
        </w:tc>
        <w:tc>
          <w:tcPr>
            <w:tcW w:w="1080" w:type="dxa"/>
            <w:tcBorders>
              <w:top w:val="nil"/>
              <w:left w:val="nil"/>
              <w:bottom w:val="single" w:color="000000" w:sz="12" w:space="0"/>
              <w:right w:val="single" w:color="000000" w:sz="12" w:space="0"/>
            </w:tcBorders>
            <w:shd w:val="solid" w:color="000000" w:fill="auto"/>
          </w:tcPr>
          <w:p w:rsidRPr="00EC7C96" w:rsidR="00FA2901" w:rsidRDefault="00FA2901">
            <w:pPr>
              <w:autoSpaceDE w:val="0"/>
              <w:autoSpaceDN w:val="0"/>
              <w:adjustRightInd w:val="0"/>
              <w:jc w:val="right"/>
              <w:rPr>
                <w:rFonts w:ascii="Calibri" w:hAnsi="Calibri" w:cs="Calibri"/>
                <w:b/>
                <w:bCs/>
                <w:color w:val="000000"/>
                <w:sz w:val="22"/>
                <w:szCs w:val="24"/>
              </w:rPr>
            </w:pPr>
          </w:p>
        </w:tc>
        <w:tc>
          <w:tcPr>
            <w:tcW w:w="1080" w:type="dxa"/>
            <w:tcBorders>
              <w:top w:val="nil"/>
              <w:left w:val="nil"/>
              <w:bottom w:val="single" w:color="000000" w:sz="12" w:space="0"/>
              <w:right w:val="single" w:color="000000" w:sz="12" w:space="0"/>
            </w:tcBorders>
            <w:shd w:val="solid" w:color="000000" w:fill="auto"/>
          </w:tcPr>
          <w:p w:rsidRPr="00EC7C96" w:rsidR="00FA2901" w:rsidRDefault="00FA2901">
            <w:pPr>
              <w:autoSpaceDE w:val="0"/>
              <w:autoSpaceDN w:val="0"/>
              <w:adjustRightInd w:val="0"/>
              <w:jc w:val="right"/>
              <w:rPr>
                <w:rFonts w:ascii="Calibri" w:hAnsi="Calibri" w:cs="Calibri"/>
                <w:b/>
                <w:bCs/>
                <w:color w:val="000000"/>
                <w:sz w:val="22"/>
                <w:szCs w:val="24"/>
              </w:rPr>
            </w:pPr>
          </w:p>
        </w:tc>
        <w:tc>
          <w:tcPr>
            <w:tcW w:w="1170" w:type="dxa"/>
            <w:tcBorders>
              <w:top w:val="nil"/>
              <w:left w:val="nil"/>
              <w:bottom w:val="single" w:color="000000" w:sz="12" w:space="0"/>
              <w:right w:val="single" w:color="000000" w:sz="12" w:space="0"/>
            </w:tcBorders>
            <w:shd w:val="solid" w:color="CCFFFF" w:fill="auto"/>
          </w:tcPr>
          <w:p w:rsidRPr="00701716" w:rsidR="00FA2901" w:rsidP="00701716" w:rsidRDefault="00701716">
            <w:pPr>
              <w:autoSpaceDE w:val="0"/>
              <w:autoSpaceDN w:val="0"/>
              <w:adjustRightInd w:val="0"/>
              <w:jc w:val="center"/>
              <w:rPr>
                <w:rFonts w:ascii="Calibri" w:hAnsi="Calibri" w:cs="Calibri"/>
                <w:b/>
                <w:bCs/>
                <w:color w:val="000000"/>
                <w:sz w:val="22"/>
                <w:szCs w:val="22"/>
              </w:rPr>
            </w:pPr>
            <w:r w:rsidRPr="00701716">
              <w:rPr>
                <w:rFonts w:ascii="Calibri" w:hAnsi="Calibri" w:cs="Calibri"/>
                <w:b/>
                <w:color w:val="000000"/>
                <w:sz w:val="22"/>
                <w:szCs w:val="22"/>
              </w:rPr>
              <w:t>34,803</w:t>
            </w:r>
          </w:p>
        </w:tc>
        <w:tc>
          <w:tcPr>
            <w:tcW w:w="990" w:type="dxa"/>
            <w:tcBorders>
              <w:top w:val="nil"/>
              <w:left w:val="nil"/>
              <w:bottom w:val="single" w:color="000000" w:sz="12" w:space="0"/>
              <w:right w:val="single" w:color="000000" w:sz="12" w:space="0"/>
            </w:tcBorders>
            <w:shd w:val="solid" w:color="000000" w:fill="auto"/>
          </w:tcPr>
          <w:p w:rsidRPr="00EC7C96" w:rsidR="00FA2901" w:rsidRDefault="00FA2901">
            <w:pPr>
              <w:autoSpaceDE w:val="0"/>
              <w:autoSpaceDN w:val="0"/>
              <w:adjustRightInd w:val="0"/>
              <w:jc w:val="right"/>
              <w:rPr>
                <w:rFonts w:ascii="Calibri" w:hAnsi="Calibri" w:cs="Calibri"/>
                <w:b/>
                <w:bCs/>
                <w:color w:val="000000"/>
                <w:sz w:val="22"/>
                <w:szCs w:val="24"/>
              </w:rPr>
            </w:pPr>
          </w:p>
        </w:tc>
        <w:tc>
          <w:tcPr>
            <w:tcW w:w="1170" w:type="dxa"/>
            <w:tcBorders>
              <w:top w:val="nil"/>
              <w:left w:val="nil"/>
              <w:bottom w:val="single" w:color="000000" w:sz="12" w:space="0"/>
              <w:right w:val="single" w:color="000000" w:sz="12" w:space="0"/>
            </w:tcBorders>
            <w:shd w:val="solid" w:color="CCFFFF" w:fill="auto"/>
          </w:tcPr>
          <w:p w:rsidRPr="00EC7C96" w:rsidR="00FA2901" w:rsidP="00701716" w:rsidRDefault="00FA2901">
            <w:pPr>
              <w:autoSpaceDE w:val="0"/>
              <w:autoSpaceDN w:val="0"/>
              <w:adjustRightInd w:val="0"/>
              <w:jc w:val="right"/>
              <w:rPr>
                <w:rFonts w:ascii="Calibri" w:hAnsi="Calibri" w:cs="Calibri"/>
                <w:b/>
                <w:bCs/>
                <w:color w:val="000000"/>
                <w:sz w:val="22"/>
                <w:szCs w:val="24"/>
              </w:rPr>
            </w:pPr>
            <w:r w:rsidRPr="00EC7C96">
              <w:rPr>
                <w:rFonts w:ascii="Calibri" w:hAnsi="Calibri" w:cs="Calibri"/>
                <w:b/>
                <w:bCs/>
                <w:color w:val="000000"/>
                <w:sz w:val="22"/>
                <w:szCs w:val="24"/>
              </w:rPr>
              <w:t>9,</w:t>
            </w:r>
            <w:r w:rsidR="00701716">
              <w:rPr>
                <w:rFonts w:ascii="Calibri" w:hAnsi="Calibri" w:cs="Calibri"/>
                <w:b/>
                <w:bCs/>
                <w:color w:val="000000"/>
                <w:sz w:val="22"/>
                <w:szCs w:val="24"/>
              </w:rPr>
              <w:t>017</w:t>
            </w:r>
          </w:p>
        </w:tc>
        <w:tc>
          <w:tcPr>
            <w:tcW w:w="1080" w:type="dxa"/>
            <w:tcBorders>
              <w:top w:val="nil"/>
              <w:left w:val="nil"/>
              <w:bottom w:val="single" w:color="000000" w:sz="12" w:space="0"/>
              <w:right w:val="single" w:color="000000" w:sz="12" w:space="0"/>
            </w:tcBorders>
            <w:shd w:val="solid" w:color="000000" w:fill="auto"/>
          </w:tcPr>
          <w:p w:rsidRPr="00EC7C96" w:rsidR="00FA2901" w:rsidRDefault="00FA2901">
            <w:pPr>
              <w:autoSpaceDE w:val="0"/>
              <w:autoSpaceDN w:val="0"/>
              <w:adjustRightInd w:val="0"/>
              <w:jc w:val="right"/>
              <w:rPr>
                <w:rFonts w:ascii="Calibri" w:hAnsi="Calibri" w:cs="Calibri"/>
                <w:b/>
                <w:bCs/>
                <w:color w:val="000000"/>
                <w:sz w:val="22"/>
                <w:szCs w:val="24"/>
              </w:rPr>
            </w:pPr>
          </w:p>
        </w:tc>
        <w:tc>
          <w:tcPr>
            <w:tcW w:w="1080" w:type="dxa"/>
            <w:tcBorders>
              <w:top w:val="nil"/>
              <w:left w:val="nil"/>
              <w:bottom w:val="single" w:color="000000" w:sz="12" w:space="0"/>
              <w:right w:val="single" w:color="000000" w:sz="12" w:space="0"/>
            </w:tcBorders>
            <w:shd w:val="solid" w:color="CCFFFF" w:fill="auto"/>
          </w:tcPr>
          <w:p w:rsidRPr="00EC7C96" w:rsidR="00FA2901" w:rsidP="00701716" w:rsidRDefault="00FA2901">
            <w:pPr>
              <w:autoSpaceDE w:val="0"/>
              <w:autoSpaceDN w:val="0"/>
              <w:adjustRightInd w:val="0"/>
              <w:jc w:val="right"/>
              <w:rPr>
                <w:rFonts w:ascii="Calibri" w:hAnsi="Calibri" w:cs="Calibri"/>
                <w:b/>
                <w:bCs/>
                <w:color w:val="000000"/>
                <w:sz w:val="22"/>
                <w:szCs w:val="24"/>
              </w:rPr>
            </w:pPr>
            <w:r w:rsidRPr="00EC7C96">
              <w:rPr>
                <w:rFonts w:ascii="Calibri" w:hAnsi="Calibri" w:cs="Calibri"/>
                <w:b/>
                <w:bCs/>
                <w:color w:val="000000"/>
                <w:sz w:val="22"/>
                <w:szCs w:val="24"/>
              </w:rPr>
              <w:t>$</w:t>
            </w:r>
            <w:r w:rsidRPr="00EC7C96" w:rsidR="00757E7B">
              <w:rPr>
                <w:rFonts w:ascii="Calibri" w:hAnsi="Calibri" w:cs="Calibri"/>
                <w:b/>
                <w:bCs/>
                <w:color w:val="000000"/>
                <w:sz w:val="22"/>
                <w:szCs w:val="24"/>
              </w:rPr>
              <w:t>14</w:t>
            </w:r>
            <w:r w:rsidR="00701716">
              <w:rPr>
                <w:rFonts w:ascii="Calibri" w:hAnsi="Calibri" w:cs="Calibri"/>
                <w:b/>
                <w:bCs/>
                <w:color w:val="000000"/>
                <w:sz w:val="22"/>
                <w:szCs w:val="24"/>
              </w:rPr>
              <w:t>4,455</w:t>
            </w:r>
          </w:p>
        </w:tc>
      </w:tr>
    </w:tbl>
    <w:p w:rsidR="00FA2901" w:rsidP="009447E3" w:rsidRDefault="00FA2901">
      <w:pPr>
        <w:rPr>
          <w:sz w:val="20"/>
        </w:rPr>
      </w:pPr>
    </w:p>
    <w:p w:rsidRPr="005C7809" w:rsidR="009447E3" w:rsidP="009447E3" w:rsidRDefault="009447E3">
      <w:r>
        <w:rPr>
          <w:b/>
        </w:rPr>
        <w:t>13.</w:t>
      </w:r>
      <w:r w:rsidR="00E036C4">
        <w:rPr>
          <w:b/>
        </w:rPr>
        <w:t xml:space="preserve"> </w:t>
      </w:r>
      <w:r w:rsidRPr="00760809">
        <w:rPr>
          <w:rStyle w:val="Strong"/>
          <w:color w:val="000000"/>
          <w:szCs w:val="24"/>
          <w:u w:val="single"/>
        </w:rPr>
        <w:t xml:space="preserve">Provide an estimate of the total annual recordkeeping/reporting cost burden to the respondents resulting from the collection (excluding the value of the burden hours in </w:t>
      </w:r>
      <w:r>
        <w:rPr>
          <w:rStyle w:val="Strong"/>
          <w:color w:val="000000"/>
          <w:szCs w:val="24"/>
          <w:u w:val="single"/>
        </w:rPr>
        <w:t>Question 1</w:t>
      </w:r>
      <w:r w:rsidRPr="00760809">
        <w:rPr>
          <w:rStyle w:val="Strong"/>
          <w:color w:val="000000"/>
          <w:szCs w:val="24"/>
          <w:u w:val="single"/>
        </w:rPr>
        <w:t>2 above)</w:t>
      </w:r>
      <w:r w:rsidR="005C7809">
        <w:rPr>
          <w:rStyle w:val="Strong"/>
          <w:b w:val="0"/>
          <w:color w:val="000000"/>
          <w:szCs w:val="24"/>
        </w:rPr>
        <w:t xml:space="preserve"> </w:t>
      </w:r>
    </w:p>
    <w:p w:rsidR="009447E3" w:rsidP="009447E3" w:rsidRDefault="009447E3"/>
    <w:p w:rsidRPr="00C85F71" w:rsidR="00FA2901" w:rsidP="00C85F71" w:rsidRDefault="00FA2901">
      <w:pPr>
        <w:ind w:left="1080" w:hanging="1080"/>
        <w:rPr>
          <w:b/>
          <w:szCs w:val="24"/>
        </w:rPr>
      </w:pPr>
      <w:r w:rsidRPr="00C85F71">
        <w:rPr>
          <w:b/>
          <w:szCs w:val="24"/>
        </w:rPr>
        <w:t xml:space="preserve">Table 2.  </w:t>
      </w:r>
      <w:r w:rsidR="00C85F71">
        <w:rPr>
          <w:b/>
          <w:szCs w:val="24"/>
        </w:rPr>
        <w:tab/>
      </w:r>
      <w:r w:rsidRPr="00C85F71">
        <w:rPr>
          <w:b/>
          <w:szCs w:val="24"/>
        </w:rPr>
        <w:t>Estimate of the cost burden associated with purchasing a HMS vessel</w:t>
      </w:r>
      <w:bookmarkStart w:name="_GoBack" w:id="0"/>
      <w:bookmarkEnd w:id="0"/>
      <w:r w:rsidRPr="00C85F71">
        <w:rPr>
          <w:b/>
          <w:szCs w:val="24"/>
        </w:rPr>
        <w:t xml:space="preserve"> permit.</w:t>
      </w:r>
    </w:p>
    <w:p w:rsidR="00FA2901" w:rsidP="00FA2901" w:rsidRDefault="00FA2901">
      <w:pPr>
        <w:rPr>
          <w:b/>
          <w:sz w:val="20"/>
        </w:rPr>
      </w:pPr>
    </w:p>
    <w:tbl>
      <w:tblPr>
        <w:tblW w:w="9930" w:type="dxa"/>
        <w:tblInd w:w="78" w:type="dxa"/>
        <w:tblLayout w:type="fixed"/>
        <w:tblLook w:val="0000" w:firstRow="0" w:lastRow="0" w:firstColumn="0" w:lastColumn="0" w:noHBand="0" w:noVBand="0"/>
      </w:tblPr>
      <w:tblGrid>
        <w:gridCol w:w="2730"/>
        <w:gridCol w:w="1170"/>
        <w:gridCol w:w="1530"/>
        <w:gridCol w:w="1620"/>
        <w:gridCol w:w="1530"/>
        <w:gridCol w:w="1350"/>
      </w:tblGrid>
      <w:tr w:rsidR="00FA2901" w:rsidTr="00EC7C96">
        <w:tblPrEx>
          <w:tblCellMar>
            <w:top w:w="0" w:type="dxa"/>
            <w:bottom w:w="0" w:type="dxa"/>
          </w:tblCellMar>
        </w:tblPrEx>
        <w:trPr>
          <w:trHeight w:val="644"/>
        </w:trPr>
        <w:tc>
          <w:tcPr>
            <w:tcW w:w="2730" w:type="dxa"/>
            <w:tcBorders>
              <w:top w:val="single" w:color="000000" w:sz="12" w:space="0"/>
              <w:left w:val="single" w:color="000000" w:sz="12" w:space="0"/>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170" w:type="dxa"/>
            <w:tcBorders>
              <w:top w:val="single" w:color="000000" w:sz="12" w:space="0"/>
              <w:left w:val="nil"/>
              <w:bottom w:val="nil"/>
              <w:right w:val="single" w:color="000000" w:sz="12" w:space="0"/>
            </w:tcBorders>
            <w:shd w:val="solid" w:color="99CCFF" w:fill="auto"/>
          </w:tcPr>
          <w:p w:rsidR="00FA2901" w:rsidRDefault="00EC7C96">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Number</w:t>
            </w:r>
            <w:r w:rsidR="00FA2901">
              <w:rPr>
                <w:rFonts w:ascii="Calibri" w:hAnsi="Calibri" w:cs="Calibri"/>
                <w:b/>
                <w:bCs/>
                <w:color w:val="000000"/>
                <w:sz w:val="16"/>
                <w:szCs w:val="16"/>
              </w:rPr>
              <w:t xml:space="preserve"> of Respondents/year</w:t>
            </w:r>
          </w:p>
        </w:tc>
        <w:tc>
          <w:tcPr>
            <w:tcW w:w="153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Annual # of Responses / Respondent</w:t>
            </w:r>
          </w:p>
        </w:tc>
        <w:tc>
          <w:tcPr>
            <w:tcW w:w="162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p>
        </w:tc>
        <w:tc>
          <w:tcPr>
            <w:tcW w:w="153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Cost Burden / Respondent</w:t>
            </w:r>
          </w:p>
        </w:tc>
        <w:tc>
          <w:tcPr>
            <w:tcW w:w="135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Annual Cost Burden</w:t>
            </w:r>
          </w:p>
        </w:tc>
      </w:tr>
      <w:tr w:rsidR="00FA2901" w:rsidTr="00EC7C96">
        <w:tblPrEx>
          <w:tblCellMar>
            <w:top w:w="0" w:type="dxa"/>
            <w:bottom w:w="0" w:type="dxa"/>
          </w:tblCellMar>
        </w:tblPrEx>
        <w:trPr>
          <w:trHeight w:val="301"/>
        </w:trPr>
        <w:tc>
          <w:tcPr>
            <w:tcW w:w="2730" w:type="dxa"/>
            <w:tcBorders>
              <w:top w:val="nil"/>
              <w:left w:val="single" w:color="000000" w:sz="12" w:space="0"/>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p>
        </w:tc>
        <w:tc>
          <w:tcPr>
            <w:tcW w:w="1170" w:type="dxa"/>
            <w:tcBorders>
              <w:top w:val="nil"/>
              <w:left w:val="nil"/>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(a)</w:t>
            </w:r>
          </w:p>
        </w:tc>
        <w:tc>
          <w:tcPr>
            <w:tcW w:w="1530" w:type="dxa"/>
            <w:tcBorders>
              <w:top w:val="nil"/>
              <w:left w:val="nil"/>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(b)</w:t>
            </w:r>
          </w:p>
        </w:tc>
        <w:tc>
          <w:tcPr>
            <w:tcW w:w="1620" w:type="dxa"/>
            <w:tcBorders>
              <w:top w:val="nil"/>
              <w:left w:val="nil"/>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(c) = (a) x (b)</w:t>
            </w:r>
          </w:p>
        </w:tc>
        <w:tc>
          <w:tcPr>
            <w:tcW w:w="1530" w:type="dxa"/>
            <w:tcBorders>
              <w:top w:val="nil"/>
              <w:left w:val="nil"/>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(h)</w:t>
            </w:r>
          </w:p>
        </w:tc>
        <w:tc>
          <w:tcPr>
            <w:tcW w:w="1350" w:type="dxa"/>
            <w:tcBorders>
              <w:top w:val="nil"/>
              <w:left w:val="nil"/>
              <w:bottom w:val="single" w:color="000000" w:sz="12" w:space="0"/>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 = (c) x (h)</w:t>
            </w:r>
          </w:p>
        </w:tc>
      </w:tr>
      <w:tr w:rsidR="00FA2901" w:rsidTr="00EC7C96">
        <w:tblPrEx>
          <w:tblCellMar>
            <w:top w:w="0" w:type="dxa"/>
            <w:bottom w:w="0" w:type="dxa"/>
          </w:tblCellMar>
        </w:tblPrEx>
        <w:trPr>
          <w:trHeight w:val="301"/>
        </w:trPr>
        <w:tc>
          <w:tcPr>
            <w:tcW w:w="2730" w:type="dxa"/>
            <w:tcBorders>
              <w:top w:val="nil"/>
              <w:left w:val="single" w:color="000000" w:sz="12" w:space="0"/>
              <w:bottom w:val="single" w:color="000000" w:sz="12" w:space="0"/>
              <w:right w:val="single" w:color="000000" w:sz="12" w:space="0"/>
            </w:tcBorders>
          </w:tcPr>
          <w:p w:rsidRPr="00EC7C96" w:rsidR="00FA2901" w:rsidRDefault="00FA2901">
            <w:pPr>
              <w:autoSpaceDE w:val="0"/>
              <w:autoSpaceDN w:val="0"/>
              <w:adjustRightInd w:val="0"/>
              <w:rPr>
                <w:rFonts w:ascii="Calibri" w:hAnsi="Calibri" w:cs="Calibri"/>
                <w:b/>
                <w:bCs/>
                <w:color w:val="000000"/>
                <w:sz w:val="18"/>
              </w:rPr>
            </w:pPr>
            <w:r w:rsidRPr="00EC7C96">
              <w:rPr>
                <w:rFonts w:ascii="Calibri" w:hAnsi="Calibri" w:cs="Calibri"/>
                <w:b/>
                <w:bCs/>
                <w:color w:val="000000"/>
                <w:sz w:val="18"/>
              </w:rPr>
              <w:t>Vessel Permits</w:t>
            </w:r>
          </w:p>
        </w:tc>
        <w:tc>
          <w:tcPr>
            <w:tcW w:w="117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right"/>
              <w:rPr>
                <w:rFonts w:ascii="Calibri" w:hAnsi="Calibri" w:cs="Calibri"/>
                <w:color w:val="000000"/>
                <w:sz w:val="16"/>
                <w:szCs w:val="16"/>
              </w:rPr>
            </w:pP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right"/>
              <w:rPr>
                <w:rFonts w:ascii="Calibri" w:hAnsi="Calibri" w:cs="Calibri"/>
                <w:color w:val="000000"/>
                <w:sz w:val="16"/>
                <w:szCs w:val="16"/>
              </w:rPr>
            </w:pPr>
          </w:p>
        </w:tc>
      </w:tr>
      <w:tr w:rsidR="00FA2901" w:rsidTr="003062E6">
        <w:tblPrEx>
          <w:tblCellMar>
            <w:top w:w="0" w:type="dxa"/>
            <w:bottom w:w="0" w:type="dxa"/>
          </w:tblCellMar>
        </w:tblPrEx>
        <w:trPr>
          <w:trHeight w:val="780"/>
        </w:trPr>
        <w:tc>
          <w:tcPr>
            <w:tcW w:w="2730" w:type="dxa"/>
            <w:tcBorders>
              <w:top w:val="single" w:color="auto" w:sz="12" w:space="0"/>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INITIAL -- Atlantic Tunas (General, Harpoon &amp; Trap categories), HMS Charter/</w:t>
            </w:r>
            <w:r w:rsidR="00FB1C06">
              <w:rPr>
                <w:rFonts w:ascii="Calibri" w:hAnsi="Calibri" w:cs="Calibri"/>
                <w:color w:val="000000"/>
                <w:sz w:val="18"/>
              </w:rPr>
              <w:t>H</w:t>
            </w:r>
            <w:r w:rsidRPr="00EC7C96">
              <w:rPr>
                <w:rFonts w:ascii="Calibri" w:hAnsi="Calibri" w:cs="Calibri"/>
                <w:color w:val="000000"/>
                <w:sz w:val="18"/>
              </w:rPr>
              <w:t>eadboat</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1,500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$39,000 </w:t>
            </w:r>
          </w:p>
        </w:tc>
      </w:tr>
      <w:tr w:rsidR="00FA2901" w:rsidTr="003062E6">
        <w:tblPrEx>
          <w:tblCellMar>
            <w:top w:w="0" w:type="dxa"/>
            <w:bottom w:w="0" w:type="dxa"/>
          </w:tblCellMar>
        </w:tblPrEx>
        <w:trPr>
          <w:trHeight w:val="96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RENEWAL -- Atlantic Tunas (General, Harpoon &amp; Trap categories), HMS Charter/</w:t>
            </w:r>
            <w:r w:rsidR="00C5587B">
              <w:rPr>
                <w:rFonts w:ascii="Calibri" w:hAnsi="Calibri" w:cs="Calibri"/>
                <w:color w:val="000000"/>
                <w:sz w:val="18"/>
              </w:rPr>
              <w:t>H</w:t>
            </w:r>
            <w:r w:rsidRPr="00EC7C96">
              <w:rPr>
                <w:rFonts w:ascii="Calibri" w:hAnsi="Calibri" w:cs="Calibri"/>
                <w:color w:val="000000"/>
                <w:sz w:val="18"/>
              </w:rPr>
              <w:t>eadboat</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$156,000 </w:t>
            </w:r>
          </w:p>
        </w:tc>
      </w:tr>
      <w:tr w:rsidR="00FA2901" w:rsidTr="003062E6">
        <w:tblPrEx>
          <w:tblCellMar>
            <w:top w:w="0" w:type="dxa"/>
            <w:bottom w:w="0" w:type="dxa"/>
          </w:tblCellMar>
        </w:tblPrEx>
        <w:trPr>
          <w:trHeight w:val="33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INITIAL -- HMS Angling</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6,000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$156,000 </w:t>
            </w:r>
          </w:p>
        </w:tc>
      </w:tr>
      <w:tr w:rsidR="00FA2901" w:rsidTr="003062E6">
        <w:tblPrEx>
          <w:tblCellMar>
            <w:top w:w="0" w:type="dxa"/>
            <w:bottom w:w="0" w:type="dxa"/>
          </w:tblCellMar>
        </w:tblPrEx>
        <w:trPr>
          <w:trHeight w:val="33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RENEWAL -- HMS Angling</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20,000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20,000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$520,000 </w:t>
            </w:r>
          </w:p>
        </w:tc>
      </w:tr>
      <w:tr w:rsidR="00FA2901" w:rsidTr="003062E6">
        <w:tblPrEx>
          <w:tblCellMar>
            <w:top w:w="0" w:type="dxa"/>
            <w:bottom w:w="0" w:type="dxa"/>
          </w:tblCellMar>
        </w:tblPrEx>
        <w:trPr>
          <w:trHeight w:val="51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 xml:space="preserve">RENEWAL -- Atlantic Tunas Purse </w:t>
            </w:r>
            <w:r w:rsidR="00733267">
              <w:rPr>
                <w:rFonts w:ascii="Calibri" w:hAnsi="Calibri" w:cs="Calibri"/>
                <w:color w:val="000000"/>
                <w:sz w:val="18"/>
              </w:rPr>
              <w:t>S</w:t>
            </w:r>
            <w:r w:rsidRPr="00EC7C96">
              <w:rPr>
                <w:rFonts w:ascii="Calibri" w:hAnsi="Calibri" w:cs="Calibri"/>
                <w:color w:val="000000"/>
                <w:sz w:val="18"/>
              </w:rPr>
              <w:t>eine limited access</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$78 </w:t>
            </w:r>
          </w:p>
        </w:tc>
      </w:tr>
      <w:tr w:rsidR="00FA2901" w:rsidTr="003062E6">
        <w:tblPrEx>
          <w:tblCellMar>
            <w:top w:w="0" w:type="dxa"/>
            <w:bottom w:w="0" w:type="dxa"/>
          </w:tblCellMar>
        </w:tblPrEx>
        <w:trPr>
          <w:trHeight w:val="51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 xml:space="preserve">INITIAL -- Swordfish General Commercial </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$13,000 </w:t>
            </w:r>
          </w:p>
        </w:tc>
      </w:tr>
      <w:tr w:rsidR="00FA2901" w:rsidTr="003062E6">
        <w:tblPrEx>
          <w:tblCellMar>
            <w:top w:w="0" w:type="dxa"/>
            <w:bottom w:w="0" w:type="dxa"/>
          </w:tblCellMar>
        </w:tblPrEx>
        <w:trPr>
          <w:trHeight w:val="51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 xml:space="preserve">RENEWAL – Swordfish General Commercial </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$26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$19,500 </w:t>
            </w:r>
          </w:p>
        </w:tc>
      </w:tr>
      <w:tr w:rsidR="00FA2901" w:rsidTr="003062E6">
        <w:tblPrEx>
          <w:tblCellMar>
            <w:top w:w="0" w:type="dxa"/>
            <w:bottom w:w="0" w:type="dxa"/>
          </w:tblCellMar>
        </w:tblPrEx>
        <w:trPr>
          <w:trHeight w:val="690"/>
        </w:trPr>
        <w:tc>
          <w:tcPr>
            <w:tcW w:w="2730" w:type="dxa"/>
            <w:tcBorders>
              <w:top w:val="nil"/>
              <w:left w:val="single" w:color="auto" w:sz="12" w:space="0"/>
              <w:bottom w:val="single" w:color="auto" w:sz="12" w:space="0"/>
              <w:right w:val="single" w:color="auto" w:sz="12" w:space="0"/>
            </w:tcBorders>
          </w:tcPr>
          <w:p w:rsidRPr="00EC7C96" w:rsidR="00FA2901" w:rsidP="003062E6" w:rsidRDefault="00FA2901">
            <w:pPr>
              <w:autoSpaceDE w:val="0"/>
              <w:autoSpaceDN w:val="0"/>
              <w:adjustRightInd w:val="0"/>
              <w:ind w:left="195"/>
              <w:rPr>
                <w:rFonts w:ascii="Calibri" w:hAnsi="Calibri" w:cs="Calibri"/>
                <w:color w:val="000000"/>
                <w:sz w:val="18"/>
              </w:rPr>
            </w:pPr>
            <w:r w:rsidRPr="00EC7C96">
              <w:rPr>
                <w:rFonts w:ascii="Calibri" w:hAnsi="Calibri" w:cs="Calibri"/>
                <w:color w:val="000000"/>
                <w:sz w:val="18"/>
              </w:rPr>
              <w:t xml:space="preserve">INITIAL &amp; RENEWAL – One-time requirement to obtain IMO/LR number </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1</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50</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$0 </w:t>
            </w:r>
          </w:p>
        </w:tc>
        <w:tc>
          <w:tcPr>
            <w:tcW w:w="135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$0 </w:t>
            </w:r>
          </w:p>
        </w:tc>
      </w:tr>
      <w:tr w:rsidR="00FA2901" w:rsidTr="003062E6">
        <w:tblPrEx>
          <w:tblCellMar>
            <w:top w:w="0" w:type="dxa"/>
            <w:bottom w:w="0" w:type="dxa"/>
          </w:tblCellMar>
        </w:tblPrEx>
        <w:trPr>
          <w:trHeight w:val="330"/>
        </w:trPr>
        <w:tc>
          <w:tcPr>
            <w:tcW w:w="2730" w:type="dxa"/>
            <w:tcBorders>
              <w:top w:val="nil"/>
              <w:left w:val="single" w:color="auto" w:sz="12" w:space="0"/>
              <w:bottom w:val="single" w:color="auto" w:sz="12" w:space="0"/>
              <w:right w:val="single" w:color="auto" w:sz="12" w:space="0"/>
            </w:tcBorders>
          </w:tcPr>
          <w:p w:rsidR="00FA2901" w:rsidRDefault="00FA2901">
            <w:pPr>
              <w:autoSpaceDE w:val="0"/>
              <w:autoSpaceDN w:val="0"/>
              <w:adjustRightInd w:val="0"/>
              <w:rPr>
                <w:rFonts w:ascii="Calibri" w:hAnsi="Calibri" w:cs="Calibri"/>
                <w:b/>
                <w:bCs/>
                <w:color w:val="000000"/>
                <w:sz w:val="20"/>
              </w:rPr>
            </w:pPr>
            <w:r>
              <w:rPr>
                <w:rFonts w:ascii="Calibri" w:hAnsi="Calibri" w:cs="Calibri"/>
                <w:b/>
                <w:bCs/>
                <w:color w:val="000000"/>
                <w:sz w:val="20"/>
              </w:rPr>
              <w:t>TOTALS (VESSEL)</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34,803</w:t>
            </w: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34,803</w:t>
            </w:r>
          </w:p>
        </w:tc>
        <w:tc>
          <w:tcPr>
            <w:tcW w:w="1530" w:type="dxa"/>
            <w:tcBorders>
              <w:top w:val="nil"/>
              <w:left w:val="nil"/>
              <w:bottom w:val="single" w:color="000000" w:sz="12" w:space="0"/>
              <w:right w:val="single" w:color="000000" w:sz="12" w:space="0"/>
            </w:tcBorders>
            <w:shd w:val="solid" w:color="FFFFFF" w:fill="auto"/>
          </w:tcPr>
          <w:p w:rsidR="00FA2901" w:rsidRDefault="00FA2901">
            <w:pPr>
              <w:autoSpaceDE w:val="0"/>
              <w:autoSpaceDN w:val="0"/>
              <w:adjustRightInd w:val="0"/>
              <w:jc w:val="center"/>
              <w:rPr>
                <w:rFonts w:ascii="Calibri" w:hAnsi="Calibri" w:cs="Calibri"/>
                <w:color w:val="000000"/>
                <w:sz w:val="16"/>
                <w:szCs w:val="16"/>
              </w:rPr>
            </w:pPr>
          </w:p>
        </w:tc>
        <w:tc>
          <w:tcPr>
            <w:tcW w:w="1350" w:type="dxa"/>
            <w:tcBorders>
              <w:top w:val="nil"/>
              <w:left w:val="nil"/>
              <w:bottom w:val="single" w:color="000000" w:sz="12" w:space="0"/>
              <w:right w:val="single" w:color="000000" w:sz="12" w:space="0"/>
            </w:tcBorders>
          </w:tcPr>
          <w:p w:rsidR="00FA2901" w:rsidRDefault="00FA2901">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$903,578</w:t>
            </w:r>
          </w:p>
        </w:tc>
      </w:tr>
      <w:tr w:rsidRPr="00C232C1" w:rsidR="00FA2901" w:rsidTr="00BF1E2A">
        <w:tblPrEx>
          <w:tblCellMar>
            <w:top w:w="0" w:type="dxa"/>
            <w:bottom w:w="0" w:type="dxa"/>
          </w:tblCellMar>
        </w:tblPrEx>
        <w:trPr>
          <w:trHeight w:val="301"/>
        </w:trPr>
        <w:tc>
          <w:tcPr>
            <w:tcW w:w="2730" w:type="dxa"/>
            <w:tcBorders>
              <w:top w:val="nil"/>
              <w:left w:val="single" w:color="000000" w:sz="12" w:space="0"/>
              <w:bottom w:val="single" w:color="000000" w:sz="12" w:space="0"/>
              <w:right w:val="single" w:color="000000" w:sz="12" w:space="0"/>
            </w:tcBorders>
            <w:shd w:val="solid" w:color="CCFFFF" w:fill="auto"/>
          </w:tcPr>
          <w:p w:rsidRPr="00C232C1" w:rsidR="00FA2901" w:rsidRDefault="00FA2901">
            <w:pPr>
              <w:autoSpaceDE w:val="0"/>
              <w:autoSpaceDN w:val="0"/>
              <w:adjustRightInd w:val="0"/>
              <w:jc w:val="right"/>
              <w:rPr>
                <w:rFonts w:ascii="Calibri" w:hAnsi="Calibri" w:cs="Calibri"/>
                <w:b/>
                <w:bCs/>
                <w:color w:val="000000"/>
                <w:sz w:val="22"/>
                <w:szCs w:val="22"/>
              </w:rPr>
            </w:pPr>
            <w:r w:rsidRPr="00C232C1">
              <w:rPr>
                <w:rFonts w:ascii="Calibri" w:hAnsi="Calibri" w:cs="Calibri"/>
                <w:b/>
                <w:bCs/>
                <w:color w:val="000000"/>
                <w:sz w:val="22"/>
                <w:szCs w:val="22"/>
              </w:rPr>
              <w:t>TOTALS</w:t>
            </w:r>
          </w:p>
        </w:tc>
        <w:tc>
          <w:tcPr>
            <w:tcW w:w="1170" w:type="dxa"/>
            <w:tcBorders>
              <w:top w:val="nil"/>
              <w:left w:val="nil"/>
              <w:bottom w:val="single" w:color="000000" w:sz="12" w:space="0"/>
              <w:right w:val="single" w:color="000000" w:sz="12" w:space="0"/>
            </w:tcBorders>
            <w:shd w:val="solid" w:color="CCFFFF" w:fill="auto"/>
          </w:tcPr>
          <w:p w:rsidRPr="00C232C1" w:rsidR="00472007" w:rsidP="00C232C1" w:rsidRDefault="00472007">
            <w:pPr>
              <w:autoSpaceDE w:val="0"/>
              <w:autoSpaceDN w:val="0"/>
              <w:adjustRightInd w:val="0"/>
              <w:jc w:val="center"/>
              <w:rPr>
                <w:rFonts w:ascii="Calibri" w:hAnsi="Calibri" w:cs="Calibri"/>
                <w:b/>
                <w:bCs/>
                <w:color w:val="000000"/>
                <w:sz w:val="22"/>
                <w:szCs w:val="22"/>
              </w:rPr>
            </w:pPr>
            <w:r w:rsidRPr="00C232C1">
              <w:rPr>
                <w:rFonts w:ascii="Calibri" w:hAnsi="Calibri" w:cs="Calibri"/>
                <w:b/>
                <w:color w:val="000000"/>
                <w:sz w:val="22"/>
                <w:szCs w:val="22"/>
              </w:rPr>
              <w:t>34</w:t>
            </w:r>
            <w:r w:rsidRPr="00C232C1" w:rsidR="00C232C1">
              <w:rPr>
                <w:rFonts w:ascii="Calibri" w:hAnsi="Calibri" w:cs="Calibri"/>
                <w:b/>
                <w:color w:val="000000"/>
                <w:sz w:val="22"/>
                <w:szCs w:val="22"/>
              </w:rPr>
              <w:t>,8</w:t>
            </w:r>
            <w:r w:rsidRPr="00C232C1">
              <w:rPr>
                <w:rFonts w:ascii="Calibri" w:hAnsi="Calibri" w:cs="Calibri"/>
                <w:b/>
                <w:color w:val="000000"/>
                <w:sz w:val="22"/>
                <w:szCs w:val="22"/>
              </w:rPr>
              <w:t>03</w:t>
            </w:r>
          </w:p>
        </w:tc>
        <w:tc>
          <w:tcPr>
            <w:tcW w:w="1530" w:type="dxa"/>
            <w:tcBorders>
              <w:top w:val="nil"/>
              <w:left w:val="nil"/>
              <w:bottom w:val="single" w:color="000000" w:sz="12" w:space="0"/>
              <w:right w:val="single" w:color="000000" w:sz="12" w:space="0"/>
            </w:tcBorders>
            <w:shd w:val="clear" w:color="auto" w:fill="000000"/>
          </w:tcPr>
          <w:p w:rsidRPr="00C232C1" w:rsidR="00FA2901" w:rsidRDefault="00FA2901">
            <w:pPr>
              <w:autoSpaceDE w:val="0"/>
              <w:autoSpaceDN w:val="0"/>
              <w:adjustRightInd w:val="0"/>
              <w:jc w:val="center"/>
              <w:rPr>
                <w:rFonts w:ascii="Calibri" w:hAnsi="Calibri" w:cs="Calibri"/>
                <w:b/>
                <w:bCs/>
                <w:color w:val="000000"/>
                <w:sz w:val="22"/>
                <w:szCs w:val="22"/>
              </w:rPr>
            </w:pPr>
          </w:p>
        </w:tc>
        <w:tc>
          <w:tcPr>
            <w:tcW w:w="1620" w:type="dxa"/>
            <w:tcBorders>
              <w:top w:val="nil"/>
              <w:left w:val="nil"/>
              <w:bottom w:val="single" w:color="000000" w:sz="12" w:space="0"/>
              <w:right w:val="single" w:color="000000" w:sz="12" w:space="0"/>
            </w:tcBorders>
            <w:shd w:val="solid" w:color="CCFFFF" w:fill="auto"/>
          </w:tcPr>
          <w:p w:rsidRPr="00C232C1" w:rsidR="00FA2901" w:rsidRDefault="00C232C1">
            <w:pPr>
              <w:autoSpaceDE w:val="0"/>
              <w:autoSpaceDN w:val="0"/>
              <w:adjustRightInd w:val="0"/>
              <w:jc w:val="center"/>
              <w:rPr>
                <w:rFonts w:ascii="Calibri" w:hAnsi="Calibri" w:cs="Calibri"/>
                <w:b/>
                <w:bCs/>
                <w:color w:val="000000"/>
                <w:sz w:val="22"/>
                <w:szCs w:val="22"/>
              </w:rPr>
            </w:pPr>
            <w:r w:rsidRPr="00C232C1">
              <w:rPr>
                <w:rFonts w:ascii="Calibri" w:hAnsi="Calibri" w:cs="Calibri"/>
                <w:b/>
                <w:bCs/>
                <w:color w:val="000000"/>
                <w:sz w:val="22"/>
                <w:szCs w:val="22"/>
              </w:rPr>
              <w:t>34,803</w:t>
            </w:r>
            <w:r w:rsidRPr="00C232C1" w:rsidR="00FA2901">
              <w:rPr>
                <w:rFonts w:ascii="Calibri" w:hAnsi="Calibri" w:cs="Calibri"/>
                <w:b/>
                <w:bCs/>
                <w:color w:val="000000"/>
                <w:sz w:val="22"/>
                <w:szCs w:val="22"/>
              </w:rPr>
              <w:t xml:space="preserve"> </w:t>
            </w:r>
          </w:p>
        </w:tc>
        <w:tc>
          <w:tcPr>
            <w:tcW w:w="1530" w:type="dxa"/>
            <w:tcBorders>
              <w:top w:val="nil"/>
              <w:left w:val="nil"/>
              <w:bottom w:val="single" w:color="000000" w:sz="12" w:space="0"/>
              <w:right w:val="single" w:color="000000" w:sz="12" w:space="0"/>
            </w:tcBorders>
            <w:shd w:val="clear" w:color="auto" w:fill="000000"/>
          </w:tcPr>
          <w:p w:rsidRPr="00C232C1" w:rsidR="00FA2901" w:rsidRDefault="00FA2901">
            <w:pPr>
              <w:autoSpaceDE w:val="0"/>
              <w:autoSpaceDN w:val="0"/>
              <w:adjustRightInd w:val="0"/>
              <w:jc w:val="center"/>
              <w:rPr>
                <w:rFonts w:ascii="Calibri" w:hAnsi="Calibri" w:cs="Calibri"/>
                <w:b/>
                <w:bCs/>
                <w:color w:val="000000"/>
                <w:sz w:val="22"/>
                <w:szCs w:val="22"/>
              </w:rPr>
            </w:pPr>
          </w:p>
        </w:tc>
        <w:tc>
          <w:tcPr>
            <w:tcW w:w="1350" w:type="dxa"/>
            <w:tcBorders>
              <w:top w:val="nil"/>
              <w:left w:val="nil"/>
              <w:bottom w:val="single" w:color="000000" w:sz="12" w:space="0"/>
              <w:right w:val="single" w:color="000000" w:sz="12" w:space="0"/>
            </w:tcBorders>
            <w:shd w:val="solid" w:color="CCFFFF" w:fill="auto"/>
          </w:tcPr>
          <w:p w:rsidRPr="00C232C1" w:rsidR="00FA2901" w:rsidP="00C232C1" w:rsidRDefault="00FA2901">
            <w:pPr>
              <w:autoSpaceDE w:val="0"/>
              <w:autoSpaceDN w:val="0"/>
              <w:adjustRightInd w:val="0"/>
              <w:jc w:val="center"/>
              <w:rPr>
                <w:rFonts w:ascii="Calibri" w:hAnsi="Calibri" w:cs="Calibri"/>
                <w:b/>
                <w:bCs/>
                <w:color w:val="000000"/>
                <w:sz w:val="22"/>
                <w:szCs w:val="22"/>
              </w:rPr>
            </w:pPr>
            <w:r w:rsidRPr="00C232C1">
              <w:rPr>
                <w:rFonts w:ascii="Calibri" w:hAnsi="Calibri" w:cs="Calibri"/>
                <w:b/>
                <w:bCs/>
                <w:color w:val="000000"/>
                <w:sz w:val="22"/>
                <w:szCs w:val="22"/>
              </w:rPr>
              <w:t>$903,</w:t>
            </w:r>
            <w:r w:rsidR="00C232C1">
              <w:rPr>
                <w:rFonts w:ascii="Calibri" w:hAnsi="Calibri" w:cs="Calibri"/>
                <w:b/>
                <w:bCs/>
                <w:color w:val="000000"/>
                <w:sz w:val="22"/>
                <w:szCs w:val="22"/>
              </w:rPr>
              <w:t>5</w:t>
            </w:r>
            <w:r w:rsidRPr="00C232C1">
              <w:rPr>
                <w:rFonts w:ascii="Calibri" w:hAnsi="Calibri" w:cs="Calibri"/>
                <w:b/>
                <w:bCs/>
                <w:color w:val="000000"/>
                <w:sz w:val="22"/>
                <w:szCs w:val="22"/>
              </w:rPr>
              <w:t xml:space="preserve">78 </w:t>
            </w:r>
          </w:p>
        </w:tc>
      </w:tr>
    </w:tbl>
    <w:p w:rsidRPr="00C232C1" w:rsidR="00FA2901" w:rsidP="00FA2901" w:rsidRDefault="00FA2901">
      <w:pPr>
        <w:rPr>
          <w:b/>
          <w:sz w:val="22"/>
          <w:szCs w:val="22"/>
        </w:rPr>
      </w:pPr>
    </w:p>
    <w:p w:rsidRPr="005C1C5F" w:rsidR="009447E3" w:rsidP="005C1C5F" w:rsidRDefault="005C1C5F">
      <w:pPr>
        <w:ind w:left="360"/>
        <w:rPr>
          <w:b/>
          <w:sz w:val="20"/>
        </w:rPr>
      </w:pPr>
      <w:r w:rsidRPr="005C1C5F">
        <w:rPr>
          <w:b/>
          <w:sz w:val="20"/>
        </w:rPr>
        <w:t>*</w:t>
      </w:r>
      <w:r>
        <w:rPr>
          <w:b/>
          <w:sz w:val="20"/>
        </w:rPr>
        <w:t xml:space="preserve"> </w:t>
      </w:r>
      <w:r w:rsidRPr="005C1C5F">
        <w:rPr>
          <w:sz w:val="20"/>
        </w:rPr>
        <w:t>There is no cost for delivery of permits</w:t>
      </w:r>
      <w:r w:rsidR="00535297">
        <w:rPr>
          <w:sz w:val="20"/>
        </w:rPr>
        <w:t xml:space="preserve"> applications sent</w:t>
      </w:r>
      <w:r w:rsidRPr="005C1C5F">
        <w:rPr>
          <w:sz w:val="20"/>
        </w:rPr>
        <w:t xml:space="preserve"> electronically</w:t>
      </w:r>
      <w:r w:rsidR="00535297">
        <w:rPr>
          <w:sz w:val="20"/>
        </w:rPr>
        <w:t xml:space="preserve"> or by fax.</w:t>
      </w:r>
    </w:p>
    <w:p w:rsidR="00A34041" w:rsidP="009447E3" w:rsidRDefault="00A34041">
      <w:pPr>
        <w:rPr>
          <w:b/>
        </w:rPr>
      </w:pPr>
    </w:p>
    <w:p w:rsidR="009447E3" w:rsidP="009447E3" w:rsidRDefault="00605739">
      <w:pPr>
        <w:rPr>
          <w:b/>
        </w:rPr>
      </w:pPr>
      <w:r>
        <w:rPr>
          <w:b/>
        </w:rPr>
        <w:br w:type="page"/>
      </w:r>
      <w:r w:rsidR="009447E3">
        <w:rPr>
          <w:b/>
        </w:rPr>
        <w:t>14.</w:t>
      </w:r>
      <w:r w:rsidR="00E036C4">
        <w:rPr>
          <w:b/>
        </w:rPr>
        <w:t xml:space="preserve"> </w:t>
      </w:r>
      <w:r w:rsidR="009447E3">
        <w:rPr>
          <w:b/>
          <w:u w:val="single"/>
        </w:rPr>
        <w:t>Provide estimates of annualized cost to the Federal government</w:t>
      </w:r>
      <w:r w:rsidR="009447E3">
        <w:rPr>
          <w:b/>
        </w:rPr>
        <w:t>.</w:t>
      </w:r>
    </w:p>
    <w:p w:rsidR="009447E3" w:rsidP="009447E3" w:rsidRDefault="009447E3"/>
    <w:p w:rsidR="009447E3" w:rsidP="009447E3" w:rsidRDefault="009447E3">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T</w:t>
      </w:r>
      <w:r>
        <w:rPr>
          <w:szCs w:val="24"/>
        </w:rPr>
        <w:t>he cost of all these permits will be reimbursed by an administrative cost recovery fee</w:t>
      </w:r>
      <w:r w:rsidRPr="00B846AA">
        <w:rPr>
          <w:szCs w:val="24"/>
        </w:rPr>
        <w:t xml:space="preserve"> </w:t>
      </w:r>
      <w:r>
        <w:rPr>
          <w:szCs w:val="24"/>
        </w:rPr>
        <w:t xml:space="preserve">included in the permit fee, and there will </w:t>
      </w:r>
      <w:r w:rsidR="00FA2901">
        <w:rPr>
          <w:szCs w:val="24"/>
        </w:rPr>
        <w:t xml:space="preserve">ultimately </w:t>
      </w:r>
      <w:r>
        <w:rPr>
          <w:szCs w:val="24"/>
        </w:rPr>
        <w:t>be no cost to the Federal government.</w:t>
      </w:r>
      <w:r>
        <w:rPr>
          <w:b/>
        </w:rPr>
        <w:t xml:space="preserve"> </w:t>
      </w:r>
      <w:r w:rsidR="00FA2901">
        <w:t>The below table details the costs associated with administering the permit program that are reimbursed by the permit fees.</w:t>
      </w:r>
    </w:p>
    <w:p w:rsidR="00FA2901" w:rsidP="009447E3" w:rsidRDefault="00FA2901"/>
    <w:p w:rsidRPr="00C85F71" w:rsidR="00FA2901" w:rsidP="00C85F71" w:rsidRDefault="00FA2901">
      <w:pPr>
        <w:ind w:left="1080" w:hanging="1080"/>
        <w:rPr>
          <w:b/>
        </w:rPr>
      </w:pPr>
      <w:r w:rsidRPr="00C85F71">
        <w:rPr>
          <w:b/>
        </w:rPr>
        <w:t xml:space="preserve">Table 3.  </w:t>
      </w:r>
      <w:r w:rsidRPr="00C85F71" w:rsidR="00C85F71">
        <w:rPr>
          <w:b/>
        </w:rPr>
        <w:tab/>
      </w:r>
      <w:r w:rsidRPr="00C85F71">
        <w:rPr>
          <w:b/>
        </w:rPr>
        <w:t>Federal costs associated with administration of HMS vessel permits which are in turn reimbursed by the cost recovery fees included in the permit fees.</w:t>
      </w:r>
    </w:p>
    <w:p w:rsidR="00FA2901" w:rsidP="00FA2901" w:rsidRDefault="00FA2901">
      <w:pPr>
        <w:ind w:left="900" w:hanging="900"/>
      </w:pPr>
    </w:p>
    <w:tbl>
      <w:tblPr>
        <w:tblW w:w="9390" w:type="dxa"/>
        <w:tblInd w:w="78" w:type="dxa"/>
        <w:tblLayout w:type="fixed"/>
        <w:tblLook w:val="0000" w:firstRow="0" w:lastRow="0" w:firstColumn="0" w:lastColumn="0" w:noHBand="0" w:noVBand="0"/>
      </w:tblPr>
      <w:tblGrid>
        <w:gridCol w:w="2010"/>
        <w:gridCol w:w="1170"/>
        <w:gridCol w:w="1620"/>
        <w:gridCol w:w="1440"/>
        <w:gridCol w:w="1620"/>
        <w:gridCol w:w="1530"/>
      </w:tblGrid>
      <w:tr w:rsidR="00FA2901" w:rsidTr="00EC7C96">
        <w:tblPrEx>
          <w:tblCellMar>
            <w:top w:w="0" w:type="dxa"/>
            <w:bottom w:w="0" w:type="dxa"/>
          </w:tblCellMar>
        </w:tblPrEx>
        <w:trPr>
          <w:trHeight w:val="659"/>
        </w:trPr>
        <w:tc>
          <w:tcPr>
            <w:tcW w:w="2010" w:type="dxa"/>
            <w:tcBorders>
              <w:top w:val="single" w:color="000000" w:sz="12" w:space="0"/>
              <w:left w:val="single" w:color="000000" w:sz="12" w:space="0"/>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Cost Descriptions</w:t>
            </w:r>
          </w:p>
        </w:tc>
        <w:tc>
          <w:tcPr>
            <w:tcW w:w="117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Grade/Step</w:t>
            </w:r>
          </w:p>
        </w:tc>
        <w:tc>
          <w:tcPr>
            <w:tcW w:w="162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Loaded Salary /Cost</w:t>
            </w:r>
          </w:p>
        </w:tc>
        <w:tc>
          <w:tcPr>
            <w:tcW w:w="144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 of Effort</w:t>
            </w:r>
          </w:p>
        </w:tc>
        <w:tc>
          <w:tcPr>
            <w:tcW w:w="162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Fringe (if Applicable)</w:t>
            </w:r>
          </w:p>
        </w:tc>
        <w:tc>
          <w:tcPr>
            <w:tcW w:w="1530" w:type="dxa"/>
            <w:tcBorders>
              <w:top w:val="single" w:color="000000" w:sz="12" w:space="0"/>
              <w:left w:val="nil"/>
              <w:bottom w:val="nil"/>
              <w:right w:val="single" w:color="000000" w:sz="12" w:space="0"/>
            </w:tcBorders>
            <w:shd w:val="solid" w:color="99CCFF" w:fill="auto"/>
          </w:tcPr>
          <w:p w:rsidR="00FA2901" w:rsidRDefault="00FA2901">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Cost to Government</w:t>
            </w:r>
          </w:p>
        </w:tc>
      </w:tr>
      <w:tr w:rsidR="00FA2901" w:rsidTr="00EC7C96">
        <w:tblPrEx>
          <w:tblCellMar>
            <w:top w:w="0" w:type="dxa"/>
            <w:bottom w:w="0" w:type="dxa"/>
          </w:tblCellMar>
        </w:tblPrEx>
        <w:trPr>
          <w:trHeight w:val="301"/>
        </w:trPr>
        <w:tc>
          <w:tcPr>
            <w:tcW w:w="2010" w:type="dxa"/>
            <w:tcBorders>
              <w:top w:val="single" w:color="000000" w:sz="12" w:space="0"/>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Federal Oversight</w:t>
            </w:r>
          </w:p>
        </w:tc>
        <w:tc>
          <w:tcPr>
            <w:tcW w:w="1170" w:type="dxa"/>
            <w:tcBorders>
              <w:top w:val="single" w:color="000000" w:sz="12" w:space="0"/>
              <w:left w:val="nil"/>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ZA-IV</w:t>
            </w:r>
          </w:p>
        </w:tc>
        <w:tc>
          <w:tcPr>
            <w:tcW w:w="1620" w:type="dxa"/>
            <w:tcBorders>
              <w:top w:val="single" w:color="000000" w:sz="12" w:space="0"/>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$160,000 </w:t>
            </w:r>
          </w:p>
        </w:tc>
        <w:tc>
          <w:tcPr>
            <w:tcW w:w="1440" w:type="dxa"/>
            <w:tcBorders>
              <w:top w:val="single" w:color="000000" w:sz="12" w:space="0"/>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5.8%</w:t>
            </w:r>
          </w:p>
        </w:tc>
        <w:tc>
          <w:tcPr>
            <w:tcW w:w="1620" w:type="dxa"/>
            <w:tcBorders>
              <w:top w:val="single" w:color="000000" w:sz="12" w:space="0"/>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single" w:color="000000" w:sz="12" w:space="0"/>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$9,280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Other Federal Positions</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ZP-IV</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$150,000 </w:t>
            </w:r>
          </w:p>
        </w:tc>
        <w:tc>
          <w:tcPr>
            <w:tcW w:w="144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5.0%</w:t>
            </w: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$7,500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Other Federal Positions</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ZP-IV</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$135,000 </w:t>
            </w:r>
          </w:p>
        </w:tc>
        <w:tc>
          <w:tcPr>
            <w:tcW w:w="1440" w:type="dxa"/>
            <w:tcBorders>
              <w:top w:val="single" w:color="000000" w:sz="12" w:space="0"/>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5.8%</w:t>
            </w: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$7,830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Other Federal Positions</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ZP-III</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$100,000 </w:t>
            </w:r>
          </w:p>
        </w:tc>
        <w:tc>
          <w:tcPr>
            <w:tcW w:w="144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5.0%</w:t>
            </w: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$5,000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Other Federal Positions</w:t>
            </w:r>
          </w:p>
        </w:tc>
        <w:tc>
          <w:tcPr>
            <w:tcW w:w="1170" w:type="dxa"/>
            <w:tcBorders>
              <w:top w:val="nil"/>
              <w:left w:val="nil"/>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ZA-V</w:t>
            </w: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$155,000 </w:t>
            </w:r>
          </w:p>
        </w:tc>
        <w:tc>
          <w:tcPr>
            <w:tcW w:w="144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2.5%</w:t>
            </w: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$3,875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Contractor Cost</w:t>
            </w:r>
          </w:p>
        </w:tc>
        <w:tc>
          <w:tcPr>
            <w:tcW w:w="117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44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$613,350 </w:t>
            </w: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 xml:space="preserve">Other Costs: </w:t>
            </w:r>
          </w:p>
        </w:tc>
        <w:tc>
          <w:tcPr>
            <w:tcW w:w="117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44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p>
        </w:tc>
      </w:tr>
      <w:tr w:rsidR="00FA2901" w:rsidTr="00EC7C96">
        <w:tblPrEx>
          <w:tblCellMar>
            <w:top w:w="0" w:type="dxa"/>
            <w:bottom w:w="0" w:type="dxa"/>
          </w:tblCellMar>
        </w:tblPrEx>
        <w:trPr>
          <w:trHeight w:val="301"/>
        </w:trPr>
        <w:tc>
          <w:tcPr>
            <w:tcW w:w="2010" w:type="dxa"/>
            <w:tcBorders>
              <w:top w:val="nil"/>
              <w:left w:val="single" w:color="000000" w:sz="12" w:space="0"/>
              <w:bottom w:val="single" w:color="000000" w:sz="12" w:space="0"/>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Indirect Costs</w:t>
            </w:r>
          </w:p>
        </w:tc>
        <w:tc>
          <w:tcPr>
            <w:tcW w:w="117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44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$30,861 </w:t>
            </w:r>
          </w:p>
        </w:tc>
      </w:tr>
      <w:tr w:rsidR="00FA2901" w:rsidTr="00EC7C96">
        <w:tblPrEx>
          <w:tblCellMar>
            <w:top w:w="0" w:type="dxa"/>
            <w:bottom w:w="0" w:type="dxa"/>
          </w:tblCellMar>
        </w:tblPrEx>
        <w:trPr>
          <w:trHeight w:val="301"/>
        </w:trPr>
        <w:tc>
          <w:tcPr>
            <w:tcW w:w="2010" w:type="dxa"/>
            <w:tcBorders>
              <w:top w:val="nil"/>
              <w:left w:val="single" w:color="000000" w:sz="12" w:space="0"/>
              <w:bottom w:val="nil"/>
              <w:right w:val="single" w:color="000000" w:sz="12" w:space="0"/>
            </w:tcBorders>
          </w:tcPr>
          <w:p w:rsidR="00FA2901" w:rsidRDefault="00FA2901">
            <w:pPr>
              <w:autoSpaceDE w:val="0"/>
              <w:autoSpaceDN w:val="0"/>
              <w:adjustRightInd w:val="0"/>
              <w:rPr>
                <w:rFonts w:ascii="Calibri" w:hAnsi="Calibri" w:cs="Calibri"/>
                <w:color w:val="000000"/>
                <w:sz w:val="16"/>
                <w:szCs w:val="16"/>
              </w:rPr>
            </w:pPr>
            <w:r>
              <w:rPr>
                <w:rFonts w:ascii="Calibri" w:hAnsi="Calibri" w:cs="Calibri"/>
                <w:color w:val="000000"/>
                <w:sz w:val="16"/>
                <w:szCs w:val="16"/>
              </w:rPr>
              <w:t>FMS Collection Expense</w:t>
            </w:r>
          </w:p>
        </w:tc>
        <w:tc>
          <w:tcPr>
            <w:tcW w:w="117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44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tcPr>
          <w:p w:rsidR="00FA2901" w:rsidRDefault="00FA2901">
            <w:pPr>
              <w:autoSpaceDE w:val="0"/>
              <w:autoSpaceDN w:val="0"/>
              <w:adjustRightInd w:val="0"/>
              <w:jc w:val="right"/>
              <w:rPr>
                <w:rFonts w:ascii="Calibri" w:hAnsi="Calibri" w:cs="Calibri"/>
                <w:color w:val="000000"/>
                <w:sz w:val="16"/>
                <w:szCs w:val="16"/>
              </w:rPr>
            </w:pPr>
            <w:r>
              <w:rPr>
                <w:rFonts w:ascii="Calibri" w:hAnsi="Calibri" w:cs="Calibri"/>
                <w:color w:val="000000"/>
                <w:sz w:val="16"/>
                <w:szCs w:val="16"/>
              </w:rPr>
              <w:t xml:space="preserve">$97,849 </w:t>
            </w:r>
          </w:p>
        </w:tc>
      </w:tr>
      <w:tr w:rsidR="00FA2901" w:rsidTr="00EC7C96">
        <w:tblPrEx>
          <w:tblCellMar>
            <w:top w:w="0" w:type="dxa"/>
            <w:bottom w:w="0" w:type="dxa"/>
          </w:tblCellMar>
        </w:tblPrEx>
        <w:trPr>
          <w:trHeight w:val="301"/>
        </w:trPr>
        <w:tc>
          <w:tcPr>
            <w:tcW w:w="2010" w:type="dxa"/>
            <w:tcBorders>
              <w:top w:val="single" w:color="000000" w:sz="12" w:space="0"/>
              <w:left w:val="single" w:color="000000" w:sz="12" w:space="0"/>
              <w:bottom w:val="single" w:color="000000" w:sz="12" w:space="0"/>
              <w:right w:val="single" w:color="000000" w:sz="12" w:space="0"/>
            </w:tcBorders>
            <w:shd w:val="solid" w:color="CCFFFF" w:fill="auto"/>
          </w:tcPr>
          <w:p w:rsidR="00FA2901" w:rsidRDefault="00FA2901">
            <w:pPr>
              <w:autoSpaceDE w:val="0"/>
              <w:autoSpaceDN w:val="0"/>
              <w:adjustRightInd w:val="0"/>
              <w:rPr>
                <w:rFonts w:ascii="Calibri" w:hAnsi="Calibri" w:cs="Calibri"/>
                <w:b/>
                <w:bCs/>
                <w:color w:val="000000"/>
                <w:sz w:val="16"/>
                <w:szCs w:val="16"/>
              </w:rPr>
            </w:pPr>
            <w:r>
              <w:rPr>
                <w:rFonts w:ascii="Calibri" w:hAnsi="Calibri" w:cs="Calibri"/>
                <w:b/>
                <w:bCs/>
                <w:color w:val="000000"/>
                <w:sz w:val="16"/>
                <w:szCs w:val="16"/>
              </w:rPr>
              <w:t>TOTAL</w:t>
            </w:r>
          </w:p>
        </w:tc>
        <w:tc>
          <w:tcPr>
            <w:tcW w:w="117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440" w:type="dxa"/>
            <w:tcBorders>
              <w:top w:val="nil"/>
              <w:left w:val="nil"/>
              <w:bottom w:val="single" w:color="000000" w:sz="12" w:space="0"/>
              <w:right w:val="single" w:color="000000" w:sz="12" w:space="0"/>
            </w:tcBorders>
            <w:shd w:val="solid" w:color="808080" w:fill="auto"/>
          </w:tcPr>
          <w:p w:rsidR="00FA2901" w:rsidRDefault="00FA2901">
            <w:pPr>
              <w:autoSpaceDE w:val="0"/>
              <w:autoSpaceDN w:val="0"/>
              <w:adjustRightInd w:val="0"/>
              <w:jc w:val="right"/>
              <w:rPr>
                <w:rFonts w:ascii="Calibri" w:hAnsi="Calibri" w:cs="Calibri"/>
                <w:color w:val="000000"/>
                <w:sz w:val="16"/>
                <w:szCs w:val="16"/>
              </w:rPr>
            </w:pPr>
          </w:p>
        </w:tc>
        <w:tc>
          <w:tcPr>
            <w:tcW w:w="1620" w:type="dxa"/>
            <w:tcBorders>
              <w:top w:val="nil"/>
              <w:left w:val="nil"/>
              <w:bottom w:val="single" w:color="000000" w:sz="12" w:space="0"/>
              <w:right w:val="single" w:color="000000" w:sz="12" w:space="0"/>
            </w:tcBorders>
            <w:shd w:val="solid" w:color="CCFFFF" w:fill="auto"/>
          </w:tcPr>
          <w:p w:rsidR="00FA2901" w:rsidRDefault="00FA2901">
            <w:pPr>
              <w:autoSpaceDE w:val="0"/>
              <w:autoSpaceDN w:val="0"/>
              <w:adjustRightInd w:val="0"/>
              <w:jc w:val="right"/>
              <w:rPr>
                <w:rFonts w:ascii="Calibri" w:hAnsi="Calibri" w:cs="Calibri"/>
                <w:color w:val="000000"/>
                <w:sz w:val="16"/>
                <w:szCs w:val="16"/>
              </w:rPr>
            </w:pPr>
          </w:p>
        </w:tc>
        <w:tc>
          <w:tcPr>
            <w:tcW w:w="1530" w:type="dxa"/>
            <w:tcBorders>
              <w:top w:val="nil"/>
              <w:left w:val="nil"/>
              <w:bottom w:val="single" w:color="000000" w:sz="12" w:space="0"/>
              <w:right w:val="single" w:color="000000" w:sz="12" w:space="0"/>
            </w:tcBorders>
            <w:shd w:val="solid" w:color="CCFFFF" w:fill="auto"/>
          </w:tcPr>
          <w:p w:rsidRPr="00C232C1" w:rsidR="00FA2901" w:rsidRDefault="00FA2901">
            <w:pPr>
              <w:autoSpaceDE w:val="0"/>
              <w:autoSpaceDN w:val="0"/>
              <w:adjustRightInd w:val="0"/>
              <w:jc w:val="right"/>
              <w:rPr>
                <w:rFonts w:ascii="Calibri" w:hAnsi="Calibri" w:cs="Calibri"/>
                <w:b/>
                <w:color w:val="000000"/>
                <w:sz w:val="16"/>
                <w:szCs w:val="16"/>
              </w:rPr>
            </w:pPr>
            <w:r w:rsidRPr="00C232C1">
              <w:rPr>
                <w:rFonts w:ascii="Calibri" w:hAnsi="Calibri" w:cs="Calibri"/>
                <w:b/>
                <w:color w:val="000000"/>
                <w:sz w:val="16"/>
                <w:szCs w:val="16"/>
              </w:rPr>
              <w:t xml:space="preserve">$775,545 </w:t>
            </w:r>
          </w:p>
        </w:tc>
      </w:tr>
    </w:tbl>
    <w:p w:rsidRPr="00FA2901" w:rsidR="00FA2901" w:rsidP="00FA2901" w:rsidRDefault="00FA2901">
      <w:pPr>
        <w:ind w:left="900" w:hanging="900"/>
      </w:pPr>
    </w:p>
    <w:p w:rsidR="00FA2901" w:rsidP="009447E3" w:rsidRDefault="00FA2901">
      <w:pPr>
        <w:rPr>
          <w:b/>
        </w:rPr>
      </w:pPr>
    </w:p>
    <w:p w:rsidR="00FA2901" w:rsidP="009447E3" w:rsidRDefault="00FA2901"/>
    <w:p w:rsidR="009447E3" w:rsidP="009447E3" w:rsidRDefault="009447E3">
      <w:pPr>
        <w:rPr>
          <w:b/>
        </w:rPr>
      </w:pPr>
    </w:p>
    <w:p w:rsidR="009447E3" w:rsidP="009447E3" w:rsidRDefault="009447E3">
      <w:r>
        <w:rPr>
          <w:b/>
        </w:rPr>
        <w:t>15.</w:t>
      </w:r>
      <w:r w:rsidR="00E036C4">
        <w:rPr>
          <w:b/>
        </w:rPr>
        <w:t xml:space="preserve"> </w:t>
      </w:r>
      <w:r>
        <w:rPr>
          <w:b/>
          <w:u w:val="single"/>
        </w:rPr>
        <w:t>Explain the reasons for any program changes or adjustments</w:t>
      </w:r>
      <w:r>
        <w:rPr>
          <w:b/>
        </w:rPr>
        <w:t>.</w:t>
      </w:r>
    </w:p>
    <w:p w:rsidR="009447E3" w:rsidP="009447E3" w:rsidRDefault="009447E3"/>
    <w:p w:rsidR="00FA2901" w:rsidP="00FA2901" w:rsidRDefault="00FA2901">
      <w:pPr>
        <w:ind w:left="990" w:hanging="990"/>
        <w:rPr>
          <w:b/>
        </w:rPr>
      </w:pPr>
      <w:r>
        <w:rPr>
          <w:b/>
        </w:rPr>
        <w:t>Table 4.</w:t>
      </w:r>
      <w:r>
        <w:rPr>
          <w:b/>
        </w:rPr>
        <w:tab/>
        <w:t xml:space="preserve">Adjustments to the number of respondents, responses, and burden hours associated with </w:t>
      </w:r>
      <w:r w:rsidR="00946285">
        <w:rPr>
          <w:b/>
        </w:rPr>
        <w:t>applications for</w:t>
      </w:r>
      <w:r>
        <w:rPr>
          <w:b/>
        </w:rPr>
        <w:t xml:space="preserve"> HMS vessel permits.</w:t>
      </w:r>
    </w:p>
    <w:p w:rsidR="00C232C1" w:rsidP="00FA2901" w:rsidRDefault="00C232C1">
      <w:pPr>
        <w:ind w:left="990" w:hanging="990"/>
        <w:rPr>
          <w:b/>
        </w:rPr>
      </w:pPr>
    </w:p>
    <w:tbl>
      <w:tblPr>
        <w:tblpPr w:leftFromText="180" w:rightFromText="180" w:vertAnchor="text" w:horzAnchor="margin" w:tblpXSpec="center" w:tblpY="33"/>
        <w:tblW w:w="11020" w:type="dxa"/>
        <w:tblLook w:val="04A0" w:firstRow="1" w:lastRow="0" w:firstColumn="1" w:lastColumn="0" w:noHBand="0" w:noVBand="1"/>
      </w:tblPr>
      <w:tblGrid>
        <w:gridCol w:w="1960"/>
        <w:gridCol w:w="1120"/>
        <w:gridCol w:w="960"/>
        <w:gridCol w:w="1060"/>
        <w:gridCol w:w="960"/>
        <w:gridCol w:w="1040"/>
        <w:gridCol w:w="1060"/>
        <w:gridCol w:w="2860"/>
      </w:tblGrid>
      <w:tr w:rsidRPr="00AF00B3" w:rsidR="00AF00B3" w:rsidTr="00AF00B3">
        <w:trPr>
          <w:trHeight w:val="330"/>
        </w:trPr>
        <w:tc>
          <w:tcPr>
            <w:tcW w:w="1960" w:type="dxa"/>
            <w:tcBorders>
              <w:top w:val="single" w:color="000000" w:sz="12" w:space="0"/>
              <w:left w:val="single" w:color="000000" w:sz="12" w:space="0"/>
              <w:bottom w:val="nil"/>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Information Collection</w:t>
            </w:r>
          </w:p>
        </w:tc>
        <w:tc>
          <w:tcPr>
            <w:tcW w:w="2080" w:type="dxa"/>
            <w:gridSpan w:val="2"/>
            <w:tcBorders>
              <w:top w:val="single" w:color="000000" w:sz="12" w:space="0"/>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Respondents</w:t>
            </w:r>
          </w:p>
        </w:tc>
        <w:tc>
          <w:tcPr>
            <w:tcW w:w="2020" w:type="dxa"/>
            <w:gridSpan w:val="2"/>
            <w:tcBorders>
              <w:top w:val="single" w:color="000000" w:sz="12" w:space="0"/>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Responses</w:t>
            </w:r>
          </w:p>
        </w:tc>
        <w:tc>
          <w:tcPr>
            <w:tcW w:w="2100" w:type="dxa"/>
            <w:gridSpan w:val="2"/>
            <w:tcBorders>
              <w:top w:val="single" w:color="000000" w:sz="12" w:space="0"/>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Burden Hours</w:t>
            </w:r>
          </w:p>
        </w:tc>
        <w:tc>
          <w:tcPr>
            <w:tcW w:w="2860" w:type="dxa"/>
            <w:vMerge w:val="restart"/>
            <w:tcBorders>
              <w:top w:val="single" w:color="000000" w:sz="12" w:space="0"/>
              <w:left w:val="single" w:color="000000" w:sz="12" w:space="0"/>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Reason for change or adjustment</w:t>
            </w:r>
          </w:p>
        </w:tc>
      </w:tr>
      <w:tr w:rsidRPr="00AF00B3" w:rsidR="00AF00B3" w:rsidTr="00AF00B3">
        <w:trPr>
          <w:trHeight w:val="750"/>
        </w:trPr>
        <w:tc>
          <w:tcPr>
            <w:tcW w:w="1960" w:type="dxa"/>
            <w:tcBorders>
              <w:top w:val="nil"/>
              <w:left w:val="single" w:color="000000" w:sz="12" w:space="0"/>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w:t>
            </w:r>
          </w:p>
        </w:tc>
        <w:tc>
          <w:tcPr>
            <w:tcW w:w="1120" w:type="dxa"/>
            <w:tcBorders>
              <w:top w:val="nil"/>
              <w:left w:val="nil"/>
              <w:bottom w:val="single" w:color="000000" w:sz="12" w:space="0"/>
              <w:right w:val="dashed" w:color="000000" w:sz="8"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Current Renewal / Revision</w:t>
            </w:r>
          </w:p>
        </w:tc>
        <w:tc>
          <w:tcPr>
            <w:tcW w:w="960" w:type="dxa"/>
            <w:tcBorders>
              <w:top w:val="nil"/>
              <w:left w:val="nil"/>
              <w:bottom w:val="single" w:color="000000" w:sz="12" w:space="0"/>
              <w:right w:val="single" w:color="000000" w:sz="12"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Previous Renewal / Revision</w:t>
            </w:r>
          </w:p>
        </w:tc>
        <w:tc>
          <w:tcPr>
            <w:tcW w:w="1060" w:type="dxa"/>
            <w:tcBorders>
              <w:top w:val="nil"/>
              <w:left w:val="nil"/>
              <w:bottom w:val="single" w:color="000000" w:sz="12" w:space="0"/>
              <w:right w:val="dashed" w:color="000000" w:sz="8"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Current Renewal / Revision</w:t>
            </w:r>
          </w:p>
        </w:tc>
        <w:tc>
          <w:tcPr>
            <w:tcW w:w="960" w:type="dxa"/>
            <w:tcBorders>
              <w:top w:val="nil"/>
              <w:left w:val="nil"/>
              <w:bottom w:val="single" w:color="000000" w:sz="12" w:space="0"/>
              <w:right w:val="single" w:color="000000" w:sz="12"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Previous Renewal / Revision</w:t>
            </w:r>
          </w:p>
        </w:tc>
        <w:tc>
          <w:tcPr>
            <w:tcW w:w="1040" w:type="dxa"/>
            <w:tcBorders>
              <w:top w:val="nil"/>
              <w:left w:val="nil"/>
              <w:bottom w:val="single" w:color="000000" w:sz="12" w:space="0"/>
              <w:right w:val="dashed" w:color="000000" w:sz="8"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Current Renewal / Revision</w:t>
            </w:r>
          </w:p>
        </w:tc>
        <w:tc>
          <w:tcPr>
            <w:tcW w:w="1060" w:type="dxa"/>
            <w:tcBorders>
              <w:top w:val="nil"/>
              <w:left w:val="nil"/>
              <w:bottom w:val="single" w:color="000000" w:sz="12" w:space="0"/>
              <w:right w:val="single" w:color="000000" w:sz="12"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Previous Renewal / Revision</w:t>
            </w:r>
          </w:p>
        </w:tc>
        <w:tc>
          <w:tcPr>
            <w:tcW w:w="2860" w:type="dxa"/>
            <w:vMerge/>
            <w:tcBorders>
              <w:top w:val="single" w:color="000000" w:sz="12" w:space="0"/>
              <w:left w:val="single" w:color="000000" w:sz="12" w:space="0"/>
              <w:bottom w:val="single" w:color="000000" w:sz="12" w:space="0"/>
              <w:right w:val="single" w:color="000000" w:sz="12" w:space="0"/>
            </w:tcBorders>
            <w:vAlign w:val="center"/>
            <w:hideMark/>
          </w:tcPr>
          <w:p w:rsidRPr="00AF00B3" w:rsidR="00AF00B3" w:rsidP="00AF00B3" w:rsidRDefault="00AF00B3">
            <w:pPr>
              <w:rPr>
                <w:rFonts w:ascii="Calibri" w:hAnsi="Calibri" w:cs="Calibri"/>
                <w:b/>
                <w:bCs/>
                <w:color w:val="000000"/>
                <w:sz w:val="18"/>
                <w:szCs w:val="18"/>
              </w:rPr>
            </w:pPr>
          </w:p>
        </w:tc>
      </w:tr>
      <w:tr w:rsidRPr="00AF00B3" w:rsidR="00AF00B3" w:rsidTr="00AF00B3">
        <w:trPr>
          <w:trHeight w:val="330"/>
        </w:trPr>
        <w:tc>
          <w:tcPr>
            <w:tcW w:w="1960" w:type="dxa"/>
            <w:tcBorders>
              <w:top w:val="nil"/>
              <w:left w:val="single" w:color="000000" w:sz="12" w:space="0"/>
              <w:bottom w:val="single" w:color="000000" w:sz="12" w:space="0"/>
              <w:right w:val="single" w:color="000000"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Vessel Permits</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AF00B3">
        <w:trPr>
          <w:trHeight w:val="123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Atlantic Tunas (General, Harpoon &amp; Trap categories), HMS Charter/Headboat</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1,500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3,000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1,500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3,000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850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1,700</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123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(General, Harpoon &amp; Trap categories), HMS Charter/Headboat</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6,500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6,500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1,000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1,083</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99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&amp; Renewal - HMS Angling</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24,500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24,500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5,883</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This IC was broken out into Initial Permit and Renewals in order to accurately reflect the burden for each collection.</w:t>
            </w:r>
          </w:p>
        </w:tc>
      </w:tr>
      <w:tr w:rsidRPr="00AF00B3" w:rsidR="00AF00B3" w:rsidTr="00AF00B3">
        <w:trPr>
          <w:trHeight w:val="51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HMS Angling</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6,000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3,400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51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HMS Angling</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20,000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20,000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3,333</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75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Purse Seine limited access</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99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Atlantic Swordfish General Commercial Permit</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2600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2600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1233</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This IC was broken out into Initial Permit and Renewals in order to accurately reflect the burden for each collection.</w:t>
            </w:r>
          </w:p>
        </w:tc>
      </w:tr>
      <w:tr w:rsidRPr="00AF00B3" w:rsidR="00AF00B3" w:rsidTr="00A34A89">
        <w:trPr>
          <w:trHeight w:val="507"/>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INITIAL -- Swordfish General Commercial </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283</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75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RENEWAL – Swordfish General Commercial </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750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750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125</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34A89">
        <w:trPr>
          <w:trHeight w:val="993"/>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INITIAL &amp; RENEWAL – One-time requirement to obtain IMO/LR number </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25</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25</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w:t>
            </w:r>
          </w:p>
        </w:tc>
      </w:tr>
      <w:tr w:rsidRPr="00AF00B3" w:rsidR="00AF00B3" w:rsidTr="00AF00B3">
        <w:trPr>
          <w:trHeight w:val="33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 (VESSEL)</w:t>
            </w:r>
          </w:p>
        </w:tc>
        <w:tc>
          <w:tcPr>
            <w:tcW w:w="112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34,803</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36,655</w:t>
            </w:r>
          </w:p>
        </w:tc>
        <w:tc>
          <w:tcPr>
            <w:tcW w:w="10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34,803</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36,655</w:t>
            </w:r>
          </w:p>
        </w:tc>
        <w:tc>
          <w:tcPr>
            <w:tcW w:w="104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9,017</w:t>
            </w:r>
          </w:p>
        </w:tc>
        <w:tc>
          <w:tcPr>
            <w:tcW w:w="10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9,925</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AF00B3">
        <w:trPr>
          <w:trHeight w:val="330"/>
        </w:trPr>
        <w:tc>
          <w:tcPr>
            <w:tcW w:w="1960" w:type="dxa"/>
            <w:tcBorders>
              <w:top w:val="nil"/>
              <w:left w:val="single" w:color="000000" w:sz="12" w:space="0"/>
              <w:bottom w:val="single" w:color="000000" w:sz="12" w:space="0"/>
              <w:right w:val="single" w:color="000000"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Dealer Permits</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28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C232C1">
        <w:trPr>
          <w:trHeight w:val="51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Atlantic Tunas Dealer</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50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13</w:t>
            </w:r>
          </w:p>
        </w:tc>
        <w:tc>
          <w:tcPr>
            <w:tcW w:w="2860" w:type="dxa"/>
            <w:tcBorders>
              <w:top w:val="nil"/>
              <w:left w:val="nil"/>
              <w:bottom w:val="dotted" w:color="000000" w:sz="4" w:space="0"/>
              <w:right w:val="single" w:color="000000" w:sz="12" w:space="0"/>
            </w:tcBorders>
            <w:shd w:val="clear" w:color="auto" w:fill="auto"/>
            <w:vAlign w:val="center"/>
          </w:tcPr>
          <w:p w:rsidRPr="00AF00B3" w:rsidR="00AF00B3" w:rsidP="00AF00B3" w:rsidRDefault="00A34A89">
            <w:pPr>
              <w:rPr>
                <w:rFonts w:ascii="Calibri" w:hAnsi="Calibri" w:cs="Calibri"/>
                <w:color w:val="000000"/>
                <w:sz w:val="18"/>
                <w:szCs w:val="18"/>
              </w:rPr>
            </w:pPr>
            <w:r>
              <w:rPr>
                <w:rFonts w:ascii="Calibri" w:hAnsi="Calibri" w:cs="Calibri"/>
                <w:color w:val="000000"/>
                <w:sz w:val="18"/>
                <w:szCs w:val="18"/>
              </w:rPr>
              <w:t>Removed from collection.</w:t>
            </w:r>
          </w:p>
        </w:tc>
      </w:tr>
      <w:tr w:rsidRPr="00AF00B3" w:rsidR="00AF00B3" w:rsidTr="00C232C1">
        <w:trPr>
          <w:trHeight w:val="51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Dealer</w:t>
            </w:r>
          </w:p>
        </w:tc>
        <w:tc>
          <w:tcPr>
            <w:tcW w:w="112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400</w:t>
            </w:r>
          </w:p>
        </w:tc>
        <w:tc>
          <w:tcPr>
            <w:tcW w:w="10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400</w:t>
            </w:r>
          </w:p>
        </w:tc>
        <w:tc>
          <w:tcPr>
            <w:tcW w:w="104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10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33</w:t>
            </w:r>
          </w:p>
        </w:tc>
        <w:tc>
          <w:tcPr>
            <w:tcW w:w="2860" w:type="dxa"/>
            <w:tcBorders>
              <w:top w:val="nil"/>
              <w:left w:val="nil"/>
              <w:bottom w:val="dotted" w:color="000000" w:sz="4" w:space="0"/>
              <w:right w:val="single" w:color="000000" w:sz="12" w:space="0"/>
            </w:tcBorders>
            <w:shd w:val="clear" w:color="auto" w:fill="auto"/>
            <w:vAlign w:val="center"/>
          </w:tcPr>
          <w:p w:rsidRPr="00AF00B3" w:rsidR="00AF00B3" w:rsidP="00AF00B3" w:rsidRDefault="00A34A89">
            <w:pPr>
              <w:rPr>
                <w:rFonts w:ascii="Calibri" w:hAnsi="Calibri" w:cs="Calibri"/>
                <w:color w:val="000000"/>
                <w:sz w:val="18"/>
                <w:szCs w:val="18"/>
              </w:rPr>
            </w:pPr>
            <w:r>
              <w:rPr>
                <w:rFonts w:ascii="Calibri" w:hAnsi="Calibri" w:cs="Calibri"/>
                <w:color w:val="000000"/>
                <w:sz w:val="18"/>
                <w:szCs w:val="18"/>
              </w:rPr>
              <w:t>Removed from collection.</w:t>
            </w:r>
          </w:p>
        </w:tc>
      </w:tr>
      <w:tr w:rsidRPr="00AF00B3" w:rsidR="00AF00B3" w:rsidTr="00A34A89">
        <w:trPr>
          <w:trHeight w:val="327"/>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 (DEALER)</w:t>
            </w:r>
          </w:p>
        </w:tc>
        <w:tc>
          <w:tcPr>
            <w:tcW w:w="112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450</w:t>
            </w:r>
          </w:p>
        </w:tc>
        <w:tc>
          <w:tcPr>
            <w:tcW w:w="10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450</w:t>
            </w:r>
          </w:p>
        </w:tc>
        <w:tc>
          <w:tcPr>
            <w:tcW w:w="104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p>
        </w:tc>
        <w:tc>
          <w:tcPr>
            <w:tcW w:w="10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46</w:t>
            </w:r>
          </w:p>
        </w:tc>
        <w:tc>
          <w:tcPr>
            <w:tcW w:w="2860" w:type="dxa"/>
            <w:tcBorders>
              <w:top w:val="nil"/>
              <w:left w:val="nil"/>
              <w:bottom w:val="dotted" w:color="000000" w:sz="4" w:space="0"/>
              <w:right w:val="single" w:color="000000" w:sz="12" w:space="0"/>
            </w:tcBorders>
            <w:shd w:val="clear" w:color="000000" w:fill="000000"/>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AF00B3">
        <w:trPr>
          <w:trHeight w:val="330"/>
        </w:trPr>
        <w:tc>
          <w:tcPr>
            <w:tcW w:w="1960"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w:t>
            </w:r>
          </w:p>
        </w:tc>
        <w:tc>
          <w:tcPr>
            <w:tcW w:w="1120" w:type="dxa"/>
            <w:tcBorders>
              <w:top w:val="nil"/>
              <w:left w:val="nil"/>
              <w:bottom w:val="nil"/>
              <w:right w:val="dashed" w:color="000000" w:sz="8" w:space="0"/>
            </w:tcBorders>
            <w:shd w:val="clear" w:color="000000" w:fill="99CCFF"/>
            <w:vAlign w:val="center"/>
            <w:hideMark/>
          </w:tcPr>
          <w:p w:rsidRPr="00AF00B3" w:rsidR="00AF00B3" w:rsidP="00AF00B3" w:rsidRDefault="00C232C1">
            <w:pPr>
              <w:jc w:val="center"/>
              <w:rPr>
                <w:rFonts w:ascii="Calibri" w:hAnsi="Calibri" w:cs="Calibri"/>
                <w:b/>
                <w:bCs/>
                <w:color w:val="000000"/>
                <w:sz w:val="18"/>
                <w:szCs w:val="18"/>
              </w:rPr>
            </w:pPr>
            <w:r>
              <w:rPr>
                <w:rFonts w:ascii="Calibri" w:hAnsi="Calibri" w:cs="Calibri"/>
                <w:b/>
                <w:bCs/>
                <w:color w:val="000000"/>
                <w:sz w:val="18"/>
                <w:szCs w:val="18"/>
              </w:rPr>
              <w:t>34,8</w:t>
            </w:r>
            <w:r w:rsidRPr="00AF00B3" w:rsidR="00AF00B3">
              <w:rPr>
                <w:rFonts w:ascii="Calibri" w:hAnsi="Calibri" w:cs="Calibri"/>
                <w:b/>
                <w:bCs/>
                <w:color w:val="000000"/>
                <w:sz w:val="18"/>
                <w:szCs w:val="18"/>
              </w:rPr>
              <w:t>03</w:t>
            </w:r>
          </w:p>
        </w:tc>
        <w:tc>
          <w:tcPr>
            <w:tcW w:w="960" w:type="dxa"/>
            <w:tcBorders>
              <w:top w:val="nil"/>
              <w:left w:val="nil"/>
              <w:bottom w:val="nil"/>
              <w:right w:val="single" w:color="000000" w:sz="12" w:space="0"/>
            </w:tcBorders>
            <w:shd w:val="clear" w:color="000000" w:fill="99CCFF"/>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37,105</w:t>
            </w:r>
          </w:p>
        </w:tc>
        <w:tc>
          <w:tcPr>
            <w:tcW w:w="1060" w:type="dxa"/>
            <w:tcBorders>
              <w:top w:val="nil"/>
              <w:left w:val="nil"/>
              <w:bottom w:val="nil"/>
              <w:right w:val="dashed" w:color="000000" w:sz="8" w:space="0"/>
            </w:tcBorders>
            <w:shd w:val="clear" w:color="000000" w:fill="99CCFF"/>
            <w:vAlign w:val="center"/>
            <w:hideMark/>
          </w:tcPr>
          <w:p w:rsidRPr="00AF00B3" w:rsidR="00AF00B3" w:rsidP="00AF00B3" w:rsidRDefault="00C232C1">
            <w:pPr>
              <w:jc w:val="center"/>
              <w:rPr>
                <w:rFonts w:ascii="Calibri" w:hAnsi="Calibri" w:cs="Calibri"/>
                <w:b/>
                <w:bCs/>
                <w:color w:val="000000"/>
                <w:sz w:val="18"/>
                <w:szCs w:val="18"/>
              </w:rPr>
            </w:pPr>
            <w:r>
              <w:rPr>
                <w:rFonts w:ascii="Calibri" w:hAnsi="Calibri" w:cs="Calibri"/>
                <w:b/>
                <w:bCs/>
                <w:color w:val="000000"/>
                <w:sz w:val="18"/>
                <w:szCs w:val="18"/>
              </w:rPr>
              <w:t>34,803</w:t>
            </w:r>
          </w:p>
        </w:tc>
        <w:tc>
          <w:tcPr>
            <w:tcW w:w="960" w:type="dxa"/>
            <w:tcBorders>
              <w:top w:val="nil"/>
              <w:left w:val="nil"/>
              <w:bottom w:val="nil"/>
              <w:right w:val="single" w:color="000000" w:sz="12" w:space="0"/>
            </w:tcBorders>
            <w:shd w:val="clear" w:color="000000" w:fill="99CCFF"/>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37,105</w:t>
            </w:r>
          </w:p>
        </w:tc>
        <w:tc>
          <w:tcPr>
            <w:tcW w:w="1040" w:type="dxa"/>
            <w:tcBorders>
              <w:top w:val="nil"/>
              <w:left w:val="nil"/>
              <w:bottom w:val="nil"/>
              <w:right w:val="dashed" w:color="000000" w:sz="8" w:space="0"/>
            </w:tcBorders>
            <w:shd w:val="clear" w:color="000000" w:fill="99CCFF"/>
            <w:vAlign w:val="center"/>
            <w:hideMark/>
          </w:tcPr>
          <w:p w:rsidRPr="00AF00B3" w:rsidR="00AF00B3" w:rsidP="00AF00B3" w:rsidRDefault="00C232C1">
            <w:pPr>
              <w:jc w:val="center"/>
              <w:rPr>
                <w:rFonts w:ascii="Calibri" w:hAnsi="Calibri" w:cs="Calibri"/>
                <w:b/>
                <w:bCs/>
                <w:color w:val="000000"/>
                <w:sz w:val="18"/>
                <w:szCs w:val="18"/>
              </w:rPr>
            </w:pPr>
            <w:r>
              <w:rPr>
                <w:rFonts w:ascii="Calibri" w:hAnsi="Calibri" w:cs="Calibri"/>
                <w:b/>
                <w:bCs/>
                <w:color w:val="000000"/>
                <w:sz w:val="18"/>
                <w:szCs w:val="18"/>
              </w:rPr>
              <w:t>9,017</w:t>
            </w:r>
          </w:p>
        </w:tc>
        <w:tc>
          <w:tcPr>
            <w:tcW w:w="1060" w:type="dxa"/>
            <w:tcBorders>
              <w:top w:val="nil"/>
              <w:left w:val="nil"/>
              <w:bottom w:val="nil"/>
              <w:right w:val="single" w:color="000000" w:sz="12" w:space="0"/>
            </w:tcBorders>
            <w:shd w:val="clear" w:color="000000" w:fill="99CCFF"/>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9,971</w:t>
            </w:r>
          </w:p>
        </w:tc>
        <w:tc>
          <w:tcPr>
            <w:tcW w:w="2860" w:type="dxa"/>
            <w:tcBorders>
              <w:top w:val="nil"/>
              <w:left w:val="nil"/>
              <w:bottom w:val="nil"/>
              <w:right w:val="single" w:color="000000" w:sz="12" w:space="0"/>
            </w:tcBorders>
            <w:shd w:val="clear" w:color="000000" w:fill="000000"/>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w:t>
            </w:r>
          </w:p>
        </w:tc>
      </w:tr>
      <w:tr w:rsidRPr="00AF00B3" w:rsidR="00AF00B3" w:rsidTr="00AF00B3">
        <w:trPr>
          <w:trHeight w:val="330"/>
        </w:trPr>
        <w:tc>
          <w:tcPr>
            <w:tcW w:w="1960" w:type="dxa"/>
            <w:tcBorders>
              <w:top w:val="nil"/>
              <w:left w:val="single" w:color="000000" w:sz="12" w:space="0"/>
              <w:bottom w:val="single" w:color="000000" w:sz="12" w:space="0"/>
              <w:right w:val="nil"/>
            </w:tcBorders>
            <w:shd w:val="clear" w:color="000000" w:fill="FFCC99"/>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Difference</w:t>
            </w:r>
          </w:p>
        </w:tc>
        <w:tc>
          <w:tcPr>
            <w:tcW w:w="2080" w:type="dxa"/>
            <w:gridSpan w:val="2"/>
            <w:tcBorders>
              <w:top w:val="single" w:color="000000" w:sz="12" w:space="0"/>
              <w:left w:val="single" w:color="000000" w:sz="12" w:space="0"/>
              <w:bottom w:val="single" w:color="000000" w:sz="12" w:space="0"/>
              <w:right w:val="single" w:color="000000" w:sz="12" w:space="0"/>
            </w:tcBorders>
            <w:shd w:val="clear" w:color="000000" w:fill="FFCC99"/>
            <w:vAlign w:val="center"/>
            <w:hideMark/>
          </w:tcPr>
          <w:p w:rsidRPr="0062269B" w:rsidR="00AF00B3" w:rsidP="00AF00B3" w:rsidRDefault="0062269B">
            <w:pPr>
              <w:jc w:val="center"/>
              <w:rPr>
                <w:rFonts w:ascii="Calibri" w:hAnsi="Calibri" w:cs="Calibri"/>
                <w:b/>
                <w:color w:val="000000"/>
                <w:sz w:val="18"/>
                <w:szCs w:val="18"/>
              </w:rPr>
            </w:pPr>
            <w:r w:rsidRPr="0062269B">
              <w:rPr>
                <w:rFonts w:ascii="Calibri" w:hAnsi="Calibri" w:cs="Calibri"/>
                <w:b/>
                <w:color w:val="000000"/>
                <w:sz w:val="18"/>
                <w:szCs w:val="18"/>
              </w:rPr>
              <w:t>-2,302</w:t>
            </w:r>
          </w:p>
        </w:tc>
        <w:tc>
          <w:tcPr>
            <w:tcW w:w="2020" w:type="dxa"/>
            <w:gridSpan w:val="2"/>
            <w:tcBorders>
              <w:top w:val="single" w:color="000000" w:sz="12" w:space="0"/>
              <w:left w:val="nil"/>
              <w:bottom w:val="single" w:color="000000" w:sz="12" w:space="0"/>
              <w:right w:val="single" w:color="000000" w:sz="12" w:space="0"/>
            </w:tcBorders>
            <w:shd w:val="clear" w:color="000000" w:fill="FFCC99"/>
            <w:vAlign w:val="center"/>
            <w:hideMark/>
          </w:tcPr>
          <w:p w:rsidRPr="0062269B" w:rsidR="00AF00B3" w:rsidP="00C3437D" w:rsidRDefault="0062269B">
            <w:pPr>
              <w:jc w:val="center"/>
              <w:rPr>
                <w:rFonts w:ascii="Calibri" w:hAnsi="Calibri" w:cs="Calibri"/>
                <w:b/>
                <w:color w:val="000000"/>
                <w:sz w:val="18"/>
                <w:szCs w:val="18"/>
              </w:rPr>
            </w:pPr>
            <w:r w:rsidRPr="0062269B">
              <w:rPr>
                <w:rFonts w:ascii="Calibri" w:hAnsi="Calibri" w:cs="Calibri"/>
                <w:b/>
                <w:color w:val="000000"/>
                <w:sz w:val="18"/>
                <w:szCs w:val="18"/>
              </w:rPr>
              <w:t>-2,302</w:t>
            </w:r>
          </w:p>
        </w:tc>
        <w:tc>
          <w:tcPr>
            <w:tcW w:w="2100" w:type="dxa"/>
            <w:gridSpan w:val="2"/>
            <w:tcBorders>
              <w:top w:val="single" w:color="000000" w:sz="12" w:space="0"/>
              <w:left w:val="nil"/>
              <w:bottom w:val="single" w:color="000000" w:sz="12" w:space="0"/>
              <w:right w:val="single" w:color="000000" w:sz="12" w:space="0"/>
            </w:tcBorders>
            <w:shd w:val="clear" w:color="000000" w:fill="FFCC99"/>
            <w:vAlign w:val="center"/>
            <w:hideMark/>
          </w:tcPr>
          <w:p w:rsidRPr="0062269B" w:rsidR="00AF00B3" w:rsidP="00AF00B3" w:rsidRDefault="0062269B">
            <w:pPr>
              <w:jc w:val="center"/>
              <w:rPr>
                <w:rFonts w:ascii="Calibri" w:hAnsi="Calibri" w:cs="Calibri"/>
                <w:b/>
                <w:color w:val="000000"/>
                <w:sz w:val="18"/>
                <w:szCs w:val="18"/>
              </w:rPr>
            </w:pPr>
            <w:r w:rsidRPr="0062269B">
              <w:rPr>
                <w:rFonts w:ascii="Calibri" w:hAnsi="Calibri" w:cs="Calibri"/>
                <w:b/>
                <w:color w:val="000000"/>
                <w:sz w:val="18"/>
                <w:szCs w:val="18"/>
              </w:rPr>
              <w:t>-954</w:t>
            </w:r>
          </w:p>
        </w:tc>
        <w:tc>
          <w:tcPr>
            <w:tcW w:w="2860" w:type="dxa"/>
            <w:tcBorders>
              <w:top w:val="single" w:color="000000" w:sz="12" w:space="0"/>
              <w:left w:val="nil"/>
              <w:bottom w:val="single" w:color="000000" w:sz="12" w:space="0"/>
              <w:right w:val="single" w:color="000000" w:sz="12" w:space="0"/>
            </w:tcBorders>
            <w:shd w:val="clear" w:color="000000" w:fill="000000"/>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r>
    </w:tbl>
    <w:p w:rsidR="00946285" w:rsidP="00946285" w:rsidRDefault="00946285">
      <w:pPr>
        <w:ind w:left="900" w:hanging="900"/>
        <w:rPr>
          <w:b/>
        </w:rPr>
      </w:pPr>
      <w:r>
        <w:rPr>
          <w:b/>
        </w:rPr>
        <w:t>Table 5.</w:t>
      </w:r>
      <w:r>
        <w:rPr>
          <w:b/>
        </w:rPr>
        <w:tab/>
        <w:t xml:space="preserve">Adjustments to the labor and miscellaneous costs associated with applications for HMS vessel </w:t>
      </w:r>
      <w:r w:rsidR="00121F2F">
        <w:rPr>
          <w:b/>
        </w:rPr>
        <w:t>p</w:t>
      </w:r>
      <w:r>
        <w:rPr>
          <w:b/>
        </w:rPr>
        <w:t>ermits.</w:t>
      </w:r>
    </w:p>
    <w:p w:rsidR="00946285" w:rsidP="00946285" w:rsidRDefault="00946285">
      <w:pPr>
        <w:ind w:left="900" w:hanging="900"/>
        <w:rPr>
          <w:b/>
        </w:rPr>
      </w:pPr>
    </w:p>
    <w:tbl>
      <w:tblPr>
        <w:tblW w:w="10085" w:type="dxa"/>
        <w:tblInd w:w="-342" w:type="dxa"/>
        <w:tblLook w:val="04A0" w:firstRow="1" w:lastRow="0" w:firstColumn="1" w:lastColumn="0" w:noHBand="0" w:noVBand="1"/>
      </w:tblPr>
      <w:tblGrid>
        <w:gridCol w:w="2365"/>
        <w:gridCol w:w="960"/>
        <w:gridCol w:w="960"/>
        <w:gridCol w:w="960"/>
        <w:gridCol w:w="960"/>
        <w:gridCol w:w="3880"/>
      </w:tblGrid>
      <w:tr w:rsidRPr="00AF00B3" w:rsidR="00AF00B3" w:rsidTr="00AF00B3">
        <w:trPr>
          <w:trHeight w:val="330"/>
        </w:trPr>
        <w:tc>
          <w:tcPr>
            <w:tcW w:w="2365" w:type="dxa"/>
            <w:tcBorders>
              <w:top w:val="single" w:color="000000" w:sz="12" w:space="0"/>
              <w:left w:val="single" w:color="000000" w:sz="12" w:space="0"/>
              <w:bottom w:val="nil"/>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Information Collection</w:t>
            </w:r>
          </w:p>
        </w:tc>
        <w:tc>
          <w:tcPr>
            <w:tcW w:w="1920" w:type="dxa"/>
            <w:gridSpan w:val="2"/>
            <w:tcBorders>
              <w:top w:val="single" w:color="000000" w:sz="12" w:space="0"/>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Labor Costs</w:t>
            </w:r>
          </w:p>
        </w:tc>
        <w:tc>
          <w:tcPr>
            <w:tcW w:w="1920" w:type="dxa"/>
            <w:gridSpan w:val="2"/>
            <w:tcBorders>
              <w:top w:val="single" w:color="000000" w:sz="12" w:space="0"/>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Miscellaneous Costs</w:t>
            </w:r>
          </w:p>
        </w:tc>
        <w:tc>
          <w:tcPr>
            <w:tcW w:w="3880" w:type="dxa"/>
            <w:tcBorders>
              <w:top w:val="single" w:color="000000" w:sz="12" w:space="0"/>
              <w:left w:val="nil"/>
              <w:bottom w:val="nil"/>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Reason for change or adjustment</w:t>
            </w:r>
          </w:p>
        </w:tc>
      </w:tr>
      <w:tr w:rsidRPr="00AF00B3" w:rsidR="00AF00B3" w:rsidTr="00AF00B3">
        <w:trPr>
          <w:trHeight w:val="393"/>
        </w:trPr>
        <w:tc>
          <w:tcPr>
            <w:tcW w:w="2365" w:type="dxa"/>
            <w:tcBorders>
              <w:top w:val="nil"/>
              <w:left w:val="single" w:color="000000" w:sz="12" w:space="0"/>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w:t>
            </w:r>
          </w:p>
        </w:tc>
        <w:tc>
          <w:tcPr>
            <w:tcW w:w="960" w:type="dxa"/>
            <w:tcBorders>
              <w:top w:val="nil"/>
              <w:left w:val="nil"/>
              <w:bottom w:val="single" w:color="000000" w:sz="12" w:space="0"/>
              <w:right w:val="dashed" w:color="000000" w:sz="8"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Current</w:t>
            </w:r>
          </w:p>
        </w:tc>
        <w:tc>
          <w:tcPr>
            <w:tcW w:w="960" w:type="dxa"/>
            <w:tcBorders>
              <w:top w:val="nil"/>
              <w:left w:val="nil"/>
              <w:bottom w:val="single" w:color="000000" w:sz="12" w:space="0"/>
              <w:right w:val="single" w:color="000000" w:sz="12"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Previous</w:t>
            </w:r>
          </w:p>
        </w:tc>
        <w:tc>
          <w:tcPr>
            <w:tcW w:w="960" w:type="dxa"/>
            <w:tcBorders>
              <w:top w:val="nil"/>
              <w:left w:val="nil"/>
              <w:bottom w:val="single" w:color="000000" w:sz="12" w:space="0"/>
              <w:right w:val="dashed" w:color="000000" w:sz="8"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Current</w:t>
            </w:r>
          </w:p>
        </w:tc>
        <w:tc>
          <w:tcPr>
            <w:tcW w:w="960" w:type="dxa"/>
            <w:tcBorders>
              <w:top w:val="nil"/>
              <w:left w:val="nil"/>
              <w:bottom w:val="single" w:color="000000" w:sz="12" w:space="0"/>
              <w:right w:val="single" w:color="000000" w:sz="12" w:space="0"/>
            </w:tcBorders>
            <w:shd w:val="clear" w:color="000000" w:fill="FFCC99"/>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Previous</w:t>
            </w:r>
          </w:p>
        </w:tc>
        <w:tc>
          <w:tcPr>
            <w:tcW w:w="3880" w:type="dxa"/>
            <w:tcBorders>
              <w:top w:val="nil"/>
              <w:left w:val="nil"/>
              <w:bottom w:val="single" w:color="000000" w:sz="12" w:space="0"/>
              <w:right w:val="single" w:color="000000" w:sz="12" w:space="0"/>
            </w:tcBorders>
            <w:shd w:val="clear" w:color="000000" w:fill="33CCCC"/>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w:t>
            </w:r>
          </w:p>
        </w:tc>
      </w:tr>
      <w:tr w:rsidRPr="00AF00B3" w:rsidR="00AF00B3" w:rsidTr="00AF00B3">
        <w:trPr>
          <w:trHeight w:val="330"/>
        </w:trPr>
        <w:tc>
          <w:tcPr>
            <w:tcW w:w="2365" w:type="dxa"/>
            <w:tcBorders>
              <w:top w:val="nil"/>
              <w:left w:val="single" w:color="000000" w:sz="12" w:space="0"/>
              <w:bottom w:val="single" w:color="000000" w:sz="12" w:space="0"/>
              <w:right w:val="single" w:color="000000"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Vessel Permits</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AF00B3">
        <w:trPr>
          <w:trHeight w:val="96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Atlantic Tunas (General, Harpoon &amp; Trap categories), HMS Charter/Headboat</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$13,617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$25,500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$39,000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$60,023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96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(General, Harpoon &amp; Trap categories), HMS Charter/Headboat</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$16,020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$16,250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$156,000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$130,044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69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&amp; Renewal - HMS Angling</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$88,250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$490,186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This IC was broken out into Initial Permit and Renewals in order to accurately reflect the burden for each collection.</w:t>
            </w:r>
          </w:p>
        </w:tc>
      </w:tr>
      <w:tr w:rsidRPr="00AF00B3" w:rsidR="00AF00B3" w:rsidTr="00AF00B3">
        <w:trPr>
          <w:trHeight w:val="51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HMS Angling</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$54,468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$156,000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51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HMS Angling</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$53,400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$520,000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528"/>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Purse Seine limited access</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$8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$15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$78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$100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708"/>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Atlantic Swordfish General Commercial Permit</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$18,500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$52,020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This IC was broken out into Initial Permit and Renewals in order to accurately reflect the burden for each collection.</w:t>
            </w:r>
          </w:p>
        </w:tc>
      </w:tr>
      <w:tr w:rsidRPr="00AF00B3" w:rsidR="00AF00B3" w:rsidTr="00AF00B3">
        <w:trPr>
          <w:trHeight w:val="438"/>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INITIAL -- Swordfish General Commercial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$4,539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$13,000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528"/>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RENEWAL – Swordfish General Commercial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$2,003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$19,500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permits issued, hourly labor costs, and cost per permit</w:t>
            </w:r>
          </w:p>
        </w:tc>
      </w:tr>
      <w:tr w:rsidRPr="00AF00B3" w:rsidR="00AF00B3" w:rsidTr="00AF00B3">
        <w:trPr>
          <w:trHeight w:val="708"/>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 xml:space="preserve">INITIAL &amp; RENEWAL – One-time requirement to obtain IMO/LR number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$401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$375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$0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Adjustment in hourly labor cost</w:t>
            </w:r>
          </w:p>
        </w:tc>
      </w:tr>
      <w:tr w:rsidRPr="00AF00B3" w:rsidR="00AF00B3" w:rsidTr="00AF00B3">
        <w:trPr>
          <w:trHeight w:val="33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 (VESSEL)</w:t>
            </w:r>
          </w:p>
        </w:tc>
        <w:tc>
          <w:tcPr>
            <w:tcW w:w="9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$144,456 </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$148,890 </w:t>
            </w:r>
          </w:p>
        </w:tc>
        <w:tc>
          <w:tcPr>
            <w:tcW w:w="9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$903,578 </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$732,373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AF00B3">
        <w:trPr>
          <w:trHeight w:val="330"/>
        </w:trPr>
        <w:tc>
          <w:tcPr>
            <w:tcW w:w="2365" w:type="dxa"/>
            <w:tcBorders>
              <w:top w:val="nil"/>
              <w:left w:val="single" w:color="000000" w:sz="12" w:space="0"/>
              <w:bottom w:val="single" w:color="000000" w:sz="12" w:space="0"/>
              <w:right w:val="single" w:color="000000"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Dealer Permits</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w:t>
            </w:r>
          </w:p>
        </w:tc>
        <w:tc>
          <w:tcPr>
            <w:tcW w:w="388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r w:rsidRPr="00AF00B3" w:rsidR="00AF00B3" w:rsidTr="00C232C1">
        <w:trPr>
          <w:trHeight w:val="51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INITIAL - Atlantic Tunas Dealer</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$188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$25 </w:t>
            </w:r>
          </w:p>
        </w:tc>
        <w:tc>
          <w:tcPr>
            <w:tcW w:w="3880" w:type="dxa"/>
            <w:tcBorders>
              <w:top w:val="nil"/>
              <w:left w:val="nil"/>
              <w:bottom w:val="dotted" w:color="000000" w:sz="4" w:space="0"/>
              <w:right w:val="single" w:color="000000" w:sz="12" w:space="0"/>
            </w:tcBorders>
            <w:shd w:val="clear" w:color="auto" w:fill="auto"/>
            <w:vAlign w:val="center"/>
          </w:tcPr>
          <w:p w:rsidRPr="00AF00B3" w:rsidR="00AF00B3" w:rsidP="00AF00B3" w:rsidRDefault="00A34A89">
            <w:pPr>
              <w:rPr>
                <w:rFonts w:ascii="Calibri" w:hAnsi="Calibri" w:cs="Calibri"/>
                <w:color w:val="000000"/>
                <w:sz w:val="18"/>
                <w:szCs w:val="18"/>
              </w:rPr>
            </w:pPr>
            <w:r>
              <w:rPr>
                <w:rFonts w:ascii="Calibri" w:hAnsi="Calibri" w:cs="Calibri"/>
                <w:color w:val="000000"/>
                <w:sz w:val="18"/>
                <w:szCs w:val="18"/>
              </w:rPr>
              <w:t>Removed from collection.</w:t>
            </w:r>
          </w:p>
        </w:tc>
      </w:tr>
      <w:tr w:rsidRPr="00AF00B3" w:rsidR="00AF00B3" w:rsidTr="00C232C1">
        <w:trPr>
          <w:trHeight w:val="51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ind w:firstLine="180" w:firstLineChars="100"/>
              <w:rPr>
                <w:rFonts w:ascii="Calibri" w:hAnsi="Calibri" w:cs="Calibri"/>
                <w:color w:val="000000"/>
                <w:sz w:val="18"/>
                <w:szCs w:val="18"/>
              </w:rPr>
            </w:pPr>
            <w:r w:rsidRPr="00AF00B3">
              <w:rPr>
                <w:rFonts w:ascii="Calibri" w:hAnsi="Calibri" w:cs="Calibri"/>
                <w:color w:val="000000"/>
                <w:sz w:val="18"/>
                <w:szCs w:val="18"/>
              </w:rPr>
              <w:t>RENEWAL - Atlantic Tunas Dealer</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$500 </w:t>
            </w:r>
          </w:p>
        </w:tc>
        <w:tc>
          <w:tcPr>
            <w:tcW w:w="960" w:type="dxa"/>
            <w:tcBorders>
              <w:top w:val="nil"/>
              <w:left w:val="nil"/>
              <w:bottom w:val="dotted" w:color="000000" w:sz="4" w:space="0"/>
              <w:right w:val="dashed" w:color="000000" w:sz="8" w:space="0"/>
            </w:tcBorders>
            <w:shd w:val="clear" w:color="auto" w:fill="auto"/>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auto" w:fill="auto"/>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$200 </w:t>
            </w:r>
          </w:p>
        </w:tc>
        <w:tc>
          <w:tcPr>
            <w:tcW w:w="3880" w:type="dxa"/>
            <w:tcBorders>
              <w:top w:val="nil"/>
              <w:left w:val="nil"/>
              <w:bottom w:val="dotted" w:color="000000" w:sz="4" w:space="0"/>
              <w:right w:val="single" w:color="000000" w:sz="12" w:space="0"/>
            </w:tcBorders>
            <w:shd w:val="clear" w:color="auto" w:fill="auto"/>
            <w:vAlign w:val="center"/>
          </w:tcPr>
          <w:p w:rsidRPr="00AF00B3" w:rsidR="00AF00B3" w:rsidP="00AF00B3" w:rsidRDefault="00A34A89">
            <w:pPr>
              <w:rPr>
                <w:rFonts w:ascii="Calibri" w:hAnsi="Calibri" w:cs="Calibri"/>
                <w:color w:val="000000"/>
                <w:sz w:val="18"/>
                <w:szCs w:val="18"/>
              </w:rPr>
            </w:pPr>
            <w:r>
              <w:rPr>
                <w:rFonts w:ascii="Calibri" w:hAnsi="Calibri" w:cs="Calibri"/>
                <w:color w:val="000000"/>
                <w:sz w:val="18"/>
                <w:szCs w:val="18"/>
              </w:rPr>
              <w:t>Removed from collection.</w:t>
            </w:r>
          </w:p>
        </w:tc>
      </w:tr>
      <w:tr w:rsidRPr="00AF00B3" w:rsidR="00AF00B3" w:rsidTr="005A54A4">
        <w:trPr>
          <w:trHeight w:val="51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 (DEALER)</w:t>
            </w:r>
          </w:p>
        </w:tc>
        <w:tc>
          <w:tcPr>
            <w:tcW w:w="9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$688 </w:t>
            </w:r>
          </w:p>
        </w:tc>
        <w:tc>
          <w:tcPr>
            <w:tcW w:w="960" w:type="dxa"/>
            <w:tcBorders>
              <w:top w:val="nil"/>
              <w:left w:val="nil"/>
              <w:bottom w:val="dotted" w:color="000000" w:sz="4" w:space="0"/>
              <w:right w:val="dashed" w:color="000000" w:sz="8" w:space="0"/>
            </w:tcBorders>
            <w:shd w:val="clear" w:color="000000" w:fill="D6DCE4"/>
            <w:vAlign w:val="center"/>
            <w:hideMark/>
          </w:tcPr>
          <w:p w:rsidRPr="00AF00B3" w:rsidR="00AF00B3" w:rsidP="00AF00B3" w:rsidRDefault="00C232C1">
            <w:pPr>
              <w:jc w:val="center"/>
              <w:rPr>
                <w:rFonts w:ascii="Calibri" w:hAnsi="Calibri" w:cs="Calibri"/>
                <w:color w:val="000000"/>
                <w:sz w:val="18"/>
                <w:szCs w:val="18"/>
              </w:rPr>
            </w:pPr>
            <w:r>
              <w:rPr>
                <w:rFonts w:ascii="Calibri" w:hAnsi="Calibri" w:cs="Calibri"/>
                <w:color w:val="000000"/>
                <w:sz w:val="18"/>
                <w:szCs w:val="18"/>
              </w:rPr>
              <w:t>0</w:t>
            </w:r>
            <w:r w:rsidRPr="00AF00B3" w:rsidR="00AF00B3">
              <w:rPr>
                <w:rFonts w:ascii="Calibri" w:hAnsi="Calibri" w:cs="Calibri"/>
                <w:color w:val="000000"/>
                <w:sz w:val="18"/>
                <w:szCs w:val="18"/>
              </w:rPr>
              <w:t xml:space="preserve"> </w:t>
            </w:r>
          </w:p>
        </w:tc>
        <w:tc>
          <w:tcPr>
            <w:tcW w:w="960" w:type="dxa"/>
            <w:tcBorders>
              <w:top w:val="nil"/>
              <w:left w:val="nil"/>
              <w:bottom w:val="dotted" w:color="000000" w:sz="4" w:space="0"/>
              <w:right w:val="single" w:color="000000" w:sz="12" w:space="0"/>
            </w:tcBorders>
            <w:shd w:val="clear" w:color="000000" w:fill="D6DCE4"/>
            <w:vAlign w:val="center"/>
            <w:hideMark/>
          </w:tcPr>
          <w:p w:rsidRPr="00AF00B3" w:rsidR="00AF00B3" w:rsidP="00AF00B3" w:rsidRDefault="00AF00B3">
            <w:pPr>
              <w:jc w:val="center"/>
              <w:rPr>
                <w:rFonts w:ascii="Calibri" w:hAnsi="Calibri" w:cs="Calibri"/>
                <w:color w:val="000000"/>
                <w:sz w:val="18"/>
                <w:szCs w:val="18"/>
              </w:rPr>
            </w:pPr>
            <w:r w:rsidRPr="00AF00B3">
              <w:rPr>
                <w:rFonts w:ascii="Calibri" w:hAnsi="Calibri" w:cs="Calibri"/>
                <w:color w:val="000000"/>
                <w:sz w:val="18"/>
                <w:szCs w:val="18"/>
              </w:rPr>
              <w:t xml:space="preserve">$225 </w:t>
            </w:r>
          </w:p>
        </w:tc>
        <w:tc>
          <w:tcPr>
            <w:tcW w:w="3880" w:type="dxa"/>
            <w:tcBorders>
              <w:top w:val="nil"/>
              <w:left w:val="nil"/>
              <w:bottom w:val="dotted" w:color="000000" w:sz="4" w:space="0"/>
              <w:right w:val="single" w:color="000000" w:sz="12" w:space="0"/>
            </w:tcBorders>
            <w:shd w:val="clear" w:color="auto" w:fill="000000"/>
            <w:vAlign w:val="center"/>
          </w:tcPr>
          <w:p w:rsidRPr="00AF00B3" w:rsidR="00AF00B3" w:rsidP="00AF00B3" w:rsidRDefault="00AF00B3">
            <w:pPr>
              <w:rPr>
                <w:rFonts w:ascii="Calibri" w:hAnsi="Calibri" w:cs="Calibri"/>
                <w:color w:val="000000"/>
                <w:sz w:val="18"/>
                <w:szCs w:val="18"/>
              </w:rPr>
            </w:pPr>
          </w:p>
        </w:tc>
      </w:tr>
      <w:tr w:rsidRPr="00AF00B3" w:rsidR="00AF00B3" w:rsidTr="00AF00B3">
        <w:trPr>
          <w:trHeight w:val="330"/>
        </w:trPr>
        <w:tc>
          <w:tcPr>
            <w:tcW w:w="2365" w:type="dxa"/>
            <w:tcBorders>
              <w:top w:val="nil"/>
              <w:left w:val="single" w:color="auto" w:sz="12" w:space="0"/>
              <w:bottom w:val="single" w:color="auto" w:sz="12" w:space="0"/>
              <w:right w:val="single" w:color="auto" w:sz="12" w:space="0"/>
            </w:tcBorders>
            <w:shd w:val="clear" w:color="auto" w:fill="auto"/>
            <w:vAlign w:val="center"/>
            <w:hideMark/>
          </w:tcPr>
          <w:p w:rsidRPr="00AF00B3" w:rsidR="00AF00B3" w:rsidP="00AF00B3" w:rsidRDefault="00AF00B3">
            <w:pPr>
              <w:rPr>
                <w:rFonts w:ascii="Calibri" w:hAnsi="Calibri" w:cs="Calibri"/>
                <w:b/>
                <w:bCs/>
                <w:color w:val="000000"/>
                <w:sz w:val="18"/>
                <w:szCs w:val="18"/>
              </w:rPr>
            </w:pPr>
            <w:r w:rsidRPr="00AF00B3">
              <w:rPr>
                <w:rFonts w:ascii="Calibri" w:hAnsi="Calibri" w:cs="Calibri"/>
                <w:b/>
                <w:bCs/>
                <w:color w:val="000000"/>
                <w:sz w:val="18"/>
                <w:szCs w:val="18"/>
              </w:rPr>
              <w:t>TOTALS</w:t>
            </w:r>
          </w:p>
        </w:tc>
        <w:tc>
          <w:tcPr>
            <w:tcW w:w="960" w:type="dxa"/>
            <w:tcBorders>
              <w:top w:val="nil"/>
              <w:left w:val="nil"/>
              <w:bottom w:val="nil"/>
              <w:right w:val="dashed" w:color="000000" w:sz="8" w:space="0"/>
            </w:tcBorders>
            <w:shd w:val="clear" w:color="000000" w:fill="99CCFF"/>
            <w:vAlign w:val="center"/>
            <w:hideMark/>
          </w:tcPr>
          <w:p w:rsidRPr="00AF00B3" w:rsidR="00AF00B3" w:rsidP="00C232C1"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w:t>
            </w:r>
            <w:r w:rsidR="00C232C1">
              <w:rPr>
                <w:rFonts w:ascii="Calibri" w:hAnsi="Calibri" w:cs="Calibri"/>
                <w:b/>
                <w:bCs/>
                <w:color w:val="000000"/>
                <w:sz w:val="18"/>
                <w:szCs w:val="18"/>
              </w:rPr>
              <w:t>144,456</w:t>
            </w:r>
            <w:r w:rsidRPr="00AF00B3">
              <w:rPr>
                <w:rFonts w:ascii="Calibri" w:hAnsi="Calibri" w:cs="Calibri"/>
                <w:b/>
                <w:bCs/>
                <w:color w:val="000000"/>
                <w:sz w:val="18"/>
                <w:szCs w:val="18"/>
              </w:rPr>
              <w:t xml:space="preserve"> </w:t>
            </w:r>
          </w:p>
        </w:tc>
        <w:tc>
          <w:tcPr>
            <w:tcW w:w="960" w:type="dxa"/>
            <w:tcBorders>
              <w:top w:val="nil"/>
              <w:left w:val="nil"/>
              <w:bottom w:val="nil"/>
              <w:right w:val="single" w:color="000000" w:sz="12" w:space="0"/>
            </w:tcBorders>
            <w:shd w:val="clear" w:color="000000" w:fill="99CCFF"/>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xml:space="preserve">$149,578 </w:t>
            </w:r>
          </w:p>
        </w:tc>
        <w:tc>
          <w:tcPr>
            <w:tcW w:w="960" w:type="dxa"/>
            <w:tcBorders>
              <w:top w:val="nil"/>
              <w:left w:val="nil"/>
              <w:bottom w:val="nil"/>
              <w:right w:val="dashed" w:color="000000" w:sz="8" w:space="0"/>
            </w:tcBorders>
            <w:shd w:val="clear" w:color="000000" w:fill="99CCFF"/>
            <w:vAlign w:val="center"/>
            <w:hideMark/>
          </w:tcPr>
          <w:p w:rsidRPr="00AF00B3" w:rsidR="00AF00B3" w:rsidP="00C232C1"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w:t>
            </w:r>
            <w:r w:rsidR="00C232C1">
              <w:rPr>
                <w:rFonts w:ascii="Calibri" w:hAnsi="Calibri" w:cs="Calibri"/>
                <w:b/>
                <w:bCs/>
                <w:color w:val="000000"/>
                <w:sz w:val="18"/>
                <w:szCs w:val="18"/>
              </w:rPr>
              <w:t>903,578</w:t>
            </w:r>
            <w:r w:rsidRPr="00AF00B3">
              <w:rPr>
                <w:rFonts w:ascii="Calibri" w:hAnsi="Calibri" w:cs="Calibri"/>
                <w:b/>
                <w:bCs/>
                <w:color w:val="000000"/>
                <w:sz w:val="18"/>
                <w:szCs w:val="18"/>
              </w:rPr>
              <w:t xml:space="preserve"> </w:t>
            </w:r>
          </w:p>
        </w:tc>
        <w:tc>
          <w:tcPr>
            <w:tcW w:w="960" w:type="dxa"/>
            <w:tcBorders>
              <w:top w:val="nil"/>
              <w:left w:val="nil"/>
              <w:bottom w:val="nil"/>
              <w:right w:val="single" w:color="000000" w:sz="12" w:space="0"/>
            </w:tcBorders>
            <w:shd w:val="clear" w:color="000000" w:fill="99CCFF"/>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xml:space="preserve">$732,598 </w:t>
            </w:r>
          </w:p>
        </w:tc>
        <w:tc>
          <w:tcPr>
            <w:tcW w:w="3880" w:type="dxa"/>
            <w:tcBorders>
              <w:top w:val="nil"/>
              <w:left w:val="nil"/>
              <w:bottom w:val="nil"/>
              <w:right w:val="single" w:color="000000" w:sz="12" w:space="0"/>
            </w:tcBorders>
            <w:shd w:val="clear" w:color="000000" w:fill="000000"/>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 </w:t>
            </w:r>
          </w:p>
        </w:tc>
      </w:tr>
      <w:tr w:rsidRPr="00AF00B3" w:rsidR="00AF00B3" w:rsidTr="00AF00B3">
        <w:trPr>
          <w:trHeight w:val="330"/>
        </w:trPr>
        <w:tc>
          <w:tcPr>
            <w:tcW w:w="2365" w:type="dxa"/>
            <w:tcBorders>
              <w:top w:val="nil"/>
              <w:left w:val="single" w:color="000000" w:sz="12" w:space="0"/>
              <w:bottom w:val="single" w:color="000000" w:sz="12" w:space="0"/>
              <w:right w:val="nil"/>
            </w:tcBorders>
            <w:shd w:val="clear" w:color="000000" w:fill="FFCC99"/>
            <w:vAlign w:val="center"/>
            <w:hideMark/>
          </w:tcPr>
          <w:p w:rsidRPr="00AF00B3" w:rsidR="00AF00B3" w:rsidP="00AF00B3" w:rsidRDefault="00AF00B3">
            <w:pPr>
              <w:jc w:val="center"/>
              <w:rPr>
                <w:rFonts w:ascii="Calibri" w:hAnsi="Calibri" w:cs="Calibri"/>
                <w:b/>
                <w:bCs/>
                <w:color w:val="000000"/>
                <w:sz w:val="18"/>
                <w:szCs w:val="18"/>
              </w:rPr>
            </w:pPr>
            <w:r w:rsidRPr="00AF00B3">
              <w:rPr>
                <w:rFonts w:ascii="Calibri" w:hAnsi="Calibri" w:cs="Calibri"/>
                <w:b/>
                <w:bCs/>
                <w:color w:val="000000"/>
                <w:sz w:val="18"/>
                <w:szCs w:val="18"/>
              </w:rPr>
              <w:t>Difference</w:t>
            </w:r>
          </w:p>
        </w:tc>
        <w:tc>
          <w:tcPr>
            <w:tcW w:w="1920" w:type="dxa"/>
            <w:gridSpan w:val="2"/>
            <w:tcBorders>
              <w:top w:val="single" w:color="000000" w:sz="12" w:space="0"/>
              <w:left w:val="single" w:color="000000" w:sz="12" w:space="0"/>
              <w:bottom w:val="single" w:color="000000" w:sz="12" w:space="0"/>
              <w:right w:val="single" w:color="000000" w:sz="12" w:space="0"/>
            </w:tcBorders>
            <w:shd w:val="clear" w:color="000000" w:fill="FFCC99"/>
            <w:vAlign w:val="center"/>
            <w:hideMark/>
          </w:tcPr>
          <w:p w:rsidRPr="0062269B" w:rsidR="00AF00B3" w:rsidP="00AF00B3" w:rsidRDefault="0062269B">
            <w:pPr>
              <w:jc w:val="center"/>
              <w:rPr>
                <w:rFonts w:ascii="Calibri" w:hAnsi="Calibri" w:cs="Calibri"/>
                <w:b/>
                <w:color w:val="FF0000"/>
                <w:sz w:val="18"/>
                <w:szCs w:val="18"/>
              </w:rPr>
            </w:pPr>
            <w:r w:rsidRPr="0062269B">
              <w:rPr>
                <w:rFonts w:ascii="Calibri" w:hAnsi="Calibri" w:cs="Calibri"/>
                <w:b/>
                <w:color w:val="FF0000"/>
                <w:sz w:val="18"/>
                <w:szCs w:val="18"/>
              </w:rPr>
              <w:t>($5,122)</w:t>
            </w:r>
          </w:p>
        </w:tc>
        <w:tc>
          <w:tcPr>
            <w:tcW w:w="1920" w:type="dxa"/>
            <w:gridSpan w:val="2"/>
            <w:tcBorders>
              <w:top w:val="single" w:color="000000" w:sz="12" w:space="0"/>
              <w:left w:val="nil"/>
              <w:bottom w:val="single" w:color="000000" w:sz="12" w:space="0"/>
              <w:right w:val="single" w:color="000000" w:sz="12" w:space="0"/>
            </w:tcBorders>
            <w:shd w:val="clear" w:color="000000" w:fill="FFCC99"/>
            <w:vAlign w:val="center"/>
            <w:hideMark/>
          </w:tcPr>
          <w:p w:rsidRPr="0062269B" w:rsidR="00AF00B3" w:rsidP="00AF00B3" w:rsidRDefault="0062269B">
            <w:pPr>
              <w:jc w:val="center"/>
              <w:rPr>
                <w:rFonts w:ascii="Calibri" w:hAnsi="Calibri" w:cs="Calibri"/>
                <w:b/>
                <w:color w:val="000000"/>
                <w:sz w:val="18"/>
                <w:szCs w:val="18"/>
              </w:rPr>
            </w:pPr>
            <w:r w:rsidRPr="0062269B">
              <w:rPr>
                <w:rFonts w:ascii="Calibri" w:hAnsi="Calibri" w:cs="Calibri"/>
                <w:b/>
                <w:color w:val="000000"/>
                <w:sz w:val="18"/>
                <w:szCs w:val="18"/>
              </w:rPr>
              <w:t>$170,980</w:t>
            </w:r>
          </w:p>
        </w:tc>
        <w:tc>
          <w:tcPr>
            <w:tcW w:w="3880" w:type="dxa"/>
            <w:tcBorders>
              <w:top w:val="single" w:color="000000" w:sz="12" w:space="0"/>
              <w:left w:val="nil"/>
              <w:bottom w:val="single" w:color="000000" w:sz="12" w:space="0"/>
              <w:right w:val="single" w:color="000000" w:sz="12" w:space="0"/>
            </w:tcBorders>
            <w:shd w:val="clear" w:color="000000" w:fill="000000"/>
            <w:vAlign w:val="center"/>
            <w:hideMark/>
          </w:tcPr>
          <w:p w:rsidRPr="00AF00B3" w:rsidR="00AF00B3" w:rsidP="00AF00B3" w:rsidRDefault="00AF00B3">
            <w:pPr>
              <w:jc w:val="right"/>
              <w:rPr>
                <w:rFonts w:ascii="Calibri" w:hAnsi="Calibri" w:cs="Calibri"/>
                <w:color w:val="000000"/>
                <w:sz w:val="18"/>
                <w:szCs w:val="18"/>
              </w:rPr>
            </w:pPr>
            <w:r w:rsidRPr="00AF00B3">
              <w:rPr>
                <w:rFonts w:ascii="Calibri" w:hAnsi="Calibri" w:cs="Calibri"/>
                <w:color w:val="000000"/>
                <w:sz w:val="18"/>
                <w:szCs w:val="18"/>
              </w:rPr>
              <w:t> </w:t>
            </w:r>
          </w:p>
        </w:tc>
      </w:tr>
    </w:tbl>
    <w:p w:rsidR="00AF00B3" w:rsidP="00946285" w:rsidRDefault="00AF00B3">
      <w:pPr>
        <w:ind w:left="900" w:hanging="900"/>
        <w:rPr>
          <w:b/>
        </w:rPr>
      </w:pPr>
    </w:p>
    <w:p w:rsidR="006064BB" w:rsidP="009447E3" w:rsidRDefault="00AF00B3">
      <w:pPr>
        <w:rPr>
          <w:b/>
        </w:rPr>
      </w:pPr>
      <w:r>
        <w:rPr>
          <w:b/>
        </w:rPr>
        <w:t>P</w:t>
      </w:r>
      <w:r w:rsidRPr="000C4CF2" w:rsidR="009447E3">
        <w:rPr>
          <w:b/>
        </w:rPr>
        <w:t>rogram changes:</w:t>
      </w:r>
      <w:r w:rsidR="006064BB">
        <w:rPr>
          <w:b/>
        </w:rPr>
        <w:t xml:space="preserve"> </w:t>
      </w:r>
    </w:p>
    <w:p w:rsidRPr="006064BB" w:rsidR="003F1F30" w:rsidP="009447E3" w:rsidRDefault="00FA2901">
      <w:pPr>
        <w:rPr>
          <w:b/>
        </w:rPr>
      </w:pPr>
      <w:r>
        <w:t>There are no program changes associated with this PRA renewal.</w:t>
      </w:r>
    </w:p>
    <w:p w:rsidR="009447E3" w:rsidP="009447E3" w:rsidRDefault="00E036C4">
      <w:r>
        <w:t xml:space="preserve"> </w:t>
      </w:r>
    </w:p>
    <w:p w:rsidR="009447E3" w:rsidP="009447E3" w:rsidRDefault="009447E3">
      <w:pPr>
        <w:rPr>
          <w:b/>
        </w:rPr>
      </w:pPr>
      <w:r w:rsidRPr="000C4CF2">
        <w:rPr>
          <w:b/>
        </w:rPr>
        <w:t xml:space="preserve">Adjustments: </w:t>
      </w:r>
    </w:p>
    <w:p w:rsidRPr="000C4CF2" w:rsidR="009447E3" w:rsidP="009447E3" w:rsidRDefault="009447E3">
      <w:pPr>
        <w:rPr>
          <w:b/>
        </w:rPr>
      </w:pPr>
    </w:p>
    <w:p w:rsidR="00FA2901" w:rsidP="009447E3" w:rsidRDefault="009447E3">
      <w:r w:rsidRPr="007439B4">
        <w:t xml:space="preserve">For permits </w:t>
      </w:r>
      <w:r w:rsidR="0017112D">
        <w:t>under</w:t>
      </w:r>
      <w:r w:rsidRPr="007439B4">
        <w:t xml:space="preserve"> this collection, </w:t>
      </w:r>
      <w:r w:rsidRPr="007439B4" w:rsidR="003F1F30">
        <w:t>several adjustments are being requested</w:t>
      </w:r>
      <w:r w:rsidR="00584863">
        <w:t>.</w:t>
      </w:r>
      <w:r w:rsidR="00E036C4">
        <w:t xml:space="preserve"> </w:t>
      </w:r>
      <w:r w:rsidR="00584863">
        <w:t>The</w:t>
      </w:r>
      <w:r w:rsidR="007A7750">
        <w:t>se</w:t>
      </w:r>
      <w:r w:rsidR="00584863">
        <w:t xml:space="preserve"> adjustments are</w:t>
      </w:r>
      <w:r w:rsidRPr="007439B4" w:rsidR="003F1F30">
        <w:t xml:space="preserve"> based </w:t>
      </w:r>
      <w:r w:rsidR="00584863">
        <w:t xml:space="preserve">primarily </w:t>
      </w:r>
      <w:r w:rsidRPr="007439B4" w:rsidR="003F1F30">
        <w:t xml:space="preserve">upon </w:t>
      </w:r>
      <w:r w:rsidR="007A7750">
        <w:t xml:space="preserve">the actual number of </w:t>
      </w:r>
      <w:r w:rsidR="003743B7">
        <w:t xml:space="preserve">initial </w:t>
      </w:r>
      <w:r w:rsidRPr="007439B4" w:rsidR="003F1F30">
        <w:t>permit application</w:t>
      </w:r>
      <w:r w:rsidR="007A7750">
        <w:t>s</w:t>
      </w:r>
      <w:r w:rsidRPr="007439B4" w:rsidR="003F1F30">
        <w:t xml:space="preserve"> and renewal</w:t>
      </w:r>
      <w:r w:rsidR="007A7750">
        <w:t>s</w:t>
      </w:r>
      <w:r w:rsidRPr="007439B4" w:rsidR="003F1F30">
        <w:t xml:space="preserve"> </w:t>
      </w:r>
      <w:r w:rsidR="007A7750">
        <w:t xml:space="preserve">received by NMFS in </w:t>
      </w:r>
      <w:r w:rsidR="00A97EEE">
        <w:t>20</w:t>
      </w:r>
      <w:r w:rsidR="00757E7B">
        <w:t>20</w:t>
      </w:r>
      <w:r w:rsidR="007A7750">
        <w:t xml:space="preserve">, </w:t>
      </w:r>
      <w:r w:rsidR="00757E7B">
        <w:t>a standard adjustment to the estimated hourly wage rate provided by BLA, and an increase in HMS vessel permit prices from $20 to $26.  The price of HMS vessel permits include</w:t>
      </w:r>
      <w:r w:rsidR="00662710">
        <w:t>s</w:t>
      </w:r>
      <w:r w:rsidR="00757E7B">
        <w:t xml:space="preserve"> a cost-recovery fee, and are regularly adjusted to account for increases in administrative costs.</w:t>
      </w:r>
    </w:p>
    <w:p w:rsidR="00A34A89" w:rsidP="009447E3" w:rsidRDefault="00A34A89"/>
    <w:p w:rsidR="00A34A89" w:rsidP="009447E3" w:rsidRDefault="00A34A89">
      <w:pPr>
        <w:rPr>
          <w:b/>
          <w:u w:val="single"/>
        </w:rPr>
      </w:pPr>
      <w:r>
        <w:t xml:space="preserve">The </w:t>
      </w:r>
      <w:r w:rsidR="00605739">
        <w:t xml:space="preserve">Atlantic tuna </w:t>
      </w:r>
      <w:r>
        <w:t>dealer permits were removed from this collection as the burden is being captured by 0648-0202.</w:t>
      </w:r>
    </w:p>
    <w:p w:rsidR="00FA2901" w:rsidP="009447E3" w:rsidRDefault="00FA2901">
      <w:pPr>
        <w:rPr>
          <w:b/>
          <w:u w:val="single"/>
        </w:rPr>
      </w:pPr>
    </w:p>
    <w:p w:rsidR="009447E3" w:rsidP="009447E3" w:rsidRDefault="009447E3">
      <w:pPr>
        <w:rPr>
          <w:b/>
        </w:rPr>
      </w:pPr>
    </w:p>
    <w:p w:rsidR="009447E3" w:rsidP="009447E3" w:rsidRDefault="009447E3">
      <w:r>
        <w:rPr>
          <w:b/>
        </w:rPr>
        <w:t>16.</w:t>
      </w:r>
      <w:r w:rsidR="00E036C4">
        <w:rPr>
          <w:b/>
        </w:rPr>
        <w:t xml:space="preserve"> </w:t>
      </w:r>
      <w:r>
        <w:rPr>
          <w:b/>
          <w:u w:val="single"/>
        </w:rPr>
        <w:t>For collections whose results will be published, outline the plans for tabulation and publication</w:t>
      </w:r>
      <w:r>
        <w:rPr>
          <w:b/>
        </w:rPr>
        <w:t>.</w:t>
      </w:r>
    </w:p>
    <w:p w:rsidR="009447E3" w:rsidP="009447E3" w:rsidRDefault="009447E3"/>
    <w:p w:rsidR="009447E3" w:rsidP="0086026C" w:rsidRDefault="00542E92">
      <w:r>
        <w:t xml:space="preserve">NMFS regularly publishes </w:t>
      </w:r>
      <w:r w:rsidR="009447E3">
        <w:t>annual summary tables of the total number and type of permit issued by state and region.</w:t>
      </w:r>
      <w:r w:rsidR="00E036C4">
        <w:t xml:space="preserve"> </w:t>
      </w:r>
      <w:r w:rsidR="009447E3">
        <w:t>Such tables may appear in reports to ICCAT, Stock Assessment and Fishery Evaluation reports, Environmental Assessments, Regulatory Impact Reviews, etc.</w:t>
      </w:r>
      <w:r w:rsidR="00E036C4">
        <w:t xml:space="preserve"> </w:t>
      </w:r>
      <w:r w:rsidR="0086026C">
        <w:t>The names of all registered vessels 20 meters</w:t>
      </w:r>
      <w:r w:rsidR="00C1171B">
        <w:t xml:space="preserve"> in length or greater</w:t>
      </w:r>
      <w:r w:rsidR="0086026C">
        <w:t xml:space="preserve"> with Atlantic </w:t>
      </w:r>
      <w:r w:rsidR="002E34E4">
        <w:t>HMS</w:t>
      </w:r>
      <w:r w:rsidR="0086026C">
        <w:t xml:space="preserve"> permits are also regularly provided to ICCAT per the requirements of </w:t>
      </w:r>
      <w:r w:rsidR="00C1171B">
        <w:t xml:space="preserve">ICCAT Recommendation 13-13 </w:t>
      </w:r>
      <w:r w:rsidRPr="000B52E3" w:rsidR="00C1171B">
        <w:t>(</w:t>
      </w:r>
      <w:r w:rsidR="00C1171B">
        <w:t xml:space="preserve">Rec. </w:t>
      </w:r>
      <w:r w:rsidRPr="000B52E3" w:rsidR="00C1171B">
        <w:t>13-13)</w:t>
      </w:r>
      <w:r w:rsidR="00C1171B">
        <w:t>.</w:t>
      </w:r>
    </w:p>
    <w:p w:rsidR="009447E3" w:rsidP="009447E3" w:rsidRDefault="009447E3"/>
    <w:p w:rsidR="009447E3" w:rsidP="009447E3" w:rsidRDefault="009447E3">
      <w:r>
        <w:rPr>
          <w:b/>
        </w:rPr>
        <w:t>17.</w:t>
      </w:r>
      <w:r w:rsidR="00E036C4">
        <w:rPr>
          <w:b/>
        </w:rPr>
        <w:t xml:space="preserve"> </w:t>
      </w:r>
      <w:r>
        <w:rPr>
          <w:b/>
          <w:u w:val="single"/>
        </w:rPr>
        <w:t>If seeking approval to not display the expiration date for OMB approval of the information collection, explain the reasons why display would be inappropriate</w:t>
      </w:r>
      <w:r>
        <w:rPr>
          <w:b/>
        </w:rPr>
        <w:t>.</w:t>
      </w:r>
    </w:p>
    <w:p w:rsidR="009447E3" w:rsidP="009447E3" w:rsidRDefault="009447E3"/>
    <w:p w:rsidR="009447E3" w:rsidP="009447E3" w:rsidRDefault="003062E6">
      <w:r>
        <w:t>The expiration date of this OMB information collection will be displayed on all forms</w:t>
      </w:r>
      <w:r w:rsidR="008E068A">
        <w:t>.</w:t>
      </w:r>
    </w:p>
    <w:p w:rsidR="009447E3" w:rsidP="009447E3" w:rsidRDefault="009447E3"/>
    <w:p w:rsidRPr="00035B99" w:rsidR="009447E3" w:rsidP="009447E3" w:rsidRDefault="009447E3">
      <w:pPr>
        <w:rPr>
          <w:b/>
          <w:u w:val="single"/>
        </w:rPr>
      </w:pPr>
      <w:r>
        <w:rPr>
          <w:b/>
        </w:rPr>
        <w:t>18.</w:t>
      </w:r>
      <w:r w:rsidR="00E036C4">
        <w:rPr>
          <w:b/>
        </w:rPr>
        <w:t xml:space="preserve"> </w:t>
      </w:r>
      <w:r>
        <w:rPr>
          <w:b/>
          <w:u w:val="single"/>
        </w:rPr>
        <w:t>Explain each exception to the certification statement</w:t>
      </w:r>
      <w:r>
        <w:rPr>
          <w:b/>
        </w:rPr>
        <w:t>.</w:t>
      </w:r>
    </w:p>
    <w:p w:rsidR="009447E3" w:rsidP="009447E3" w:rsidRDefault="009447E3"/>
    <w:p w:rsidR="009447E3" w:rsidP="009447E3" w:rsidRDefault="003062E6">
      <w:r>
        <w:rPr>
          <w:color w:val="000000"/>
        </w:rPr>
        <w:t xml:space="preserve">The agency certifies compliance with </w:t>
      </w:r>
      <w:hyperlink w:history="1" r:id="rId19">
        <w:r>
          <w:rPr>
            <w:rStyle w:val="Hyperlink"/>
            <w:color w:val="0563C1"/>
          </w:rPr>
          <w:t>5 CFR 1320.9</w:t>
        </w:r>
        <w:r>
          <w:rPr>
            <w:rStyle w:val="Hyperlink"/>
            <w:color w:val="0563C1"/>
            <w:u w:val="none"/>
          </w:rPr>
          <w:t xml:space="preserve"> </w:t>
        </w:r>
      </w:hyperlink>
      <w:r>
        <w:rPr>
          <w:color w:val="000000"/>
        </w:rPr>
        <w:t xml:space="preserve">and the related provisions of </w:t>
      </w:r>
      <w:hyperlink w:history="1" r:id="rId20">
        <w:r>
          <w:rPr>
            <w:rStyle w:val="Hyperlink"/>
            <w:color w:val="0563C1"/>
          </w:rPr>
          <w:t>5 CFR</w:t>
        </w:r>
      </w:hyperlink>
      <w:r>
        <w:rPr>
          <w:color w:val="0563C1"/>
        </w:rPr>
        <w:t xml:space="preserve"> </w:t>
      </w:r>
      <w:hyperlink w:history="1" r:id="rId21">
        <w:r>
          <w:rPr>
            <w:rStyle w:val="Hyperlink"/>
            <w:color w:val="0563C1"/>
          </w:rPr>
          <w:t>1320.8(b)(3)</w:t>
        </w:r>
      </w:hyperlink>
      <w:r>
        <w:rPr>
          <w:color w:val="000000"/>
        </w:rPr>
        <w:t>.</w:t>
      </w:r>
    </w:p>
    <w:p w:rsidR="00443AA3" w:rsidP="009447E3" w:rsidRDefault="00443AA3"/>
    <w:sectPr w:rsidR="00443AA3" w:rsidSect="00A34A89">
      <w:footerReference w:type="even" r:id="rId22"/>
      <w:footerReference w:type="default" r:id="rId23"/>
      <w:footerReference w:type="first" r:id="rId24"/>
      <w:type w:val="continuous"/>
      <w:pgSz w:w="12240" w:h="15840"/>
      <w:pgMar w:top="1440" w:right="1440" w:bottom="720" w:left="1440" w:header="1440" w:footer="34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413B" w:rsidRDefault="009D413B">
      <w:r>
        <w:separator/>
      </w:r>
    </w:p>
  </w:endnote>
  <w:endnote w:type="continuationSeparator" w:id="0">
    <w:p w:rsidR="009D413B" w:rsidRDefault="009D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lior-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E6" w:rsidRDefault="00917CE6" w:rsidP="005F7B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7CE6" w:rsidRDefault="00917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CE6" w:rsidRDefault="00917CE6">
    <w:pPr>
      <w:pStyle w:val="Footer"/>
      <w:jc w:val="center"/>
    </w:pPr>
    <w:r>
      <w:fldChar w:fldCharType="begin"/>
    </w:r>
    <w:r>
      <w:instrText xml:space="preserve"> PAGE   \* MERGEFORMAT </w:instrText>
    </w:r>
    <w:r>
      <w:fldChar w:fldCharType="separate"/>
    </w:r>
    <w:r w:rsidR="00E03080">
      <w:rPr>
        <w:noProof/>
      </w:rPr>
      <w:t>12</w:t>
    </w:r>
    <w:r>
      <w:rPr>
        <w:noProof/>
      </w:rPr>
      <w:fldChar w:fldCharType="end"/>
    </w:r>
  </w:p>
  <w:p w:rsidR="00917CE6" w:rsidRDefault="00917C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AA3" w:rsidRDefault="00443AA3">
    <w:pPr>
      <w:pStyle w:val="Footer"/>
      <w:jc w:val="center"/>
    </w:pPr>
    <w:r>
      <w:fldChar w:fldCharType="begin"/>
    </w:r>
    <w:r>
      <w:instrText xml:space="preserve"> PAGE   \* MERGEFORMAT </w:instrText>
    </w:r>
    <w:r>
      <w:fldChar w:fldCharType="separate"/>
    </w:r>
    <w:r w:rsidR="00E03080">
      <w:rPr>
        <w:noProof/>
      </w:rPr>
      <w:t>1</w:t>
    </w:r>
    <w:r>
      <w:rPr>
        <w:noProof/>
      </w:rPr>
      <w:fldChar w:fldCharType="end"/>
    </w:r>
  </w:p>
  <w:p w:rsidR="00443AA3" w:rsidRDefault="00443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413B" w:rsidRDefault="009D413B">
      <w:r>
        <w:separator/>
      </w:r>
    </w:p>
  </w:footnote>
  <w:footnote w:type="continuationSeparator" w:id="0">
    <w:p w:rsidR="009D413B" w:rsidRDefault="009D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2060B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F131FF"/>
    <w:multiLevelType w:val="multilevel"/>
    <w:tmpl w:val="7AA2FD2C"/>
    <w:lvl w:ilvl="0">
      <w:start w:val="1"/>
      <w:numFmt w:val="decimal"/>
      <w:lvlText w:val="%1.0"/>
      <w:lvlJc w:val="left"/>
      <w:pPr>
        <w:tabs>
          <w:tab w:val="num" w:pos="360"/>
        </w:tabs>
        <w:ind w:left="360" w:hanging="360"/>
      </w:pPr>
    </w:lvl>
    <w:lvl w:ilvl="1">
      <w:start w:val="1"/>
      <w:numFmt w:val="none"/>
      <w:lvlText w:val="3.7"/>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407A56DE"/>
    <w:multiLevelType w:val="multilevel"/>
    <w:tmpl w:val="0832AA26"/>
    <w:lvl w:ilvl="0">
      <w:start w:val="1"/>
      <w:numFmt w:val="decimal"/>
      <w:lvlText w:val="%1.0"/>
      <w:lvlJc w:val="left"/>
      <w:pPr>
        <w:tabs>
          <w:tab w:val="num" w:pos="360"/>
        </w:tabs>
        <w:ind w:left="360" w:hanging="360"/>
      </w:pPr>
    </w:lvl>
    <w:lvl w:ilvl="1">
      <w:start w:val="1"/>
      <w:numFmt w:val="none"/>
      <w:pStyle w:val="Heading2"/>
      <w:lvlText w:val="3.7"/>
      <w:lvlJc w:val="left"/>
      <w:pPr>
        <w:tabs>
          <w:tab w:val="num" w:pos="792"/>
        </w:tabs>
        <w:ind w:left="792" w:hanging="432"/>
      </w:pPr>
    </w:lvl>
    <w:lvl w:ilvl="2">
      <w:start w:val="1"/>
      <w:numFmt w:val="none"/>
      <w:pStyle w:val="Heading3"/>
      <w:lvlText w:val="3.7.1%3"/>
      <w:lvlJc w:val="left"/>
      <w:pPr>
        <w:tabs>
          <w:tab w:val="num" w:pos="1440"/>
        </w:tabs>
        <w:ind w:left="1224" w:hanging="504"/>
      </w:pPr>
    </w:lvl>
    <w:lvl w:ilvl="3">
      <w:start w:val="1"/>
      <w:numFmt w:val="none"/>
      <w:pStyle w:val="Heading4"/>
      <w:lvlText w:val="3.7.1.1"/>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42CD0649"/>
    <w:multiLevelType w:val="hybridMultilevel"/>
    <w:tmpl w:val="7DBC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0D18BA"/>
    <w:multiLevelType w:val="hybridMultilevel"/>
    <w:tmpl w:val="889C5FEA"/>
    <w:lvl w:ilvl="0" w:tplc="4C8622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15103AD"/>
    <w:multiLevelType w:val="hybridMultilevel"/>
    <w:tmpl w:val="6A66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E20FE0"/>
    <w:multiLevelType w:val="multilevel"/>
    <w:tmpl w:val="6BF63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2"/>
  </w:num>
  <w:num w:numId="4">
    <w:abstractNumId w:val="2"/>
  </w:num>
  <w:num w:numId="5">
    <w:abstractNumId w:val="4"/>
  </w:num>
  <w:num w:numId="6">
    <w:abstractNumId w:val="3"/>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488"/>
    <w:rsid w:val="00005B41"/>
    <w:rsid w:val="00016AC7"/>
    <w:rsid w:val="000236B9"/>
    <w:rsid w:val="00026E05"/>
    <w:rsid w:val="00026ECB"/>
    <w:rsid w:val="000300C4"/>
    <w:rsid w:val="00033245"/>
    <w:rsid w:val="00035B99"/>
    <w:rsid w:val="000445FD"/>
    <w:rsid w:val="000465FC"/>
    <w:rsid w:val="00051570"/>
    <w:rsid w:val="00053540"/>
    <w:rsid w:val="00065B5D"/>
    <w:rsid w:val="000717CD"/>
    <w:rsid w:val="00073112"/>
    <w:rsid w:val="0007542F"/>
    <w:rsid w:val="00077C10"/>
    <w:rsid w:val="00080D48"/>
    <w:rsid w:val="000844A9"/>
    <w:rsid w:val="00086349"/>
    <w:rsid w:val="00087F6D"/>
    <w:rsid w:val="00092CFB"/>
    <w:rsid w:val="000A014F"/>
    <w:rsid w:val="000A08E5"/>
    <w:rsid w:val="000A26A8"/>
    <w:rsid w:val="000B15AD"/>
    <w:rsid w:val="000B52E3"/>
    <w:rsid w:val="000B69B9"/>
    <w:rsid w:val="000C2CBF"/>
    <w:rsid w:val="000C3878"/>
    <w:rsid w:val="000E053C"/>
    <w:rsid w:val="000E1596"/>
    <w:rsid w:val="000F3601"/>
    <w:rsid w:val="00102255"/>
    <w:rsid w:val="00116C24"/>
    <w:rsid w:val="00121F2F"/>
    <w:rsid w:val="00122747"/>
    <w:rsid w:val="00125D7E"/>
    <w:rsid w:val="001264B7"/>
    <w:rsid w:val="00126503"/>
    <w:rsid w:val="00133B1D"/>
    <w:rsid w:val="0013510A"/>
    <w:rsid w:val="00135246"/>
    <w:rsid w:val="0014288E"/>
    <w:rsid w:val="00145BE8"/>
    <w:rsid w:val="00146793"/>
    <w:rsid w:val="00146CAA"/>
    <w:rsid w:val="00152067"/>
    <w:rsid w:val="00153256"/>
    <w:rsid w:val="00155525"/>
    <w:rsid w:val="0015755F"/>
    <w:rsid w:val="00162C77"/>
    <w:rsid w:val="0016547B"/>
    <w:rsid w:val="00167FDC"/>
    <w:rsid w:val="0017112D"/>
    <w:rsid w:val="001806F4"/>
    <w:rsid w:val="00181D9E"/>
    <w:rsid w:val="001827EF"/>
    <w:rsid w:val="001936C0"/>
    <w:rsid w:val="001A0574"/>
    <w:rsid w:val="001A5D20"/>
    <w:rsid w:val="001B549A"/>
    <w:rsid w:val="001C5FC7"/>
    <w:rsid w:val="001C7E9D"/>
    <w:rsid w:val="001D607A"/>
    <w:rsid w:val="001E31D6"/>
    <w:rsid w:val="001E4AF5"/>
    <w:rsid w:val="001F47E6"/>
    <w:rsid w:val="001F5EE8"/>
    <w:rsid w:val="00204D3F"/>
    <w:rsid w:val="00217931"/>
    <w:rsid w:val="00250711"/>
    <w:rsid w:val="00251137"/>
    <w:rsid w:val="002561B2"/>
    <w:rsid w:val="00256608"/>
    <w:rsid w:val="002620CF"/>
    <w:rsid w:val="00264CF2"/>
    <w:rsid w:val="00274D79"/>
    <w:rsid w:val="00281DC0"/>
    <w:rsid w:val="002924EE"/>
    <w:rsid w:val="00296649"/>
    <w:rsid w:val="002A77EA"/>
    <w:rsid w:val="002B6714"/>
    <w:rsid w:val="002B6E85"/>
    <w:rsid w:val="002C0713"/>
    <w:rsid w:val="002D142A"/>
    <w:rsid w:val="002D2055"/>
    <w:rsid w:val="002D5DFE"/>
    <w:rsid w:val="002D62C4"/>
    <w:rsid w:val="002E1857"/>
    <w:rsid w:val="002E34E4"/>
    <w:rsid w:val="002F2384"/>
    <w:rsid w:val="002F481D"/>
    <w:rsid w:val="002F5F95"/>
    <w:rsid w:val="00305B9F"/>
    <w:rsid w:val="003062E6"/>
    <w:rsid w:val="003113E5"/>
    <w:rsid w:val="003117D6"/>
    <w:rsid w:val="00316218"/>
    <w:rsid w:val="00322A36"/>
    <w:rsid w:val="00322CCB"/>
    <w:rsid w:val="00325ABE"/>
    <w:rsid w:val="00335A1E"/>
    <w:rsid w:val="00341697"/>
    <w:rsid w:val="00344402"/>
    <w:rsid w:val="00344B12"/>
    <w:rsid w:val="00345043"/>
    <w:rsid w:val="00353442"/>
    <w:rsid w:val="0036519E"/>
    <w:rsid w:val="00365D43"/>
    <w:rsid w:val="00367F6E"/>
    <w:rsid w:val="003743B7"/>
    <w:rsid w:val="003775F3"/>
    <w:rsid w:val="00384DF8"/>
    <w:rsid w:val="0038772D"/>
    <w:rsid w:val="00395372"/>
    <w:rsid w:val="003A000C"/>
    <w:rsid w:val="003A03B0"/>
    <w:rsid w:val="003A2B78"/>
    <w:rsid w:val="003A6827"/>
    <w:rsid w:val="003B2893"/>
    <w:rsid w:val="003B784E"/>
    <w:rsid w:val="003B7B4C"/>
    <w:rsid w:val="003C2969"/>
    <w:rsid w:val="003C5F4A"/>
    <w:rsid w:val="003C743D"/>
    <w:rsid w:val="003D02F8"/>
    <w:rsid w:val="003D127A"/>
    <w:rsid w:val="003D2F2C"/>
    <w:rsid w:val="003E20D8"/>
    <w:rsid w:val="003F1F30"/>
    <w:rsid w:val="004220D7"/>
    <w:rsid w:val="00423C5F"/>
    <w:rsid w:val="0042465B"/>
    <w:rsid w:val="00432B11"/>
    <w:rsid w:val="00433425"/>
    <w:rsid w:val="00435A81"/>
    <w:rsid w:val="004422B4"/>
    <w:rsid w:val="00443AA3"/>
    <w:rsid w:val="004443BF"/>
    <w:rsid w:val="00461DC0"/>
    <w:rsid w:val="00472007"/>
    <w:rsid w:val="00472AC8"/>
    <w:rsid w:val="0047492B"/>
    <w:rsid w:val="00483FEE"/>
    <w:rsid w:val="00484252"/>
    <w:rsid w:val="00485FF3"/>
    <w:rsid w:val="004863B6"/>
    <w:rsid w:val="00486F81"/>
    <w:rsid w:val="004879FD"/>
    <w:rsid w:val="004906A9"/>
    <w:rsid w:val="0049633D"/>
    <w:rsid w:val="004A1EAD"/>
    <w:rsid w:val="004B1A2A"/>
    <w:rsid w:val="004B70F9"/>
    <w:rsid w:val="004B7B98"/>
    <w:rsid w:val="004D3F00"/>
    <w:rsid w:val="004E1920"/>
    <w:rsid w:val="004E3F8D"/>
    <w:rsid w:val="004E4849"/>
    <w:rsid w:val="004E7629"/>
    <w:rsid w:val="004E7CDB"/>
    <w:rsid w:val="004F3025"/>
    <w:rsid w:val="00500613"/>
    <w:rsid w:val="00502546"/>
    <w:rsid w:val="0051386D"/>
    <w:rsid w:val="00515E67"/>
    <w:rsid w:val="00522E75"/>
    <w:rsid w:val="0052301F"/>
    <w:rsid w:val="00525F76"/>
    <w:rsid w:val="005306AD"/>
    <w:rsid w:val="0053504A"/>
    <w:rsid w:val="00535297"/>
    <w:rsid w:val="0054134A"/>
    <w:rsid w:val="00542016"/>
    <w:rsid w:val="00542E92"/>
    <w:rsid w:val="00556AC4"/>
    <w:rsid w:val="00561D06"/>
    <w:rsid w:val="00584863"/>
    <w:rsid w:val="00587942"/>
    <w:rsid w:val="0059350D"/>
    <w:rsid w:val="00597A14"/>
    <w:rsid w:val="00597EC2"/>
    <w:rsid w:val="005A54A4"/>
    <w:rsid w:val="005C1C5F"/>
    <w:rsid w:val="005C578D"/>
    <w:rsid w:val="005C7809"/>
    <w:rsid w:val="005C7F10"/>
    <w:rsid w:val="005D07FB"/>
    <w:rsid w:val="005D2428"/>
    <w:rsid w:val="005D30A1"/>
    <w:rsid w:val="005D3D0D"/>
    <w:rsid w:val="005D557A"/>
    <w:rsid w:val="005D6536"/>
    <w:rsid w:val="005E06D1"/>
    <w:rsid w:val="005E4DAE"/>
    <w:rsid w:val="005E7A81"/>
    <w:rsid w:val="005F0377"/>
    <w:rsid w:val="005F23B0"/>
    <w:rsid w:val="005F485F"/>
    <w:rsid w:val="005F7BDC"/>
    <w:rsid w:val="00604261"/>
    <w:rsid w:val="00605739"/>
    <w:rsid w:val="006064BB"/>
    <w:rsid w:val="00610292"/>
    <w:rsid w:val="00615B44"/>
    <w:rsid w:val="00615C4A"/>
    <w:rsid w:val="00616AA5"/>
    <w:rsid w:val="0061734A"/>
    <w:rsid w:val="00617DB4"/>
    <w:rsid w:val="0062269B"/>
    <w:rsid w:val="00626FCC"/>
    <w:rsid w:val="00633A01"/>
    <w:rsid w:val="006345FF"/>
    <w:rsid w:val="00637437"/>
    <w:rsid w:val="00641752"/>
    <w:rsid w:val="00645950"/>
    <w:rsid w:val="00647A2D"/>
    <w:rsid w:val="006505A3"/>
    <w:rsid w:val="00662710"/>
    <w:rsid w:val="0066608D"/>
    <w:rsid w:val="00674F1A"/>
    <w:rsid w:val="0068394E"/>
    <w:rsid w:val="00687E84"/>
    <w:rsid w:val="006A1D83"/>
    <w:rsid w:val="006A27FD"/>
    <w:rsid w:val="006A4505"/>
    <w:rsid w:val="006A6E6E"/>
    <w:rsid w:val="006B1728"/>
    <w:rsid w:val="006C0C4A"/>
    <w:rsid w:val="006C6833"/>
    <w:rsid w:val="006D6855"/>
    <w:rsid w:val="006D7CFB"/>
    <w:rsid w:val="006E20DF"/>
    <w:rsid w:val="006E5CD2"/>
    <w:rsid w:val="00701716"/>
    <w:rsid w:val="00702405"/>
    <w:rsid w:val="00710791"/>
    <w:rsid w:val="007139E0"/>
    <w:rsid w:val="007149A9"/>
    <w:rsid w:val="0072188E"/>
    <w:rsid w:val="00733267"/>
    <w:rsid w:val="0073425C"/>
    <w:rsid w:val="0073502D"/>
    <w:rsid w:val="007439B4"/>
    <w:rsid w:val="00757E7B"/>
    <w:rsid w:val="00760238"/>
    <w:rsid w:val="00760ADF"/>
    <w:rsid w:val="0076616C"/>
    <w:rsid w:val="00773E8E"/>
    <w:rsid w:val="007746F2"/>
    <w:rsid w:val="00777632"/>
    <w:rsid w:val="00780AAC"/>
    <w:rsid w:val="00793BC0"/>
    <w:rsid w:val="007A2D71"/>
    <w:rsid w:val="007A6D8B"/>
    <w:rsid w:val="007A7750"/>
    <w:rsid w:val="007A7DD2"/>
    <w:rsid w:val="007B057E"/>
    <w:rsid w:val="007B5EC4"/>
    <w:rsid w:val="007B7095"/>
    <w:rsid w:val="007D6C83"/>
    <w:rsid w:val="007D771F"/>
    <w:rsid w:val="007E035D"/>
    <w:rsid w:val="007E3BD7"/>
    <w:rsid w:val="007E6C5E"/>
    <w:rsid w:val="007E7279"/>
    <w:rsid w:val="007F1EE8"/>
    <w:rsid w:val="008149BB"/>
    <w:rsid w:val="00825800"/>
    <w:rsid w:val="0083126E"/>
    <w:rsid w:val="00835A5A"/>
    <w:rsid w:val="00837725"/>
    <w:rsid w:val="008452A7"/>
    <w:rsid w:val="00853B3F"/>
    <w:rsid w:val="00853C54"/>
    <w:rsid w:val="0086026C"/>
    <w:rsid w:val="00872344"/>
    <w:rsid w:val="008754F2"/>
    <w:rsid w:val="00876B90"/>
    <w:rsid w:val="00880455"/>
    <w:rsid w:val="008808E0"/>
    <w:rsid w:val="00880D26"/>
    <w:rsid w:val="0088414E"/>
    <w:rsid w:val="00885C37"/>
    <w:rsid w:val="008900DF"/>
    <w:rsid w:val="008A455A"/>
    <w:rsid w:val="008A5108"/>
    <w:rsid w:val="008A64B7"/>
    <w:rsid w:val="008A653A"/>
    <w:rsid w:val="008B0C69"/>
    <w:rsid w:val="008B7CD6"/>
    <w:rsid w:val="008C2D4F"/>
    <w:rsid w:val="008D4E80"/>
    <w:rsid w:val="008E068A"/>
    <w:rsid w:val="008E3B7E"/>
    <w:rsid w:val="00902387"/>
    <w:rsid w:val="0091150B"/>
    <w:rsid w:val="00916396"/>
    <w:rsid w:val="00917CE6"/>
    <w:rsid w:val="00926514"/>
    <w:rsid w:val="00927DD1"/>
    <w:rsid w:val="009300F0"/>
    <w:rsid w:val="0093450E"/>
    <w:rsid w:val="00942042"/>
    <w:rsid w:val="0094467E"/>
    <w:rsid w:val="009447E3"/>
    <w:rsid w:val="00946285"/>
    <w:rsid w:val="00950873"/>
    <w:rsid w:val="00953D08"/>
    <w:rsid w:val="00960AD7"/>
    <w:rsid w:val="00970C67"/>
    <w:rsid w:val="009804C9"/>
    <w:rsid w:val="0098495D"/>
    <w:rsid w:val="00994921"/>
    <w:rsid w:val="009958D1"/>
    <w:rsid w:val="00996C82"/>
    <w:rsid w:val="009A0BAB"/>
    <w:rsid w:val="009A3FA9"/>
    <w:rsid w:val="009A7DEE"/>
    <w:rsid w:val="009B4C27"/>
    <w:rsid w:val="009B7E71"/>
    <w:rsid w:val="009B7E8E"/>
    <w:rsid w:val="009C6531"/>
    <w:rsid w:val="009D413B"/>
    <w:rsid w:val="009E234E"/>
    <w:rsid w:val="009F2C64"/>
    <w:rsid w:val="009F4968"/>
    <w:rsid w:val="009F7E69"/>
    <w:rsid w:val="00A1457F"/>
    <w:rsid w:val="00A205C8"/>
    <w:rsid w:val="00A234BC"/>
    <w:rsid w:val="00A265F2"/>
    <w:rsid w:val="00A27258"/>
    <w:rsid w:val="00A34041"/>
    <w:rsid w:val="00A34A89"/>
    <w:rsid w:val="00A421AF"/>
    <w:rsid w:val="00A43BA6"/>
    <w:rsid w:val="00A45B48"/>
    <w:rsid w:val="00A460B2"/>
    <w:rsid w:val="00A47A0B"/>
    <w:rsid w:val="00A5137C"/>
    <w:rsid w:val="00A53BD9"/>
    <w:rsid w:val="00A55571"/>
    <w:rsid w:val="00A632DA"/>
    <w:rsid w:val="00A6454E"/>
    <w:rsid w:val="00A77B2C"/>
    <w:rsid w:val="00A82B7A"/>
    <w:rsid w:val="00A863B8"/>
    <w:rsid w:val="00A86BAF"/>
    <w:rsid w:val="00A879BB"/>
    <w:rsid w:val="00A94501"/>
    <w:rsid w:val="00A96FC2"/>
    <w:rsid w:val="00A97EEE"/>
    <w:rsid w:val="00AA5282"/>
    <w:rsid w:val="00AB1242"/>
    <w:rsid w:val="00AC178B"/>
    <w:rsid w:val="00AC2F47"/>
    <w:rsid w:val="00AC52AD"/>
    <w:rsid w:val="00AC7E03"/>
    <w:rsid w:val="00AD1667"/>
    <w:rsid w:val="00AD7B7C"/>
    <w:rsid w:val="00AE09F0"/>
    <w:rsid w:val="00AF00B3"/>
    <w:rsid w:val="00AF2D63"/>
    <w:rsid w:val="00B02A10"/>
    <w:rsid w:val="00B02D83"/>
    <w:rsid w:val="00B047AE"/>
    <w:rsid w:val="00B06151"/>
    <w:rsid w:val="00B104A1"/>
    <w:rsid w:val="00B12DC1"/>
    <w:rsid w:val="00B15BE6"/>
    <w:rsid w:val="00B16E90"/>
    <w:rsid w:val="00B258CB"/>
    <w:rsid w:val="00B40A00"/>
    <w:rsid w:val="00B4203E"/>
    <w:rsid w:val="00B4687E"/>
    <w:rsid w:val="00B52084"/>
    <w:rsid w:val="00B618C1"/>
    <w:rsid w:val="00B7081C"/>
    <w:rsid w:val="00B73F4D"/>
    <w:rsid w:val="00B74209"/>
    <w:rsid w:val="00B80ABD"/>
    <w:rsid w:val="00B835CF"/>
    <w:rsid w:val="00B846AA"/>
    <w:rsid w:val="00B91E75"/>
    <w:rsid w:val="00B93AA8"/>
    <w:rsid w:val="00B944DA"/>
    <w:rsid w:val="00BA0D4A"/>
    <w:rsid w:val="00BA132B"/>
    <w:rsid w:val="00BA6ED5"/>
    <w:rsid w:val="00BB50E7"/>
    <w:rsid w:val="00BB63EB"/>
    <w:rsid w:val="00BC1421"/>
    <w:rsid w:val="00BC1923"/>
    <w:rsid w:val="00BC44B3"/>
    <w:rsid w:val="00BE19C2"/>
    <w:rsid w:val="00BE3801"/>
    <w:rsid w:val="00BE487C"/>
    <w:rsid w:val="00BF14A5"/>
    <w:rsid w:val="00BF1E2A"/>
    <w:rsid w:val="00BF5E1D"/>
    <w:rsid w:val="00C032BC"/>
    <w:rsid w:val="00C0409A"/>
    <w:rsid w:val="00C05C78"/>
    <w:rsid w:val="00C1171B"/>
    <w:rsid w:val="00C11B3F"/>
    <w:rsid w:val="00C12E3A"/>
    <w:rsid w:val="00C13DC4"/>
    <w:rsid w:val="00C17932"/>
    <w:rsid w:val="00C20E7B"/>
    <w:rsid w:val="00C20FDF"/>
    <w:rsid w:val="00C232C1"/>
    <w:rsid w:val="00C23FEF"/>
    <w:rsid w:val="00C319BE"/>
    <w:rsid w:val="00C3375B"/>
    <w:rsid w:val="00C3437D"/>
    <w:rsid w:val="00C35140"/>
    <w:rsid w:val="00C47B7E"/>
    <w:rsid w:val="00C510D5"/>
    <w:rsid w:val="00C5166D"/>
    <w:rsid w:val="00C53573"/>
    <w:rsid w:val="00C54192"/>
    <w:rsid w:val="00C5448D"/>
    <w:rsid w:val="00C54890"/>
    <w:rsid w:val="00C5587B"/>
    <w:rsid w:val="00C64745"/>
    <w:rsid w:val="00C816F5"/>
    <w:rsid w:val="00C8506E"/>
    <w:rsid w:val="00C85F71"/>
    <w:rsid w:val="00C92155"/>
    <w:rsid w:val="00C92490"/>
    <w:rsid w:val="00C94C6B"/>
    <w:rsid w:val="00CA2B59"/>
    <w:rsid w:val="00CB262E"/>
    <w:rsid w:val="00CB63F7"/>
    <w:rsid w:val="00CC5026"/>
    <w:rsid w:val="00CD05C8"/>
    <w:rsid w:val="00CD3A00"/>
    <w:rsid w:val="00CD6F91"/>
    <w:rsid w:val="00CF0644"/>
    <w:rsid w:val="00CF19D0"/>
    <w:rsid w:val="00CF3732"/>
    <w:rsid w:val="00CF409A"/>
    <w:rsid w:val="00D02A98"/>
    <w:rsid w:val="00D10B61"/>
    <w:rsid w:val="00D12C91"/>
    <w:rsid w:val="00D143EC"/>
    <w:rsid w:val="00D1787E"/>
    <w:rsid w:val="00D21594"/>
    <w:rsid w:val="00D3015B"/>
    <w:rsid w:val="00D3042D"/>
    <w:rsid w:val="00D31806"/>
    <w:rsid w:val="00D3458C"/>
    <w:rsid w:val="00D366F8"/>
    <w:rsid w:val="00D37C30"/>
    <w:rsid w:val="00D37E75"/>
    <w:rsid w:val="00D537E4"/>
    <w:rsid w:val="00D664D1"/>
    <w:rsid w:val="00D67081"/>
    <w:rsid w:val="00D67F89"/>
    <w:rsid w:val="00D77CB0"/>
    <w:rsid w:val="00D97F99"/>
    <w:rsid w:val="00DA1716"/>
    <w:rsid w:val="00DA32CF"/>
    <w:rsid w:val="00DA43B0"/>
    <w:rsid w:val="00DC08E4"/>
    <w:rsid w:val="00DC6987"/>
    <w:rsid w:val="00DF60CC"/>
    <w:rsid w:val="00E03080"/>
    <w:rsid w:val="00E036C4"/>
    <w:rsid w:val="00E1641E"/>
    <w:rsid w:val="00E20000"/>
    <w:rsid w:val="00E20C52"/>
    <w:rsid w:val="00E21D3F"/>
    <w:rsid w:val="00E23285"/>
    <w:rsid w:val="00E33B85"/>
    <w:rsid w:val="00E41997"/>
    <w:rsid w:val="00E427AC"/>
    <w:rsid w:val="00E47318"/>
    <w:rsid w:val="00E52CA3"/>
    <w:rsid w:val="00E53BBA"/>
    <w:rsid w:val="00E70B79"/>
    <w:rsid w:val="00E822CF"/>
    <w:rsid w:val="00E83F22"/>
    <w:rsid w:val="00E84242"/>
    <w:rsid w:val="00E84B78"/>
    <w:rsid w:val="00E85540"/>
    <w:rsid w:val="00EB0217"/>
    <w:rsid w:val="00EB0743"/>
    <w:rsid w:val="00EB3AE9"/>
    <w:rsid w:val="00EC0342"/>
    <w:rsid w:val="00EC7C96"/>
    <w:rsid w:val="00ED28E1"/>
    <w:rsid w:val="00ED5C20"/>
    <w:rsid w:val="00EE5761"/>
    <w:rsid w:val="00EE6363"/>
    <w:rsid w:val="00EE6DE6"/>
    <w:rsid w:val="00EF346B"/>
    <w:rsid w:val="00EF4F7B"/>
    <w:rsid w:val="00F02B58"/>
    <w:rsid w:val="00F11365"/>
    <w:rsid w:val="00F12CD9"/>
    <w:rsid w:val="00F21262"/>
    <w:rsid w:val="00F231EF"/>
    <w:rsid w:val="00F301B4"/>
    <w:rsid w:val="00F3558D"/>
    <w:rsid w:val="00F37216"/>
    <w:rsid w:val="00F40DB1"/>
    <w:rsid w:val="00F55EE8"/>
    <w:rsid w:val="00F57950"/>
    <w:rsid w:val="00F63841"/>
    <w:rsid w:val="00F64BEC"/>
    <w:rsid w:val="00F65DB6"/>
    <w:rsid w:val="00F71FDD"/>
    <w:rsid w:val="00FA1A12"/>
    <w:rsid w:val="00FA2901"/>
    <w:rsid w:val="00FA379B"/>
    <w:rsid w:val="00FA72CD"/>
    <w:rsid w:val="00FB0246"/>
    <w:rsid w:val="00FB1C06"/>
    <w:rsid w:val="00FB54A2"/>
    <w:rsid w:val="00FC53EC"/>
    <w:rsid w:val="00FD5932"/>
    <w:rsid w:val="00FD5F57"/>
    <w:rsid w:val="00FD6A1D"/>
    <w:rsid w:val="00FD7344"/>
    <w:rsid w:val="00FD7366"/>
    <w:rsid w:val="00FF182E"/>
    <w:rsid w:val="00FF3E19"/>
    <w:rsid w:val="00FF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37100C"/>
  <w15:chartTrackingRefBased/>
  <w15:docId w15:val="{BF793467-06FA-43EC-AD86-672CCBE9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BodyText"/>
    <w:next w:val="Normal"/>
    <w:qFormat/>
    <w:pPr>
      <w:keepNext/>
      <w:numPr>
        <w:ilvl w:val="1"/>
        <w:numId w:val="4"/>
      </w:numPr>
      <w:outlineLvl w:val="1"/>
    </w:pPr>
    <w:rPr>
      <w:b/>
    </w:rPr>
  </w:style>
  <w:style w:type="paragraph" w:styleId="Heading3">
    <w:name w:val="heading 3"/>
    <w:basedOn w:val="Normal"/>
    <w:next w:val="Normal"/>
    <w:qFormat/>
    <w:pPr>
      <w:keepNext/>
      <w:numPr>
        <w:ilvl w:val="2"/>
        <w:numId w:val="4"/>
      </w:numPr>
      <w:outlineLvl w:val="2"/>
    </w:pPr>
    <w:rPr>
      <w:b/>
    </w:rPr>
  </w:style>
  <w:style w:type="paragraph" w:styleId="Heading4">
    <w:name w:val="heading 4"/>
    <w:basedOn w:val="Normal"/>
    <w:next w:val="Normal"/>
    <w:qFormat/>
    <w:pPr>
      <w:keepNext/>
      <w:numPr>
        <w:ilvl w:val="3"/>
        <w:numId w:val="4"/>
      </w:numPr>
      <w:outlineLvl w:val="3"/>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after="120"/>
    </w:pPr>
  </w:style>
  <w:style w:type="character" w:styleId="Hyperlink">
    <w:name w:val="Hyperlink"/>
    <w:rPr>
      <w:color w:val="0000FF"/>
      <w:u w:val="single"/>
    </w:rPr>
  </w:style>
  <w:style w:type="paragraph" w:styleId="BalloonText">
    <w:name w:val="Balloon Text"/>
    <w:basedOn w:val="Normal"/>
    <w:semiHidden/>
    <w:rsid w:val="00D125DE"/>
    <w:rPr>
      <w:rFonts w:ascii="Tahoma" w:hAnsi="Tahoma" w:cs="Tahoma"/>
      <w:sz w:val="16"/>
      <w:szCs w:val="16"/>
    </w:rPr>
  </w:style>
  <w:style w:type="paragraph" w:styleId="Footer">
    <w:name w:val="footer"/>
    <w:basedOn w:val="Normal"/>
    <w:link w:val="FooterChar"/>
    <w:uiPriority w:val="99"/>
    <w:rsid w:val="00E845C1"/>
    <w:pPr>
      <w:tabs>
        <w:tab w:val="center" w:pos="4320"/>
        <w:tab w:val="right" w:pos="8640"/>
      </w:tabs>
    </w:pPr>
    <w:rPr>
      <w:lang w:val="x-none" w:eastAsia="x-none"/>
    </w:rPr>
  </w:style>
  <w:style w:type="character" w:styleId="PageNumber">
    <w:name w:val="page number"/>
    <w:basedOn w:val="DefaultParagraphFont"/>
    <w:rsid w:val="00E845C1"/>
  </w:style>
  <w:style w:type="table" w:styleId="TableGrid">
    <w:name w:val="Table Grid"/>
    <w:basedOn w:val="TableNormal"/>
    <w:rsid w:val="00BB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C031D"/>
    <w:rPr>
      <w:sz w:val="16"/>
      <w:szCs w:val="16"/>
    </w:rPr>
  </w:style>
  <w:style w:type="paragraph" w:styleId="CommentText">
    <w:name w:val="annotation text"/>
    <w:basedOn w:val="Normal"/>
    <w:semiHidden/>
    <w:rsid w:val="000C031D"/>
    <w:rPr>
      <w:sz w:val="20"/>
    </w:rPr>
  </w:style>
  <w:style w:type="paragraph" w:styleId="CommentSubject">
    <w:name w:val="annotation subject"/>
    <w:basedOn w:val="CommentText"/>
    <w:next w:val="CommentText"/>
    <w:semiHidden/>
    <w:rsid w:val="000C031D"/>
    <w:rPr>
      <w:b/>
      <w:bCs/>
    </w:rPr>
  </w:style>
  <w:style w:type="character" w:styleId="Strong">
    <w:name w:val="Strong"/>
    <w:uiPriority w:val="22"/>
    <w:qFormat/>
    <w:rsid w:val="00903875"/>
    <w:rPr>
      <w:b/>
      <w:bCs/>
    </w:rPr>
  </w:style>
  <w:style w:type="paragraph" w:styleId="NormalWeb">
    <w:name w:val="Normal (Web)"/>
    <w:basedOn w:val="Normal"/>
    <w:uiPriority w:val="99"/>
    <w:unhideWhenUsed/>
    <w:rsid w:val="00903875"/>
    <w:pPr>
      <w:spacing w:after="216" w:line="336" w:lineRule="atLeast"/>
    </w:pPr>
    <w:rPr>
      <w:szCs w:val="24"/>
    </w:rPr>
  </w:style>
  <w:style w:type="paragraph" w:styleId="HTMLPreformatted">
    <w:name w:val="HTML Preformatted"/>
    <w:basedOn w:val="Normal"/>
    <w:link w:val="HTMLPreformattedChar"/>
    <w:uiPriority w:val="99"/>
    <w:unhideWhenUsed/>
    <w:rsid w:val="00596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596AF9"/>
    <w:rPr>
      <w:rFonts w:ascii="Courier New" w:hAnsi="Courier New" w:cs="Courier New"/>
    </w:rPr>
  </w:style>
  <w:style w:type="character" w:customStyle="1" w:styleId="apple-converted-space">
    <w:name w:val="apple-converted-space"/>
    <w:basedOn w:val="DefaultParagraphFont"/>
    <w:rsid w:val="00B12DC1"/>
  </w:style>
  <w:style w:type="paragraph" w:styleId="Caption">
    <w:name w:val="caption"/>
    <w:basedOn w:val="Normal"/>
    <w:next w:val="Normal"/>
    <w:qFormat/>
    <w:rsid w:val="0016547B"/>
    <w:rPr>
      <w:b/>
      <w:bCs/>
      <w:sz w:val="20"/>
    </w:rPr>
  </w:style>
  <w:style w:type="paragraph" w:styleId="Header">
    <w:name w:val="header"/>
    <w:basedOn w:val="Normal"/>
    <w:link w:val="HeaderChar"/>
    <w:rsid w:val="00FD7344"/>
    <w:pPr>
      <w:tabs>
        <w:tab w:val="center" w:pos="4680"/>
        <w:tab w:val="right" w:pos="9360"/>
      </w:tabs>
    </w:pPr>
    <w:rPr>
      <w:lang w:val="x-none" w:eastAsia="x-none"/>
    </w:rPr>
  </w:style>
  <w:style w:type="character" w:customStyle="1" w:styleId="HeaderChar">
    <w:name w:val="Header Char"/>
    <w:link w:val="Header"/>
    <w:rsid w:val="00FD7344"/>
    <w:rPr>
      <w:sz w:val="24"/>
    </w:rPr>
  </w:style>
  <w:style w:type="character" w:customStyle="1" w:styleId="FooterChar">
    <w:name w:val="Footer Char"/>
    <w:link w:val="Footer"/>
    <w:uiPriority w:val="99"/>
    <w:rsid w:val="00FD7344"/>
    <w:rPr>
      <w:sz w:val="24"/>
    </w:rPr>
  </w:style>
  <w:style w:type="character" w:styleId="FollowedHyperlink">
    <w:name w:val="FollowedHyperlink"/>
    <w:rsid w:val="00C3514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7660">
      <w:bodyDiv w:val="1"/>
      <w:marLeft w:val="0"/>
      <w:marRight w:val="0"/>
      <w:marTop w:val="0"/>
      <w:marBottom w:val="0"/>
      <w:divBdr>
        <w:top w:val="none" w:sz="0" w:space="0" w:color="auto"/>
        <w:left w:val="none" w:sz="0" w:space="0" w:color="auto"/>
        <w:bottom w:val="none" w:sz="0" w:space="0" w:color="auto"/>
        <w:right w:val="none" w:sz="0" w:space="0" w:color="auto"/>
      </w:divBdr>
    </w:div>
    <w:div w:id="119153514">
      <w:bodyDiv w:val="1"/>
      <w:marLeft w:val="0"/>
      <w:marRight w:val="0"/>
      <w:marTop w:val="0"/>
      <w:marBottom w:val="0"/>
      <w:divBdr>
        <w:top w:val="none" w:sz="0" w:space="0" w:color="auto"/>
        <w:left w:val="none" w:sz="0" w:space="0" w:color="auto"/>
        <w:bottom w:val="none" w:sz="0" w:space="0" w:color="auto"/>
        <w:right w:val="none" w:sz="0" w:space="0" w:color="auto"/>
      </w:divBdr>
    </w:div>
    <w:div w:id="203251603">
      <w:bodyDiv w:val="1"/>
      <w:marLeft w:val="0"/>
      <w:marRight w:val="0"/>
      <w:marTop w:val="0"/>
      <w:marBottom w:val="0"/>
      <w:divBdr>
        <w:top w:val="none" w:sz="0" w:space="0" w:color="auto"/>
        <w:left w:val="none" w:sz="0" w:space="0" w:color="auto"/>
        <w:bottom w:val="none" w:sz="0" w:space="0" w:color="auto"/>
        <w:right w:val="none" w:sz="0" w:space="0" w:color="auto"/>
      </w:divBdr>
    </w:div>
    <w:div w:id="778110068">
      <w:bodyDiv w:val="1"/>
      <w:marLeft w:val="0"/>
      <w:marRight w:val="0"/>
      <w:marTop w:val="0"/>
      <w:marBottom w:val="0"/>
      <w:divBdr>
        <w:top w:val="none" w:sz="0" w:space="0" w:color="auto"/>
        <w:left w:val="none" w:sz="0" w:space="0" w:color="auto"/>
        <w:bottom w:val="none" w:sz="0" w:space="0" w:color="auto"/>
        <w:right w:val="none" w:sz="0" w:space="0" w:color="auto"/>
      </w:divBdr>
    </w:div>
    <w:div w:id="826558568">
      <w:bodyDiv w:val="1"/>
      <w:marLeft w:val="0"/>
      <w:marRight w:val="0"/>
      <w:marTop w:val="0"/>
      <w:marBottom w:val="0"/>
      <w:divBdr>
        <w:top w:val="none" w:sz="0" w:space="0" w:color="auto"/>
        <w:left w:val="none" w:sz="0" w:space="0" w:color="auto"/>
        <w:bottom w:val="none" w:sz="0" w:space="0" w:color="auto"/>
        <w:right w:val="none" w:sz="0" w:space="0" w:color="auto"/>
      </w:divBdr>
      <w:divsChild>
        <w:div w:id="978267434">
          <w:marLeft w:val="0"/>
          <w:marRight w:val="0"/>
          <w:marTop w:val="0"/>
          <w:marBottom w:val="0"/>
          <w:divBdr>
            <w:top w:val="none" w:sz="0" w:space="0" w:color="auto"/>
            <w:left w:val="none" w:sz="0" w:space="0" w:color="auto"/>
            <w:bottom w:val="none" w:sz="0" w:space="0" w:color="auto"/>
            <w:right w:val="none" w:sz="0" w:space="0" w:color="auto"/>
          </w:divBdr>
        </w:div>
      </w:divsChild>
    </w:div>
    <w:div w:id="1010328457">
      <w:bodyDiv w:val="1"/>
      <w:marLeft w:val="0"/>
      <w:marRight w:val="0"/>
      <w:marTop w:val="0"/>
      <w:marBottom w:val="0"/>
      <w:divBdr>
        <w:top w:val="none" w:sz="0" w:space="0" w:color="auto"/>
        <w:left w:val="none" w:sz="0" w:space="0" w:color="auto"/>
        <w:bottom w:val="none" w:sz="0" w:space="0" w:color="auto"/>
        <w:right w:val="none" w:sz="0" w:space="0" w:color="auto"/>
      </w:divBdr>
    </w:div>
    <w:div w:id="1331102120">
      <w:bodyDiv w:val="1"/>
      <w:marLeft w:val="0"/>
      <w:marRight w:val="0"/>
      <w:marTop w:val="0"/>
      <w:marBottom w:val="0"/>
      <w:divBdr>
        <w:top w:val="none" w:sz="0" w:space="0" w:color="auto"/>
        <w:left w:val="none" w:sz="0" w:space="0" w:color="auto"/>
        <w:bottom w:val="none" w:sz="0" w:space="0" w:color="auto"/>
        <w:right w:val="none" w:sz="0" w:space="0" w:color="auto"/>
      </w:divBdr>
      <w:divsChild>
        <w:div w:id="1333683936">
          <w:marLeft w:val="0"/>
          <w:marRight w:val="0"/>
          <w:marTop w:val="0"/>
          <w:marBottom w:val="75"/>
          <w:divBdr>
            <w:top w:val="none" w:sz="0" w:space="0" w:color="auto"/>
            <w:left w:val="single" w:sz="6" w:space="0" w:color="CCCCCC"/>
            <w:bottom w:val="single" w:sz="6" w:space="2" w:color="CCCCCC"/>
            <w:right w:val="single" w:sz="6" w:space="0" w:color="CCCCCC"/>
          </w:divBdr>
          <w:divsChild>
            <w:div w:id="309747714">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349714934">
      <w:bodyDiv w:val="1"/>
      <w:marLeft w:val="0"/>
      <w:marRight w:val="0"/>
      <w:marTop w:val="0"/>
      <w:marBottom w:val="0"/>
      <w:divBdr>
        <w:top w:val="none" w:sz="0" w:space="0" w:color="auto"/>
        <w:left w:val="none" w:sz="0" w:space="0" w:color="auto"/>
        <w:bottom w:val="none" w:sz="0" w:space="0" w:color="auto"/>
        <w:right w:val="none" w:sz="0" w:space="0" w:color="auto"/>
      </w:divBdr>
      <w:divsChild>
        <w:div w:id="263734469">
          <w:marLeft w:val="0"/>
          <w:marRight w:val="0"/>
          <w:marTop w:val="0"/>
          <w:marBottom w:val="75"/>
          <w:divBdr>
            <w:top w:val="none" w:sz="0" w:space="0" w:color="auto"/>
            <w:left w:val="single" w:sz="6" w:space="0" w:color="CCCCCC"/>
            <w:bottom w:val="single" w:sz="6" w:space="2" w:color="CCCCCC"/>
            <w:right w:val="single" w:sz="6" w:space="0" w:color="CCCCCC"/>
          </w:divBdr>
          <w:divsChild>
            <w:div w:id="1132360195">
              <w:marLeft w:val="2550"/>
              <w:marRight w:val="225"/>
              <w:marTop w:val="225"/>
              <w:marBottom w:val="450"/>
              <w:divBdr>
                <w:top w:val="none" w:sz="0" w:space="0" w:color="auto"/>
                <w:left w:val="none" w:sz="0" w:space="0" w:color="auto"/>
                <w:bottom w:val="none" w:sz="0" w:space="0" w:color="auto"/>
                <w:right w:val="none" w:sz="0" w:space="0" w:color="auto"/>
              </w:divBdr>
            </w:div>
          </w:divsChild>
        </w:div>
      </w:divsChild>
    </w:div>
    <w:div w:id="1588267007">
      <w:bodyDiv w:val="1"/>
      <w:marLeft w:val="0"/>
      <w:marRight w:val="0"/>
      <w:marTop w:val="0"/>
      <w:marBottom w:val="0"/>
      <w:divBdr>
        <w:top w:val="none" w:sz="0" w:space="0" w:color="auto"/>
        <w:left w:val="none" w:sz="0" w:space="0" w:color="auto"/>
        <w:bottom w:val="none" w:sz="0" w:space="0" w:color="auto"/>
        <w:right w:val="none" w:sz="0" w:space="0" w:color="auto"/>
      </w:divBdr>
    </w:div>
    <w:div w:id="1741519463">
      <w:bodyDiv w:val="1"/>
      <w:marLeft w:val="0"/>
      <w:marRight w:val="0"/>
      <w:marTop w:val="0"/>
      <w:marBottom w:val="0"/>
      <w:divBdr>
        <w:top w:val="none" w:sz="0" w:space="0" w:color="auto"/>
        <w:left w:val="none" w:sz="0" w:space="0" w:color="auto"/>
        <w:bottom w:val="none" w:sz="0" w:space="0" w:color="auto"/>
        <w:right w:val="none" w:sz="0" w:space="0" w:color="auto"/>
      </w:divBdr>
      <w:divsChild>
        <w:div w:id="1213349271">
          <w:marLeft w:val="0"/>
          <w:marRight w:val="0"/>
          <w:marTop w:val="0"/>
          <w:marBottom w:val="0"/>
          <w:divBdr>
            <w:top w:val="none" w:sz="0" w:space="0" w:color="auto"/>
            <w:left w:val="none" w:sz="0" w:space="0" w:color="auto"/>
            <w:bottom w:val="none" w:sz="0" w:space="0" w:color="auto"/>
            <w:right w:val="none" w:sz="0" w:space="0" w:color="auto"/>
          </w:divBdr>
          <w:divsChild>
            <w:div w:id="168444958">
              <w:marLeft w:val="0"/>
              <w:marRight w:val="0"/>
              <w:marTop w:val="0"/>
              <w:marBottom w:val="0"/>
              <w:divBdr>
                <w:top w:val="none" w:sz="0" w:space="0" w:color="auto"/>
                <w:left w:val="none" w:sz="0" w:space="0" w:color="auto"/>
                <w:bottom w:val="none" w:sz="0" w:space="0" w:color="auto"/>
                <w:right w:val="none" w:sz="0" w:space="0" w:color="auto"/>
              </w:divBdr>
            </w:div>
            <w:div w:id="223026482">
              <w:marLeft w:val="0"/>
              <w:marRight w:val="0"/>
              <w:marTop w:val="0"/>
              <w:marBottom w:val="0"/>
              <w:divBdr>
                <w:top w:val="none" w:sz="0" w:space="0" w:color="auto"/>
                <w:left w:val="none" w:sz="0" w:space="0" w:color="auto"/>
                <w:bottom w:val="none" w:sz="0" w:space="0" w:color="auto"/>
                <w:right w:val="none" w:sz="0" w:space="0" w:color="auto"/>
              </w:divBdr>
            </w:div>
            <w:div w:id="279916926">
              <w:marLeft w:val="0"/>
              <w:marRight w:val="0"/>
              <w:marTop w:val="0"/>
              <w:marBottom w:val="0"/>
              <w:divBdr>
                <w:top w:val="none" w:sz="0" w:space="0" w:color="auto"/>
                <w:left w:val="none" w:sz="0" w:space="0" w:color="auto"/>
                <w:bottom w:val="none" w:sz="0" w:space="0" w:color="auto"/>
                <w:right w:val="none" w:sz="0" w:space="0" w:color="auto"/>
              </w:divBdr>
            </w:div>
            <w:div w:id="674579259">
              <w:marLeft w:val="0"/>
              <w:marRight w:val="0"/>
              <w:marTop w:val="0"/>
              <w:marBottom w:val="0"/>
              <w:divBdr>
                <w:top w:val="none" w:sz="0" w:space="0" w:color="auto"/>
                <w:left w:val="none" w:sz="0" w:space="0" w:color="auto"/>
                <w:bottom w:val="none" w:sz="0" w:space="0" w:color="auto"/>
                <w:right w:val="none" w:sz="0" w:space="0" w:color="auto"/>
              </w:divBdr>
            </w:div>
            <w:div w:id="1092580198">
              <w:marLeft w:val="0"/>
              <w:marRight w:val="0"/>
              <w:marTop w:val="0"/>
              <w:marBottom w:val="0"/>
              <w:divBdr>
                <w:top w:val="none" w:sz="0" w:space="0" w:color="auto"/>
                <w:left w:val="none" w:sz="0" w:space="0" w:color="auto"/>
                <w:bottom w:val="none" w:sz="0" w:space="0" w:color="auto"/>
                <w:right w:val="none" w:sz="0" w:space="0" w:color="auto"/>
              </w:divBdr>
            </w:div>
            <w:div w:id="1305499900">
              <w:marLeft w:val="0"/>
              <w:marRight w:val="0"/>
              <w:marTop w:val="0"/>
              <w:marBottom w:val="0"/>
              <w:divBdr>
                <w:top w:val="none" w:sz="0" w:space="0" w:color="auto"/>
                <w:left w:val="none" w:sz="0" w:space="0" w:color="auto"/>
                <w:bottom w:val="none" w:sz="0" w:space="0" w:color="auto"/>
                <w:right w:val="none" w:sz="0" w:space="0" w:color="auto"/>
              </w:divBdr>
            </w:div>
            <w:div w:id="1336107045">
              <w:marLeft w:val="0"/>
              <w:marRight w:val="0"/>
              <w:marTop w:val="0"/>
              <w:marBottom w:val="0"/>
              <w:divBdr>
                <w:top w:val="none" w:sz="0" w:space="0" w:color="auto"/>
                <w:left w:val="none" w:sz="0" w:space="0" w:color="auto"/>
                <w:bottom w:val="none" w:sz="0" w:space="0" w:color="auto"/>
                <w:right w:val="none" w:sz="0" w:space="0" w:color="auto"/>
              </w:divBdr>
            </w:div>
            <w:div w:id="1605990552">
              <w:marLeft w:val="0"/>
              <w:marRight w:val="0"/>
              <w:marTop w:val="0"/>
              <w:marBottom w:val="0"/>
              <w:divBdr>
                <w:top w:val="none" w:sz="0" w:space="0" w:color="auto"/>
                <w:left w:val="none" w:sz="0" w:space="0" w:color="auto"/>
                <w:bottom w:val="none" w:sz="0" w:space="0" w:color="auto"/>
                <w:right w:val="none" w:sz="0" w:space="0" w:color="auto"/>
              </w:divBdr>
            </w:div>
            <w:div w:id="1888101636">
              <w:marLeft w:val="0"/>
              <w:marRight w:val="0"/>
              <w:marTop w:val="0"/>
              <w:marBottom w:val="0"/>
              <w:divBdr>
                <w:top w:val="none" w:sz="0" w:space="0" w:color="auto"/>
                <w:left w:val="none" w:sz="0" w:space="0" w:color="auto"/>
                <w:bottom w:val="none" w:sz="0" w:space="0" w:color="auto"/>
                <w:right w:val="none" w:sz="0" w:space="0" w:color="auto"/>
              </w:divBdr>
            </w:div>
            <w:div w:id="1901357380">
              <w:marLeft w:val="0"/>
              <w:marRight w:val="0"/>
              <w:marTop w:val="0"/>
              <w:marBottom w:val="0"/>
              <w:divBdr>
                <w:top w:val="none" w:sz="0" w:space="0" w:color="auto"/>
                <w:left w:val="none" w:sz="0" w:space="0" w:color="auto"/>
                <w:bottom w:val="none" w:sz="0" w:space="0" w:color="auto"/>
                <w:right w:val="none" w:sz="0" w:space="0" w:color="auto"/>
              </w:divBdr>
            </w:div>
          </w:divsChild>
        </w:div>
        <w:div w:id="1520657498">
          <w:marLeft w:val="0"/>
          <w:marRight w:val="0"/>
          <w:marTop w:val="0"/>
          <w:marBottom w:val="0"/>
          <w:divBdr>
            <w:top w:val="none" w:sz="0" w:space="0" w:color="auto"/>
            <w:left w:val="none" w:sz="0" w:space="0" w:color="auto"/>
            <w:bottom w:val="none" w:sz="0" w:space="0" w:color="auto"/>
            <w:right w:val="none" w:sz="0" w:space="0" w:color="auto"/>
          </w:divBdr>
        </w:div>
      </w:divsChild>
    </w:div>
    <w:div w:id="1767269080">
      <w:bodyDiv w:val="1"/>
      <w:marLeft w:val="0"/>
      <w:marRight w:val="0"/>
      <w:marTop w:val="0"/>
      <w:marBottom w:val="0"/>
      <w:divBdr>
        <w:top w:val="none" w:sz="0" w:space="0" w:color="auto"/>
        <w:left w:val="none" w:sz="0" w:space="0" w:color="auto"/>
        <w:bottom w:val="none" w:sz="0" w:space="0" w:color="auto"/>
        <w:right w:val="none" w:sz="0" w:space="0" w:color="auto"/>
      </w:divBdr>
    </w:div>
    <w:div w:id="2048022544">
      <w:bodyDiv w:val="1"/>
      <w:marLeft w:val="0"/>
      <w:marRight w:val="0"/>
      <w:marTop w:val="0"/>
      <w:marBottom w:val="0"/>
      <w:divBdr>
        <w:top w:val="none" w:sz="0" w:space="0" w:color="auto"/>
        <w:left w:val="none" w:sz="0" w:space="0" w:color="auto"/>
        <w:bottom w:val="none" w:sz="0" w:space="0" w:color="auto"/>
        <w:right w:val="none" w:sz="0" w:space="0" w:color="auto"/>
      </w:divBdr>
    </w:div>
    <w:div w:id="21344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6A" TargetMode="External"/><Relationship Id="rId13" Type="http://schemas.openxmlformats.org/officeDocument/2006/relationships/hyperlink" Target="https://hmspermits.noaa.gov/" TargetMode="External"/><Relationship Id="rId18" Type="http://schemas.openxmlformats.org/officeDocument/2006/relationships/hyperlink" Target="https://www.federalregister.gov/documents/2020/08/25/2020-18659/privacy-act-of-1974-amended-system-of-record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po.gov/fdsys/pkg/CFR-2014-title5-vol3/pdf/CFR-2014-title5-vol3-sec1320-8.pdf" TargetMode="External"/><Relationship Id="rId7" Type="http://schemas.openxmlformats.org/officeDocument/2006/relationships/endnotes" Target="endnotes.xml"/><Relationship Id="rId12" Type="http://schemas.openxmlformats.org/officeDocument/2006/relationships/hyperlink" Target="http://www.fws.gov/informationquality/section515.html" TargetMode="External"/><Relationship Id="rId17" Type="http://schemas.openxmlformats.org/officeDocument/2006/relationships/hyperlink" Target="http://www.corporateservices.noaa.gov/ames/administrative_orders/chapter_216/216-100.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monumbers.lrfairplay.com/"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oip/amended-foia-redlined-2010.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mspermits.noaa.gov/" TargetMode="External"/><Relationship Id="rId23" Type="http://schemas.openxmlformats.org/officeDocument/2006/relationships/footer" Target="footer2.xml"/><Relationship Id="rId10" Type="http://schemas.openxmlformats.org/officeDocument/2006/relationships/hyperlink" Target="http://ecfr.gpoaccess.gov/cgi/t/text/text-idx?c=ecfr&amp;sid=0b41f8461bc34fe4f6808287415166e1&amp;tpl=/ecfrbrowse/Title50/50cfr635_main_02.tpl" TargetMode="External"/><Relationship Id="rId19"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hmspermits.noaa.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D5CC-6A35-4857-BB05-B73AD8145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4654</Words>
  <Characters>26528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NMFS</Company>
  <LinksUpToDate>false</LinksUpToDate>
  <CharactersWithSpaces>31120</CharactersWithSpaces>
  <SharedDoc>false</SharedDoc>
  <HLinks>
    <vt:vector size="84" baseType="variant">
      <vt:variant>
        <vt:i4>5505100</vt:i4>
      </vt:variant>
      <vt:variant>
        <vt:i4>43</vt:i4>
      </vt:variant>
      <vt:variant>
        <vt:i4>0</vt:i4>
      </vt:variant>
      <vt:variant>
        <vt:i4>5</vt:i4>
      </vt:variant>
      <vt:variant>
        <vt:lpwstr>http://www.gpo.gov/fdsys/pkg/CFR-2014-title5-vol3/pdf/CFR-2014-title5-vol3-sec1320-8.pdf</vt:lpwstr>
      </vt:variant>
      <vt:variant>
        <vt:lpwstr/>
      </vt:variant>
      <vt:variant>
        <vt:i4>5505100</vt:i4>
      </vt:variant>
      <vt:variant>
        <vt:i4>40</vt:i4>
      </vt:variant>
      <vt:variant>
        <vt:i4>0</vt:i4>
      </vt:variant>
      <vt:variant>
        <vt:i4>5</vt:i4>
      </vt:variant>
      <vt:variant>
        <vt:lpwstr>http://www.gpo.gov/fdsys/pkg/CFR-2014-title5-vol3/pdf/CFR-2014-title5-vol3-sec1320-8.pdf</vt:lpwstr>
      </vt:variant>
      <vt:variant>
        <vt:lpwstr/>
      </vt:variant>
      <vt:variant>
        <vt:i4>5570636</vt:i4>
      </vt:variant>
      <vt:variant>
        <vt:i4>37</vt:i4>
      </vt:variant>
      <vt:variant>
        <vt:i4>0</vt:i4>
      </vt:variant>
      <vt:variant>
        <vt:i4>5</vt:i4>
      </vt:variant>
      <vt:variant>
        <vt:lpwstr>http://www.gpo.gov/fdsys/pkg/CFR-2014-title5-vol3/pdf/CFR-2014-title5-vol3-sec1320-9.pdf</vt:lpwstr>
      </vt:variant>
      <vt:variant>
        <vt:lpwstr/>
      </vt:variant>
      <vt:variant>
        <vt:i4>720918</vt:i4>
      </vt:variant>
      <vt:variant>
        <vt:i4>32</vt:i4>
      </vt:variant>
      <vt:variant>
        <vt:i4>0</vt:i4>
      </vt:variant>
      <vt:variant>
        <vt:i4>5</vt:i4>
      </vt:variant>
      <vt:variant>
        <vt:lpwstr>https://www.federalregister.gov/documents/2020/08/25/2020-18659/privacy-act-of-1974-amended-system-of-records</vt:lpwstr>
      </vt:variant>
      <vt:variant>
        <vt:lpwstr/>
      </vt:variant>
      <vt:variant>
        <vt:i4>7798847</vt:i4>
      </vt:variant>
      <vt:variant>
        <vt:i4>29</vt:i4>
      </vt:variant>
      <vt:variant>
        <vt:i4>0</vt:i4>
      </vt:variant>
      <vt:variant>
        <vt:i4>5</vt:i4>
      </vt:variant>
      <vt:variant>
        <vt:lpwstr>http://www.corporateservices.noaa.gov/ames/administrative_orders/chapter_216/216-100.html</vt:lpwstr>
      </vt:variant>
      <vt:variant>
        <vt:lpwstr/>
      </vt:variant>
      <vt:variant>
        <vt:i4>1835074</vt:i4>
      </vt:variant>
      <vt:variant>
        <vt:i4>26</vt:i4>
      </vt:variant>
      <vt:variant>
        <vt:i4>0</vt:i4>
      </vt:variant>
      <vt:variant>
        <vt:i4>5</vt:i4>
      </vt:variant>
      <vt:variant>
        <vt:lpwstr>http://imonumbers.lrfairplay.com/</vt:lpwstr>
      </vt:variant>
      <vt:variant>
        <vt:lpwstr/>
      </vt:variant>
      <vt:variant>
        <vt:i4>327702</vt:i4>
      </vt:variant>
      <vt:variant>
        <vt:i4>23</vt:i4>
      </vt:variant>
      <vt:variant>
        <vt:i4>0</vt:i4>
      </vt:variant>
      <vt:variant>
        <vt:i4>5</vt:i4>
      </vt:variant>
      <vt:variant>
        <vt:lpwstr>https://hmspermits.noaa.gov/</vt:lpwstr>
      </vt:variant>
      <vt:variant>
        <vt:lpwstr/>
      </vt:variant>
      <vt:variant>
        <vt:i4>327702</vt:i4>
      </vt:variant>
      <vt:variant>
        <vt:i4>20</vt:i4>
      </vt:variant>
      <vt:variant>
        <vt:i4>0</vt:i4>
      </vt:variant>
      <vt:variant>
        <vt:i4>5</vt:i4>
      </vt:variant>
      <vt:variant>
        <vt:lpwstr>https://hmspermits.noaa.gov/</vt:lpwstr>
      </vt:variant>
      <vt:variant>
        <vt:lpwstr/>
      </vt:variant>
      <vt:variant>
        <vt:i4>327702</vt:i4>
      </vt:variant>
      <vt:variant>
        <vt:i4>17</vt:i4>
      </vt:variant>
      <vt:variant>
        <vt:i4>0</vt:i4>
      </vt:variant>
      <vt:variant>
        <vt:i4>5</vt:i4>
      </vt:variant>
      <vt:variant>
        <vt:lpwstr>https://hmspermits.noaa.gov/</vt:lpwstr>
      </vt:variant>
      <vt:variant>
        <vt:lpwstr/>
      </vt:variant>
      <vt:variant>
        <vt:i4>852034</vt:i4>
      </vt:variant>
      <vt:variant>
        <vt:i4>14</vt:i4>
      </vt:variant>
      <vt:variant>
        <vt:i4>0</vt:i4>
      </vt:variant>
      <vt:variant>
        <vt:i4>5</vt:i4>
      </vt:variant>
      <vt:variant>
        <vt:lpwstr>http://www.fws.gov/informationquality/section515.html</vt:lpwstr>
      </vt:variant>
      <vt:variant>
        <vt:lpwstr/>
      </vt:variant>
      <vt:variant>
        <vt:i4>6029336</vt:i4>
      </vt:variant>
      <vt:variant>
        <vt:i4>11</vt:i4>
      </vt:variant>
      <vt:variant>
        <vt:i4>0</vt:i4>
      </vt:variant>
      <vt:variant>
        <vt:i4>5</vt:i4>
      </vt:variant>
      <vt:variant>
        <vt:lpwstr>http://www.justice.gov/oip/amended-foia-redlined-2010.pdf</vt:lpwstr>
      </vt:variant>
      <vt:variant>
        <vt:lpwstr/>
      </vt:variant>
      <vt:variant>
        <vt:i4>327771</vt:i4>
      </vt:variant>
      <vt:variant>
        <vt:i4>8</vt:i4>
      </vt:variant>
      <vt:variant>
        <vt:i4>0</vt:i4>
      </vt:variant>
      <vt:variant>
        <vt:i4>5</vt:i4>
      </vt:variant>
      <vt:variant>
        <vt:lpwstr>http://ecfr.gpoaccess.gov/cgi/t/text/text-idx?c=ecfr&amp;sid=0b41f8461bc34fe4f6808287415166e1&amp;tpl=/ecfrbrowse/Title50/50cfr635_main_02.tpl</vt:lpwstr>
      </vt:variant>
      <vt:variant>
        <vt:lpwstr/>
      </vt:variant>
      <vt:variant>
        <vt:i4>7012390</vt:i4>
      </vt:variant>
      <vt:variant>
        <vt:i4>5</vt:i4>
      </vt:variant>
      <vt:variant>
        <vt:i4>0</vt:i4>
      </vt:variant>
      <vt:variant>
        <vt:i4>5</vt:i4>
      </vt:variant>
      <vt:variant>
        <vt:lpwstr>http://www.nmfs.noaa.gov/msa2005/docs/MSA_amended_msa _20070112_FINAL.pdf</vt:lpwstr>
      </vt:variant>
      <vt:variant>
        <vt:lpwstr/>
      </vt:variant>
      <vt:variant>
        <vt:i4>786510</vt:i4>
      </vt:variant>
      <vt:variant>
        <vt:i4>2</vt:i4>
      </vt:variant>
      <vt:variant>
        <vt:i4>0</vt:i4>
      </vt:variant>
      <vt:variant>
        <vt:i4>5</vt:i4>
      </vt:variant>
      <vt:variant>
        <vt:lpwstr>http://www.law.cornell.edu/uscode/text/16/chapter-16A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Dianne Stephan</dc:creator>
  <cp:keywords/>
  <cp:lastModifiedBy>Adrienne.Thomas</cp:lastModifiedBy>
  <cp:revision>2</cp:revision>
  <cp:lastPrinted>2015-06-03T19:46:00Z</cp:lastPrinted>
  <dcterms:created xsi:type="dcterms:W3CDTF">2021-09-10T16:40:00Z</dcterms:created>
  <dcterms:modified xsi:type="dcterms:W3CDTF">2021-09-10T16:40:00Z</dcterms:modified>
</cp:coreProperties>
</file>