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5928F0" w:rsidP="000458DE" w:rsidRDefault="005928F0" w14:paraId="08C7E6D6" w14:textId="207E88CA">
      <w:pPr>
        <w:spacing w:after="0" w:line="240" w:lineRule="auto"/>
        <w:jc w:val="center"/>
        <w:rPr>
          <w:rFonts w:ascii="Times New Roman" w:hAnsi="Times New Roman"/>
          <w:b/>
          <w:sz w:val="24"/>
          <w:szCs w:val="24"/>
        </w:rPr>
      </w:pPr>
      <w:r>
        <w:rPr>
          <w:rFonts w:ascii="Times New Roman" w:hAnsi="Times New Roman"/>
          <w:b/>
          <w:sz w:val="24"/>
          <w:szCs w:val="24"/>
        </w:rPr>
        <w:t>JUSTIFICATION FOR CHANGE</w:t>
      </w:r>
    </w:p>
    <w:p w:rsidRPr="00B701E8" w:rsidR="005928F0" w:rsidP="000458DE" w:rsidRDefault="005928F0" w14:paraId="77EF6593" w14:textId="77777777">
      <w:pPr>
        <w:spacing w:after="0" w:line="240" w:lineRule="auto"/>
        <w:jc w:val="center"/>
        <w:rPr>
          <w:rFonts w:ascii="Times New Roman" w:hAnsi="Times New Roman"/>
          <w:b/>
          <w:sz w:val="24"/>
          <w:szCs w:val="24"/>
        </w:rPr>
      </w:pPr>
      <w:r w:rsidRPr="00B701E8">
        <w:rPr>
          <w:rFonts w:ascii="Times New Roman" w:hAnsi="Times New Roman"/>
          <w:b/>
          <w:sz w:val="24"/>
          <w:szCs w:val="24"/>
        </w:rPr>
        <w:t>U.S. Department of Commerce</w:t>
      </w:r>
    </w:p>
    <w:p w:rsidRPr="00B701E8" w:rsidR="005928F0" w:rsidP="000458DE" w:rsidRDefault="005928F0" w14:paraId="36189D55" w14:textId="77777777">
      <w:pPr>
        <w:spacing w:after="0" w:line="240" w:lineRule="auto"/>
        <w:jc w:val="center"/>
        <w:rPr>
          <w:rFonts w:ascii="Times New Roman" w:hAnsi="Times New Roman"/>
          <w:b/>
          <w:sz w:val="24"/>
          <w:szCs w:val="24"/>
        </w:rPr>
      </w:pPr>
      <w:r w:rsidRPr="00B701E8">
        <w:rPr>
          <w:rFonts w:ascii="Times New Roman" w:hAnsi="Times New Roman"/>
          <w:b/>
          <w:sz w:val="24"/>
          <w:szCs w:val="24"/>
        </w:rPr>
        <w:t>National Oceanic &amp; Atmospheric Administration</w:t>
      </w:r>
    </w:p>
    <w:p w:rsidRPr="00716E05" w:rsidR="00716E05" w:rsidP="00716E05" w:rsidRDefault="00716E05" w14:paraId="65D00E7D" w14:textId="77777777">
      <w:pPr>
        <w:spacing w:after="0" w:line="240" w:lineRule="auto"/>
        <w:jc w:val="center"/>
        <w:rPr>
          <w:rFonts w:ascii="Times New Roman" w:hAnsi="Times New Roman"/>
          <w:b/>
          <w:sz w:val="24"/>
          <w:szCs w:val="24"/>
        </w:rPr>
      </w:pPr>
      <w:r w:rsidRPr="00716E05">
        <w:rPr>
          <w:rFonts w:ascii="Times New Roman" w:hAnsi="Times New Roman"/>
          <w:b/>
          <w:sz w:val="24"/>
          <w:szCs w:val="24"/>
        </w:rPr>
        <w:t xml:space="preserve">Individual Fishing Quotas for </w:t>
      </w:r>
    </w:p>
    <w:p w:rsidR="00716E05" w:rsidP="00716E05" w:rsidRDefault="00716E05" w14:paraId="7135AED9" w14:textId="77777777">
      <w:pPr>
        <w:spacing w:after="0" w:line="240" w:lineRule="auto"/>
        <w:jc w:val="center"/>
        <w:rPr>
          <w:rFonts w:ascii="Times New Roman" w:hAnsi="Times New Roman"/>
          <w:b/>
          <w:sz w:val="24"/>
          <w:szCs w:val="24"/>
        </w:rPr>
      </w:pPr>
      <w:r w:rsidRPr="00716E05">
        <w:rPr>
          <w:rFonts w:ascii="Times New Roman" w:hAnsi="Times New Roman"/>
          <w:b/>
          <w:sz w:val="24"/>
          <w:szCs w:val="24"/>
        </w:rPr>
        <w:t xml:space="preserve">Pacific Halibut and Sablefish in the Alaska Fisheries </w:t>
      </w:r>
    </w:p>
    <w:p w:rsidR="005928F0" w:rsidP="00716E05" w:rsidRDefault="005928F0" w14:paraId="06113D3F" w14:textId="3D048381">
      <w:pPr>
        <w:spacing w:after="0" w:line="240" w:lineRule="auto"/>
        <w:jc w:val="center"/>
        <w:rPr>
          <w:rFonts w:ascii="Times New Roman" w:hAnsi="Times New Roman"/>
          <w:b/>
          <w:sz w:val="24"/>
          <w:szCs w:val="24"/>
        </w:rPr>
      </w:pPr>
      <w:r w:rsidRPr="00B701E8">
        <w:rPr>
          <w:rFonts w:ascii="Times New Roman" w:hAnsi="Times New Roman"/>
          <w:b/>
          <w:sz w:val="24"/>
          <w:szCs w:val="24"/>
        </w:rPr>
        <w:t>OMB Control No. 0648-</w:t>
      </w:r>
      <w:r>
        <w:rPr>
          <w:rFonts w:ascii="Times New Roman" w:hAnsi="Times New Roman"/>
          <w:b/>
          <w:sz w:val="24"/>
          <w:szCs w:val="24"/>
        </w:rPr>
        <w:t>0</w:t>
      </w:r>
      <w:r w:rsidR="00716E05">
        <w:rPr>
          <w:rFonts w:ascii="Times New Roman" w:hAnsi="Times New Roman"/>
          <w:b/>
          <w:sz w:val="24"/>
          <w:szCs w:val="24"/>
        </w:rPr>
        <w:t>272</w:t>
      </w:r>
    </w:p>
    <w:p w:rsidR="005A6600" w:rsidP="000458DE" w:rsidRDefault="005A6600" w14:paraId="487C17B2" w14:textId="05E2AD5F">
      <w:pPr>
        <w:spacing w:after="0" w:line="240" w:lineRule="auto"/>
        <w:jc w:val="center"/>
        <w:rPr>
          <w:rFonts w:ascii="Times New Roman" w:hAnsi="Times New Roman"/>
          <w:b/>
          <w:sz w:val="24"/>
          <w:szCs w:val="24"/>
        </w:rPr>
      </w:pPr>
    </w:p>
    <w:p w:rsidRPr="00B701E8" w:rsidR="005A6600" w:rsidP="000458DE" w:rsidRDefault="005A6600" w14:paraId="6421BC53" w14:textId="2ABE8E6F">
      <w:pPr>
        <w:spacing w:after="0" w:line="240" w:lineRule="auto"/>
        <w:jc w:val="center"/>
        <w:rPr>
          <w:rFonts w:ascii="Times New Roman" w:hAnsi="Times New Roman"/>
          <w:b/>
          <w:sz w:val="24"/>
          <w:szCs w:val="24"/>
        </w:rPr>
      </w:pPr>
      <w:r>
        <w:rPr>
          <w:rFonts w:ascii="Times New Roman" w:hAnsi="Times New Roman"/>
          <w:b/>
          <w:sz w:val="24"/>
          <w:szCs w:val="24"/>
        </w:rPr>
        <w:t>RIN 0648-BK76</w:t>
      </w:r>
    </w:p>
    <w:p w:rsidR="00F56A4A" w:rsidP="000458DE" w:rsidRDefault="00F56A4A" w14:paraId="39605C96" w14:textId="3C8D2432">
      <w:pPr>
        <w:spacing w:after="0" w:line="240" w:lineRule="auto"/>
        <w:rPr>
          <w:rFonts w:ascii="Times New Roman" w:hAnsi="Times New Roman"/>
          <w:sz w:val="24"/>
          <w:szCs w:val="24"/>
        </w:rPr>
      </w:pPr>
    </w:p>
    <w:p w:rsidR="00C3301E" w:rsidP="000458DE" w:rsidRDefault="00BE6CDD" w14:paraId="3955F18D" w14:textId="2C2C188B">
      <w:pPr>
        <w:spacing w:after="0" w:line="240" w:lineRule="auto"/>
        <w:rPr>
          <w:rFonts w:ascii="Times New Roman" w:hAnsi="Times New Roman"/>
          <w:sz w:val="24"/>
          <w:szCs w:val="24"/>
        </w:rPr>
      </w:pPr>
      <w:r>
        <w:rPr>
          <w:rFonts w:ascii="Times New Roman" w:hAnsi="Times New Roman"/>
          <w:sz w:val="24"/>
          <w:szCs w:val="24"/>
        </w:rPr>
        <w:t xml:space="preserve">The </w:t>
      </w:r>
      <w:r w:rsidR="00D54460">
        <w:rPr>
          <w:rFonts w:ascii="Times New Roman" w:hAnsi="Times New Roman"/>
          <w:sz w:val="24"/>
          <w:szCs w:val="24"/>
        </w:rPr>
        <w:t>National Marine Fisheries Service (</w:t>
      </w:r>
      <w:r w:rsidRPr="00FC5C35" w:rsidR="0099017D">
        <w:rPr>
          <w:rFonts w:ascii="Times New Roman" w:hAnsi="Times New Roman" w:eastAsia="Times New Roman"/>
          <w:sz w:val="24"/>
          <w:szCs w:val="24"/>
        </w:rPr>
        <w:t>NMFS</w:t>
      </w:r>
      <w:r w:rsidR="00D54460">
        <w:rPr>
          <w:rFonts w:ascii="Times New Roman" w:hAnsi="Times New Roman" w:eastAsia="Times New Roman"/>
          <w:sz w:val="24"/>
          <w:szCs w:val="24"/>
        </w:rPr>
        <w:t>)</w:t>
      </w:r>
      <w:r w:rsidRPr="00FC5C35" w:rsidR="0099017D">
        <w:rPr>
          <w:rFonts w:ascii="Times New Roman" w:hAnsi="Times New Roman" w:eastAsia="Times New Roman"/>
          <w:sz w:val="24"/>
          <w:szCs w:val="24"/>
        </w:rPr>
        <w:t xml:space="preserve">, Alaska Region, </w:t>
      </w:r>
      <w:r w:rsidR="0099017D">
        <w:rPr>
          <w:rFonts w:ascii="Times New Roman" w:hAnsi="Times New Roman" w:eastAsia="Times New Roman"/>
          <w:sz w:val="24"/>
          <w:szCs w:val="24"/>
        </w:rPr>
        <w:t>request</w:t>
      </w:r>
      <w:r w:rsidR="00051F55">
        <w:rPr>
          <w:rFonts w:ascii="Times New Roman" w:hAnsi="Times New Roman" w:eastAsia="Times New Roman"/>
          <w:sz w:val="24"/>
          <w:szCs w:val="24"/>
        </w:rPr>
        <w:t>s</w:t>
      </w:r>
      <w:r w:rsidRPr="00FC5C35" w:rsidR="0099017D">
        <w:rPr>
          <w:rFonts w:ascii="Times New Roman" w:hAnsi="Times New Roman" w:eastAsia="Times New Roman"/>
          <w:sz w:val="24"/>
          <w:szCs w:val="24"/>
        </w:rPr>
        <w:t xml:space="preserve"> to change this </w:t>
      </w:r>
      <w:r>
        <w:rPr>
          <w:rFonts w:ascii="Times New Roman" w:hAnsi="Times New Roman" w:eastAsia="Times New Roman"/>
          <w:sz w:val="24"/>
          <w:szCs w:val="24"/>
        </w:rPr>
        <w:t xml:space="preserve">information </w:t>
      </w:r>
      <w:r w:rsidRPr="00FC5C35" w:rsidR="0099017D">
        <w:rPr>
          <w:rFonts w:ascii="Times New Roman" w:hAnsi="Times New Roman" w:eastAsia="Times New Roman"/>
          <w:sz w:val="24"/>
          <w:szCs w:val="24"/>
        </w:rPr>
        <w:t>collection due to the associated rule (RIN 0648-BK76)</w:t>
      </w:r>
      <w:r w:rsidRPr="00FC5C35" w:rsidR="0099017D">
        <w:rPr>
          <w:rFonts w:ascii="Times New Roman" w:hAnsi="Times New Roman"/>
          <w:sz w:val="24"/>
          <w:szCs w:val="24"/>
        </w:rPr>
        <w:t xml:space="preserve"> </w:t>
      </w:r>
      <w:r w:rsidRPr="00FC5C35" w:rsidR="0099017D">
        <w:rPr>
          <w:rFonts w:ascii="Times New Roman" w:hAnsi="Times New Roman" w:eastAsia="Times New Roman"/>
          <w:sz w:val="24"/>
          <w:szCs w:val="24"/>
        </w:rPr>
        <w:t xml:space="preserve">to remove pot </w:t>
      </w:r>
      <w:r w:rsidR="00592380">
        <w:rPr>
          <w:rFonts w:ascii="Times New Roman" w:hAnsi="Times New Roman" w:eastAsia="Times New Roman"/>
          <w:sz w:val="24"/>
          <w:szCs w:val="24"/>
        </w:rPr>
        <w:t xml:space="preserve">gear </w:t>
      </w:r>
      <w:r w:rsidRPr="00FC5C35" w:rsidR="0099017D">
        <w:rPr>
          <w:rFonts w:ascii="Times New Roman" w:hAnsi="Times New Roman" w:eastAsia="Times New Roman"/>
          <w:sz w:val="24"/>
          <w:szCs w:val="24"/>
        </w:rPr>
        <w:t>tag requirements in the sablefish Individual Fishing Quota (IFQ) fishery in the Gulf of Alaska (GOA) and remove requirements to obtain and submit a notary certification on application forms</w:t>
      </w:r>
      <w:r w:rsidRPr="00592380" w:rsidR="00592380">
        <w:t xml:space="preserve"> </w:t>
      </w:r>
      <w:r w:rsidRPr="00592380" w:rsidR="00592380">
        <w:rPr>
          <w:rFonts w:ascii="Times New Roman" w:hAnsi="Times New Roman" w:eastAsia="Times New Roman"/>
          <w:sz w:val="24"/>
          <w:szCs w:val="24"/>
        </w:rPr>
        <w:t>submitted under the halibut and sablefish IFQ Program, Charter Halibut Limited Access Program, Community Quota Entity (CQE) Program, License Limitation Program (LLP</w:t>
      </w:r>
      <w:r w:rsidR="00592380">
        <w:rPr>
          <w:rFonts w:ascii="Times New Roman" w:hAnsi="Times New Roman" w:eastAsia="Times New Roman"/>
          <w:sz w:val="24"/>
          <w:szCs w:val="24"/>
        </w:rPr>
        <w:t>)</w:t>
      </w:r>
      <w:r w:rsidRPr="00592380" w:rsidR="00592380">
        <w:rPr>
          <w:rFonts w:ascii="Times New Roman" w:hAnsi="Times New Roman" w:eastAsia="Times New Roman"/>
          <w:sz w:val="24"/>
          <w:szCs w:val="24"/>
        </w:rPr>
        <w:t>, and the Crab Rationalization Program</w:t>
      </w:r>
      <w:r w:rsidRPr="00FC5C35" w:rsidR="0099017D">
        <w:rPr>
          <w:rFonts w:ascii="Times New Roman" w:hAnsi="Times New Roman" w:eastAsia="Times New Roman"/>
          <w:sz w:val="24"/>
          <w:szCs w:val="24"/>
        </w:rPr>
        <w:t>.</w:t>
      </w:r>
      <w:r w:rsidRPr="00FC5C35" w:rsidR="0099017D">
        <w:rPr>
          <w:rFonts w:ascii="Times New Roman" w:hAnsi="Times New Roman"/>
          <w:sz w:val="24"/>
          <w:szCs w:val="24"/>
        </w:rPr>
        <w:t xml:space="preserve"> </w:t>
      </w:r>
      <w:r w:rsidRPr="00592380" w:rsidR="00592380">
        <w:rPr>
          <w:rFonts w:ascii="Times New Roman" w:hAnsi="Times New Roman"/>
          <w:sz w:val="24"/>
          <w:szCs w:val="24"/>
        </w:rPr>
        <w:t>Th</w:t>
      </w:r>
      <w:r w:rsidR="00592380">
        <w:rPr>
          <w:rFonts w:ascii="Times New Roman" w:hAnsi="Times New Roman"/>
          <w:sz w:val="24"/>
          <w:szCs w:val="24"/>
        </w:rPr>
        <w:t xml:space="preserve">is </w:t>
      </w:r>
      <w:r w:rsidRPr="00592380" w:rsidR="00592380">
        <w:rPr>
          <w:rFonts w:ascii="Times New Roman" w:hAnsi="Times New Roman"/>
          <w:sz w:val="24"/>
          <w:szCs w:val="24"/>
        </w:rPr>
        <w:t>action remove</w:t>
      </w:r>
      <w:r w:rsidR="00592380">
        <w:rPr>
          <w:rFonts w:ascii="Times New Roman" w:hAnsi="Times New Roman"/>
          <w:sz w:val="24"/>
          <w:szCs w:val="24"/>
        </w:rPr>
        <w:t>s</w:t>
      </w:r>
      <w:r w:rsidRPr="00592380" w:rsidR="00592380">
        <w:rPr>
          <w:rFonts w:ascii="Times New Roman" w:hAnsi="Times New Roman"/>
          <w:sz w:val="24"/>
          <w:szCs w:val="24"/>
        </w:rPr>
        <w:t xml:space="preserve"> recordkeeping and reporting requirements that are no longer necessary</w:t>
      </w:r>
      <w:r w:rsidR="00592380">
        <w:rPr>
          <w:rFonts w:ascii="Times New Roman" w:hAnsi="Times New Roman"/>
          <w:sz w:val="24"/>
          <w:szCs w:val="24"/>
        </w:rPr>
        <w:t xml:space="preserve"> and </w:t>
      </w:r>
      <w:r w:rsidRPr="00592380" w:rsidR="00592380">
        <w:rPr>
          <w:rFonts w:ascii="Times New Roman" w:hAnsi="Times New Roman"/>
          <w:sz w:val="24"/>
          <w:szCs w:val="24"/>
        </w:rPr>
        <w:t>is intended to reduce administrative burden on the regulated fishing industry and NMFS.</w:t>
      </w:r>
      <w:r w:rsidR="00051F55">
        <w:rPr>
          <w:rFonts w:ascii="Times New Roman" w:hAnsi="Times New Roman"/>
          <w:sz w:val="24"/>
          <w:szCs w:val="24"/>
        </w:rPr>
        <w:t xml:space="preserve"> </w:t>
      </w:r>
      <w:r w:rsidR="0099017D">
        <w:rPr>
          <w:rFonts w:ascii="Times New Roman" w:hAnsi="Times New Roman"/>
          <w:sz w:val="24"/>
          <w:szCs w:val="24"/>
        </w:rPr>
        <w:t>NMFS</w:t>
      </w:r>
      <w:r w:rsidRPr="0099017D" w:rsidR="00F67F8E">
        <w:rPr>
          <w:rFonts w:ascii="Times New Roman" w:hAnsi="Times New Roman"/>
          <w:sz w:val="24"/>
          <w:szCs w:val="24"/>
        </w:rPr>
        <w:t xml:space="preserve"> </w:t>
      </w:r>
      <w:r w:rsidRPr="0099017D" w:rsidR="0099017D">
        <w:rPr>
          <w:rFonts w:ascii="Times New Roman" w:hAnsi="Times New Roman"/>
          <w:sz w:val="24"/>
          <w:szCs w:val="24"/>
        </w:rPr>
        <w:t>propos</w:t>
      </w:r>
      <w:r w:rsidR="0099017D">
        <w:rPr>
          <w:rFonts w:ascii="Times New Roman" w:hAnsi="Times New Roman"/>
          <w:sz w:val="24"/>
          <w:szCs w:val="24"/>
        </w:rPr>
        <w:t>es</w:t>
      </w:r>
      <w:r w:rsidRPr="0099017D" w:rsidR="0099017D">
        <w:rPr>
          <w:rFonts w:ascii="Times New Roman" w:hAnsi="Times New Roman"/>
          <w:sz w:val="24"/>
          <w:szCs w:val="24"/>
        </w:rPr>
        <w:t xml:space="preserve"> </w:t>
      </w:r>
      <w:r w:rsidR="00F67F8E">
        <w:rPr>
          <w:rFonts w:ascii="Times New Roman" w:hAnsi="Times New Roman"/>
          <w:sz w:val="24"/>
          <w:szCs w:val="24"/>
        </w:rPr>
        <w:t>to</w:t>
      </w:r>
      <w:r w:rsidR="00AF02FB">
        <w:rPr>
          <w:rFonts w:ascii="Times New Roman" w:hAnsi="Times New Roman"/>
          <w:sz w:val="24"/>
          <w:szCs w:val="24"/>
        </w:rPr>
        <w:t xml:space="preserve"> </w:t>
      </w:r>
      <w:r w:rsidR="00F67F8E">
        <w:rPr>
          <w:rFonts w:ascii="Times New Roman" w:hAnsi="Times New Roman"/>
          <w:sz w:val="24"/>
          <w:szCs w:val="24"/>
        </w:rPr>
        <w:t xml:space="preserve">remove </w:t>
      </w:r>
      <w:r w:rsidRPr="00F67F8E" w:rsidR="00F67F8E">
        <w:rPr>
          <w:rFonts w:ascii="Times New Roman" w:hAnsi="Times New Roman"/>
          <w:sz w:val="24"/>
          <w:szCs w:val="24"/>
        </w:rPr>
        <w:t xml:space="preserve">the notary certification from </w:t>
      </w:r>
      <w:r w:rsidR="00727DF4">
        <w:rPr>
          <w:rFonts w:ascii="Times New Roman" w:hAnsi="Times New Roman"/>
          <w:sz w:val="24"/>
          <w:szCs w:val="24"/>
        </w:rPr>
        <w:t>five</w:t>
      </w:r>
      <w:r w:rsidR="00F67F8E">
        <w:rPr>
          <w:rFonts w:ascii="Times New Roman" w:hAnsi="Times New Roman"/>
          <w:sz w:val="24"/>
          <w:szCs w:val="24"/>
        </w:rPr>
        <w:t xml:space="preserve"> form</w:t>
      </w:r>
      <w:r w:rsidR="00727DF4">
        <w:rPr>
          <w:rFonts w:ascii="Times New Roman" w:hAnsi="Times New Roman"/>
          <w:sz w:val="24"/>
          <w:szCs w:val="24"/>
        </w:rPr>
        <w:t>s</w:t>
      </w:r>
      <w:r w:rsidR="00F67F8E">
        <w:rPr>
          <w:rFonts w:ascii="Times New Roman" w:hAnsi="Times New Roman"/>
          <w:sz w:val="24"/>
          <w:szCs w:val="24"/>
        </w:rPr>
        <w:t xml:space="preserve"> in this collection</w:t>
      </w:r>
      <w:r w:rsidRPr="00F67F8E" w:rsidR="00F67F8E">
        <w:rPr>
          <w:rFonts w:ascii="Times New Roman" w:hAnsi="Times New Roman"/>
          <w:sz w:val="24"/>
          <w:szCs w:val="24"/>
        </w:rPr>
        <w:t>.</w:t>
      </w:r>
      <w:r w:rsidR="00C3301E">
        <w:rPr>
          <w:rFonts w:ascii="Times New Roman" w:hAnsi="Times New Roman"/>
          <w:sz w:val="24"/>
          <w:szCs w:val="24"/>
        </w:rPr>
        <w:t xml:space="preserve"> </w:t>
      </w:r>
      <w:r w:rsidRPr="006C4F2C" w:rsidR="006C4F2C">
        <w:rPr>
          <w:rFonts w:ascii="Times New Roman" w:hAnsi="Times New Roman"/>
          <w:sz w:val="24"/>
          <w:szCs w:val="24"/>
        </w:rPr>
        <w:t xml:space="preserve">In addition to the changes due to the rule, </w:t>
      </w:r>
      <w:r w:rsidR="006C4F2C">
        <w:rPr>
          <w:rFonts w:ascii="Times New Roman" w:hAnsi="Times New Roman"/>
          <w:sz w:val="24"/>
          <w:szCs w:val="24"/>
        </w:rPr>
        <w:t xml:space="preserve">a minor </w:t>
      </w:r>
      <w:r w:rsidRPr="006C4F2C" w:rsidR="006C4F2C">
        <w:rPr>
          <w:rFonts w:ascii="Times New Roman" w:hAnsi="Times New Roman"/>
          <w:sz w:val="24"/>
          <w:szCs w:val="24"/>
        </w:rPr>
        <w:t>technical correction is made to</w:t>
      </w:r>
      <w:r w:rsidR="006C4F2C">
        <w:rPr>
          <w:rFonts w:ascii="Times New Roman" w:hAnsi="Times New Roman"/>
          <w:sz w:val="24"/>
          <w:szCs w:val="24"/>
        </w:rPr>
        <w:t xml:space="preserve"> correct</w:t>
      </w:r>
      <w:r w:rsidRPr="006C4F2C" w:rsidR="006C4F2C">
        <w:rPr>
          <w:rFonts w:ascii="Times New Roman" w:hAnsi="Times New Roman"/>
          <w:sz w:val="24"/>
          <w:szCs w:val="24"/>
        </w:rPr>
        <w:t xml:space="preserve"> the supporting statement</w:t>
      </w:r>
      <w:r w:rsidR="006C4F2C">
        <w:rPr>
          <w:rFonts w:ascii="Times New Roman" w:hAnsi="Times New Roman"/>
          <w:sz w:val="24"/>
          <w:szCs w:val="24"/>
        </w:rPr>
        <w:t>, which erroneously lists a notary cost for a report that does not have notary requirements</w:t>
      </w:r>
      <w:r w:rsidRPr="006C4F2C" w:rsidR="006C4F2C">
        <w:rPr>
          <w:rFonts w:ascii="Times New Roman" w:hAnsi="Times New Roman"/>
          <w:sz w:val="24"/>
          <w:szCs w:val="24"/>
        </w:rPr>
        <w:t>.</w:t>
      </w:r>
      <w:r w:rsidR="006C4F2C">
        <w:rPr>
          <w:rFonts w:ascii="Times New Roman" w:hAnsi="Times New Roman"/>
          <w:sz w:val="24"/>
          <w:szCs w:val="24"/>
        </w:rPr>
        <w:t xml:space="preserve"> </w:t>
      </w:r>
      <w:r w:rsidR="00C3301E">
        <w:rPr>
          <w:rFonts w:ascii="Times New Roman" w:hAnsi="Times New Roman"/>
          <w:sz w:val="24"/>
          <w:szCs w:val="24"/>
        </w:rPr>
        <w:t xml:space="preserve">OMB/OIRA has authorized </w:t>
      </w:r>
      <w:r w:rsidR="00AF02FB">
        <w:rPr>
          <w:rFonts w:ascii="Times New Roman" w:hAnsi="Times New Roman"/>
          <w:sz w:val="24"/>
          <w:szCs w:val="24"/>
        </w:rPr>
        <w:t>this</w:t>
      </w:r>
      <w:r w:rsidR="00C3301E">
        <w:rPr>
          <w:rFonts w:ascii="Times New Roman" w:hAnsi="Times New Roman"/>
          <w:sz w:val="24"/>
          <w:szCs w:val="24"/>
        </w:rPr>
        <w:t xml:space="preserve"> change request</w:t>
      </w:r>
      <w:r w:rsidR="0099017D">
        <w:rPr>
          <w:rFonts w:ascii="Times New Roman" w:hAnsi="Times New Roman"/>
          <w:sz w:val="24"/>
          <w:szCs w:val="24"/>
        </w:rPr>
        <w:t>.</w:t>
      </w:r>
    </w:p>
    <w:p w:rsidR="00CB31A8" w:rsidP="00CB31A8" w:rsidRDefault="00CB31A8" w14:paraId="1F782660" w14:textId="77777777">
      <w:pPr>
        <w:autoSpaceDE w:val="0"/>
        <w:autoSpaceDN w:val="0"/>
        <w:spacing w:after="0" w:line="240" w:lineRule="auto"/>
        <w:rPr>
          <w:rFonts w:ascii="Times New Roman" w:hAnsi="Times New Roman" w:eastAsia="SimSun"/>
          <w:sz w:val="24"/>
          <w:szCs w:val="24"/>
        </w:rPr>
      </w:pPr>
    </w:p>
    <w:p w:rsidR="00CB31A8" w:rsidP="00CB31A8" w:rsidRDefault="00CB31A8" w14:paraId="3200CB37" w14:textId="7FDE0FD5">
      <w:pPr>
        <w:autoSpaceDE w:val="0"/>
        <w:autoSpaceDN w:val="0"/>
        <w:spacing w:after="0" w:line="240" w:lineRule="auto"/>
        <w:rPr>
          <w:rFonts w:ascii="Times New Roman" w:hAnsi="Times New Roman" w:eastAsia="SimSun"/>
          <w:sz w:val="24"/>
          <w:szCs w:val="24"/>
        </w:rPr>
      </w:pPr>
      <w:r w:rsidRPr="00C65807">
        <w:rPr>
          <w:rFonts w:ascii="Times New Roman" w:hAnsi="Times New Roman" w:eastAsia="SimSun"/>
          <w:sz w:val="24"/>
          <w:szCs w:val="24"/>
        </w:rPr>
        <w:t xml:space="preserve">The rule also </w:t>
      </w:r>
      <w:r w:rsidR="00E87D5E">
        <w:rPr>
          <w:rFonts w:ascii="Times New Roman" w:hAnsi="Times New Roman" w:eastAsia="SimSun"/>
          <w:sz w:val="24"/>
          <w:szCs w:val="24"/>
        </w:rPr>
        <w:t>a</w:t>
      </w:r>
      <w:r w:rsidRPr="00C65807">
        <w:rPr>
          <w:rFonts w:ascii="Times New Roman" w:hAnsi="Times New Roman" w:eastAsia="SimSun"/>
          <w:sz w:val="24"/>
          <w:szCs w:val="24"/>
        </w:rPr>
        <w:t xml:space="preserve">ffects information collection requirements approved under OMB Control Numbers </w:t>
      </w:r>
      <w:r>
        <w:rPr>
          <w:rFonts w:ascii="Times New Roman" w:hAnsi="Times New Roman" w:eastAsia="SimSun"/>
          <w:sz w:val="24"/>
          <w:szCs w:val="24"/>
        </w:rPr>
        <w:t>0648</w:t>
      </w:r>
      <w:r w:rsidRPr="00C65807">
        <w:rPr>
          <w:rFonts w:ascii="Times New Roman" w:hAnsi="Times New Roman" w:eastAsia="SimSun"/>
          <w:sz w:val="24"/>
          <w:szCs w:val="24"/>
        </w:rPr>
        <w:t xml:space="preserve">-0272 (Alaska Pacific Halibut and Sablefish Fisheries: </w:t>
      </w:r>
      <w:r>
        <w:rPr>
          <w:rFonts w:ascii="Times New Roman" w:hAnsi="Times New Roman" w:eastAsia="SimSun"/>
          <w:sz w:val="24"/>
          <w:szCs w:val="24"/>
        </w:rPr>
        <w:t>IFQ</w:t>
      </w:r>
      <w:r w:rsidRPr="00C65807">
        <w:rPr>
          <w:rFonts w:ascii="Times New Roman" w:hAnsi="Times New Roman" w:eastAsia="SimSun"/>
          <w:sz w:val="24"/>
          <w:szCs w:val="24"/>
        </w:rPr>
        <w:t>);</w:t>
      </w:r>
      <w:r w:rsidR="00131446">
        <w:rPr>
          <w:rFonts w:ascii="Times New Roman" w:hAnsi="Times New Roman" w:eastAsia="SimSun"/>
          <w:sz w:val="24"/>
          <w:szCs w:val="24"/>
        </w:rPr>
        <w:t xml:space="preserve"> </w:t>
      </w:r>
      <w:r w:rsidR="00727DF4">
        <w:rPr>
          <w:rFonts w:ascii="Times New Roman" w:hAnsi="Times New Roman" w:eastAsia="SimSun"/>
          <w:sz w:val="24"/>
          <w:szCs w:val="24"/>
        </w:rPr>
        <w:t>-0334 (</w:t>
      </w:r>
      <w:r w:rsidRPr="00727DF4" w:rsidR="00727DF4">
        <w:rPr>
          <w:rFonts w:ascii="Times New Roman" w:hAnsi="Times New Roman" w:eastAsia="SimSun"/>
          <w:sz w:val="24"/>
          <w:szCs w:val="24"/>
        </w:rPr>
        <w:t xml:space="preserve">Alaska </w:t>
      </w:r>
      <w:r w:rsidR="00592380">
        <w:rPr>
          <w:rFonts w:ascii="Times New Roman" w:hAnsi="Times New Roman" w:eastAsia="SimSun"/>
          <w:sz w:val="24"/>
          <w:szCs w:val="24"/>
        </w:rPr>
        <w:t>LLP</w:t>
      </w:r>
      <w:r w:rsidRPr="00727DF4" w:rsidR="00727DF4">
        <w:rPr>
          <w:rFonts w:ascii="Times New Roman" w:hAnsi="Times New Roman" w:eastAsia="SimSun"/>
          <w:sz w:val="24"/>
          <w:szCs w:val="24"/>
        </w:rPr>
        <w:t xml:space="preserve"> for Groundfish, Crab, and Scallops</w:t>
      </w:r>
      <w:r w:rsidR="00727DF4">
        <w:rPr>
          <w:rFonts w:ascii="Times New Roman" w:hAnsi="Times New Roman" w:eastAsia="SimSun"/>
          <w:sz w:val="24"/>
          <w:szCs w:val="24"/>
        </w:rPr>
        <w:t>);</w:t>
      </w:r>
      <w:r w:rsidRPr="00727DF4" w:rsidR="00727DF4">
        <w:rPr>
          <w:rFonts w:ascii="Times New Roman" w:hAnsi="Times New Roman" w:eastAsia="SimSun"/>
          <w:sz w:val="24"/>
          <w:szCs w:val="24"/>
        </w:rPr>
        <w:t xml:space="preserve"> </w:t>
      </w:r>
      <w:r w:rsidRPr="00C65807">
        <w:rPr>
          <w:rFonts w:ascii="Times New Roman" w:hAnsi="Times New Roman" w:eastAsia="SimSun"/>
          <w:sz w:val="24"/>
          <w:szCs w:val="24"/>
        </w:rPr>
        <w:t xml:space="preserve">-0353 (Alaska Region Gear Identification Requirements); </w:t>
      </w:r>
      <w:r w:rsidR="00716E05">
        <w:rPr>
          <w:rFonts w:ascii="Times New Roman" w:hAnsi="Times New Roman" w:eastAsia="SimSun"/>
          <w:sz w:val="24"/>
          <w:szCs w:val="24"/>
        </w:rPr>
        <w:t>-0514 (</w:t>
      </w:r>
      <w:r w:rsidRPr="00716E05" w:rsidR="00716E05">
        <w:rPr>
          <w:rFonts w:ascii="Times New Roman" w:hAnsi="Times New Roman" w:eastAsia="SimSun"/>
          <w:sz w:val="24"/>
          <w:szCs w:val="24"/>
        </w:rPr>
        <w:t>Alaska Region Crab Permits</w:t>
      </w:r>
      <w:r w:rsidR="00716E05">
        <w:rPr>
          <w:rFonts w:ascii="Times New Roman" w:hAnsi="Times New Roman" w:eastAsia="SimSun"/>
          <w:sz w:val="24"/>
          <w:szCs w:val="24"/>
        </w:rPr>
        <w:t>);</w:t>
      </w:r>
      <w:r w:rsidRPr="00716E05" w:rsidR="00716E05">
        <w:rPr>
          <w:rFonts w:ascii="Times New Roman" w:hAnsi="Times New Roman" w:eastAsia="SimSun"/>
          <w:sz w:val="24"/>
          <w:szCs w:val="24"/>
        </w:rPr>
        <w:t xml:space="preserve"> </w:t>
      </w:r>
      <w:r w:rsidRPr="00C65807">
        <w:rPr>
          <w:rFonts w:ascii="Times New Roman" w:hAnsi="Times New Roman" w:eastAsia="SimSun"/>
          <w:sz w:val="24"/>
          <w:szCs w:val="24"/>
        </w:rPr>
        <w:t>-0575 (Alaska Pacific Halibut Fisheries: Charter)</w:t>
      </w:r>
      <w:r>
        <w:rPr>
          <w:rFonts w:ascii="Times New Roman" w:hAnsi="Times New Roman" w:eastAsia="SimSun"/>
          <w:sz w:val="24"/>
          <w:szCs w:val="24"/>
        </w:rPr>
        <w:t>; and -0665 (</w:t>
      </w:r>
      <w:r w:rsidRPr="00C65807">
        <w:rPr>
          <w:rFonts w:ascii="Times New Roman" w:hAnsi="Times New Roman" w:eastAsia="SimSun"/>
          <w:sz w:val="24"/>
          <w:szCs w:val="24"/>
        </w:rPr>
        <w:t xml:space="preserve">Alaska </w:t>
      </w:r>
      <w:r>
        <w:rPr>
          <w:rFonts w:ascii="Times New Roman" w:hAnsi="Times New Roman" w:eastAsia="SimSun"/>
          <w:sz w:val="24"/>
          <w:szCs w:val="24"/>
        </w:rPr>
        <w:t>CQE</w:t>
      </w:r>
      <w:r w:rsidRPr="00C65807">
        <w:rPr>
          <w:rFonts w:ascii="Times New Roman" w:hAnsi="Times New Roman" w:eastAsia="SimSun"/>
          <w:sz w:val="24"/>
          <w:szCs w:val="24"/>
        </w:rPr>
        <w:t xml:space="preserve"> Program</w:t>
      </w:r>
      <w:r>
        <w:rPr>
          <w:rFonts w:ascii="Times New Roman" w:hAnsi="Times New Roman" w:eastAsia="SimSun"/>
          <w:sz w:val="24"/>
          <w:szCs w:val="24"/>
        </w:rPr>
        <w:t>)</w:t>
      </w:r>
      <w:r w:rsidRPr="00C65807">
        <w:rPr>
          <w:rFonts w:ascii="Times New Roman" w:hAnsi="Times New Roman" w:eastAsia="SimSun"/>
          <w:sz w:val="24"/>
          <w:szCs w:val="24"/>
        </w:rPr>
        <w:t xml:space="preserve">. Concurrent with this request to </w:t>
      </w:r>
      <w:r w:rsidRPr="005015AC">
        <w:rPr>
          <w:rFonts w:ascii="Times New Roman" w:hAnsi="Times New Roman" w:eastAsia="SimSun"/>
          <w:sz w:val="24"/>
          <w:szCs w:val="24"/>
        </w:rPr>
        <w:t>change 0648-</w:t>
      </w:r>
      <w:r w:rsidRPr="005015AC" w:rsidR="006C53CC">
        <w:rPr>
          <w:rFonts w:ascii="Times New Roman" w:hAnsi="Times New Roman" w:eastAsia="SimSun"/>
          <w:sz w:val="24"/>
          <w:szCs w:val="24"/>
        </w:rPr>
        <w:t>0</w:t>
      </w:r>
      <w:r w:rsidR="00716E05">
        <w:rPr>
          <w:rFonts w:ascii="Times New Roman" w:hAnsi="Times New Roman" w:eastAsia="SimSun"/>
          <w:sz w:val="24"/>
          <w:szCs w:val="24"/>
        </w:rPr>
        <w:t>272</w:t>
      </w:r>
      <w:r w:rsidRPr="005015AC">
        <w:rPr>
          <w:rFonts w:ascii="Times New Roman" w:hAnsi="Times New Roman" w:eastAsia="SimSun"/>
          <w:sz w:val="24"/>
          <w:szCs w:val="24"/>
        </w:rPr>
        <w:t xml:space="preserve">, NMFS is submitting separate requests for these collections.  </w:t>
      </w:r>
    </w:p>
    <w:p w:rsidR="00FF6BE0" w:rsidP="00CB31A8" w:rsidRDefault="00FF6BE0" w14:paraId="4DBC22A3" w14:textId="0C56D6BA">
      <w:pPr>
        <w:autoSpaceDE w:val="0"/>
        <w:autoSpaceDN w:val="0"/>
        <w:spacing w:after="0" w:line="240" w:lineRule="auto"/>
        <w:rPr>
          <w:rFonts w:ascii="Times New Roman" w:hAnsi="Times New Roman" w:eastAsia="SimSun"/>
          <w:sz w:val="24"/>
          <w:szCs w:val="24"/>
        </w:rPr>
      </w:pPr>
    </w:p>
    <w:p w:rsidRPr="005015AC" w:rsidR="00FF6BE0" w:rsidP="00CB31A8" w:rsidRDefault="003012CB" w14:paraId="1D800028" w14:textId="66CEF9B4">
      <w:pPr>
        <w:autoSpaceDE w:val="0"/>
        <w:autoSpaceDN w:val="0"/>
        <w:spacing w:after="0" w:line="240" w:lineRule="auto"/>
        <w:rPr>
          <w:rFonts w:ascii="Times New Roman" w:hAnsi="Times New Roman" w:eastAsia="SimSun"/>
          <w:sz w:val="24"/>
          <w:szCs w:val="24"/>
        </w:rPr>
      </w:pPr>
      <w:r w:rsidRPr="00311727">
        <w:rPr>
          <w:rFonts w:ascii="Times New Roman" w:hAnsi="Times New Roman" w:eastAsia="SimSun"/>
          <w:sz w:val="24"/>
          <w:szCs w:val="24"/>
        </w:rPr>
        <w:t>This information collection contains the requirements for the Pacific Halibut and Sablefish Individual Fishing Quota Program (IFQ Program).</w:t>
      </w:r>
      <w:r w:rsidRPr="00311727" w:rsidR="00311727">
        <w:t xml:space="preserve"> </w:t>
      </w:r>
      <w:r w:rsidRPr="00311727" w:rsidR="00311727">
        <w:rPr>
          <w:rFonts w:ascii="Times New Roman" w:hAnsi="Times New Roman" w:eastAsia="SimSun"/>
          <w:sz w:val="24"/>
          <w:szCs w:val="24"/>
        </w:rPr>
        <w:t xml:space="preserve">This information collection is necessary to manage the IFQ Program and is required to manage commercial halibut and sablefish fishing under the </w:t>
      </w:r>
      <w:hyperlink w:history="1" r:id="rId8">
        <w:r w:rsidRPr="00311727" w:rsidR="00311727">
          <w:rPr>
            <w:rFonts w:ascii="Times New Roman" w:hAnsi="Times New Roman"/>
            <w:color w:val="0000FF"/>
            <w:sz w:val="24"/>
            <w:szCs w:val="24"/>
            <w:u w:val="single"/>
          </w:rPr>
          <w:t>Magnuson-Stevens Fishery Conservation and Management Act</w:t>
        </w:r>
      </w:hyperlink>
      <w:r w:rsidRPr="00311727" w:rsidR="00311727">
        <w:rPr>
          <w:rFonts w:ascii="Times New Roman" w:hAnsi="Times New Roman"/>
          <w:sz w:val="24"/>
          <w:szCs w:val="24"/>
        </w:rPr>
        <w:t xml:space="preserve"> (16 U.S.C. 1801 </w:t>
      </w:r>
      <w:r w:rsidRPr="00311727" w:rsidR="00311727">
        <w:rPr>
          <w:rFonts w:ascii="Times New Roman" w:hAnsi="Times New Roman"/>
          <w:i/>
          <w:sz w:val="24"/>
          <w:szCs w:val="24"/>
        </w:rPr>
        <w:t>et seq</w:t>
      </w:r>
      <w:r w:rsidRPr="00311727" w:rsidR="00311727">
        <w:rPr>
          <w:rFonts w:ascii="Times New Roman" w:hAnsi="Times New Roman"/>
          <w:sz w:val="24"/>
          <w:szCs w:val="24"/>
        </w:rPr>
        <w:t>.)</w:t>
      </w:r>
      <w:r w:rsidRPr="00311727" w:rsidR="00311727">
        <w:rPr>
          <w:rFonts w:ascii="Times New Roman" w:hAnsi="Times New Roman" w:eastAsia="SimSun"/>
          <w:sz w:val="24"/>
          <w:szCs w:val="24"/>
        </w:rPr>
        <w:t xml:space="preserve">, the </w:t>
      </w:r>
      <w:hyperlink w:history="1" r:id="rId9">
        <w:r w:rsidRPr="00311727" w:rsidR="00311727">
          <w:rPr>
            <w:rFonts w:ascii="Times New Roman" w:hAnsi="Times New Roman"/>
            <w:color w:val="0000FF"/>
            <w:sz w:val="24"/>
            <w:szCs w:val="24"/>
            <w:u w:val="single"/>
          </w:rPr>
          <w:t>Northern Pacific Halibut Act of 1982, 16 U.S.C. 773c</w:t>
        </w:r>
      </w:hyperlink>
      <w:r w:rsidRPr="00311727" w:rsidR="00311727">
        <w:rPr>
          <w:rFonts w:ascii="Times New Roman" w:hAnsi="Times New Roman" w:eastAsia="SimSun"/>
          <w:sz w:val="24"/>
          <w:szCs w:val="24"/>
        </w:rPr>
        <w:t xml:space="preserve">, and under regulations at 50 CFR parts </w:t>
      </w:r>
      <w:hyperlink w:history="1" r:id="rId10">
        <w:r w:rsidRPr="00311727" w:rsidR="00311727">
          <w:rPr>
            <w:rStyle w:val="Hyperlink"/>
            <w:rFonts w:ascii="Times New Roman" w:hAnsi="Times New Roman"/>
            <w:sz w:val="24"/>
            <w:szCs w:val="24"/>
          </w:rPr>
          <w:t>300</w:t>
        </w:r>
      </w:hyperlink>
      <w:r w:rsidRPr="00311727" w:rsidR="00311727">
        <w:rPr>
          <w:rFonts w:ascii="Times New Roman" w:hAnsi="Times New Roman"/>
          <w:color w:val="0000FF"/>
          <w:sz w:val="24"/>
          <w:szCs w:val="24"/>
        </w:rPr>
        <w:t xml:space="preserve"> </w:t>
      </w:r>
      <w:r w:rsidRPr="00311727" w:rsidR="00311727">
        <w:rPr>
          <w:rFonts w:ascii="Times New Roman" w:hAnsi="Times New Roman" w:eastAsia="SimSun"/>
          <w:sz w:val="24"/>
          <w:szCs w:val="24"/>
        </w:rPr>
        <w:t xml:space="preserve">and </w:t>
      </w:r>
      <w:hyperlink w:history="1" r:id="rId11">
        <w:r w:rsidRPr="00311727" w:rsidR="00311727">
          <w:rPr>
            <w:rStyle w:val="Hyperlink"/>
            <w:rFonts w:ascii="Times New Roman" w:hAnsi="Times New Roman" w:eastAsia="SimSun"/>
            <w:sz w:val="24"/>
            <w:szCs w:val="24"/>
          </w:rPr>
          <w:t>679</w:t>
        </w:r>
      </w:hyperlink>
      <w:r w:rsidRPr="00311727" w:rsidR="00311727">
        <w:rPr>
          <w:rFonts w:ascii="Times New Roman" w:hAnsi="Times New Roman" w:eastAsia="SimSun"/>
          <w:sz w:val="24"/>
          <w:szCs w:val="24"/>
        </w:rPr>
        <w:t xml:space="preserve">. This information is used to identify and authorize participants in the halibut and sablefish fisheries, to track and transfer quota share, to limit transfers to authorized </w:t>
      </w:r>
      <w:proofErr w:type="gramStart"/>
      <w:r w:rsidRPr="00311727" w:rsidR="00311727">
        <w:rPr>
          <w:rFonts w:ascii="Times New Roman" w:hAnsi="Times New Roman" w:eastAsia="SimSun"/>
          <w:sz w:val="24"/>
          <w:szCs w:val="24"/>
        </w:rPr>
        <w:t>participants</w:t>
      </w:r>
      <w:proofErr w:type="gramEnd"/>
      <w:r w:rsidRPr="00311727" w:rsidR="00311727">
        <w:rPr>
          <w:rFonts w:ascii="Times New Roman" w:hAnsi="Times New Roman" w:eastAsia="SimSun"/>
          <w:sz w:val="24"/>
          <w:szCs w:val="24"/>
        </w:rPr>
        <w:t>, and to monitor quota share balances and harvest in these fisheries.</w:t>
      </w:r>
    </w:p>
    <w:p w:rsidR="00C3301E" w:rsidP="000458DE" w:rsidRDefault="00C3301E" w14:paraId="64A6B8F1" w14:textId="59CE0685">
      <w:pPr>
        <w:spacing w:after="0" w:line="240" w:lineRule="auto"/>
        <w:rPr>
          <w:rFonts w:ascii="Times New Roman" w:hAnsi="Times New Roman"/>
          <w:sz w:val="24"/>
          <w:szCs w:val="24"/>
        </w:rPr>
      </w:pPr>
    </w:p>
    <w:p w:rsidRPr="00F73680" w:rsidR="003D76A4" w:rsidP="002439B3" w:rsidRDefault="000A5749" w14:paraId="64AAED6C" w14:textId="4D385BB8">
      <w:pPr>
        <w:spacing w:after="0" w:line="240" w:lineRule="auto"/>
        <w:rPr>
          <w:rFonts w:ascii="Times New Roman" w:hAnsi="Times New Roman"/>
          <w:b/>
          <w:sz w:val="24"/>
          <w:szCs w:val="24"/>
        </w:rPr>
      </w:pPr>
      <w:r>
        <w:rPr>
          <w:rFonts w:ascii="Times New Roman" w:hAnsi="Times New Roman"/>
          <w:b/>
          <w:sz w:val="24"/>
          <w:szCs w:val="24"/>
        </w:rPr>
        <w:t>Reason for Changing this Collection</w:t>
      </w:r>
    </w:p>
    <w:p w:rsidR="00DE3094" w:rsidP="00CB31A8" w:rsidRDefault="00DE3094" w14:paraId="45432EE7" w14:textId="77777777">
      <w:pPr>
        <w:autoSpaceDE w:val="0"/>
        <w:autoSpaceDN w:val="0"/>
        <w:spacing w:after="0" w:line="240" w:lineRule="auto"/>
        <w:rPr>
          <w:rFonts w:ascii="Times New Roman" w:hAnsi="Times New Roman" w:eastAsia="Times New Roman" w:cs="Arial"/>
          <w:sz w:val="24"/>
          <w:szCs w:val="24"/>
        </w:rPr>
      </w:pPr>
      <w:r w:rsidRPr="00DE3094">
        <w:rPr>
          <w:rFonts w:ascii="Times New Roman" w:hAnsi="Times New Roman" w:eastAsia="Times New Roman" w:cs="Arial"/>
          <w:sz w:val="24"/>
          <w:szCs w:val="24"/>
        </w:rPr>
        <w:t xml:space="preserve">In April 2021, the Council requested NMFS propose regulations to remove the requirement to obtain a notary certification on IFQ Program transfer applications, as well as to remove the requirements for sablefish IFQ fishermen using longline pot gear in the GOA to annually register their vessel to participate in this fishery and obtain and mark their gear with pot gear tags. This rule (RIN 0648-BK76) would modify recordkeeping and reporting requirements to remove pot gear tag requirements in the sablefish IFQ fishery in the GOA and remove requirements to obtain and submit a notary certification on application forms submitted under the halibut and sablefish </w:t>
      </w:r>
      <w:r w:rsidRPr="00DE3094">
        <w:rPr>
          <w:rFonts w:ascii="Times New Roman" w:hAnsi="Times New Roman" w:eastAsia="Times New Roman" w:cs="Arial"/>
          <w:sz w:val="24"/>
          <w:szCs w:val="24"/>
        </w:rPr>
        <w:lastRenderedPageBreak/>
        <w:t xml:space="preserve">IFQ Program, Charter Halibut Limited Access Program, CQE Program, LLP, and the Crab Rationalization Program. </w:t>
      </w:r>
    </w:p>
    <w:p w:rsidR="00DE3094" w:rsidP="00CB31A8" w:rsidRDefault="00DE3094" w14:paraId="7C2DAE58" w14:textId="77777777">
      <w:pPr>
        <w:autoSpaceDE w:val="0"/>
        <w:autoSpaceDN w:val="0"/>
        <w:spacing w:after="0" w:line="240" w:lineRule="auto"/>
        <w:rPr>
          <w:rFonts w:ascii="Times New Roman" w:hAnsi="Times New Roman" w:eastAsia="Times New Roman" w:cs="Arial"/>
          <w:sz w:val="24"/>
          <w:szCs w:val="24"/>
        </w:rPr>
      </w:pPr>
    </w:p>
    <w:p w:rsidR="00DE3094" w:rsidP="00CB31A8" w:rsidRDefault="00DE3094" w14:paraId="57BB1670" w14:textId="1C04B8AE">
      <w:pPr>
        <w:autoSpaceDE w:val="0"/>
        <w:autoSpaceDN w:val="0"/>
        <w:spacing w:after="0" w:line="240" w:lineRule="auto"/>
        <w:rPr>
          <w:rFonts w:ascii="Times New Roman" w:hAnsi="Times New Roman" w:eastAsia="Times New Roman" w:cs="Arial"/>
          <w:sz w:val="24"/>
          <w:szCs w:val="24"/>
        </w:rPr>
      </w:pPr>
      <w:r w:rsidRPr="00DE3094">
        <w:rPr>
          <w:rFonts w:ascii="Times New Roman" w:hAnsi="Times New Roman" w:eastAsia="Times New Roman" w:cs="Arial"/>
          <w:sz w:val="24"/>
          <w:szCs w:val="24"/>
        </w:rPr>
        <w:t>The primary purpose for requiring a notary certification was to prevent fraud and forgery by requiring the personal presence of the signer and satisfactorily identifying the signer. The Council determined, and NMFS agrees, that this requirement is unnecessary and administratively burdensome on the fleet and NMFS alike.</w:t>
      </w:r>
    </w:p>
    <w:p w:rsidR="00CB31A8" w:rsidP="00CB31A8" w:rsidRDefault="00CB31A8" w14:paraId="7A54BA44" w14:textId="77777777">
      <w:pPr>
        <w:autoSpaceDE w:val="0"/>
        <w:autoSpaceDN w:val="0"/>
        <w:spacing w:after="0" w:line="240" w:lineRule="auto"/>
        <w:rPr>
          <w:rFonts w:ascii="Times New Roman" w:hAnsi="Times New Roman" w:eastAsia="SimSun"/>
          <w:sz w:val="24"/>
          <w:szCs w:val="24"/>
        </w:rPr>
      </w:pPr>
    </w:p>
    <w:p w:rsidRPr="00DE3094" w:rsidR="00DE3094" w:rsidP="00DE3094" w:rsidRDefault="00DE3094" w14:paraId="7918D658" w14:textId="77777777">
      <w:pPr>
        <w:autoSpaceDE w:val="0"/>
        <w:autoSpaceDN w:val="0"/>
        <w:spacing w:after="0" w:line="240" w:lineRule="auto"/>
        <w:rPr>
          <w:rFonts w:ascii="Times New Roman" w:hAnsi="Times New Roman" w:eastAsia="SimSun"/>
          <w:sz w:val="24"/>
          <w:szCs w:val="24"/>
        </w:rPr>
      </w:pPr>
      <w:r w:rsidRPr="00DE3094">
        <w:rPr>
          <w:rFonts w:ascii="Times New Roman" w:hAnsi="Times New Roman" w:eastAsia="SimSun"/>
          <w:sz w:val="24"/>
          <w:szCs w:val="24"/>
        </w:rPr>
        <w:t xml:space="preserve">All application forms submitted to NMFS would continue to include a certification attesting to agreement with a statement that the information submitted on the application </w:t>
      </w:r>
      <w:r w:rsidRPr="00415416">
        <w:rPr>
          <w:rFonts w:ascii="Times New Roman" w:hAnsi="Times New Roman" w:eastAsia="SimSun"/>
          <w:sz w:val="24"/>
          <w:szCs w:val="24"/>
        </w:rPr>
        <w:t>form is true, correct, and complete. This certification is sufficient to deter fraud and forgery, and to</w:t>
      </w:r>
      <w:r w:rsidRPr="00DE3094">
        <w:rPr>
          <w:rFonts w:ascii="Times New Roman" w:hAnsi="Times New Roman" w:eastAsia="SimSun"/>
          <w:sz w:val="24"/>
          <w:szCs w:val="24"/>
        </w:rPr>
        <w:t xml:space="preserve"> adequately enforce fraud and forgery should it occur. In addition, NMFS has identified that the requirement for notary certification is not consistently applied on all applications forms used by NMFS, and fraud and forgery have not been identified as significant concerns. This rule would remove a requirement that is not necessary to enforce or deter fraud and forgery and is consistent with other application forms that NMFS administers.</w:t>
      </w:r>
    </w:p>
    <w:p w:rsidRPr="00DE3094" w:rsidR="00DE3094" w:rsidP="00DE3094" w:rsidRDefault="00DE3094" w14:paraId="6CE9CC12" w14:textId="77777777">
      <w:pPr>
        <w:autoSpaceDE w:val="0"/>
        <w:autoSpaceDN w:val="0"/>
        <w:spacing w:after="0" w:line="240" w:lineRule="auto"/>
        <w:rPr>
          <w:rFonts w:ascii="Times New Roman" w:hAnsi="Times New Roman" w:eastAsia="SimSun"/>
          <w:sz w:val="24"/>
          <w:szCs w:val="24"/>
        </w:rPr>
      </w:pPr>
    </w:p>
    <w:p w:rsidR="00BD6521" w:rsidP="00B44CA8" w:rsidRDefault="00DE3094" w14:paraId="78C53AFF" w14:textId="266DDE47">
      <w:pPr>
        <w:autoSpaceDE w:val="0"/>
        <w:autoSpaceDN w:val="0"/>
        <w:spacing w:after="0" w:line="240" w:lineRule="auto"/>
        <w:rPr>
          <w:rFonts w:ascii="Times New Roman" w:hAnsi="Times New Roman" w:eastAsia="SimSun"/>
          <w:sz w:val="24"/>
          <w:szCs w:val="24"/>
        </w:rPr>
      </w:pPr>
      <w:r w:rsidRPr="00DE3094">
        <w:rPr>
          <w:rFonts w:ascii="Times New Roman" w:hAnsi="Times New Roman" w:eastAsia="SimSun"/>
          <w:sz w:val="24"/>
          <w:szCs w:val="24"/>
        </w:rPr>
        <w:t xml:space="preserve">Removing the notary requirement would streamline the application process, reduce the cost of submitting application forms to NMFS, and reduce the handling time necessary for NMFS to process and approve application forms. Without the notary requirement, there would be additional flexibility for applicants to sign and then electronically submit their applications to NMFS. </w:t>
      </w:r>
      <w:r w:rsidRPr="00BD6521" w:rsidR="00BD6521">
        <w:rPr>
          <w:rFonts w:ascii="Times New Roman" w:hAnsi="Times New Roman" w:eastAsia="SimSun"/>
          <w:sz w:val="24"/>
          <w:szCs w:val="24"/>
        </w:rPr>
        <w:t xml:space="preserve"> </w:t>
      </w:r>
    </w:p>
    <w:p w:rsidR="00CB3F01" w:rsidP="00B44CA8" w:rsidRDefault="00CB3F01" w14:paraId="6911BBFE" w14:textId="77777777">
      <w:pPr>
        <w:autoSpaceDE w:val="0"/>
        <w:autoSpaceDN w:val="0"/>
        <w:spacing w:after="0" w:line="240" w:lineRule="auto"/>
        <w:rPr>
          <w:rFonts w:ascii="Times New Roman" w:hAnsi="Times New Roman" w:eastAsia="SimSun"/>
          <w:b/>
          <w:sz w:val="24"/>
          <w:szCs w:val="24"/>
        </w:rPr>
      </w:pPr>
    </w:p>
    <w:p w:rsidRPr="001A0F90" w:rsidR="00CB3F01" w:rsidP="00B44CA8" w:rsidRDefault="00CB3F01" w14:paraId="1B51B110" w14:textId="5083BDB5">
      <w:pPr>
        <w:autoSpaceDE w:val="0"/>
        <w:autoSpaceDN w:val="0"/>
        <w:spacing w:after="0" w:line="240" w:lineRule="auto"/>
        <w:rPr>
          <w:rFonts w:ascii="Times New Roman" w:hAnsi="Times New Roman" w:eastAsia="SimSun"/>
          <w:b/>
          <w:sz w:val="24"/>
          <w:szCs w:val="24"/>
        </w:rPr>
      </w:pPr>
      <w:r w:rsidRPr="00CB3F01">
        <w:rPr>
          <w:rFonts w:ascii="Times New Roman" w:hAnsi="Times New Roman" w:eastAsia="SimSun"/>
          <w:b/>
          <w:sz w:val="24"/>
          <w:szCs w:val="24"/>
        </w:rPr>
        <w:t>Changes to the Applications in this Collection</w:t>
      </w:r>
      <w:r w:rsidRPr="00B04690">
        <w:rPr>
          <w:rFonts w:ascii="Times New Roman" w:hAnsi="Times New Roman" w:eastAsia="SimSun"/>
          <w:b/>
          <w:sz w:val="24"/>
          <w:szCs w:val="24"/>
        </w:rPr>
        <w:t xml:space="preserve"> </w:t>
      </w:r>
    </w:p>
    <w:p w:rsidR="00CB3F01" w:rsidP="00B44CA8" w:rsidRDefault="00CB3F01" w14:paraId="1984D529" w14:textId="403C8B2D">
      <w:pPr>
        <w:spacing w:after="0" w:line="240" w:lineRule="auto"/>
        <w:rPr>
          <w:rFonts w:ascii="Times New Roman" w:hAnsi="Times New Roman" w:eastAsia="SimSun"/>
          <w:sz w:val="24"/>
          <w:szCs w:val="24"/>
        </w:rPr>
      </w:pPr>
      <w:r>
        <w:rPr>
          <w:rFonts w:ascii="Times New Roman" w:hAnsi="Times New Roman" w:eastAsia="SimSun"/>
          <w:sz w:val="24"/>
          <w:szCs w:val="24"/>
        </w:rPr>
        <w:t xml:space="preserve">The following table </w:t>
      </w:r>
      <w:r w:rsidR="00642CF7">
        <w:rPr>
          <w:rFonts w:ascii="Times New Roman" w:hAnsi="Times New Roman" w:eastAsia="SimSun"/>
          <w:sz w:val="24"/>
          <w:szCs w:val="24"/>
        </w:rPr>
        <w:t xml:space="preserve">shows the forms and regulations that will be changed by this rule. </w:t>
      </w:r>
    </w:p>
    <w:p w:rsidR="00B44CA8" w:rsidP="00B44CA8" w:rsidRDefault="00B44CA8" w14:paraId="6DB42665" w14:textId="77777777">
      <w:pPr>
        <w:spacing w:after="0" w:line="240" w:lineRule="auto"/>
        <w:rPr>
          <w:rFonts w:ascii="Times New Roman" w:hAnsi="Times New Roman" w:eastAsia="SimSun"/>
          <w:sz w:val="24"/>
          <w:szCs w:val="24"/>
        </w:rPr>
      </w:pPr>
    </w:p>
    <w:tbl>
      <w:tblPr>
        <w:tblStyle w:val="Table1"/>
        <w:tblW w:w="9360" w:type="dxa"/>
        <w:tblInd w:w="-5" w:type="dxa"/>
        <w:tblLook w:val="04A0" w:firstRow="1" w:lastRow="0" w:firstColumn="1" w:lastColumn="0" w:noHBand="0" w:noVBand="1"/>
      </w:tblPr>
      <w:tblGrid>
        <w:gridCol w:w="4740"/>
        <w:gridCol w:w="2100"/>
        <w:gridCol w:w="2520"/>
      </w:tblGrid>
      <w:tr w:rsidRPr="00CB3F01" w:rsidR="00CB3F01" w:rsidTr="00642CF7" w14:paraId="57B2F3E7" w14:textId="77777777">
        <w:trPr>
          <w:trHeight w:val="528"/>
        </w:trPr>
        <w:tc>
          <w:tcPr>
            <w:tcW w:w="4740" w:type="dxa"/>
            <w:shd w:val="clear" w:color="auto" w:fill="C6D9F1" w:themeFill="text2" w:themeFillTint="33"/>
            <w:vAlign w:val="center"/>
          </w:tcPr>
          <w:p w:rsidRPr="00642CF7" w:rsidR="00CB3F01" w:rsidP="00B44CA8" w:rsidRDefault="00CB3F01" w14:paraId="7FF90FB3" w14:textId="17AF983C">
            <w:pPr>
              <w:spacing w:after="0" w:line="240" w:lineRule="auto"/>
              <w:rPr>
                <w:rFonts w:eastAsia="Times New Roman" w:asciiTheme="minorHAnsi" w:hAnsiTheme="minorHAnsi" w:cstheme="minorHAnsi"/>
                <w:b/>
                <w:szCs w:val="18"/>
              </w:rPr>
            </w:pPr>
            <w:r w:rsidRPr="00642CF7">
              <w:rPr>
                <w:rFonts w:eastAsia="Times New Roman" w:asciiTheme="minorHAnsi" w:hAnsiTheme="minorHAnsi" w:cstheme="minorHAnsi"/>
                <w:b/>
                <w:szCs w:val="18"/>
              </w:rPr>
              <w:t>Form</w:t>
            </w:r>
          </w:p>
        </w:tc>
        <w:tc>
          <w:tcPr>
            <w:tcW w:w="2100" w:type="dxa"/>
            <w:shd w:val="clear" w:color="auto" w:fill="C6D9F1" w:themeFill="text2" w:themeFillTint="33"/>
            <w:vAlign w:val="center"/>
          </w:tcPr>
          <w:p w:rsidRPr="00642CF7" w:rsidR="00CB3F01" w:rsidP="00B44CA8" w:rsidRDefault="00CB3F01" w14:paraId="10DC35E6" w14:textId="00833BEB">
            <w:pPr>
              <w:spacing w:after="0" w:line="240" w:lineRule="auto"/>
              <w:rPr>
                <w:rFonts w:eastAsia="Times New Roman" w:asciiTheme="minorHAnsi" w:hAnsiTheme="minorHAnsi" w:cstheme="minorHAnsi"/>
                <w:b/>
                <w:szCs w:val="18"/>
              </w:rPr>
            </w:pPr>
            <w:r w:rsidRPr="00642CF7">
              <w:rPr>
                <w:rFonts w:eastAsia="Times New Roman" w:asciiTheme="minorHAnsi" w:hAnsiTheme="minorHAnsi" w:cstheme="minorHAnsi"/>
                <w:b/>
                <w:szCs w:val="18"/>
              </w:rPr>
              <w:t>Notary Certification on Form?</w:t>
            </w:r>
          </w:p>
        </w:tc>
        <w:tc>
          <w:tcPr>
            <w:tcW w:w="2520" w:type="dxa"/>
            <w:shd w:val="clear" w:color="auto" w:fill="C6D9F1" w:themeFill="text2" w:themeFillTint="33"/>
            <w:vAlign w:val="center"/>
          </w:tcPr>
          <w:p w:rsidRPr="00642CF7" w:rsidR="00CB3F01" w:rsidP="00B44CA8" w:rsidRDefault="00642CF7" w14:paraId="6B0C735F" w14:textId="3479F657">
            <w:pPr>
              <w:spacing w:after="0" w:line="240" w:lineRule="auto"/>
              <w:rPr>
                <w:rFonts w:eastAsia="Times New Roman" w:asciiTheme="minorHAnsi" w:hAnsiTheme="minorHAnsi" w:cstheme="minorHAnsi"/>
                <w:b/>
                <w:szCs w:val="18"/>
              </w:rPr>
            </w:pPr>
            <w:r>
              <w:rPr>
                <w:rFonts w:eastAsia="Times New Roman" w:asciiTheme="minorHAnsi" w:hAnsiTheme="minorHAnsi" w:cstheme="minorHAnsi"/>
                <w:b/>
                <w:szCs w:val="18"/>
              </w:rPr>
              <w:t xml:space="preserve">Notary Certification </w:t>
            </w:r>
            <w:r w:rsidRPr="00642CF7" w:rsidR="00CB3F01">
              <w:rPr>
                <w:rFonts w:eastAsia="Times New Roman" w:asciiTheme="minorHAnsi" w:hAnsiTheme="minorHAnsi" w:cstheme="minorHAnsi"/>
                <w:b/>
                <w:szCs w:val="18"/>
              </w:rPr>
              <w:t>Required in Regulation at 50 CFR—</w:t>
            </w:r>
          </w:p>
        </w:tc>
      </w:tr>
      <w:tr w:rsidRPr="00CB3F01" w:rsidR="003E6D28" w:rsidTr="006D18FF" w14:paraId="236C12B7" w14:textId="77777777">
        <w:trPr>
          <w:trHeight w:val="370"/>
        </w:trPr>
        <w:tc>
          <w:tcPr>
            <w:tcW w:w="4740" w:type="dxa"/>
            <w:vAlign w:val="center"/>
          </w:tcPr>
          <w:p w:rsidRPr="00CD186B" w:rsidR="003E6D28" w:rsidP="00CD186B" w:rsidRDefault="00CD186B" w14:paraId="334CA68F" w14:textId="44E8DE5C">
            <w:pPr>
              <w:spacing w:after="0" w:line="240" w:lineRule="auto"/>
              <w:rPr>
                <w:rFonts w:eastAsia="Times New Roman" w:asciiTheme="minorHAnsi" w:hAnsiTheme="minorHAnsi" w:cstheme="minorHAnsi"/>
                <w:szCs w:val="18"/>
              </w:rPr>
            </w:pPr>
            <w:r w:rsidRPr="00CD186B">
              <w:rPr>
                <w:rFonts w:asciiTheme="minorHAnsi" w:hAnsiTheme="minorHAnsi" w:cstheme="minorHAnsi"/>
              </w:rPr>
              <w:t xml:space="preserve">Application for </w:t>
            </w:r>
            <w:r w:rsidRPr="00CD186B">
              <w:rPr>
                <w:rFonts w:asciiTheme="minorHAnsi" w:hAnsiTheme="minorHAnsi" w:cstheme="minorHAnsi"/>
                <w:szCs w:val="22"/>
              </w:rPr>
              <w:t>Eligibility to R</w:t>
            </w:r>
            <w:r w:rsidRPr="00CD186B" w:rsidR="003E6D28">
              <w:rPr>
                <w:rFonts w:asciiTheme="minorHAnsi" w:hAnsiTheme="minorHAnsi" w:cstheme="minorHAnsi"/>
                <w:szCs w:val="22"/>
              </w:rPr>
              <w:t>eceive QS</w:t>
            </w:r>
            <w:r w:rsidRPr="00CD186B">
              <w:rPr>
                <w:rStyle w:val="Hyperlink"/>
                <w:rFonts w:asciiTheme="minorHAnsi" w:hAnsiTheme="minorHAnsi" w:cstheme="minorHAnsi"/>
                <w:color w:val="auto"/>
                <w:szCs w:val="22"/>
                <w:u w:val="none"/>
              </w:rPr>
              <w:t>/IFQ</w:t>
            </w:r>
          </w:p>
        </w:tc>
        <w:tc>
          <w:tcPr>
            <w:tcW w:w="2100" w:type="dxa"/>
            <w:vAlign w:val="center"/>
          </w:tcPr>
          <w:p w:rsidRPr="00CD186B" w:rsidR="003E6D28" w:rsidP="003E6D28" w:rsidRDefault="00CD186B" w14:paraId="1E9E7A38" w14:textId="527EB81C">
            <w:pPr>
              <w:spacing w:after="0" w:line="240" w:lineRule="auto"/>
              <w:rPr>
                <w:rFonts w:eastAsia="Times New Roman" w:asciiTheme="minorHAnsi" w:hAnsiTheme="minorHAnsi" w:cstheme="minorHAnsi"/>
                <w:szCs w:val="18"/>
              </w:rPr>
            </w:pPr>
            <w:r>
              <w:rPr>
                <w:rFonts w:asciiTheme="minorHAnsi" w:hAnsiTheme="minorHAnsi" w:cstheme="minorHAnsi"/>
                <w:szCs w:val="22"/>
              </w:rPr>
              <w:t>Y</w:t>
            </w:r>
            <w:r w:rsidRPr="00CD186B" w:rsidR="003E6D28">
              <w:rPr>
                <w:rFonts w:asciiTheme="minorHAnsi" w:hAnsiTheme="minorHAnsi" w:cstheme="minorHAnsi"/>
                <w:szCs w:val="22"/>
              </w:rPr>
              <w:t>es</w:t>
            </w:r>
          </w:p>
        </w:tc>
        <w:tc>
          <w:tcPr>
            <w:tcW w:w="2520" w:type="dxa"/>
            <w:vAlign w:val="center"/>
          </w:tcPr>
          <w:p w:rsidRPr="00CD186B" w:rsidR="003E6D28" w:rsidP="003E6D28" w:rsidRDefault="00CD186B" w14:paraId="40C367A6" w14:textId="5204CED6">
            <w:pPr>
              <w:spacing w:after="0" w:line="240" w:lineRule="auto"/>
              <w:rPr>
                <w:rFonts w:eastAsia="Times New Roman" w:asciiTheme="minorHAnsi" w:hAnsiTheme="minorHAnsi" w:cstheme="minorHAnsi"/>
                <w:szCs w:val="18"/>
              </w:rPr>
            </w:pPr>
            <w:r>
              <w:rPr>
                <w:rFonts w:asciiTheme="minorHAnsi" w:hAnsiTheme="minorHAnsi" w:cstheme="minorHAnsi"/>
                <w:szCs w:val="22"/>
              </w:rPr>
              <w:t>N</w:t>
            </w:r>
            <w:r w:rsidRPr="00CD186B" w:rsidR="003E6D28">
              <w:rPr>
                <w:rFonts w:asciiTheme="minorHAnsi" w:hAnsiTheme="minorHAnsi" w:cstheme="minorHAnsi"/>
                <w:szCs w:val="22"/>
              </w:rPr>
              <w:t>one</w:t>
            </w:r>
          </w:p>
        </w:tc>
      </w:tr>
      <w:tr w:rsidRPr="00CB3F01" w:rsidR="003E6D28" w:rsidTr="006D18FF" w14:paraId="25A8F904" w14:textId="77777777">
        <w:trPr>
          <w:trHeight w:val="390"/>
        </w:trPr>
        <w:tc>
          <w:tcPr>
            <w:tcW w:w="4740" w:type="dxa"/>
            <w:vAlign w:val="center"/>
          </w:tcPr>
          <w:p w:rsidRPr="00CD186B" w:rsidR="003E6D28" w:rsidP="00CD186B" w:rsidRDefault="00CD186B" w14:paraId="751B46D2" w14:textId="1B8F04E6">
            <w:pPr>
              <w:spacing w:after="0" w:line="240" w:lineRule="auto"/>
              <w:rPr>
                <w:rFonts w:eastAsia="Times New Roman" w:asciiTheme="minorHAnsi" w:hAnsiTheme="minorHAnsi" w:cstheme="minorHAnsi"/>
                <w:szCs w:val="18"/>
              </w:rPr>
            </w:pPr>
            <w:r>
              <w:rPr>
                <w:rFonts w:asciiTheme="minorHAnsi" w:hAnsiTheme="minorHAnsi" w:cstheme="minorHAnsi"/>
              </w:rPr>
              <w:t>Application for Transfer of QS</w:t>
            </w:r>
          </w:p>
        </w:tc>
        <w:tc>
          <w:tcPr>
            <w:tcW w:w="2100" w:type="dxa"/>
            <w:vAlign w:val="center"/>
          </w:tcPr>
          <w:p w:rsidRPr="00CD186B" w:rsidR="003E6D28" w:rsidP="003E6D28" w:rsidRDefault="00CD186B" w14:paraId="3278CB72" w14:textId="02B1CC10">
            <w:pPr>
              <w:spacing w:after="0" w:line="240" w:lineRule="auto"/>
              <w:rPr>
                <w:rFonts w:eastAsia="Times New Roman" w:asciiTheme="minorHAnsi" w:hAnsiTheme="minorHAnsi" w:cstheme="minorHAnsi"/>
                <w:szCs w:val="18"/>
              </w:rPr>
            </w:pPr>
            <w:r>
              <w:rPr>
                <w:rFonts w:asciiTheme="minorHAnsi" w:hAnsiTheme="minorHAnsi" w:cstheme="minorHAnsi"/>
                <w:szCs w:val="22"/>
              </w:rPr>
              <w:t>Y</w:t>
            </w:r>
            <w:r w:rsidRPr="00CD186B" w:rsidR="003E6D28">
              <w:rPr>
                <w:rFonts w:asciiTheme="minorHAnsi" w:hAnsiTheme="minorHAnsi" w:cstheme="minorHAnsi"/>
                <w:szCs w:val="22"/>
              </w:rPr>
              <w:t>es</w:t>
            </w:r>
          </w:p>
        </w:tc>
        <w:tc>
          <w:tcPr>
            <w:tcW w:w="2520" w:type="dxa"/>
            <w:vAlign w:val="center"/>
          </w:tcPr>
          <w:p w:rsidRPr="00CD186B" w:rsidR="003E6D28" w:rsidP="003E6D28" w:rsidRDefault="00925937" w14:paraId="5F219048" w14:textId="12BA7F17">
            <w:pPr>
              <w:spacing w:after="0" w:line="240" w:lineRule="auto"/>
              <w:rPr>
                <w:rFonts w:eastAsia="Times New Roman" w:asciiTheme="minorHAnsi" w:hAnsiTheme="minorHAnsi" w:cstheme="minorHAnsi"/>
                <w:szCs w:val="18"/>
              </w:rPr>
            </w:pPr>
            <w:hyperlink w:history="1" w:anchor="p-679.41(c)(3)" r:id="rId12">
              <w:r w:rsidRPr="00CD186B" w:rsidR="003E6D28">
                <w:rPr>
                  <w:rStyle w:val="Hyperlink"/>
                  <w:rFonts w:asciiTheme="minorHAnsi" w:hAnsiTheme="minorHAnsi" w:cstheme="minorHAnsi"/>
                  <w:szCs w:val="22"/>
                </w:rPr>
                <w:t>679.41(c)(3)</w:t>
              </w:r>
            </w:hyperlink>
          </w:p>
        </w:tc>
      </w:tr>
      <w:tr w:rsidRPr="00CB3F01" w:rsidR="003E6D28" w:rsidTr="006D18FF" w14:paraId="570A9EF6" w14:textId="77777777">
        <w:trPr>
          <w:trHeight w:val="590"/>
        </w:trPr>
        <w:tc>
          <w:tcPr>
            <w:tcW w:w="4740" w:type="dxa"/>
            <w:vAlign w:val="center"/>
          </w:tcPr>
          <w:p w:rsidRPr="00CD186B" w:rsidR="003E6D28" w:rsidP="00CD186B" w:rsidRDefault="00CD186B" w14:paraId="064E19C4" w14:textId="4ACD8736">
            <w:pPr>
              <w:spacing w:after="20" w:line="240" w:lineRule="auto"/>
              <w:rPr>
                <w:rFonts w:eastAsia="Times New Roman" w:asciiTheme="minorHAnsi" w:hAnsiTheme="minorHAnsi" w:cstheme="minorHAnsi"/>
                <w:szCs w:val="18"/>
              </w:rPr>
            </w:pPr>
            <w:r w:rsidRPr="00CD186B">
              <w:rPr>
                <w:rFonts w:asciiTheme="minorHAnsi" w:hAnsiTheme="minorHAnsi" w:cstheme="minorHAnsi"/>
              </w:rPr>
              <w:t>Application for Temporary</w:t>
            </w:r>
            <w:r>
              <w:rPr>
                <w:rFonts w:asciiTheme="minorHAnsi" w:hAnsiTheme="minorHAnsi" w:cstheme="minorHAnsi"/>
              </w:rPr>
              <w:t xml:space="preserve"> </w:t>
            </w:r>
            <w:r w:rsidRPr="00CD186B">
              <w:rPr>
                <w:rFonts w:asciiTheme="minorHAnsi" w:hAnsiTheme="minorHAnsi" w:cstheme="minorHAnsi"/>
              </w:rPr>
              <w:t>Transfer of Halibut/Sablefish</w:t>
            </w:r>
            <w:r>
              <w:rPr>
                <w:rFonts w:asciiTheme="minorHAnsi" w:hAnsiTheme="minorHAnsi" w:cstheme="minorHAnsi"/>
              </w:rPr>
              <w:t xml:space="preserve"> </w:t>
            </w:r>
            <w:r w:rsidRPr="00CD186B">
              <w:rPr>
                <w:rFonts w:asciiTheme="minorHAnsi" w:hAnsiTheme="minorHAnsi" w:cstheme="minorHAnsi"/>
              </w:rPr>
              <w:t>Individual Fishing Quota (IFQ)</w:t>
            </w:r>
            <w:r w:rsidRPr="00CD186B">
              <w:rPr>
                <w:rFonts w:eastAsia="Times New Roman" w:asciiTheme="minorHAnsi" w:hAnsiTheme="minorHAnsi" w:cstheme="minorHAnsi"/>
                <w:szCs w:val="18"/>
              </w:rPr>
              <w:t xml:space="preserve"> </w:t>
            </w:r>
          </w:p>
        </w:tc>
        <w:tc>
          <w:tcPr>
            <w:tcW w:w="2100" w:type="dxa"/>
            <w:vAlign w:val="center"/>
          </w:tcPr>
          <w:p w:rsidRPr="00CD186B" w:rsidR="003E6D28" w:rsidP="003E6D28" w:rsidRDefault="00CD186B" w14:paraId="7D3F352A" w14:textId="160B29D9">
            <w:pPr>
              <w:spacing w:after="0" w:line="240" w:lineRule="auto"/>
              <w:rPr>
                <w:rFonts w:eastAsia="Times New Roman" w:asciiTheme="minorHAnsi" w:hAnsiTheme="minorHAnsi" w:cstheme="minorHAnsi"/>
                <w:szCs w:val="18"/>
              </w:rPr>
            </w:pPr>
            <w:r>
              <w:rPr>
                <w:rFonts w:asciiTheme="minorHAnsi" w:hAnsiTheme="minorHAnsi" w:cstheme="minorHAnsi"/>
                <w:szCs w:val="22"/>
              </w:rPr>
              <w:t>Y</w:t>
            </w:r>
            <w:r w:rsidRPr="00CD186B" w:rsidR="003E6D28">
              <w:rPr>
                <w:rFonts w:asciiTheme="minorHAnsi" w:hAnsiTheme="minorHAnsi" w:cstheme="minorHAnsi"/>
                <w:szCs w:val="22"/>
              </w:rPr>
              <w:t>es</w:t>
            </w:r>
          </w:p>
        </w:tc>
        <w:tc>
          <w:tcPr>
            <w:tcW w:w="2520" w:type="dxa"/>
            <w:vAlign w:val="center"/>
          </w:tcPr>
          <w:p w:rsidRPr="00CD186B" w:rsidR="003E6D28" w:rsidP="003E6D28" w:rsidRDefault="00925937" w14:paraId="33B35902" w14:textId="77777777">
            <w:pPr>
              <w:rPr>
                <w:rStyle w:val="Hyperlink"/>
                <w:rFonts w:asciiTheme="minorHAnsi" w:hAnsiTheme="minorHAnsi" w:cstheme="minorHAnsi"/>
                <w:szCs w:val="22"/>
                <w:shd w:val="clear" w:color="auto" w:fill="FFFFFF"/>
              </w:rPr>
            </w:pPr>
            <w:hyperlink w:history="1" w:anchor="p-679.41(c)(3)" r:id="rId13">
              <w:r w:rsidRPr="00CD186B" w:rsidR="003E6D28">
                <w:rPr>
                  <w:rStyle w:val="Hyperlink"/>
                  <w:rFonts w:asciiTheme="minorHAnsi" w:hAnsiTheme="minorHAnsi" w:cstheme="minorHAnsi"/>
                  <w:szCs w:val="22"/>
                  <w:shd w:val="clear" w:color="auto" w:fill="FFFFFF"/>
                </w:rPr>
                <w:t>679.41(c)(3)</w:t>
              </w:r>
            </w:hyperlink>
          </w:p>
          <w:p w:rsidRPr="00CD186B" w:rsidR="003E6D28" w:rsidP="003E6D28" w:rsidRDefault="00925937" w14:paraId="7CE7789A" w14:textId="026A7A12">
            <w:pPr>
              <w:spacing w:after="0" w:line="240" w:lineRule="auto"/>
              <w:rPr>
                <w:rFonts w:eastAsia="Times New Roman" w:asciiTheme="minorHAnsi" w:hAnsiTheme="minorHAnsi" w:cstheme="minorHAnsi"/>
                <w:szCs w:val="18"/>
              </w:rPr>
            </w:pPr>
            <w:hyperlink w:history="1" w:anchor="p-679.41(m)(3)(vi)" r:id="rId14">
              <w:r w:rsidRPr="00CD186B" w:rsidR="003E6D28">
                <w:rPr>
                  <w:rStyle w:val="Hyperlink"/>
                  <w:rFonts w:asciiTheme="minorHAnsi" w:hAnsiTheme="minorHAnsi" w:cstheme="minorHAnsi"/>
                  <w:szCs w:val="22"/>
                </w:rPr>
                <w:t>679.41(m)(3)(v)</w:t>
              </w:r>
            </w:hyperlink>
          </w:p>
        </w:tc>
      </w:tr>
      <w:tr w:rsidRPr="00CB3F01" w:rsidR="003E6D28" w:rsidTr="006D18FF" w14:paraId="30D2F3E4" w14:textId="77777777">
        <w:trPr>
          <w:trHeight w:val="590"/>
        </w:trPr>
        <w:tc>
          <w:tcPr>
            <w:tcW w:w="4740" w:type="dxa"/>
            <w:vAlign w:val="center"/>
          </w:tcPr>
          <w:p w:rsidRPr="00CD186B" w:rsidR="003E6D28" w:rsidP="00CD186B" w:rsidRDefault="00CD186B" w14:paraId="6C41D7D2" w14:textId="0AEABF12">
            <w:pPr>
              <w:spacing w:after="20" w:line="240" w:lineRule="auto"/>
              <w:rPr>
                <w:rFonts w:asciiTheme="minorHAnsi" w:hAnsiTheme="minorHAnsi" w:cstheme="minorHAnsi"/>
              </w:rPr>
            </w:pPr>
            <w:r w:rsidRPr="00CD186B">
              <w:rPr>
                <w:rFonts w:asciiTheme="minorHAnsi" w:hAnsiTheme="minorHAnsi" w:cstheme="minorHAnsi"/>
              </w:rPr>
              <w:t>Application for</w:t>
            </w:r>
            <w:r>
              <w:rPr>
                <w:rFonts w:asciiTheme="minorHAnsi" w:hAnsiTheme="minorHAnsi" w:cstheme="minorHAnsi"/>
              </w:rPr>
              <w:t xml:space="preserve"> Transfer of Quota Share To or From a Recreation Quota Entity (RQE) </w:t>
            </w:r>
          </w:p>
        </w:tc>
        <w:tc>
          <w:tcPr>
            <w:tcW w:w="2100" w:type="dxa"/>
            <w:vAlign w:val="center"/>
          </w:tcPr>
          <w:p w:rsidRPr="00CD186B" w:rsidR="003E6D28" w:rsidP="003E6D28" w:rsidRDefault="00CD186B" w14:paraId="35018E8C" w14:textId="231A6DA8">
            <w:pPr>
              <w:spacing w:after="0" w:line="240" w:lineRule="auto"/>
              <w:rPr>
                <w:rFonts w:eastAsia="Times New Roman" w:asciiTheme="minorHAnsi" w:hAnsiTheme="minorHAnsi" w:cstheme="minorHAnsi"/>
                <w:szCs w:val="18"/>
              </w:rPr>
            </w:pPr>
            <w:r>
              <w:rPr>
                <w:rFonts w:asciiTheme="minorHAnsi" w:hAnsiTheme="minorHAnsi" w:cstheme="minorHAnsi"/>
                <w:szCs w:val="22"/>
              </w:rPr>
              <w:t>Y</w:t>
            </w:r>
            <w:r w:rsidRPr="00CD186B" w:rsidR="003E6D28">
              <w:rPr>
                <w:rFonts w:asciiTheme="minorHAnsi" w:hAnsiTheme="minorHAnsi" w:cstheme="minorHAnsi"/>
                <w:szCs w:val="22"/>
              </w:rPr>
              <w:t>es</w:t>
            </w:r>
          </w:p>
        </w:tc>
        <w:tc>
          <w:tcPr>
            <w:tcW w:w="2520" w:type="dxa"/>
            <w:vAlign w:val="center"/>
          </w:tcPr>
          <w:p w:rsidRPr="00CD186B" w:rsidR="003E6D28" w:rsidP="003E6D28" w:rsidRDefault="00925937" w14:paraId="17C6630F" w14:textId="7557C060">
            <w:pPr>
              <w:spacing w:after="0" w:line="240" w:lineRule="auto"/>
              <w:rPr>
                <w:rFonts w:eastAsia="Times New Roman" w:asciiTheme="minorHAnsi" w:hAnsiTheme="minorHAnsi" w:cstheme="minorHAnsi"/>
                <w:szCs w:val="18"/>
              </w:rPr>
            </w:pPr>
            <w:hyperlink w:history="1" w:anchor="p-679.41(c)(3)" r:id="rId15">
              <w:r w:rsidRPr="00CD186B" w:rsidR="003E6D28">
                <w:rPr>
                  <w:rStyle w:val="Hyperlink"/>
                  <w:rFonts w:asciiTheme="minorHAnsi" w:hAnsiTheme="minorHAnsi" w:cstheme="minorHAnsi"/>
                  <w:szCs w:val="22"/>
                  <w:shd w:val="clear" w:color="auto" w:fill="FFFFFF"/>
                </w:rPr>
                <w:t>679.41(c)(3)</w:t>
              </w:r>
            </w:hyperlink>
          </w:p>
        </w:tc>
      </w:tr>
      <w:tr w:rsidRPr="00CB3F01" w:rsidR="003E6D28" w:rsidTr="006D18FF" w14:paraId="3D9F53F9" w14:textId="77777777">
        <w:trPr>
          <w:trHeight w:val="390"/>
        </w:trPr>
        <w:tc>
          <w:tcPr>
            <w:tcW w:w="4740" w:type="dxa"/>
            <w:vAlign w:val="center"/>
          </w:tcPr>
          <w:p w:rsidRPr="00CD186B" w:rsidR="003E6D28" w:rsidP="00CD186B" w:rsidRDefault="00CD186B" w14:paraId="558A346A" w14:textId="3916CCBB">
            <w:pPr>
              <w:spacing w:after="20" w:line="240" w:lineRule="auto"/>
              <w:rPr>
                <w:rFonts w:eastAsia="Times New Roman" w:asciiTheme="minorHAnsi" w:hAnsiTheme="minorHAnsi" w:cstheme="minorHAnsi"/>
                <w:szCs w:val="18"/>
              </w:rPr>
            </w:pPr>
            <w:r w:rsidRPr="00CD186B">
              <w:rPr>
                <w:rFonts w:asciiTheme="minorHAnsi" w:hAnsiTheme="minorHAnsi" w:cstheme="minorHAnsi"/>
              </w:rPr>
              <w:t>Application</w:t>
            </w:r>
            <w:r>
              <w:rPr>
                <w:rFonts w:asciiTheme="minorHAnsi" w:hAnsiTheme="minorHAnsi" w:cstheme="minorHAnsi"/>
              </w:rPr>
              <w:t xml:space="preserve"> </w:t>
            </w:r>
            <w:r w:rsidRPr="00CD186B">
              <w:rPr>
                <w:rFonts w:asciiTheme="minorHAnsi" w:hAnsiTheme="minorHAnsi" w:cstheme="minorHAnsi"/>
              </w:rPr>
              <w:t>for a Non-profit Corporation</w:t>
            </w:r>
            <w:r>
              <w:rPr>
                <w:rFonts w:asciiTheme="minorHAnsi" w:hAnsiTheme="minorHAnsi" w:cstheme="minorHAnsi"/>
              </w:rPr>
              <w:t xml:space="preserve"> </w:t>
            </w:r>
            <w:r w:rsidRPr="00CD186B">
              <w:rPr>
                <w:rFonts w:asciiTheme="minorHAnsi" w:hAnsiTheme="minorHAnsi" w:cstheme="minorHAnsi"/>
              </w:rPr>
              <w:t>to be Designated as a</w:t>
            </w:r>
            <w:r>
              <w:rPr>
                <w:rFonts w:asciiTheme="minorHAnsi" w:hAnsiTheme="minorHAnsi" w:cstheme="minorHAnsi"/>
              </w:rPr>
              <w:t xml:space="preserve"> Recreational Quota Entity (RQE)</w:t>
            </w:r>
          </w:p>
        </w:tc>
        <w:tc>
          <w:tcPr>
            <w:tcW w:w="2100" w:type="dxa"/>
            <w:vAlign w:val="center"/>
          </w:tcPr>
          <w:p w:rsidRPr="00CD186B" w:rsidR="003E6D28" w:rsidP="003E6D28" w:rsidRDefault="00CD186B" w14:paraId="3209A033" w14:textId="346B2E78">
            <w:pPr>
              <w:spacing w:after="0" w:line="240" w:lineRule="auto"/>
              <w:rPr>
                <w:rFonts w:eastAsia="Times New Roman" w:asciiTheme="minorHAnsi" w:hAnsiTheme="minorHAnsi" w:cstheme="minorHAnsi"/>
                <w:szCs w:val="18"/>
              </w:rPr>
            </w:pPr>
            <w:r>
              <w:rPr>
                <w:rFonts w:asciiTheme="minorHAnsi" w:hAnsiTheme="minorHAnsi" w:cstheme="minorHAnsi"/>
                <w:szCs w:val="22"/>
              </w:rPr>
              <w:t>Y</w:t>
            </w:r>
            <w:r w:rsidRPr="00CD186B" w:rsidR="003E6D28">
              <w:rPr>
                <w:rFonts w:asciiTheme="minorHAnsi" w:hAnsiTheme="minorHAnsi" w:cstheme="minorHAnsi"/>
                <w:szCs w:val="22"/>
              </w:rPr>
              <w:t>es</w:t>
            </w:r>
          </w:p>
        </w:tc>
        <w:tc>
          <w:tcPr>
            <w:tcW w:w="2520" w:type="dxa"/>
            <w:vAlign w:val="center"/>
          </w:tcPr>
          <w:p w:rsidRPr="00CD186B" w:rsidR="003E6D28" w:rsidP="003E6D28" w:rsidRDefault="003E6D28" w14:paraId="36538843" w14:textId="2BDD72CC">
            <w:pPr>
              <w:spacing w:after="0" w:line="240" w:lineRule="auto"/>
              <w:rPr>
                <w:rFonts w:eastAsia="Times New Roman" w:asciiTheme="minorHAnsi" w:hAnsiTheme="minorHAnsi" w:cstheme="minorHAnsi"/>
                <w:szCs w:val="18"/>
              </w:rPr>
            </w:pPr>
            <w:r w:rsidRPr="00CD186B">
              <w:rPr>
                <w:rFonts w:asciiTheme="minorHAnsi" w:hAnsiTheme="minorHAnsi" w:cstheme="minorHAnsi"/>
                <w:szCs w:val="22"/>
              </w:rPr>
              <w:t xml:space="preserve"> </w:t>
            </w:r>
            <w:hyperlink w:history="1" w:anchor="p-679.41(n)(2)(iii)(D)" r:id="rId16">
              <w:r w:rsidRPr="00CD186B">
                <w:rPr>
                  <w:rStyle w:val="Hyperlink"/>
                  <w:rFonts w:asciiTheme="minorHAnsi" w:hAnsiTheme="minorHAnsi" w:cstheme="minorHAnsi"/>
                  <w:szCs w:val="22"/>
                </w:rPr>
                <w:t>679.41(n)(2)(iii)(D)</w:t>
              </w:r>
            </w:hyperlink>
          </w:p>
        </w:tc>
      </w:tr>
    </w:tbl>
    <w:p w:rsidR="00BD6521" w:rsidP="00B44CA8" w:rsidRDefault="00BD6521" w14:paraId="7AAE13E2" w14:textId="417BEF8E">
      <w:pPr>
        <w:autoSpaceDE w:val="0"/>
        <w:autoSpaceDN w:val="0"/>
        <w:spacing w:after="0" w:line="240" w:lineRule="auto"/>
        <w:rPr>
          <w:rFonts w:ascii="Times New Roman" w:hAnsi="Times New Roman" w:eastAsia="SimSun"/>
          <w:sz w:val="24"/>
          <w:szCs w:val="24"/>
        </w:rPr>
      </w:pPr>
    </w:p>
    <w:p w:rsidR="00C17584" w:rsidP="00B44CA8" w:rsidRDefault="00642CF7" w14:paraId="73C37300" w14:textId="77777777">
      <w:pPr>
        <w:spacing w:after="0" w:line="240" w:lineRule="auto"/>
        <w:rPr>
          <w:rFonts w:ascii="Times New Roman" w:hAnsi="Times New Roman" w:eastAsia="SimSun"/>
          <w:sz w:val="24"/>
          <w:szCs w:val="24"/>
        </w:rPr>
      </w:pPr>
      <w:r>
        <w:rPr>
          <w:rFonts w:ascii="Times New Roman" w:hAnsi="Times New Roman" w:eastAsia="SimSun"/>
          <w:sz w:val="24"/>
          <w:szCs w:val="24"/>
        </w:rPr>
        <w:t xml:space="preserve">The notary certification requirements will be removed from </w:t>
      </w:r>
      <w:r w:rsidR="003875B0">
        <w:rPr>
          <w:rFonts w:ascii="Times New Roman" w:hAnsi="Times New Roman" w:eastAsia="SimSun"/>
          <w:sz w:val="24"/>
          <w:szCs w:val="24"/>
        </w:rPr>
        <w:t xml:space="preserve">the </w:t>
      </w:r>
      <w:r>
        <w:rPr>
          <w:rFonts w:ascii="Times New Roman" w:hAnsi="Times New Roman" w:eastAsia="SimSun"/>
          <w:sz w:val="24"/>
          <w:szCs w:val="24"/>
        </w:rPr>
        <w:t>regulations</w:t>
      </w:r>
      <w:r w:rsidR="00846DF5">
        <w:rPr>
          <w:rFonts w:ascii="Times New Roman" w:hAnsi="Times New Roman" w:eastAsia="SimSun"/>
          <w:sz w:val="24"/>
          <w:szCs w:val="24"/>
        </w:rPr>
        <w:t xml:space="preserve"> listed in this table</w:t>
      </w:r>
      <w:r w:rsidR="00A34DFF">
        <w:rPr>
          <w:rFonts w:ascii="Times New Roman" w:hAnsi="Times New Roman" w:eastAsia="SimSun"/>
          <w:sz w:val="24"/>
          <w:szCs w:val="24"/>
        </w:rPr>
        <w:t xml:space="preserve">. </w:t>
      </w:r>
    </w:p>
    <w:p w:rsidR="00C17584" w:rsidP="00B44CA8" w:rsidRDefault="00C17584" w14:paraId="526D2EA5" w14:textId="77777777">
      <w:pPr>
        <w:spacing w:after="0" w:line="240" w:lineRule="auto"/>
        <w:rPr>
          <w:rFonts w:ascii="Times New Roman" w:hAnsi="Times New Roman" w:eastAsia="SimSun"/>
          <w:sz w:val="24"/>
          <w:szCs w:val="24"/>
        </w:rPr>
      </w:pPr>
    </w:p>
    <w:p w:rsidR="003875B0" w:rsidP="00B449C6" w:rsidRDefault="00DE3094" w14:paraId="48F1DA47" w14:textId="71CA9295">
      <w:pPr>
        <w:spacing w:after="0" w:line="240" w:lineRule="auto"/>
        <w:rPr>
          <w:rFonts w:ascii="Times New Roman" w:hAnsi="Times New Roman" w:eastAsia="SimSun"/>
          <w:sz w:val="24"/>
          <w:szCs w:val="24"/>
        </w:rPr>
      </w:pPr>
      <w:r>
        <w:rPr>
          <w:rFonts w:ascii="Times New Roman" w:hAnsi="Times New Roman" w:eastAsia="SimSun"/>
          <w:sz w:val="24"/>
          <w:szCs w:val="24"/>
        </w:rPr>
        <w:t>T</w:t>
      </w:r>
      <w:r w:rsidR="003875B0">
        <w:rPr>
          <w:rFonts w:ascii="Times New Roman" w:hAnsi="Times New Roman" w:eastAsia="SimSun"/>
          <w:sz w:val="24"/>
          <w:szCs w:val="24"/>
        </w:rPr>
        <w:t xml:space="preserve">he </w:t>
      </w:r>
      <w:r w:rsidRPr="00CD186B" w:rsidR="00CD186B">
        <w:rPr>
          <w:rFonts w:ascii="Times New Roman" w:hAnsi="Times New Roman" w:eastAsia="SimSun"/>
          <w:sz w:val="24"/>
          <w:szCs w:val="24"/>
        </w:rPr>
        <w:t>Application for Eligibility to Receive QS/IFQ</w:t>
      </w:r>
      <w:r w:rsidR="008D38B7">
        <w:rPr>
          <w:rFonts w:ascii="Times New Roman" w:hAnsi="Times New Roman" w:eastAsia="SimSun"/>
          <w:sz w:val="24"/>
          <w:szCs w:val="24"/>
        </w:rPr>
        <w:t xml:space="preserve"> requires an applicant to obtain and submit a notary certification. </w:t>
      </w:r>
      <w:r w:rsidRPr="008D38B7" w:rsidR="008D38B7">
        <w:rPr>
          <w:rFonts w:ascii="Times New Roman" w:hAnsi="Times New Roman" w:eastAsia="SimSun"/>
          <w:sz w:val="24"/>
          <w:szCs w:val="24"/>
        </w:rPr>
        <w:t>This requirement is not included in regulations and will be removed from the form.</w:t>
      </w:r>
      <w:r w:rsidR="003875B0">
        <w:rPr>
          <w:rFonts w:ascii="Times New Roman" w:hAnsi="Times New Roman" w:eastAsia="SimSun"/>
          <w:sz w:val="24"/>
          <w:szCs w:val="24"/>
        </w:rPr>
        <w:t xml:space="preserve"> </w:t>
      </w:r>
    </w:p>
    <w:p w:rsidRPr="00642CF7" w:rsidR="00CD186B" w:rsidP="00B449C6" w:rsidRDefault="00CD186B" w14:paraId="18B7D916" w14:textId="77777777">
      <w:pPr>
        <w:spacing w:after="0" w:line="240" w:lineRule="auto"/>
        <w:rPr>
          <w:rFonts w:ascii="Times New Roman" w:hAnsi="Times New Roman" w:eastAsia="SimSun"/>
          <w:sz w:val="24"/>
          <w:szCs w:val="24"/>
        </w:rPr>
      </w:pPr>
    </w:p>
    <w:p w:rsidR="003875B0" w:rsidP="00B449C6" w:rsidRDefault="00A34DFF" w14:paraId="042E4900" w14:textId="0A60529A">
      <w:pPr>
        <w:spacing w:after="0" w:line="240" w:lineRule="auto"/>
        <w:rPr>
          <w:rFonts w:ascii="Times New Roman" w:hAnsi="Times New Roman" w:eastAsia="SimSun"/>
          <w:sz w:val="24"/>
          <w:szCs w:val="24"/>
        </w:rPr>
      </w:pPr>
      <w:r>
        <w:rPr>
          <w:rFonts w:ascii="Times New Roman" w:hAnsi="Times New Roman" w:eastAsia="SimSun"/>
          <w:sz w:val="24"/>
          <w:szCs w:val="24"/>
        </w:rPr>
        <w:lastRenderedPageBreak/>
        <w:t xml:space="preserve">The fields for the </w:t>
      </w:r>
      <w:r w:rsidRPr="00642CF7">
        <w:rPr>
          <w:rFonts w:ascii="Times New Roman" w:hAnsi="Times New Roman" w:eastAsia="SimSun"/>
          <w:sz w:val="24"/>
          <w:szCs w:val="24"/>
        </w:rPr>
        <w:t xml:space="preserve">notary’s signature, date commission expires, and </w:t>
      </w:r>
      <w:r>
        <w:rPr>
          <w:rFonts w:ascii="Times New Roman" w:hAnsi="Times New Roman" w:eastAsia="SimSun"/>
          <w:sz w:val="24"/>
          <w:szCs w:val="24"/>
        </w:rPr>
        <w:t>stamp or seal will be removed from the five forms.</w:t>
      </w:r>
      <w:r w:rsidRPr="00C73CC5" w:rsidR="00A02FB2">
        <w:rPr>
          <w:rFonts w:ascii="Times New Roman" w:hAnsi="Times New Roman" w:eastAsia="SimSun"/>
          <w:sz w:val="24"/>
          <w:szCs w:val="24"/>
        </w:rPr>
        <w:t xml:space="preserve"> </w:t>
      </w:r>
      <w:r w:rsidR="00A02FB2">
        <w:rPr>
          <w:rFonts w:ascii="Times New Roman" w:hAnsi="Times New Roman" w:eastAsia="SimSun"/>
          <w:sz w:val="24"/>
          <w:szCs w:val="24"/>
        </w:rPr>
        <w:t>These forms may now be submitted to NMFS by</w:t>
      </w:r>
      <w:r w:rsidRPr="006F03E3" w:rsidR="00A02FB2">
        <w:rPr>
          <w:rFonts w:ascii="Times New Roman" w:hAnsi="Times New Roman" w:eastAsia="SimSun"/>
          <w:sz w:val="24"/>
          <w:szCs w:val="24"/>
        </w:rPr>
        <w:t xml:space="preserve"> fax</w:t>
      </w:r>
      <w:r w:rsidR="0071769F">
        <w:rPr>
          <w:rFonts w:ascii="Times New Roman" w:hAnsi="Times New Roman" w:eastAsia="SimSun"/>
          <w:sz w:val="24"/>
          <w:szCs w:val="24"/>
        </w:rPr>
        <w:t xml:space="preserve">, and </w:t>
      </w:r>
      <w:r w:rsidRPr="0071769F" w:rsidR="0071769F">
        <w:rPr>
          <w:rFonts w:ascii="Times New Roman" w:hAnsi="Times New Roman" w:eastAsia="SimSun"/>
          <w:sz w:val="24"/>
          <w:szCs w:val="24"/>
        </w:rPr>
        <w:t>instructions on fax submittal have been added to the form</w:t>
      </w:r>
      <w:r w:rsidR="0071769F">
        <w:rPr>
          <w:rFonts w:ascii="Times New Roman" w:hAnsi="Times New Roman" w:eastAsia="SimSun"/>
          <w:sz w:val="24"/>
          <w:szCs w:val="24"/>
        </w:rPr>
        <w:t>s</w:t>
      </w:r>
      <w:r w:rsidRPr="006F03E3" w:rsidR="00A02FB2">
        <w:rPr>
          <w:rFonts w:ascii="Times New Roman" w:hAnsi="Times New Roman" w:eastAsia="SimSun"/>
          <w:sz w:val="24"/>
          <w:szCs w:val="24"/>
        </w:rPr>
        <w:t xml:space="preserve">. Fax submittal was previously not accepted </w:t>
      </w:r>
      <w:r w:rsidR="00A02FB2">
        <w:rPr>
          <w:rFonts w:ascii="Times New Roman" w:hAnsi="Times New Roman" w:eastAsia="SimSun"/>
          <w:sz w:val="24"/>
          <w:szCs w:val="24"/>
        </w:rPr>
        <w:t xml:space="preserve">because of </w:t>
      </w:r>
      <w:r w:rsidRPr="006F03E3" w:rsidR="00A02FB2">
        <w:rPr>
          <w:rFonts w:ascii="Times New Roman" w:hAnsi="Times New Roman" w:eastAsia="SimSun"/>
          <w:sz w:val="24"/>
          <w:szCs w:val="24"/>
        </w:rPr>
        <w:t>the notary requirements.</w:t>
      </w:r>
    </w:p>
    <w:p w:rsidR="00A34DFF" w:rsidP="00B449C6" w:rsidRDefault="00A34DFF" w14:paraId="44C0D5DB" w14:textId="2B712776">
      <w:pPr>
        <w:spacing w:after="0" w:line="240" w:lineRule="auto"/>
        <w:rPr>
          <w:rFonts w:ascii="Times New Roman" w:hAnsi="Times New Roman" w:eastAsia="SimSun"/>
          <w:sz w:val="24"/>
          <w:szCs w:val="24"/>
        </w:rPr>
      </w:pPr>
    </w:p>
    <w:p w:rsidR="003875B0" w:rsidP="00B449C6" w:rsidRDefault="003875B0" w14:paraId="327B117E" w14:textId="6DD2842C">
      <w:pPr>
        <w:keepNext/>
        <w:autoSpaceDE w:val="0"/>
        <w:autoSpaceDN w:val="0"/>
        <w:spacing w:after="0" w:line="240" w:lineRule="auto"/>
        <w:rPr>
          <w:rFonts w:ascii="Times New Roman" w:hAnsi="Times New Roman" w:eastAsia="SimSun"/>
          <w:sz w:val="24"/>
          <w:szCs w:val="24"/>
        </w:rPr>
      </w:pPr>
      <w:r w:rsidRPr="003875B0">
        <w:rPr>
          <w:rFonts w:ascii="Times New Roman" w:hAnsi="Times New Roman" w:eastAsia="SimSun"/>
          <w:sz w:val="24"/>
          <w:szCs w:val="24"/>
        </w:rPr>
        <w:t>Removing the notary certification decreases the cost</w:t>
      </w:r>
      <w:r>
        <w:rPr>
          <w:rFonts w:ascii="Times New Roman" w:hAnsi="Times New Roman" w:eastAsia="SimSun"/>
          <w:sz w:val="24"/>
          <w:szCs w:val="24"/>
        </w:rPr>
        <w:t xml:space="preserve"> of submitting the</w:t>
      </w:r>
      <w:r w:rsidR="007E404F">
        <w:rPr>
          <w:rFonts w:ascii="Times New Roman" w:hAnsi="Times New Roman" w:eastAsia="SimSun"/>
          <w:sz w:val="24"/>
          <w:szCs w:val="24"/>
        </w:rPr>
        <w:t>se</w:t>
      </w:r>
      <w:r>
        <w:rPr>
          <w:rFonts w:ascii="Times New Roman" w:hAnsi="Times New Roman" w:eastAsia="SimSun"/>
          <w:sz w:val="24"/>
          <w:szCs w:val="24"/>
        </w:rPr>
        <w:t xml:space="preserve"> application</w:t>
      </w:r>
      <w:r w:rsidR="007E404F">
        <w:rPr>
          <w:rFonts w:ascii="Times New Roman" w:hAnsi="Times New Roman" w:eastAsia="SimSun"/>
          <w:sz w:val="24"/>
          <w:szCs w:val="24"/>
        </w:rPr>
        <w:t>s</w:t>
      </w:r>
      <w:r>
        <w:rPr>
          <w:rFonts w:ascii="Times New Roman" w:hAnsi="Times New Roman" w:eastAsia="SimSun"/>
          <w:sz w:val="24"/>
          <w:szCs w:val="24"/>
        </w:rPr>
        <w:t xml:space="preserve"> to NMFS </w:t>
      </w:r>
      <w:r w:rsidRPr="003875B0">
        <w:rPr>
          <w:rFonts w:ascii="Times New Roman" w:hAnsi="Times New Roman" w:eastAsia="SimSun"/>
          <w:sz w:val="24"/>
          <w:szCs w:val="24"/>
        </w:rPr>
        <w:t xml:space="preserve">by removing the fee for a notary’s service. </w:t>
      </w:r>
      <w:r w:rsidR="001D54AE">
        <w:rPr>
          <w:rFonts w:ascii="Times New Roman" w:hAnsi="Times New Roman" w:eastAsia="SimSun"/>
          <w:sz w:val="24"/>
          <w:szCs w:val="24"/>
        </w:rPr>
        <w:t>For the three transfer forms, a</w:t>
      </w:r>
      <w:r w:rsidRPr="003875B0" w:rsidR="001D54AE">
        <w:rPr>
          <w:rFonts w:ascii="Times New Roman" w:hAnsi="Times New Roman" w:eastAsia="SimSun"/>
          <w:sz w:val="24"/>
          <w:szCs w:val="24"/>
        </w:rPr>
        <w:t xml:space="preserve"> notary certification was required for both the transferor and transferee. </w:t>
      </w:r>
      <w:r w:rsidRPr="003875B0">
        <w:rPr>
          <w:rFonts w:ascii="Times New Roman" w:hAnsi="Times New Roman" w:eastAsia="SimSun"/>
          <w:sz w:val="24"/>
          <w:szCs w:val="24"/>
        </w:rPr>
        <w:t>NMFS had estimated the cost of a notary fee at $10. Subject to public comment, no change is made to the estimated reporting burden</w:t>
      </w:r>
      <w:r w:rsidR="007E404F">
        <w:rPr>
          <w:rFonts w:ascii="Times New Roman" w:hAnsi="Times New Roman" w:eastAsia="SimSun"/>
          <w:sz w:val="24"/>
          <w:szCs w:val="24"/>
        </w:rPr>
        <w:t>s for these</w:t>
      </w:r>
      <w:r w:rsidRPr="003875B0">
        <w:rPr>
          <w:rFonts w:ascii="Times New Roman" w:hAnsi="Times New Roman" w:eastAsia="SimSun"/>
          <w:sz w:val="24"/>
          <w:szCs w:val="24"/>
        </w:rPr>
        <w:t xml:space="preserve"> application</w:t>
      </w:r>
      <w:r w:rsidR="007E404F">
        <w:rPr>
          <w:rFonts w:ascii="Times New Roman" w:hAnsi="Times New Roman" w:eastAsia="SimSun"/>
          <w:sz w:val="24"/>
          <w:szCs w:val="24"/>
        </w:rPr>
        <w:t>s</w:t>
      </w:r>
      <w:r w:rsidRPr="003875B0">
        <w:rPr>
          <w:rFonts w:ascii="Times New Roman" w:hAnsi="Times New Roman" w:eastAsia="SimSun"/>
          <w:sz w:val="24"/>
          <w:szCs w:val="24"/>
        </w:rPr>
        <w:t xml:space="preserve"> as the estimate</w:t>
      </w:r>
      <w:r w:rsidR="007E404F">
        <w:rPr>
          <w:rFonts w:ascii="Times New Roman" w:hAnsi="Times New Roman" w:eastAsia="SimSun"/>
          <w:sz w:val="24"/>
          <w:szCs w:val="24"/>
        </w:rPr>
        <w:t>s allow</w:t>
      </w:r>
      <w:r w:rsidRPr="003875B0">
        <w:rPr>
          <w:rFonts w:ascii="Times New Roman" w:hAnsi="Times New Roman" w:eastAsia="SimSun"/>
          <w:sz w:val="24"/>
          <w:szCs w:val="24"/>
        </w:rPr>
        <w:t xml:space="preserve"> for differences in the time needed to complete and submit the application</w:t>
      </w:r>
      <w:r w:rsidR="007E404F">
        <w:rPr>
          <w:rFonts w:ascii="Times New Roman" w:hAnsi="Times New Roman" w:eastAsia="SimSun"/>
          <w:sz w:val="24"/>
          <w:szCs w:val="24"/>
        </w:rPr>
        <w:t>s</w:t>
      </w:r>
      <w:r w:rsidRPr="003875B0">
        <w:rPr>
          <w:rFonts w:ascii="Times New Roman" w:hAnsi="Times New Roman" w:eastAsia="SimSun"/>
          <w:sz w:val="24"/>
          <w:szCs w:val="24"/>
        </w:rPr>
        <w:t>.</w:t>
      </w:r>
      <w:r w:rsidR="00737A7B">
        <w:rPr>
          <w:rFonts w:ascii="Times New Roman" w:hAnsi="Times New Roman" w:eastAsia="SimSun"/>
          <w:sz w:val="24"/>
          <w:szCs w:val="24"/>
        </w:rPr>
        <w:t xml:space="preserve"> </w:t>
      </w:r>
      <w:r w:rsidRPr="00B57710" w:rsidR="00B57710">
        <w:rPr>
          <w:rFonts w:ascii="Times New Roman" w:hAnsi="Times New Roman" w:eastAsia="SimSun"/>
          <w:sz w:val="24"/>
          <w:szCs w:val="24"/>
        </w:rPr>
        <w:t xml:space="preserve">The table below shows the change in </w:t>
      </w:r>
      <w:r w:rsidR="00B57710">
        <w:rPr>
          <w:rFonts w:ascii="Times New Roman" w:hAnsi="Times New Roman" w:eastAsia="SimSun"/>
          <w:sz w:val="24"/>
          <w:szCs w:val="24"/>
        </w:rPr>
        <w:t>total miscellaneous costs of the</w:t>
      </w:r>
      <w:r w:rsidRPr="00B57710" w:rsidR="00B57710">
        <w:rPr>
          <w:rFonts w:ascii="Times New Roman" w:hAnsi="Times New Roman" w:eastAsia="SimSun"/>
          <w:sz w:val="24"/>
          <w:szCs w:val="24"/>
        </w:rPr>
        <w:t>s</w:t>
      </w:r>
      <w:r w:rsidR="00B57710">
        <w:rPr>
          <w:rFonts w:ascii="Times New Roman" w:hAnsi="Times New Roman" w:eastAsia="SimSun"/>
          <w:sz w:val="24"/>
          <w:szCs w:val="24"/>
        </w:rPr>
        <w:t>e</w:t>
      </w:r>
      <w:r w:rsidRPr="00B57710" w:rsidR="00B57710">
        <w:rPr>
          <w:rFonts w:ascii="Times New Roman" w:hAnsi="Times New Roman" w:eastAsia="SimSun"/>
          <w:sz w:val="24"/>
          <w:szCs w:val="24"/>
        </w:rPr>
        <w:t xml:space="preserve"> application</w:t>
      </w:r>
      <w:r w:rsidR="00B57710">
        <w:rPr>
          <w:rFonts w:ascii="Times New Roman" w:hAnsi="Times New Roman" w:eastAsia="SimSun"/>
          <w:sz w:val="24"/>
          <w:szCs w:val="24"/>
        </w:rPr>
        <w:t>s</w:t>
      </w:r>
      <w:r w:rsidRPr="00B57710" w:rsidR="00B57710">
        <w:rPr>
          <w:rFonts w:ascii="Times New Roman" w:hAnsi="Times New Roman" w:eastAsia="SimSun"/>
          <w:sz w:val="24"/>
          <w:szCs w:val="24"/>
        </w:rPr>
        <w:t xml:space="preserve"> from the previous approval of this collection.</w:t>
      </w:r>
    </w:p>
    <w:p w:rsidR="001F60B9" w:rsidP="00B449C6" w:rsidRDefault="001F60B9" w14:paraId="4025884A" w14:textId="574A3E0F">
      <w:pPr>
        <w:keepNext/>
        <w:autoSpaceDE w:val="0"/>
        <w:autoSpaceDN w:val="0"/>
        <w:spacing w:after="0" w:line="240" w:lineRule="auto"/>
        <w:rPr>
          <w:rFonts w:ascii="Times New Roman" w:hAnsi="Times New Roman" w:eastAsia="SimSun"/>
          <w:sz w:val="24"/>
          <w:szCs w:val="24"/>
        </w:rPr>
      </w:pPr>
    </w:p>
    <w:p w:rsidR="001F60B9" w:rsidP="001F60B9" w:rsidRDefault="001F60B9" w14:paraId="1861904D" w14:textId="77777777">
      <w:pPr>
        <w:spacing w:after="0" w:line="240" w:lineRule="auto"/>
        <w:rPr>
          <w:rFonts w:ascii="Times New Roman" w:hAnsi="Times New Roman" w:eastAsia="SimSun"/>
          <w:sz w:val="24"/>
          <w:szCs w:val="24"/>
        </w:rPr>
      </w:pPr>
      <w:r>
        <w:rPr>
          <w:rFonts w:ascii="Times New Roman" w:hAnsi="Times New Roman" w:eastAsia="SimSun"/>
          <w:sz w:val="24"/>
          <w:szCs w:val="24"/>
        </w:rPr>
        <w:t xml:space="preserve">In addition to the changes due to the rule, one minor technical correction is made to the supporting statement. The supporting statement incorrectly shows a notary cost for the </w:t>
      </w:r>
      <w:r w:rsidRPr="00745824">
        <w:rPr>
          <w:rFonts w:ascii="Times New Roman" w:hAnsi="Times New Roman" w:eastAsia="SimSun"/>
          <w:sz w:val="24"/>
          <w:szCs w:val="24"/>
        </w:rPr>
        <w:t>Annual Report for CDQ IFQ Transfers</w:t>
      </w:r>
      <w:r>
        <w:rPr>
          <w:rFonts w:ascii="Times New Roman" w:hAnsi="Times New Roman" w:eastAsia="SimSun"/>
          <w:sz w:val="24"/>
          <w:szCs w:val="24"/>
        </w:rPr>
        <w:t xml:space="preserve">. There is no form for this collection instrument and no notary requirement. This error was included in the information collection under which this report was originally approved (OMB Control No. 0648-0764), and the error has been carried forward. This report is part of a voluntary program implemented </w:t>
      </w:r>
      <w:r w:rsidRPr="00F73884">
        <w:rPr>
          <w:rFonts w:ascii="Times New Roman" w:hAnsi="Times New Roman" w:eastAsia="SimSun"/>
          <w:sz w:val="24"/>
          <w:szCs w:val="24"/>
        </w:rPr>
        <w:t>only in times of low halibut abundance</w:t>
      </w:r>
      <w:r>
        <w:rPr>
          <w:rFonts w:ascii="Times New Roman" w:hAnsi="Times New Roman" w:eastAsia="SimSun"/>
          <w:sz w:val="24"/>
          <w:szCs w:val="24"/>
        </w:rPr>
        <w:t xml:space="preserve">. To date, no reports have been submitted to NMFS. </w:t>
      </w:r>
      <w:r w:rsidRPr="00F73884">
        <w:rPr>
          <w:rFonts w:ascii="Times New Roman" w:hAnsi="Times New Roman" w:eastAsia="SimSun"/>
          <w:sz w:val="24"/>
          <w:szCs w:val="24"/>
        </w:rPr>
        <w:t>NMFS anticipates 0 respondents and responses at this time. However, in the long term, we expect an average 2 responses per year.</w:t>
      </w:r>
    </w:p>
    <w:p w:rsidR="00CB3F01" w:rsidP="00B449C6" w:rsidRDefault="00CB3F01" w14:paraId="60CE572C" w14:textId="02267A08">
      <w:pPr>
        <w:autoSpaceDE w:val="0"/>
        <w:autoSpaceDN w:val="0"/>
        <w:spacing w:after="0" w:line="240" w:lineRule="auto"/>
        <w:rPr>
          <w:rFonts w:ascii="Times New Roman" w:hAnsi="Times New Roman" w:eastAsia="SimSun"/>
          <w:sz w:val="24"/>
          <w:szCs w:val="24"/>
        </w:rPr>
      </w:pPr>
    </w:p>
    <w:tbl>
      <w:tblPr>
        <w:tblW w:w="50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51"/>
        <w:gridCol w:w="1149"/>
        <w:gridCol w:w="1093"/>
        <w:gridCol w:w="3660"/>
      </w:tblGrid>
      <w:tr w:rsidRPr="00AC4505" w:rsidR="00A70B91" w:rsidTr="004B771B" w14:paraId="6A4976CE" w14:textId="4FD55567">
        <w:trPr>
          <w:trHeight w:val="114"/>
          <w:jc w:val="center"/>
        </w:trPr>
        <w:tc>
          <w:tcPr>
            <w:tcW w:w="1878" w:type="pct"/>
            <w:vMerge w:val="restart"/>
            <w:shd w:val="clear" w:color="auto" w:fill="5B9BD5"/>
            <w:vAlign w:val="center"/>
          </w:tcPr>
          <w:p w:rsidRPr="00AC4505" w:rsidR="0027520B" w:rsidP="00AC4505" w:rsidRDefault="0027520B" w14:paraId="30D95D5E" w14:textId="77777777">
            <w:pPr>
              <w:keepNext/>
              <w:widowControl w:val="0"/>
              <w:shd w:val="clear" w:color="auto" w:fill="5B9BD5"/>
              <w:autoSpaceDE w:val="0"/>
              <w:autoSpaceDN w:val="0"/>
              <w:adjustRightInd w:val="0"/>
              <w:spacing w:after="0" w:line="240" w:lineRule="auto"/>
              <w:jc w:val="center"/>
              <w:rPr>
                <w:rFonts w:cs="Calibri"/>
                <w:b/>
                <w:sz w:val="18"/>
                <w:szCs w:val="18"/>
              </w:rPr>
            </w:pPr>
            <w:r w:rsidRPr="00AC4505">
              <w:rPr>
                <w:rFonts w:cs="Calibri"/>
                <w:b/>
                <w:sz w:val="18"/>
                <w:szCs w:val="18"/>
              </w:rPr>
              <w:t>Information Collection</w:t>
            </w:r>
          </w:p>
        </w:tc>
        <w:tc>
          <w:tcPr>
            <w:tcW w:w="1186" w:type="pct"/>
            <w:gridSpan w:val="2"/>
            <w:shd w:val="clear" w:color="auto" w:fill="5B9BD5"/>
            <w:vAlign w:val="center"/>
          </w:tcPr>
          <w:p w:rsidRPr="00AC4505" w:rsidR="0027520B" w:rsidP="00AC4505" w:rsidRDefault="0027520B" w14:paraId="2A3E99CB" w14:textId="77777777">
            <w:pPr>
              <w:keepNext/>
              <w:widowControl w:val="0"/>
              <w:shd w:val="clear" w:color="auto" w:fill="5B9BD5"/>
              <w:autoSpaceDE w:val="0"/>
              <w:autoSpaceDN w:val="0"/>
              <w:adjustRightInd w:val="0"/>
              <w:spacing w:after="0" w:line="240" w:lineRule="auto"/>
              <w:jc w:val="center"/>
              <w:rPr>
                <w:rFonts w:cs="Calibri"/>
                <w:b/>
                <w:sz w:val="18"/>
                <w:szCs w:val="18"/>
              </w:rPr>
            </w:pPr>
            <w:r w:rsidRPr="00AC4505">
              <w:rPr>
                <w:rFonts w:cs="Calibri"/>
                <w:b/>
                <w:sz w:val="18"/>
                <w:szCs w:val="18"/>
              </w:rPr>
              <w:t>Miscellaneous Costs</w:t>
            </w:r>
          </w:p>
        </w:tc>
        <w:tc>
          <w:tcPr>
            <w:tcW w:w="1936" w:type="pct"/>
            <w:vMerge w:val="restart"/>
            <w:shd w:val="clear" w:color="auto" w:fill="5B9BD5"/>
            <w:vAlign w:val="center"/>
          </w:tcPr>
          <w:p w:rsidRPr="00AC4505" w:rsidR="0027520B" w:rsidP="00AC4505" w:rsidRDefault="0027520B" w14:paraId="463A2AC8" w14:textId="55FC3795">
            <w:pPr>
              <w:keepNext/>
              <w:widowControl w:val="0"/>
              <w:shd w:val="clear" w:color="auto" w:fill="5B9BD5"/>
              <w:autoSpaceDE w:val="0"/>
              <w:autoSpaceDN w:val="0"/>
              <w:adjustRightInd w:val="0"/>
              <w:spacing w:after="0" w:line="240" w:lineRule="auto"/>
              <w:jc w:val="center"/>
              <w:rPr>
                <w:rFonts w:cs="Calibri"/>
                <w:b/>
                <w:sz w:val="18"/>
                <w:szCs w:val="18"/>
              </w:rPr>
            </w:pPr>
            <w:r>
              <w:rPr>
                <w:rFonts w:cs="Calibri"/>
                <w:b/>
                <w:sz w:val="18"/>
                <w:szCs w:val="18"/>
              </w:rPr>
              <w:t>Reason for Change or Adjustment</w:t>
            </w:r>
          </w:p>
        </w:tc>
      </w:tr>
      <w:tr w:rsidRPr="00AC4505" w:rsidR="00A70B91" w:rsidTr="004B771B" w14:paraId="534D6D86" w14:textId="408816BE">
        <w:trPr>
          <w:trHeight w:val="114"/>
          <w:jc w:val="center"/>
        </w:trPr>
        <w:tc>
          <w:tcPr>
            <w:tcW w:w="1878" w:type="pct"/>
            <w:vMerge/>
            <w:shd w:val="clear" w:color="auto" w:fill="5B9BD5"/>
            <w:vAlign w:val="center"/>
          </w:tcPr>
          <w:p w:rsidRPr="00AC4505" w:rsidR="0027520B" w:rsidP="00AC4505" w:rsidRDefault="0027520B" w14:paraId="1F5FBE8A" w14:textId="77777777">
            <w:pPr>
              <w:keepNext/>
              <w:widowControl w:val="0"/>
              <w:pBdr>
                <w:top w:val="nil"/>
                <w:left w:val="nil"/>
                <w:bottom w:val="nil"/>
                <w:right w:val="nil"/>
                <w:between w:val="nil"/>
              </w:pBdr>
              <w:autoSpaceDE w:val="0"/>
              <w:autoSpaceDN w:val="0"/>
              <w:adjustRightInd w:val="0"/>
              <w:spacing w:after="0" w:line="276" w:lineRule="auto"/>
              <w:rPr>
                <w:rFonts w:cs="Calibri"/>
                <w:b/>
                <w:sz w:val="18"/>
                <w:szCs w:val="18"/>
              </w:rPr>
            </w:pPr>
          </w:p>
        </w:tc>
        <w:tc>
          <w:tcPr>
            <w:tcW w:w="608" w:type="pct"/>
            <w:tcBorders>
              <w:right w:val="dashed" w:color="000000" w:sz="4" w:space="0"/>
            </w:tcBorders>
            <w:shd w:val="clear" w:color="auto" w:fill="FBE4D5"/>
            <w:vAlign w:val="center"/>
          </w:tcPr>
          <w:p w:rsidRPr="00AC4505" w:rsidR="0027520B" w:rsidP="00AC4505" w:rsidRDefault="0027520B" w14:paraId="47F000DA" w14:textId="77777777">
            <w:pPr>
              <w:keepNext/>
              <w:widowControl w:val="0"/>
              <w:autoSpaceDE w:val="0"/>
              <w:autoSpaceDN w:val="0"/>
              <w:adjustRightInd w:val="0"/>
              <w:spacing w:after="0" w:line="240" w:lineRule="auto"/>
              <w:jc w:val="center"/>
              <w:rPr>
                <w:rFonts w:cs="Calibri"/>
                <w:sz w:val="18"/>
                <w:szCs w:val="18"/>
              </w:rPr>
            </w:pPr>
            <w:r w:rsidRPr="00AC4505">
              <w:rPr>
                <w:rFonts w:cs="Calibri"/>
                <w:sz w:val="18"/>
                <w:szCs w:val="18"/>
              </w:rPr>
              <w:t>Current</w:t>
            </w:r>
          </w:p>
        </w:tc>
        <w:tc>
          <w:tcPr>
            <w:tcW w:w="578" w:type="pct"/>
            <w:tcBorders>
              <w:left w:val="dashed" w:color="000000" w:sz="4" w:space="0"/>
            </w:tcBorders>
            <w:shd w:val="clear" w:color="auto" w:fill="FBE4D5"/>
            <w:vAlign w:val="center"/>
          </w:tcPr>
          <w:p w:rsidRPr="00AC4505" w:rsidR="0027520B" w:rsidP="00AC4505" w:rsidRDefault="0027520B" w14:paraId="5D5D7D3E" w14:textId="77777777">
            <w:pPr>
              <w:keepNext/>
              <w:widowControl w:val="0"/>
              <w:autoSpaceDE w:val="0"/>
              <w:autoSpaceDN w:val="0"/>
              <w:adjustRightInd w:val="0"/>
              <w:spacing w:after="0" w:line="240" w:lineRule="auto"/>
              <w:jc w:val="center"/>
              <w:rPr>
                <w:rFonts w:cs="Calibri"/>
                <w:sz w:val="18"/>
                <w:szCs w:val="18"/>
              </w:rPr>
            </w:pPr>
            <w:r w:rsidRPr="00AC4505">
              <w:rPr>
                <w:rFonts w:cs="Calibri"/>
                <w:sz w:val="18"/>
                <w:szCs w:val="18"/>
              </w:rPr>
              <w:t>Previous</w:t>
            </w:r>
          </w:p>
        </w:tc>
        <w:tc>
          <w:tcPr>
            <w:tcW w:w="1936" w:type="pct"/>
            <w:vMerge/>
            <w:shd w:val="clear" w:color="auto" w:fill="548DD4" w:themeFill="text2" w:themeFillTint="99"/>
          </w:tcPr>
          <w:p w:rsidRPr="00AC4505" w:rsidR="0027520B" w:rsidP="00AC4505" w:rsidRDefault="0027520B" w14:paraId="3FDD59EE" w14:textId="77777777">
            <w:pPr>
              <w:keepNext/>
              <w:widowControl w:val="0"/>
              <w:autoSpaceDE w:val="0"/>
              <w:autoSpaceDN w:val="0"/>
              <w:adjustRightInd w:val="0"/>
              <w:spacing w:after="0" w:line="240" w:lineRule="auto"/>
              <w:jc w:val="center"/>
              <w:rPr>
                <w:rFonts w:cs="Calibri"/>
                <w:sz w:val="18"/>
                <w:szCs w:val="18"/>
              </w:rPr>
            </w:pPr>
          </w:p>
        </w:tc>
      </w:tr>
      <w:tr w:rsidRPr="00FC3681" w:rsidR="00A70B91" w:rsidTr="004B771B" w14:paraId="7D13DE54" w14:textId="29CFD04F">
        <w:trPr>
          <w:trHeight w:val="328"/>
          <w:jc w:val="center"/>
        </w:trPr>
        <w:tc>
          <w:tcPr>
            <w:tcW w:w="1878" w:type="pct"/>
            <w:shd w:val="clear" w:color="auto" w:fill="auto"/>
            <w:vAlign w:val="center"/>
          </w:tcPr>
          <w:p w:rsidRPr="00FC3681" w:rsidR="00FC3681" w:rsidP="00FC3681" w:rsidRDefault="00FC3681" w14:paraId="5EA0D6E0" w14:textId="54096264">
            <w:pPr>
              <w:keepNext/>
              <w:widowControl w:val="0"/>
              <w:autoSpaceDE w:val="0"/>
              <w:autoSpaceDN w:val="0"/>
              <w:adjustRightInd w:val="0"/>
              <w:spacing w:after="0" w:line="240" w:lineRule="auto"/>
              <w:rPr>
                <w:rFonts w:cs="Calibri"/>
                <w:sz w:val="18"/>
                <w:szCs w:val="18"/>
              </w:rPr>
            </w:pPr>
            <w:r w:rsidRPr="00FC3681">
              <w:rPr>
                <w:sz w:val="18"/>
                <w:szCs w:val="18"/>
              </w:rPr>
              <w:t>Application for Eligibility to Receive QS/IFQ</w:t>
            </w:r>
          </w:p>
        </w:tc>
        <w:tc>
          <w:tcPr>
            <w:tcW w:w="608" w:type="pct"/>
            <w:tcBorders>
              <w:left w:val="dotted" w:color="000000" w:sz="4" w:space="0"/>
              <w:bottom w:val="dotted" w:color="000000" w:sz="4" w:space="0"/>
              <w:right w:val="dashed" w:color="000000" w:sz="4" w:space="0"/>
            </w:tcBorders>
            <w:vAlign w:val="center"/>
          </w:tcPr>
          <w:p w:rsidRPr="00FC3681" w:rsidR="00FC3681" w:rsidP="00FC3681" w:rsidRDefault="004001F1" w14:paraId="10BB236E" w14:textId="7885ABB1">
            <w:pPr>
              <w:keepNext/>
              <w:widowControl w:val="0"/>
              <w:autoSpaceDE w:val="0"/>
              <w:autoSpaceDN w:val="0"/>
              <w:adjustRightInd w:val="0"/>
              <w:spacing w:after="0" w:line="240" w:lineRule="auto"/>
              <w:jc w:val="center"/>
              <w:rPr>
                <w:rFonts w:cs="Calibri"/>
                <w:sz w:val="18"/>
                <w:szCs w:val="18"/>
              </w:rPr>
            </w:pPr>
            <w:r>
              <w:rPr>
                <w:rFonts w:cs="Calibri"/>
                <w:sz w:val="18"/>
                <w:szCs w:val="18"/>
              </w:rPr>
              <w:t>540</w:t>
            </w:r>
          </w:p>
        </w:tc>
        <w:tc>
          <w:tcPr>
            <w:tcW w:w="578" w:type="pct"/>
            <w:tcBorders>
              <w:left w:val="dashed" w:color="000000" w:sz="4" w:space="0"/>
              <w:bottom w:val="dotted" w:color="000000" w:sz="4" w:space="0"/>
              <w:right w:val="single" w:color="000000" w:sz="4" w:space="0"/>
            </w:tcBorders>
            <w:vAlign w:val="center"/>
          </w:tcPr>
          <w:p w:rsidRPr="00FC3681" w:rsidR="00FC3681" w:rsidP="00FC3681" w:rsidRDefault="0027520B" w14:paraId="764ADBA5" w14:textId="486ED125">
            <w:pPr>
              <w:keepNext/>
              <w:widowControl w:val="0"/>
              <w:autoSpaceDE w:val="0"/>
              <w:autoSpaceDN w:val="0"/>
              <w:adjustRightInd w:val="0"/>
              <w:spacing w:after="0" w:line="240" w:lineRule="auto"/>
              <w:jc w:val="center"/>
              <w:rPr>
                <w:rFonts w:cs="Calibri"/>
                <w:sz w:val="18"/>
                <w:szCs w:val="18"/>
              </w:rPr>
            </w:pPr>
            <w:r>
              <w:rPr>
                <w:rFonts w:cs="Calibri"/>
                <w:sz w:val="18"/>
                <w:szCs w:val="18"/>
              </w:rPr>
              <w:t>1,620</w:t>
            </w:r>
          </w:p>
        </w:tc>
        <w:tc>
          <w:tcPr>
            <w:tcW w:w="1936" w:type="pct"/>
            <w:tcBorders>
              <w:left w:val="dashed" w:color="000000" w:sz="4" w:space="0"/>
              <w:bottom w:val="dotted" w:color="000000" w:sz="4" w:space="0"/>
              <w:right w:val="single" w:color="000000" w:sz="4" w:space="0"/>
            </w:tcBorders>
            <w:vAlign w:val="center"/>
          </w:tcPr>
          <w:p w:rsidRPr="00FC3681" w:rsidR="00FC3681" w:rsidP="0027520B" w:rsidRDefault="00C551FF" w14:paraId="2477402A" w14:textId="25EF4F60">
            <w:pPr>
              <w:keepNext/>
              <w:widowControl w:val="0"/>
              <w:autoSpaceDE w:val="0"/>
              <w:autoSpaceDN w:val="0"/>
              <w:adjustRightInd w:val="0"/>
              <w:spacing w:after="0" w:line="240" w:lineRule="auto"/>
              <w:rPr>
                <w:sz w:val="18"/>
                <w:szCs w:val="18"/>
              </w:rPr>
            </w:pPr>
            <w:r>
              <w:rPr>
                <w:sz w:val="18"/>
                <w:szCs w:val="18"/>
              </w:rPr>
              <w:t>Program</w:t>
            </w:r>
            <w:r w:rsidR="0027520B">
              <w:rPr>
                <w:sz w:val="18"/>
                <w:szCs w:val="18"/>
              </w:rPr>
              <w:t xml:space="preserve"> change to remove notary requirement</w:t>
            </w:r>
          </w:p>
        </w:tc>
      </w:tr>
      <w:tr w:rsidRPr="00FC3681" w:rsidR="00C551FF" w:rsidTr="004B771B" w14:paraId="21724FDE" w14:textId="0DE56074">
        <w:trPr>
          <w:trHeight w:val="328"/>
          <w:jc w:val="center"/>
        </w:trPr>
        <w:tc>
          <w:tcPr>
            <w:tcW w:w="1878" w:type="pct"/>
            <w:shd w:val="clear" w:color="auto" w:fill="auto"/>
            <w:vAlign w:val="center"/>
          </w:tcPr>
          <w:p w:rsidRPr="00FC3681" w:rsidR="00C551FF" w:rsidP="00C551FF" w:rsidRDefault="00C551FF" w14:paraId="7E452EC7" w14:textId="07106A1A">
            <w:pPr>
              <w:keepNext/>
              <w:widowControl w:val="0"/>
              <w:autoSpaceDE w:val="0"/>
              <w:autoSpaceDN w:val="0"/>
              <w:adjustRightInd w:val="0"/>
              <w:spacing w:after="0" w:line="240" w:lineRule="auto"/>
              <w:rPr>
                <w:rFonts w:cs="Calibri"/>
                <w:sz w:val="18"/>
                <w:szCs w:val="18"/>
              </w:rPr>
            </w:pPr>
            <w:r w:rsidRPr="00FC3681">
              <w:rPr>
                <w:sz w:val="18"/>
                <w:szCs w:val="18"/>
              </w:rPr>
              <w:t>Application for Transfer of QS</w:t>
            </w:r>
          </w:p>
        </w:tc>
        <w:tc>
          <w:tcPr>
            <w:tcW w:w="608" w:type="pct"/>
            <w:tcBorders>
              <w:left w:val="dotted" w:color="000000" w:sz="4" w:space="0"/>
              <w:bottom w:val="dotted" w:color="000000" w:sz="4" w:space="0"/>
              <w:right w:val="dashed" w:color="000000" w:sz="4" w:space="0"/>
            </w:tcBorders>
            <w:vAlign w:val="center"/>
          </w:tcPr>
          <w:p w:rsidRPr="00FC3681" w:rsidR="00C551FF" w:rsidP="00C551FF" w:rsidRDefault="00C551FF" w14:paraId="19762F3E" w14:textId="7EB320D1">
            <w:pPr>
              <w:keepNext/>
              <w:widowControl w:val="0"/>
              <w:autoSpaceDE w:val="0"/>
              <w:autoSpaceDN w:val="0"/>
              <w:adjustRightInd w:val="0"/>
              <w:spacing w:after="0" w:line="240" w:lineRule="auto"/>
              <w:jc w:val="center"/>
              <w:rPr>
                <w:rFonts w:cs="Calibri"/>
                <w:sz w:val="18"/>
                <w:szCs w:val="18"/>
              </w:rPr>
            </w:pPr>
            <w:r>
              <w:rPr>
                <w:rFonts w:cs="Calibri"/>
                <w:sz w:val="18"/>
                <w:szCs w:val="18"/>
              </w:rPr>
              <w:t>3,680</w:t>
            </w:r>
          </w:p>
        </w:tc>
        <w:tc>
          <w:tcPr>
            <w:tcW w:w="578" w:type="pct"/>
            <w:tcBorders>
              <w:left w:val="dashed" w:color="000000" w:sz="4" w:space="0"/>
              <w:bottom w:val="dotted" w:color="000000" w:sz="4" w:space="0"/>
              <w:right w:val="single" w:color="000000" w:sz="4" w:space="0"/>
            </w:tcBorders>
            <w:vAlign w:val="center"/>
          </w:tcPr>
          <w:p w:rsidRPr="00FC3681" w:rsidR="00C551FF" w:rsidP="00C551FF" w:rsidRDefault="00C551FF" w14:paraId="65FF2860" w14:textId="387EBCA0">
            <w:pPr>
              <w:keepNext/>
              <w:widowControl w:val="0"/>
              <w:autoSpaceDE w:val="0"/>
              <w:autoSpaceDN w:val="0"/>
              <w:adjustRightInd w:val="0"/>
              <w:spacing w:after="0" w:line="240" w:lineRule="auto"/>
              <w:jc w:val="center"/>
              <w:rPr>
                <w:rFonts w:cs="Calibri"/>
                <w:sz w:val="18"/>
                <w:szCs w:val="18"/>
              </w:rPr>
            </w:pPr>
            <w:r>
              <w:rPr>
                <w:rFonts w:cs="Calibri"/>
                <w:sz w:val="18"/>
                <w:szCs w:val="18"/>
              </w:rPr>
              <w:t>11,040</w:t>
            </w:r>
          </w:p>
        </w:tc>
        <w:tc>
          <w:tcPr>
            <w:tcW w:w="1936" w:type="pct"/>
            <w:tcBorders>
              <w:left w:val="dashed" w:color="000000" w:sz="4" w:space="0"/>
              <w:bottom w:val="dotted" w:color="000000" w:sz="4" w:space="0"/>
              <w:right w:val="single" w:color="000000" w:sz="4" w:space="0"/>
            </w:tcBorders>
            <w:vAlign w:val="center"/>
          </w:tcPr>
          <w:p w:rsidRPr="00C551FF" w:rsidR="00C551FF" w:rsidP="00C551FF" w:rsidRDefault="00C551FF" w14:paraId="33B209C6" w14:textId="56B33C56">
            <w:pPr>
              <w:keepNext/>
              <w:widowControl w:val="0"/>
              <w:autoSpaceDE w:val="0"/>
              <w:autoSpaceDN w:val="0"/>
              <w:adjustRightInd w:val="0"/>
              <w:spacing w:after="0" w:line="240" w:lineRule="auto"/>
              <w:rPr>
                <w:sz w:val="18"/>
                <w:szCs w:val="18"/>
              </w:rPr>
            </w:pPr>
            <w:r w:rsidRPr="00C551FF">
              <w:rPr>
                <w:sz w:val="18"/>
                <w:szCs w:val="18"/>
              </w:rPr>
              <w:t>Program change to remove notary requirement</w:t>
            </w:r>
          </w:p>
        </w:tc>
      </w:tr>
      <w:tr w:rsidRPr="00FC3681" w:rsidR="00C551FF" w:rsidTr="004B771B" w14:paraId="45FA0230" w14:textId="502DBD48">
        <w:trPr>
          <w:trHeight w:val="328"/>
          <w:jc w:val="center"/>
        </w:trPr>
        <w:tc>
          <w:tcPr>
            <w:tcW w:w="1878" w:type="pct"/>
            <w:shd w:val="clear" w:color="auto" w:fill="auto"/>
            <w:vAlign w:val="center"/>
          </w:tcPr>
          <w:p w:rsidRPr="00FC3681" w:rsidR="00C551FF" w:rsidP="00C551FF" w:rsidRDefault="00C551FF" w14:paraId="04E3F85D" w14:textId="1BC31DC5">
            <w:pPr>
              <w:keepNext/>
              <w:widowControl w:val="0"/>
              <w:autoSpaceDE w:val="0"/>
              <w:autoSpaceDN w:val="0"/>
              <w:adjustRightInd w:val="0"/>
              <w:spacing w:after="0" w:line="240" w:lineRule="auto"/>
              <w:rPr>
                <w:rFonts w:cs="Calibri"/>
                <w:sz w:val="18"/>
                <w:szCs w:val="18"/>
              </w:rPr>
            </w:pPr>
            <w:r w:rsidRPr="00FC3681">
              <w:rPr>
                <w:sz w:val="18"/>
                <w:szCs w:val="18"/>
              </w:rPr>
              <w:t xml:space="preserve">Application for Temporary Transfer of Halibut/Sablefish Individual Fishing Quota (IFQ) </w:t>
            </w:r>
          </w:p>
        </w:tc>
        <w:tc>
          <w:tcPr>
            <w:tcW w:w="608" w:type="pct"/>
            <w:tcBorders>
              <w:left w:val="dotted" w:color="000000" w:sz="4" w:space="0"/>
              <w:bottom w:val="dotted" w:color="000000" w:sz="4" w:space="0"/>
              <w:right w:val="dashed" w:color="000000" w:sz="4" w:space="0"/>
            </w:tcBorders>
            <w:vAlign w:val="center"/>
          </w:tcPr>
          <w:p w:rsidRPr="00FC3681" w:rsidR="00C551FF" w:rsidP="00C551FF" w:rsidRDefault="00C551FF" w14:paraId="1807165E" w14:textId="4446B28A">
            <w:pPr>
              <w:keepNext/>
              <w:widowControl w:val="0"/>
              <w:autoSpaceDE w:val="0"/>
              <w:autoSpaceDN w:val="0"/>
              <w:adjustRightInd w:val="0"/>
              <w:spacing w:after="0" w:line="240" w:lineRule="auto"/>
              <w:jc w:val="center"/>
              <w:rPr>
                <w:rFonts w:cs="Calibri"/>
                <w:sz w:val="18"/>
                <w:szCs w:val="18"/>
              </w:rPr>
            </w:pPr>
            <w:r>
              <w:rPr>
                <w:rFonts w:cs="Calibri"/>
                <w:sz w:val="18"/>
                <w:szCs w:val="18"/>
              </w:rPr>
              <w:t>5,000</w:t>
            </w:r>
          </w:p>
        </w:tc>
        <w:tc>
          <w:tcPr>
            <w:tcW w:w="578" w:type="pct"/>
            <w:tcBorders>
              <w:left w:val="dashed" w:color="000000" w:sz="4" w:space="0"/>
              <w:bottom w:val="dotted" w:color="000000" w:sz="4" w:space="0"/>
              <w:right w:val="single" w:color="000000" w:sz="4" w:space="0"/>
            </w:tcBorders>
            <w:vAlign w:val="center"/>
          </w:tcPr>
          <w:p w:rsidRPr="00FC3681" w:rsidR="00C551FF" w:rsidP="00C551FF" w:rsidRDefault="00C551FF" w14:paraId="62F1D988" w14:textId="3DB75D52">
            <w:pPr>
              <w:keepNext/>
              <w:widowControl w:val="0"/>
              <w:autoSpaceDE w:val="0"/>
              <w:autoSpaceDN w:val="0"/>
              <w:adjustRightInd w:val="0"/>
              <w:spacing w:after="0" w:line="240" w:lineRule="auto"/>
              <w:jc w:val="center"/>
              <w:rPr>
                <w:rFonts w:cs="Calibri"/>
                <w:sz w:val="18"/>
                <w:szCs w:val="18"/>
              </w:rPr>
            </w:pPr>
            <w:r>
              <w:rPr>
                <w:rFonts w:cs="Calibri"/>
                <w:sz w:val="18"/>
                <w:szCs w:val="18"/>
              </w:rPr>
              <w:t>15,000</w:t>
            </w:r>
          </w:p>
        </w:tc>
        <w:tc>
          <w:tcPr>
            <w:tcW w:w="1936" w:type="pct"/>
            <w:tcBorders>
              <w:left w:val="dashed" w:color="000000" w:sz="4" w:space="0"/>
              <w:bottom w:val="dotted" w:color="000000" w:sz="4" w:space="0"/>
              <w:right w:val="single" w:color="000000" w:sz="4" w:space="0"/>
            </w:tcBorders>
            <w:vAlign w:val="center"/>
          </w:tcPr>
          <w:p w:rsidRPr="00C551FF" w:rsidR="00C551FF" w:rsidP="00C551FF" w:rsidRDefault="00C551FF" w14:paraId="05C35085" w14:textId="73912D5A">
            <w:pPr>
              <w:keepNext/>
              <w:widowControl w:val="0"/>
              <w:autoSpaceDE w:val="0"/>
              <w:autoSpaceDN w:val="0"/>
              <w:adjustRightInd w:val="0"/>
              <w:spacing w:after="0" w:line="240" w:lineRule="auto"/>
              <w:rPr>
                <w:sz w:val="18"/>
                <w:szCs w:val="18"/>
              </w:rPr>
            </w:pPr>
            <w:r w:rsidRPr="00C551FF">
              <w:rPr>
                <w:sz w:val="18"/>
                <w:szCs w:val="18"/>
              </w:rPr>
              <w:t>Program change to remove notary requirement</w:t>
            </w:r>
          </w:p>
        </w:tc>
      </w:tr>
      <w:tr w:rsidRPr="00FC3681" w:rsidR="00C551FF" w:rsidTr="004B771B" w14:paraId="61DE384D" w14:textId="30F4BE3B">
        <w:trPr>
          <w:trHeight w:val="114"/>
          <w:jc w:val="center"/>
        </w:trPr>
        <w:tc>
          <w:tcPr>
            <w:tcW w:w="1878" w:type="pct"/>
            <w:shd w:val="clear" w:color="auto" w:fill="auto"/>
            <w:vAlign w:val="center"/>
          </w:tcPr>
          <w:p w:rsidRPr="00FC3681" w:rsidR="00C551FF" w:rsidP="00C551FF" w:rsidRDefault="00C551FF" w14:paraId="2332B984" w14:textId="2759DC7E">
            <w:pPr>
              <w:keepNext/>
              <w:widowControl w:val="0"/>
              <w:autoSpaceDE w:val="0"/>
              <w:autoSpaceDN w:val="0"/>
              <w:adjustRightInd w:val="0"/>
              <w:spacing w:after="0" w:line="240" w:lineRule="auto"/>
              <w:rPr>
                <w:rFonts w:cs="Calibri"/>
                <w:sz w:val="18"/>
                <w:szCs w:val="18"/>
              </w:rPr>
            </w:pPr>
            <w:r w:rsidRPr="00FC3681">
              <w:rPr>
                <w:sz w:val="18"/>
                <w:szCs w:val="18"/>
              </w:rPr>
              <w:t xml:space="preserve">Application for Transfer of Quota Share To or From a Recreation Quota Entity (RQE) </w:t>
            </w:r>
          </w:p>
        </w:tc>
        <w:tc>
          <w:tcPr>
            <w:tcW w:w="608" w:type="pct"/>
            <w:tcBorders>
              <w:left w:val="dotted" w:color="000000" w:sz="4" w:space="0"/>
              <w:bottom w:val="dotted" w:color="000000" w:sz="4" w:space="0"/>
              <w:right w:val="dashed" w:color="000000" w:sz="4" w:space="0"/>
            </w:tcBorders>
            <w:vAlign w:val="center"/>
          </w:tcPr>
          <w:p w:rsidRPr="00FC3681" w:rsidR="00C551FF" w:rsidP="00C551FF" w:rsidRDefault="00C551FF" w14:paraId="18025E28" w14:textId="5538B906">
            <w:pPr>
              <w:keepNext/>
              <w:widowControl w:val="0"/>
              <w:autoSpaceDE w:val="0"/>
              <w:autoSpaceDN w:val="0"/>
              <w:adjustRightInd w:val="0"/>
              <w:spacing w:after="0" w:line="240" w:lineRule="auto"/>
              <w:jc w:val="center"/>
              <w:rPr>
                <w:rFonts w:cs="Calibri"/>
                <w:sz w:val="18"/>
                <w:szCs w:val="18"/>
              </w:rPr>
            </w:pPr>
            <w:r>
              <w:rPr>
                <w:rFonts w:cs="Calibri"/>
                <w:sz w:val="18"/>
                <w:szCs w:val="18"/>
              </w:rPr>
              <w:t>105</w:t>
            </w:r>
          </w:p>
        </w:tc>
        <w:tc>
          <w:tcPr>
            <w:tcW w:w="578" w:type="pct"/>
            <w:tcBorders>
              <w:left w:val="dashed" w:color="000000" w:sz="4" w:space="0"/>
              <w:bottom w:val="dotted" w:color="000000" w:sz="4" w:space="0"/>
              <w:right w:val="single" w:color="000000" w:sz="4" w:space="0"/>
            </w:tcBorders>
            <w:vAlign w:val="center"/>
          </w:tcPr>
          <w:p w:rsidRPr="00FC3681" w:rsidR="00C551FF" w:rsidP="00C551FF" w:rsidRDefault="00C551FF" w14:paraId="2DE2D9BB" w14:textId="4D9FC5BC">
            <w:pPr>
              <w:keepNext/>
              <w:widowControl w:val="0"/>
              <w:autoSpaceDE w:val="0"/>
              <w:autoSpaceDN w:val="0"/>
              <w:adjustRightInd w:val="0"/>
              <w:spacing w:after="0" w:line="240" w:lineRule="auto"/>
              <w:jc w:val="center"/>
              <w:rPr>
                <w:rFonts w:cs="Calibri"/>
                <w:sz w:val="18"/>
                <w:szCs w:val="18"/>
              </w:rPr>
            </w:pPr>
            <w:r>
              <w:rPr>
                <w:rFonts w:cs="Calibri"/>
                <w:sz w:val="18"/>
                <w:szCs w:val="18"/>
              </w:rPr>
              <w:t>315</w:t>
            </w:r>
          </w:p>
        </w:tc>
        <w:tc>
          <w:tcPr>
            <w:tcW w:w="1936" w:type="pct"/>
            <w:tcBorders>
              <w:left w:val="dashed" w:color="000000" w:sz="4" w:space="0"/>
              <w:bottom w:val="dotted" w:color="000000" w:sz="4" w:space="0"/>
              <w:right w:val="single" w:color="000000" w:sz="4" w:space="0"/>
            </w:tcBorders>
            <w:vAlign w:val="center"/>
          </w:tcPr>
          <w:p w:rsidRPr="00C551FF" w:rsidR="00C551FF" w:rsidP="00C551FF" w:rsidRDefault="00C551FF" w14:paraId="3832B4F3" w14:textId="60630A9D">
            <w:pPr>
              <w:keepNext/>
              <w:widowControl w:val="0"/>
              <w:autoSpaceDE w:val="0"/>
              <w:autoSpaceDN w:val="0"/>
              <w:adjustRightInd w:val="0"/>
              <w:spacing w:after="0" w:line="240" w:lineRule="auto"/>
              <w:rPr>
                <w:sz w:val="18"/>
                <w:szCs w:val="18"/>
              </w:rPr>
            </w:pPr>
            <w:r w:rsidRPr="00C551FF">
              <w:rPr>
                <w:sz w:val="18"/>
                <w:szCs w:val="18"/>
              </w:rPr>
              <w:t>Program change to remove notary requirement</w:t>
            </w:r>
          </w:p>
        </w:tc>
      </w:tr>
      <w:tr w:rsidRPr="00FC3681" w:rsidR="00C551FF" w:rsidTr="004B771B" w14:paraId="65F32CAE" w14:textId="0C54AE1D">
        <w:trPr>
          <w:trHeight w:val="328"/>
          <w:jc w:val="center"/>
        </w:trPr>
        <w:tc>
          <w:tcPr>
            <w:tcW w:w="1878" w:type="pct"/>
            <w:shd w:val="clear" w:color="auto" w:fill="auto"/>
            <w:vAlign w:val="center"/>
          </w:tcPr>
          <w:p w:rsidRPr="00FC3681" w:rsidR="00C551FF" w:rsidP="00C551FF" w:rsidRDefault="00C551FF" w14:paraId="6A27CCDC" w14:textId="3D6CA404">
            <w:pPr>
              <w:keepNext/>
              <w:widowControl w:val="0"/>
              <w:autoSpaceDE w:val="0"/>
              <w:autoSpaceDN w:val="0"/>
              <w:adjustRightInd w:val="0"/>
              <w:spacing w:after="0" w:line="240" w:lineRule="auto"/>
              <w:rPr>
                <w:rFonts w:cs="Calibri"/>
                <w:sz w:val="18"/>
                <w:szCs w:val="18"/>
              </w:rPr>
            </w:pPr>
            <w:r w:rsidRPr="00FC3681">
              <w:rPr>
                <w:sz w:val="18"/>
                <w:szCs w:val="18"/>
              </w:rPr>
              <w:t>Application for a Non-profit Corporation to be Designated as a Recreational Quota Entity (RQE)</w:t>
            </w:r>
          </w:p>
        </w:tc>
        <w:tc>
          <w:tcPr>
            <w:tcW w:w="608" w:type="pct"/>
            <w:tcBorders>
              <w:left w:val="dotted" w:color="000000" w:sz="4" w:space="0"/>
              <w:bottom w:val="dotted" w:color="000000" w:sz="4" w:space="0"/>
              <w:right w:val="dashed" w:color="000000" w:sz="4" w:space="0"/>
            </w:tcBorders>
            <w:vAlign w:val="center"/>
          </w:tcPr>
          <w:p w:rsidRPr="00FC3681" w:rsidR="00C551FF" w:rsidP="00C551FF" w:rsidRDefault="00C551FF" w14:paraId="0BDAED3B" w14:textId="261D6EEB">
            <w:pPr>
              <w:keepNext/>
              <w:widowControl w:val="0"/>
              <w:autoSpaceDE w:val="0"/>
              <w:autoSpaceDN w:val="0"/>
              <w:adjustRightInd w:val="0"/>
              <w:spacing w:after="0" w:line="240" w:lineRule="auto"/>
              <w:jc w:val="center"/>
              <w:rPr>
                <w:rFonts w:cs="Calibri"/>
                <w:sz w:val="18"/>
                <w:szCs w:val="18"/>
              </w:rPr>
            </w:pPr>
            <w:r>
              <w:rPr>
                <w:rFonts w:cs="Calibri"/>
                <w:sz w:val="18"/>
                <w:szCs w:val="18"/>
              </w:rPr>
              <w:t>0</w:t>
            </w:r>
            <w:r w:rsidRPr="0090745B">
              <w:rPr>
                <w:rFonts w:cs="Calibri"/>
                <w:sz w:val="18"/>
                <w:szCs w:val="18"/>
                <w:vertAlign w:val="superscript"/>
              </w:rPr>
              <w:t>1</w:t>
            </w:r>
          </w:p>
        </w:tc>
        <w:tc>
          <w:tcPr>
            <w:tcW w:w="578" w:type="pct"/>
            <w:tcBorders>
              <w:left w:val="dashed" w:color="000000" w:sz="4" w:space="0"/>
              <w:bottom w:val="dotted" w:color="000000" w:sz="4" w:space="0"/>
              <w:right w:val="single" w:color="000000" w:sz="4" w:space="0"/>
            </w:tcBorders>
            <w:vAlign w:val="center"/>
          </w:tcPr>
          <w:p w:rsidRPr="00FC3681" w:rsidR="00C551FF" w:rsidP="00C551FF" w:rsidRDefault="00C551FF" w14:paraId="68CBB7B0" w14:textId="58B5D249">
            <w:pPr>
              <w:keepNext/>
              <w:widowControl w:val="0"/>
              <w:autoSpaceDE w:val="0"/>
              <w:autoSpaceDN w:val="0"/>
              <w:adjustRightInd w:val="0"/>
              <w:spacing w:after="0" w:line="240" w:lineRule="auto"/>
              <w:jc w:val="center"/>
              <w:rPr>
                <w:rFonts w:cs="Calibri"/>
                <w:sz w:val="18"/>
                <w:szCs w:val="18"/>
              </w:rPr>
            </w:pPr>
            <w:r>
              <w:rPr>
                <w:rFonts w:cs="Calibri"/>
                <w:sz w:val="18"/>
                <w:szCs w:val="18"/>
              </w:rPr>
              <w:t>0</w:t>
            </w:r>
            <w:r w:rsidRPr="0090745B">
              <w:rPr>
                <w:rFonts w:cs="Calibri"/>
                <w:sz w:val="18"/>
                <w:szCs w:val="18"/>
                <w:vertAlign w:val="superscript"/>
              </w:rPr>
              <w:t>1</w:t>
            </w:r>
          </w:p>
        </w:tc>
        <w:tc>
          <w:tcPr>
            <w:tcW w:w="1936" w:type="pct"/>
            <w:tcBorders>
              <w:left w:val="dashed" w:color="000000" w:sz="4" w:space="0"/>
              <w:bottom w:val="dotted" w:color="000000" w:sz="4" w:space="0"/>
              <w:right w:val="single" w:color="000000" w:sz="4" w:space="0"/>
            </w:tcBorders>
            <w:vAlign w:val="center"/>
          </w:tcPr>
          <w:p w:rsidRPr="00C551FF" w:rsidR="00C551FF" w:rsidP="00C551FF" w:rsidRDefault="00C551FF" w14:paraId="27A84E3A" w14:textId="2193287C">
            <w:pPr>
              <w:keepNext/>
              <w:widowControl w:val="0"/>
              <w:autoSpaceDE w:val="0"/>
              <w:autoSpaceDN w:val="0"/>
              <w:adjustRightInd w:val="0"/>
              <w:spacing w:after="0" w:line="240" w:lineRule="auto"/>
              <w:rPr>
                <w:sz w:val="18"/>
                <w:szCs w:val="18"/>
              </w:rPr>
            </w:pPr>
            <w:r w:rsidRPr="00C551FF">
              <w:rPr>
                <w:sz w:val="18"/>
                <w:szCs w:val="18"/>
              </w:rPr>
              <w:t>Program change to remove notary requirement</w:t>
            </w:r>
          </w:p>
        </w:tc>
      </w:tr>
      <w:tr w:rsidRPr="00FC3681" w:rsidR="00A70B91" w:rsidTr="004B771B" w14:paraId="713EC848" w14:textId="77777777">
        <w:trPr>
          <w:trHeight w:val="328"/>
          <w:jc w:val="center"/>
        </w:trPr>
        <w:tc>
          <w:tcPr>
            <w:tcW w:w="1878" w:type="pct"/>
            <w:shd w:val="clear" w:color="auto" w:fill="auto"/>
            <w:vAlign w:val="center"/>
          </w:tcPr>
          <w:p w:rsidRPr="00FC3681" w:rsidR="00FC3681" w:rsidP="00FC3681" w:rsidRDefault="0027520B" w14:paraId="1D1DE5F8" w14:textId="566120D3">
            <w:pPr>
              <w:keepNext/>
              <w:widowControl w:val="0"/>
              <w:autoSpaceDE w:val="0"/>
              <w:autoSpaceDN w:val="0"/>
              <w:adjustRightInd w:val="0"/>
              <w:spacing w:after="0" w:line="240" w:lineRule="auto"/>
              <w:rPr>
                <w:sz w:val="18"/>
                <w:szCs w:val="18"/>
              </w:rPr>
            </w:pPr>
            <w:r w:rsidRPr="0027520B">
              <w:rPr>
                <w:sz w:val="18"/>
                <w:szCs w:val="18"/>
              </w:rPr>
              <w:t>Annual Report for CDQ IFQ Transfers</w:t>
            </w:r>
          </w:p>
        </w:tc>
        <w:tc>
          <w:tcPr>
            <w:tcW w:w="608" w:type="pct"/>
            <w:tcBorders>
              <w:left w:val="dotted" w:color="000000" w:sz="4" w:space="0"/>
              <w:bottom w:val="dotted" w:color="000000" w:sz="4" w:space="0"/>
              <w:right w:val="dashed" w:color="000000" w:sz="4" w:space="0"/>
            </w:tcBorders>
            <w:vAlign w:val="center"/>
          </w:tcPr>
          <w:p w:rsidRPr="00FC3681" w:rsidR="00FC3681" w:rsidP="00FC3681" w:rsidRDefault="00E32B3E" w14:paraId="1F0C0A13" w14:textId="5A3B8847">
            <w:pPr>
              <w:keepNext/>
              <w:widowControl w:val="0"/>
              <w:autoSpaceDE w:val="0"/>
              <w:autoSpaceDN w:val="0"/>
              <w:adjustRightInd w:val="0"/>
              <w:spacing w:after="0" w:line="240" w:lineRule="auto"/>
              <w:jc w:val="center"/>
              <w:rPr>
                <w:rFonts w:cs="Calibri"/>
                <w:sz w:val="18"/>
                <w:szCs w:val="18"/>
              </w:rPr>
            </w:pPr>
            <w:r>
              <w:rPr>
                <w:rFonts w:cs="Calibri"/>
                <w:sz w:val="18"/>
                <w:szCs w:val="18"/>
              </w:rPr>
              <w:t>10</w:t>
            </w:r>
          </w:p>
        </w:tc>
        <w:tc>
          <w:tcPr>
            <w:tcW w:w="578" w:type="pct"/>
            <w:tcBorders>
              <w:left w:val="dashed" w:color="000000" w:sz="4" w:space="0"/>
              <w:bottom w:val="dotted" w:color="000000" w:sz="4" w:space="0"/>
              <w:right w:val="single" w:color="000000" w:sz="4" w:space="0"/>
            </w:tcBorders>
            <w:vAlign w:val="center"/>
          </w:tcPr>
          <w:p w:rsidRPr="00FC3681" w:rsidR="00FC3681" w:rsidP="00FC3681" w:rsidRDefault="00E32B3E" w14:paraId="2BEB5079" w14:textId="2DFCEEE3">
            <w:pPr>
              <w:keepNext/>
              <w:widowControl w:val="0"/>
              <w:autoSpaceDE w:val="0"/>
              <w:autoSpaceDN w:val="0"/>
              <w:adjustRightInd w:val="0"/>
              <w:spacing w:after="0" w:line="240" w:lineRule="auto"/>
              <w:jc w:val="center"/>
              <w:rPr>
                <w:rFonts w:cs="Calibri"/>
                <w:sz w:val="18"/>
                <w:szCs w:val="18"/>
              </w:rPr>
            </w:pPr>
            <w:r>
              <w:rPr>
                <w:rFonts w:cs="Calibri"/>
                <w:sz w:val="18"/>
                <w:szCs w:val="18"/>
              </w:rPr>
              <w:t>30</w:t>
            </w:r>
          </w:p>
        </w:tc>
        <w:tc>
          <w:tcPr>
            <w:tcW w:w="1936" w:type="pct"/>
            <w:tcBorders>
              <w:left w:val="dashed" w:color="000000" w:sz="4" w:space="0"/>
              <w:bottom w:val="dotted" w:color="000000" w:sz="4" w:space="0"/>
              <w:right w:val="single" w:color="000000" w:sz="4" w:space="0"/>
            </w:tcBorders>
            <w:vAlign w:val="center"/>
          </w:tcPr>
          <w:p w:rsidRPr="00C551FF" w:rsidR="00FC3681" w:rsidP="00A70B91" w:rsidRDefault="0027520B" w14:paraId="7D7AF610" w14:textId="7ED6DD6C">
            <w:pPr>
              <w:keepNext/>
              <w:widowControl w:val="0"/>
              <w:autoSpaceDE w:val="0"/>
              <w:autoSpaceDN w:val="0"/>
              <w:adjustRightInd w:val="0"/>
              <w:spacing w:after="0" w:line="240" w:lineRule="auto"/>
              <w:rPr>
                <w:sz w:val="18"/>
                <w:szCs w:val="18"/>
              </w:rPr>
            </w:pPr>
            <w:r w:rsidRPr="00C551FF">
              <w:rPr>
                <w:sz w:val="18"/>
                <w:szCs w:val="18"/>
              </w:rPr>
              <w:t>Correction to the supporting statement to remove the notary cost</w:t>
            </w:r>
            <w:r w:rsidRPr="00C551FF" w:rsidR="00A70B91">
              <w:rPr>
                <w:sz w:val="18"/>
                <w:szCs w:val="18"/>
              </w:rPr>
              <w:t>, which was erroneously i</w:t>
            </w:r>
            <w:r w:rsidRPr="00C551FF">
              <w:rPr>
                <w:sz w:val="18"/>
                <w:szCs w:val="18"/>
              </w:rPr>
              <w:t>ncluded in the miscellaneous costs for this report</w:t>
            </w:r>
          </w:p>
        </w:tc>
      </w:tr>
      <w:tr w:rsidRPr="00AC4505" w:rsidR="00A70B91" w:rsidTr="004B771B" w14:paraId="13866D67" w14:textId="7ECDC9AE">
        <w:trPr>
          <w:trHeight w:val="328"/>
          <w:jc w:val="center"/>
        </w:trPr>
        <w:tc>
          <w:tcPr>
            <w:tcW w:w="1878" w:type="pct"/>
            <w:shd w:val="clear" w:color="auto" w:fill="BDD7EE"/>
            <w:vAlign w:val="center"/>
          </w:tcPr>
          <w:p w:rsidRPr="00A70B91" w:rsidR="00FC3681" w:rsidP="00AC4505" w:rsidRDefault="00FC3681" w14:paraId="3F84269A" w14:textId="77777777">
            <w:pPr>
              <w:keepNext/>
              <w:widowControl w:val="0"/>
              <w:autoSpaceDE w:val="0"/>
              <w:autoSpaceDN w:val="0"/>
              <w:adjustRightInd w:val="0"/>
              <w:spacing w:after="0" w:line="240" w:lineRule="auto"/>
              <w:jc w:val="center"/>
              <w:rPr>
                <w:rFonts w:cs="Calibri"/>
                <w:b/>
                <w:sz w:val="18"/>
                <w:szCs w:val="18"/>
              </w:rPr>
            </w:pPr>
            <w:r w:rsidRPr="00A70B91">
              <w:rPr>
                <w:rFonts w:cs="Calibri"/>
                <w:b/>
                <w:sz w:val="18"/>
                <w:szCs w:val="18"/>
              </w:rPr>
              <w:t>Total for Collection</w:t>
            </w:r>
          </w:p>
        </w:tc>
        <w:tc>
          <w:tcPr>
            <w:tcW w:w="608" w:type="pct"/>
            <w:tcBorders>
              <w:left w:val="dotted" w:color="000000" w:sz="4" w:space="0"/>
              <w:right w:val="dashed" w:color="000000" w:sz="4" w:space="0"/>
            </w:tcBorders>
            <w:shd w:val="clear" w:color="auto" w:fill="BDD7EE"/>
            <w:vAlign w:val="center"/>
          </w:tcPr>
          <w:p w:rsidRPr="00A70B91" w:rsidR="00FC3681" w:rsidP="00AC4505" w:rsidRDefault="00A70B91" w14:paraId="66BE196B" w14:textId="594C2E8D">
            <w:pPr>
              <w:keepNext/>
              <w:widowControl w:val="0"/>
              <w:autoSpaceDE w:val="0"/>
              <w:autoSpaceDN w:val="0"/>
              <w:adjustRightInd w:val="0"/>
              <w:spacing w:after="0" w:line="240" w:lineRule="auto"/>
              <w:jc w:val="center"/>
              <w:rPr>
                <w:rFonts w:cs="Calibri"/>
                <w:b/>
                <w:sz w:val="18"/>
                <w:szCs w:val="18"/>
              </w:rPr>
            </w:pPr>
            <w:r w:rsidRPr="00A70B91">
              <w:rPr>
                <w:rFonts w:cs="Calibri"/>
                <w:b/>
                <w:sz w:val="18"/>
                <w:szCs w:val="18"/>
              </w:rPr>
              <w:t>$</w:t>
            </w:r>
            <w:r w:rsidRPr="00A70B91" w:rsidR="004001F1">
              <w:rPr>
                <w:rFonts w:cs="Calibri"/>
                <w:b/>
                <w:sz w:val="18"/>
                <w:szCs w:val="18"/>
              </w:rPr>
              <w:t>28,225</w:t>
            </w:r>
          </w:p>
        </w:tc>
        <w:tc>
          <w:tcPr>
            <w:tcW w:w="578" w:type="pct"/>
            <w:tcBorders>
              <w:left w:val="dashed" w:color="000000" w:sz="4" w:space="0"/>
              <w:right w:val="single" w:color="000000" w:sz="4" w:space="0"/>
            </w:tcBorders>
            <w:shd w:val="clear" w:color="auto" w:fill="BDD7EE"/>
            <w:vAlign w:val="center"/>
          </w:tcPr>
          <w:p w:rsidRPr="00A70B91" w:rsidR="00FC3681" w:rsidP="00AC4505" w:rsidRDefault="00A70B91" w14:paraId="25E1FF81" w14:textId="5E66ABE0">
            <w:pPr>
              <w:keepNext/>
              <w:widowControl w:val="0"/>
              <w:autoSpaceDE w:val="0"/>
              <w:autoSpaceDN w:val="0"/>
              <w:adjustRightInd w:val="0"/>
              <w:spacing w:after="0" w:line="240" w:lineRule="auto"/>
              <w:jc w:val="center"/>
              <w:rPr>
                <w:rFonts w:cs="Calibri"/>
                <w:b/>
                <w:sz w:val="18"/>
                <w:szCs w:val="18"/>
              </w:rPr>
            </w:pPr>
            <w:r w:rsidRPr="00A70B91">
              <w:rPr>
                <w:rFonts w:eastAsia="Times New Roman" w:cs="Calibri"/>
                <w:b/>
                <w:bCs/>
                <w:color w:val="000000"/>
                <w:sz w:val="18"/>
                <w:szCs w:val="18"/>
              </w:rPr>
              <w:t>$</w:t>
            </w:r>
            <w:r w:rsidRPr="00A70B91" w:rsidR="00AC2626">
              <w:rPr>
                <w:rFonts w:eastAsia="Times New Roman" w:cs="Calibri"/>
                <w:b/>
                <w:bCs/>
                <w:color w:val="000000"/>
                <w:sz w:val="18"/>
                <w:szCs w:val="18"/>
              </w:rPr>
              <w:t>46,895</w:t>
            </w:r>
          </w:p>
        </w:tc>
        <w:tc>
          <w:tcPr>
            <w:tcW w:w="1936" w:type="pct"/>
            <w:tcBorders>
              <w:left w:val="dashed" w:color="000000" w:sz="4" w:space="0"/>
              <w:right w:val="single" w:color="000000" w:sz="4" w:space="0"/>
            </w:tcBorders>
            <w:shd w:val="clear" w:color="auto" w:fill="000000" w:themeFill="text1"/>
            <w:vAlign w:val="center"/>
          </w:tcPr>
          <w:p w:rsidRPr="00A70B91" w:rsidR="00FC3681" w:rsidP="00AC4505" w:rsidRDefault="00FC3681" w14:paraId="37BF0469" w14:textId="77777777">
            <w:pPr>
              <w:keepNext/>
              <w:widowControl w:val="0"/>
              <w:autoSpaceDE w:val="0"/>
              <w:autoSpaceDN w:val="0"/>
              <w:adjustRightInd w:val="0"/>
              <w:spacing w:after="0" w:line="240" w:lineRule="auto"/>
              <w:jc w:val="center"/>
              <w:rPr>
                <w:rFonts w:cs="Calibri"/>
                <w:b/>
                <w:sz w:val="18"/>
                <w:szCs w:val="18"/>
              </w:rPr>
            </w:pPr>
          </w:p>
        </w:tc>
      </w:tr>
      <w:tr w:rsidRPr="00AC4505" w:rsidR="00A70B91" w:rsidTr="004B771B" w14:paraId="3048E957" w14:textId="3618EEB6">
        <w:trPr>
          <w:trHeight w:val="328"/>
          <w:jc w:val="center"/>
        </w:trPr>
        <w:tc>
          <w:tcPr>
            <w:tcW w:w="1878" w:type="pct"/>
            <w:shd w:val="clear" w:color="auto" w:fill="FBE4D5"/>
            <w:vAlign w:val="center"/>
          </w:tcPr>
          <w:p w:rsidRPr="00A70B91" w:rsidR="00FC3681" w:rsidP="00AC4505" w:rsidRDefault="00FC3681" w14:paraId="271FD73F" w14:textId="364F6102">
            <w:pPr>
              <w:keepNext/>
              <w:widowControl w:val="0"/>
              <w:autoSpaceDE w:val="0"/>
              <w:autoSpaceDN w:val="0"/>
              <w:adjustRightInd w:val="0"/>
              <w:spacing w:after="0" w:line="240" w:lineRule="auto"/>
              <w:jc w:val="center"/>
              <w:rPr>
                <w:rFonts w:cs="Calibri"/>
                <w:b/>
                <w:sz w:val="18"/>
                <w:szCs w:val="18"/>
              </w:rPr>
            </w:pPr>
            <w:r w:rsidRPr="00A70B91">
              <w:rPr>
                <w:rFonts w:eastAsia="Times New Roman" w:cs="Calibri"/>
                <w:b/>
                <w:bCs/>
                <w:color w:val="000000"/>
                <w:sz w:val="18"/>
                <w:szCs w:val="18"/>
              </w:rPr>
              <w:t>Difference</w:t>
            </w:r>
          </w:p>
        </w:tc>
        <w:tc>
          <w:tcPr>
            <w:tcW w:w="1186" w:type="pct"/>
            <w:gridSpan w:val="2"/>
            <w:tcBorders>
              <w:left w:val="dotted" w:color="000000" w:sz="4" w:space="0"/>
              <w:right w:val="single" w:color="000000" w:sz="4" w:space="0"/>
            </w:tcBorders>
            <w:shd w:val="clear" w:color="auto" w:fill="FBE4D5"/>
            <w:vAlign w:val="center"/>
          </w:tcPr>
          <w:p w:rsidR="00FC3681" w:rsidP="00AC4505" w:rsidRDefault="004001F1" w14:paraId="27921513" w14:textId="77777777">
            <w:pPr>
              <w:keepNext/>
              <w:widowControl w:val="0"/>
              <w:autoSpaceDE w:val="0"/>
              <w:autoSpaceDN w:val="0"/>
              <w:adjustRightInd w:val="0"/>
              <w:spacing w:after="0" w:line="240" w:lineRule="auto"/>
              <w:jc w:val="center"/>
              <w:rPr>
                <w:rFonts w:cs="Calibri"/>
                <w:b/>
                <w:sz w:val="18"/>
                <w:szCs w:val="18"/>
              </w:rPr>
            </w:pPr>
            <w:r w:rsidRPr="00A70B91">
              <w:rPr>
                <w:rFonts w:cs="Calibri"/>
                <w:b/>
                <w:sz w:val="18"/>
                <w:szCs w:val="18"/>
              </w:rPr>
              <w:t>- $18,670</w:t>
            </w:r>
          </w:p>
          <w:p w:rsidR="00C551FF" w:rsidP="00C551FF" w:rsidRDefault="00C551FF" w14:paraId="2B108256" w14:textId="77777777">
            <w:pPr>
              <w:keepNext/>
              <w:widowControl w:val="0"/>
              <w:autoSpaceDE w:val="0"/>
              <w:autoSpaceDN w:val="0"/>
              <w:adjustRightInd w:val="0"/>
              <w:spacing w:after="0" w:line="240" w:lineRule="auto"/>
              <w:jc w:val="center"/>
              <w:rPr>
                <w:rFonts w:cs="Calibri"/>
                <w:b/>
                <w:sz w:val="18"/>
                <w:szCs w:val="18"/>
              </w:rPr>
            </w:pPr>
            <w:r>
              <w:rPr>
                <w:rFonts w:cs="Calibri"/>
                <w:b/>
                <w:sz w:val="18"/>
                <w:szCs w:val="18"/>
              </w:rPr>
              <w:t>[-$18,650 change]</w:t>
            </w:r>
          </w:p>
          <w:p w:rsidRPr="00A70B91" w:rsidR="00C551FF" w:rsidP="00C551FF" w:rsidRDefault="00C551FF" w14:paraId="5EB71EC4" w14:textId="70AFD1DB">
            <w:pPr>
              <w:keepNext/>
              <w:widowControl w:val="0"/>
              <w:autoSpaceDE w:val="0"/>
              <w:autoSpaceDN w:val="0"/>
              <w:adjustRightInd w:val="0"/>
              <w:spacing w:after="0" w:line="240" w:lineRule="auto"/>
              <w:jc w:val="center"/>
              <w:rPr>
                <w:rFonts w:cs="Calibri"/>
                <w:b/>
                <w:sz w:val="18"/>
                <w:szCs w:val="18"/>
              </w:rPr>
            </w:pPr>
            <w:r>
              <w:rPr>
                <w:rFonts w:cs="Calibri"/>
                <w:b/>
                <w:sz w:val="18"/>
                <w:szCs w:val="18"/>
              </w:rPr>
              <w:t>[-$20 adjustment]</w:t>
            </w:r>
          </w:p>
        </w:tc>
        <w:tc>
          <w:tcPr>
            <w:tcW w:w="1936" w:type="pct"/>
            <w:tcBorders>
              <w:left w:val="dotted" w:color="000000" w:sz="4" w:space="0"/>
              <w:right w:val="single" w:color="000000" w:sz="4" w:space="0"/>
            </w:tcBorders>
            <w:shd w:val="clear" w:color="auto" w:fill="000000" w:themeFill="text1"/>
            <w:vAlign w:val="center"/>
          </w:tcPr>
          <w:p w:rsidRPr="00A70B91" w:rsidR="00FC3681" w:rsidP="00AC4505" w:rsidRDefault="00FC3681" w14:paraId="758A894A" w14:textId="77777777">
            <w:pPr>
              <w:keepNext/>
              <w:widowControl w:val="0"/>
              <w:autoSpaceDE w:val="0"/>
              <w:autoSpaceDN w:val="0"/>
              <w:adjustRightInd w:val="0"/>
              <w:spacing w:after="0" w:line="240" w:lineRule="auto"/>
              <w:jc w:val="center"/>
              <w:rPr>
                <w:rFonts w:cs="Calibri"/>
                <w:b/>
                <w:sz w:val="18"/>
                <w:szCs w:val="18"/>
              </w:rPr>
            </w:pPr>
          </w:p>
        </w:tc>
      </w:tr>
    </w:tbl>
    <w:p w:rsidR="00AC4505" w:rsidP="0090745B" w:rsidRDefault="0090745B" w14:paraId="19243B3B" w14:textId="3A88D31B">
      <w:pPr>
        <w:autoSpaceDE w:val="0"/>
        <w:autoSpaceDN w:val="0"/>
        <w:spacing w:before="60" w:after="0" w:line="240" w:lineRule="auto"/>
        <w:rPr>
          <w:rFonts w:ascii="Times New Roman" w:hAnsi="Times New Roman" w:eastAsia="SimSun"/>
          <w:sz w:val="24"/>
          <w:szCs w:val="24"/>
        </w:rPr>
      </w:pPr>
      <w:r w:rsidRPr="0090745B">
        <w:rPr>
          <w:rFonts w:eastAsia="Times New Roman" w:cs="Calibri"/>
          <w:sz w:val="18"/>
          <w:szCs w:val="18"/>
          <w:vertAlign w:val="superscript"/>
        </w:rPr>
        <w:t>1</w:t>
      </w:r>
      <w:r w:rsidRPr="0027520B" w:rsidR="0027520B">
        <w:rPr>
          <w:rFonts w:eastAsia="Times New Roman" w:cs="Calibri"/>
          <w:sz w:val="18"/>
          <w:szCs w:val="18"/>
        </w:rPr>
        <w:t>This application is not expected to be used during this renewal period because the RQE has been established and is not expected to change.</w:t>
      </w:r>
    </w:p>
    <w:p w:rsidR="0027520B" w:rsidP="00B449C6" w:rsidRDefault="0027520B" w14:paraId="35DFE7C6" w14:textId="77777777">
      <w:pPr>
        <w:autoSpaceDE w:val="0"/>
        <w:autoSpaceDN w:val="0"/>
        <w:spacing w:after="0" w:line="240" w:lineRule="auto"/>
        <w:rPr>
          <w:rFonts w:ascii="Times New Roman" w:hAnsi="Times New Roman" w:eastAsia="SimSun"/>
          <w:sz w:val="24"/>
          <w:szCs w:val="24"/>
        </w:rPr>
      </w:pPr>
    </w:p>
    <w:p w:rsidRPr="00807C13" w:rsidR="00CB3F01" w:rsidP="00B449C6" w:rsidRDefault="00CB3F01" w14:paraId="2D241C84" w14:textId="77777777">
      <w:pPr>
        <w:spacing w:after="0" w:line="240" w:lineRule="auto"/>
        <w:rPr>
          <w:rFonts w:ascii="Times New Roman" w:hAnsi="Times New Roman"/>
          <w:b/>
          <w:sz w:val="24"/>
          <w:szCs w:val="24"/>
        </w:rPr>
      </w:pPr>
      <w:r w:rsidRPr="00807C13">
        <w:rPr>
          <w:rFonts w:ascii="Times New Roman" w:hAnsi="Times New Roman"/>
          <w:b/>
          <w:sz w:val="24"/>
          <w:szCs w:val="24"/>
        </w:rPr>
        <w:t>Submission with Proposed Rule and Solicitation of Comments</w:t>
      </w:r>
    </w:p>
    <w:p w:rsidRPr="00925937" w:rsidR="00CB3F01" w:rsidP="00925937" w:rsidRDefault="00CB3F01" w14:paraId="2588B78B" w14:textId="6CAB06FE">
      <w:pPr>
        <w:spacing w:after="0" w:line="240" w:lineRule="auto"/>
        <w:rPr>
          <w:rFonts w:ascii="Times New Roman" w:hAnsi="Times New Roman"/>
          <w:sz w:val="24"/>
          <w:szCs w:val="24"/>
        </w:rPr>
      </w:pPr>
      <w:r w:rsidRPr="00807C13">
        <w:rPr>
          <w:rFonts w:ascii="Times New Roman" w:hAnsi="Times New Roman"/>
          <w:sz w:val="24"/>
          <w:szCs w:val="24"/>
        </w:rPr>
        <w:t>A proposed rule (RIN 0648-BK76) soliciting public comments will be published coincident with this submission.</w:t>
      </w:r>
      <w:bookmarkStart w:name="_GoBack" w:id="0"/>
      <w:bookmarkEnd w:id="0"/>
    </w:p>
    <w:sectPr w:rsidRPr="00925937" w:rsidR="00CB3F0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F68B2" w14:textId="77777777" w:rsidR="00BB78B4" w:rsidRDefault="00BB78B4" w:rsidP="00C31F5E">
      <w:pPr>
        <w:spacing w:after="0" w:line="240" w:lineRule="auto"/>
      </w:pPr>
      <w:r>
        <w:separator/>
      </w:r>
    </w:p>
  </w:endnote>
  <w:endnote w:type="continuationSeparator" w:id="0">
    <w:p w14:paraId="76910350" w14:textId="77777777" w:rsidR="00BB78B4" w:rsidRDefault="00BB78B4" w:rsidP="00C3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840477"/>
      <w:docPartObj>
        <w:docPartGallery w:val="Page Numbers (Bottom of Page)"/>
        <w:docPartUnique/>
      </w:docPartObj>
    </w:sdtPr>
    <w:sdtEndPr>
      <w:rPr>
        <w:noProof/>
      </w:rPr>
    </w:sdtEndPr>
    <w:sdtContent>
      <w:p w14:paraId="7018E78C" w14:textId="0C94234A" w:rsidR="004B3E75" w:rsidRDefault="004B3E75">
        <w:pPr>
          <w:pStyle w:val="Footer"/>
          <w:jc w:val="center"/>
        </w:pPr>
        <w:r>
          <w:fldChar w:fldCharType="begin"/>
        </w:r>
        <w:r>
          <w:instrText xml:space="preserve"> PAGE   \* MERGEFORMAT </w:instrText>
        </w:r>
        <w:r>
          <w:fldChar w:fldCharType="separate"/>
        </w:r>
        <w:r w:rsidR="00925937">
          <w:rPr>
            <w:noProof/>
          </w:rPr>
          <w:t>3</w:t>
        </w:r>
        <w:r>
          <w:rPr>
            <w:noProof/>
          </w:rPr>
          <w:fldChar w:fldCharType="end"/>
        </w:r>
      </w:p>
    </w:sdtContent>
  </w:sdt>
  <w:p w14:paraId="0677E0F8" w14:textId="77777777" w:rsidR="004B3E75" w:rsidRDefault="004B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0EC5D" w14:textId="77777777" w:rsidR="00BB78B4" w:rsidRDefault="00BB78B4" w:rsidP="00C31F5E">
      <w:pPr>
        <w:spacing w:after="0" w:line="240" w:lineRule="auto"/>
      </w:pPr>
      <w:r>
        <w:separator/>
      </w:r>
    </w:p>
  </w:footnote>
  <w:footnote w:type="continuationSeparator" w:id="0">
    <w:p w14:paraId="7BB3040A" w14:textId="77777777" w:rsidR="00BB78B4" w:rsidRDefault="00BB78B4" w:rsidP="00C31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610F"/>
    <w:multiLevelType w:val="hybridMultilevel"/>
    <w:tmpl w:val="AA1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E4B96"/>
    <w:multiLevelType w:val="hybridMultilevel"/>
    <w:tmpl w:val="BABC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E6"/>
    <w:rsid w:val="000011D7"/>
    <w:rsid w:val="00021C2D"/>
    <w:rsid w:val="00022F41"/>
    <w:rsid w:val="00025E9C"/>
    <w:rsid w:val="00026206"/>
    <w:rsid w:val="00041E2D"/>
    <w:rsid w:val="00043AD7"/>
    <w:rsid w:val="00044FE6"/>
    <w:rsid w:val="000458DE"/>
    <w:rsid w:val="00051F55"/>
    <w:rsid w:val="000532A0"/>
    <w:rsid w:val="00056B4B"/>
    <w:rsid w:val="000743D8"/>
    <w:rsid w:val="0007445B"/>
    <w:rsid w:val="00076F95"/>
    <w:rsid w:val="0008441A"/>
    <w:rsid w:val="00084A26"/>
    <w:rsid w:val="0008633D"/>
    <w:rsid w:val="00096B70"/>
    <w:rsid w:val="000A18A9"/>
    <w:rsid w:val="000A5749"/>
    <w:rsid w:val="000A6B42"/>
    <w:rsid w:val="000B3E41"/>
    <w:rsid w:val="000D38BB"/>
    <w:rsid w:val="000E2B25"/>
    <w:rsid w:val="000E58E3"/>
    <w:rsid w:val="000F6FF0"/>
    <w:rsid w:val="00104315"/>
    <w:rsid w:val="001111AA"/>
    <w:rsid w:val="001121A5"/>
    <w:rsid w:val="00116ACE"/>
    <w:rsid w:val="00124A90"/>
    <w:rsid w:val="00131446"/>
    <w:rsid w:val="00142406"/>
    <w:rsid w:val="001524D7"/>
    <w:rsid w:val="00174976"/>
    <w:rsid w:val="00181064"/>
    <w:rsid w:val="00181B9D"/>
    <w:rsid w:val="001824DC"/>
    <w:rsid w:val="00192314"/>
    <w:rsid w:val="00192C24"/>
    <w:rsid w:val="00194928"/>
    <w:rsid w:val="001A0F90"/>
    <w:rsid w:val="001A7B9B"/>
    <w:rsid w:val="001A7C44"/>
    <w:rsid w:val="001B11F9"/>
    <w:rsid w:val="001B4C5D"/>
    <w:rsid w:val="001C6BA9"/>
    <w:rsid w:val="001C7EA1"/>
    <w:rsid w:val="001D0DA3"/>
    <w:rsid w:val="001D54AE"/>
    <w:rsid w:val="001E311B"/>
    <w:rsid w:val="001F60B9"/>
    <w:rsid w:val="001F6744"/>
    <w:rsid w:val="00204624"/>
    <w:rsid w:val="00206109"/>
    <w:rsid w:val="00211D68"/>
    <w:rsid w:val="00220A47"/>
    <w:rsid w:val="0022246A"/>
    <w:rsid w:val="00230836"/>
    <w:rsid w:val="002344BB"/>
    <w:rsid w:val="002439B3"/>
    <w:rsid w:val="0024449A"/>
    <w:rsid w:val="00253F9B"/>
    <w:rsid w:val="00270CD7"/>
    <w:rsid w:val="00273706"/>
    <w:rsid w:val="00273ADE"/>
    <w:rsid w:val="0027520B"/>
    <w:rsid w:val="00283D1C"/>
    <w:rsid w:val="00285B90"/>
    <w:rsid w:val="00287C15"/>
    <w:rsid w:val="002A32C9"/>
    <w:rsid w:val="002A38E7"/>
    <w:rsid w:val="002B0FBA"/>
    <w:rsid w:val="002B78C4"/>
    <w:rsid w:val="002D16E8"/>
    <w:rsid w:val="002D33D9"/>
    <w:rsid w:val="002E6BDC"/>
    <w:rsid w:val="003012CB"/>
    <w:rsid w:val="00304FCB"/>
    <w:rsid w:val="00311727"/>
    <w:rsid w:val="003170DF"/>
    <w:rsid w:val="00317E7D"/>
    <w:rsid w:val="003352A6"/>
    <w:rsid w:val="0034174E"/>
    <w:rsid w:val="00350872"/>
    <w:rsid w:val="00350A6E"/>
    <w:rsid w:val="00361938"/>
    <w:rsid w:val="0037014F"/>
    <w:rsid w:val="003872B9"/>
    <w:rsid w:val="003875B0"/>
    <w:rsid w:val="00392A35"/>
    <w:rsid w:val="003952F2"/>
    <w:rsid w:val="003A67C5"/>
    <w:rsid w:val="003B1551"/>
    <w:rsid w:val="003B37AC"/>
    <w:rsid w:val="003B3AD8"/>
    <w:rsid w:val="003C187F"/>
    <w:rsid w:val="003C6FF1"/>
    <w:rsid w:val="003D76A4"/>
    <w:rsid w:val="003E6D28"/>
    <w:rsid w:val="003F0547"/>
    <w:rsid w:val="003F107D"/>
    <w:rsid w:val="003F6FF4"/>
    <w:rsid w:val="004001F1"/>
    <w:rsid w:val="004011C7"/>
    <w:rsid w:val="00405E75"/>
    <w:rsid w:val="004079C7"/>
    <w:rsid w:val="0041301D"/>
    <w:rsid w:val="00415416"/>
    <w:rsid w:val="0041591A"/>
    <w:rsid w:val="00417362"/>
    <w:rsid w:val="00417FF9"/>
    <w:rsid w:val="00420C3A"/>
    <w:rsid w:val="00423727"/>
    <w:rsid w:val="00424D0B"/>
    <w:rsid w:val="00426827"/>
    <w:rsid w:val="00437202"/>
    <w:rsid w:val="004373E2"/>
    <w:rsid w:val="00440EA4"/>
    <w:rsid w:val="00444688"/>
    <w:rsid w:val="004630BC"/>
    <w:rsid w:val="00467F1A"/>
    <w:rsid w:val="00476520"/>
    <w:rsid w:val="00487238"/>
    <w:rsid w:val="004926FE"/>
    <w:rsid w:val="00495548"/>
    <w:rsid w:val="00495E5A"/>
    <w:rsid w:val="004A3A7F"/>
    <w:rsid w:val="004B0166"/>
    <w:rsid w:val="004B3E75"/>
    <w:rsid w:val="004B426B"/>
    <w:rsid w:val="004B4C83"/>
    <w:rsid w:val="004B6ED1"/>
    <w:rsid w:val="004B771B"/>
    <w:rsid w:val="004C126F"/>
    <w:rsid w:val="004C3099"/>
    <w:rsid w:val="004C3119"/>
    <w:rsid w:val="004D633F"/>
    <w:rsid w:val="004D7A2A"/>
    <w:rsid w:val="004E33FE"/>
    <w:rsid w:val="004E5036"/>
    <w:rsid w:val="004F4BDC"/>
    <w:rsid w:val="00500EC4"/>
    <w:rsid w:val="005015AC"/>
    <w:rsid w:val="0051658C"/>
    <w:rsid w:val="00522D1E"/>
    <w:rsid w:val="0053127B"/>
    <w:rsid w:val="00541F19"/>
    <w:rsid w:val="005434FF"/>
    <w:rsid w:val="00552FBF"/>
    <w:rsid w:val="0056761A"/>
    <w:rsid w:val="00571C8A"/>
    <w:rsid w:val="00577B23"/>
    <w:rsid w:val="00577C4D"/>
    <w:rsid w:val="00582776"/>
    <w:rsid w:val="00583958"/>
    <w:rsid w:val="005865CC"/>
    <w:rsid w:val="00592380"/>
    <w:rsid w:val="005928F0"/>
    <w:rsid w:val="005940A5"/>
    <w:rsid w:val="00595619"/>
    <w:rsid w:val="005A0423"/>
    <w:rsid w:val="005A11C0"/>
    <w:rsid w:val="005A6600"/>
    <w:rsid w:val="005C0DC1"/>
    <w:rsid w:val="005C4462"/>
    <w:rsid w:val="005D36AD"/>
    <w:rsid w:val="005E2BA0"/>
    <w:rsid w:val="005E5C3D"/>
    <w:rsid w:val="005E60C9"/>
    <w:rsid w:val="005F0DDD"/>
    <w:rsid w:val="006005D2"/>
    <w:rsid w:val="0062158C"/>
    <w:rsid w:val="00622077"/>
    <w:rsid w:val="006417ED"/>
    <w:rsid w:val="00642CF7"/>
    <w:rsid w:val="00643289"/>
    <w:rsid w:val="00652FB3"/>
    <w:rsid w:val="0065709D"/>
    <w:rsid w:val="0066248F"/>
    <w:rsid w:val="006624A4"/>
    <w:rsid w:val="0066532B"/>
    <w:rsid w:val="00666FC3"/>
    <w:rsid w:val="0067427A"/>
    <w:rsid w:val="00680A20"/>
    <w:rsid w:val="00681116"/>
    <w:rsid w:val="00681DF1"/>
    <w:rsid w:val="006825F7"/>
    <w:rsid w:val="0069464A"/>
    <w:rsid w:val="006B3DCF"/>
    <w:rsid w:val="006C028C"/>
    <w:rsid w:val="006C03B2"/>
    <w:rsid w:val="006C4F2C"/>
    <w:rsid w:val="006C53CC"/>
    <w:rsid w:val="006D18FF"/>
    <w:rsid w:val="006E106C"/>
    <w:rsid w:val="006E1207"/>
    <w:rsid w:val="006E19F9"/>
    <w:rsid w:val="006F5E17"/>
    <w:rsid w:val="00701A71"/>
    <w:rsid w:val="0071052D"/>
    <w:rsid w:val="007116F3"/>
    <w:rsid w:val="007132D6"/>
    <w:rsid w:val="00716E05"/>
    <w:rsid w:val="0071769F"/>
    <w:rsid w:val="00717C97"/>
    <w:rsid w:val="00723A8D"/>
    <w:rsid w:val="007243AA"/>
    <w:rsid w:val="00727DF4"/>
    <w:rsid w:val="00733E51"/>
    <w:rsid w:val="007345BC"/>
    <w:rsid w:val="00734932"/>
    <w:rsid w:val="00737A7B"/>
    <w:rsid w:val="00742A4F"/>
    <w:rsid w:val="00745824"/>
    <w:rsid w:val="00746D87"/>
    <w:rsid w:val="00752025"/>
    <w:rsid w:val="00756982"/>
    <w:rsid w:val="00756CB8"/>
    <w:rsid w:val="00772276"/>
    <w:rsid w:val="007842A6"/>
    <w:rsid w:val="00786D35"/>
    <w:rsid w:val="00792479"/>
    <w:rsid w:val="00795099"/>
    <w:rsid w:val="007A1647"/>
    <w:rsid w:val="007A536A"/>
    <w:rsid w:val="007A77C8"/>
    <w:rsid w:val="007C0761"/>
    <w:rsid w:val="007C5929"/>
    <w:rsid w:val="007E404F"/>
    <w:rsid w:val="007E6594"/>
    <w:rsid w:val="007F6DC4"/>
    <w:rsid w:val="00807C13"/>
    <w:rsid w:val="008100D7"/>
    <w:rsid w:val="00812A57"/>
    <w:rsid w:val="00812F4B"/>
    <w:rsid w:val="00826967"/>
    <w:rsid w:val="00830D83"/>
    <w:rsid w:val="00846DF5"/>
    <w:rsid w:val="0085646A"/>
    <w:rsid w:val="0086068F"/>
    <w:rsid w:val="008652B3"/>
    <w:rsid w:val="00875EAA"/>
    <w:rsid w:val="00885060"/>
    <w:rsid w:val="008918AC"/>
    <w:rsid w:val="008A700D"/>
    <w:rsid w:val="008D032B"/>
    <w:rsid w:val="008D38B7"/>
    <w:rsid w:val="008D517A"/>
    <w:rsid w:val="008D626B"/>
    <w:rsid w:val="008F6B60"/>
    <w:rsid w:val="0090630B"/>
    <w:rsid w:val="0090745B"/>
    <w:rsid w:val="0091623D"/>
    <w:rsid w:val="00916754"/>
    <w:rsid w:val="009256C5"/>
    <w:rsid w:val="00925937"/>
    <w:rsid w:val="00934373"/>
    <w:rsid w:val="009343A9"/>
    <w:rsid w:val="009356E5"/>
    <w:rsid w:val="00943BF8"/>
    <w:rsid w:val="0094581D"/>
    <w:rsid w:val="00956606"/>
    <w:rsid w:val="0095785D"/>
    <w:rsid w:val="00960689"/>
    <w:rsid w:val="00982651"/>
    <w:rsid w:val="00985CC7"/>
    <w:rsid w:val="00987451"/>
    <w:rsid w:val="0099017D"/>
    <w:rsid w:val="0099441D"/>
    <w:rsid w:val="009D4A9B"/>
    <w:rsid w:val="009D6EDC"/>
    <w:rsid w:val="009F4C58"/>
    <w:rsid w:val="009F7BCE"/>
    <w:rsid w:val="00A02FB2"/>
    <w:rsid w:val="00A118BB"/>
    <w:rsid w:val="00A2152B"/>
    <w:rsid w:val="00A22FBB"/>
    <w:rsid w:val="00A25B92"/>
    <w:rsid w:val="00A340CE"/>
    <w:rsid w:val="00A34DFF"/>
    <w:rsid w:val="00A372B1"/>
    <w:rsid w:val="00A52443"/>
    <w:rsid w:val="00A66D7D"/>
    <w:rsid w:val="00A70B91"/>
    <w:rsid w:val="00A750FE"/>
    <w:rsid w:val="00A77E4A"/>
    <w:rsid w:val="00A80069"/>
    <w:rsid w:val="00A813A8"/>
    <w:rsid w:val="00A84150"/>
    <w:rsid w:val="00A8472E"/>
    <w:rsid w:val="00A95C54"/>
    <w:rsid w:val="00AB0493"/>
    <w:rsid w:val="00AB6CE9"/>
    <w:rsid w:val="00AC020E"/>
    <w:rsid w:val="00AC18DF"/>
    <w:rsid w:val="00AC2626"/>
    <w:rsid w:val="00AC4505"/>
    <w:rsid w:val="00AC5261"/>
    <w:rsid w:val="00AD0559"/>
    <w:rsid w:val="00AD11E7"/>
    <w:rsid w:val="00AD2EBB"/>
    <w:rsid w:val="00AD3A93"/>
    <w:rsid w:val="00AE21F0"/>
    <w:rsid w:val="00AE75CC"/>
    <w:rsid w:val="00AF02FB"/>
    <w:rsid w:val="00AF04BE"/>
    <w:rsid w:val="00AF1BAB"/>
    <w:rsid w:val="00AF6683"/>
    <w:rsid w:val="00B04690"/>
    <w:rsid w:val="00B052A1"/>
    <w:rsid w:val="00B07551"/>
    <w:rsid w:val="00B12840"/>
    <w:rsid w:val="00B16A0A"/>
    <w:rsid w:val="00B449C6"/>
    <w:rsid w:val="00B44CA8"/>
    <w:rsid w:val="00B45EC6"/>
    <w:rsid w:val="00B45F9E"/>
    <w:rsid w:val="00B50DB8"/>
    <w:rsid w:val="00B57710"/>
    <w:rsid w:val="00B63B60"/>
    <w:rsid w:val="00B72F80"/>
    <w:rsid w:val="00B85928"/>
    <w:rsid w:val="00B86381"/>
    <w:rsid w:val="00B874D1"/>
    <w:rsid w:val="00B97BE6"/>
    <w:rsid w:val="00BB78B4"/>
    <w:rsid w:val="00BC11ED"/>
    <w:rsid w:val="00BC146F"/>
    <w:rsid w:val="00BC3078"/>
    <w:rsid w:val="00BC36E6"/>
    <w:rsid w:val="00BD0AAB"/>
    <w:rsid w:val="00BD6521"/>
    <w:rsid w:val="00BD7256"/>
    <w:rsid w:val="00BE1E35"/>
    <w:rsid w:val="00BE4D18"/>
    <w:rsid w:val="00BE64DC"/>
    <w:rsid w:val="00BE6CDD"/>
    <w:rsid w:val="00BE7519"/>
    <w:rsid w:val="00BE7B36"/>
    <w:rsid w:val="00C107A7"/>
    <w:rsid w:val="00C17584"/>
    <w:rsid w:val="00C1760D"/>
    <w:rsid w:val="00C20906"/>
    <w:rsid w:val="00C31F5E"/>
    <w:rsid w:val="00C3301E"/>
    <w:rsid w:val="00C35BE3"/>
    <w:rsid w:val="00C513F6"/>
    <w:rsid w:val="00C53995"/>
    <w:rsid w:val="00C551FF"/>
    <w:rsid w:val="00C65807"/>
    <w:rsid w:val="00C6781C"/>
    <w:rsid w:val="00C7088B"/>
    <w:rsid w:val="00C73C01"/>
    <w:rsid w:val="00C841F2"/>
    <w:rsid w:val="00CA2673"/>
    <w:rsid w:val="00CA3743"/>
    <w:rsid w:val="00CB28D1"/>
    <w:rsid w:val="00CB31A8"/>
    <w:rsid w:val="00CB3F01"/>
    <w:rsid w:val="00CC1008"/>
    <w:rsid w:val="00CC22FD"/>
    <w:rsid w:val="00CD186B"/>
    <w:rsid w:val="00CD3AC1"/>
    <w:rsid w:val="00CE2493"/>
    <w:rsid w:val="00D02459"/>
    <w:rsid w:val="00D05EB6"/>
    <w:rsid w:val="00D217CF"/>
    <w:rsid w:val="00D33686"/>
    <w:rsid w:val="00D35634"/>
    <w:rsid w:val="00D44F94"/>
    <w:rsid w:val="00D54460"/>
    <w:rsid w:val="00D549B1"/>
    <w:rsid w:val="00D7041F"/>
    <w:rsid w:val="00D7287C"/>
    <w:rsid w:val="00D744F0"/>
    <w:rsid w:val="00D877C4"/>
    <w:rsid w:val="00D973BA"/>
    <w:rsid w:val="00D97901"/>
    <w:rsid w:val="00DB4CA2"/>
    <w:rsid w:val="00DE2E5D"/>
    <w:rsid w:val="00DE3094"/>
    <w:rsid w:val="00DE39D3"/>
    <w:rsid w:val="00DE589B"/>
    <w:rsid w:val="00DF700D"/>
    <w:rsid w:val="00E05B94"/>
    <w:rsid w:val="00E07E82"/>
    <w:rsid w:val="00E216EA"/>
    <w:rsid w:val="00E226C3"/>
    <w:rsid w:val="00E23F24"/>
    <w:rsid w:val="00E2737B"/>
    <w:rsid w:val="00E32B3E"/>
    <w:rsid w:val="00E37C94"/>
    <w:rsid w:val="00E56D72"/>
    <w:rsid w:val="00E714BA"/>
    <w:rsid w:val="00E7224C"/>
    <w:rsid w:val="00E753F2"/>
    <w:rsid w:val="00E77730"/>
    <w:rsid w:val="00E848C2"/>
    <w:rsid w:val="00E86D28"/>
    <w:rsid w:val="00E87D5E"/>
    <w:rsid w:val="00EC54E6"/>
    <w:rsid w:val="00ED2423"/>
    <w:rsid w:val="00ED2DF6"/>
    <w:rsid w:val="00ED7B57"/>
    <w:rsid w:val="00EE37CD"/>
    <w:rsid w:val="00EE6182"/>
    <w:rsid w:val="00EE7E4B"/>
    <w:rsid w:val="00EF38BE"/>
    <w:rsid w:val="00EF7BB1"/>
    <w:rsid w:val="00F00D4E"/>
    <w:rsid w:val="00F02510"/>
    <w:rsid w:val="00F02991"/>
    <w:rsid w:val="00F03675"/>
    <w:rsid w:val="00F0379E"/>
    <w:rsid w:val="00F059F2"/>
    <w:rsid w:val="00F3684E"/>
    <w:rsid w:val="00F46367"/>
    <w:rsid w:val="00F56A4A"/>
    <w:rsid w:val="00F57CE7"/>
    <w:rsid w:val="00F61ECC"/>
    <w:rsid w:val="00F67F8E"/>
    <w:rsid w:val="00F702FE"/>
    <w:rsid w:val="00F73680"/>
    <w:rsid w:val="00F73884"/>
    <w:rsid w:val="00F902A9"/>
    <w:rsid w:val="00F91D5D"/>
    <w:rsid w:val="00F9369A"/>
    <w:rsid w:val="00FA0FE6"/>
    <w:rsid w:val="00FA56A3"/>
    <w:rsid w:val="00FA6532"/>
    <w:rsid w:val="00FC3681"/>
    <w:rsid w:val="00FC3AE2"/>
    <w:rsid w:val="00FD26DD"/>
    <w:rsid w:val="00FE4D03"/>
    <w:rsid w:val="00FE5A26"/>
    <w:rsid w:val="00FE7EA3"/>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B837"/>
  <w15:docId w15:val="{F9EE662C-302B-43F2-BFDA-43C7C3FC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 w:type="table" w:customStyle="1" w:styleId="Table1">
    <w:name w:val="@ Table1"/>
    <w:basedOn w:val="TableNormal"/>
    <w:next w:val="TableGrid"/>
    <w:uiPriority w:val="39"/>
    <w:rsid w:val="00CB3F01"/>
    <w:pPr>
      <w:spacing w:after="0"/>
      <w:jc w:val="center"/>
    </w:pPr>
    <w:rPr>
      <w:rFonts w:ascii="Arial" w:eastAsia="Times New Roman" w:hAnsi="Arial"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Emphasis">
    <w:name w:val="Emphasis"/>
    <w:basedOn w:val="DefaultParagraphFont"/>
    <w:qFormat/>
    <w:rsid w:val="003E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97104">
      <w:bodyDiv w:val="1"/>
      <w:marLeft w:val="0"/>
      <w:marRight w:val="0"/>
      <w:marTop w:val="0"/>
      <w:marBottom w:val="0"/>
      <w:divBdr>
        <w:top w:val="none" w:sz="0" w:space="0" w:color="auto"/>
        <w:left w:val="none" w:sz="0" w:space="0" w:color="auto"/>
        <w:bottom w:val="none" w:sz="0" w:space="0" w:color="auto"/>
        <w:right w:val="none" w:sz="0" w:space="0" w:color="auto"/>
      </w:divBdr>
    </w:div>
    <w:div w:id="21012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ecfr.federalregister.gov/current/title-50/chapter-VI/part-67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r.federalregister.gov/current/title-50/chapter-VI/part-67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fr.federalregister.gov/current/title-50/chapter-VI/part-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7508c54c314e4d44bea97722d1f7a434&amp;mc=true&amp;tpl=/ecfrbrowse/Title50/50cfr679_main_02.tpl" TargetMode="External"/><Relationship Id="rId5" Type="http://schemas.openxmlformats.org/officeDocument/2006/relationships/webSettings" Target="webSettings.xml"/><Relationship Id="rId15" Type="http://schemas.openxmlformats.org/officeDocument/2006/relationships/hyperlink" Target="https://ecfr.federalregister.gov/current/title-50/chapter-VI/part-679" TargetMode="External"/><Relationship Id="rId10" Type="http://schemas.openxmlformats.org/officeDocument/2006/relationships/hyperlink" Target="https://www.ecfr.gov/cgi-bin/text-idx?SID=5fd8a00e93f344560eb478ef3f0a4486&amp;mc=true&amp;node=sp50.11.300.e&amp;rgn=div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14" Type="http://schemas.openxmlformats.org/officeDocument/2006/relationships/hyperlink" Target="https://ecfr.federalregister.gov/current/title-50/chapter-VI/part-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32E7-0DE1-44BA-A58F-5435D78B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Adrienne.Thomas</cp:lastModifiedBy>
  <cp:revision>3</cp:revision>
  <cp:lastPrinted>2019-07-12T21:33:00Z</cp:lastPrinted>
  <dcterms:created xsi:type="dcterms:W3CDTF">2021-09-22T20:41:00Z</dcterms:created>
  <dcterms:modified xsi:type="dcterms:W3CDTF">2021-09-22T20:44:00Z</dcterms:modified>
</cp:coreProperties>
</file>