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928F0" w:rsidP="000458DE" w:rsidRDefault="005928F0" w14:paraId="08C7E6D6" w14:textId="207E88CA">
      <w:pPr>
        <w:spacing w:after="0" w:line="240" w:lineRule="auto"/>
        <w:jc w:val="center"/>
        <w:rPr>
          <w:rFonts w:ascii="Times New Roman" w:hAnsi="Times New Roman"/>
          <w:b/>
          <w:sz w:val="24"/>
          <w:szCs w:val="24"/>
        </w:rPr>
      </w:pPr>
      <w:bookmarkStart w:name="_GoBack" w:id="0"/>
      <w:bookmarkEnd w:id="0"/>
      <w:r>
        <w:rPr>
          <w:rFonts w:ascii="Times New Roman" w:hAnsi="Times New Roman"/>
          <w:b/>
          <w:sz w:val="24"/>
          <w:szCs w:val="24"/>
        </w:rPr>
        <w:t>JUSTIFICATION FOR CHANGE</w:t>
      </w:r>
    </w:p>
    <w:p w:rsidRPr="00B701E8" w:rsidR="005928F0" w:rsidP="000458DE" w:rsidRDefault="005928F0" w14:paraId="77EF6593"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rsidRPr="00B701E8" w:rsidR="005928F0" w:rsidP="000458DE" w:rsidRDefault="005928F0" w14:paraId="36189D55"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rsidR="00F067FC" w:rsidP="000458DE" w:rsidRDefault="00F067FC" w14:paraId="33A80758" w14:textId="77777777">
      <w:pPr>
        <w:spacing w:after="0" w:line="240" w:lineRule="auto"/>
        <w:jc w:val="center"/>
        <w:rPr>
          <w:rFonts w:ascii="Times New Roman" w:hAnsi="Times New Roman" w:eastAsia="Arial"/>
          <w:b/>
          <w:sz w:val="24"/>
          <w:szCs w:val="24"/>
          <w:lang w:bidi="en-US"/>
        </w:rPr>
      </w:pPr>
      <w:r w:rsidRPr="00F067FC">
        <w:rPr>
          <w:rFonts w:ascii="Times New Roman" w:hAnsi="Times New Roman" w:eastAsia="Arial"/>
          <w:b/>
          <w:sz w:val="24"/>
          <w:szCs w:val="24"/>
          <w:lang w:bidi="en-US"/>
        </w:rPr>
        <w:t xml:space="preserve">Alaska Region Pacific Halibut Fisheries: Charter </w:t>
      </w:r>
    </w:p>
    <w:p w:rsidR="005928F0" w:rsidP="000458DE" w:rsidRDefault="005928F0" w14:paraId="06113D3F" w14:textId="03FD9E21">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w:t>
      </w:r>
      <w:r w:rsidR="00F067FC">
        <w:rPr>
          <w:rFonts w:ascii="Times New Roman" w:hAnsi="Times New Roman"/>
          <w:b/>
          <w:sz w:val="24"/>
          <w:szCs w:val="24"/>
        </w:rPr>
        <w:t>575</w:t>
      </w:r>
    </w:p>
    <w:p w:rsidR="005A6600" w:rsidP="000458DE" w:rsidRDefault="005A6600" w14:paraId="487C17B2" w14:textId="05E2AD5F">
      <w:pPr>
        <w:spacing w:after="0" w:line="240" w:lineRule="auto"/>
        <w:jc w:val="center"/>
        <w:rPr>
          <w:rFonts w:ascii="Times New Roman" w:hAnsi="Times New Roman"/>
          <w:b/>
          <w:sz w:val="24"/>
          <w:szCs w:val="24"/>
        </w:rPr>
      </w:pPr>
    </w:p>
    <w:p w:rsidRPr="00B701E8" w:rsidR="005A6600" w:rsidP="000458DE" w:rsidRDefault="005A6600" w14:paraId="6421BC53" w14:textId="2ABE8E6F">
      <w:pPr>
        <w:spacing w:after="0" w:line="240" w:lineRule="auto"/>
        <w:jc w:val="center"/>
        <w:rPr>
          <w:rFonts w:ascii="Times New Roman" w:hAnsi="Times New Roman"/>
          <w:b/>
          <w:sz w:val="24"/>
          <w:szCs w:val="24"/>
        </w:rPr>
      </w:pPr>
      <w:r>
        <w:rPr>
          <w:rFonts w:ascii="Times New Roman" w:hAnsi="Times New Roman"/>
          <w:b/>
          <w:sz w:val="24"/>
          <w:szCs w:val="24"/>
        </w:rPr>
        <w:t>RIN 0648-BK76</w:t>
      </w:r>
    </w:p>
    <w:p w:rsidR="00F56A4A" w:rsidP="000458DE" w:rsidRDefault="00F56A4A" w14:paraId="39605C96" w14:textId="3C8D2432">
      <w:pPr>
        <w:spacing w:after="0" w:line="240" w:lineRule="auto"/>
        <w:rPr>
          <w:rFonts w:ascii="Times New Roman" w:hAnsi="Times New Roman"/>
          <w:sz w:val="24"/>
          <w:szCs w:val="24"/>
        </w:rPr>
      </w:pPr>
    </w:p>
    <w:p w:rsidR="00C3301E" w:rsidP="000458DE" w:rsidRDefault="00BE6CDD" w14:paraId="3955F18D" w14:textId="517CADE1">
      <w:pPr>
        <w:spacing w:after="0" w:line="240" w:lineRule="auto"/>
        <w:rPr>
          <w:rFonts w:ascii="Times New Roman" w:hAnsi="Times New Roman"/>
          <w:sz w:val="24"/>
          <w:szCs w:val="24"/>
        </w:rPr>
      </w:pPr>
      <w:r>
        <w:rPr>
          <w:rFonts w:ascii="Times New Roman" w:hAnsi="Times New Roman"/>
          <w:sz w:val="24"/>
          <w:szCs w:val="24"/>
        </w:rPr>
        <w:t xml:space="preserve">The </w:t>
      </w:r>
      <w:r w:rsidR="00D54460">
        <w:rPr>
          <w:rFonts w:ascii="Times New Roman" w:hAnsi="Times New Roman"/>
          <w:sz w:val="24"/>
          <w:szCs w:val="24"/>
        </w:rPr>
        <w:t>National Marine Fisheries Service (</w:t>
      </w:r>
      <w:r w:rsidRPr="00FC5C35" w:rsidR="0099017D">
        <w:rPr>
          <w:rFonts w:ascii="Times New Roman" w:hAnsi="Times New Roman" w:eastAsia="Times New Roman"/>
          <w:sz w:val="24"/>
          <w:szCs w:val="24"/>
        </w:rPr>
        <w:t>NMFS</w:t>
      </w:r>
      <w:r w:rsidR="00D54460">
        <w:rPr>
          <w:rFonts w:ascii="Times New Roman" w:hAnsi="Times New Roman" w:eastAsia="Times New Roman"/>
          <w:sz w:val="24"/>
          <w:szCs w:val="24"/>
        </w:rPr>
        <w:t>)</w:t>
      </w:r>
      <w:r w:rsidRPr="00FC5C35" w:rsidR="0099017D">
        <w:rPr>
          <w:rFonts w:ascii="Times New Roman" w:hAnsi="Times New Roman" w:eastAsia="Times New Roman"/>
          <w:sz w:val="24"/>
          <w:szCs w:val="24"/>
        </w:rPr>
        <w:t xml:space="preserve">, Alaska Region, </w:t>
      </w:r>
      <w:r w:rsidR="0099017D">
        <w:rPr>
          <w:rFonts w:ascii="Times New Roman" w:hAnsi="Times New Roman" w:eastAsia="Times New Roman"/>
          <w:sz w:val="24"/>
          <w:szCs w:val="24"/>
        </w:rPr>
        <w:t>request</w:t>
      </w:r>
      <w:r w:rsidR="00051F55">
        <w:rPr>
          <w:rFonts w:ascii="Times New Roman" w:hAnsi="Times New Roman" w:eastAsia="Times New Roman"/>
          <w:sz w:val="24"/>
          <w:szCs w:val="24"/>
        </w:rPr>
        <w:t>s</w:t>
      </w:r>
      <w:r w:rsidRPr="00FC5C35" w:rsidR="0099017D">
        <w:rPr>
          <w:rFonts w:ascii="Times New Roman" w:hAnsi="Times New Roman" w:eastAsia="Times New Roman"/>
          <w:sz w:val="24"/>
          <w:szCs w:val="24"/>
        </w:rPr>
        <w:t xml:space="preserve"> to change this </w:t>
      </w:r>
      <w:r>
        <w:rPr>
          <w:rFonts w:ascii="Times New Roman" w:hAnsi="Times New Roman" w:eastAsia="Times New Roman"/>
          <w:sz w:val="24"/>
          <w:szCs w:val="24"/>
        </w:rPr>
        <w:t xml:space="preserve">information </w:t>
      </w:r>
      <w:r w:rsidRPr="00FC5C35" w:rsidR="0099017D">
        <w:rPr>
          <w:rFonts w:ascii="Times New Roman" w:hAnsi="Times New Roman" w:eastAsia="Times New Roman"/>
          <w:sz w:val="24"/>
          <w:szCs w:val="24"/>
        </w:rPr>
        <w:t>collection due to the associated rule (RIN 0648-BK76)</w:t>
      </w:r>
      <w:r w:rsidRPr="00FC5C35" w:rsidR="0099017D">
        <w:rPr>
          <w:rFonts w:ascii="Times New Roman" w:hAnsi="Times New Roman"/>
          <w:sz w:val="24"/>
          <w:szCs w:val="24"/>
        </w:rPr>
        <w:t xml:space="preserve"> </w:t>
      </w:r>
      <w:r w:rsidRPr="00FC5C35" w:rsidR="0099017D">
        <w:rPr>
          <w:rFonts w:ascii="Times New Roman" w:hAnsi="Times New Roman" w:eastAsia="Times New Roman"/>
          <w:sz w:val="24"/>
          <w:szCs w:val="24"/>
        </w:rPr>
        <w:t xml:space="preserve">to remove pot </w:t>
      </w:r>
      <w:r w:rsidR="0002760A">
        <w:rPr>
          <w:rFonts w:ascii="Times New Roman" w:hAnsi="Times New Roman" w:eastAsia="Times New Roman"/>
          <w:sz w:val="24"/>
          <w:szCs w:val="24"/>
        </w:rPr>
        <w:t xml:space="preserve">gear </w:t>
      </w:r>
      <w:r w:rsidRPr="00FC5C35" w:rsidR="0099017D">
        <w:rPr>
          <w:rFonts w:ascii="Times New Roman" w:hAnsi="Times New Roman" w:eastAsia="Times New Roman"/>
          <w:sz w:val="24"/>
          <w:szCs w:val="24"/>
        </w:rPr>
        <w:t>tag requirements in the sablefish Individual Fishing Quota (IFQ) fishery in the Gulf of Alaska (GOA) and remove requirements to obtain and submit a notary certification on application forms</w:t>
      </w:r>
      <w:r w:rsidRPr="0002760A" w:rsidR="0002760A">
        <w:t xml:space="preserve"> </w:t>
      </w:r>
      <w:r w:rsidRPr="0002760A" w:rsidR="0002760A">
        <w:rPr>
          <w:rFonts w:ascii="Times New Roman" w:hAnsi="Times New Roman" w:eastAsia="Times New Roman"/>
          <w:sz w:val="24"/>
          <w:szCs w:val="24"/>
        </w:rPr>
        <w:t xml:space="preserve">submitted under the halibut and sablefish IFQ Program, Charter Halibut Limited Access Program, Community Quota Entity (CQE) Program, License Limitation Program (LLP), and the Crab Rationalization Program. This action removes recordkeeping and reporting requirements that are no longer necessary and is intended to reduce administrative burden on the regulated fishing industry and NMFS. </w:t>
      </w:r>
      <w:r w:rsidR="0099017D">
        <w:rPr>
          <w:rFonts w:ascii="Times New Roman" w:hAnsi="Times New Roman"/>
          <w:sz w:val="24"/>
          <w:szCs w:val="24"/>
        </w:rPr>
        <w:t>NMFS</w:t>
      </w:r>
      <w:r w:rsidRPr="0099017D" w:rsidR="00F67F8E">
        <w:rPr>
          <w:rFonts w:ascii="Times New Roman" w:hAnsi="Times New Roman"/>
          <w:sz w:val="24"/>
          <w:szCs w:val="24"/>
        </w:rPr>
        <w:t xml:space="preserve"> </w:t>
      </w:r>
      <w:r w:rsidRPr="0099017D" w:rsidR="0099017D">
        <w:rPr>
          <w:rFonts w:ascii="Times New Roman" w:hAnsi="Times New Roman"/>
          <w:sz w:val="24"/>
          <w:szCs w:val="24"/>
        </w:rPr>
        <w:t>propos</w:t>
      </w:r>
      <w:r w:rsidR="0099017D">
        <w:rPr>
          <w:rFonts w:ascii="Times New Roman" w:hAnsi="Times New Roman"/>
          <w:sz w:val="24"/>
          <w:szCs w:val="24"/>
        </w:rPr>
        <w:t>es</w:t>
      </w:r>
      <w:r w:rsidRPr="0099017D" w:rsidR="0099017D">
        <w:rPr>
          <w:rFonts w:ascii="Times New Roman" w:hAnsi="Times New Roman"/>
          <w:sz w:val="24"/>
          <w:szCs w:val="24"/>
        </w:rPr>
        <w:t xml:space="preserve"> </w:t>
      </w:r>
      <w:r w:rsidR="00F67F8E">
        <w:rPr>
          <w:rFonts w:ascii="Times New Roman" w:hAnsi="Times New Roman"/>
          <w:sz w:val="24"/>
          <w:szCs w:val="24"/>
        </w:rPr>
        <w:t>to</w:t>
      </w:r>
      <w:r w:rsidR="00AF02FB">
        <w:rPr>
          <w:rFonts w:ascii="Times New Roman" w:hAnsi="Times New Roman"/>
          <w:sz w:val="24"/>
          <w:szCs w:val="24"/>
        </w:rPr>
        <w:t xml:space="preserve"> </w:t>
      </w:r>
      <w:r w:rsidR="00F67F8E">
        <w:rPr>
          <w:rFonts w:ascii="Times New Roman" w:hAnsi="Times New Roman"/>
          <w:sz w:val="24"/>
          <w:szCs w:val="24"/>
        </w:rPr>
        <w:t xml:space="preserve">remove </w:t>
      </w:r>
      <w:r w:rsidRPr="00F67F8E" w:rsidR="00F67F8E">
        <w:rPr>
          <w:rFonts w:ascii="Times New Roman" w:hAnsi="Times New Roman"/>
          <w:sz w:val="24"/>
          <w:szCs w:val="24"/>
        </w:rPr>
        <w:t xml:space="preserve">the notary certification from </w:t>
      </w:r>
      <w:r w:rsidR="00F67F8E">
        <w:rPr>
          <w:rFonts w:ascii="Times New Roman" w:hAnsi="Times New Roman"/>
          <w:sz w:val="24"/>
          <w:szCs w:val="24"/>
        </w:rPr>
        <w:t>one form in this collection</w:t>
      </w:r>
      <w:r w:rsidRPr="00F67F8E" w:rsidR="00F67F8E">
        <w:rPr>
          <w:rFonts w:ascii="Times New Roman" w:hAnsi="Times New Roman"/>
          <w:sz w:val="24"/>
          <w:szCs w:val="24"/>
        </w:rPr>
        <w:t>.</w:t>
      </w:r>
      <w:r w:rsidR="00C3301E">
        <w:rPr>
          <w:rFonts w:ascii="Times New Roman" w:hAnsi="Times New Roman"/>
          <w:sz w:val="24"/>
          <w:szCs w:val="24"/>
        </w:rPr>
        <w:t xml:space="preserve"> OMB/OIRA has authorized </w:t>
      </w:r>
      <w:r w:rsidR="00AF02FB">
        <w:rPr>
          <w:rFonts w:ascii="Times New Roman" w:hAnsi="Times New Roman"/>
          <w:sz w:val="24"/>
          <w:szCs w:val="24"/>
        </w:rPr>
        <w:t>this</w:t>
      </w:r>
      <w:r w:rsidR="00C3301E">
        <w:rPr>
          <w:rFonts w:ascii="Times New Roman" w:hAnsi="Times New Roman"/>
          <w:sz w:val="24"/>
          <w:szCs w:val="24"/>
        </w:rPr>
        <w:t xml:space="preserve"> change request</w:t>
      </w:r>
      <w:r w:rsidR="0099017D">
        <w:rPr>
          <w:rFonts w:ascii="Times New Roman" w:hAnsi="Times New Roman"/>
          <w:sz w:val="24"/>
          <w:szCs w:val="24"/>
        </w:rPr>
        <w:t>.</w:t>
      </w:r>
    </w:p>
    <w:p w:rsidR="00CB31A8" w:rsidP="00CB31A8" w:rsidRDefault="00CB31A8" w14:paraId="1F782660" w14:textId="77777777">
      <w:pPr>
        <w:autoSpaceDE w:val="0"/>
        <w:autoSpaceDN w:val="0"/>
        <w:spacing w:after="0" w:line="240" w:lineRule="auto"/>
        <w:rPr>
          <w:rFonts w:ascii="Times New Roman" w:hAnsi="Times New Roman" w:eastAsia="SimSun"/>
          <w:sz w:val="24"/>
          <w:szCs w:val="24"/>
        </w:rPr>
      </w:pPr>
    </w:p>
    <w:p w:rsidRPr="005015AC" w:rsidR="00CB31A8" w:rsidP="00CB31A8" w:rsidRDefault="00CB31A8" w14:paraId="3200CB37" w14:textId="0AD8D80C">
      <w:pPr>
        <w:autoSpaceDE w:val="0"/>
        <w:autoSpaceDN w:val="0"/>
        <w:spacing w:after="0" w:line="240" w:lineRule="auto"/>
        <w:rPr>
          <w:rFonts w:ascii="Times New Roman" w:hAnsi="Times New Roman" w:eastAsia="SimSun"/>
          <w:sz w:val="24"/>
          <w:szCs w:val="24"/>
        </w:rPr>
      </w:pPr>
      <w:r w:rsidRPr="00C65807">
        <w:rPr>
          <w:rFonts w:ascii="Times New Roman" w:hAnsi="Times New Roman" w:eastAsia="SimSun"/>
          <w:sz w:val="24"/>
          <w:szCs w:val="24"/>
        </w:rPr>
        <w:t xml:space="preserve">The rule also </w:t>
      </w:r>
      <w:r w:rsidR="00E87D5E">
        <w:rPr>
          <w:rFonts w:ascii="Times New Roman" w:hAnsi="Times New Roman" w:eastAsia="SimSun"/>
          <w:sz w:val="24"/>
          <w:szCs w:val="24"/>
        </w:rPr>
        <w:t>a</w:t>
      </w:r>
      <w:r w:rsidRPr="00C65807">
        <w:rPr>
          <w:rFonts w:ascii="Times New Roman" w:hAnsi="Times New Roman" w:eastAsia="SimSun"/>
          <w:sz w:val="24"/>
          <w:szCs w:val="24"/>
        </w:rPr>
        <w:t xml:space="preserve">ffects information collection requirements approved under OMB Control Numbers </w:t>
      </w:r>
      <w:r>
        <w:rPr>
          <w:rFonts w:ascii="Times New Roman" w:hAnsi="Times New Roman" w:eastAsia="SimSun"/>
          <w:sz w:val="24"/>
          <w:szCs w:val="24"/>
        </w:rPr>
        <w:t>0648</w:t>
      </w:r>
      <w:r w:rsidRPr="00C65807">
        <w:rPr>
          <w:rFonts w:ascii="Times New Roman" w:hAnsi="Times New Roman" w:eastAsia="SimSun"/>
          <w:sz w:val="24"/>
          <w:szCs w:val="24"/>
        </w:rPr>
        <w:t xml:space="preserve">-0272 (Alaska Pacific Halibut and Sablefish Fisheries: </w:t>
      </w:r>
      <w:r>
        <w:rPr>
          <w:rFonts w:ascii="Times New Roman" w:hAnsi="Times New Roman" w:eastAsia="SimSun"/>
          <w:sz w:val="24"/>
          <w:szCs w:val="24"/>
        </w:rPr>
        <w:t>IFQ</w:t>
      </w:r>
      <w:r w:rsidRPr="00C65807">
        <w:rPr>
          <w:rFonts w:ascii="Times New Roman" w:hAnsi="Times New Roman" w:eastAsia="SimSun"/>
          <w:sz w:val="24"/>
          <w:szCs w:val="24"/>
        </w:rPr>
        <w:t>);</w:t>
      </w:r>
      <w:r w:rsidR="00131446">
        <w:rPr>
          <w:rFonts w:ascii="Times New Roman" w:hAnsi="Times New Roman" w:eastAsia="SimSun"/>
          <w:sz w:val="24"/>
          <w:szCs w:val="24"/>
        </w:rPr>
        <w:t xml:space="preserve"> </w:t>
      </w:r>
      <w:r w:rsidR="00F067FC">
        <w:rPr>
          <w:rFonts w:ascii="Times New Roman" w:hAnsi="Times New Roman" w:eastAsia="SimSun"/>
          <w:sz w:val="24"/>
          <w:szCs w:val="24"/>
        </w:rPr>
        <w:t>-0334 (</w:t>
      </w:r>
      <w:r w:rsidRPr="00F067FC" w:rsidR="00F067FC">
        <w:rPr>
          <w:rFonts w:ascii="Times New Roman" w:hAnsi="Times New Roman" w:eastAsia="SimSun"/>
          <w:sz w:val="24"/>
          <w:szCs w:val="24"/>
        </w:rPr>
        <w:t xml:space="preserve">Alaska </w:t>
      </w:r>
      <w:r w:rsidR="0002760A">
        <w:rPr>
          <w:rFonts w:ascii="Times New Roman" w:hAnsi="Times New Roman" w:eastAsia="SimSun"/>
          <w:sz w:val="24"/>
          <w:szCs w:val="24"/>
        </w:rPr>
        <w:t>LLP</w:t>
      </w:r>
      <w:r w:rsidRPr="00F067FC" w:rsidR="00F067FC">
        <w:rPr>
          <w:rFonts w:ascii="Times New Roman" w:hAnsi="Times New Roman" w:eastAsia="SimSun"/>
          <w:sz w:val="24"/>
          <w:szCs w:val="24"/>
        </w:rPr>
        <w:t xml:space="preserve"> for Groundfish, Crab, and Scallops</w:t>
      </w:r>
      <w:r w:rsidR="00F067FC">
        <w:rPr>
          <w:rFonts w:ascii="Times New Roman" w:hAnsi="Times New Roman" w:eastAsia="SimSun"/>
          <w:sz w:val="24"/>
          <w:szCs w:val="24"/>
        </w:rPr>
        <w:t>);</w:t>
      </w:r>
      <w:r w:rsidRPr="00F067FC" w:rsidR="00F067FC">
        <w:rPr>
          <w:rFonts w:ascii="Times New Roman" w:hAnsi="Times New Roman" w:eastAsia="SimSun"/>
          <w:sz w:val="24"/>
          <w:szCs w:val="24"/>
        </w:rPr>
        <w:t xml:space="preserve"> </w:t>
      </w:r>
      <w:r w:rsidRPr="00C65807">
        <w:rPr>
          <w:rFonts w:ascii="Times New Roman" w:hAnsi="Times New Roman" w:eastAsia="SimSun"/>
          <w:sz w:val="24"/>
          <w:szCs w:val="24"/>
        </w:rPr>
        <w:t xml:space="preserve">-0353 (Alaska Region Gear Identification Requirements); -0514 (Alaska Region Crab Permits); </w:t>
      </w:r>
      <w:r>
        <w:rPr>
          <w:rFonts w:ascii="Times New Roman" w:hAnsi="Times New Roman" w:eastAsia="SimSun"/>
          <w:sz w:val="24"/>
          <w:szCs w:val="24"/>
        </w:rPr>
        <w:t>and -0665 (</w:t>
      </w:r>
      <w:r w:rsidRPr="00C65807">
        <w:rPr>
          <w:rFonts w:ascii="Times New Roman" w:hAnsi="Times New Roman" w:eastAsia="SimSun"/>
          <w:sz w:val="24"/>
          <w:szCs w:val="24"/>
        </w:rPr>
        <w:t xml:space="preserve">Alaska </w:t>
      </w:r>
      <w:r>
        <w:rPr>
          <w:rFonts w:ascii="Times New Roman" w:hAnsi="Times New Roman" w:eastAsia="SimSun"/>
          <w:sz w:val="24"/>
          <w:szCs w:val="24"/>
        </w:rPr>
        <w:t>CQE</w:t>
      </w:r>
      <w:r w:rsidRPr="00C65807">
        <w:rPr>
          <w:rFonts w:ascii="Times New Roman" w:hAnsi="Times New Roman" w:eastAsia="SimSun"/>
          <w:sz w:val="24"/>
          <w:szCs w:val="24"/>
        </w:rPr>
        <w:t xml:space="preserve"> Program</w:t>
      </w:r>
      <w:r>
        <w:rPr>
          <w:rFonts w:ascii="Times New Roman" w:hAnsi="Times New Roman" w:eastAsia="SimSun"/>
          <w:sz w:val="24"/>
          <w:szCs w:val="24"/>
        </w:rPr>
        <w:t>)</w:t>
      </w:r>
      <w:r w:rsidRPr="00C65807">
        <w:rPr>
          <w:rFonts w:ascii="Times New Roman" w:hAnsi="Times New Roman" w:eastAsia="SimSun"/>
          <w:sz w:val="24"/>
          <w:szCs w:val="24"/>
        </w:rPr>
        <w:t xml:space="preserve">. Concurrent with this request to </w:t>
      </w:r>
      <w:r w:rsidRPr="005015AC">
        <w:rPr>
          <w:rFonts w:ascii="Times New Roman" w:hAnsi="Times New Roman" w:eastAsia="SimSun"/>
          <w:sz w:val="24"/>
          <w:szCs w:val="24"/>
        </w:rPr>
        <w:t>change 0648-</w:t>
      </w:r>
      <w:r w:rsidRPr="005015AC" w:rsidR="006C53CC">
        <w:rPr>
          <w:rFonts w:ascii="Times New Roman" w:hAnsi="Times New Roman" w:eastAsia="SimSun"/>
          <w:sz w:val="24"/>
          <w:szCs w:val="24"/>
        </w:rPr>
        <w:t>0</w:t>
      </w:r>
      <w:r w:rsidR="00F067FC">
        <w:rPr>
          <w:rFonts w:ascii="Times New Roman" w:hAnsi="Times New Roman" w:eastAsia="SimSun"/>
          <w:sz w:val="24"/>
          <w:szCs w:val="24"/>
        </w:rPr>
        <w:t>575</w:t>
      </w:r>
      <w:r w:rsidRPr="005015AC">
        <w:rPr>
          <w:rFonts w:ascii="Times New Roman" w:hAnsi="Times New Roman" w:eastAsia="SimSun"/>
          <w:sz w:val="24"/>
          <w:szCs w:val="24"/>
        </w:rPr>
        <w:t xml:space="preserve">, NMFS is submitting separate requests for these collections.  </w:t>
      </w:r>
    </w:p>
    <w:p w:rsidRPr="005015AC" w:rsidR="00C3301E" w:rsidP="000458DE" w:rsidRDefault="00C3301E" w14:paraId="64A6B8F1" w14:textId="495F5156">
      <w:pPr>
        <w:spacing w:after="0" w:line="240" w:lineRule="auto"/>
        <w:rPr>
          <w:rFonts w:ascii="Times New Roman" w:hAnsi="Times New Roman"/>
          <w:sz w:val="24"/>
          <w:szCs w:val="24"/>
        </w:rPr>
      </w:pPr>
    </w:p>
    <w:p w:rsidRPr="003E5709" w:rsidR="003E5709" w:rsidP="000458DE" w:rsidRDefault="00C3301E" w14:paraId="5B2641D3" w14:textId="1883EF98">
      <w:pPr>
        <w:spacing w:after="0" w:line="240" w:lineRule="auto"/>
        <w:rPr>
          <w:rFonts w:ascii="Times New Roman" w:hAnsi="Times New Roman" w:eastAsia="Arial"/>
          <w:sz w:val="24"/>
          <w:szCs w:val="24"/>
          <w:lang w:bidi="en-US"/>
        </w:rPr>
      </w:pPr>
      <w:r w:rsidRPr="005015AC">
        <w:rPr>
          <w:rFonts w:ascii="Times New Roman" w:hAnsi="Times New Roman"/>
          <w:sz w:val="24"/>
          <w:szCs w:val="24"/>
        </w:rPr>
        <w:t>This information collection</w:t>
      </w:r>
      <w:r w:rsidRPr="005015AC">
        <w:t xml:space="preserve"> </w:t>
      </w:r>
      <w:r w:rsidRPr="005015AC">
        <w:rPr>
          <w:rFonts w:ascii="Times New Roman" w:hAnsi="Times New Roman"/>
          <w:sz w:val="24"/>
          <w:szCs w:val="24"/>
        </w:rPr>
        <w:t xml:space="preserve">contains </w:t>
      </w:r>
      <w:r w:rsidRPr="003E5709" w:rsidR="003E5709">
        <w:rPr>
          <w:rFonts w:ascii="Times New Roman" w:hAnsi="Times New Roman"/>
          <w:sz w:val="24"/>
          <w:szCs w:val="24"/>
        </w:rPr>
        <w:t xml:space="preserve">logbook reporting, landing reports, applications for permits and transfers, and administrative appeals for the </w:t>
      </w:r>
      <w:r w:rsidRPr="003E5709" w:rsidR="003E5709">
        <w:rPr>
          <w:rFonts w:ascii="Times New Roman" w:hAnsi="Times New Roman" w:eastAsia="Arial"/>
          <w:sz w:val="24"/>
          <w:szCs w:val="24"/>
          <w:lang w:bidi="en-US"/>
        </w:rPr>
        <w:t>Pacific halibut charter fishery off Alaska</w:t>
      </w:r>
      <w:r w:rsidR="003E5709">
        <w:rPr>
          <w:rFonts w:ascii="Times New Roman" w:hAnsi="Times New Roman" w:eastAsia="Arial"/>
          <w:sz w:val="24"/>
          <w:szCs w:val="24"/>
          <w:lang w:bidi="en-US"/>
        </w:rPr>
        <w:t>.</w:t>
      </w:r>
      <w:r w:rsidRPr="003E5709" w:rsidR="003E5709">
        <w:t xml:space="preserve"> </w:t>
      </w:r>
      <w:r w:rsidRPr="003E5709" w:rsidR="003E5709">
        <w:rPr>
          <w:rFonts w:ascii="Times New Roman" w:hAnsi="Times New Roman" w:eastAsia="Arial"/>
          <w:sz w:val="24"/>
          <w:szCs w:val="24"/>
          <w:lang w:bidi="en-US"/>
        </w:rPr>
        <w:t>NMFS manages the charter halibut fishery off Alaska under the Charter Halibut Limited Access Program (CHLAP) and the Pacific Halibut Catch Sharing Plan</w:t>
      </w:r>
      <w:r w:rsidR="001D7039">
        <w:rPr>
          <w:rFonts w:ascii="Times New Roman" w:hAnsi="Times New Roman" w:eastAsia="Arial"/>
          <w:sz w:val="24"/>
          <w:szCs w:val="24"/>
          <w:lang w:bidi="en-US"/>
        </w:rPr>
        <w:t xml:space="preserve"> (CSP)</w:t>
      </w:r>
      <w:r w:rsidRPr="003E5709" w:rsidR="003E5709">
        <w:rPr>
          <w:rFonts w:ascii="Times New Roman" w:hAnsi="Times New Roman" w:eastAsia="Arial"/>
          <w:sz w:val="24"/>
          <w:szCs w:val="24"/>
          <w:lang w:bidi="en-US"/>
        </w:rPr>
        <w:t>.</w:t>
      </w:r>
      <w:r w:rsidRPr="003E5709" w:rsidR="003E5709">
        <w:rPr>
          <w:rFonts w:ascii="Times New Roman" w:hAnsi="Times New Roman"/>
          <w:sz w:val="24"/>
          <w:szCs w:val="24"/>
        </w:rPr>
        <w:t xml:space="preserve"> NMFS implemented the CHLAP to meet allocation objectives in the charter halibut fishery and provide stability in this fishery by limiting the number of charter vessels that operate in I</w:t>
      </w:r>
      <w:r w:rsidR="0000754A">
        <w:rPr>
          <w:rFonts w:ascii="Times New Roman" w:hAnsi="Times New Roman"/>
          <w:sz w:val="24"/>
          <w:szCs w:val="24"/>
        </w:rPr>
        <w:t xml:space="preserve">nternational </w:t>
      </w:r>
      <w:r w:rsidRPr="003E5709" w:rsidR="003E5709">
        <w:rPr>
          <w:rFonts w:ascii="Times New Roman" w:hAnsi="Times New Roman"/>
          <w:sz w:val="24"/>
          <w:szCs w:val="24"/>
        </w:rPr>
        <w:t>P</w:t>
      </w:r>
      <w:r w:rsidR="0000754A">
        <w:rPr>
          <w:rFonts w:ascii="Times New Roman" w:hAnsi="Times New Roman"/>
          <w:sz w:val="24"/>
          <w:szCs w:val="24"/>
        </w:rPr>
        <w:t xml:space="preserve">acific </w:t>
      </w:r>
      <w:r w:rsidRPr="003E5709" w:rsidR="003E5709">
        <w:rPr>
          <w:rFonts w:ascii="Times New Roman" w:hAnsi="Times New Roman"/>
          <w:sz w:val="24"/>
          <w:szCs w:val="24"/>
        </w:rPr>
        <w:t>H</w:t>
      </w:r>
      <w:r w:rsidR="0000754A">
        <w:rPr>
          <w:rFonts w:ascii="Times New Roman" w:hAnsi="Times New Roman"/>
          <w:sz w:val="24"/>
          <w:szCs w:val="24"/>
        </w:rPr>
        <w:t xml:space="preserve">alibut </w:t>
      </w:r>
      <w:r w:rsidRPr="003E5709" w:rsidR="003E5709">
        <w:rPr>
          <w:rFonts w:ascii="Times New Roman" w:hAnsi="Times New Roman"/>
          <w:sz w:val="24"/>
          <w:szCs w:val="24"/>
        </w:rPr>
        <w:t>C</w:t>
      </w:r>
      <w:r w:rsidR="0000754A">
        <w:rPr>
          <w:rFonts w:ascii="Times New Roman" w:hAnsi="Times New Roman"/>
          <w:sz w:val="24"/>
          <w:szCs w:val="24"/>
        </w:rPr>
        <w:t>ommission</w:t>
      </w:r>
      <w:r w:rsidRPr="003E5709" w:rsidR="003E5709">
        <w:rPr>
          <w:rFonts w:ascii="Times New Roman" w:hAnsi="Times New Roman"/>
          <w:sz w:val="24"/>
          <w:szCs w:val="24"/>
        </w:rPr>
        <w:t xml:space="preserve"> regulatory areas 2C (Southeast Alaska) and 3A (Central Gulf of Alaska). NMFS implemented the CSP for the commercial and charter halibut fisheries in Areas 2C and 3A to maintain stability, economic viability, and diversity of halibut user groups by addressing allocation conflicts between participants in the commercial and charter halibut fisheries.</w:t>
      </w:r>
      <w:r w:rsidR="003E5709">
        <w:rPr>
          <w:rFonts w:ascii="Times New Roman" w:hAnsi="Times New Roman"/>
          <w:sz w:val="24"/>
          <w:szCs w:val="24"/>
        </w:rPr>
        <w:t xml:space="preserve"> </w:t>
      </w:r>
      <w:r w:rsidRPr="003E5709" w:rsidR="003E5709">
        <w:rPr>
          <w:rFonts w:ascii="Times New Roman" w:hAnsi="Times New Roman"/>
          <w:sz w:val="24"/>
          <w:szCs w:val="24"/>
        </w:rPr>
        <w:t xml:space="preserve">This collection of information is necessary for NMFS to manage and administer the charter halibut fishery under the CHLAP and the CSP. A limited access program with catch share elements provides stability and increases net benefits from the fishery, but does require additional administration to ensure compliance.  </w:t>
      </w:r>
    </w:p>
    <w:p w:rsidR="003E5709" w:rsidP="000458DE" w:rsidRDefault="003E5709" w14:paraId="0D3C8903" w14:textId="77777777">
      <w:pPr>
        <w:spacing w:after="0" w:line="240" w:lineRule="auto"/>
        <w:rPr>
          <w:rFonts w:ascii="Times New Roman" w:hAnsi="Times New Roman"/>
          <w:sz w:val="24"/>
          <w:szCs w:val="24"/>
        </w:rPr>
      </w:pPr>
    </w:p>
    <w:p w:rsidRPr="00F73680" w:rsidR="003D76A4" w:rsidP="004D6D97" w:rsidRDefault="000A5749" w14:paraId="64AAED6C" w14:textId="4D385BB8">
      <w:pPr>
        <w:keepNext/>
        <w:spacing w:after="0" w:line="240" w:lineRule="auto"/>
        <w:rPr>
          <w:rFonts w:ascii="Times New Roman" w:hAnsi="Times New Roman"/>
          <w:b/>
          <w:sz w:val="24"/>
          <w:szCs w:val="24"/>
        </w:rPr>
      </w:pPr>
      <w:r>
        <w:rPr>
          <w:rFonts w:ascii="Times New Roman" w:hAnsi="Times New Roman"/>
          <w:b/>
          <w:sz w:val="24"/>
          <w:szCs w:val="24"/>
        </w:rPr>
        <w:t>Reason for Changing this Collection</w:t>
      </w:r>
    </w:p>
    <w:p w:rsidR="004D6D97" w:rsidP="004D6D97" w:rsidRDefault="004D6D97" w14:paraId="4EBB7F5E" w14:textId="77777777">
      <w:pPr>
        <w:keepNext/>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 xml:space="preserve">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 This rule (RIN 0648-BK76) would modify recordkeeping and reporting requirements to remove pot </w:t>
      </w:r>
      <w:r w:rsidRPr="00DE3094">
        <w:rPr>
          <w:rFonts w:ascii="Times New Roman" w:hAnsi="Times New Roman" w:eastAsia="Times New Roman" w:cs="Arial"/>
          <w:sz w:val="24"/>
          <w:szCs w:val="24"/>
        </w:rPr>
        <w:lastRenderedPageBreak/>
        <w:t xml:space="preserve">gear tag requirements in the sablefish IFQ fishery in the GOA and remove requirements to obtain and submit a notary certification on application forms submitted under the halibut and sablefish IFQ Program, Charter Halibut Limited Access Program, CQE Program, LLP, and the Crab Rationalization Program. </w:t>
      </w:r>
    </w:p>
    <w:p w:rsidR="004D6D97" w:rsidP="004D6D97" w:rsidRDefault="004D6D97" w14:paraId="0A120A39" w14:textId="77777777">
      <w:pPr>
        <w:autoSpaceDE w:val="0"/>
        <w:autoSpaceDN w:val="0"/>
        <w:spacing w:after="0" w:line="240" w:lineRule="auto"/>
        <w:rPr>
          <w:rFonts w:ascii="Times New Roman" w:hAnsi="Times New Roman" w:eastAsia="Times New Roman" w:cs="Arial"/>
          <w:sz w:val="24"/>
          <w:szCs w:val="24"/>
        </w:rPr>
      </w:pPr>
    </w:p>
    <w:p w:rsidR="004D6D97" w:rsidP="004D6D97" w:rsidRDefault="004D6D97" w14:paraId="711EF4B6"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The primary purpose for requiring a notary certification was to prevent fraud and forgery by requiring the personal presence of the signer and satisfactorily identifying the signer. The Council determined, and NMFS agrees, that this requirement is unnecessary and administratively burdensome on the fleet and NMFS alike.</w:t>
      </w:r>
    </w:p>
    <w:p w:rsidR="004D6D97" w:rsidP="004D6D97" w:rsidRDefault="004D6D97" w14:paraId="4B9ED94F" w14:textId="77777777">
      <w:pPr>
        <w:autoSpaceDE w:val="0"/>
        <w:autoSpaceDN w:val="0"/>
        <w:spacing w:after="0" w:line="240" w:lineRule="auto"/>
        <w:rPr>
          <w:rFonts w:ascii="Times New Roman" w:hAnsi="Times New Roman" w:eastAsia="SimSun"/>
          <w:sz w:val="24"/>
          <w:szCs w:val="24"/>
        </w:rPr>
      </w:pPr>
    </w:p>
    <w:p w:rsidRPr="00DE3094" w:rsidR="004D6D97" w:rsidP="004D6D97" w:rsidRDefault="004D6D97" w14:paraId="28039AD2" w14:textId="77777777">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All application forms submitted to NMFS would continue to include a certification attesting to agreement with a statement that the information submitted on the application </w:t>
      </w:r>
      <w:r w:rsidRPr="00885857">
        <w:rPr>
          <w:rFonts w:ascii="Times New Roman" w:hAnsi="Times New Roman" w:eastAsia="SimSun"/>
          <w:sz w:val="24"/>
          <w:szCs w:val="24"/>
        </w:rPr>
        <w:t>form is true, correct, and complete. This certification is sufficient to deter fraud and forgery, and to adequately enforce fraud and forgery should it occur. In addition, NMFS has identified that the requirement for notary certification is not consistently applied on all applications forms</w:t>
      </w:r>
      <w:r w:rsidRPr="00DE3094">
        <w:rPr>
          <w:rFonts w:ascii="Times New Roman" w:hAnsi="Times New Roman" w:eastAsia="SimSun"/>
          <w:sz w:val="24"/>
          <w:szCs w:val="24"/>
        </w:rPr>
        <w:t xml:space="preserve"> used by NMFS, and fraud and forgery have not been identified as significant concerns. This rule would remove a requirement that is not necessary to enforce or deter fraud and forgery and is consistent with other application forms that NMFS administers.</w:t>
      </w:r>
    </w:p>
    <w:p w:rsidRPr="00DE3094" w:rsidR="004D6D97" w:rsidP="004D6D97" w:rsidRDefault="004D6D97" w14:paraId="2D572C14" w14:textId="77777777">
      <w:pPr>
        <w:autoSpaceDE w:val="0"/>
        <w:autoSpaceDN w:val="0"/>
        <w:spacing w:after="0" w:line="240" w:lineRule="auto"/>
        <w:rPr>
          <w:rFonts w:ascii="Times New Roman" w:hAnsi="Times New Roman" w:eastAsia="SimSun"/>
          <w:sz w:val="24"/>
          <w:szCs w:val="24"/>
        </w:rPr>
      </w:pPr>
    </w:p>
    <w:p w:rsidRPr="004C3119" w:rsidR="004D6D97" w:rsidP="004D6D97" w:rsidRDefault="004D6D97" w14:paraId="0442C12D" w14:textId="77777777">
      <w:pPr>
        <w:spacing w:after="0" w:line="240" w:lineRule="auto"/>
        <w:rPr>
          <w:rFonts w:ascii="Times New Roman" w:hAnsi="Times New Roman" w:eastAsia="Times New Roman"/>
          <w:sz w:val="24"/>
          <w:szCs w:val="24"/>
        </w:rPr>
      </w:pPr>
      <w:r w:rsidRPr="00DE3094">
        <w:rPr>
          <w:rFonts w:ascii="Times New Roman" w:hAnsi="Times New Roman" w:eastAsia="SimSun"/>
          <w:sz w:val="24"/>
          <w:szCs w:val="24"/>
        </w:rPr>
        <w:t xml:space="preserve">Removing the notary requirement would streamline the application process, reduce the cost of submitting application forms to NMFS, and reduce the handling time necessary for NMFS to process and approve application forms. Without the notary requirement, there would be additional flexibility for applicants to sign and then electronically submit their applications to NMFS. </w:t>
      </w:r>
      <w:r w:rsidRPr="00BD6521">
        <w:rPr>
          <w:rFonts w:ascii="Times New Roman" w:hAnsi="Times New Roman" w:eastAsia="SimSun"/>
          <w:sz w:val="24"/>
          <w:szCs w:val="24"/>
        </w:rPr>
        <w:t xml:space="preserve"> </w:t>
      </w:r>
    </w:p>
    <w:p w:rsidR="00BD6521" w:rsidP="00C7088B" w:rsidRDefault="00BD6521" w14:paraId="7AAE13E2" w14:textId="77777777">
      <w:pPr>
        <w:autoSpaceDE w:val="0"/>
        <w:autoSpaceDN w:val="0"/>
        <w:spacing w:after="0" w:line="240" w:lineRule="auto"/>
        <w:rPr>
          <w:rFonts w:ascii="Times New Roman" w:hAnsi="Times New Roman" w:eastAsia="SimSun"/>
          <w:sz w:val="24"/>
          <w:szCs w:val="24"/>
        </w:rPr>
      </w:pPr>
    </w:p>
    <w:p w:rsidRPr="001A0F90" w:rsidR="001A0F90" w:rsidP="00C7088B" w:rsidRDefault="001A0F90" w14:paraId="3793B91A" w14:textId="5420F9D5">
      <w:pPr>
        <w:autoSpaceDE w:val="0"/>
        <w:autoSpaceDN w:val="0"/>
        <w:spacing w:after="0" w:line="240" w:lineRule="auto"/>
        <w:rPr>
          <w:rFonts w:ascii="Times New Roman" w:hAnsi="Times New Roman" w:eastAsia="SimSun"/>
          <w:b/>
          <w:sz w:val="24"/>
          <w:szCs w:val="24"/>
        </w:rPr>
      </w:pPr>
      <w:r w:rsidRPr="001A0F90">
        <w:rPr>
          <w:rFonts w:ascii="Times New Roman" w:hAnsi="Times New Roman" w:eastAsia="SimSun"/>
          <w:b/>
          <w:sz w:val="24"/>
          <w:szCs w:val="24"/>
        </w:rPr>
        <w:t xml:space="preserve">Change to </w:t>
      </w:r>
      <w:r w:rsidR="00B04690">
        <w:rPr>
          <w:rFonts w:ascii="Times New Roman" w:hAnsi="Times New Roman" w:eastAsia="SimSun"/>
          <w:b/>
          <w:sz w:val="24"/>
          <w:szCs w:val="24"/>
        </w:rPr>
        <w:t xml:space="preserve">the </w:t>
      </w:r>
      <w:r w:rsidRPr="001D7039" w:rsidR="001D7039">
        <w:rPr>
          <w:rFonts w:ascii="Times New Roman" w:hAnsi="Times New Roman" w:eastAsia="SimSun"/>
          <w:b/>
          <w:sz w:val="24"/>
          <w:szCs w:val="24"/>
        </w:rPr>
        <w:t xml:space="preserve">Application for Transfer of Charter Halibut Permit (CHP) </w:t>
      </w:r>
      <w:r w:rsidRPr="00B04690" w:rsidR="00B04690">
        <w:rPr>
          <w:rFonts w:ascii="Times New Roman" w:hAnsi="Times New Roman" w:eastAsia="SimSun"/>
          <w:b/>
          <w:sz w:val="24"/>
          <w:szCs w:val="24"/>
        </w:rPr>
        <w:t xml:space="preserve"> </w:t>
      </w:r>
    </w:p>
    <w:p w:rsidR="004D6D97" w:rsidP="00C841F2" w:rsidRDefault="004D6D97" w14:paraId="0932A4AD" w14:textId="25A023B5">
      <w:pPr>
        <w:autoSpaceDE w:val="0"/>
        <w:autoSpaceDN w:val="0"/>
        <w:spacing w:after="0" w:line="240" w:lineRule="auto"/>
        <w:rPr>
          <w:rFonts w:ascii="Times New Roman" w:hAnsi="Times New Roman"/>
          <w:sz w:val="24"/>
          <w:szCs w:val="24"/>
        </w:rPr>
      </w:pPr>
      <w:r w:rsidRPr="004C3119">
        <w:rPr>
          <w:rFonts w:ascii="Times New Roman" w:hAnsi="Times New Roman"/>
          <w:sz w:val="24"/>
          <w:szCs w:val="24"/>
        </w:rPr>
        <w:t xml:space="preserve">This rule removes the requirement for notary certification on a groundfish or crab LLP transfer </w:t>
      </w:r>
      <w:r w:rsidRPr="003E5709">
        <w:rPr>
          <w:rFonts w:ascii="Times New Roman" w:hAnsi="Times New Roman"/>
          <w:sz w:val="24"/>
          <w:szCs w:val="24"/>
        </w:rPr>
        <w:t xml:space="preserve">application at </w:t>
      </w:r>
      <w:hyperlink w:history="1" w:anchor="p-300.67(i)(4)" r:id="rId8">
        <w:r w:rsidRPr="003E5709">
          <w:rPr>
            <w:rFonts w:ascii="Times New Roman" w:hAnsi="Times New Roman" w:eastAsia="Times New Roman"/>
            <w:color w:val="0000FF"/>
            <w:sz w:val="24"/>
            <w:szCs w:val="24"/>
            <w:u w:val="single"/>
          </w:rPr>
          <w:t>§ 300.67(i)(4)</w:t>
        </w:r>
      </w:hyperlink>
      <w:r w:rsidRPr="003E5709">
        <w:rPr>
          <w:rFonts w:ascii="Times New Roman" w:hAnsi="Times New Roman" w:eastAsia="Times New Roman"/>
          <w:sz w:val="24"/>
          <w:szCs w:val="24"/>
        </w:rPr>
        <w:t xml:space="preserve">. </w:t>
      </w:r>
      <w:r w:rsidRPr="003E5709">
        <w:rPr>
          <w:rFonts w:ascii="Times New Roman" w:hAnsi="Times New Roman"/>
          <w:sz w:val="24"/>
          <w:szCs w:val="24"/>
        </w:rPr>
        <w:t xml:space="preserve">As a result, the </w:t>
      </w:r>
      <w:r w:rsidRPr="000E1A22">
        <w:rPr>
          <w:rFonts w:ascii="Times New Roman" w:hAnsi="Times New Roman"/>
          <w:sz w:val="24"/>
          <w:szCs w:val="24"/>
        </w:rPr>
        <w:t>Application for</w:t>
      </w:r>
      <w:r>
        <w:rPr>
          <w:rFonts w:ascii="Times New Roman" w:hAnsi="Times New Roman"/>
          <w:sz w:val="24"/>
          <w:szCs w:val="24"/>
        </w:rPr>
        <w:t xml:space="preserve"> Transfer of Charter Halibut Permit (CHP)</w:t>
      </w:r>
      <w:r>
        <w:rPr>
          <w:rFonts w:ascii="Times New Roman" w:hAnsi="Times New Roman" w:eastAsia="Times New Roman"/>
          <w:sz w:val="24"/>
          <w:szCs w:val="24"/>
        </w:rPr>
        <w:t xml:space="preserve"> is revised to remove the </w:t>
      </w:r>
      <w:r w:rsidRPr="004C3119">
        <w:rPr>
          <w:rFonts w:ascii="Times New Roman" w:hAnsi="Times New Roman"/>
          <w:sz w:val="24"/>
          <w:szCs w:val="24"/>
        </w:rPr>
        <w:t xml:space="preserve">notary certification </w:t>
      </w:r>
      <w:r>
        <w:rPr>
          <w:rFonts w:ascii="Times New Roman" w:hAnsi="Times New Roman"/>
          <w:sz w:val="24"/>
          <w:szCs w:val="24"/>
        </w:rPr>
        <w:t>requirement.</w:t>
      </w:r>
    </w:p>
    <w:p w:rsidR="004D6D97" w:rsidP="00C841F2" w:rsidRDefault="004D6D97" w14:paraId="0B86AF79" w14:textId="77777777">
      <w:pPr>
        <w:autoSpaceDE w:val="0"/>
        <w:autoSpaceDN w:val="0"/>
        <w:spacing w:after="0" w:line="240" w:lineRule="auto"/>
        <w:rPr>
          <w:rFonts w:ascii="Times New Roman" w:hAnsi="Times New Roman" w:eastAsia="SimSun"/>
          <w:sz w:val="24"/>
          <w:szCs w:val="24"/>
        </w:rPr>
      </w:pPr>
    </w:p>
    <w:p w:rsidRPr="00C841F2" w:rsidR="001A0F90" w:rsidP="00C841F2" w:rsidRDefault="00F9369A" w14:paraId="1AA26A82" w14:textId="63B7472E">
      <w:pPr>
        <w:autoSpaceDE w:val="0"/>
        <w:autoSpaceDN w:val="0"/>
        <w:spacing w:after="0" w:line="240" w:lineRule="auto"/>
        <w:rPr>
          <w:rFonts w:ascii="Times New Roman" w:hAnsi="Times New Roman" w:eastAsia="SimSun"/>
          <w:sz w:val="24"/>
          <w:szCs w:val="24"/>
        </w:rPr>
      </w:pPr>
      <w:r>
        <w:rPr>
          <w:rFonts w:ascii="Times New Roman" w:hAnsi="Times New Roman" w:eastAsia="SimSun"/>
          <w:sz w:val="24"/>
          <w:szCs w:val="24"/>
        </w:rPr>
        <w:t xml:space="preserve">The </w:t>
      </w:r>
      <w:r w:rsidR="00467F1A">
        <w:rPr>
          <w:rFonts w:ascii="Times New Roman" w:hAnsi="Times New Roman" w:eastAsia="SimSun"/>
          <w:sz w:val="24"/>
          <w:szCs w:val="24"/>
        </w:rPr>
        <w:t xml:space="preserve">form for the </w:t>
      </w:r>
      <w:r w:rsidRPr="001D7039" w:rsidR="001D7039">
        <w:rPr>
          <w:rFonts w:ascii="Times New Roman" w:hAnsi="Times New Roman" w:eastAsia="SimSun"/>
          <w:sz w:val="24"/>
          <w:szCs w:val="24"/>
        </w:rPr>
        <w:t xml:space="preserve">Application for Transfer </w:t>
      </w:r>
      <w:r w:rsidR="001D7039">
        <w:rPr>
          <w:rFonts w:ascii="Times New Roman" w:hAnsi="Times New Roman" w:eastAsia="SimSun"/>
          <w:sz w:val="24"/>
          <w:szCs w:val="24"/>
        </w:rPr>
        <w:t>of Charter Halibut Permit (CHP)</w:t>
      </w:r>
      <w:r w:rsidRPr="00467F1A" w:rsidR="00467F1A">
        <w:rPr>
          <w:rFonts w:ascii="Times New Roman" w:hAnsi="Times New Roman" w:eastAsia="SimSun"/>
          <w:sz w:val="24"/>
          <w:szCs w:val="24"/>
        </w:rPr>
        <w:t xml:space="preserve"> </w:t>
      </w:r>
      <w:r w:rsidR="00752025">
        <w:rPr>
          <w:rFonts w:ascii="Times New Roman" w:hAnsi="Times New Roman" w:eastAsia="SimSun"/>
          <w:sz w:val="24"/>
          <w:szCs w:val="24"/>
        </w:rPr>
        <w:t>is</w:t>
      </w:r>
      <w:r>
        <w:rPr>
          <w:rFonts w:ascii="Times New Roman" w:hAnsi="Times New Roman" w:eastAsia="SimSun"/>
          <w:sz w:val="24"/>
          <w:szCs w:val="24"/>
        </w:rPr>
        <w:t xml:space="preserve"> revised to remove </w:t>
      </w:r>
      <w:r w:rsidR="00756CB8">
        <w:rPr>
          <w:rFonts w:ascii="Times New Roman" w:hAnsi="Times New Roman" w:eastAsia="SimSun"/>
          <w:sz w:val="24"/>
          <w:szCs w:val="24"/>
        </w:rPr>
        <w:t xml:space="preserve">the fields for the notary’s signature, date commission expires, and stamp or seal. </w:t>
      </w:r>
      <w:r w:rsidR="006F03E3">
        <w:rPr>
          <w:rFonts w:ascii="Times New Roman" w:hAnsi="Times New Roman" w:eastAsia="SimSun"/>
          <w:sz w:val="24"/>
          <w:szCs w:val="24"/>
        </w:rPr>
        <w:t>This form may now be submitted to NMFS by</w:t>
      </w:r>
      <w:r w:rsidRPr="006F03E3" w:rsidR="006F03E3">
        <w:rPr>
          <w:rFonts w:ascii="Times New Roman" w:hAnsi="Times New Roman" w:eastAsia="SimSun"/>
          <w:sz w:val="24"/>
          <w:szCs w:val="24"/>
        </w:rPr>
        <w:t xml:space="preserve"> fax</w:t>
      </w:r>
      <w:r w:rsidR="00EF28DC">
        <w:rPr>
          <w:rFonts w:ascii="Times New Roman" w:hAnsi="Times New Roman" w:eastAsia="SimSun"/>
          <w:sz w:val="24"/>
          <w:szCs w:val="24"/>
        </w:rPr>
        <w:t xml:space="preserve">, and </w:t>
      </w:r>
      <w:r w:rsidRPr="00EF28DC" w:rsidR="00EF28DC">
        <w:rPr>
          <w:rFonts w:ascii="Times New Roman" w:hAnsi="Times New Roman" w:eastAsia="SimSun"/>
          <w:sz w:val="24"/>
          <w:szCs w:val="24"/>
        </w:rPr>
        <w:t>instructions on fax submittal have been added to the form</w:t>
      </w:r>
      <w:r w:rsidRPr="006F03E3" w:rsidR="006F03E3">
        <w:rPr>
          <w:rFonts w:ascii="Times New Roman" w:hAnsi="Times New Roman" w:eastAsia="SimSun"/>
          <w:sz w:val="24"/>
          <w:szCs w:val="24"/>
        </w:rPr>
        <w:t xml:space="preserve">. Fax submittal was previously not accepted </w:t>
      </w:r>
      <w:r w:rsidR="006F03E3">
        <w:rPr>
          <w:rFonts w:ascii="Times New Roman" w:hAnsi="Times New Roman" w:eastAsia="SimSun"/>
          <w:sz w:val="24"/>
          <w:szCs w:val="24"/>
        </w:rPr>
        <w:t xml:space="preserve">because of </w:t>
      </w:r>
      <w:r w:rsidRPr="006F03E3" w:rsidR="006F03E3">
        <w:rPr>
          <w:rFonts w:ascii="Times New Roman" w:hAnsi="Times New Roman" w:eastAsia="SimSun"/>
          <w:sz w:val="24"/>
          <w:szCs w:val="24"/>
        </w:rPr>
        <w:t>the notary requirements.</w:t>
      </w:r>
    </w:p>
    <w:p w:rsidRPr="00D54460" w:rsidR="00F9369A" w:rsidP="00D54460" w:rsidRDefault="00F9369A" w14:paraId="47C8A6C2" w14:textId="77777777">
      <w:pPr>
        <w:autoSpaceDE w:val="0"/>
        <w:autoSpaceDN w:val="0"/>
        <w:adjustRightInd w:val="0"/>
        <w:spacing w:after="0" w:line="240" w:lineRule="auto"/>
        <w:rPr>
          <w:rFonts w:ascii="Times New Roman" w:hAnsi="Times New Roman" w:eastAsia="SimSun"/>
          <w:sz w:val="24"/>
          <w:szCs w:val="24"/>
        </w:rPr>
      </w:pPr>
    </w:p>
    <w:p w:rsidR="00F9369A" w:rsidP="00D96D64" w:rsidRDefault="00F9369A" w14:paraId="1B7D07B6" w14:textId="7B201F9A">
      <w:pPr>
        <w:autoSpaceDE w:val="0"/>
        <w:autoSpaceDN w:val="0"/>
        <w:spacing w:after="0" w:line="240" w:lineRule="auto"/>
        <w:rPr>
          <w:rFonts w:ascii="Times New Roman" w:hAnsi="Times New Roman" w:eastAsia="SimSun"/>
          <w:sz w:val="24"/>
          <w:szCs w:val="24"/>
        </w:rPr>
      </w:pPr>
      <w:r w:rsidRPr="00D54460">
        <w:rPr>
          <w:rFonts w:ascii="Times New Roman" w:hAnsi="Times New Roman" w:eastAsia="SimSun"/>
          <w:sz w:val="24"/>
          <w:szCs w:val="24"/>
        </w:rPr>
        <w:t>Removing the notary certification decrease</w:t>
      </w:r>
      <w:r w:rsidR="00467F1A">
        <w:rPr>
          <w:rFonts w:ascii="Times New Roman" w:hAnsi="Times New Roman" w:eastAsia="SimSun"/>
          <w:sz w:val="24"/>
          <w:szCs w:val="24"/>
        </w:rPr>
        <w:t>s</w:t>
      </w:r>
      <w:r w:rsidRPr="00D54460">
        <w:rPr>
          <w:rFonts w:ascii="Times New Roman" w:hAnsi="Times New Roman" w:eastAsia="SimSun"/>
          <w:sz w:val="24"/>
          <w:szCs w:val="24"/>
        </w:rPr>
        <w:t xml:space="preserve"> the cost of submitting this application to NMFS by removing the fee for a notary’s service. </w:t>
      </w:r>
      <w:r w:rsidRPr="00D54460" w:rsidR="006316AF">
        <w:rPr>
          <w:rFonts w:ascii="Times New Roman" w:hAnsi="Times New Roman" w:eastAsia="SimSun"/>
          <w:sz w:val="24"/>
          <w:szCs w:val="24"/>
        </w:rPr>
        <w:t xml:space="preserve">A notary certification was required for both the transferor and transferee. </w:t>
      </w:r>
      <w:r w:rsidRPr="00D54460">
        <w:rPr>
          <w:rFonts w:ascii="Times New Roman" w:hAnsi="Times New Roman" w:eastAsia="SimSun"/>
          <w:sz w:val="24"/>
          <w:szCs w:val="24"/>
        </w:rPr>
        <w:t>NMFS had estimated the cost of a notary fee at $10. Subject to public comment, no change is made to the estimated reporting burden for this application as the estimate allows for differences in the time needed to complete and submit the application.</w:t>
      </w:r>
      <w:r w:rsidRPr="006316AF" w:rsidR="006316AF">
        <w:rPr>
          <w:rFonts w:ascii="Times New Roman" w:hAnsi="Times New Roman" w:eastAsia="SimSun"/>
          <w:sz w:val="24"/>
          <w:szCs w:val="24"/>
        </w:rPr>
        <w:t xml:space="preserve"> </w:t>
      </w:r>
      <w:r w:rsidRPr="00384A71" w:rsidR="006316AF">
        <w:rPr>
          <w:rFonts w:ascii="Times New Roman" w:hAnsi="Times New Roman" w:eastAsia="SimSun"/>
          <w:sz w:val="24"/>
          <w:szCs w:val="24"/>
        </w:rPr>
        <w:t xml:space="preserve">The table below shows the change </w:t>
      </w:r>
      <w:r w:rsidR="006316AF">
        <w:rPr>
          <w:rFonts w:ascii="Times New Roman" w:hAnsi="Times New Roman" w:eastAsia="SimSun"/>
          <w:sz w:val="24"/>
          <w:szCs w:val="24"/>
        </w:rPr>
        <w:t xml:space="preserve">in total miscellaneous costs of this application </w:t>
      </w:r>
      <w:r w:rsidRPr="00384A71" w:rsidR="006316AF">
        <w:rPr>
          <w:rFonts w:ascii="Times New Roman" w:hAnsi="Times New Roman" w:eastAsia="SimSun"/>
          <w:sz w:val="24"/>
          <w:szCs w:val="24"/>
        </w:rPr>
        <w:t>from the previ</w:t>
      </w:r>
      <w:r w:rsidR="006316AF">
        <w:rPr>
          <w:rFonts w:ascii="Times New Roman" w:hAnsi="Times New Roman" w:eastAsia="SimSun"/>
          <w:sz w:val="24"/>
          <w:szCs w:val="24"/>
        </w:rPr>
        <w:t>ous approval of this collection</w:t>
      </w:r>
      <w:r w:rsidR="00AE6A39">
        <w:rPr>
          <w:rFonts w:ascii="Times New Roman" w:hAnsi="Times New Roman" w:eastAsia="SimSun"/>
          <w:sz w:val="24"/>
          <w:szCs w:val="24"/>
        </w:rPr>
        <w:t>,</w:t>
      </w:r>
      <w:r w:rsidR="006316AF">
        <w:rPr>
          <w:rFonts w:ascii="Times New Roman" w:hAnsi="Times New Roman" w:eastAsia="SimSun"/>
          <w:sz w:val="24"/>
          <w:szCs w:val="24"/>
        </w:rPr>
        <w:t xml:space="preserve"> due to this rule.</w:t>
      </w:r>
    </w:p>
    <w:p w:rsidR="006316AF" w:rsidP="00D54460" w:rsidRDefault="006316AF" w14:paraId="33C72974" w14:textId="5B4C4246">
      <w:pPr>
        <w:keepNext/>
        <w:autoSpaceDE w:val="0"/>
        <w:autoSpaceDN w:val="0"/>
        <w:spacing w:after="0" w:line="240" w:lineRule="auto"/>
        <w:rPr>
          <w:rFonts w:ascii="Times New Roman" w:hAnsi="Times New Roman" w:eastAsia="SimSun"/>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28"/>
        <w:gridCol w:w="1247"/>
        <w:gridCol w:w="1575"/>
      </w:tblGrid>
      <w:tr w:rsidRPr="00AC4505" w:rsidR="006316AF" w:rsidTr="007275DA" w14:paraId="57EA4198" w14:textId="77777777">
        <w:trPr>
          <w:trHeight w:val="111"/>
        </w:trPr>
        <w:tc>
          <w:tcPr>
            <w:tcW w:w="3491" w:type="pct"/>
            <w:vMerge w:val="restart"/>
            <w:shd w:val="clear" w:color="auto" w:fill="5B9BD5"/>
            <w:vAlign w:val="center"/>
          </w:tcPr>
          <w:p w:rsidRPr="00AC4505" w:rsidR="006316AF" w:rsidP="007275DA" w:rsidRDefault="006316AF" w14:paraId="1CB518C3"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Information Collection</w:t>
            </w:r>
          </w:p>
        </w:tc>
        <w:tc>
          <w:tcPr>
            <w:tcW w:w="1509" w:type="pct"/>
            <w:gridSpan w:val="2"/>
            <w:shd w:val="clear" w:color="auto" w:fill="5B9BD5"/>
            <w:vAlign w:val="center"/>
          </w:tcPr>
          <w:p w:rsidRPr="00AC4505" w:rsidR="006316AF" w:rsidP="007275DA" w:rsidRDefault="006316AF" w14:paraId="6A83A8A9"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Miscellaneous Costs</w:t>
            </w:r>
          </w:p>
        </w:tc>
      </w:tr>
      <w:tr w:rsidRPr="00AC4505" w:rsidR="006316AF" w:rsidTr="007275DA" w14:paraId="4D1FB891" w14:textId="77777777">
        <w:trPr>
          <w:trHeight w:val="111"/>
        </w:trPr>
        <w:tc>
          <w:tcPr>
            <w:tcW w:w="3491" w:type="pct"/>
            <w:vMerge/>
            <w:shd w:val="clear" w:color="auto" w:fill="5B9BD5"/>
            <w:vAlign w:val="center"/>
          </w:tcPr>
          <w:p w:rsidRPr="00AC4505" w:rsidR="006316AF" w:rsidP="007275DA" w:rsidRDefault="006316AF" w14:paraId="50E35B21" w14:textId="77777777">
            <w:pPr>
              <w:keepNext/>
              <w:widowControl w:val="0"/>
              <w:pBdr>
                <w:top w:val="nil"/>
                <w:left w:val="nil"/>
                <w:bottom w:val="nil"/>
                <w:right w:val="nil"/>
                <w:between w:val="nil"/>
              </w:pBdr>
              <w:autoSpaceDE w:val="0"/>
              <w:autoSpaceDN w:val="0"/>
              <w:adjustRightInd w:val="0"/>
              <w:spacing w:after="0" w:line="276" w:lineRule="auto"/>
              <w:rPr>
                <w:rFonts w:cs="Calibri"/>
                <w:b/>
                <w:sz w:val="18"/>
                <w:szCs w:val="18"/>
              </w:rPr>
            </w:pPr>
          </w:p>
        </w:tc>
        <w:tc>
          <w:tcPr>
            <w:tcW w:w="667" w:type="pct"/>
            <w:tcBorders>
              <w:right w:val="dashed" w:color="000000" w:sz="4" w:space="0"/>
            </w:tcBorders>
            <w:shd w:val="clear" w:color="auto" w:fill="FBE4D5"/>
            <w:vAlign w:val="center"/>
          </w:tcPr>
          <w:p w:rsidRPr="00AC4505" w:rsidR="006316AF" w:rsidP="007275DA" w:rsidRDefault="006316AF" w14:paraId="3D2BE4F1"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Current</w:t>
            </w:r>
          </w:p>
        </w:tc>
        <w:tc>
          <w:tcPr>
            <w:tcW w:w="842" w:type="pct"/>
            <w:tcBorders>
              <w:left w:val="dashed" w:color="000000" w:sz="4" w:space="0"/>
            </w:tcBorders>
            <w:shd w:val="clear" w:color="auto" w:fill="FBE4D5"/>
            <w:vAlign w:val="center"/>
          </w:tcPr>
          <w:p w:rsidRPr="00AC4505" w:rsidR="006316AF" w:rsidP="007275DA" w:rsidRDefault="006316AF" w14:paraId="57FAD73A"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Previous</w:t>
            </w:r>
          </w:p>
        </w:tc>
      </w:tr>
      <w:tr w:rsidRPr="00AC4505" w:rsidR="006316AF" w:rsidTr="007275DA" w14:paraId="4EFCFBCD" w14:textId="77777777">
        <w:trPr>
          <w:trHeight w:val="317"/>
        </w:trPr>
        <w:tc>
          <w:tcPr>
            <w:tcW w:w="3491" w:type="pct"/>
            <w:shd w:val="clear" w:color="auto" w:fill="auto"/>
            <w:vAlign w:val="center"/>
          </w:tcPr>
          <w:p w:rsidRPr="00AC4505" w:rsidR="006316AF" w:rsidP="007275DA" w:rsidRDefault="006316AF" w14:paraId="54F86D1D" w14:textId="0433E5C7">
            <w:pPr>
              <w:keepNext/>
              <w:widowControl w:val="0"/>
              <w:autoSpaceDE w:val="0"/>
              <w:autoSpaceDN w:val="0"/>
              <w:adjustRightInd w:val="0"/>
              <w:spacing w:after="0" w:line="240" w:lineRule="auto"/>
              <w:rPr>
                <w:rFonts w:cs="Calibri"/>
                <w:sz w:val="18"/>
                <w:szCs w:val="18"/>
              </w:rPr>
            </w:pPr>
            <w:r w:rsidRPr="006316AF">
              <w:rPr>
                <w:rFonts w:cs="Calibri"/>
                <w:sz w:val="18"/>
                <w:szCs w:val="18"/>
              </w:rPr>
              <w:t>Application for Transfer of Charter Halibut Permit (CHP)</w:t>
            </w:r>
          </w:p>
        </w:tc>
        <w:tc>
          <w:tcPr>
            <w:tcW w:w="667" w:type="pct"/>
            <w:tcBorders>
              <w:left w:val="dotted" w:color="000000" w:sz="4" w:space="0"/>
              <w:bottom w:val="dotted" w:color="000000" w:sz="4" w:space="0"/>
              <w:right w:val="dashed" w:color="000000" w:sz="4" w:space="0"/>
            </w:tcBorders>
            <w:vAlign w:val="center"/>
          </w:tcPr>
          <w:p w:rsidRPr="00AC4505" w:rsidR="006316AF" w:rsidP="007275DA" w:rsidRDefault="0016306E" w14:paraId="597ED497" w14:textId="1BC555A5">
            <w:pPr>
              <w:keepNext/>
              <w:widowControl w:val="0"/>
              <w:autoSpaceDE w:val="0"/>
              <w:autoSpaceDN w:val="0"/>
              <w:adjustRightInd w:val="0"/>
              <w:spacing w:after="0" w:line="240" w:lineRule="auto"/>
              <w:jc w:val="center"/>
              <w:rPr>
                <w:rFonts w:cs="Calibri"/>
                <w:sz w:val="18"/>
                <w:szCs w:val="18"/>
              </w:rPr>
            </w:pPr>
            <w:r>
              <w:rPr>
                <w:rFonts w:cs="Calibri"/>
                <w:sz w:val="18"/>
                <w:szCs w:val="18"/>
              </w:rPr>
              <w:t>500</w:t>
            </w:r>
          </w:p>
        </w:tc>
        <w:tc>
          <w:tcPr>
            <w:tcW w:w="842" w:type="pct"/>
            <w:tcBorders>
              <w:left w:val="dashed" w:color="000000" w:sz="4" w:space="0"/>
              <w:bottom w:val="dotted" w:color="000000" w:sz="4" w:space="0"/>
              <w:right w:val="single" w:color="000000" w:sz="4" w:space="0"/>
            </w:tcBorders>
            <w:vAlign w:val="center"/>
          </w:tcPr>
          <w:p w:rsidRPr="00AC4505" w:rsidR="006316AF" w:rsidP="007275DA" w:rsidRDefault="006316AF" w14:paraId="71AE83A3" w14:textId="3C2A8F85">
            <w:pPr>
              <w:keepNext/>
              <w:widowControl w:val="0"/>
              <w:autoSpaceDE w:val="0"/>
              <w:autoSpaceDN w:val="0"/>
              <w:adjustRightInd w:val="0"/>
              <w:spacing w:after="0" w:line="240" w:lineRule="auto"/>
              <w:jc w:val="center"/>
              <w:rPr>
                <w:rFonts w:cs="Calibri"/>
                <w:sz w:val="18"/>
                <w:szCs w:val="18"/>
              </w:rPr>
            </w:pPr>
            <w:r>
              <w:rPr>
                <w:rFonts w:cs="Calibri"/>
                <w:sz w:val="18"/>
                <w:szCs w:val="18"/>
              </w:rPr>
              <w:t>1,500</w:t>
            </w:r>
          </w:p>
        </w:tc>
      </w:tr>
      <w:tr w:rsidRPr="00AC4505" w:rsidR="006316AF" w:rsidTr="007275DA" w14:paraId="3A4B37B2" w14:textId="77777777">
        <w:trPr>
          <w:trHeight w:val="317"/>
        </w:trPr>
        <w:tc>
          <w:tcPr>
            <w:tcW w:w="3491" w:type="pct"/>
            <w:shd w:val="clear" w:color="auto" w:fill="BDD7EE"/>
            <w:vAlign w:val="center"/>
          </w:tcPr>
          <w:p w:rsidRPr="00AC4505" w:rsidR="006316AF" w:rsidP="007275DA" w:rsidRDefault="006316AF" w14:paraId="5A54BD6A" w14:textId="77777777">
            <w:pPr>
              <w:keepNext/>
              <w:widowControl w:val="0"/>
              <w:autoSpaceDE w:val="0"/>
              <w:autoSpaceDN w:val="0"/>
              <w:adjustRightInd w:val="0"/>
              <w:spacing w:after="0" w:line="240" w:lineRule="auto"/>
              <w:jc w:val="center"/>
              <w:rPr>
                <w:rFonts w:cs="Calibri"/>
                <w:b/>
                <w:sz w:val="18"/>
                <w:szCs w:val="18"/>
              </w:rPr>
            </w:pPr>
            <w:r w:rsidRPr="00AC4505">
              <w:rPr>
                <w:rFonts w:cs="Calibri"/>
                <w:b/>
                <w:sz w:val="18"/>
                <w:szCs w:val="18"/>
              </w:rPr>
              <w:t>Total for Collection</w:t>
            </w:r>
          </w:p>
        </w:tc>
        <w:tc>
          <w:tcPr>
            <w:tcW w:w="667" w:type="pct"/>
            <w:tcBorders>
              <w:left w:val="dotted" w:color="000000" w:sz="4" w:space="0"/>
              <w:right w:val="dashed" w:color="000000" w:sz="4" w:space="0"/>
            </w:tcBorders>
            <w:shd w:val="clear" w:color="auto" w:fill="BDD7EE"/>
            <w:vAlign w:val="center"/>
          </w:tcPr>
          <w:p w:rsidRPr="00AC4505" w:rsidR="006316AF" w:rsidP="007275DA" w:rsidRDefault="0016306E" w14:paraId="7FF37275" w14:textId="5D07A885">
            <w:pPr>
              <w:keepNext/>
              <w:widowControl w:val="0"/>
              <w:autoSpaceDE w:val="0"/>
              <w:autoSpaceDN w:val="0"/>
              <w:adjustRightInd w:val="0"/>
              <w:spacing w:after="0" w:line="240" w:lineRule="auto"/>
              <w:jc w:val="center"/>
              <w:rPr>
                <w:rFonts w:cs="Calibri"/>
                <w:b/>
                <w:sz w:val="18"/>
                <w:szCs w:val="18"/>
              </w:rPr>
            </w:pPr>
            <w:r>
              <w:rPr>
                <w:rFonts w:cs="Calibri"/>
                <w:b/>
                <w:sz w:val="18"/>
                <w:szCs w:val="18"/>
              </w:rPr>
              <w:t>$84,090</w:t>
            </w:r>
          </w:p>
        </w:tc>
        <w:tc>
          <w:tcPr>
            <w:tcW w:w="842" w:type="pct"/>
            <w:tcBorders>
              <w:left w:val="dashed" w:color="000000" w:sz="4" w:space="0"/>
              <w:right w:val="single" w:color="000000" w:sz="4" w:space="0"/>
            </w:tcBorders>
            <w:shd w:val="clear" w:color="auto" w:fill="BDD7EE"/>
            <w:vAlign w:val="center"/>
          </w:tcPr>
          <w:p w:rsidRPr="00AC4505" w:rsidR="006316AF" w:rsidP="007275DA" w:rsidRDefault="0016306E" w14:paraId="397AE25F" w14:textId="4BB225E2">
            <w:pPr>
              <w:keepNext/>
              <w:widowControl w:val="0"/>
              <w:autoSpaceDE w:val="0"/>
              <w:autoSpaceDN w:val="0"/>
              <w:adjustRightInd w:val="0"/>
              <w:spacing w:after="0" w:line="240" w:lineRule="auto"/>
              <w:jc w:val="center"/>
              <w:rPr>
                <w:rFonts w:cs="Calibri"/>
                <w:b/>
                <w:sz w:val="18"/>
                <w:szCs w:val="18"/>
              </w:rPr>
            </w:pPr>
            <w:r>
              <w:rPr>
                <w:rFonts w:cs="Calibri"/>
                <w:b/>
                <w:sz w:val="18"/>
                <w:szCs w:val="18"/>
              </w:rPr>
              <w:t>$</w:t>
            </w:r>
            <w:r w:rsidR="006316AF">
              <w:rPr>
                <w:rFonts w:cs="Calibri"/>
                <w:b/>
                <w:sz w:val="18"/>
                <w:szCs w:val="18"/>
              </w:rPr>
              <w:t>85,090</w:t>
            </w:r>
          </w:p>
        </w:tc>
      </w:tr>
      <w:tr w:rsidRPr="00AC4505" w:rsidR="006316AF" w:rsidTr="007275DA" w14:paraId="0CD0314F" w14:textId="77777777">
        <w:trPr>
          <w:trHeight w:val="317"/>
        </w:trPr>
        <w:tc>
          <w:tcPr>
            <w:tcW w:w="3491" w:type="pct"/>
            <w:shd w:val="clear" w:color="auto" w:fill="FBE4D5"/>
            <w:vAlign w:val="center"/>
          </w:tcPr>
          <w:p w:rsidRPr="00AC4505" w:rsidR="006316AF" w:rsidP="007275DA" w:rsidRDefault="006316AF" w14:paraId="72A471B1" w14:textId="77777777">
            <w:pPr>
              <w:keepNext/>
              <w:widowControl w:val="0"/>
              <w:autoSpaceDE w:val="0"/>
              <w:autoSpaceDN w:val="0"/>
              <w:adjustRightInd w:val="0"/>
              <w:spacing w:after="0" w:line="240" w:lineRule="auto"/>
              <w:jc w:val="center"/>
              <w:rPr>
                <w:rFonts w:cs="Calibri"/>
                <w:b/>
                <w:sz w:val="18"/>
                <w:szCs w:val="18"/>
              </w:rPr>
            </w:pPr>
            <w:r w:rsidRPr="00AC4505">
              <w:rPr>
                <w:rFonts w:eastAsia="Times New Roman" w:cs="Calibri"/>
                <w:b/>
                <w:bCs/>
                <w:color w:val="000000"/>
                <w:sz w:val="18"/>
                <w:szCs w:val="18"/>
              </w:rPr>
              <w:t>Difference</w:t>
            </w:r>
          </w:p>
        </w:tc>
        <w:tc>
          <w:tcPr>
            <w:tcW w:w="1509" w:type="pct"/>
            <w:gridSpan w:val="2"/>
            <w:tcBorders>
              <w:left w:val="dotted" w:color="000000" w:sz="4" w:space="0"/>
              <w:right w:val="single" w:color="000000" w:sz="4" w:space="0"/>
            </w:tcBorders>
            <w:shd w:val="clear" w:color="auto" w:fill="FBE4D5"/>
            <w:vAlign w:val="center"/>
          </w:tcPr>
          <w:p w:rsidRPr="00AC4505" w:rsidR="006316AF" w:rsidP="007275DA" w:rsidRDefault="0016306E" w14:paraId="29AA7ED3" w14:textId="1C129057">
            <w:pPr>
              <w:keepNext/>
              <w:widowControl w:val="0"/>
              <w:autoSpaceDE w:val="0"/>
              <w:autoSpaceDN w:val="0"/>
              <w:adjustRightInd w:val="0"/>
              <w:spacing w:after="0" w:line="240" w:lineRule="auto"/>
              <w:jc w:val="center"/>
              <w:rPr>
                <w:rFonts w:cs="Calibri"/>
                <w:b/>
                <w:sz w:val="18"/>
                <w:szCs w:val="18"/>
              </w:rPr>
            </w:pPr>
            <w:r>
              <w:rPr>
                <w:rFonts w:cs="Calibri"/>
                <w:b/>
                <w:sz w:val="18"/>
                <w:szCs w:val="18"/>
              </w:rPr>
              <w:t>- $1,000</w:t>
            </w:r>
          </w:p>
        </w:tc>
      </w:tr>
    </w:tbl>
    <w:p w:rsidRPr="00C7088B" w:rsidR="00C53995" w:rsidP="00C7088B" w:rsidRDefault="00C53995" w14:paraId="1679536E" w14:textId="5299F71D">
      <w:pPr>
        <w:autoSpaceDE w:val="0"/>
        <w:autoSpaceDN w:val="0"/>
        <w:spacing w:after="0" w:line="240" w:lineRule="auto"/>
        <w:rPr>
          <w:rFonts w:ascii="Times New Roman" w:hAnsi="Times New Roman" w:eastAsia="SimSun"/>
          <w:sz w:val="24"/>
          <w:szCs w:val="24"/>
        </w:rPr>
      </w:pPr>
    </w:p>
    <w:p w:rsidRPr="00B16A0A" w:rsidR="00C53995" w:rsidP="00AE6A39" w:rsidRDefault="00C53995" w14:paraId="3CD54568" w14:textId="77777777">
      <w:pPr>
        <w:keepNext/>
        <w:spacing w:after="0" w:line="240" w:lineRule="auto"/>
        <w:rPr>
          <w:rFonts w:ascii="Times New Roman" w:hAnsi="Times New Roman"/>
          <w:b/>
          <w:sz w:val="24"/>
          <w:szCs w:val="24"/>
        </w:rPr>
      </w:pPr>
      <w:r w:rsidRPr="00B16A0A">
        <w:rPr>
          <w:rFonts w:ascii="Times New Roman" w:hAnsi="Times New Roman"/>
          <w:b/>
          <w:sz w:val="24"/>
          <w:szCs w:val="24"/>
        </w:rPr>
        <w:t>Submission with Proposed Rule and Solicitation of Comments</w:t>
      </w:r>
    </w:p>
    <w:p w:rsidR="00C53995" w:rsidP="00AE6A39" w:rsidRDefault="00C53995" w14:paraId="5CD47E12" w14:textId="3434B884">
      <w:pPr>
        <w:keepNext/>
        <w:spacing w:after="0" w:line="240" w:lineRule="auto"/>
        <w:rPr>
          <w:rFonts w:ascii="Times New Roman" w:hAnsi="Times New Roman"/>
          <w:sz w:val="24"/>
          <w:szCs w:val="24"/>
        </w:rPr>
      </w:pPr>
      <w:r>
        <w:rPr>
          <w:rFonts w:ascii="Times New Roman" w:hAnsi="Times New Roman"/>
          <w:sz w:val="24"/>
          <w:szCs w:val="24"/>
        </w:rPr>
        <w:t>A proposed rule (RIN 0648-BK76</w:t>
      </w:r>
      <w:r w:rsidRPr="00B16A0A">
        <w:rPr>
          <w:rFonts w:ascii="Times New Roman" w:hAnsi="Times New Roman"/>
          <w:sz w:val="24"/>
          <w:szCs w:val="24"/>
        </w:rPr>
        <w:t>) soliciting public comments will be published coincident with this submission.</w:t>
      </w:r>
    </w:p>
    <w:p w:rsidR="00C53995" w:rsidP="00C841F2" w:rsidRDefault="00C53995" w14:paraId="5EF569D4" w14:textId="77777777">
      <w:pPr>
        <w:spacing w:after="0" w:line="240" w:lineRule="auto"/>
        <w:rPr>
          <w:rFonts w:ascii="Times New Roman" w:hAnsi="Times New Roman"/>
          <w:sz w:val="24"/>
          <w:szCs w:val="24"/>
        </w:rPr>
      </w:pPr>
    </w:p>
    <w:p w:rsidRPr="00C7088B" w:rsidR="00C7088B" w:rsidP="00C7088B" w:rsidRDefault="00C7088B" w14:paraId="7E44D718" w14:textId="77777777">
      <w:pPr>
        <w:autoSpaceDE w:val="0"/>
        <w:autoSpaceDN w:val="0"/>
        <w:spacing w:after="0" w:line="240" w:lineRule="auto"/>
        <w:rPr>
          <w:rFonts w:ascii="Times New Roman" w:hAnsi="Times New Roman" w:eastAsia="SimSun"/>
          <w:sz w:val="24"/>
          <w:szCs w:val="24"/>
        </w:rPr>
      </w:pPr>
    </w:p>
    <w:p w:rsidRPr="00C7088B" w:rsidR="00C7088B" w:rsidP="00C7088B" w:rsidRDefault="00C7088B" w14:paraId="47330F09" w14:textId="77777777">
      <w:pPr>
        <w:autoSpaceDE w:val="0"/>
        <w:autoSpaceDN w:val="0"/>
        <w:spacing w:after="0" w:line="240" w:lineRule="auto"/>
        <w:rPr>
          <w:rFonts w:ascii="Times New Roman" w:hAnsi="Times New Roman" w:eastAsia="SimSun"/>
          <w:sz w:val="24"/>
          <w:szCs w:val="24"/>
        </w:rPr>
      </w:pPr>
    </w:p>
    <w:p w:rsidRPr="00F56A4A" w:rsidR="00C53995" w:rsidP="00D54460" w:rsidRDefault="00C53995" w14:paraId="167971D5" w14:textId="77777777">
      <w:pPr>
        <w:spacing w:after="0" w:line="240" w:lineRule="auto"/>
        <w:rPr>
          <w:rFonts w:ascii="Times New Roman" w:hAnsi="Times New Roman"/>
          <w:sz w:val="24"/>
          <w:szCs w:val="24"/>
        </w:rPr>
      </w:pPr>
    </w:p>
    <w:sectPr w:rsidRPr="00F56A4A" w:rsidR="00C539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5601F" w14:textId="77777777" w:rsidR="003D07B7" w:rsidRDefault="003D07B7" w:rsidP="00C31F5E">
      <w:pPr>
        <w:spacing w:after="0" w:line="240" w:lineRule="auto"/>
      </w:pPr>
      <w:r>
        <w:separator/>
      </w:r>
    </w:p>
  </w:endnote>
  <w:endnote w:type="continuationSeparator" w:id="0">
    <w:p w14:paraId="35CF2CBA" w14:textId="77777777" w:rsidR="003D07B7" w:rsidRDefault="003D07B7"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40477"/>
      <w:docPartObj>
        <w:docPartGallery w:val="Page Numbers (Bottom of Page)"/>
        <w:docPartUnique/>
      </w:docPartObj>
    </w:sdtPr>
    <w:sdtEndPr>
      <w:rPr>
        <w:noProof/>
      </w:rPr>
    </w:sdtEndPr>
    <w:sdtContent>
      <w:p w14:paraId="7018E78C" w14:textId="5782F451" w:rsidR="004B3E75" w:rsidRDefault="004B3E75">
        <w:pPr>
          <w:pStyle w:val="Footer"/>
          <w:jc w:val="center"/>
        </w:pPr>
        <w:r>
          <w:fldChar w:fldCharType="begin"/>
        </w:r>
        <w:r>
          <w:instrText xml:space="preserve"> PAGE   \* MERGEFORMAT </w:instrText>
        </w:r>
        <w:r>
          <w:fldChar w:fldCharType="separate"/>
        </w:r>
        <w:r w:rsidR="000002D3">
          <w:rPr>
            <w:noProof/>
          </w:rPr>
          <w:t>1</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AFAAC" w14:textId="77777777" w:rsidR="003D07B7" w:rsidRDefault="003D07B7" w:rsidP="00C31F5E">
      <w:pPr>
        <w:spacing w:after="0" w:line="240" w:lineRule="auto"/>
      </w:pPr>
      <w:r>
        <w:separator/>
      </w:r>
    </w:p>
  </w:footnote>
  <w:footnote w:type="continuationSeparator" w:id="0">
    <w:p w14:paraId="7A7D887A" w14:textId="77777777" w:rsidR="003D07B7" w:rsidRDefault="003D07B7" w:rsidP="00C3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E6"/>
    <w:rsid w:val="000002D3"/>
    <w:rsid w:val="000011D7"/>
    <w:rsid w:val="0000754A"/>
    <w:rsid w:val="00021C2D"/>
    <w:rsid w:val="00022F41"/>
    <w:rsid w:val="00025E9C"/>
    <w:rsid w:val="00026206"/>
    <w:rsid w:val="0002760A"/>
    <w:rsid w:val="00041E2D"/>
    <w:rsid w:val="00043AD7"/>
    <w:rsid w:val="00044FE6"/>
    <w:rsid w:val="000458DE"/>
    <w:rsid w:val="00051F55"/>
    <w:rsid w:val="000532A0"/>
    <w:rsid w:val="00056B4B"/>
    <w:rsid w:val="000743D8"/>
    <w:rsid w:val="0007445B"/>
    <w:rsid w:val="00076F95"/>
    <w:rsid w:val="0008441A"/>
    <w:rsid w:val="00084A26"/>
    <w:rsid w:val="0008633D"/>
    <w:rsid w:val="00096B70"/>
    <w:rsid w:val="000A18A9"/>
    <w:rsid w:val="000A5749"/>
    <w:rsid w:val="000A6B42"/>
    <w:rsid w:val="000B3E41"/>
    <w:rsid w:val="000D38BB"/>
    <w:rsid w:val="000E1A22"/>
    <w:rsid w:val="000E2B25"/>
    <w:rsid w:val="000E58E3"/>
    <w:rsid w:val="000F6FF0"/>
    <w:rsid w:val="00104315"/>
    <w:rsid w:val="001111AA"/>
    <w:rsid w:val="001121A5"/>
    <w:rsid w:val="00116ACE"/>
    <w:rsid w:val="00124A90"/>
    <w:rsid w:val="00131446"/>
    <w:rsid w:val="00142406"/>
    <w:rsid w:val="001524D7"/>
    <w:rsid w:val="0016306E"/>
    <w:rsid w:val="00174976"/>
    <w:rsid w:val="00181064"/>
    <w:rsid w:val="00181B9D"/>
    <w:rsid w:val="001824DC"/>
    <w:rsid w:val="00192314"/>
    <w:rsid w:val="00192C24"/>
    <w:rsid w:val="00194928"/>
    <w:rsid w:val="001A0F90"/>
    <w:rsid w:val="001A7B9B"/>
    <w:rsid w:val="001A7C44"/>
    <w:rsid w:val="001B11F9"/>
    <w:rsid w:val="001B4C5D"/>
    <w:rsid w:val="001C6BA9"/>
    <w:rsid w:val="001C7EA1"/>
    <w:rsid w:val="001D0DA3"/>
    <w:rsid w:val="001D7039"/>
    <w:rsid w:val="001E311B"/>
    <w:rsid w:val="001F6744"/>
    <w:rsid w:val="00204624"/>
    <w:rsid w:val="00206109"/>
    <w:rsid w:val="00211D68"/>
    <w:rsid w:val="00220A47"/>
    <w:rsid w:val="0022246A"/>
    <w:rsid w:val="00230836"/>
    <w:rsid w:val="002344BB"/>
    <w:rsid w:val="0024449A"/>
    <w:rsid w:val="00270CD7"/>
    <w:rsid w:val="00273706"/>
    <w:rsid w:val="00273ADE"/>
    <w:rsid w:val="00283D1C"/>
    <w:rsid w:val="00285B90"/>
    <w:rsid w:val="00287C15"/>
    <w:rsid w:val="002A32C9"/>
    <w:rsid w:val="002A38E7"/>
    <w:rsid w:val="002B0FBA"/>
    <w:rsid w:val="002D16E8"/>
    <w:rsid w:val="002E6BDC"/>
    <w:rsid w:val="00304FCB"/>
    <w:rsid w:val="003170DF"/>
    <w:rsid w:val="00317E7D"/>
    <w:rsid w:val="003352A6"/>
    <w:rsid w:val="0034174E"/>
    <w:rsid w:val="00350872"/>
    <w:rsid w:val="00350A6E"/>
    <w:rsid w:val="00361938"/>
    <w:rsid w:val="0037014F"/>
    <w:rsid w:val="003872B9"/>
    <w:rsid w:val="00392A35"/>
    <w:rsid w:val="003952F2"/>
    <w:rsid w:val="003A67C5"/>
    <w:rsid w:val="003B1551"/>
    <w:rsid w:val="003B37AC"/>
    <w:rsid w:val="003B3AD8"/>
    <w:rsid w:val="003C187F"/>
    <w:rsid w:val="003C6FF1"/>
    <w:rsid w:val="003D07B7"/>
    <w:rsid w:val="003D76A4"/>
    <w:rsid w:val="003E5709"/>
    <w:rsid w:val="003F0547"/>
    <w:rsid w:val="003F107D"/>
    <w:rsid w:val="003F6FF4"/>
    <w:rsid w:val="004011C7"/>
    <w:rsid w:val="00405E75"/>
    <w:rsid w:val="004079C7"/>
    <w:rsid w:val="0041301D"/>
    <w:rsid w:val="0041591A"/>
    <w:rsid w:val="00417FF9"/>
    <w:rsid w:val="00420C3A"/>
    <w:rsid w:val="00423727"/>
    <w:rsid w:val="00424D0B"/>
    <w:rsid w:val="00426827"/>
    <w:rsid w:val="004373E2"/>
    <w:rsid w:val="00440EA4"/>
    <w:rsid w:val="00444688"/>
    <w:rsid w:val="004511CC"/>
    <w:rsid w:val="004630BC"/>
    <w:rsid w:val="00467F1A"/>
    <w:rsid w:val="00476520"/>
    <w:rsid w:val="00495548"/>
    <w:rsid w:val="00495E5A"/>
    <w:rsid w:val="004A3A7F"/>
    <w:rsid w:val="004B0166"/>
    <w:rsid w:val="004B3E75"/>
    <w:rsid w:val="004B426B"/>
    <w:rsid w:val="004B4C83"/>
    <w:rsid w:val="004B6ED1"/>
    <w:rsid w:val="004C126F"/>
    <w:rsid w:val="004C3099"/>
    <w:rsid w:val="004C3119"/>
    <w:rsid w:val="004D633F"/>
    <w:rsid w:val="004D6D97"/>
    <w:rsid w:val="004D7A2A"/>
    <w:rsid w:val="004E33FE"/>
    <w:rsid w:val="004F4BDC"/>
    <w:rsid w:val="00500EC4"/>
    <w:rsid w:val="005015AC"/>
    <w:rsid w:val="0051658C"/>
    <w:rsid w:val="00522D1E"/>
    <w:rsid w:val="0053127B"/>
    <w:rsid w:val="00541F19"/>
    <w:rsid w:val="005434FF"/>
    <w:rsid w:val="00552FBF"/>
    <w:rsid w:val="0056761A"/>
    <w:rsid w:val="00571C8A"/>
    <w:rsid w:val="00577B23"/>
    <w:rsid w:val="00582776"/>
    <w:rsid w:val="00583958"/>
    <w:rsid w:val="005865CC"/>
    <w:rsid w:val="005928F0"/>
    <w:rsid w:val="005940A5"/>
    <w:rsid w:val="00595619"/>
    <w:rsid w:val="005A0423"/>
    <w:rsid w:val="005A11C0"/>
    <w:rsid w:val="005A6600"/>
    <w:rsid w:val="005A6DD7"/>
    <w:rsid w:val="005C0DC1"/>
    <w:rsid w:val="005C4462"/>
    <w:rsid w:val="005D36AD"/>
    <w:rsid w:val="005E2BA0"/>
    <w:rsid w:val="005E60C9"/>
    <w:rsid w:val="005F0DDD"/>
    <w:rsid w:val="006005D2"/>
    <w:rsid w:val="0062158C"/>
    <w:rsid w:val="00622077"/>
    <w:rsid w:val="006316AF"/>
    <w:rsid w:val="006417ED"/>
    <w:rsid w:val="00643289"/>
    <w:rsid w:val="0065709D"/>
    <w:rsid w:val="0066248F"/>
    <w:rsid w:val="006624A4"/>
    <w:rsid w:val="0066532B"/>
    <w:rsid w:val="00666FC3"/>
    <w:rsid w:val="0067427A"/>
    <w:rsid w:val="0067588B"/>
    <w:rsid w:val="00680A20"/>
    <w:rsid w:val="00681116"/>
    <w:rsid w:val="00681DF1"/>
    <w:rsid w:val="006825F7"/>
    <w:rsid w:val="0069464A"/>
    <w:rsid w:val="006B3DCF"/>
    <w:rsid w:val="006C028C"/>
    <w:rsid w:val="006C53CC"/>
    <w:rsid w:val="006E106C"/>
    <w:rsid w:val="006E1207"/>
    <w:rsid w:val="006E19F9"/>
    <w:rsid w:val="006F03E3"/>
    <w:rsid w:val="006F5E17"/>
    <w:rsid w:val="00701A71"/>
    <w:rsid w:val="0071052D"/>
    <w:rsid w:val="007116F3"/>
    <w:rsid w:val="007132D6"/>
    <w:rsid w:val="00717C97"/>
    <w:rsid w:val="00723A8D"/>
    <w:rsid w:val="007243AA"/>
    <w:rsid w:val="00733E51"/>
    <w:rsid w:val="007345BC"/>
    <w:rsid w:val="00734932"/>
    <w:rsid w:val="00742A4F"/>
    <w:rsid w:val="00746D87"/>
    <w:rsid w:val="00752025"/>
    <w:rsid w:val="00756982"/>
    <w:rsid w:val="00756CB8"/>
    <w:rsid w:val="00772276"/>
    <w:rsid w:val="007842A6"/>
    <w:rsid w:val="00786D35"/>
    <w:rsid w:val="00792479"/>
    <w:rsid w:val="00795099"/>
    <w:rsid w:val="007A1647"/>
    <w:rsid w:val="007A536A"/>
    <w:rsid w:val="007C0761"/>
    <w:rsid w:val="007C5929"/>
    <w:rsid w:val="007E6594"/>
    <w:rsid w:val="007F6DC4"/>
    <w:rsid w:val="00812A57"/>
    <w:rsid w:val="00812F4B"/>
    <w:rsid w:val="00826967"/>
    <w:rsid w:val="00830D83"/>
    <w:rsid w:val="0085646A"/>
    <w:rsid w:val="0086068F"/>
    <w:rsid w:val="00875EAA"/>
    <w:rsid w:val="00885060"/>
    <w:rsid w:val="00885857"/>
    <w:rsid w:val="008918AC"/>
    <w:rsid w:val="008A700D"/>
    <w:rsid w:val="008D032B"/>
    <w:rsid w:val="008D517A"/>
    <w:rsid w:val="008D626B"/>
    <w:rsid w:val="008F6B60"/>
    <w:rsid w:val="0090630B"/>
    <w:rsid w:val="0091623D"/>
    <w:rsid w:val="00916754"/>
    <w:rsid w:val="009256C5"/>
    <w:rsid w:val="009343A9"/>
    <w:rsid w:val="009356E5"/>
    <w:rsid w:val="00943BF8"/>
    <w:rsid w:val="0094581D"/>
    <w:rsid w:val="00955810"/>
    <w:rsid w:val="00956606"/>
    <w:rsid w:val="0095785D"/>
    <w:rsid w:val="00960689"/>
    <w:rsid w:val="00982651"/>
    <w:rsid w:val="00985CC7"/>
    <w:rsid w:val="00987451"/>
    <w:rsid w:val="0099017D"/>
    <w:rsid w:val="0099441D"/>
    <w:rsid w:val="009D4A9B"/>
    <w:rsid w:val="009D6EDC"/>
    <w:rsid w:val="009F4C58"/>
    <w:rsid w:val="009F7BCE"/>
    <w:rsid w:val="00A118BB"/>
    <w:rsid w:val="00A2152B"/>
    <w:rsid w:val="00A22FBB"/>
    <w:rsid w:val="00A25B92"/>
    <w:rsid w:val="00A340CE"/>
    <w:rsid w:val="00A52443"/>
    <w:rsid w:val="00A66D7D"/>
    <w:rsid w:val="00A750FE"/>
    <w:rsid w:val="00A77E4A"/>
    <w:rsid w:val="00A80069"/>
    <w:rsid w:val="00A813A8"/>
    <w:rsid w:val="00A84150"/>
    <w:rsid w:val="00A8472E"/>
    <w:rsid w:val="00A95C54"/>
    <w:rsid w:val="00AB0493"/>
    <w:rsid w:val="00AB6CE9"/>
    <w:rsid w:val="00AC18DF"/>
    <w:rsid w:val="00AD0559"/>
    <w:rsid w:val="00AD11E7"/>
    <w:rsid w:val="00AD2EBB"/>
    <w:rsid w:val="00AD3A93"/>
    <w:rsid w:val="00AE21F0"/>
    <w:rsid w:val="00AE6A39"/>
    <w:rsid w:val="00AF02FB"/>
    <w:rsid w:val="00AF04BE"/>
    <w:rsid w:val="00AF1BAB"/>
    <w:rsid w:val="00AF6683"/>
    <w:rsid w:val="00B04690"/>
    <w:rsid w:val="00B052A1"/>
    <w:rsid w:val="00B12840"/>
    <w:rsid w:val="00B16A0A"/>
    <w:rsid w:val="00B45F9E"/>
    <w:rsid w:val="00B50DB8"/>
    <w:rsid w:val="00B63B60"/>
    <w:rsid w:val="00B72F80"/>
    <w:rsid w:val="00B85928"/>
    <w:rsid w:val="00B86381"/>
    <w:rsid w:val="00B874D1"/>
    <w:rsid w:val="00B97BE6"/>
    <w:rsid w:val="00BC11ED"/>
    <w:rsid w:val="00BC146F"/>
    <w:rsid w:val="00BC3078"/>
    <w:rsid w:val="00BC36E6"/>
    <w:rsid w:val="00BD0AAB"/>
    <w:rsid w:val="00BD6521"/>
    <w:rsid w:val="00BD7256"/>
    <w:rsid w:val="00BE1E35"/>
    <w:rsid w:val="00BE4D18"/>
    <w:rsid w:val="00BE64DC"/>
    <w:rsid w:val="00BE6CDD"/>
    <w:rsid w:val="00BE7B36"/>
    <w:rsid w:val="00C107A7"/>
    <w:rsid w:val="00C1760D"/>
    <w:rsid w:val="00C31F5E"/>
    <w:rsid w:val="00C3301E"/>
    <w:rsid w:val="00C35BE3"/>
    <w:rsid w:val="00C513F6"/>
    <w:rsid w:val="00C53995"/>
    <w:rsid w:val="00C65807"/>
    <w:rsid w:val="00C6781C"/>
    <w:rsid w:val="00C7088B"/>
    <w:rsid w:val="00C73C01"/>
    <w:rsid w:val="00C841F2"/>
    <w:rsid w:val="00C90A06"/>
    <w:rsid w:val="00CA2673"/>
    <w:rsid w:val="00CA3743"/>
    <w:rsid w:val="00CB28D1"/>
    <w:rsid w:val="00CB31A8"/>
    <w:rsid w:val="00CC1008"/>
    <w:rsid w:val="00CC22FD"/>
    <w:rsid w:val="00CD3AC1"/>
    <w:rsid w:val="00D02459"/>
    <w:rsid w:val="00D05EB6"/>
    <w:rsid w:val="00D07DF9"/>
    <w:rsid w:val="00D217CF"/>
    <w:rsid w:val="00D33686"/>
    <w:rsid w:val="00D35634"/>
    <w:rsid w:val="00D44F94"/>
    <w:rsid w:val="00D54460"/>
    <w:rsid w:val="00D549B1"/>
    <w:rsid w:val="00D7041F"/>
    <w:rsid w:val="00D7287C"/>
    <w:rsid w:val="00D744F0"/>
    <w:rsid w:val="00D877C4"/>
    <w:rsid w:val="00D96D64"/>
    <w:rsid w:val="00D973BA"/>
    <w:rsid w:val="00D97901"/>
    <w:rsid w:val="00DB4CA2"/>
    <w:rsid w:val="00DE2E5D"/>
    <w:rsid w:val="00DE39D3"/>
    <w:rsid w:val="00DE589B"/>
    <w:rsid w:val="00DF700D"/>
    <w:rsid w:val="00E05B94"/>
    <w:rsid w:val="00E07E82"/>
    <w:rsid w:val="00E216EA"/>
    <w:rsid w:val="00E226C3"/>
    <w:rsid w:val="00E23F24"/>
    <w:rsid w:val="00E2737B"/>
    <w:rsid w:val="00E37C94"/>
    <w:rsid w:val="00E56D72"/>
    <w:rsid w:val="00E714BA"/>
    <w:rsid w:val="00E753F2"/>
    <w:rsid w:val="00E77730"/>
    <w:rsid w:val="00E848C2"/>
    <w:rsid w:val="00E86D28"/>
    <w:rsid w:val="00E87D5E"/>
    <w:rsid w:val="00EC54E6"/>
    <w:rsid w:val="00ED2423"/>
    <w:rsid w:val="00ED2DF6"/>
    <w:rsid w:val="00ED7B57"/>
    <w:rsid w:val="00EE37CD"/>
    <w:rsid w:val="00EE6182"/>
    <w:rsid w:val="00EE7E4B"/>
    <w:rsid w:val="00EF28DC"/>
    <w:rsid w:val="00EF38BE"/>
    <w:rsid w:val="00EF7BB1"/>
    <w:rsid w:val="00F00D4E"/>
    <w:rsid w:val="00F02510"/>
    <w:rsid w:val="00F02991"/>
    <w:rsid w:val="00F03675"/>
    <w:rsid w:val="00F0379E"/>
    <w:rsid w:val="00F067FC"/>
    <w:rsid w:val="00F3684E"/>
    <w:rsid w:val="00F56A4A"/>
    <w:rsid w:val="00F57CE7"/>
    <w:rsid w:val="00F61ECC"/>
    <w:rsid w:val="00F67F8E"/>
    <w:rsid w:val="00F702FE"/>
    <w:rsid w:val="00F71A27"/>
    <w:rsid w:val="00F73680"/>
    <w:rsid w:val="00F902A9"/>
    <w:rsid w:val="00F91D5D"/>
    <w:rsid w:val="00F9369A"/>
    <w:rsid w:val="00FA0FE6"/>
    <w:rsid w:val="00FA56A3"/>
    <w:rsid w:val="00FA6532"/>
    <w:rsid w:val="00FC3AE2"/>
    <w:rsid w:val="00FD26DD"/>
    <w:rsid w:val="00FE4D03"/>
    <w:rsid w:val="00FE5A26"/>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15:docId w15:val="{F9EE662C-302B-43F2-BFDA-43C7C3F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r.federalregister.gov/current/title-50/chapter-III/part-300/subpart-E/section-300.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A86C-824F-4633-88F4-7164AFA9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Adrienne.Thomas</cp:lastModifiedBy>
  <cp:revision>2</cp:revision>
  <cp:lastPrinted>2019-07-12T21:33:00Z</cp:lastPrinted>
  <dcterms:created xsi:type="dcterms:W3CDTF">2021-09-22T21:43:00Z</dcterms:created>
  <dcterms:modified xsi:type="dcterms:W3CDTF">2021-09-22T21:43:00Z</dcterms:modified>
</cp:coreProperties>
</file>