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5D0" w:rsidP="007F0405" w:rsidRDefault="00A175D0">
      <w:pPr>
        <w:ind w:left="-1350"/>
        <w:rPr>
          <w:noProof/>
        </w:rPr>
      </w:pPr>
    </w:p>
    <w:p w:rsidR="00A175D0" w:rsidP="00A175D0" w:rsidRDefault="00A175D0">
      <w:pPr>
        <w:rPr>
          <w:noProof/>
        </w:rPr>
      </w:pPr>
    </w:p>
    <w:p w:rsidR="00A175D0" w:rsidP="007F0405" w:rsidRDefault="00A175D0">
      <w:pPr>
        <w:ind w:left="-1350"/>
        <w:rPr>
          <w:noProof/>
        </w:rPr>
      </w:pPr>
    </w:p>
    <w:p w:rsidR="00A175D0" w:rsidP="00A175D0" w:rsidRDefault="00A175D0">
      <w:pPr>
        <w:rPr>
          <w:noProof/>
        </w:rPr>
      </w:pPr>
      <w:r>
        <w:rPr>
          <w:noProof/>
        </w:rPr>
        <mc:AlternateContent>
          <mc:Choice Requires="wps">
            <w:drawing>
              <wp:anchor distT="45720" distB="45720" distL="114300" distR="114300" simplePos="0" relativeHeight="251661312" behindDoc="0" locked="0" layoutInCell="1" allowOverlap="1">
                <wp:simplePos x="0" y="0"/>
                <wp:positionH relativeFrom="column">
                  <wp:posOffset>881380</wp:posOffset>
                </wp:positionH>
                <wp:positionV relativeFrom="paragraph">
                  <wp:posOffset>72217</wp:posOffset>
                </wp:positionV>
                <wp:extent cx="360680" cy="15621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56210"/>
                        </a:xfrm>
                        <a:prstGeom prst="rect">
                          <a:avLst/>
                        </a:prstGeom>
                        <a:solidFill>
                          <a:srgbClr val="FFFFFF"/>
                        </a:solidFill>
                        <a:ln w="9525">
                          <a:noFill/>
                          <a:miter lim="800000"/>
                          <a:headEnd/>
                          <a:tailEnd/>
                        </a:ln>
                      </wps:spPr>
                      <wps:txbx>
                        <w:txbxContent>
                          <w:p w:rsidRPr="00BC58D9" w:rsidR="007F0405" w:rsidRDefault="007F0405">
                            <w:pPr>
                              <w:rPr>
                                <w:sz w:val="6"/>
                                <w:szCs w:val="6"/>
                              </w:rPr>
                            </w:pPr>
                            <w:r w:rsidRPr="00BC58D9">
                              <w:rPr>
                                <w:sz w:val="6"/>
                                <w:szCs w:val="6"/>
                              </w:rPr>
                              <w:t>xx/xx/xx20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69.4pt;margin-top:5.7pt;width:28.4pt;height:1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">
                <v:textbox>
                  <w:txbxContent>
                    <w:p w:rsidRPr="00BC58D9" w:rsidR="007F0405" w:rsidRDefault="007F0405">
                      <w:pPr>
                        <w:rPr>
                          <w:sz w:val="6"/>
                          <w:szCs w:val="6"/>
                        </w:rPr>
                      </w:pPr>
                      <w:r w:rsidRPr="00BC58D9">
                        <w:rPr>
                          <w:sz w:val="6"/>
                          <w:szCs w:val="6"/>
                        </w:rPr>
                        <w:t>xx/xx/xx20</w:t>
                      </w:r>
                    </w:p>
                  </w:txbxContent>
                </v:textbox>
              </v:shape>
            </w:pict>
          </mc:Fallback>
        </mc:AlternateContent>
      </w:r>
      <w:r>
        <w:rPr>
          <w:noProof/>
        </w:rPr>
        <w:drawing>
          <wp:inline distT="0" distB="0" distL="0" distR="0" wp14:anchorId="66310C29" wp14:editId="02AC720A">
            <wp:extent cx="9691254" cy="416241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03270" cy="4167573"/>
                    </a:xfrm>
                    <a:prstGeom prst="rect">
                      <a:avLst/>
                    </a:prstGeom>
                    <a:noFill/>
                    <a:ln>
                      <a:noFill/>
                    </a:ln>
                  </pic:spPr>
                </pic:pic>
              </a:graphicData>
            </a:graphic>
          </wp:inline>
        </w:drawing>
      </w:r>
    </w:p>
    <w:p w:rsidR="00A175D0" w:rsidP="007F0405" w:rsidRDefault="00A175D0">
      <w:pPr>
        <w:ind w:left="-1350"/>
        <w:rPr>
          <w:noProof/>
        </w:rPr>
      </w:pPr>
    </w:p>
    <w:p w:rsidR="00A175D0" w:rsidP="00A175D0" w:rsidRDefault="00A175D0">
      <w:pPr>
        <w:spacing w:after="0" w:line="240" w:lineRule="auto"/>
        <w:jc w:val="center"/>
        <w:rPr>
          <w:rFonts w:ascii="Times New Roman" w:hAnsi="Times New Roman" w:eastAsia="Calibri" w:cs="Times New Roman"/>
          <w:b/>
          <w:sz w:val="24"/>
          <w:szCs w:val="24"/>
        </w:rPr>
      </w:pPr>
    </w:p>
    <w:p w:rsidR="00A175D0" w:rsidP="00A175D0" w:rsidRDefault="00A175D0">
      <w:pPr>
        <w:spacing w:after="0" w:line="240" w:lineRule="auto"/>
        <w:jc w:val="center"/>
        <w:rPr>
          <w:rFonts w:ascii="Times New Roman" w:hAnsi="Times New Roman" w:eastAsia="Calibri" w:cs="Times New Roman"/>
          <w:b/>
          <w:sz w:val="24"/>
          <w:szCs w:val="24"/>
        </w:rPr>
      </w:pPr>
    </w:p>
    <w:p w:rsidRPr="00A175D0" w:rsidR="00A175D0" w:rsidP="00A175D0" w:rsidRDefault="00A175D0">
      <w:pPr>
        <w:spacing w:after="0" w:line="240" w:lineRule="auto"/>
        <w:jc w:val="center"/>
        <w:rPr>
          <w:rFonts w:ascii="Times New Roman" w:hAnsi="Times New Roman" w:eastAsia="Calibri" w:cs="Times New Roman"/>
          <w:b/>
          <w:sz w:val="24"/>
          <w:szCs w:val="24"/>
        </w:rPr>
      </w:pPr>
      <w:r w:rsidRPr="00A175D0">
        <w:rPr>
          <w:rFonts w:ascii="Times New Roman" w:hAnsi="Times New Roman" w:eastAsia="Calibri" w:cs="Times New Roman"/>
          <w:b/>
          <w:sz w:val="24"/>
          <w:szCs w:val="24"/>
        </w:rPr>
        <w:lastRenderedPageBreak/>
        <w:t>PRA Burden Statement</w:t>
      </w:r>
    </w:p>
    <w:p w:rsidRPr="00A175D0" w:rsidR="00A175D0" w:rsidP="00A175D0" w:rsidRDefault="00A175D0">
      <w:pPr>
        <w:spacing w:after="0" w:line="240" w:lineRule="auto"/>
        <w:rPr>
          <w:rFonts w:ascii="Times New Roman" w:hAnsi="Times New Roman" w:eastAsia="Calibri" w:cs="Times New Roman"/>
          <w:sz w:val="24"/>
          <w:szCs w:val="24"/>
        </w:rPr>
      </w:pPr>
      <w:r w:rsidRPr="00A175D0">
        <w:rPr>
          <w:rFonts w:ascii="Times New Roman" w:hAnsi="Times New Roman" w:eastAsia="Calibri" w:cs="Times New Roman"/>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0651-0055. Public burden for this form is estimated to average </w:t>
      </w:r>
      <w:r w:rsidR="00B82B88">
        <w:rPr>
          <w:rFonts w:ascii="Times New Roman" w:hAnsi="Times New Roman" w:eastAsia="Calibri" w:cs="Times New Roman"/>
          <w:sz w:val="24"/>
          <w:szCs w:val="24"/>
        </w:rPr>
        <w:t>45</w:t>
      </w:r>
      <w:bookmarkStart w:name="_GoBack" w:id="0"/>
      <w:bookmarkEnd w:id="0"/>
      <w:r w:rsidRPr="00A175D0">
        <w:rPr>
          <w:rFonts w:ascii="Times New Roman" w:hAnsi="Times New Roman" w:eastAsia="Calibri" w:cs="Times New Roman"/>
          <w:sz w:val="24"/>
          <w:szCs w:val="24"/>
        </w:rP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tgtFrame="_blank" w:tooltip="mailto:informationcollection@uspto.gov" w:history="1" r:id="rId6">
        <w:r w:rsidRPr="00A175D0">
          <w:rPr>
            <w:rFonts w:ascii="Times New Roman" w:hAnsi="Times New Roman" w:eastAsia="Calibri" w:cs="Times New Roman"/>
            <w:color w:val="0563C1"/>
            <w:sz w:val="24"/>
            <w:szCs w:val="24"/>
            <w:u w:val="single"/>
          </w:rPr>
          <w:t>InformationCollection@uspto.gov</w:t>
        </w:r>
      </w:hyperlink>
      <w:r w:rsidRPr="00A175D0">
        <w:rPr>
          <w:rFonts w:ascii="Times New Roman" w:hAnsi="Times New Roman" w:eastAsia="Calibri" w:cs="Times New Roman"/>
          <w:sz w:val="24"/>
          <w:szCs w:val="24"/>
          <w:u w:val="single"/>
        </w:rPr>
        <w:t>.</w:t>
      </w:r>
    </w:p>
    <w:p w:rsidRPr="00A175D0" w:rsidR="00A175D0" w:rsidP="00A175D0" w:rsidRDefault="00A175D0">
      <w:pPr>
        <w:spacing w:after="0" w:line="240" w:lineRule="auto"/>
        <w:jc w:val="center"/>
        <w:rPr>
          <w:rFonts w:ascii="Times New Roman" w:hAnsi="Times New Roman" w:eastAsia="Calibri" w:cs="Times New Roman"/>
          <w:sz w:val="24"/>
          <w:szCs w:val="24"/>
        </w:rPr>
      </w:pPr>
    </w:p>
    <w:p w:rsidRPr="00A175D0" w:rsidR="00A175D0" w:rsidP="00A175D0" w:rsidRDefault="00A175D0">
      <w:pPr>
        <w:spacing w:after="0" w:line="240" w:lineRule="auto"/>
        <w:jc w:val="center"/>
        <w:rPr>
          <w:rFonts w:ascii="Times New Roman" w:hAnsi="Times New Roman" w:eastAsia="Calibri" w:cs="Times New Roman"/>
          <w:b/>
          <w:sz w:val="24"/>
          <w:szCs w:val="24"/>
        </w:rPr>
      </w:pPr>
      <w:r w:rsidRPr="00A175D0">
        <w:rPr>
          <w:rFonts w:ascii="Times New Roman" w:hAnsi="Times New Roman" w:eastAsia="Calibri" w:cs="Times New Roman"/>
          <w:b/>
          <w:sz w:val="24"/>
          <w:szCs w:val="24"/>
        </w:rPr>
        <w:t>Privacy Act Statement</w:t>
      </w:r>
    </w:p>
    <w:p w:rsidRPr="00A175D0" w:rsidR="00A175D0" w:rsidP="00A175D0" w:rsidRDefault="00A175D0">
      <w:pPr>
        <w:spacing w:after="0" w:line="240" w:lineRule="auto"/>
        <w:rPr>
          <w:rFonts w:ascii="Times New Roman" w:hAnsi="Times New Roman" w:eastAsia="Calibri" w:cs="Times New Roman"/>
          <w:sz w:val="24"/>
          <w:szCs w:val="24"/>
        </w:rPr>
      </w:pPr>
      <w:r w:rsidRPr="00A175D0">
        <w:rPr>
          <w:rFonts w:ascii="Times New Roman" w:hAnsi="Times New Roman" w:eastAsia="Calibri" w:cs="Times New Roman"/>
          <w:sz w:val="24"/>
          <w:szCs w:val="24"/>
        </w:rPr>
        <w:t xml:space="preserve">The USPTO collects this information under authority of 35 U.S.C. 2(b)(2). The information you provide will be used to process your applications and submissions related to trademark registration.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The information is protected from disclosure to third parties in accordance with the Privacy Act. However, routine uses of this information may include disclosure to the following: the public; certain foreign entities, professional organizations or associations, audit or oversight controls; law enforcement; non-federal personnel working for the agency; record and informational inquiries; coordinators of data breach response; litigation actions; Department of Justice; Office of Personnel Management; Congressional inquiries; the National Archives and Records Administration; and Office of Management and Budget. If you do not furnish the requested information, the U.S. Patent and Trademark Office may not be able to process and/or examine your submission, which may result in termination of proceedings or abandonment of the application for trademark registration. The applicable Privacy Act System of Records Notice for this information request is COMMERCE/USPTO-26, Trademarks Application and Registration Records: Federal Register vol. 85 February 18, 2020, p 8847, available at https:// </w:t>
      </w:r>
      <w:hyperlink w:tgtFrame="_blank" w:tooltip="http://www.govinfo.gov/content/pkg/fr-2020-02-18/pdf/2020-03068.pdf" w:history="1" r:id="rId7">
        <w:r w:rsidRPr="00A175D0">
          <w:rPr>
            <w:rFonts w:ascii="Times New Roman" w:hAnsi="Times New Roman" w:eastAsia="Calibri" w:cs="Times New Roman"/>
            <w:color w:val="6888C9"/>
            <w:sz w:val="24"/>
            <w:szCs w:val="24"/>
            <w:u w:val="single"/>
          </w:rPr>
          <w:t>www.govinfo.gov/content/pkg/FR-2020-02-18/pdf/2020-03068.pdf</w:t>
        </w:r>
      </w:hyperlink>
      <w:r w:rsidRPr="00A175D0">
        <w:rPr>
          <w:rFonts w:ascii="Times New Roman" w:hAnsi="Times New Roman" w:eastAsia="Calibri" w:cs="Times New Roman"/>
          <w:sz w:val="24"/>
          <w:szCs w:val="24"/>
        </w:rPr>
        <w:t>.</w:t>
      </w:r>
    </w:p>
    <w:p w:rsidR="003B7ACB" w:rsidP="00A175D0" w:rsidRDefault="00B82B88">
      <w:pPr>
        <w:ind w:left="-720"/>
      </w:pPr>
    </w:p>
    <w:sectPr w:rsidR="003B7ACB" w:rsidSect="00A175D0">
      <w:pgSz w:w="15840" w:h="12240" w:orient="landscape"/>
      <w:pgMar w:top="1440" w:right="90" w:bottom="144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05"/>
    <w:rsid w:val="003829FD"/>
    <w:rsid w:val="00710659"/>
    <w:rsid w:val="007F0405"/>
    <w:rsid w:val="00A175D0"/>
    <w:rsid w:val="00B82B88"/>
    <w:rsid w:val="00BC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D0B0"/>
  <w15:chartTrackingRefBased/>
  <w15:docId w15:val="{A9AC1E71-66FB-4F30-B615-364D44E2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info.gov/content/pkg/FR-2020-02-18/pdf/2020-03068.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rmationCollection@uspto.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6BAC-77A8-4932-BDCF-EEB1EA67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Drew</dc:creator>
  <cp:keywords/>
  <dc:description/>
  <cp:lastModifiedBy>Hall, Drew</cp:lastModifiedBy>
  <cp:revision>2</cp:revision>
  <dcterms:created xsi:type="dcterms:W3CDTF">2021-10-25T18:47:00Z</dcterms:created>
  <dcterms:modified xsi:type="dcterms:W3CDTF">2021-10-25T18:47:00Z</dcterms:modified>
</cp:coreProperties>
</file>