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086" w:rsidP="001311C3" w:rsidRDefault="00CA2086" w14:paraId="49B7CB58" w14:textId="77777777">
      <w:pPr>
        <w:shd w:val="clear" w:color="auto" w:fill="FFFFFF"/>
        <w:spacing w:line="480" w:lineRule="auto"/>
        <w:contextualSpacing/>
        <w:jc w:val="center"/>
      </w:pPr>
      <w:r>
        <w:t>United States Food and Drug Administration</w:t>
      </w:r>
    </w:p>
    <w:p w:rsidR="004D4699" w:rsidP="004D4699" w:rsidRDefault="004D4699" w14:paraId="2B00D9E5" w14:textId="77777777">
      <w:pPr>
        <w:spacing w:line="480" w:lineRule="auto"/>
        <w:jc w:val="center"/>
      </w:pPr>
      <w:r>
        <w:t>Examination</w:t>
      </w:r>
      <w:r w:rsidRPr="007C035A">
        <w:t xml:space="preserve"> of </w:t>
      </w:r>
      <w:r>
        <w:t xml:space="preserve">Secondary Claim Disclosures and Biosimilar Disclosures </w:t>
      </w:r>
    </w:p>
    <w:p w:rsidR="004D4699" w:rsidP="004D4699" w:rsidRDefault="004D4699" w14:paraId="5AB3E162" w14:textId="77777777">
      <w:pPr>
        <w:shd w:val="clear" w:color="auto" w:fill="FFFFFF"/>
        <w:spacing w:line="480" w:lineRule="auto"/>
        <w:contextualSpacing/>
        <w:jc w:val="center"/>
      </w:pPr>
      <w:r>
        <w:t xml:space="preserve">in </w:t>
      </w:r>
      <w:r w:rsidRPr="007C035A">
        <w:t>Prescription Drug Promotional Materials</w:t>
      </w:r>
      <w:r>
        <w:t xml:space="preserve"> </w:t>
      </w:r>
    </w:p>
    <w:p w:rsidR="00CA2086" w:rsidP="004D4699" w:rsidRDefault="00CA2086" w14:paraId="41DA5979" w14:textId="77777777">
      <w:pPr>
        <w:shd w:val="clear" w:color="auto" w:fill="FFFFFF"/>
        <w:spacing w:line="480" w:lineRule="auto"/>
        <w:contextualSpacing/>
        <w:jc w:val="center"/>
      </w:pPr>
      <w:r>
        <w:t>OMB Control No. 0910-NEW</w:t>
      </w:r>
    </w:p>
    <w:p w:rsidRPr="00681993" w:rsidR="00CA2086" w:rsidP="001311C3" w:rsidRDefault="00CA2086" w14:paraId="70A74DDF" w14:textId="77777777">
      <w:pPr>
        <w:shd w:val="clear" w:color="auto" w:fill="FFFFFF"/>
        <w:spacing w:line="480" w:lineRule="auto"/>
        <w:contextualSpacing/>
        <w:jc w:val="center"/>
      </w:pPr>
      <w:r>
        <w:t>SUPPORTING STATEMENT</w:t>
      </w:r>
    </w:p>
    <w:p w:rsidRPr="00681993" w:rsidR="00EB7538" w:rsidP="005871C6" w:rsidRDefault="00CA2086" w14:paraId="5D6358D3" w14:textId="77777777">
      <w:pPr>
        <w:shd w:val="clear" w:color="auto" w:fill="FFFFFF"/>
        <w:spacing w:before="100" w:beforeAutospacing="1" w:after="100" w:afterAutospacing="1"/>
        <w:ind w:left="288"/>
      </w:pPr>
      <w:r>
        <w:t xml:space="preserve">Part </w:t>
      </w:r>
      <w:r w:rsidRPr="00681993" w:rsidR="002D4799">
        <w:t>B.</w:t>
      </w:r>
      <w:r w:rsidRPr="00681993" w:rsidR="002D4799">
        <w:tab/>
      </w:r>
      <w:r w:rsidRPr="00681993" w:rsidR="00EB7538">
        <w:t>Statistical Methods</w:t>
      </w:r>
    </w:p>
    <w:p w:rsidRPr="00681993" w:rsidR="000B4906" w:rsidP="001311C3" w:rsidRDefault="00EB7538" w14:paraId="47537762" w14:textId="77777777">
      <w:pPr>
        <w:numPr>
          <w:ilvl w:val="0"/>
          <w:numId w:val="2"/>
        </w:numPr>
        <w:shd w:val="clear" w:color="auto" w:fill="FFFFFF"/>
        <w:spacing w:before="100" w:beforeAutospacing="1" w:after="100" w:afterAutospacing="1"/>
        <w:rPr>
          <w:u w:val="single"/>
        </w:rPr>
      </w:pPr>
      <w:r w:rsidRPr="00681993">
        <w:rPr>
          <w:u w:val="single"/>
        </w:rPr>
        <w:t>Responden</w:t>
      </w:r>
      <w:r w:rsidRPr="00681993" w:rsidR="004846BF">
        <w:rPr>
          <w:u w:val="single"/>
        </w:rPr>
        <w:t>t Universe and Sampling Methods</w:t>
      </w:r>
    </w:p>
    <w:p w:rsidRPr="00134FF2" w:rsidR="00AD1B3A" w:rsidP="00AD1B3A" w:rsidRDefault="00681993" w14:paraId="6817D78C" w14:textId="77777777">
      <w:pPr>
        <w:ind w:left="720"/>
      </w:pPr>
      <w:bookmarkStart w:name="_Hlk80182697" w:id="0"/>
      <w:r w:rsidRPr="00134FF2">
        <w:t>For all phases of this research,</w:t>
      </w:r>
      <w:r w:rsidRPr="00134FF2" w:rsidR="00B14D02">
        <w:t xml:space="preserve"> participants will be </w:t>
      </w:r>
      <w:r w:rsidRPr="00134FF2" w:rsidR="00132CEA">
        <w:t xml:space="preserve">drawn </w:t>
      </w:r>
      <w:r w:rsidRPr="00134FF2" w:rsidR="00B14D02">
        <w:t xml:space="preserve">from </w:t>
      </w:r>
      <w:r w:rsidRPr="00134FF2" w:rsidR="00AD1B3A">
        <w:t xml:space="preserve">consumer and healthcare internet research panels </w:t>
      </w:r>
      <w:r w:rsidRPr="00134FF2" w:rsidR="00DE152A">
        <w:t>(</w:t>
      </w:r>
      <w:r w:rsidRPr="00134FF2" w:rsidR="00831301">
        <w:t>Dynata</w:t>
      </w:r>
      <w:r w:rsidRPr="00134FF2" w:rsidR="00DE152A">
        <w:t xml:space="preserve">). </w:t>
      </w:r>
      <w:r w:rsidRPr="00134FF2" w:rsidR="00AD1B3A">
        <w:t xml:space="preserve">Dynata’s opt-in online consumer panel is demographically balanced, including racial and ethnic minorities, a wide range of age groups, and individuals with relatively less educational attainment. Dynata recruits panel members through a combination of e-mail, online marketing, and by invitation, with over 300 online and offline affiliate partners and targeted website advertising. Panel inclusion is by invitation only, and Dynata invites only pre-validated individuals with known characteristics to participate in the consumer panels. </w:t>
      </w:r>
    </w:p>
    <w:p w:rsidRPr="00134FF2" w:rsidR="00AD1B3A" w:rsidP="00AD1B3A" w:rsidRDefault="00AD1B3A" w14:paraId="75B4F3BE" w14:textId="77777777">
      <w:pPr>
        <w:ind w:left="720"/>
      </w:pPr>
    </w:p>
    <w:p w:rsidR="00AD1B3A" w:rsidP="00AD1B3A" w:rsidRDefault="00D64541" w14:paraId="39F7B0B7" w14:textId="77777777">
      <w:pPr>
        <w:ind w:left="720"/>
      </w:pPr>
      <w:r>
        <w:t>Health care providers (HCPs)</w:t>
      </w:r>
      <w:r w:rsidRPr="00134FF2" w:rsidR="00AD1B3A">
        <w:t xml:space="preserve"> will be recruited through Dynata’s Healthcare Panel which uses a multimode approach that combines e-mail, fax, and direct mail to recruit HCPs to participate in online surveys. Additionally, Dynata purchases professional association and governmental databases to verify a HCP’s practicing status. These verification resources include the Drug Enforcement Agency number (DEA#) and the American Medical Association Medical Education Number (ME#). </w:t>
      </w:r>
    </w:p>
    <w:bookmarkEnd w:id="0"/>
    <w:p w:rsidR="00AD1B3A" w:rsidP="00AD1B3A" w:rsidRDefault="00AD1B3A" w14:paraId="6E433D83" w14:textId="77777777">
      <w:pPr>
        <w:ind w:left="720"/>
      </w:pPr>
    </w:p>
    <w:p w:rsidR="00B9313F" w:rsidP="00AD1B3A" w:rsidRDefault="00B14D02" w14:paraId="249BAD0C" w14:textId="77777777">
      <w:pPr>
        <w:ind w:left="720"/>
      </w:pPr>
      <w:r w:rsidRPr="00BA16AA">
        <w:t xml:space="preserve">For </w:t>
      </w:r>
      <w:r>
        <w:t>details on screening</w:t>
      </w:r>
      <w:r w:rsidRPr="00BA16AA">
        <w:t>, see the “Participants”</w:t>
      </w:r>
      <w:r>
        <w:t xml:space="preserve"> </w:t>
      </w:r>
      <w:r w:rsidRPr="00BA16AA">
        <w:t>section below.</w:t>
      </w:r>
      <w:r w:rsidR="00E96A9D">
        <w:t xml:space="preserve"> </w:t>
      </w:r>
      <w:r w:rsidR="00B9313F">
        <w:t>The sample for the current study is not intended to be representative of the physician population.</w:t>
      </w:r>
    </w:p>
    <w:p w:rsidRPr="00BA16AA" w:rsidR="004C6979" w:rsidP="001311C3" w:rsidRDefault="00EB7538" w14:paraId="5A272E68" w14:textId="77777777">
      <w:pPr>
        <w:numPr>
          <w:ilvl w:val="0"/>
          <w:numId w:val="2"/>
        </w:numPr>
        <w:shd w:val="clear" w:color="auto" w:fill="FFFFFF"/>
        <w:spacing w:before="100" w:beforeAutospacing="1" w:after="100" w:afterAutospacing="1"/>
        <w:rPr>
          <w:u w:val="single"/>
        </w:rPr>
      </w:pPr>
      <w:r w:rsidRPr="00BA16AA">
        <w:rPr>
          <w:u w:val="single"/>
        </w:rPr>
        <w:t>Procedures fo</w:t>
      </w:r>
      <w:r w:rsidRPr="00BA16AA" w:rsidR="004846BF">
        <w:rPr>
          <w:u w:val="single"/>
        </w:rPr>
        <w:t>r the Collection of Information</w:t>
      </w:r>
      <w:r w:rsidR="00B9313F">
        <w:rPr>
          <w:u w:val="single"/>
        </w:rPr>
        <w:t xml:space="preserve"> </w:t>
      </w:r>
    </w:p>
    <w:p w:rsidR="00BC79AD" w:rsidP="001311C3" w:rsidRDefault="00BC79AD" w14:paraId="2C2C3CDA" w14:textId="48751B7C">
      <w:pPr>
        <w:shd w:val="clear" w:color="auto" w:fill="FFFFFF"/>
        <w:jc w:val="center"/>
        <w:rPr>
          <w:b/>
        </w:rPr>
      </w:pPr>
      <w:r w:rsidRPr="00BA16AA">
        <w:rPr>
          <w:b/>
        </w:rPr>
        <w:t>Design Overview</w:t>
      </w:r>
    </w:p>
    <w:p w:rsidRPr="00BA16AA" w:rsidR="00123DE9" w:rsidP="001311C3" w:rsidRDefault="00123DE9" w14:paraId="4FAC5184" w14:textId="77777777">
      <w:pPr>
        <w:shd w:val="clear" w:color="auto" w:fill="FFFFFF"/>
        <w:jc w:val="center"/>
        <w:rPr>
          <w:b/>
        </w:rPr>
      </w:pPr>
    </w:p>
    <w:p w:rsidR="00710606" w:rsidP="00710606" w:rsidRDefault="004D4699" w14:paraId="38274559" w14:textId="77777777">
      <w:pPr>
        <w:pStyle w:val="CommentText"/>
        <w:ind w:left="720"/>
        <w:rPr>
          <w:sz w:val="24"/>
          <w:szCs w:val="24"/>
        </w:rPr>
      </w:pPr>
      <w:bookmarkStart w:name="_Hlk51654969" w:id="1"/>
      <w:r w:rsidRPr="003C318B">
        <w:rPr>
          <w:sz w:val="24"/>
          <w:szCs w:val="24"/>
        </w:rPr>
        <w:t xml:space="preserve">The purpose of this research is to build on prior FDA research on the topic of disclosures </w:t>
      </w:r>
      <w:r w:rsidRPr="003C318B" w:rsidR="003C318B">
        <w:rPr>
          <w:sz w:val="24"/>
          <w:szCs w:val="24"/>
        </w:rPr>
        <w:t>through two concurrent studies</w:t>
      </w:r>
      <w:r w:rsidRPr="003C318B">
        <w:rPr>
          <w:sz w:val="24"/>
          <w:szCs w:val="24"/>
        </w:rPr>
        <w:t>.</w:t>
      </w:r>
      <w:r w:rsidRPr="003C318B" w:rsidR="003C318B">
        <w:rPr>
          <w:sz w:val="24"/>
          <w:szCs w:val="24"/>
        </w:rPr>
        <w:t xml:space="preserve"> </w:t>
      </w:r>
      <w:r w:rsidR="00134FF2">
        <w:rPr>
          <w:sz w:val="24"/>
          <w:szCs w:val="24"/>
        </w:rPr>
        <w:t xml:space="preserve">As described in Part A, </w:t>
      </w:r>
      <w:r w:rsidR="00EB09D4">
        <w:rPr>
          <w:sz w:val="24"/>
          <w:szCs w:val="24"/>
        </w:rPr>
        <w:t>Phase</w:t>
      </w:r>
      <w:r w:rsidRPr="003C318B" w:rsidR="003C318B">
        <w:rPr>
          <w:sz w:val="24"/>
          <w:szCs w:val="24"/>
        </w:rPr>
        <w:t xml:space="preserve"> 1 will</w:t>
      </w:r>
      <w:r w:rsidR="003C318B">
        <w:rPr>
          <w:sz w:val="24"/>
          <w:szCs w:val="24"/>
        </w:rPr>
        <w:t xml:space="preserve"> test the influence of three variations of a disclosure statement about a secondary endpoint </w:t>
      </w:r>
      <w:r w:rsidRPr="00523FDB" w:rsidR="003C318B">
        <w:rPr>
          <w:sz w:val="24"/>
          <w:szCs w:val="24"/>
        </w:rPr>
        <w:t>in the context of a prescription drug website</w:t>
      </w:r>
      <w:r w:rsidR="001A2095">
        <w:rPr>
          <w:sz w:val="24"/>
          <w:szCs w:val="24"/>
        </w:rPr>
        <w:t xml:space="preserve"> and</w:t>
      </w:r>
      <w:r w:rsidR="003C318B">
        <w:rPr>
          <w:sz w:val="24"/>
          <w:szCs w:val="24"/>
        </w:rPr>
        <w:t xml:space="preserve"> the presence or absence of a comparative claim about the secondary claim</w:t>
      </w:r>
      <w:r w:rsidR="00134FF2">
        <w:rPr>
          <w:sz w:val="24"/>
          <w:szCs w:val="24"/>
        </w:rPr>
        <w:t xml:space="preserve">. The test language </w:t>
      </w:r>
      <w:r w:rsidR="00F40318">
        <w:rPr>
          <w:sz w:val="24"/>
          <w:szCs w:val="24"/>
        </w:rPr>
        <w:t xml:space="preserve">for Phase 1 </w:t>
      </w:r>
      <w:r w:rsidR="00134FF2">
        <w:rPr>
          <w:sz w:val="24"/>
          <w:szCs w:val="24"/>
        </w:rPr>
        <w:t xml:space="preserve">is described in </w:t>
      </w:r>
      <w:r w:rsidR="00847BDF">
        <w:rPr>
          <w:sz w:val="24"/>
          <w:szCs w:val="24"/>
        </w:rPr>
        <w:t>Table 1</w:t>
      </w:r>
      <w:r w:rsidR="003C318B">
        <w:rPr>
          <w:sz w:val="24"/>
          <w:szCs w:val="24"/>
        </w:rPr>
        <w:t>.</w:t>
      </w:r>
      <w:r w:rsidRPr="003C318B" w:rsidR="003C318B">
        <w:rPr>
          <w:sz w:val="24"/>
          <w:szCs w:val="24"/>
        </w:rPr>
        <w:t xml:space="preserve"> </w:t>
      </w:r>
      <w:r w:rsidRPr="00425482" w:rsidR="003C318B">
        <w:rPr>
          <w:sz w:val="24"/>
          <w:szCs w:val="24"/>
        </w:rPr>
        <w:t xml:space="preserve">This design </w:t>
      </w:r>
      <w:r w:rsidR="003C318B">
        <w:rPr>
          <w:sz w:val="24"/>
          <w:szCs w:val="24"/>
        </w:rPr>
        <w:t>will be</w:t>
      </w:r>
      <w:r w:rsidRPr="00425482" w:rsidR="003C318B">
        <w:rPr>
          <w:sz w:val="24"/>
          <w:szCs w:val="24"/>
        </w:rPr>
        <w:t xml:space="preserve"> replicated </w:t>
      </w:r>
      <w:r w:rsidR="00A95288">
        <w:rPr>
          <w:sz w:val="24"/>
          <w:szCs w:val="24"/>
        </w:rPr>
        <w:t>for both the</w:t>
      </w:r>
      <w:r w:rsidRPr="00425482" w:rsidR="003C318B">
        <w:rPr>
          <w:sz w:val="24"/>
          <w:szCs w:val="24"/>
        </w:rPr>
        <w:t xml:space="preserve"> </w:t>
      </w:r>
      <w:r w:rsidR="003C318B">
        <w:rPr>
          <w:sz w:val="24"/>
          <w:szCs w:val="24"/>
        </w:rPr>
        <w:t>H</w:t>
      </w:r>
      <w:r w:rsidRPr="00425482" w:rsidR="003C318B">
        <w:rPr>
          <w:sz w:val="24"/>
          <w:szCs w:val="24"/>
        </w:rPr>
        <w:t>CPs and consumer</w:t>
      </w:r>
      <w:r w:rsidR="00A95288">
        <w:rPr>
          <w:sz w:val="24"/>
          <w:szCs w:val="24"/>
        </w:rPr>
        <w:t xml:space="preserve"> samples</w:t>
      </w:r>
      <w:r w:rsidRPr="00425482" w:rsidR="003C318B">
        <w:rPr>
          <w:sz w:val="24"/>
          <w:szCs w:val="24"/>
        </w:rPr>
        <w:t xml:space="preserve">. </w:t>
      </w:r>
    </w:p>
    <w:p w:rsidR="00A95288" w:rsidP="003C318B" w:rsidRDefault="00A95288" w14:paraId="559C2C1D" w14:textId="77777777">
      <w:pPr>
        <w:pStyle w:val="CommentText"/>
        <w:ind w:left="720"/>
        <w:rPr>
          <w:sz w:val="24"/>
          <w:szCs w:val="24"/>
        </w:rPr>
      </w:pPr>
    </w:p>
    <w:p w:rsidR="00710606" w:rsidP="003C318B" w:rsidRDefault="00710606" w14:paraId="63554AFF" w14:textId="77777777">
      <w:pPr>
        <w:pStyle w:val="CommentText"/>
        <w:ind w:left="720"/>
        <w:rPr>
          <w:sz w:val="24"/>
          <w:szCs w:val="24"/>
        </w:rPr>
      </w:pPr>
    </w:p>
    <w:p w:rsidR="00710606" w:rsidP="003C318B" w:rsidRDefault="00710606" w14:paraId="5A2AF925" w14:textId="77777777">
      <w:pPr>
        <w:pStyle w:val="CommentText"/>
        <w:ind w:left="720"/>
        <w:rPr>
          <w:sz w:val="24"/>
          <w:szCs w:val="24"/>
        </w:rPr>
      </w:pPr>
      <w:r>
        <w:rPr>
          <w:sz w:val="24"/>
          <w:szCs w:val="24"/>
        </w:rPr>
        <w:lastRenderedPageBreak/>
        <w:t xml:space="preserve">Table 1: </w:t>
      </w:r>
      <w:r w:rsidR="00EB09D4">
        <w:rPr>
          <w:sz w:val="24"/>
          <w:szCs w:val="24"/>
        </w:rPr>
        <w:t xml:space="preserve">Phase </w:t>
      </w:r>
      <w:r>
        <w:rPr>
          <w:sz w:val="24"/>
          <w:szCs w:val="24"/>
        </w:rPr>
        <w:t xml:space="preserve">1 </w:t>
      </w:r>
      <w:r w:rsidR="00134FF2">
        <w:rPr>
          <w:sz w:val="24"/>
          <w:szCs w:val="24"/>
        </w:rPr>
        <w:t>test language</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6"/>
        <w:gridCol w:w="1722"/>
        <w:gridCol w:w="1722"/>
        <w:gridCol w:w="1722"/>
        <w:gridCol w:w="1728"/>
      </w:tblGrid>
      <w:tr w:rsidRPr="00B9743C" w:rsidR="00710606" w:rsidTr="00B9743C" w14:paraId="48E70DCC" w14:textId="77777777">
        <w:tc>
          <w:tcPr>
            <w:tcW w:w="1771" w:type="dxa"/>
            <w:shd w:val="clear" w:color="auto" w:fill="auto"/>
          </w:tcPr>
          <w:p w:rsidRPr="00B9743C" w:rsidR="00710606" w:rsidP="00B9743C" w:rsidRDefault="00710606" w14:paraId="3DA4D87C" w14:textId="77777777">
            <w:pPr>
              <w:pStyle w:val="CommentText"/>
              <w:rPr>
                <w:sz w:val="22"/>
                <w:szCs w:val="22"/>
              </w:rPr>
            </w:pPr>
          </w:p>
        </w:tc>
        <w:tc>
          <w:tcPr>
            <w:tcW w:w="1771" w:type="dxa"/>
            <w:shd w:val="clear" w:color="auto" w:fill="auto"/>
            <w:vAlign w:val="bottom"/>
          </w:tcPr>
          <w:p w:rsidRPr="00B9743C" w:rsidR="00710606" w:rsidP="00B9743C" w:rsidRDefault="00710606" w14:paraId="7811D0EE" w14:textId="77777777">
            <w:pPr>
              <w:pStyle w:val="CommentText"/>
              <w:rPr>
                <w:sz w:val="22"/>
                <w:szCs w:val="22"/>
              </w:rPr>
            </w:pPr>
            <w:r w:rsidRPr="00B9743C">
              <w:rPr>
                <w:b/>
                <w:bCs/>
                <w:sz w:val="22"/>
                <w:szCs w:val="22"/>
              </w:rPr>
              <w:t xml:space="preserve">Secondary Claim Disclosure 1 </w:t>
            </w:r>
          </w:p>
        </w:tc>
        <w:tc>
          <w:tcPr>
            <w:tcW w:w="1771" w:type="dxa"/>
            <w:shd w:val="clear" w:color="auto" w:fill="auto"/>
            <w:vAlign w:val="bottom"/>
          </w:tcPr>
          <w:p w:rsidRPr="00B9743C" w:rsidR="00710606" w:rsidP="00B9743C" w:rsidRDefault="00710606" w14:paraId="5E892A07" w14:textId="77777777">
            <w:pPr>
              <w:pStyle w:val="CommentText"/>
              <w:rPr>
                <w:sz w:val="22"/>
                <w:szCs w:val="22"/>
              </w:rPr>
            </w:pPr>
            <w:r w:rsidRPr="00B9743C">
              <w:rPr>
                <w:b/>
                <w:bCs/>
                <w:sz w:val="22"/>
                <w:szCs w:val="22"/>
              </w:rPr>
              <w:t xml:space="preserve">Secondary Claim Disclosure 2 </w:t>
            </w:r>
          </w:p>
        </w:tc>
        <w:tc>
          <w:tcPr>
            <w:tcW w:w="1771" w:type="dxa"/>
            <w:shd w:val="clear" w:color="auto" w:fill="auto"/>
            <w:vAlign w:val="bottom"/>
          </w:tcPr>
          <w:p w:rsidRPr="00B9743C" w:rsidR="00710606" w:rsidP="00B9743C" w:rsidRDefault="00710606" w14:paraId="4F1E3A37" w14:textId="77777777">
            <w:pPr>
              <w:pStyle w:val="CommentText"/>
              <w:rPr>
                <w:sz w:val="22"/>
                <w:szCs w:val="22"/>
              </w:rPr>
            </w:pPr>
            <w:r w:rsidRPr="00B9743C">
              <w:rPr>
                <w:b/>
                <w:bCs/>
                <w:sz w:val="22"/>
                <w:szCs w:val="22"/>
              </w:rPr>
              <w:t>Secondary Claim Disclosure 3</w:t>
            </w:r>
          </w:p>
        </w:tc>
        <w:tc>
          <w:tcPr>
            <w:tcW w:w="1772" w:type="dxa"/>
            <w:shd w:val="clear" w:color="auto" w:fill="auto"/>
            <w:vAlign w:val="bottom"/>
          </w:tcPr>
          <w:p w:rsidRPr="00B9743C" w:rsidR="00710606" w:rsidP="00B9743C" w:rsidRDefault="00710606" w14:paraId="55AC2A7E" w14:textId="77777777">
            <w:pPr>
              <w:pStyle w:val="CommentText"/>
              <w:rPr>
                <w:sz w:val="22"/>
                <w:szCs w:val="22"/>
              </w:rPr>
            </w:pPr>
            <w:r w:rsidRPr="00B9743C">
              <w:rPr>
                <w:b/>
                <w:bCs/>
                <w:sz w:val="22"/>
                <w:szCs w:val="22"/>
              </w:rPr>
              <w:t>Control</w:t>
            </w:r>
            <w:r w:rsidR="00B3284D">
              <w:rPr>
                <w:b/>
                <w:bCs/>
                <w:sz w:val="22"/>
                <w:szCs w:val="22"/>
              </w:rPr>
              <w:t xml:space="preserve"> (No Disclosure)</w:t>
            </w:r>
          </w:p>
        </w:tc>
      </w:tr>
      <w:tr w:rsidRPr="00B9743C" w:rsidR="00710606" w:rsidTr="00B9743C" w14:paraId="6A43A07E" w14:textId="77777777">
        <w:tc>
          <w:tcPr>
            <w:tcW w:w="1771" w:type="dxa"/>
            <w:shd w:val="clear" w:color="auto" w:fill="auto"/>
          </w:tcPr>
          <w:p w:rsidRPr="00B9743C" w:rsidR="00710606" w:rsidP="00B9743C" w:rsidRDefault="00710606" w14:paraId="630925C5" w14:textId="77777777">
            <w:pPr>
              <w:pStyle w:val="CommentText"/>
              <w:rPr>
                <w:sz w:val="22"/>
                <w:szCs w:val="22"/>
              </w:rPr>
            </w:pPr>
            <w:r w:rsidRPr="00B9743C">
              <w:rPr>
                <w:sz w:val="22"/>
                <w:szCs w:val="22"/>
              </w:rPr>
              <w:t xml:space="preserve">Comparative Claim </w:t>
            </w:r>
            <w:r w:rsidRPr="00B9743C">
              <w:rPr>
                <w:b/>
                <w:bCs/>
                <w:sz w:val="22"/>
                <w:szCs w:val="22"/>
              </w:rPr>
              <w:t>Present</w:t>
            </w:r>
          </w:p>
        </w:tc>
        <w:tc>
          <w:tcPr>
            <w:tcW w:w="1771" w:type="dxa"/>
            <w:shd w:val="clear" w:color="auto" w:fill="auto"/>
            <w:vAlign w:val="center"/>
          </w:tcPr>
          <w:p w:rsidRPr="00B9743C" w:rsidR="00710606" w:rsidP="00B9743C" w:rsidRDefault="00B3284D" w14:paraId="70FAEE86" w14:textId="77777777">
            <w:pPr>
              <w:pStyle w:val="CommentText"/>
              <w:rPr>
                <w:sz w:val="22"/>
                <w:szCs w:val="22"/>
              </w:rPr>
            </w:pPr>
            <w:r>
              <w:rPr>
                <w:sz w:val="22"/>
                <w:szCs w:val="22"/>
              </w:rPr>
              <w:t>“</w:t>
            </w:r>
            <w:r w:rsidRPr="00B9743C" w:rsidR="00710606">
              <w:rPr>
                <w:sz w:val="22"/>
                <w:szCs w:val="22"/>
              </w:rPr>
              <w:t xml:space="preserve">Even though </w:t>
            </w:r>
            <w:r w:rsidR="004D171E">
              <w:rPr>
                <w:sz w:val="22"/>
                <w:szCs w:val="22"/>
              </w:rPr>
              <w:t>DRUG X</w:t>
            </w:r>
            <w:r w:rsidRPr="00B9743C" w:rsidR="00710606">
              <w:rPr>
                <w:sz w:val="22"/>
                <w:szCs w:val="22"/>
              </w:rPr>
              <w:t xml:space="preserve"> is not made for weight loss, it could also help some people lose some weight. In a clinical trial, patients lost more weight with </w:t>
            </w:r>
            <w:r w:rsidR="004D171E">
              <w:rPr>
                <w:sz w:val="22"/>
                <w:szCs w:val="22"/>
              </w:rPr>
              <w:t>DRUG X</w:t>
            </w:r>
            <w:r w:rsidRPr="00B9743C" w:rsidR="00710606">
              <w:rPr>
                <w:sz w:val="22"/>
                <w:szCs w:val="22"/>
              </w:rPr>
              <w:t xml:space="preserve"> compared to </w:t>
            </w:r>
            <w:r w:rsidR="00134FF2">
              <w:rPr>
                <w:sz w:val="22"/>
                <w:szCs w:val="22"/>
              </w:rPr>
              <w:t>DRUG Y</w:t>
            </w:r>
            <w:r w:rsidRPr="00B9743C" w:rsidR="00710606">
              <w:rPr>
                <w:sz w:val="22"/>
                <w:szCs w:val="22"/>
              </w:rPr>
              <w:t>.</w:t>
            </w:r>
            <w:r>
              <w:rPr>
                <w:sz w:val="22"/>
                <w:szCs w:val="22"/>
              </w:rPr>
              <w:t>”</w:t>
            </w:r>
            <w:r w:rsidRPr="00B9743C" w:rsidR="00710606">
              <w:rPr>
                <w:sz w:val="22"/>
                <w:szCs w:val="22"/>
              </w:rPr>
              <w:t xml:space="preserve"> </w:t>
            </w:r>
          </w:p>
        </w:tc>
        <w:tc>
          <w:tcPr>
            <w:tcW w:w="1771" w:type="dxa"/>
            <w:shd w:val="clear" w:color="auto" w:fill="auto"/>
            <w:vAlign w:val="center"/>
          </w:tcPr>
          <w:p w:rsidRPr="00B9743C" w:rsidR="00710606" w:rsidP="00B9743C" w:rsidRDefault="00B3284D" w14:paraId="659D8376" w14:textId="77777777">
            <w:pPr>
              <w:pStyle w:val="CommentText"/>
              <w:rPr>
                <w:sz w:val="22"/>
                <w:szCs w:val="22"/>
              </w:rPr>
            </w:pPr>
            <w:r>
              <w:rPr>
                <w:sz w:val="22"/>
                <w:szCs w:val="22"/>
              </w:rPr>
              <w:t>”</w:t>
            </w:r>
            <w:r w:rsidR="004D171E">
              <w:rPr>
                <w:sz w:val="22"/>
                <w:szCs w:val="22"/>
              </w:rPr>
              <w:t>DRUG X</w:t>
            </w:r>
            <w:r w:rsidRPr="00B9743C" w:rsidR="00710606">
              <w:rPr>
                <w:sz w:val="22"/>
                <w:szCs w:val="22"/>
              </w:rPr>
              <w:t xml:space="preserve"> could also help some people lose some weight. In a clinical trial, adults with an average starting weight of 197 pounds lost around 12 pounds on </w:t>
            </w:r>
            <w:r w:rsidR="004D171E">
              <w:rPr>
                <w:sz w:val="22"/>
                <w:szCs w:val="22"/>
              </w:rPr>
              <w:t>DRUG X</w:t>
            </w:r>
            <w:r w:rsidRPr="00B9743C" w:rsidR="00710606">
              <w:rPr>
                <w:sz w:val="22"/>
                <w:szCs w:val="22"/>
              </w:rPr>
              <w:t xml:space="preserve"> compared to 4 pounds on </w:t>
            </w:r>
            <w:r w:rsidR="00134FF2">
              <w:rPr>
                <w:sz w:val="22"/>
                <w:szCs w:val="22"/>
              </w:rPr>
              <w:t>DRUG Y</w:t>
            </w:r>
            <w:r w:rsidRPr="00B9743C" w:rsidR="00710606">
              <w:rPr>
                <w:sz w:val="22"/>
                <w:szCs w:val="22"/>
              </w:rPr>
              <w:t>.</w:t>
            </w:r>
            <w:r>
              <w:rPr>
                <w:sz w:val="22"/>
                <w:szCs w:val="22"/>
              </w:rPr>
              <w:t>”</w:t>
            </w:r>
          </w:p>
        </w:tc>
        <w:tc>
          <w:tcPr>
            <w:tcW w:w="1771" w:type="dxa"/>
            <w:shd w:val="clear" w:color="auto" w:fill="auto"/>
            <w:vAlign w:val="center"/>
          </w:tcPr>
          <w:p w:rsidRPr="00B9743C" w:rsidR="00710606" w:rsidP="00B9743C" w:rsidRDefault="00B3284D" w14:paraId="66C93E93" w14:textId="77777777">
            <w:pPr>
              <w:pStyle w:val="CommentText"/>
              <w:rPr>
                <w:sz w:val="22"/>
                <w:szCs w:val="22"/>
              </w:rPr>
            </w:pPr>
            <w:r>
              <w:rPr>
                <w:sz w:val="22"/>
                <w:szCs w:val="22"/>
              </w:rPr>
              <w:t>“</w:t>
            </w:r>
            <w:r w:rsidRPr="00B9743C" w:rsidR="00710606">
              <w:rPr>
                <w:sz w:val="22"/>
                <w:szCs w:val="22"/>
              </w:rPr>
              <w:t xml:space="preserve">Even though </w:t>
            </w:r>
            <w:r w:rsidR="004D171E">
              <w:rPr>
                <w:sz w:val="22"/>
                <w:szCs w:val="22"/>
              </w:rPr>
              <w:t>DRUG X</w:t>
            </w:r>
            <w:r w:rsidRPr="00B9743C" w:rsidR="00710606">
              <w:rPr>
                <w:sz w:val="22"/>
                <w:szCs w:val="22"/>
              </w:rPr>
              <w:t xml:space="preserve"> is not made for weight loss, it could also help some people lose some weight. In a clinical trial, adults with an average starting weight of 197 pounds lost around 12 pounds on </w:t>
            </w:r>
            <w:r w:rsidR="004D171E">
              <w:rPr>
                <w:sz w:val="22"/>
                <w:szCs w:val="22"/>
              </w:rPr>
              <w:t>DRUG X</w:t>
            </w:r>
            <w:r w:rsidRPr="00B9743C" w:rsidR="00710606">
              <w:rPr>
                <w:sz w:val="22"/>
                <w:szCs w:val="22"/>
              </w:rPr>
              <w:t xml:space="preserve"> compared to 4 pounds on </w:t>
            </w:r>
            <w:r w:rsidR="00134FF2">
              <w:rPr>
                <w:sz w:val="22"/>
                <w:szCs w:val="22"/>
              </w:rPr>
              <w:t>DRUG Y</w:t>
            </w:r>
            <w:r>
              <w:rPr>
                <w:sz w:val="22"/>
                <w:szCs w:val="22"/>
              </w:rPr>
              <w:t>.”</w:t>
            </w:r>
          </w:p>
        </w:tc>
        <w:tc>
          <w:tcPr>
            <w:tcW w:w="1772" w:type="dxa"/>
            <w:shd w:val="clear" w:color="auto" w:fill="auto"/>
          </w:tcPr>
          <w:p w:rsidR="00D64541" w:rsidP="00B55CDC" w:rsidRDefault="00D64541" w14:paraId="51727F25" w14:textId="77777777">
            <w:pPr>
              <w:spacing w:line="252" w:lineRule="auto"/>
              <w:jc w:val="center"/>
              <w:rPr>
                <w:sz w:val="22"/>
                <w:szCs w:val="22"/>
              </w:rPr>
            </w:pPr>
          </w:p>
          <w:p w:rsidR="00D64541" w:rsidP="00B55CDC" w:rsidRDefault="00D64541" w14:paraId="30847DF1" w14:textId="77777777">
            <w:pPr>
              <w:spacing w:line="252" w:lineRule="auto"/>
              <w:jc w:val="center"/>
              <w:rPr>
                <w:sz w:val="22"/>
                <w:szCs w:val="22"/>
              </w:rPr>
            </w:pPr>
          </w:p>
          <w:p w:rsidRPr="00134FF2" w:rsidR="00710606" w:rsidP="00B55CDC" w:rsidRDefault="00134FF2" w14:paraId="65E055AC" w14:textId="77777777">
            <w:pPr>
              <w:spacing w:line="252" w:lineRule="auto"/>
              <w:jc w:val="center"/>
              <w:rPr>
                <w:sz w:val="22"/>
                <w:szCs w:val="22"/>
              </w:rPr>
            </w:pPr>
            <w:r>
              <w:rPr>
                <w:sz w:val="22"/>
                <w:szCs w:val="22"/>
              </w:rPr>
              <w:t>“</w:t>
            </w:r>
            <w:r w:rsidRPr="00134FF2" w:rsidR="00B3284D">
              <w:rPr>
                <w:sz w:val="22"/>
                <w:szCs w:val="22"/>
              </w:rPr>
              <w:t>Drug X</w:t>
            </w:r>
            <w:r w:rsidRPr="00134FF2" w:rsidR="00B3284D">
              <w:rPr>
                <w:color w:val="000000"/>
                <w:sz w:val="22"/>
                <w:szCs w:val="22"/>
              </w:rPr>
              <w:t xml:space="preserve"> could also help some people lose some weight.</w:t>
            </w:r>
            <w:r>
              <w:rPr>
                <w:color w:val="000000"/>
                <w:sz w:val="22"/>
                <w:szCs w:val="22"/>
              </w:rPr>
              <w:t>”</w:t>
            </w:r>
          </w:p>
        </w:tc>
      </w:tr>
      <w:tr w:rsidRPr="00B9743C" w:rsidR="00710606" w:rsidTr="00B9743C" w14:paraId="4303277C" w14:textId="77777777">
        <w:tc>
          <w:tcPr>
            <w:tcW w:w="1771" w:type="dxa"/>
            <w:shd w:val="clear" w:color="auto" w:fill="auto"/>
          </w:tcPr>
          <w:p w:rsidRPr="00B9743C" w:rsidR="00710606" w:rsidP="00B9743C" w:rsidRDefault="00710606" w14:paraId="3F70E906" w14:textId="77777777">
            <w:pPr>
              <w:pStyle w:val="CommentText"/>
              <w:rPr>
                <w:sz w:val="22"/>
                <w:szCs w:val="22"/>
              </w:rPr>
            </w:pPr>
            <w:r w:rsidRPr="00B9743C">
              <w:rPr>
                <w:sz w:val="22"/>
                <w:szCs w:val="22"/>
              </w:rPr>
              <w:t xml:space="preserve">Comparative Claim </w:t>
            </w:r>
            <w:r w:rsidRPr="00B9743C">
              <w:rPr>
                <w:b/>
                <w:bCs/>
                <w:sz w:val="22"/>
                <w:szCs w:val="22"/>
              </w:rPr>
              <w:t>Absent</w:t>
            </w:r>
          </w:p>
        </w:tc>
        <w:tc>
          <w:tcPr>
            <w:tcW w:w="1771" w:type="dxa"/>
            <w:shd w:val="clear" w:color="auto" w:fill="auto"/>
            <w:vAlign w:val="center"/>
          </w:tcPr>
          <w:p w:rsidRPr="00B9743C" w:rsidR="00710606" w:rsidP="00B9743C" w:rsidRDefault="00B3284D" w14:paraId="69A8708E" w14:textId="77777777">
            <w:pPr>
              <w:pStyle w:val="CommentText"/>
              <w:rPr>
                <w:sz w:val="22"/>
                <w:szCs w:val="22"/>
              </w:rPr>
            </w:pPr>
            <w:r>
              <w:rPr>
                <w:sz w:val="22"/>
                <w:szCs w:val="22"/>
              </w:rPr>
              <w:t>“</w:t>
            </w:r>
            <w:r w:rsidRPr="00B9743C" w:rsidR="00710606">
              <w:rPr>
                <w:sz w:val="22"/>
                <w:szCs w:val="22"/>
              </w:rPr>
              <w:t xml:space="preserve">Even though </w:t>
            </w:r>
            <w:r w:rsidR="004D171E">
              <w:rPr>
                <w:sz w:val="22"/>
                <w:szCs w:val="22"/>
              </w:rPr>
              <w:t>DRUG X</w:t>
            </w:r>
            <w:r w:rsidRPr="00B9743C" w:rsidR="00710606">
              <w:rPr>
                <w:sz w:val="22"/>
                <w:szCs w:val="22"/>
              </w:rPr>
              <w:t xml:space="preserve"> is not made for weight loss, it could also help some people lose some weight.</w:t>
            </w:r>
            <w:r>
              <w:rPr>
                <w:sz w:val="22"/>
                <w:szCs w:val="22"/>
              </w:rPr>
              <w:t>”</w:t>
            </w:r>
          </w:p>
        </w:tc>
        <w:tc>
          <w:tcPr>
            <w:tcW w:w="1771" w:type="dxa"/>
            <w:shd w:val="clear" w:color="auto" w:fill="auto"/>
            <w:vAlign w:val="center"/>
          </w:tcPr>
          <w:p w:rsidRPr="00B9743C" w:rsidR="00710606" w:rsidP="00B9743C" w:rsidRDefault="00B3284D" w14:paraId="7DF2EE92" w14:textId="77777777">
            <w:pPr>
              <w:pStyle w:val="CommentText"/>
              <w:rPr>
                <w:sz w:val="22"/>
                <w:szCs w:val="22"/>
              </w:rPr>
            </w:pPr>
            <w:r>
              <w:rPr>
                <w:sz w:val="22"/>
                <w:szCs w:val="22"/>
              </w:rPr>
              <w:t>”</w:t>
            </w:r>
            <w:r w:rsidR="004D171E">
              <w:rPr>
                <w:sz w:val="22"/>
                <w:szCs w:val="22"/>
              </w:rPr>
              <w:t>DRUG X</w:t>
            </w:r>
            <w:r w:rsidRPr="00B9743C" w:rsidR="00710606">
              <w:rPr>
                <w:sz w:val="22"/>
                <w:szCs w:val="22"/>
              </w:rPr>
              <w:t xml:space="preserve"> could also help some people lose some weight. In a clinical trial, adults with an average starting weight of 197 pounds lost around 12 pounds on </w:t>
            </w:r>
            <w:r w:rsidR="004D171E">
              <w:rPr>
                <w:sz w:val="22"/>
                <w:szCs w:val="22"/>
              </w:rPr>
              <w:t>DRUG X</w:t>
            </w:r>
            <w:r w:rsidRPr="00B9743C" w:rsidR="00710606">
              <w:rPr>
                <w:sz w:val="22"/>
                <w:szCs w:val="22"/>
              </w:rPr>
              <w:t>.</w:t>
            </w:r>
            <w:r>
              <w:rPr>
                <w:sz w:val="22"/>
                <w:szCs w:val="22"/>
              </w:rPr>
              <w:t>”</w:t>
            </w:r>
          </w:p>
        </w:tc>
        <w:tc>
          <w:tcPr>
            <w:tcW w:w="1771" w:type="dxa"/>
            <w:shd w:val="clear" w:color="auto" w:fill="auto"/>
            <w:vAlign w:val="center"/>
          </w:tcPr>
          <w:p w:rsidRPr="00B9743C" w:rsidR="00710606" w:rsidP="00B9743C" w:rsidRDefault="00B3284D" w14:paraId="6BB741F6" w14:textId="77777777">
            <w:pPr>
              <w:pStyle w:val="CommentText"/>
              <w:rPr>
                <w:sz w:val="22"/>
                <w:szCs w:val="22"/>
              </w:rPr>
            </w:pPr>
            <w:r>
              <w:rPr>
                <w:sz w:val="22"/>
                <w:szCs w:val="22"/>
              </w:rPr>
              <w:t>“</w:t>
            </w:r>
            <w:r w:rsidRPr="00B9743C" w:rsidR="00710606">
              <w:rPr>
                <w:sz w:val="22"/>
                <w:szCs w:val="22"/>
              </w:rPr>
              <w:t xml:space="preserve">Even though </w:t>
            </w:r>
            <w:r w:rsidR="004D171E">
              <w:rPr>
                <w:sz w:val="22"/>
                <w:szCs w:val="22"/>
              </w:rPr>
              <w:t>DRUG X</w:t>
            </w:r>
            <w:r w:rsidRPr="00B9743C" w:rsidR="00710606">
              <w:rPr>
                <w:sz w:val="22"/>
                <w:szCs w:val="22"/>
              </w:rPr>
              <w:t xml:space="preserve"> is not made for weight loss, it could also help some people lose some weight. In a clinical trial, adults with an average starting weight of 197 pounds lost around 12 pounds on </w:t>
            </w:r>
            <w:r w:rsidR="004D171E">
              <w:rPr>
                <w:sz w:val="22"/>
                <w:szCs w:val="22"/>
              </w:rPr>
              <w:t>DRUG X</w:t>
            </w:r>
            <w:r w:rsidRPr="00B9743C" w:rsidR="00710606">
              <w:rPr>
                <w:sz w:val="22"/>
                <w:szCs w:val="22"/>
              </w:rPr>
              <w:t>.</w:t>
            </w:r>
            <w:r>
              <w:rPr>
                <w:sz w:val="22"/>
                <w:szCs w:val="22"/>
              </w:rPr>
              <w:t>”</w:t>
            </w:r>
          </w:p>
        </w:tc>
        <w:tc>
          <w:tcPr>
            <w:tcW w:w="1772" w:type="dxa"/>
            <w:shd w:val="clear" w:color="auto" w:fill="auto"/>
          </w:tcPr>
          <w:p w:rsidR="00D64541" w:rsidP="00B3284D" w:rsidRDefault="00D64541" w14:paraId="706A5BFF" w14:textId="77777777">
            <w:pPr>
              <w:spacing w:line="252" w:lineRule="auto"/>
              <w:jc w:val="center"/>
              <w:rPr>
                <w:sz w:val="22"/>
                <w:szCs w:val="22"/>
              </w:rPr>
            </w:pPr>
          </w:p>
          <w:p w:rsidRPr="00134FF2" w:rsidR="00B3284D" w:rsidP="00B3284D" w:rsidRDefault="00134FF2" w14:paraId="3B58398D" w14:textId="77777777">
            <w:pPr>
              <w:spacing w:line="252" w:lineRule="auto"/>
              <w:jc w:val="center"/>
              <w:rPr>
                <w:sz w:val="22"/>
                <w:szCs w:val="22"/>
              </w:rPr>
            </w:pPr>
            <w:r w:rsidRPr="00134FF2">
              <w:rPr>
                <w:sz w:val="22"/>
                <w:szCs w:val="22"/>
              </w:rPr>
              <w:t>“</w:t>
            </w:r>
            <w:r w:rsidRPr="00134FF2" w:rsidR="00B3284D">
              <w:rPr>
                <w:sz w:val="22"/>
                <w:szCs w:val="22"/>
              </w:rPr>
              <w:t xml:space="preserve">Drug X </w:t>
            </w:r>
            <w:r w:rsidRPr="00134FF2" w:rsidR="00B3284D">
              <w:rPr>
                <w:color w:val="000000"/>
                <w:sz w:val="22"/>
                <w:szCs w:val="22"/>
              </w:rPr>
              <w:t>could also help some people lose some weight.</w:t>
            </w:r>
            <w:r w:rsidRPr="00134FF2">
              <w:rPr>
                <w:color w:val="000000"/>
                <w:sz w:val="22"/>
                <w:szCs w:val="22"/>
              </w:rPr>
              <w:t>”</w:t>
            </w:r>
          </w:p>
          <w:p w:rsidRPr="00B9743C" w:rsidR="00710606" w:rsidP="00B55CDC" w:rsidRDefault="00710606" w14:paraId="42A4B010" w14:textId="77777777">
            <w:pPr>
              <w:spacing w:line="252" w:lineRule="auto"/>
              <w:jc w:val="center"/>
              <w:rPr>
                <w:sz w:val="22"/>
                <w:szCs w:val="22"/>
              </w:rPr>
            </w:pPr>
          </w:p>
        </w:tc>
      </w:tr>
    </w:tbl>
    <w:p w:rsidR="00710606" w:rsidP="003C318B" w:rsidRDefault="00710606" w14:paraId="6B0E996F" w14:textId="77777777">
      <w:pPr>
        <w:pStyle w:val="CommentText"/>
        <w:ind w:left="720"/>
        <w:rPr>
          <w:sz w:val="24"/>
          <w:szCs w:val="24"/>
        </w:rPr>
      </w:pPr>
    </w:p>
    <w:p w:rsidR="00A95288" w:rsidP="003C318B" w:rsidRDefault="00A95288" w14:paraId="2A212BEA" w14:textId="77777777">
      <w:pPr>
        <w:pStyle w:val="CommentText"/>
        <w:ind w:left="720"/>
        <w:rPr>
          <w:sz w:val="24"/>
          <w:szCs w:val="24"/>
        </w:rPr>
      </w:pPr>
    </w:p>
    <w:p w:rsidR="00A95288" w:rsidP="003C318B" w:rsidRDefault="00EB09D4" w14:paraId="559E7BC2" w14:textId="054A0FB7">
      <w:pPr>
        <w:pStyle w:val="CommentText"/>
        <w:ind w:left="720"/>
        <w:rPr>
          <w:sz w:val="24"/>
          <w:szCs w:val="24"/>
        </w:rPr>
      </w:pPr>
      <w:r>
        <w:rPr>
          <w:sz w:val="24"/>
          <w:szCs w:val="24"/>
        </w:rPr>
        <w:t xml:space="preserve">Phase </w:t>
      </w:r>
      <w:r w:rsidR="003C318B">
        <w:rPr>
          <w:sz w:val="24"/>
          <w:szCs w:val="24"/>
        </w:rPr>
        <w:t xml:space="preserve">2 </w:t>
      </w:r>
      <w:r w:rsidRPr="004B1E20" w:rsidR="003C318B">
        <w:rPr>
          <w:sz w:val="24"/>
          <w:szCs w:val="24"/>
        </w:rPr>
        <w:t xml:space="preserve">will </w:t>
      </w:r>
      <w:r w:rsidR="003C318B">
        <w:rPr>
          <w:sz w:val="24"/>
          <w:szCs w:val="24"/>
        </w:rPr>
        <w:t>test the influence</w:t>
      </w:r>
      <w:r w:rsidRPr="004B1E20" w:rsidR="003C318B">
        <w:rPr>
          <w:sz w:val="24"/>
          <w:szCs w:val="24"/>
        </w:rPr>
        <w:t xml:space="preserve"> of disclosure</w:t>
      </w:r>
      <w:r w:rsidR="003C318B">
        <w:rPr>
          <w:sz w:val="24"/>
          <w:szCs w:val="24"/>
        </w:rPr>
        <w:t>s</w:t>
      </w:r>
      <w:r w:rsidRPr="004B1E20" w:rsidR="003C318B">
        <w:rPr>
          <w:sz w:val="24"/>
          <w:szCs w:val="24"/>
        </w:rPr>
        <w:t xml:space="preserve"> </w:t>
      </w:r>
      <w:r w:rsidR="003C318B">
        <w:rPr>
          <w:sz w:val="24"/>
          <w:szCs w:val="24"/>
        </w:rPr>
        <w:t>specifying the</w:t>
      </w:r>
      <w:r w:rsidRPr="004B1E20" w:rsidR="003C318B">
        <w:rPr>
          <w:sz w:val="24"/>
          <w:szCs w:val="24"/>
        </w:rPr>
        <w:t xml:space="preserve"> product as a biosimilar</w:t>
      </w:r>
      <w:r w:rsidR="003C318B">
        <w:rPr>
          <w:sz w:val="24"/>
          <w:szCs w:val="24"/>
        </w:rPr>
        <w:t>. Specifically, the study</w:t>
      </w:r>
      <w:r w:rsidRPr="002D1C55" w:rsidR="003C318B">
        <w:rPr>
          <w:sz w:val="24"/>
          <w:szCs w:val="24"/>
        </w:rPr>
        <w:t xml:space="preserve"> will </w:t>
      </w:r>
      <w:r w:rsidR="003C318B">
        <w:rPr>
          <w:sz w:val="24"/>
          <w:szCs w:val="24"/>
        </w:rPr>
        <w:t>test:</w:t>
      </w:r>
      <w:r w:rsidRPr="002D1C55" w:rsidR="003C318B">
        <w:rPr>
          <w:sz w:val="24"/>
          <w:szCs w:val="24"/>
        </w:rPr>
        <w:t xml:space="preserve"> </w:t>
      </w:r>
      <w:r w:rsidR="003C318B">
        <w:rPr>
          <w:sz w:val="24"/>
          <w:szCs w:val="24"/>
        </w:rPr>
        <w:t xml:space="preserve">(1) </w:t>
      </w:r>
      <w:r w:rsidRPr="002D1C55" w:rsidR="003C318B">
        <w:rPr>
          <w:sz w:val="24"/>
          <w:szCs w:val="24"/>
        </w:rPr>
        <w:t>adding a disclosure designating the product as a biosimilar</w:t>
      </w:r>
      <w:r w:rsidR="00123DE9">
        <w:rPr>
          <w:sz w:val="24"/>
          <w:szCs w:val="24"/>
        </w:rPr>
        <w:t>;</w:t>
      </w:r>
      <w:r w:rsidR="003C318B">
        <w:rPr>
          <w:sz w:val="24"/>
          <w:szCs w:val="24"/>
        </w:rPr>
        <w:t xml:space="preserve"> (2) adding informational statements about biosimilars</w:t>
      </w:r>
      <w:r w:rsidR="00123DE9">
        <w:rPr>
          <w:sz w:val="24"/>
          <w:szCs w:val="24"/>
        </w:rPr>
        <w:t>;</w:t>
      </w:r>
      <w:r w:rsidR="003C318B">
        <w:rPr>
          <w:sz w:val="24"/>
          <w:szCs w:val="24"/>
        </w:rPr>
        <w:t xml:space="preserve"> and (3) naming a reference product. </w:t>
      </w:r>
      <w:r w:rsidRPr="00847BDF" w:rsidR="00847BDF">
        <w:rPr>
          <w:sz w:val="24"/>
          <w:szCs w:val="24"/>
        </w:rPr>
        <w:t xml:space="preserve"> </w:t>
      </w:r>
      <w:r w:rsidRPr="00F05AB0" w:rsidR="00F40318">
        <w:rPr>
          <w:sz w:val="24"/>
          <w:szCs w:val="24"/>
        </w:rPr>
        <w:t xml:space="preserve">As a baseline, each of the seven disclosure conditions will include a statement that the drug is a biosimilar. Six of the seven disclosure conditions will include this baseline statement and </w:t>
      </w:r>
      <w:r w:rsidR="00F40318">
        <w:rPr>
          <w:sz w:val="24"/>
          <w:szCs w:val="24"/>
        </w:rPr>
        <w:t xml:space="preserve">will </w:t>
      </w:r>
      <w:r w:rsidRPr="00F05AB0" w:rsidR="00F40318">
        <w:rPr>
          <w:sz w:val="24"/>
          <w:szCs w:val="24"/>
        </w:rPr>
        <w:t xml:space="preserve">vary the amount of </w:t>
      </w:r>
      <w:r w:rsidRPr="00FA4B5F" w:rsidR="00F40318">
        <w:rPr>
          <w:sz w:val="24"/>
          <w:szCs w:val="24"/>
        </w:rPr>
        <w:t>additional basic factual information about biosimilar products</w:t>
      </w:r>
      <w:r w:rsidR="00F40318">
        <w:rPr>
          <w:sz w:val="24"/>
          <w:szCs w:val="24"/>
        </w:rPr>
        <w:t xml:space="preserve"> in the following way: (1) t</w:t>
      </w:r>
      <w:r w:rsidRPr="006B2E00" w:rsidR="00F40318">
        <w:rPr>
          <w:sz w:val="24"/>
          <w:szCs w:val="24"/>
        </w:rPr>
        <w:t xml:space="preserve">wo of the six conditions have the baseline + </w:t>
      </w:r>
      <w:r w:rsidR="00F40318">
        <w:rPr>
          <w:sz w:val="24"/>
          <w:szCs w:val="24"/>
        </w:rPr>
        <w:t xml:space="preserve">statement </w:t>
      </w:r>
      <w:r w:rsidRPr="006B2E00" w:rsidR="00F40318">
        <w:rPr>
          <w:sz w:val="24"/>
          <w:szCs w:val="24"/>
        </w:rPr>
        <w:t>A</w:t>
      </w:r>
      <w:r w:rsidR="00123DE9">
        <w:rPr>
          <w:sz w:val="24"/>
          <w:szCs w:val="24"/>
        </w:rPr>
        <w:t>;</w:t>
      </w:r>
      <w:r w:rsidR="00F40318">
        <w:rPr>
          <w:sz w:val="24"/>
          <w:szCs w:val="24"/>
        </w:rPr>
        <w:t xml:space="preserve"> (2), t</w:t>
      </w:r>
      <w:r w:rsidRPr="006B2E00" w:rsidR="00F40318">
        <w:rPr>
          <w:sz w:val="24"/>
          <w:szCs w:val="24"/>
        </w:rPr>
        <w:t xml:space="preserve">wo of the six conditions have the baseline + </w:t>
      </w:r>
      <w:r w:rsidR="00F40318">
        <w:rPr>
          <w:sz w:val="24"/>
          <w:szCs w:val="24"/>
        </w:rPr>
        <w:t xml:space="preserve">statement </w:t>
      </w:r>
      <w:r w:rsidRPr="006B2E00" w:rsidR="00F40318">
        <w:rPr>
          <w:sz w:val="24"/>
          <w:szCs w:val="24"/>
        </w:rPr>
        <w:t xml:space="preserve">A + </w:t>
      </w:r>
      <w:r w:rsidR="00F40318">
        <w:rPr>
          <w:sz w:val="24"/>
          <w:szCs w:val="24"/>
        </w:rPr>
        <w:t xml:space="preserve">statement </w:t>
      </w:r>
      <w:r w:rsidRPr="006B2E00" w:rsidR="00F40318">
        <w:rPr>
          <w:sz w:val="24"/>
          <w:szCs w:val="24"/>
        </w:rPr>
        <w:t>B</w:t>
      </w:r>
      <w:r w:rsidR="00123DE9">
        <w:rPr>
          <w:sz w:val="24"/>
          <w:szCs w:val="24"/>
        </w:rPr>
        <w:t>;</w:t>
      </w:r>
      <w:r w:rsidR="00F40318">
        <w:rPr>
          <w:sz w:val="24"/>
          <w:szCs w:val="24"/>
        </w:rPr>
        <w:t xml:space="preserve"> and (3) t</w:t>
      </w:r>
      <w:r w:rsidRPr="006B2E00" w:rsidR="00F40318">
        <w:rPr>
          <w:sz w:val="24"/>
          <w:szCs w:val="24"/>
        </w:rPr>
        <w:t xml:space="preserve">wo of the six conditions have the baseline + </w:t>
      </w:r>
      <w:r w:rsidR="00F40318">
        <w:rPr>
          <w:sz w:val="24"/>
          <w:szCs w:val="24"/>
        </w:rPr>
        <w:t>statement</w:t>
      </w:r>
      <w:r w:rsidRPr="008932DD" w:rsidR="00F40318">
        <w:rPr>
          <w:sz w:val="24"/>
          <w:szCs w:val="24"/>
        </w:rPr>
        <w:t xml:space="preserve"> </w:t>
      </w:r>
      <w:r w:rsidRPr="006B2E00" w:rsidR="00F40318">
        <w:rPr>
          <w:sz w:val="24"/>
          <w:szCs w:val="24"/>
        </w:rPr>
        <w:t xml:space="preserve">A + </w:t>
      </w:r>
      <w:r w:rsidR="00F40318">
        <w:rPr>
          <w:sz w:val="24"/>
          <w:szCs w:val="24"/>
        </w:rPr>
        <w:t>statement</w:t>
      </w:r>
      <w:r w:rsidRPr="008932DD" w:rsidR="00F40318">
        <w:rPr>
          <w:sz w:val="24"/>
          <w:szCs w:val="24"/>
        </w:rPr>
        <w:t xml:space="preserve"> </w:t>
      </w:r>
      <w:r w:rsidRPr="006B2E00" w:rsidR="00F40318">
        <w:rPr>
          <w:sz w:val="24"/>
          <w:szCs w:val="24"/>
        </w:rPr>
        <w:t xml:space="preserve">B + </w:t>
      </w:r>
      <w:r w:rsidR="00F40318">
        <w:rPr>
          <w:sz w:val="24"/>
          <w:szCs w:val="24"/>
        </w:rPr>
        <w:t>statement</w:t>
      </w:r>
      <w:r w:rsidRPr="008932DD" w:rsidR="00F40318">
        <w:rPr>
          <w:sz w:val="24"/>
          <w:szCs w:val="24"/>
        </w:rPr>
        <w:t xml:space="preserve"> </w:t>
      </w:r>
      <w:r w:rsidRPr="006B2E00" w:rsidR="00F40318">
        <w:rPr>
          <w:sz w:val="24"/>
          <w:szCs w:val="24"/>
        </w:rPr>
        <w:t>C</w:t>
      </w:r>
      <w:r w:rsidR="00F40318">
        <w:rPr>
          <w:sz w:val="24"/>
          <w:szCs w:val="24"/>
        </w:rPr>
        <w:t>.</w:t>
      </w:r>
      <w:r w:rsidRPr="00F05AB0" w:rsidR="00F40318">
        <w:rPr>
          <w:sz w:val="24"/>
          <w:szCs w:val="24"/>
        </w:rPr>
        <w:t xml:space="preserve"> Moreover, three of the six disclosure </w:t>
      </w:r>
      <w:r w:rsidR="00F40318">
        <w:rPr>
          <w:sz w:val="24"/>
          <w:szCs w:val="24"/>
        </w:rPr>
        <w:t xml:space="preserve">conditions will name the </w:t>
      </w:r>
      <w:r w:rsidR="00F40318">
        <w:rPr>
          <w:sz w:val="24"/>
          <w:szCs w:val="24"/>
        </w:rPr>
        <w:lastRenderedPageBreak/>
        <w:t>specific reference product while the other three will refer to a reference product generally.</w:t>
      </w:r>
      <w:r w:rsidRPr="002D1C55" w:rsidR="00F40318">
        <w:rPr>
          <w:sz w:val="24"/>
          <w:szCs w:val="24"/>
        </w:rPr>
        <w:t xml:space="preserve"> </w:t>
      </w:r>
      <w:r w:rsidR="00F40318">
        <w:rPr>
          <w:sz w:val="24"/>
          <w:szCs w:val="24"/>
        </w:rPr>
        <w:t>The wording of the disclosure will be tailored to the audience; for example, the disclosures for the consumer audience will avoid technical terms. A</w:t>
      </w:r>
      <w:r w:rsidRPr="002D1C55" w:rsidR="00F40318">
        <w:rPr>
          <w:sz w:val="24"/>
          <w:szCs w:val="24"/>
        </w:rPr>
        <w:t xml:space="preserve"> control condition </w:t>
      </w:r>
      <w:r w:rsidR="00F40318">
        <w:rPr>
          <w:sz w:val="24"/>
          <w:szCs w:val="24"/>
        </w:rPr>
        <w:t>will also be included</w:t>
      </w:r>
      <w:r w:rsidRPr="002D1C55" w:rsidR="00F40318">
        <w:rPr>
          <w:sz w:val="24"/>
          <w:szCs w:val="24"/>
        </w:rPr>
        <w:t xml:space="preserve"> in which no </w:t>
      </w:r>
      <w:r w:rsidR="00F40318">
        <w:rPr>
          <w:sz w:val="24"/>
          <w:szCs w:val="24"/>
        </w:rPr>
        <w:t xml:space="preserve">biosimilar statement or additional information disclosure </w:t>
      </w:r>
      <w:r w:rsidRPr="002D1C55" w:rsidR="00F40318">
        <w:rPr>
          <w:sz w:val="24"/>
          <w:szCs w:val="24"/>
        </w:rPr>
        <w:t xml:space="preserve">is presented. </w:t>
      </w:r>
      <w:r w:rsidR="0097795B">
        <w:rPr>
          <w:sz w:val="24"/>
          <w:szCs w:val="24"/>
        </w:rPr>
        <w:t xml:space="preserve">This 8x1experimental design will be replicated </w:t>
      </w:r>
      <w:r w:rsidR="00A95288">
        <w:rPr>
          <w:sz w:val="24"/>
          <w:szCs w:val="24"/>
        </w:rPr>
        <w:t xml:space="preserve">for both the </w:t>
      </w:r>
      <w:r w:rsidR="0097795B">
        <w:rPr>
          <w:sz w:val="24"/>
          <w:szCs w:val="24"/>
        </w:rPr>
        <w:t>HCPs and consumers</w:t>
      </w:r>
      <w:r w:rsidR="00A95288">
        <w:rPr>
          <w:sz w:val="24"/>
          <w:szCs w:val="24"/>
        </w:rPr>
        <w:t xml:space="preserve"> samples</w:t>
      </w:r>
      <w:r w:rsidR="00710606">
        <w:rPr>
          <w:sz w:val="24"/>
          <w:szCs w:val="24"/>
        </w:rPr>
        <w:t>, with slightly different disclosure language for the HCP and consumer groups</w:t>
      </w:r>
      <w:r w:rsidR="0097795B">
        <w:rPr>
          <w:sz w:val="24"/>
          <w:szCs w:val="24"/>
        </w:rPr>
        <w:t xml:space="preserve">. </w:t>
      </w:r>
      <w:r w:rsidR="00134FF2">
        <w:rPr>
          <w:sz w:val="24"/>
          <w:szCs w:val="24"/>
        </w:rPr>
        <w:t xml:space="preserve">The test language </w:t>
      </w:r>
      <w:r w:rsidR="00F40318">
        <w:rPr>
          <w:sz w:val="24"/>
          <w:szCs w:val="24"/>
        </w:rPr>
        <w:t xml:space="preserve">for Phase 2 </w:t>
      </w:r>
      <w:r w:rsidR="00134FF2">
        <w:rPr>
          <w:sz w:val="24"/>
          <w:szCs w:val="24"/>
        </w:rPr>
        <w:t>is described in Table 2</w:t>
      </w:r>
      <w:r w:rsidRPr="002D1C55" w:rsidR="00134FF2">
        <w:rPr>
          <w:sz w:val="24"/>
          <w:szCs w:val="24"/>
        </w:rPr>
        <w:t>.</w:t>
      </w:r>
    </w:p>
    <w:p w:rsidR="00710606" w:rsidP="003C318B" w:rsidRDefault="00710606" w14:paraId="3BFEB3D1" w14:textId="77777777">
      <w:pPr>
        <w:pStyle w:val="CommentText"/>
        <w:ind w:left="720"/>
        <w:rPr>
          <w:sz w:val="24"/>
          <w:szCs w:val="24"/>
        </w:rPr>
      </w:pPr>
    </w:p>
    <w:p w:rsidR="00710606" w:rsidP="003C318B" w:rsidRDefault="00710606" w14:paraId="354539CF" w14:textId="77777777">
      <w:pPr>
        <w:pStyle w:val="CommentText"/>
        <w:ind w:left="720"/>
        <w:rPr>
          <w:sz w:val="24"/>
          <w:szCs w:val="24"/>
        </w:rPr>
      </w:pPr>
      <w:r>
        <w:rPr>
          <w:sz w:val="24"/>
          <w:szCs w:val="24"/>
        </w:rPr>
        <w:t xml:space="preserve">Table 2: </w:t>
      </w:r>
      <w:r w:rsidR="004D171E">
        <w:rPr>
          <w:sz w:val="24"/>
          <w:szCs w:val="24"/>
        </w:rPr>
        <w:t xml:space="preserve">Phase </w:t>
      </w:r>
      <w:r>
        <w:rPr>
          <w:sz w:val="24"/>
          <w:szCs w:val="24"/>
        </w:rPr>
        <w:t xml:space="preserve">2 </w:t>
      </w:r>
      <w:r w:rsidR="00134FF2">
        <w:rPr>
          <w:sz w:val="24"/>
          <w:szCs w:val="24"/>
        </w:rPr>
        <w:t>test language</w:t>
      </w:r>
    </w:p>
    <w:p w:rsidR="00F40318" w:rsidP="003C318B" w:rsidRDefault="00F40318" w14:paraId="3BC78EB8" w14:textId="77777777">
      <w:pPr>
        <w:pStyle w:val="CommentText"/>
        <w:ind w:left="720"/>
        <w:rPr>
          <w:sz w:val="24"/>
          <w:szCs w:val="24"/>
        </w:rPr>
      </w:pPr>
    </w:p>
    <w:tbl>
      <w:tblPr>
        <w:tblW w:w="4568"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1280"/>
        <w:gridCol w:w="3631"/>
        <w:gridCol w:w="3631"/>
      </w:tblGrid>
      <w:tr w:rsidRPr="00B9743C" w:rsidR="00710606" w:rsidTr="00F40318" w14:paraId="0F73F535" w14:textId="77777777">
        <w:tc>
          <w:tcPr>
            <w:tcW w:w="338" w:type="pct"/>
            <w:shd w:val="clear" w:color="auto" w:fill="FFFFFF"/>
          </w:tcPr>
          <w:p w:rsidRPr="00B9743C" w:rsidR="00710606" w:rsidP="00B9743C" w:rsidRDefault="00710606" w14:paraId="71BAFE7C" w14:textId="77777777">
            <w:pPr>
              <w:spacing w:before="40" w:after="40"/>
              <w:jc w:val="center"/>
              <w:rPr>
                <w:b/>
                <w:sz w:val="22"/>
                <w:szCs w:val="22"/>
              </w:rPr>
            </w:pPr>
            <w:r w:rsidRPr="00B9743C">
              <w:rPr>
                <w:b/>
                <w:sz w:val="22"/>
                <w:szCs w:val="22"/>
              </w:rPr>
              <w:t>Biosimilars</w:t>
            </w:r>
          </w:p>
          <w:p w:rsidRPr="00B9743C" w:rsidR="00710606" w:rsidP="00B9743C" w:rsidRDefault="00710606" w14:paraId="2DC1CC7D" w14:textId="77777777">
            <w:pPr>
              <w:spacing w:before="40" w:after="40"/>
              <w:jc w:val="center"/>
              <w:rPr>
                <w:b/>
                <w:sz w:val="22"/>
                <w:szCs w:val="22"/>
              </w:rPr>
            </w:pPr>
            <w:r w:rsidRPr="00B9743C">
              <w:rPr>
                <w:b/>
                <w:sz w:val="22"/>
                <w:szCs w:val="22"/>
              </w:rPr>
              <w:t>Disclosure</w:t>
            </w:r>
          </w:p>
        </w:tc>
        <w:tc>
          <w:tcPr>
            <w:tcW w:w="2331" w:type="pct"/>
            <w:shd w:val="clear" w:color="auto" w:fill="FFFFFF"/>
          </w:tcPr>
          <w:p w:rsidRPr="00B9743C" w:rsidR="00710606" w:rsidP="00B9743C" w:rsidRDefault="00710606" w14:paraId="7ECEB18C" w14:textId="77777777">
            <w:pPr>
              <w:spacing w:before="40" w:after="40"/>
              <w:jc w:val="center"/>
              <w:rPr>
                <w:b/>
                <w:sz w:val="22"/>
                <w:szCs w:val="22"/>
              </w:rPr>
            </w:pPr>
            <w:r w:rsidRPr="00B9743C">
              <w:rPr>
                <w:b/>
                <w:sz w:val="22"/>
                <w:szCs w:val="22"/>
              </w:rPr>
              <w:t>HCPs</w:t>
            </w:r>
          </w:p>
          <w:p w:rsidRPr="00B9743C" w:rsidR="00710606" w:rsidP="00B9743C" w:rsidRDefault="00710606" w14:paraId="5A7E3567" w14:textId="77777777">
            <w:pPr>
              <w:spacing w:before="40" w:after="40"/>
              <w:jc w:val="center"/>
              <w:rPr>
                <w:b/>
                <w:sz w:val="22"/>
                <w:szCs w:val="22"/>
              </w:rPr>
            </w:pPr>
          </w:p>
        </w:tc>
        <w:tc>
          <w:tcPr>
            <w:tcW w:w="2331" w:type="pct"/>
            <w:shd w:val="clear" w:color="auto" w:fill="FFFFFF"/>
          </w:tcPr>
          <w:p w:rsidRPr="00B9743C" w:rsidR="00710606" w:rsidP="00B9743C" w:rsidRDefault="00710606" w14:paraId="36D39FD6" w14:textId="77777777">
            <w:pPr>
              <w:spacing w:before="40" w:after="40"/>
              <w:jc w:val="center"/>
              <w:rPr>
                <w:b/>
                <w:sz w:val="22"/>
                <w:szCs w:val="22"/>
              </w:rPr>
            </w:pPr>
            <w:r w:rsidRPr="00B9743C">
              <w:rPr>
                <w:b/>
                <w:sz w:val="22"/>
                <w:szCs w:val="22"/>
              </w:rPr>
              <w:t>Consumers</w:t>
            </w:r>
          </w:p>
          <w:p w:rsidRPr="00B9743C" w:rsidR="00710606" w:rsidP="00B9743C" w:rsidRDefault="00710606" w14:paraId="6FA7B266" w14:textId="77777777">
            <w:pPr>
              <w:spacing w:before="40" w:after="40"/>
              <w:jc w:val="center"/>
              <w:rPr>
                <w:b/>
                <w:sz w:val="22"/>
                <w:szCs w:val="22"/>
              </w:rPr>
            </w:pPr>
          </w:p>
        </w:tc>
      </w:tr>
      <w:tr w:rsidRPr="00B9743C" w:rsidR="00710606" w:rsidTr="00F40318" w14:paraId="4FA77499" w14:textId="77777777">
        <w:tc>
          <w:tcPr>
            <w:tcW w:w="338" w:type="pct"/>
            <w:shd w:val="clear" w:color="auto" w:fill="FFFFFF"/>
            <w:vAlign w:val="center"/>
          </w:tcPr>
          <w:p w:rsidRPr="00B9743C" w:rsidR="00710606" w:rsidP="00B9743C" w:rsidRDefault="00710606" w14:paraId="6E92B95C" w14:textId="77777777">
            <w:pPr>
              <w:jc w:val="center"/>
              <w:rPr>
                <w:sz w:val="22"/>
                <w:szCs w:val="22"/>
              </w:rPr>
            </w:pPr>
            <w:r w:rsidRPr="00B9743C">
              <w:rPr>
                <w:sz w:val="22"/>
                <w:szCs w:val="22"/>
              </w:rPr>
              <w:t>1</w:t>
            </w:r>
          </w:p>
          <w:p w:rsidRPr="00B9743C" w:rsidR="00710606" w:rsidP="00B9743C" w:rsidRDefault="00710606" w14:paraId="0DDDE6BA" w14:textId="77777777">
            <w:pPr>
              <w:jc w:val="center"/>
              <w:rPr>
                <w:sz w:val="22"/>
                <w:szCs w:val="22"/>
              </w:rPr>
            </w:pPr>
          </w:p>
        </w:tc>
        <w:tc>
          <w:tcPr>
            <w:tcW w:w="2331" w:type="pct"/>
            <w:shd w:val="clear" w:color="auto" w:fill="FFFFFF"/>
          </w:tcPr>
          <w:p w:rsidRPr="00B9743C" w:rsidR="00710606" w:rsidP="00B9743C" w:rsidRDefault="00710606" w14:paraId="14E91B0E" w14:textId="77777777">
            <w:pPr>
              <w:rPr>
                <w:sz w:val="22"/>
                <w:szCs w:val="22"/>
              </w:rPr>
            </w:pPr>
            <w:r w:rsidRPr="00B9743C">
              <w:rPr>
                <w:sz w:val="22"/>
                <w:szCs w:val="22"/>
              </w:rPr>
              <w:t>None</w:t>
            </w:r>
          </w:p>
          <w:p w:rsidRPr="00B9743C" w:rsidR="00710606" w:rsidP="00B9743C" w:rsidRDefault="00710606" w14:paraId="4DBFA560" w14:textId="77777777">
            <w:pPr>
              <w:rPr>
                <w:sz w:val="22"/>
                <w:szCs w:val="22"/>
              </w:rPr>
            </w:pPr>
          </w:p>
          <w:p w:rsidRPr="00B9743C" w:rsidR="00710606" w:rsidP="00B9743C" w:rsidRDefault="00710606" w14:paraId="4C38440B" w14:textId="77777777">
            <w:pPr>
              <w:rPr>
                <w:sz w:val="22"/>
                <w:szCs w:val="22"/>
              </w:rPr>
            </w:pPr>
          </w:p>
        </w:tc>
        <w:tc>
          <w:tcPr>
            <w:tcW w:w="2331" w:type="pct"/>
            <w:shd w:val="clear" w:color="auto" w:fill="FFFFFF"/>
          </w:tcPr>
          <w:p w:rsidRPr="00B9743C" w:rsidR="00710606" w:rsidP="00B9743C" w:rsidRDefault="00710606" w14:paraId="2597309D" w14:textId="77777777">
            <w:pPr>
              <w:rPr>
                <w:sz w:val="22"/>
                <w:szCs w:val="22"/>
              </w:rPr>
            </w:pPr>
            <w:r w:rsidRPr="00B9743C">
              <w:rPr>
                <w:sz w:val="22"/>
                <w:szCs w:val="22"/>
              </w:rPr>
              <w:t>None</w:t>
            </w:r>
          </w:p>
          <w:p w:rsidRPr="00B9743C" w:rsidR="00710606" w:rsidP="00B9743C" w:rsidRDefault="00710606" w14:paraId="3430CFFA" w14:textId="77777777">
            <w:pPr>
              <w:rPr>
                <w:sz w:val="22"/>
                <w:szCs w:val="22"/>
              </w:rPr>
            </w:pPr>
          </w:p>
        </w:tc>
      </w:tr>
      <w:tr w:rsidRPr="00B9743C" w:rsidR="00710606" w:rsidTr="00F40318" w14:paraId="0DD26BAC" w14:textId="77777777">
        <w:tc>
          <w:tcPr>
            <w:tcW w:w="338" w:type="pct"/>
            <w:shd w:val="clear" w:color="auto" w:fill="FFFFFF"/>
            <w:vAlign w:val="center"/>
          </w:tcPr>
          <w:p w:rsidRPr="00B9743C" w:rsidR="00710606" w:rsidP="00B9743C" w:rsidRDefault="00710606" w14:paraId="6630F60F" w14:textId="77777777">
            <w:pPr>
              <w:jc w:val="center"/>
              <w:rPr>
                <w:sz w:val="22"/>
                <w:szCs w:val="22"/>
              </w:rPr>
            </w:pPr>
            <w:r w:rsidRPr="00B9743C">
              <w:rPr>
                <w:sz w:val="22"/>
                <w:szCs w:val="22"/>
              </w:rPr>
              <w:t>2</w:t>
            </w:r>
          </w:p>
          <w:p w:rsidRPr="00B9743C" w:rsidR="00710606" w:rsidP="00B9743C" w:rsidRDefault="00710606" w14:paraId="7F5C8D8A" w14:textId="77777777">
            <w:pPr>
              <w:rPr>
                <w:sz w:val="22"/>
                <w:szCs w:val="22"/>
              </w:rPr>
            </w:pPr>
          </w:p>
        </w:tc>
        <w:tc>
          <w:tcPr>
            <w:tcW w:w="2331" w:type="pct"/>
            <w:shd w:val="clear" w:color="auto" w:fill="FFFFFF"/>
          </w:tcPr>
          <w:p w:rsidRPr="00B9743C" w:rsidR="00710606" w:rsidP="00B9743C" w:rsidRDefault="004D171E" w14:paraId="1CAEDD26" w14:textId="77777777">
            <w:pPr>
              <w:rPr>
                <w:sz w:val="22"/>
                <w:szCs w:val="22"/>
              </w:rPr>
            </w:pPr>
            <w:r>
              <w:rPr>
                <w:sz w:val="22"/>
                <w:szCs w:val="22"/>
              </w:rPr>
              <w:t xml:space="preserve">DRUG </w:t>
            </w:r>
            <w:r w:rsidR="00134FF2">
              <w:rPr>
                <w:sz w:val="22"/>
                <w:szCs w:val="22"/>
              </w:rPr>
              <w:t>Z</w:t>
            </w:r>
            <w:r w:rsidRPr="00B9743C" w:rsidR="00710606">
              <w:rPr>
                <w:sz w:val="22"/>
                <w:szCs w:val="22"/>
              </w:rPr>
              <w:t xml:space="preserve"> is a biosimilar.</w:t>
            </w:r>
          </w:p>
          <w:p w:rsidRPr="00B9743C" w:rsidR="00710606" w:rsidP="00B9743C" w:rsidRDefault="00710606" w14:paraId="7B66B193" w14:textId="77777777">
            <w:pPr>
              <w:rPr>
                <w:sz w:val="22"/>
                <w:szCs w:val="22"/>
              </w:rPr>
            </w:pPr>
          </w:p>
          <w:p w:rsidRPr="00B9743C" w:rsidR="00710606" w:rsidP="00B9743C" w:rsidRDefault="00710606" w14:paraId="2DB74C24" w14:textId="77777777">
            <w:pPr>
              <w:rPr>
                <w:sz w:val="22"/>
                <w:szCs w:val="22"/>
              </w:rPr>
            </w:pPr>
          </w:p>
        </w:tc>
        <w:tc>
          <w:tcPr>
            <w:tcW w:w="2331" w:type="pct"/>
            <w:shd w:val="clear" w:color="auto" w:fill="FFFFFF"/>
          </w:tcPr>
          <w:p w:rsidRPr="00B9743C" w:rsidR="00710606" w:rsidP="00B9743C" w:rsidRDefault="004D171E" w14:paraId="6BF0BEBE" w14:textId="77777777">
            <w:pPr>
              <w:rPr>
                <w:sz w:val="22"/>
                <w:szCs w:val="22"/>
              </w:rPr>
            </w:pPr>
            <w:r>
              <w:rPr>
                <w:sz w:val="22"/>
                <w:szCs w:val="22"/>
              </w:rPr>
              <w:t xml:space="preserve">DRUG </w:t>
            </w:r>
            <w:r w:rsidR="00134FF2">
              <w:rPr>
                <w:sz w:val="22"/>
                <w:szCs w:val="22"/>
              </w:rPr>
              <w:t>Z</w:t>
            </w:r>
            <w:r w:rsidRPr="00B9743C" w:rsidR="00710606">
              <w:rPr>
                <w:sz w:val="22"/>
                <w:szCs w:val="22"/>
              </w:rPr>
              <w:t xml:space="preserve"> is a biosimilar.</w:t>
            </w:r>
          </w:p>
        </w:tc>
      </w:tr>
      <w:tr w:rsidRPr="00B9743C" w:rsidR="00710606" w:rsidTr="00F40318" w14:paraId="533B9025" w14:textId="77777777">
        <w:tc>
          <w:tcPr>
            <w:tcW w:w="338" w:type="pct"/>
            <w:shd w:val="clear" w:color="auto" w:fill="FFFFFF"/>
            <w:vAlign w:val="center"/>
          </w:tcPr>
          <w:p w:rsidRPr="00B9743C" w:rsidR="00710606" w:rsidP="00B9743C" w:rsidRDefault="00710606" w14:paraId="5C7967A5" w14:textId="77777777">
            <w:pPr>
              <w:jc w:val="center"/>
              <w:rPr>
                <w:sz w:val="22"/>
                <w:szCs w:val="22"/>
              </w:rPr>
            </w:pPr>
            <w:r w:rsidRPr="00B9743C">
              <w:rPr>
                <w:sz w:val="22"/>
                <w:szCs w:val="22"/>
              </w:rPr>
              <w:t>3</w:t>
            </w:r>
          </w:p>
        </w:tc>
        <w:tc>
          <w:tcPr>
            <w:tcW w:w="2331" w:type="pct"/>
            <w:shd w:val="clear" w:color="auto" w:fill="FFFFFF"/>
          </w:tcPr>
          <w:p w:rsidRPr="00B9743C" w:rsidR="00710606" w:rsidP="00B9743C" w:rsidRDefault="004D171E" w14:paraId="388A0DB1" w14:textId="77777777">
            <w:pPr>
              <w:rPr>
                <w:sz w:val="22"/>
                <w:szCs w:val="22"/>
              </w:rPr>
            </w:pPr>
            <w:r>
              <w:rPr>
                <w:sz w:val="22"/>
                <w:szCs w:val="22"/>
              </w:rPr>
              <w:t xml:space="preserve">DRUG </w:t>
            </w:r>
            <w:r w:rsidR="00134FF2">
              <w:rPr>
                <w:sz w:val="22"/>
                <w:szCs w:val="22"/>
              </w:rPr>
              <w:t>Z</w:t>
            </w:r>
            <w:r w:rsidRPr="00B9743C" w:rsidR="00710606">
              <w:rPr>
                <w:rFonts w:cs="Calibri"/>
                <w:color w:val="000000"/>
                <w:sz w:val="22"/>
                <w:szCs w:val="22"/>
              </w:rPr>
              <w:t xml:space="preserve"> is a biosimilar. This biosimilar is a biological product that is highly similar to and has no clinically meaningful differences from an existing FDA-approved reference product. </w:t>
            </w:r>
          </w:p>
        </w:tc>
        <w:tc>
          <w:tcPr>
            <w:tcW w:w="2331" w:type="pct"/>
            <w:shd w:val="clear" w:color="auto" w:fill="FFFFFF"/>
          </w:tcPr>
          <w:p w:rsidRPr="00B9743C" w:rsidR="00710606" w:rsidP="00B9743C" w:rsidRDefault="004D171E" w14:paraId="233C1698" w14:textId="77777777">
            <w:pPr>
              <w:rPr>
                <w:sz w:val="22"/>
                <w:szCs w:val="22"/>
              </w:rPr>
            </w:pPr>
            <w:bookmarkStart w:name="RANGE!A11" w:id="2"/>
            <w:r>
              <w:rPr>
                <w:sz w:val="22"/>
                <w:szCs w:val="22"/>
              </w:rPr>
              <w:t xml:space="preserve">DRUG </w:t>
            </w:r>
            <w:r w:rsidR="00134FF2">
              <w:rPr>
                <w:sz w:val="22"/>
                <w:szCs w:val="22"/>
              </w:rPr>
              <w:t>Z</w:t>
            </w:r>
            <w:r w:rsidRPr="00B9743C" w:rsidR="00710606">
              <w:rPr>
                <w:sz w:val="22"/>
                <w:szCs w:val="22"/>
              </w:rPr>
              <w:t xml:space="preserve"> </w:t>
            </w:r>
            <w:r w:rsidRPr="00B9743C" w:rsidR="00710606">
              <w:rPr>
                <w:color w:val="000000"/>
                <w:sz w:val="22"/>
                <w:szCs w:val="22"/>
              </w:rPr>
              <w:t>is a biosimilar. This biosimilar is a safe and effective medication and provides the same treatment benefits as an FDA-approved original biologic.</w:t>
            </w:r>
            <w:bookmarkEnd w:id="2"/>
          </w:p>
        </w:tc>
      </w:tr>
      <w:tr w:rsidRPr="00B9743C" w:rsidR="00710606" w:rsidTr="00F40318" w14:paraId="3B58C897" w14:textId="77777777">
        <w:tc>
          <w:tcPr>
            <w:tcW w:w="338" w:type="pct"/>
            <w:shd w:val="clear" w:color="auto" w:fill="FFFFFF"/>
            <w:vAlign w:val="center"/>
          </w:tcPr>
          <w:p w:rsidRPr="00B9743C" w:rsidR="00710606" w:rsidP="00B9743C" w:rsidRDefault="00710606" w14:paraId="2F15CDDC" w14:textId="77777777">
            <w:pPr>
              <w:jc w:val="center"/>
              <w:rPr>
                <w:sz w:val="22"/>
                <w:szCs w:val="22"/>
              </w:rPr>
            </w:pPr>
            <w:r w:rsidRPr="00B9743C">
              <w:rPr>
                <w:sz w:val="22"/>
                <w:szCs w:val="22"/>
              </w:rPr>
              <w:t>4</w:t>
            </w:r>
          </w:p>
        </w:tc>
        <w:tc>
          <w:tcPr>
            <w:tcW w:w="2331" w:type="pct"/>
            <w:shd w:val="clear" w:color="auto" w:fill="FFFFFF"/>
          </w:tcPr>
          <w:p w:rsidRPr="00B9743C" w:rsidR="00710606" w:rsidP="00B9743C" w:rsidRDefault="004D171E" w14:paraId="72873268" w14:textId="77777777">
            <w:pPr>
              <w:rPr>
                <w:sz w:val="22"/>
                <w:szCs w:val="22"/>
              </w:rPr>
            </w:pPr>
            <w:r>
              <w:rPr>
                <w:sz w:val="22"/>
                <w:szCs w:val="22"/>
              </w:rPr>
              <w:t xml:space="preserve">DRUG </w:t>
            </w:r>
            <w:r w:rsidR="00134FF2">
              <w:rPr>
                <w:sz w:val="22"/>
                <w:szCs w:val="22"/>
              </w:rPr>
              <w:t>Z</w:t>
            </w:r>
            <w:r w:rsidRPr="00B9743C" w:rsidR="00710606">
              <w:rPr>
                <w:rFonts w:cs="Calibri"/>
                <w:color w:val="000000"/>
                <w:sz w:val="22"/>
                <w:szCs w:val="22"/>
              </w:rPr>
              <w:t xml:space="preserve"> is a biosimilar. This biosimilar is a biological product that is highly similar to and has no clinically meaningful differences from </w:t>
            </w:r>
            <w:r>
              <w:rPr>
                <w:rFonts w:cs="Calibri"/>
                <w:color w:val="000000"/>
                <w:sz w:val="22"/>
                <w:szCs w:val="22"/>
              </w:rPr>
              <w:t xml:space="preserve">DRUG </w:t>
            </w:r>
            <w:r w:rsidR="00134FF2">
              <w:rPr>
                <w:rFonts w:cs="Calibri"/>
                <w:color w:val="000000"/>
                <w:sz w:val="22"/>
                <w:szCs w:val="22"/>
              </w:rPr>
              <w:t>Q</w:t>
            </w:r>
            <w:r w:rsidRPr="00B9743C" w:rsidR="00710606">
              <w:rPr>
                <w:rFonts w:cs="Calibri"/>
                <w:color w:val="000000"/>
                <w:sz w:val="22"/>
                <w:szCs w:val="22"/>
              </w:rPr>
              <w:t xml:space="preserve">, an existing FDA-approved reference product. </w:t>
            </w:r>
          </w:p>
        </w:tc>
        <w:tc>
          <w:tcPr>
            <w:tcW w:w="2331" w:type="pct"/>
            <w:shd w:val="clear" w:color="auto" w:fill="FFFFFF"/>
          </w:tcPr>
          <w:p w:rsidRPr="00B9743C" w:rsidR="00710606" w:rsidP="00B9743C" w:rsidRDefault="004D171E" w14:paraId="47A5B68B" w14:textId="77777777">
            <w:pPr>
              <w:rPr>
                <w:sz w:val="22"/>
                <w:szCs w:val="22"/>
              </w:rPr>
            </w:pPr>
            <w:bookmarkStart w:name="RANGE!A12" w:id="3"/>
            <w:r>
              <w:rPr>
                <w:sz w:val="22"/>
                <w:szCs w:val="22"/>
              </w:rPr>
              <w:t xml:space="preserve">DRUG </w:t>
            </w:r>
            <w:r w:rsidR="00134FF2">
              <w:rPr>
                <w:sz w:val="22"/>
                <w:szCs w:val="22"/>
              </w:rPr>
              <w:t>Z</w:t>
            </w:r>
            <w:r w:rsidRPr="00B9743C" w:rsidR="00710606">
              <w:rPr>
                <w:color w:val="000000"/>
                <w:sz w:val="22"/>
                <w:szCs w:val="22"/>
              </w:rPr>
              <w:t xml:space="preserve"> is a biosimilar. This biosimilar is a safe and effective medication and provides the same treatment benefits as </w:t>
            </w:r>
            <w:r w:rsidR="00134FF2">
              <w:rPr>
                <w:rFonts w:cs="Calibri"/>
                <w:color w:val="000000"/>
                <w:sz w:val="22"/>
                <w:szCs w:val="22"/>
              </w:rPr>
              <w:t>DRUG Q</w:t>
            </w:r>
            <w:r w:rsidRPr="00B9743C" w:rsidR="00710606">
              <w:rPr>
                <w:color w:val="000000"/>
                <w:sz w:val="22"/>
                <w:szCs w:val="22"/>
              </w:rPr>
              <w:t>, an FDA-approved original biologic.</w:t>
            </w:r>
            <w:bookmarkEnd w:id="3"/>
          </w:p>
        </w:tc>
      </w:tr>
      <w:tr w:rsidRPr="00B9743C" w:rsidR="00710606" w:rsidTr="00F40318" w14:paraId="485FAA75" w14:textId="77777777">
        <w:tc>
          <w:tcPr>
            <w:tcW w:w="338" w:type="pct"/>
            <w:shd w:val="clear" w:color="auto" w:fill="FFFFFF"/>
            <w:vAlign w:val="center"/>
          </w:tcPr>
          <w:p w:rsidRPr="00B9743C" w:rsidR="00710606" w:rsidP="00B9743C" w:rsidRDefault="00710606" w14:paraId="58141761" w14:textId="77777777">
            <w:pPr>
              <w:jc w:val="center"/>
              <w:rPr>
                <w:sz w:val="22"/>
                <w:szCs w:val="22"/>
              </w:rPr>
            </w:pPr>
            <w:r w:rsidRPr="00B9743C">
              <w:rPr>
                <w:sz w:val="22"/>
                <w:szCs w:val="22"/>
              </w:rPr>
              <w:t>5</w:t>
            </w:r>
          </w:p>
        </w:tc>
        <w:tc>
          <w:tcPr>
            <w:tcW w:w="2331" w:type="pct"/>
            <w:shd w:val="clear" w:color="auto" w:fill="FFFFFF"/>
          </w:tcPr>
          <w:p w:rsidRPr="00B9743C" w:rsidR="00710606" w:rsidP="00B9743C" w:rsidRDefault="004D171E" w14:paraId="15D1CBDE" w14:textId="77777777">
            <w:pPr>
              <w:rPr>
                <w:sz w:val="22"/>
                <w:szCs w:val="22"/>
              </w:rPr>
            </w:pPr>
            <w:r>
              <w:rPr>
                <w:sz w:val="22"/>
                <w:szCs w:val="22"/>
              </w:rPr>
              <w:t xml:space="preserve">DRUG </w:t>
            </w:r>
            <w:r w:rsidR="00134FF2">
              <w:rPr>
                <w:sz w:val="22"/>
                <w:szCs w:val="22"/>
              </w:rPr>
              <w:t>Z</w:t>
            </w:r>
            <w:r w:rsidRPr="00B9743C" w:rsidR="00710606">
              <w:rPr>
                <w:rFonts w:cs="Calibri"/>
                <w:color w:val="000000"/>
                <w:sz w:val="22"/>
                <w:szCs w:val="22"/>
              </w:rPr>
              <w:t xml:space="preserve"> is a biosimilar. This biosimilar is a biological product that is highly similar to and has no clinically meaningful differences from an existing FDA-approved reference product. Biosimilars are made from the same types of sources as the FDA-approved reference product.</w:t>
            </w:r>
          </w:p>
        </w:tc>
        <w:tc>
          <w:tcPr>
            <w:tcW w:w="2331" w:type="pct"/>
            <w:shd w:val="clear" w:color="auto" w:fill="FFFFFF"/>
          </w:tcPr>
          <w:p w:rsidRPr="00B9743C" w:rsidR="00710606" w:rsidP="00B9743C" w:rsidRDefault="004D171E" w14:paraId="2C86BF25" w14:textId="77777777">
            <w:pPr>
              <w:rPr>
                <w:sz w:val="22"/>
                <w:szCs w:val="22"/>
              </w:rPr>
            </w:pPr>
            <w:bookmarkStart w:name="RANGE!A13" w:id="4"/>
            <w:r>
              <w:rPr>
                <w:sz w:val="22"/>
                <w:szCs w:val="22"/>
              </w:rPr>
              <w:t xml:space="preserve">DRUG </w:t>
            </w:r>
            <w:r w:rsidR="00134FF2">
              <w:rPr>
                <w:sz w:val="22"/>
                <w:szCs w:val="22"/>
              </w:rPr>
              <w:t>Z</w:t>
            </w:r>
            <w:r w:rsidRPr="00B9743C" w:rsidR="00710606">
              <w:rPr>
                <w:color w:val="000000"/>
                <w:sz w:val="22"/>
                <w:szCs w:val="22"/>
              </w:rPr>
              <w:t xml:space="preserve"> is a biosimilar. This biosimilar is a safe and effective medication and provides the same treatment benefits as an FDA-approved original biologic. Biosimilars are made from the same types of sources as the FDA-approved original biologic.</w:t>
            </w:r>
            <w:bookmarkEnd w:id="4"/>
          </w:p>
        </w:tc>
      </w:tr>
      <w:tr w:rsidRPr="00B9743C" w:rsidR="00710606" w:rsidTr="00F40318" w14:paraId="5F0CF49E" w14:textId="77777777">
        <w:tc>
          <w:tcPr>
            <w:tcW w:w="338" w:type="pct"/>
            <w:shd w:val="clear" w:color="auto" w:fill="FFFFFF"/>
            <w:vAlign w:val="center"/>
          </w:tcPr>
          <w:p w:rsidRPr="00B9743C" w:rsidR="00710606" w:rsidP="00B9743C" w:rsidRDefault="00710606" w14:paraId="191B374D" w14:textId="77777777">
            <w:pPr>
              <w:jc w:val="center"/>
              <w:rPr>
                <w:sz w:val="22"/>
                <w:szCs w:val="22"/>
              </w:rPr>
            </w:pPr>
            <w:r w:rsidRPr="00B9743C">
              <w:rPr>
                <w:sz w:val="22"/>
                <w:szCs w:val="22"/>
              </w:rPr>
              <w:t>6</w:t>
            </w:r>
          </w:p>
        </w:tc>
        <w:tc>
          <w:tcPr>
            <w:tcW w:w="2331" w:type="pct"/>
            <w:shd w:val="clear" w:color="auto" w:fill="FFFFFF"/>
          </w:tcPr>
          <w:p w:rsidRPr="00B9743C" w:rsidR="00710606" w:rsidP="00B9743C" w:rsidRDefault="004D171E" w14:paraId="442554EC" w14:textId="77777777">
            <w:pPr>
              <w:rPr>
                <w:sz w:val="22"/>
                <w:szCs w:val="22"/>
              </w:rPr>
            </w:pPr>
            <w:r>
              <w:rPr>
                <w:sz w:val="22"/>
                <w:szCs w:val="22"/>
              </w:rPr>
              <w:t xml:space="preserve">DRUG </w:t>
            </w:r>
            <w:r w:rsidR="00134FF2">
              <w:rPr>
                <w:sz w:val="22"/>
                <w:szCs w:val="22"/>
              </w:rPr>
              <w:t>Z</w:t>
            </w:r>
            <w:r w:rsidRPr="00B9743C" w:rsidR="00710606">
              <w:rPr>
                <w:rFonts w:cs="Calibri"/>
                <w:color w:val="000000"/>
                <w:sz w:val="22"/>
                <w:szCs w:val="22"/>
              </w:rPr>
              <w:t xml:space="preserve"> is a biosimilar. This biosimilar is a biological product that is highly similar to and has no clinically meaningful differences from </w:t>
            </w:r>
            <w:r w:rsidR="00134FF2">
              <w:rPr>
                <w:rFonts w:cs="Calibri"/>
                <w:color w:val="000000"/>
                <w:sz w:val="22"/>
                <w:szCs w:val="22"/>
              </w:rPr>
              <w:t>DRUG Q</w:t>
            </w:r>
            <w:r w:rsidRPr="00B9743C" w:rsidR="00710606">
              <w:rPr>
                <w:rFonts w:cs="Calibri"/>
                <w:color w:val="000000"/>
                <w:sz w:val="22"/>
                <w:szCs w:val="22"/>
              </w:rPr>
              <w:t xml:space="preserve">, an existing FDA-approved reference product. This biosimilar is made from the same types of sources as </w:t>
            </w:r>
            <w:r w:rsidR="00134FF2">
              <w:rPr>
                <w:rFonts w:cs="Calibri"/>
                <w:color w:val="000000"/>
                <w:sz w:val="22"/>
                <w:szCs w:val="22"/>
              </w:rPr>
              <w:t>DRUG Q</w:t>
            </w:r>
            <w:r w:rsidRPr="00B9743C" w:rsidR="00710606">
              <w:rPr>
                <w:rFonts w:cs="Calibri"/>
                <w:color w:val="000000"/>
                <w:sz w:val="22"/>
                <w:szCs w:val="22"/>
              </w:rPr>
              <w:t xml:space="preserve">. </w:t>
            </w:r>
          </w:p>
        </w:tc>
        <w:tc>
          <w:tcPr>
            <w:tcW w:w="2331" w:type="pct"/>
            <w:shd w:val="clear" w:color="auto" w:fill="FFFFFF"/>
          </w:tcPr>
          <w:p w:rsidRPr="00B9743C" w:rsidR="00710606" w:rsidP="00B9743C" w:rsidRDefault="004D171E" w14:paraId="6737B44E" w14:textId="77777777">
            <w:pPr>
              <w:rPr>
                <w:sz w:val="22"/>
                <w:szCs w:val="22"/>
              </w:rPr>
            </w:pPr>
            <w:r>
              <w:rPr>
                <w:sz w:val="22"/>
                <w:szCs w:val="22"/>
              </w:rPr>
              <w:t xml:space="preserve">DRUG </w:t>
            </w:r>
            <w:r w:rsidR="00134FF2">
              <w:rPr>
                <w:sz w:val="22"/>
                <w:szCs w:val="22"/>
              </w:rPr>
              <w:t>Z</w:t>
            </w:r>
            <w:r w:rsidRPr="00B9743C" w:rsidR="00710606">
              <w:rPr>
                <w:color w:val="000000"/>
                <w:sz w:val="22"/>
                <w:szCs w:val="22"/>
              </w:rPr>
              <w:t xml:space="preserve"> is a biosimilar. This biosimilar is a safe and effective medication and provides the same treatment benefits as </w:t>
            </w:r>
            <w:r w:rsidR="00134FF2">
              <w:rPr>
                <w:color w:val="000000"/>
                <w:sz w:val="22"/>
                <w:szCs w:val="22"/>
              </w:rPr>
              <w:t>DRUG Q</w:t>
            </w:r>
            <w:r w:rsidRPr="00B9743C" w:rsidR="00710606">
              <w:rPr>
                <w:color w:val="000000"/>
                <w:sz w:val="22"/>
                <w:szCs w:val="22"/>
              </w:rPr>
              <w:t xml:space="preserve">, an FDA-approved original biologic. This biosimilar is made from the same types of sources as </w:t>
            </w:r>
            <w:r w:rsidR="00134FF2">
              <w:rPr>
                <w:rFonts w:cs="Calibri"/>
                <w:color w:val="000000"/>
                <w:sz w:val="22"/>
                <w:szCs w:val="22"/>
              </w:rPr>
              <w:t>DRUG Q</w:t>
            </w:r>
            <w:r w:rsidRPr="00B9743C" w:rsidR="00710606">
              <w:rPr>
                <w:color w:val="000000"/>
                <w:sz w:val="22"/>
                <w:szCs w:val="22"/>
              </w:rPr>
              <w:t>.</w:t>
            </w:r>
          </w:p>
        </w:tc>
      </w:tr>
      <w:tr w:rsidRPr="00B9743C" w:rsidR="00710606" w:rsidTr="00F40318" w14:paraId="3BDF362C" w14:textId="77777777">
        <w:tc>
          <w:tcPr>
            <w:tcW w:w="338" w:type="pct"/>
            <w:shd w:val="clear" w:color="auto" w:fill="FFFFFF"/>
            <w:vAlign w:val="center"/>
          </w:tcPr>
          <w:p w:rsidRPr="00B9743C" w:rsidR="00710606" w:rsidP="00B9743C" w:rsidRDefault="00710606" w14:paraId="0F113AE7" w14:textId="77777777">
            <w:pPr>
              <w:jc w:val="center"/>
              <w:rPr>
                <w:sz w:val="22"/>
                <w:szCs w:val="22"/>
              </w:rPr>
            </w:pPr>
            <w:r w:rsidRPr="00B9743C">
              <w:rPr>
                <w:sz w:val="22"/>
                <w:szCs w:val="22"/>
              </w:rPr>
              <w:t>7</w:t>
            </w:r>
          </w:p>
        </w:tc>
        <w:tc>
          <w:tcPr>
            <w:tcW w:w="2331" w:type="pct"/>
            <w:shd w:val="clear" w:color="auto" w:fill="FFFFFF"/>
          </w:tcPr>
          <w:p w:rsidRPr="00B9743C" w:rsidR="00710606" w:rsidP="00B9743C" w:rsidRDefault="004D171E" w14:paraId="230D59CE" w14:textId="77777777">
            <w:pPr>
              <w:rPr>
                <w:sz w:val="22"/>
                <w:szCs w:val="22"/>
              </w:rPr>
            </w:pPr>
            <w:r>
              <w:rPr>
                <w:sz w:val="22"/>
                <w:szCs w:val="22"/>
              </w:rPr>
              <w:t xml:space="preserve">DRUG </w:t>
            </w:r>
            <w:r w:rsidR="00134FF2">
              <w:rPr>
                <w:sz w:val="22"/>
                <w:szCs w:val="22"/>
              </w:rPr>
              <w:t>Z</w:t>
            </w:r>
            <w:r w:rsidRPr="00B9743C" w:rsidR="00710606">
              <w:rPr>
                <w:rFonts w:cs="Calibri"/>
                <w:color w:val="000000"/>
                <w:sz w:val="22"/>
                <w:szCs w:val="22"/>
              </w:rPr>
              <w:t xml:space="preserve"> is a biosimilar. This biosimilar is a biological product that is highly similar to and has no </w:t>
            </w:r>
            <w:r w:rsidRPr="00B9743C" w:rsidR="00710606">
              <w:rPr>
                <w:rFonts w:cs="Calibri"/>
                <w:color w:val="000000"/>
                <w:sz w:val="22"/>
                <w:szCs w:val="22"/>
              </w:rPr>
              <w:lastRenderedPageBreak/>
              <w:t xml:space="preserve">clinically meaningful differences from an existing FDA-approved reference product. Biosimilars are made from the same types of sources as the FDA-approved reference product. </w:t>
            </w:r>
            <w:r>
              <w:rPr>
                <w:sz w:val="22"/>
                <w:szCs w:val="22"/>
              </w:rPr>
              <w:t xml:space="preserve">DRUG </w:t>
            </w:r>
            <w:r w:rsidR="00134FF2">
              <w:rPr>
                <w:sz w:val="22"/>
                <w:szCs w:val="22"/>
              </w:rPr>
              <w:t>Z</w:t>
            </w:r>
            <w:r w:rsidRPr="00B9743C" w:rsidR="00710606">
              <w:rPr>
                <w:rFonts w:cs="Calibri"/>
                <w:color w:val="000000"/>
                <w:sz w:val="22"/>
                <w:szCs w:val="22"/>
              </w:rPr>
              <w:t xml:space="preserve"> has the same route of administration, dosage form, and strength as an existing FDA-approved reference product.</w:t>
            </w:r>
          </w:p>
        </w:tc>
        <w:tc>
          <w:tcPr>
            <w:tcW w:w="2331" w:type="pct"/>
            <w:shd w:val="clear" w:color="auto" w:fill="FFFFFF"/>
          </w:tcPr>
          <w:p w:rsidRPr="00B9743C" w:rsidR="00710606" w:rsidP="00B9743C" w:rsidRDefault="004D171E" w14:paraId="523AFBEB" w14:textId="77777777">
            <w:pPr>
              <w:rPr>
                <w:sz w:val="22"/>
                <w:szCs w:val="22"/>
              </w:rPr>
            </w:pPr>
            <w:r>
              <w:rPr>
                <w:sz w:val="22"/>
                <w:szCs w:val="22"/>
              </w:rPr>
              <w:lastRenderedPageBreak/>
              <w:t xml:space="preserve">DRUG </w:t>
            </w:r>
            <w:r w:rsidR="00134FF2">
              <w:rPr>
                <w:sz w:val="22"/>
                <w:szCs w:val="22"/>
              </w:rPr>
              <w:t>Z</w:t>
            </w:r>
            <w:r w:rsidRPr="00B9743C" w:rsidR="00710606">
              <w:rPr>
                <w:color w:val="000000"/>
                <w:sz w:val="22"/>
                <w:szCs w:val="22"/>
              </w:rPr>
              <w:t xml:space="preserve"> is a biosimilar. This biosimilar is a safe and effective medication and provides the same </w:t>
            </w:r>
            <w:r w:rsidRPr="00B9743C" w:rsidR="00710606">
              <w:rPr>
                <w:color w:val="000000"/>
                <w:sz w:val="22"/>
                <w:szCs w:val="22"/>
              </w:rPr>
              <w:lastRenderedPageBreak/>
              <w:t xml:space="preserve">treatment benefits as an FDA-approved original biologic. Biosimilars are made from the same types of sources as the FDA-approved original biologic. </w:t>
            </w:r>
            <w:r>
              <w:rPr>
                <w:sz w:val="22"/>
                <w:szCs w:val="22"/>
              </w:rPr>
              <w:t xml:space="preserve">DRUG </w:t>
            </w:r>
            <w:r w:rsidR="00134FF2">
              <w:rPr>
                <w:sz w:val="22"/>
                <w:szCs w:val="22"/>
              </w:rPr>
              <w:t>Z</w:t>
            </w:r>
            <w:r w:rsidRPr="00B9743C" w:rsidR="00710606">
              <w:rPr>
                <w:color w:val="000000"/>
                <w:sz w:val="22"/>
                <w:szCs w:val="22"/>
              </w:rPr>
              <w:t xml:space="preserve"> is given the same way and has the same strength and dosage as the FDA-approved original biologic.</w:t>
            </w:r>
          </w:p>
        </w:tc>
      </w:tr>
      <w:tr w:rsidRPr="00B9743C" w:rsidR="00710606" w:rsidTr="00F40318" w14:paraId="0DFF9936" w14:textId="77777777">
        <w:tc>
          <w:tcPr>
            <w:tcW w:w="338" w:type="pct"/>
            <w:shd w:val="clear" w:color="auto" w:fill="FFFFFF"/>
            <w:vAlign w:val="center"/>
          </w:tcPr>
          <w:p w:rsidRPr="00B9743C" w:rsidR="00710606" w:rsidP="00B9743C" w:rsidRDefault="00710606" w14:paraId="7D2DFA9E" w14:textId="77777777">
            <w:pPr>
              <w:jc w:val="center"/>
              <w:rPr>
                <w:sz w:val="22"/>
                <w:szCs w:val="22"/>
              </w:rPr>
            </w:pPr>
            <w:r w:rsidRPr="00B9743C">
              <w:rPr>
                <w:sz w:val="22"/>
                <w:szCs w:val="22"/>
              </w:rPr>
              <w:lastRenderedPageBreak/>
              <w:t>8</w:t>
            </w:r>
          </w:p>
        </w:tc>
        <w:tc>
          <w:tcPr>
            <w:tcW w:w="2331" w:type="pct"/>
            <w:shd w:val="clear" w:color="auto" w:fill="FFFFFF"/>
          </w:tcPr>
          <w:p w:rsidRPr="00B9743C" w:rsidR="00710606" w:rsidP="00B9743C" w:rsidRDefault="004D171E" w14:paraId="67F467EC" w14:textId="77777777">
            <w:pPr>
              <w:rPr>
                <w:sz w:val="22"/>
                <w:szCs w:val="22"/>
              </w:rPr>
            </w:pPr>
            <w:r>
              <w:rPr>
                <w:sz w:val="22"/>
                <w:szCs w:val="22"/>
              </w:rPr>
              <w:t xml:space="preserve">DRUG </w:t>
            </w:r>
            <w:r w:rsidR="00134FF2">
              <w:rPr>
                <w:sz w:val="22"/>
                <w:szCs w:val="22"/>
              </w:rPr>
              <w:t>Z</w:t>
            </w:r>
            <w:r w:rsidRPr="00B9743C" w:rsidR="00710606">
              <w:rPr>
                <w:rFonts w:cs="Calibri"/>
                <w:color w:val="000000"/>
                <w:sz w:val="22"/>
                <w:szCs w:val="22"/>
              </w:rPr>
              <w:t xml:space="preserve"> is a biosimilar. This biosimilar is a biological product that is highly similar to and has no clinically meaningful differences from </w:t>
            </w:r>
            <w:r w:rsidR="00134FF2">
              <w:rPr>
                <w:rFonts w:cs="Calibri"/>
                <w:color w:val="000000"/>
                <w:sz w:val="22"/>
                <w:szCs w:val="22"/>
              </w:rPr>
              <w:t>DRUG Q</w:t>
            </w:r>
            <w:r w:rsidRPr="00B9743C" w:rsidR="00710606">
              <w:rPr>
                <w:rFonts w:cs="Calibri"/>
                <w:color w:val="000000"/>
                <w:sz w:val="22"/>
                <w:szCs w:val="22"/>
              </w:rPr>
              <w:t xml:space="preserve">, an existing FDA-approved reference product. This biosimilar is made from the same types of sources as </w:t>
            </w:r>
            <w:r w:rsidR="00134FF2">
              <w:rPr>
                <w:rFonts w:cs="Calibri"/>
                <w:color w:val="000000"/>
                <w:sz w:val="22"/>
                <w:szCs w:val="22"/>
              </w:rPr>
              <w:t>DRUG Q</w:t>
            </w:r>
            <w:r w:rsidRPr="00B9743C" w:rsidR="00710606">
              <w:rPr>
                <w:rFonts w:cs="Calibri"/>
                <w:color w:val="000000"/>
                <w:sz w:val="22"/>
                <w:szCs w:val="22"/>
              </w:rPr>
              <w:t xml:space="preserve">. </w:t>
            </w:r>
            <w:r>
              <w:rPr>
                <w:sz w:val="22"/>
                <w:szCs w:val="22"/>
              </w:rPr>
              <w:t xml:space="preserve">DRUG </w:t>
            </w:r>
            <w:r w:rsidR="00134FF2">
              <w:rPr>
                <w:sz w:val="22"/>
                <w:szCs w:val="22"/>
              </w:rPr>
              <w:t>Z</w:t>
            </w:r>
            <w:r w:rsidRPr="00B9743C" w:rsidR="00710606">
              <w:rPr>
                <w:rFonts w:cs="Calibri"/>
                <w:color w:val="000000"/>
                <w:sz w:val="22"/>
                <w:szCs w:val="22"/>
              </w:rPr>
              <w:t xml:space="preserve"> has the same route of administration, dosage form, and strength as </w:t>
            </w:r>
            <w:r w:rsidR="00134FF2">
              <w:rPr>
                <w:rFonts w:cs="Calibri"/>
                <w:color w:val="000000"/>
                <w:sz w:val="22"/>
                <w:szCs w:val="22"/>
              </w:rPr>
              <w:t>DRUG Q</w:t>
            </w:r>
            <w:r w:rsidRPr="00B9743C" w:rsidR="00710606">
              <w:rPr>
                <w:rFonts w:cs="Calibri"/>
                <w:color w:val="000000"/>
                <w:sz w:val="22"/>
                <w:szCs w:val="22"/>
              </w:rPr>
              <w:t>.</w:t>
            </w:r>
          </w:p>
        </w:tc>
        <w:tc>
          <w:tcPr>
            <w:tcW w:w="2331" w:type="pct"/>
            <w:shd w:val="clear" w:color="auto" w:fill="FFFFFF"/>
          </w:tcPr>
          <w:p w:rsidRPr="00B9743C" w:rsidR="00710606" w:rsidP="00B9743C" w:rsidRDefault="004D171E" w14:paraId="2643B190" w14:textId="77777777">
            <w:pPr>
              <w:rPr>
                <w:sz w:val="22"/>
                <w:szCs w:val="22"/>
              </w:rPr>
            </w:pPr>
            <w:r>
              <w:rPr>
                <w:sz w:val="22"/>
                <w:szCs w:val="22"/>
              </w:rPr>
              <w:t xml:space="preserve">DRUG </w:t>
            </w:r>
            <w:r w:rsidR="00134FF2">
              <w:rPr>
                <w:sz w:val="22"/>
                <w:szCs w:val="22"/>
              </w:rPr>
              <w:t>Z</w:t>
            </w:r>
            <w:r w:rsidRPr="00B9743C" w:rsidR="00710606">
              <w:rPr>
                <w:color w:val="000000"/>
                <w:sz w:val="22"/>
                <w:szCs w:val="22"/>
              </w:rPr>
              <w:t xml:space="preserve"> is a biosimilar. This biosimilar is a safe and effective medication and provides the same treatment benefits as </w:t>
            </w:r>
            <w:r w:rsidR="00134FF2">
              <w:rPr>
                <w:color w:val="000000"/>
                <w:sz w:val="22"/>
                <w:szCs w:val="22"/>
              </w:rPr>
              <w:t>DRUG Q</w:t>
            </w:r>
            <w:r w:rsidRPr="00B9743C" w:rsidR="00710606">
              <w:rPr>
                <w:color w:val="000000"/>
                <w:sz w:val="22"/>
                <w:szCs w:val="22"/>
              </w:rPr>
              <w:t xml:space="preserve">, an FDA-approved original biologic. This biosimilar is made from the same types of sources as </w:t>
            </w:r>
            <w:r w:rsidR="00134FF2">
              <w:rPr>
                <w:color w:val="000000"/>
                <w:sz w:val="22"/>
                <w:szCs w:val="22"/>
              </w:rPr>
              <w:t>DRUG Q</w:t>
            </w:r>
            <w:r w:rsidRPr="00B9743C" w:rsidR="00710606">
              <w:rPr>
                <w:color w:val="000000"/>
                <w:sz w:val="22"/>
                <w:szCs w:val="22"/>
              </w:rPr>
              <w:t xml:space="preserve">.  </w:t>
            </w:r>
            <w:r>
              <w:rPr>
                <w:sz w:val="22"/>
                <w:szCs w:val="22"/>
              </w:rPr>
              <w:t xml:space="preserve">DRUG </w:t>
            </w:r>
            <w:r w:rsidR="00134FF2">
              <w:rPr>
                <w:sz w:val="22"/>
                <w:szCs w:val="22"/>
              </w:rPr>
              <w:t>Z</w:t>
            </w:r>
            <w:r w:rsidRPr="00B9743C" w:rsidR="00710606">
              <w:rPr>
                <w:color w:val="000000"/>
                <w:sz w:val="22"/>
                <w:szCs w:val="22"/>
              </w:rPr>
              <w:t xml:space="preserve"> is given the same way and has the same strength and dosage as </w:t>
            </w:r>
            <w:r w:rsidR="00134FF2">
              <w:rPr>
                <w:rFonts w:cs="Calibri"/>
                <w:color w:val="000000"/>
                <w:sz w:val="22"/>
                <w:szCs w:val="22"/>
              </w:rPr>
              <w:t>DRUG Q</w:t>
            </w:r>
            <w:r w:rsidRPr="00B9743C" w:rsidR="00710606">
              <w:rPr>
                <w:color w:val="000000"/>
                <w:sz w:val="22"/>
                <w:szCs w:val="22"/>
              </w:rPr>
              <w:t>.</w:t>
            </w:r>
          </w:p>
        </w:tc>
      </w:tr>
      <w:bookmarkEnd w:id="1"/>
    </w:tbl>
    <w:p w:rsidR="00DE152A" w:rsidP="006D1839" w:rsidRDefault="00DE152A" w14:paraId="6349E906" w14:textId="77777777">
      <w:pPr>
        <w:jc w:val="center"/>
        <w:rPr>
          <w:rStyle w:val="Strong"/>
        </w:rPr>
      </w:pPr>
    </w:p>
    <w:p w:rsidRPr="00BA16AA" w:rsidR="006D1839" w:rsidP="006D1839" w:rsidRDefault="006D1839" w14:paraId="257D6F83" w14:textId="77777777">
      <w:pPr>
        <w:jc w:val="center"/>
        <w:rPr>
          <w:rStyle w:val="Strong"/>
        </w:rPr>
      </w:pPr>
      <w:r w:rsidRPr="00BA16AA">
        <w:rPr>
          <w:rStyle w:val="Strong"/>
        </w:rPr>
        <w:t>Procedure</w:t>
      </w:r>
    </w:p>
    <w:p w:rsidRPr="00BA16AA" w:rsidR="006D1839" w:rsidP="006D1839" w:rsidRDefault="006D1839" w14:paraId="582BB062" w14:textId="77777777">
      <w:pPr>
        <w:jc w:val="center"/>
        <w:rPr>
          <w:rStyle w:val="Strong"/>
        </w:rPr>
      </w:pPr>
    </w:p>
    <w:p w:rsidR="00123DE9" w:rsidP="009419FA" w:rsidRDefault="004D4699" w14:paraId="4CE147DA" w14:textId="77777777">
      <w:pPr>
        <w:ind w:left="720"/>
        <w:rPr>
          <w:rStyle w:val="Strong"/>
          <w:b w:val="0"/>
        </w:rPr>
      </w:pPr>
      <w:r>
        <w:rPr>
          <w:rStyle w:val="Strong"/>
          <w:b w:val="0"/>
        </w:rPr>
        <w:t xml:space="preserve">Both </w:t>
      </w:r>
      <w:r w:rsidR="00847BDF">
        <w:rPr>
          <w:rStyle w:val="Strong"/>
          <w:b w:val="0"/>
        </w:rPr>
        <w:t xml:space="preserve">study phases </w:t>
      </w:r>
      <w:r>
        <w:rPr>
          <w:rStyle w:val="Strong"/>
          <w:b w:val="0"/>
        </w:rPr>
        <w:t>will include one</w:t>
      </w:r>
      <w:r w:rsidRPr="00BA16AA" w:rsidR="006D1839">
        <w:rPr>
          <w:rStyle w:val="Strong"/>
          <w:b w:val="0"/>
        </w:rPr>
        <w:t xml:space="preserve"> pretest and </w:t>
      </w:r>
      <w:r>
        <w:rPr>
          <w:rStyle w:val="Strong"/>
          <w:b w:val="0"/>
        </w:rPr>
        <w:t>one</w:t>
      </w:r>
      <w:r w:rsidRPr="00BA16AA" w:rsidR="006D1839">
        <w:rPr>
          <w:rStyle w:val="Strong"/>
          <w:b w:val="0"/>
        </w:rPr>
        <w:t xml:space="preserve"> main stud</w:t>
      </w:r>
      <w:r>
        <w:rPr>
          <w:rStyle w:val="Strong"/>
          <w:b w:val="0"/>
        </w:rPr>
        <w:t>y</w:t>
      </w:r>
      <w:r w:rsidRPr="00BA16AA" w:rsidR="006D1839">
        <w:rPr>
          <w:rStyle w:val="Strong"/>
          <w:b w:val="0"/>
        </w:rPr>
        <w:t xml:space="preserve"> not longer than 20 minutes</w:t>
      </w:r>
      <w:r w:rsidR="00DE152A">
        <w:rPr>
          <w:rStyle w:val="Strong"/>
          <w:b w:val="0"/>
        </w:rPr>
        <w:t xml:space="preserve">. </w:t>
      </w:r>
      <w:r w:rsidR="0097795B">
        <w:rPr>
          <w:rStyle w:val="Strong"/>
          <w:b w:val="0"/>
        </w:rPr>
        <w:t xml:space="preserve">Surveys will be administered online. </w:t>
      </w:r>
      <w:r w:rsidR="00847BDF">
        <w:rPr>
          <w:rStyle w:val="Strong"/>
          <w:b w:val="0"/>
        </w:rPr>
        <w:t xml:space="preserve">The phases will be conducted concurrently and independently of one another. Potential respondents will participate in only one study phase. </w:t>
      </w:r>
      <w:r w:rsidR="00134FF2">
        <w:rPr>
          <w:rStyle w:val="Strong"/>
          <w:b w:val="0"/>
        </w:rPr>
        <w:t>In each phase, c</w:t>
      </w:r>
      <w:r w:rsidRPr="004D4699" w:rsidR="004555A2">
        <w:rPr>
          <w:bCs/>
        </w:rPr>
        <w:t xml:space="preserve">onsumer and HCP participants </w:t>
      </w:r>
      <w:r w:rsidR="00DE34B0">
        <w:t xml:space="preserve">will be randomly assigned to one </w:t>
      </w:r>
      <w:r w:rsidR="00847BDF">
        <w:t>experimental</w:t>
      </w:r>
      <w:r w:rsidR="00DE34B0">
        <w:t xml:space="preserve"> condition</w:t>
      </w:r>
      <w:r w:rsidR="0097795B">
        <w:t xml:space="preserve">, view </w:t>
      </w:r>
      <w:r w:rsidR="00847BDF">
        <w:t>one version of</w:t>
      </w:r>
      <w:r w:rsidR="001A2095">
        <w:t xml:space="preserve"> </w:t>
      </w:r>
      <w:r w:rsidR="00134FF2">
        <w:t>the stimuli</w:t>
      </w:r>
      <w:r w:rsidR="001A2095">
        <w:t>,</w:t>
      </w:r>
      <w:r w:rsidR="00847BDF">
        <w:t xml:space="preserve"> </w:t>
      </w:r>
      <w:r w:rsidR="0097795B">
        <w:t xml:space="preserve">and then </w:t>
      </w:r>
      <w:r w:rsidRPr="00BA16AA" w:rsidR="006D1839">
        <w:rPr>
          <w:rStyle w:val="Strong"/>
          <w:b w:val="0"/>
        </w:rPr>
        <w:t xml:space="preserve">complete a questionnaire (Appendix </w:t>
      </w:r>
      <w:r w:rsidRPr="00134FF2" w:rsidR="001C36C6">
        <w:rPr>
          <w:rStyle w:val="Strong"/>
          <w:b w:val="0"/>
        </w:rPr>
        <w:t>B</w:t>
      </w:r>
      <w:r w:rsidRPr="00BA16AA" w:rsidR="006D1839">
        <w:rPr>
          <w:rStyle w:val="Strong"/>
          <w:b w:val="0"/>
        </w:rPr>
        <w:t xml:space="preserve">) that assesses </w:t>
      </w:r>
      <w:r w:rsidR="007A58D7">
        <w:rPr>
          <w:rStyle w:val="Strong"/>
          <w:b w:val="0"/>
        </w:rPr>
        <w:t>recall and perceptions of the disclosure, the drug,</w:t>
      </w:r>
      <w:r w:rsidRPr="00BA16AA" w:rsidR="006D1839">
        <w:rPr>
          <w:rStyle w:val="Strong"/>
          <w:b w:val="0"/>
        </w:rPr>
        <w:t xml:space="preserve"> attitudes, and behavioral intentions. We will also measure demographics</w:t>
      </w:r>
      <w:r>
        <w:rPr>
          <w:rStyle w:val="Strong"/>
          <w:b w:val="0"/>
        </w:rPr>
        <w:t xml:space="preserve"> and </w:t>
      </w:r>
      <w:r w:rsidR="002D3F6A">
        <w:rPr>
          <w:rStyle w:val="Strong"/>
          <w:b w:val="0"/>
        </w:rPr>
        <w:t>practice characteristics</w:t>
      </w:r>
      <w:r>
        <w:rPr>
          <w:rStyle w:val="Strong"/>
          <w:b w:val="0"/>
        </w:rPr>
        <w:t xml:space="preserve"> for potential use as covariates</w:t>
      </w:r>
      <w:r w:rsidRPr="00BA16AA" w:rsidR="006D1839">
        <w:rPr>
          <w:rStyle w:val="Strong"/>
          <w:b w:val="0"/>
        </w:rPr>
        <w:t>.</w:t>
      </w:r>
    </w:p>
    <w:p w:rsidRPr="00BA16AA" w:rsidR="00532973" w:rsidP="009419FA" w:rsidRDefault="006D1839" w14:paraId="1F1A777F" w14:textId="3FB63A24">
      <w:pPr>
        <w:ind w:left="720"/>
        <w:rPr>
          <w:rStyle w:val="Strong"/>
          <w:b w:val="0"/>
        </w:rPr>
      </w:pPr>
      <w:r w:rsidRPr="00BA16AA">
        <w:rPr>
          <w:rStyle w:val="Strong"/>
          <w:b w:val="0"/>
        </w:rPr>
        <w:t xml:space="preserve">    </w:t>
      </w:r>
    </w:p>
    <w:p w:rsidRPr="00123DE9" w:rsidR="00635096" w:rsidP="00123DE9" w:rsidRDefault="00BC79AD" w14:paraId="6A6E9270" w14:textId="74391E49">
      <w:pPr>
        <w:pStyle w:val="table-title"/>
        <w:ind w:left="720" w:firstLine="0"/>
        <w:jc w:val="center"/>
        <w:rPr>
          <w:rFonts w:ascii="Times New Roman" w:hAnsi="Times New Roman"/>
          <w:bCs/>
          <w:sz w:val="24"/>
          <w:szCs w:val="24"/>
        </w:rPr>
      </w:pPr>
      <w:r w:rsidRPr="00123DE9">
        <w:rPr>
          <w:rFonts w:ascii="Times New Roman" w:hAnsi="Times New Roman"/>
          <w:bCs/>
          <w:sz w:val="24"/>
          <w:szCs w:val="24"/>
        </w:rPr>
        <w:t>Participants</w:t>
      </w:r>
    </w:p>
    <w:p w:rsidRPr="00BA16AA" w:rsidR="008D5E7F" w:rsidP="001311C3" w:rsidRDefault="008D5E7F" w14:paraId="2EF4BD89" w14:textId="77777777">
      <w:pPr>
        <w:shd w:val="clear" w:color="auto" w:fill="FFFFFF"/>
        <w:ind w:left="720"/>
        <w:jc w:val="center"/>
        <w:rPr>
          <w:b/>
        </w:rPr>
      </w:pPr>
    </w:p>
    <w:p w:rsidR="000F700B" w:rsidP="000F700B" w:rsidRDefault="00847BDF" w14:paraId="7E180B5B" w14:textId="6287879D">
      <w:pPr>
        <w:ind w:left="720"/>
      </w:pPr>
      <w:r>
        <w:t>W</w:t>
      </w:r>
      <w:r w:rsidRPr="00BA16AA" w:rsidR="005871C6">
        <w:t xml:space="preserve">e will recruit </w:t>
      </w:r>
      <w:r w:rsidR="000F700B">
        <w:t xml:space="preserve">participants </w:t>
      </w:r>
      <w:r w:rsidRPr="00BA16AA" w:rsidR="00914317">
        <w:t xml:space="preserve">from </w:t>
      </w:r>
      <w:r>
        <w:t>Dynata’s internet opt-in consumer panel of U</w:t>
      </w:r>
      <w:r w:rsidR="00123DE9">
        <w:t>.</w:t>
      </w:r>
      <w:r>
        <w:t>S</w:t>
      </w:r>
      <w:r w:rsidR="00123DE9">
        <w:t>.</w:t>
      </w:r>
      <w:r>
        <w:t xml:space="preserve"> adult consumers 18 years of age and older and Healthcare Panel of </w:t>
      </w:r>
      <w:r w:rsidR="00D64541">
        <w:t>HCP</w:t>
      </w:r>
      <w:r w:rsidR="00914317">
        <w:t xml:space="preserve"> </w:t>
      </w:r>
      <w:r w:rsidRPr="00BA16AA" w:rsidR="005871C6">
        <w:t>volunteers</w:t>
      </w:r>
      <w:r w:rsidR="001A2095">
        <w:t>.</w:t>
      </w:r>
      <w:r w:rsidRPr="00BA16AA" w:rsidR="005871C6">
        <w:t xml:space="preserve"> </w:t>
      </w:r>
      <w:r w:rsidR="000F700B">
        <w:t>For Phase 1, w</w:t>
      </w:r>
      <w:r w:rsidRPr="60D52F9B" w:rsidR="000F700B">
        <w:t xml:space="preserve">e plan to conduct one pretest with </w:t>
      </w:r>
      <w:r w:rsidR="001A2095">
        <w:t>2</w:t>
      </w:r>
      <w:r w:rsidR="000F700B">
        <w:t>52</w:t>
      </w:r>
      <w:r w:rsidRPr="60D52F9B" w:rsidR="000F700B">
        <w:t xml:space="preserve"> voluntary adult participants </w:t>
      </w:r>
      <w:r w:rsidR="000F700B">
        <w:t xml:space="preserve">(126 HCPs and 126 general population consumers) </w:t>
      </w:r>
      <w:r w:rsidRPr="60D52F9B" w:rsidR="000F700B">
        <w:t xml:space="preserve">and one main study with </w:t>
      </w:r>
      <w:r w:rsidR="000F700B">
        <w:t>9</w:t>
      </w:r>
      <w:r w:rsidR="001A2095">
        <w:t>0</w:t>
      </w:r>
      <w:r w:rsidR="000F700B">
        <w:t>0</w:t>
      </w:r>
      <w:r w:rsidRPr="60D52F9B" w:rsidR="000F700B">
        <w:t xml:space="preserve"> voluntary adult participants</w:t>
      </w:r>
      <w:r w:rsidR="000F700B">
        <w:t xml:space="preserve"> (450 HCPs and 450 general population consumers)</w:t>
      </w:r>
      <w:r w:rsidRPr="60D52F9B" w:rsidR="000F700B">
        <w:t xml:space="preserve">. </w:t>
      </w:r>
      <w:r w:rsidR="000F700B">
        <w:t xml:space="preserve">For Phase 2, we plan to conduct one pretest with 432 voluntary adult participants (216 HCPs and 216 general population consumers) and one main study with 720 voluntary adult participants (360 HCPs and 360 general population consumers). </w:t>
      </w:r>
      <w:r w:rsidR="00F40318">
        <w:t>Sample sizes were determined on the basis of power analysis that will allow us to detect medium effect sizes. Our power analysis is described in below.</w:t>
      </w:r>
    </w:p>
    <w:p w:rsidR="00914317" w:rsidP="009419FA" w:rsidRDefault="00914317" w14:paraId="7B78930C" w14:textId="046A7FA9">
      <w:pPr>
        <w:ind w:left="720"/>
      </w:pPr>
    </w:p>
    <w:p w:rsidR="00123DE9" w:rsidP="009419FA" w:rsidRDefault="00123DE9" w14:paraId="04B01FE9" w14:textId="73C4D2E2">
      <w:pPr>
        <w:ind w:left="720"/>
      </w:pPr>
    </w:p>
    <w:p w:rsidR="00123DE9" w:rsidP="009419FA" w:rsidRDefault="00123DE9" w14:paraId="60DB0C81" w14:textId="4E7B99FD">
      <w:pPr>
        <w:ind w:left="720"/>
      </w:pPr>
    </w:p>
    <w:p w:rsidR="00123DE9" w:rsidP="009419FA" w:rsidRDefault="00123DE9" w14:paraId="76CF52AD" w14:textId="77777777">
      <w:pPr>
        <w:ind w:left="720"/>
      </w:pPr>
    </w:p>
    <w:p w:rsidR="00914317" w:rsidP="00914317" w:rsidRDefault="00914317" w14:paraId="5BAE3043" w14:textId="77777777">
      <w:pPr>
        <w:ind w:left="720"/>
      </w:pPr>
      <w:r>
        <w:rPr>
          <w:rFonts w:cs="Calibri"/>
        </w:rPr>
        <w:lastRenderedPageBreak/>
        <w:t>In both phases w</w:t>
      </w:r>
      <w:r w:rsidRPr="00C24EBC">
        <w:rPr>
          <w:rFonts w:cs="Calibri"/>
        </w:rPr>
        <w:t xml:space="preserve">e will seek to recruit a </w:t>
      </w:r>
      <w:r>
        <w:rPr>
          <w:rFonts w:cs="Calibri"/>
        </w:rPr>
        <w:t xml:space="preserve">consumer </w:t>
      </w:r>
      <w:r w:rsidRPr="00C24EBC">
        <w:rPr>
          <w:rFonts w:cs="Calibri"/>
        </w:rPr>
        <w:t xml:space="preserve">sample of 20% with a high school diploma or less to ensure diversity among educational groups. </w:t>
      </w:r>
      <w:r>
        <w:t xml:space="preserve">HCP </w:t>
      </w:r>
      <w:r w:rsidRPr="60D52F9B">
        <w:t xml:space="preserve">participants will </w:t>
      </w:r>
      <w:r>
        <w:t xml:space="preserve">be </w:t>
      </w:r>
      <w:r w:rsidRPr="00C24EBC">
        <w:rPr>
          <w:rFonts w:cs="Calibri"/>
        </w:rPr>
        <w:t>physicians, physician assistants and nurse practitioners</w:t>
      </w:r>
      <w:r w:rsidRPr="60D52F9B">
        <w:t xml:space="preserve"> </w:t>
      </w:r>
      <w:r>
        <w:t xml:space="preserve">who </w:t>
      </w:r>
      <w:r w:rsidRPr="60D52F9B">
        <w:t>engage in patient care at least 50% of the time</w:t>
      </w:r>
      <w:r>
        <w:t xml:space="preserve">. </w:t>
      </w:r>
      <w:r w:rsidRPr="60D52F9B">
        <w:t xml:space="preserve">We will aim to include a mix of demographic segments to ensure a diversity of viewpoints and backgrounds. </w:t>
      </w:r>
    </w:p>
    <w:p w:rsidR="00914317" w:rsidP="00914317" w:rsidRDefault="00914317" w14:paraId="447E72C0" w14:textId="77777777">
      <w:pPr>
        <w:ind w:left="720"/>
      </w:pPr>
    </w:p>
    <w:p w:rsidRPr="00BA16AA" w:rsidR="00945F04" w:rsidP="00914317" w:rsidRDefault="00914317" w14:paraId="4205059E" w14:textId="77777777">
      <w:pPr>
        <w:ind w:left="720"/>
      </w:pPr>
      <w:r>
        <w:t xml:space="preserve">Participants who </w:t>
      </w:r>
      <w:r w:rsidRPr="60D52F9B">
        <w:t>work for a pharmaceutical company, marketing firm, or the Department of Health and Human Services</w:t>
      </w:r>
      <w:r>
        <w:t xml:space="preserve">, or have participated in recent </w:t>
      </w:r>
      <w:r w:rsidR="00847BDF">
        <w:t xml:space="preserve">(within the last three months) </w:t>
      </w:r>
      <w:r>
        <w:t>focus groups will be excluded</w:t>
      </w:r>
      <w:r w:rsidRPr="60D52F9B">
        <w:t xml:space="preserve">. </w:t>
      </w:r>
      <w:r>
        <w:t>Consumer participants who identify as HCP</w:t>
      </w:r>
      <w:r w:rsidR="001A2095">
        <w:t>s</w:t>
      </w:r>
      <w:r>
        <w:t xml:space="preserve"> will also be excluded from the consumer sample. </w:t>
      </w:r>
      <w:r w:rsidRPr="00BA16AA" w:rsidR="005871C6">
        <w:t xml:space="preserve">We will also exclude pretest participants from the main studies, and participants will not be able to participate in both </w:t>
      </w:r>
      <w:r>
        <w:t>Phases</w:t>
      </w:r>
      <w:r w:rsidRPr="00BA16AA" w:rsidR="005871C6">
        <w:t xml:space="preserve"> 1 and 2. See </w:t>
      </w:r>
      <w:r w:rsidRPr="00134FF2" w:rsidR="005871C6">
        <w:t xml:space="preserve">Appendix </w:t>
      </w:r>
      <w:r w:rsidRPr="00134FF2" w:rsidR="001C36C6">
        <w:t>C</w:t>
      </w:r>
      <w:r w:rsidRPr="00BA16AA" w:rsidR="005871C6">
        <w:t xml:space="preserve"> for the study screener.</w:t>
      </w:r>
    </w:p>
    <w:p w:rsidRPr="00BA16AA" w:rsidR="005871C6" w:rsidP="001311C3" w:rsidRDefault="005871C6" w14:paraId="55B55E61" w14:textId="77777777">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BA16AA" w:rsidR="00BC79AD" w:rsidP="001311C3" w:rsidRDefault="003C66FE" w14:paraId="29F2A33B" w14:textId="77777777">
      <w:pPr>
        <w:shd w:val="clear" w:color="auto" w:fill="FFFFFF"/>
        <w:spacing w:line="480" w:lineRule="auto"/>
        <w:ind w:left="720"/>
        <w:jc w:val="center"/>
        <w:rPr>
          <w:b/>
        </w:rPr>
      </w:pPr>
      <w:r>
        <w:rPr>
          <w:b/>
        </w:rPr>
        <w:t>Research Questions</w:t>
      </w:r>
    </w:p>
    <w:p w:rsidR="00255D82" w:rsidP="003C66FE" w:rsidRDefault="00847BDF" w14:paraId="5C6CC8CD" w14:textId="77777777">
      <w:pPr>
        <w:ind w:left="720"/>
      </w:pPr>
      <w:r>
        <w:t>Phase</w:t>
      </w:r>
      <w:r w:rsidR="00255D82">
        <w:t>1 Research Questions:</w:t>
      </w:r>
    </w:p>
    <w:p w:rsidR="00255D82" w:rsidP="003C66FE" w:rsidRDefault="00255D82" w14:paraId="54604D6B" w14:textId="77777777">
      <w:pPr>
        <w:ind w:left="720"/>
      </w:pPr>
    </w:p>
    <w:p w:rsidR="00255D82" w:rsidP="003C66FE" w:rsidRDefault="002B057D" w14:paraId="0D86DFC2" w14:textId="77777777">
      <w:pPr>
        <w:ind w:left="720"/>
        <w:rPr>
          <w:szCs w:val="20"/>
        </w:rPr>
      </w:pPr>
      <w:r>
        <w:rPr>
          <w:szCs w:val="20"/>
        </w:rPr>
        <w:t>RQ1</w:t>
      </w:r>
      <w:r w:rsidR="00A95288">
        <w:rPr>
          <w:szCs w:val="20"/>
        </w:rPr>
        <w:t>a</w:t>
      </w:r>
      <w:r>
        <w:rPr>
          <w:szCs w:val="20"/>
        </w:rPr>
        <w:t xml:space="preserve">: </w:t>
      </w:r>
      <w:r w:rsidR="00255D82">
        <w:rPr>
          <w:szCs w:val="20"/>
        </w:rPr>
        <w:t>Does type of</w:t>
      </w:r>
      <w:r w:rsidRPr="00FE3328" w:rsidR="00255D82">
        <w:rPr>
          <w:szCs w:val="20"/>
        </w:rPr>
        <w:t xml:space="preserve"> </w:t>
      </w:r>
      <w:r w:rsidR="00255D82">
        <w:rPr>
          <w:szCs w:val="20"/>
        </w:rPr>
        <w:t xml:space="preserve">secondary claim </w:t>
      </w:r>
      <w:r w:rsidRPr="00FE3328" w:rsidR="00255D82">
        <w:rPr>
          <w:szCs w:val="20"/>
        </w:rPr>
        <w:t xml:space="preserve">disclosure affect consumer </w:t>
      </w:r>
      <w:r w:rsidR="00403EE1">
        <w:rPr>
          <w:szCs w:val="20"/>
        </w:rPr>
        <w:t>or</w:t>
      </w:r>
      <w:r w:rsidRPr="00FE3328" w:rsidR="00255D82">
        <w:rPr>
          <w:szCs w:val="20"/>
        </w:rPr>
        <w:t xml:space="preserve"> HCP</w:t>
      </w:r>
      <w:r w:rsidR="00255D82">
        <w:rPr>
          <w:szCs w:val="20"/>
        </w:rPr>
        <w:t xml:space="preserve"> outcomes (i.e., recall/recognition of drug benefit, recall/recognition of drug risk, comprehension, perceptions of drug: benefit, risk, efficacy; attitudes toward the drug, and behavioral intentions)</w:t>
      </w:r>
      <w:r w:rsidR="001A2095">
        <w:rPr>
          <w:szCs w:val="20"/>
        </w:rPr>
        <w:t>?</w:t>
      </w:r>
    </w:p>
    <w:p w:rsidR="00403EE1" w:rsidP="003C66FE" w:rsidRDefault="00403EE1" w14:paraId="0A42DFCF" w14:textId="77777777">
      <w:pPr>
        <w:ind w:left="720"/>
        <w:rPr>
          <w:szCs w:val="20"/>
        </w:rPr>
      </w:pPr>
    </w:p>
    <w:p w:rsidR="00403EE1" w:rsidP="00495C67" w:rsidRDefault="00403EE1" w14:paraId="4290C2DE" w14:textId="77777777">
      <w:pPr>
        <w:ind w:left="1440"/>
        <w:rPr>
          <w:szCs w:val="20"/>
        </w:rPr>
      </w:pPr>
      <w:r>
        <w:rPr>
          <w:szCs w:val="20"/>
        </w:rPr>
        <w:t>RQ1b: What factors (e.g., attribution, trust, health literacy, experience</w:t>
      </w:r>
      <w:r w:rsidR="00495C67">
        <w:rPr>
          <w:szCs w:val="20"/>
        </w:rPr>
        <w:t xml:space="preserve"> with drug</w:t>
      </w:r>
      <w:r>
        <w:rPr>
          <w:szCs w:val="20"/>
        </w:rPr>
        <w:t>) moderate the relationship between secondary claim disclosure and consumer or HCP outcomes</w:t>
      </w:r>
      <w:r w:rsidR="00495C67">
        <w:rPr>
          <w:szCs w:val="20"/>
        </w:rPr>
        <w:t>?</w:t>
      </w:r>
    </w:p>
    <w:p w:rsidR="002B057D" w:rsidP="003C66FE" w:rsidRDefault="002B057D" w14:paraId="4690A11B" w14:textId="77777777">
      <w:pPr>
        <w:ind w:left="720"/>
        <w:rPr>
          <w:szCs w:val="20"/>
        </w:rPr>
      </w:pPr>
    </w:p>
    <w:p w:rsidR="002B057D" w:rsidP="002B057D" w:rsidRDefault="002B057D" w14:paraId="35815636" w14:textId="77777777">
      <w:pPr>
        <w:ind w:left="720"/>
        <w:rPr>
          <w:szCs w:val="20"/>
        </w:rPr>
      </w:pPr>
      <w:r>
        <w:rPr>
          <w:szCs w:val="20"/>
        </w:rPr>
        <w:t>RQ2</w:t>
      </w:r>
      <w:r w:rsidR="00A95288">
        <w:rPr>
          <w:szCs w:val="20"/>
        </w:rPr>
        <w:t>a</w:t>
      </w:r>
      <w:r>
        <w:rPr>
          <w:szCs w:val="20"/>
        </w:rPr>
        <w:t>: Does</w:t>
      </w:r>
      <w:r w:rsidRPr="002D74EC">
        <w:rPr>
          <w:szCs w:val="20"/>
        </w:rPr>
        <w:t xml:space="preserve"> </w:t>
      </w:r>
      <w:r>
        <w:rPr>
          <w:szCs w:val="20"/>
        </w:rPr>
        <w:t>presence of a</w:t>
      </w:r>
      <w:r w:rsidRPr="002D74EC">
        <w:rPr>
          <w:szCs w:val="20"/>
        </w:rPr>
        <w:t xml:space="preserve"> comparative </w:t>
      </w:r>
      <w:r>
        <w:rPr>
          <w:szCs w:val="20"/>
        </w:rPr>
        <w:t>statement</w:t>
      </w:r>
      <w:r w:rsidRPr="002D74EC">
        <w:rPr>
          <w:szCs w:val="20"/>
        </w:rPr>
        <w:t xml:space="preserve"> in the disclosure affect </w:t>
      </w:r>
      <w:r>
        <w:rPr>
          <w:szCs w:val="20"/>
        </w:rPr>
        <w:t xml:space="preserve">consumer </w:t>
      </w:r>
      <w:r w:rsidR="00403EE1">
        <w:rPr>
          <w:szCs w:val="20"/>
        </w:rPr>
        <w:t>or</w:t>
      </w:r>
      <w:r>
        <w:rPr>
          <w:szCs w:val="20"/>
        </w:rPr>
        <w:t xml:space="preserve"> HCP</w:t>
      </w:r>
      <w:r w:rsidRPr="002B057D">
        <w:rPr>
          <w:szCs w:val="20"/>
        </w:rPr>
        <w:t xml:space="preserve"> </w:t>
      </w:r>
      <w:r>
        <w:rPr>
          <w:szCs w:val="20"/>
        </w:rPr>
        <w:t>outcomes (i.e., recall/recognition of drug benefit, recall/recognition of drug risk, comprehension, perceptions of drug: benefit, risk, efficacy; attitudes toward the drug, and behavioral intentions)</w:t>
      </w:r>
      <w:r w:rsidR="001A2095">
        <w:rPr>
          <w:szCs w:val="20"/>
        </w:rPr>
        <w:t>?</w:t>
      </w:r>
    </w:p>
    <w:p w:rsidR="00495C67" w:rsidP="00495C67" w:rsidRDefault="00495C67" w14:paraId="3DD52172" w14:textId="77777777">
      <w:pPr>
        <w:ind w:left="720"/>
        <w:rPr>
          <w:szCs w:val="20"/>
        </w:rPr>
      </w:pPr>
      <w:r>
        <w:rPr>
          <w:szCs w:val="20"/>
        </w:rPr>
        <w:tab/>
      </w:r>
    </w:p>
    <w:p w:rsidR="00495C67" w:rsidP="00495C67" w:rsidRDefault="00495C67" w14:paraId="3470E55C" w14:textId="77777777">
      <w:pPr>
        <w:ind w:left="1440"/>
        <w:rPr>
          <w:szCs w:val="20"/>
        </w:rPr>
      </w:pPr>
      <w:r>
        <w:rPr>
          <w:szCs w:val="20"/>
        </w:rPr>
        <w:t>RQ2b: What factors (e.g., attribution, trust, health literacy, experience with drug) moderate the relationship between comparative statement in the disclosure and consumer or HCP outcomes?</w:t>
      </w:r>
    </w:p>
    <w:p w:rsidR="00495C67" w:rsidP="002B057D" w:rsidRDefault="00495C67" w14:paraId="6A1BD72E" w14:textId="77777777">
      <w:pPr>
        <w:ind w:left="720"/>
        <w:rPr>
          <w:szCs w:val="20"/>
        </w:rPr>
      </w:pPr>
    </w:p>
    <w:p w:rsidR="002B057D" w:rsidP="002B057D" w:rsidRDefault="002B057D" w14:paraId="491AFAF8" w14:textId="77777777">
      <w:pPr>
        <w:ind w:left="720"/>
        <w:rPr>
          <w:szCs w:val="20"/>
        </w:rPr>
      </w:pPr>
      <w:r>
        <w:rPr>
          <w:szCs w:val="20"/>
        </w:rPr>
        <w:t xml:space="preserve">RQ3: </w:t>
      </w:r>
      <w:r w:rsidRPr="00EB483E">
        <w:rPr>
          <w:szCs w:val="20"/>
        </w:rPr>
        <w:t>Is there an interaction effect between secondary claim disclosure and comparative statement on</w:t>
      </w:r>
      <w:r w:rsidRPr="005F77D7">
        <w:rPr>
          <w:szCs w:val="20"/>
        </w:rPr>
        <w:t xml:space="preserve"> consumer and HCP</w:t>
      </w:r>
      <w:r>
        <w:rPr>
          <w:szCs w:val="20"/>
        </w:rPr>
        <w:t xml:space="preserve"> outcomes?</w:t>
      </w:r>
    </w:p>
    <w:p w:rsidR="00403EE1" w:rsidP="002B057D" w:rsidRDefault="00403EE1" w14:paraId="2B1ACE37" w14:textId="77777777">
      <w:pPr>
        <w:ind w:left="720"/>
        <w:rPr>
          <w:szCs w:val="20"/>
        </w:rPr>
      </w:pPr>
    </w:p>
    <w:p w:rsidR="002B057D" w:rsidP="002B057D" w:rsidRDefault="00847BDF" w14:paraId="3E65F0D1" w14:textId="77777777">
      <w:pPr>
        <w:ind w:left="720"/>
        <w:rPr>
          <w:szCs w:val="20"/>
        </w:rPr>
      </w:pPr>
      <w:r>
        <w:rPr>
          <w:szCs w:val="20"/>
        </w:rPr>
        <w:t>Phase 2</w:t>
      </w:r>
      <w:r w:rsidR="002B057D">
        <w:rPr>
          <w:szCs w:val="20"/>
        </w:rPr>
        <w:t xml:space="preserve"> Research Questions:</w:t>
      </w:r>
    </w:p>
    <w:p w:rsidR="00495C67" w:rsidP="002B057D" w:rsidRDefault="00495C67" w14:paraId="67D45DC9" w14:textId="77777777">
      <w:pPr>
        <w:ind w:left="720"/>
        <w:rPr>
          <w:szCs w:val="20"/>
        </w:rPr>
      </w:pPr>
    </w:p>
    <w:p w:rsidR="002B057D" w:rsidP="00495C67" w:rsidRDefault="00495C67" w14:paraId="591EDC62" w14:textId="77777777">
      <w:pPr>
        <w:ind w:left="720"/>
        <w:rPr>
          <w:szCs w:val="20"/>
        </w:rPr>
      </w:pPr>
      <w:r>
        <w:rPr>
          <w:szCs w:val="20"/>
        </w:rPr>
        <w:t>RQ1</w:t>
      </w:r>
      <w:r w:rsidR="00A95288">
        <w:rPr>
          <w:szCs w:val="20"/>
        </w:rPr>
        <w:t>a</w:t>
      </w:r>
      <w:r>
        <w:rPr>
          <w:szCs w:val="20"/>
        </w:rPr>
        <w:t xml:space="preserve">: </w:t>
      </w:r>
      <w:r>
        <w:t>Does identification of the drug as a biosimilar</w:t>
      </w:r>
      <w:r w:rsidRPr="00332CD4">
        <w:t xml:space="preserve"> affect consumer </w:t>
      </w:r>
      <w:r>
        <w:t>or</w:t>
      </w:r>
      <w:r w:rsidRPr="00332CD4">
        <w:t xml:space="preserve"> HCP </w:t>
      </w:r>
      <w:r>
        <w:t>outcomes (</w:t>
      </w:r>
      <w:r>
        <w:rPr>
          <w:szCs w:val="20"/>
        </w:rPr>
        <w:t>comprehension, perceptions of drug: benefit, risk, efficacy; attitudes toward the drug, and behavioral intentions)?</w:t>
      </w:r>
    </w:p>
    <w:p w:rsidR="001A2095" w:rsidP="00495C67" w:rsidRDefault="001A2095" w14:paraId="0FF978D1" w14:textId="77777777">
      <w:pPr>
        <w:ind w:left="720"/>
        <w:rPr>
          <w:szCs w:val="20"/>
        </w:rPr>
      </w:pPr>
    </w:p>
    <w:p w:rsidR="00495C67" w:rsidP="00495C67" w:rsidRDefault="00495C67" w14:paraId="709C9BE6" w14:textId="77777777">
      <w:pPr>
        <w:ind w:left="1440"/>
        <w:rPr>
          <w:szCs w:val="20"/>
        </w:rPr>
      </w:pPr>
      <w:r>
        <w:rPr>
          <w:szCs w:val="20"/>
        </w:rPr>
        <w:lastRenderedPageBreak/>
        <w:t>RQ1b: What factors (e.g., attribution, trust, health literacy, experience with drug, familiarity with or prescribe biosimilars, disease experience) moderate the relationship between biosimilar identification and consumer or HCP outcomes?</w:t>
      </w:r>
    </w:p>
    <w:p w:rsidR="00495C67" w:rsidP="00495C67" w:rsidRDefault="00495C67" w14:paraId="4315CCAD" w14:textId="77777777">
      <w:pPr>
        <w:ind w:left="720"/>
        <w:rPr>
          <w:szCs w:val="20"/>
        </w:rPr>
      </w:pPr>
    </w:p>
    <w:p w:rsidR="00495C67" w:rsidP="00495C67" w:rsidRDefault="00495C67" w14:paraId="3659E815" w14:textId="77777777">
      <w:pPr>
        <w:ind w:left="720"/>
        <w:rPr>
          <w:szCs w:val="20"/>
        </w:rPr>
      </w:pPr>
      <w:r>
        <w:rPr>
          <w:szCs w:val="20"/>
        </w:rPr>
        <w:t>RQ2</w:t>
      </w:r>
      <w:r w:rsidR="00A95288">
        <w:rPr>
          <w:szCs w:val="20"/>
        </w:rPr>
        <w:t>a</w:t>
      </w:r>
      <w:r>
        <w:rPr>
          <w:szCs w:val="20"/>
        </w:rPr>
        <w:t xml:space="preserve">: </w:t>
      </w:r>
      <w:r>
        <w:t>Does biosimilar</w:t>
      </w:r>
      <w:r w:rsidRPr="00332CD4">
        <w:t xml:space="preserve"> </w:t>
      </w:r>
      <w:r>
        <w:t xml:space="preserve">definition </w:t>
      </w:r>
      <w:r w:rsidRPr="00332CD4">
        <w:t xml:space="preserve">affect consumer </w:t>
      </w:r>
      <w:r>
        <w:t>or</w:t>
      </w:r>
      <w:r w:rsidRPr="00332CD4">
        <w:t xml:space="preserve"> HCP </w:t>
      </w:r>
      <w:r>
        <w:t>outcomes (</w:t>
      </w:r>
      <w:r>
        <w:rPr>
          <w:szCs w:val="20"/>
        </w:rPr>
        <w:t>comprehension, perceptions of drug: benefit, risk, efficacy; attitudes toward the drug, and behavioral intentions)?</w:t>
      </w:r>
    </w:p>
    <w:p w:rsidR="00495C67" w:rsidP="00495C67" w:rsidRDefault="00495C67" w14:paraId="3229424D" w14:textId="77777777">
      <w:pPr>
        <w:ind w:left="720"/>
        <w:rPr>
          <w:szCs w:val="20"/>
        </w:rPr>
      </w:pPr>
    </w:p>
    <w:p w:rsidR="00495C67" w:rsidP="00495C67" w:rsidRDefault="00495C67" w14:paraId="73E14130" w14:textId="77777777">
      <w:pPr>
        <w:ind w:left="1440"/>
        <w:rPr>
          <w:szCs w:val="20"/>
        </w:rPr>
      </w:pPr>
      <w:r>
        <w:rPr>
          <w:szCs w:val="20"/>
        </w:rPr>
        <w:t>RQ2b: What factors (e.g., attribution, trust, health literacy, experience with drug, familiarity with or prescribe biosimilars, disease experience) moderate the relationship between biosimilar definition and consumer or HCP outcomes?</w:t>
      </w:r>
    </w:p>
    <w:p w:rsidR="00495C67" w:rsidP="00495C67" w:rsidRDefault="00495C67" w14:paraId="238EB7A4" w14:textId="77777777">
      <w:pPr>
        <w:ind w:left="720"/>
        <w:rPr>
          <w:szCs w:val="20"/>
        </w:rPr>
      </w:pPr>
    </w:p>
    <w:p w:rsidR="00495C67" w:rsidP="00495C67" w:rsidRDefault="00495C67" w14:paraId="3527C2F4" w14:textId="77777777">
      <w:pPr>
        <w:ind w:left="720"/>
        <w:rPr>
          <w:szCs w:val="20"/>
        </w:rPr>
      </w:pPr>
      <w:r>
        <w:rPr>
          <w:szCs w:val="20"/>
        </w:rPr>
        <w:t>RQ3</w:t>
      </w:r>
      <w:r w:rsidR="00A95288">
        <w:rPr>
          <w:szCs w:val="20"/>
        </w:rPr>
        <w:t>a</w:t>
      </w:r>
      <w:r>
        <w:rPr>
          <w:szCs w:val="20"/>
        </w:rPr>
        <w:t xml:space="preserve">: </w:t>
      </w:r>
      <w:r>
        <w:t>Does naming the reference product in the biosimilar</w:t>
      </w:r>
      <w:r w:rsidRPr="00332CD4">
        <w:t xml:space="preserve"> </w:t>
      </w:r>
      <w:r>
        <w:t xml:space="preserve">disclosure </w:t>
      </w:r>
      <w:r w:rsidRPr="00332CD4">
        <w:t xml:space="preserve">affect consumer </w:t>
      </w:r>
      <w:r>
        <w:t>or</w:t>
      </w:r>
      <w:r w:rsidRPr="00332CD4">
        <w:t xml:space="preserve"> HCP </w:t>
      </w:r>
      <w:r>
        <w:t>outcomes (</w:t>
      </w:r>
      <w:r>
        <w:rPr>
          <w:szCs w:val="20"/>
        </w:rPr>
        <w:t>comprehension, perceptions of drug: benefit, risk, efficacy; attitudes toward the drug, and behavioral intentions)?</w:t>
      </w:r>
    </w:p>
    <w:p w:rsidR="00495C67" w:rsidP="00495C67" w:rsidRDefault="00495C67" w14:paraId="516EE335" w14:textId="77777777">
      <w:pPr>
        <w:ind w:left="1440"/>
        <w:rPr>
          <w:szCs w:val="20"/>
        </w:rPr>
      </w:pPr>
    </w:p>
    <w:p w:rsidR="00495C67" w:rsidP="00495C67" w:rsidRDefault="00495C67" w14:paraId="260F368E" w14:textId="77777777">
      <w:pPr>
        <w:ind w:left="1440"/>
        <w:rPr>
          <w:szCs w:val="20"/>
        </w:rPr>
      </w:pPr>
      <w:r>
        <w:rPr>
          <w:szCs w:val="20"/>
        </w:rPr>
        <w:t>RQ</w:t>
      </w:r>
      <w:r w:rsidR="00A95288">
        <w:rPr>
          <w:szCs w:val="20"/>
        </w:rPr>
        <w:t>3</w:t>
      </w:r>
      <w:r>
        <w:rPr>
          <w:szCs w:val="20"/>
        </w:rPr>
        <w:t xml:space="preserve">b: What factors (e.g., attribution, trust, health literacy, experience with drug, familiarity with or prescribe biosimilars, disease experience) moderate the relationship between </w:t>
      </w:r>
      <w:r>
        <w:t>naming the reference product in the biosimilar</w:t>
      </w:r>
      <w:r w:rsidRPr="00332CD4">
        <w:t xml:space="preserve"> </w:t>
      </w:r>
      <w:r>
        <w:t xml:space="preserve">disclosure </w:t>
      </w:r>
      <w:r>
        <w:rPr>
          <w:szCs w:val="20"/>
        </w:rPr>
        <w:t>and consumer or HCP outcomes?</w:t>
      </w:r>
    </w:p>
    <w:p w:rsidR="00495C67" w:rsidP="00495C67" w:rsidRDefault="00495C67" w14:paraId="30ACB84F" w14:textId="77777777">
      <w:pPr>
        <w:ind w:left="720"/>
        <w:rPr>
          <w:szCs w:val="20"/>
        </w:rPr>
      </w:pPr>
    </w:p>
    <w:p w:rsidR="00495C67" w:rsidP="00495C67" w:rsidRDefault="00495C67" w14:paraId="6D27768E" w14:textId="77777777">
      <w:pPr>
        <w:ind w:left="720"/>
        <w:rPr>
          <w:szCs w:val="20"/>
        </w:rPr>
      </w:pPr>
    </w:p>
    <w:p w:rsidR="00495C67" w:rsidP="00495C67" w:rsidRDefault="00495C67" w14:paraId="1DFC06D8" w14:textId="77777777">
      <w:pPr>
        <w:ind w:left="720"/>
        <w:rPr>
          <w:szCs w:val="20"/>
        </w:rPr>
      </w:pPr>
      <w:r>
        <w:rPr>
          <w:szCs w:val="20"/>
        </w:rPr>
        <w:t>RQ4: Which biosimilars disclosure is preferred for consumers and HCPs?</w:t>
      </w:r>
    </w:p>
    <w:p w:rsidR="00495C67" w:rsidP="00495C67" w:rsidRDefault="00495C67" w14:paraId="689F5D9D" w14:textId="77777777">
      <w:pPr>
        <w:ind w:left="720"/>
        <w:rPr>
          <w:szCs w:val="20"/>
        </w:rPr>
      </w:pPr>
    </w:p>
    <w:p w:rsidRPr="004942E0" w:rsidR="00914317" w:rsidP="003C66FE" w:rsidRDefault="00914317" w14:paraId="44D7455F" w14:textId="77777777">
      <w:pPr>
        <w:ind w:left="720"/>
      </w:pPr>
    </w:p>
    <w:p w:rsidRPr="00BA16AA" w:rsidR="00BC79AD" w:rsidP="001311C3" w:rsidRDefault="00BC79AD" w14:paraId="118D3896" w14:textId="77777777">
      <w:pPr>
        <w:shd w:val="clear" w:color="auto" w:fill="FFFFFF"/>
        <w:tabs>
          <w:tab w:val="left" w:pos="720"/>
        </w:tabs>
        <w:spacing w:line="480" w:lineRule="auto"/>
        <w:ind w:left="720"/>
        <w:contextualSpacing/>
        <w:jc w:val="center"/>
        <w:rPr>
          <w:b/>
        </w:rPr>
      </w:pPr>
      <w:r w:rsidRPr="00BA16AA">
        <w:rPr>
          <w:b/>
        </w:rPr>
        <w:t>Analysis Plan</w:t>
      </w:r>
    </w:p>
    <w:p w:rsidR="006D1839" w:rsidP="00914317" w:rsidRDefault="0082658B" w14:paraId="71C09B9F" w14:textId="77777777">
      <w:pPr>
        <w:shd w:val="clear" w:color="auto" w:fill="FFFFFF"/>
        <w:tabs>
          <w:tab w:val="left" w:pos="720"/>
        </w:tabs>
        <w:ind w:left="720"/>
      </w:pPr>
      <w:r w:rsidRPr="00BA16AA">
        <w:t>We will conduct AN</w:t>
      </w:r>
      <w:r w:rsidR="00134FF2">
        <w:t>C</w:t>
      </w:r>
      <w:r w:rsidRPr="00BA16AA">
        <w:t xml:space="preserve">OVAs </w:t>
      </w:r>
      <w:r w:rsidRPr="00BA16AA" w:rsidR="005D6ED9">
        <w:t>(for continuous variables)</w:t>
      </w:r>
      <w:r w:rsidR="00914317">
        <w:t>,</w:t>
      </w:r>
      <w:r w:rsidRPr="00BA16AA" w:rsidR="005D6ED9">
        <w:t xml:space="preserve"> logistic regressions (for </w:t>
      </w:r>
      <w:r w:rsidR="00914317">
        <w:t>categorical</w:t>
      </w:r>
      <w:r w:rsidRPr="00BA16AA" w:rsidR="005D6ED9">
        <w:t xml:space="preserve"> variables) </w:t>
      </w:r>
      <w:r w:rsidRPr="00BA16AA">
        <w:t>with interaction terms</w:t>
      </w:r>
      <w:r w:rsidR="00CC166E">
        <w:t>,</w:t>
      </w:r>
      <w:r w:rsidRPr="00BA16AA">
        <w:t xml:space="preserve"> and planned comparisons to </w:t>
      </w:r>
      <w:r w:rsidR="007A7AD8">
        <w:t xml:space="preserve">address </w:t>
      </w:r>
      <w:r w:rsidR="005E79FD">
        <w:t xml:space="preserve">the </w:t>
      </w:r>
      <w:r w:rsidR="007A7AD8">
        <w:t xml:space="preserve">research questions </w:t>
      </w:r>
      <w:r w:rsidRPr="00BA16AA">
        <w:t>outline</w:t>
      </w:r>
      <w:r w:rsidR="007A7AD8">
        <w:t>d</w:t>
      </w:r>
      <w:r w:rsidRPr="00BA16AA">
        <w:t xml:space="preserve"> above. </w:t>
      </w:r>
      <w:r w:rsidR="00EB09D4">
        <w:t>To conserve sample</w:t>
      </w:r>
      <w:r w:rsidR="00CC166E">
        <w:t xml:space="preserve"> </w:t>
      </w:r>
      <w:r w:rsidR="00F40318">
        <w:t xml:space="preserve">in Phase 1 </w:t>
      </w:r>
      <w:r w:rsidR="00CC166E">
        <w:t>and thus reduce the burden needed to recruit extra participants</w:t>
      </w:r>
      <w:r w:rsidR="00EB09D4">
        <w:t>, we plan combine the control conditions and analyze the design as a 3x2+1.</w:t>
      </w:r>
    </w:p>
    <w:p w:rsidRPr="00BA16AA" w:rsidR="005E79FD" w:rsidP="00914317" w:rsidRDefault="005E79FD" w14:paraId="051F0765" w14:textId="77777777">
      <w:pPr>
        <w:shd w:val="clear" w:color="auto" w:fill="FFFFFF"/>
        <w:tabs>
          <w:tab w:val="left" w:pos="720"/>
        </w:tabs>
        <w:ind w:left="720"/>
        <w:rPr>
          <w:b/>
        </w:rPr>
      </w:pPr>
    </w:p>
    <w:p w:rsidRPr="00BA16AA" w:rsidR="00E05FEE" w:rsidP="001311C3" w:rsidRDefault="00981612" w14:paraId="126B5F12" w14:textId="77777777">
      <w:pPr>
        <w:shd w:val="clear" w:color="auto" w:fill="FFFFFF"/>
        <w:tabs>
          <w:tab w:val="left" w:pos="720"/>
        </w:tabs>
        <w:ind w:left="720"/>
        <w:jc w:val="center"/>
        <w:rPr>
          <w:b/>
        </w:rPr>
      </w:pPr>
      <w:r w:rsidRPr="00BA16AA">
        <w:rPr>
          <w:b/>
        </w:rPr>
        <w:t>Power</w:t>
      </w:r>
    </w:p>
    <w:p w:rsidR="009E4E92" w:rsidP="009E4E92" w:rsidRDefault="009E4E92" w14:paraId="3C2B03EA" w14:textId="77777777">
      <w:pPr>
        <w:pStyle w:val="L1-FlLSp12"/>
        <w:spacing w:line="240" w:lineRule="auto"/>
        <w:ind w:left="720"/>
        <w:rPr>
          <w:rFonts w:ascii="Times New Roman" w:hAnsi="Times New Roman"/>
        </w:rPr>
      </w:pPr>
    </w:p>
    <w:p w:rsidR="00914317" w:rsidP="00DD1B43" w:rsidRDefault="00E1114B" w14:paraId="594201B2" w14:textId="77777777">
      <w:pPr>
        <w:pStyle w:val="BodyText"/>
        <w:kinsoku w:val="0"/>
        <w:overflowPunct w:val="0"/>
        <w:spacing w:after="0"/>
        <w:ind w:left="720"/>
        <w:rPr>
          <w:rFonts w:cs="Calibri"/>
        </w:rPr>
      </w:pPr>
      <w:r w:rsidRPr="009E4E92">
        <w:t xml:space="preserve">A power analysis was </w:t>
      </w:r>
      <w:r w:rsidR="00E816AE">
        <w:t>conducted</w:t>
      </w:r>
      <w:r w:rsidRPr="009E4E92" w:rsidR="00E816AE">
        <w:t xml:space="preserve"> </w:t>
      </w:r>
      <w:r w:rsidRPr="009E4E92">
        <w:t xml:space="preserve">separately for each </w:t>
      </w:r>
      <w:r w:rsidR="00914317">
        <w:t xml:space="preserve">phase </w:t>
      </w:r>
      <w:r w:rsidRPr="009E4E92">
        <w:t xml:space="preserve">with an objective to detect </w:t>
      </w:r>
      <w:r w:rsidRPr="009E4E92" w:rsidR="009E4E92">
        <w:t xml:space="preserve">effect sizes between </w:t>
      </w:r>
      <w:r w:rsidRPr="009E4E92">
        <w:t xml:space="preserve">f = 0.15 </w:t>
      </w:r>
      <w:r w:rsidRPr="009E4E92" w:rsidR="009E4E92">
        <w:t>to f = .20</w:t>
      </w:r>
      <w:r w:rsidR="009E4E92">
        <w:t xml:space="preserve"> (see Cohen, 1988)</w:t>
      </w:r>
      <w:r w:rsidR="00EE4226">
        <w:rPr>
          <w:rStyle w:val="FootnoteReference"/>
        </w:rPr>
        <w:footnoteReference w:id="1"/>
      </w:r>
      <w:r w:rsidRPr="009E4E92" w:rsidR="009E4E92">
        <w:t xml:space="preserve"> </w:t>
      </w:r>
      <w:r w:rsidRPr="009E4E92">
        <w:t>with a significance level of 0.05</w:t>
      </w:r>
      <w:r w:rsidRPr="009E4E92" w:rsidR="009E4E92">
        <w:t xml:space="preserve"> and power of 0.90</w:t>
      </w:r>
      <w:r w:rsidR="00396901">
        <w:t xml:space="preserve"> or higher</w:t>
      </w:r>
      <w:r w:rsidR="00DD1B43">
        <w:t xml:space="preserve">, </w:t>
      </w:r>
      <w:r w:rsidRPr="00914317" w:rsidR="00914317">
        <w:rPr>
          <w:rFonts w:cs="Calibri"/>
        </w:rPr>
        <w:t xml:space="preserve">taking into consideration the purpose, expected outcome measures, and potential key analyses. </w:t>
      </w:r>
      <w:r w:rsidR="00134FF2">
        <w:rPr>
          <w:rFonts w:cs="Calibri"/>
        </w:rPr>
        <w:t xml:space="preserve">The </w:t>
      </w:r>
      <w:r w:rsidRPr="00914317" w:rsidR="00914317">
        <w:rPr>
          <w:rFonts w:cs="Calibri"/>
        </w:rPr>
        <w:t xml:space="preserve">Phase 1 </w:t>
      </w:r>
      <w:r w:rsidR="00E816AE">
        <w:rPr>
          <w:rFonts w:cs="Calibri"/>
        </w:rPr>
        <w:t xml:space="preserve">main study </w:t>
      </w:r>
      <w:r w:rsidRPr="00914317" w:rsidR="00914317">
        <w:rPr>
          <w:rFonts w:cs="Calibri"/>
        </w:rPr>
        <w:t>include</w:t>
      </w:r>
      <w:r w:rsidR="00DD1B43">
        <w:rPr>
          <w:rFonts w:cs="Calibri"/>
        </w:rPr>
        <w:t>s</w:t>
      </w:r>
      <w:r w:rsidRPr="00914317" w:rsidR="00914317">
        <w:rPr>
          <w:rFonts w:cs="Calibri"/>
        </w:rPr>
        <w:t xml:space="preserve"> </w:t>
      </w:r>
      <w:r w:rsidR="00E816AE">
        <w:rPr>
          <w:rFonts w:cs="Calibri"/>
        </w:rPr>
        <w:t>45</w:t>
      </w:r>
      <w:r w:rsidRPr="00914317" w:rsidR="00E816AE">
        <w:rPr>
          <w:rFonts w:cs="Calibri"/>
        </w:rPr>
        <w:t xml:space="preserve">0 </w:t>
      </w:r>
      <w:r w:rsidRPr="00914317" w:rsidR="00914317">
        <w:rPr>
          <w:rFonts w:cs="Calibri"/>
        </w:rPr>
        <w:t xml:space="preserve">consumers and </w:t>
      </w:r>
      <w:r w:rsidR="00E816AE">
        <w:rPr>
          <w:rFonts w:cs="Calibri"/>
        </w:rPr>
        <w:t>45</w:t>
      </w:r>
      <w:r w:rsidRPr="00914317" w:rsidR="00E816AE">
        <w:rPr>
          <w:rFonts w:cs="Calibri"/>
        </w:rPr>
        <w:t xml:space="preserve">0 </w:t>
      </w:r>
      <w:r w:rsidRPr="00914317" w:rsidR="00914317">
        <w:rPr>
          <w:rFonts w:cs="Calibri"/>
        </w:rPr>
        <w:t>HCPs respectively. Given this sample size, we are able to detect moderately small effects</w:t>
      </w:r>
      <w:r w:rsidR="00E816AE">
        <w:rPr>
          <w:rFonts w:cs="Calibri"/>
        </w:rPr>
        <w:t xml:space="preserve"> for the two factors</w:t>
      </w:r>
      <w:r w:rsidRPr="00914317" w:rsidR="00914317">
        <w:rPr>
          <w:rFonts w:cs="Calibri"/>
        </w:rPr>
        <w:t>. Specifically, assuming an alpha of 0.05 and a power level of 0.90, we would be able to detect a</w:t>
      </w:r>
      <w:r w:rsidR="00E816AE">
        <w:rPr>
          <w:rFonts w:cs="Calibri"/>
        </w:rPr>
        <w:t>n</w:t>
      </w:r>
      <w:r w:rsidRPr="00914317" w:rsidR="00914317">
        <w:rPr>
          <w:rFonts w:cs="Calibri"/>
        </w:rPr>
        <w:t xml:space="preserve"> effect size of f = 0.</w:t>
      </w:r>
      <w:r w:rsidRPr="00914317" w:rsidR="00E816AE">
        <w:rPr>
          <w:rFonts w:cs="Calibri"/>
        </w:rPr>
        <w:t>2</w:t>
      </w:r>
      <w:r w:rsidR="00E816AE">
        <w:rPr>
          <w:rFonts w:cs="Calibri"/>
        </w:rPr>
        <w:t>1</w:t>
      </w:r>
      <w:r w:rsidRPr="00914317" w:rsidR="00E816AE">
        <w:rPr>
          <w:rFonts w:cs="Calibri"/>
        </w:rPr>
        <w:t xml:space="preserve"> </w:t>
      </w:r>
      <w:r w:rsidRPr="00914317" w:rsidR="00914317">
        <w:rPr>
          <w:rFonts w:cs="Calibri"/>
        </w:rPr>
        <w:t xml:space="preserve">for the main effect of the </w:t>
      </w:r>
      <w:r w:rsidR="00E816AE">
        <w:rPr>
          <w:rFonts w:cs="Calibri"/>
        </w:rPr>
        <w:t xml:space="preserve">secondary claim </w:t>
      </w:r>
      <w:r w:rsidRPr="00914317" w:rsidR="00914317">
        <w:rPr>
          <w:rFonts w:cs="Calibri"/>
        </w:rPr>
        <w:t xml:space="preserve">disclosure and an effect size of f = 0.17 for the main effect of the </w:t>
      </w:r>
      <w:r w:rsidR="00E816AE">
        <w:rPr>
          <w:rFonts w:cs="Calibri"/>
        </w:rPr>
        <w:t>comparative</w:t>
      </w:r>
      <w:r w:rsidRPr="00914317" w:rsidR="00E816AE">
        <w:rPr>
          <w:rFonts w:cs="Calibri"/>
        </w:rPr>
        <w:t xml:space="preserve"> </w:t>
      </w:r>
      <w:r w:rsidRPr="00914317" w:rsidR="00914317">
        <w:rPr>
          <w:rFonts w:cs="Calibri"/>
        </w:rPr>
        <w:t>claim on proposed continuous outcomes.</w:t>
      </w:r>
      <w:r w:rsidR="00DD1B43">
        <w:rPr>
          <w:rFonts w:cs="Calibri"/>
        </w:rPr>
        <w:t xml:space="preserve"> </w:t>
      </w:r>
      <w:r w:rsidR="00E816AE">
        <w:rPr>
          <w:rFonts w:cs="Calibri"/>
        </w:rPr>
        <w:t xml:space="preserve">We would also be able to </w:t>
      </w:r>
      <w:r w:rsidR="00E816AE">
        <w:rPr>
          <w:rFonts w:cs="Calibri"/>
        </w:rPr>
        <w:lastRenderedPageBreak/>
        <w:t xml:space="preserve">detect an effect size of f=.19 for the interaction effect between the two factors. When comparing the control condition with each of the secondary claim disclosure conditions, we would be able to detect an effect of f = .22, assuming </w:t>
      </w:r>
      <w:r w:rsidRPr="00914317" w:rsidR="00E816AE">
        <w:rPr>
          <w:rFonts w:cs="Calibri"/>
        </w:rPr>
        <w:t>an alpha of 0.0</w:t>
      </w:r>
      <w:r w:rsidR="00E816AE">
        <w:rPr>
          <w:rFonts w:cs="Calibri"/>
        </w:rPr>
        <w:t>167 (adjusted for three pairwise comparisons)</w:t>
      </w:r>
      <w:r w:rsidRPr="00914317" w:rsidR="00E816AE">
        <w:rPr>
          <w:rFonts w:cs="Calibri"/>
        </w:rPr>
        <w:t xml:space="preserve"> and a power level of 0.90</w:t>
      </w:r>
      <w:r w:rsidR="00E816AE">
        <w:rPr>
          <w:rFonts w:cs="Calibri"/>
        </w:rPr>
        <w:t xml:space="preserve">. When comparing the control condition with each of the comparative claim conditions, we would be able to detect an effect of f = .24, assuming </w:t>
      </w:r>
      <w:r w:rsidRPr="00914317" w:rsidR="00E816AE">
        <w:rPr>
          <w:rFonts w:cs="Calibri"/>
        </w:rPr>
        <w:t>an alpha of 0.0</w:t>
      </w:r>
      <w:r w:rsidR="00E816AE">
        <w:rPr>
          <w:rFonts w:cs="Calibri"/>
        </w:rPr>
        <w:t>25 (adjusted for two pairwise comparisons)</w:t>
      </w:r>
      <w:r w:rsidRPr="00914317" w:rsidR="00E816AE">
        <w:rPr>
          <w:rFonts w:cs="Calibri"/>
        </w:rPr>
        <w:t xml:space="preserve"> and a power level of 0.90</w:t>
      </w:r>
      <w:r w:rsidR="00E816AE">
        <w:rPr>
          <w:rFonts w:cs="Calibri"/>
        </w:rPr>
        <w:t xml:space="preserve">. </w:t>
      </w:r>
      <w:r w:rsidRPr="00914317" w:rsidR="00914317">
        <w:rPr>
          <w:rFonts w:cs="Calibri"/>
        </w:rPr>
        <w:t>These effect sizes are also consistent with Cohen’s (1988) definition of small effect size (e.g.,</w:t>
      </w:r>
      <w:r w:rsidRPr="00914317" w:rsidR="00914317">
        <w:rPr>
          <w:rFonts w:cs="Calibri"/>
          <w:i/>
          <w:iCs/>
        </w:rPr>
        <w:t xml:space="preserve"> f</w:t>
      </w:r>
      <w:r w:rsidRPr="00914317" w:rsidR="00914317">
        <w:rPr>
          <w:rFonts w:cs="Calibri"/>
        </w:rPr>
        <w:t xml:space="preserve"> between .10 and .24; .25 is considered a moderate effect size).</w:t>
      </w:r>
    </w:p>
    <w:p w:rsidRPr="00914317" w:rsidR="00DD1B43" w:rsidP="00DD1B43" w:rsidRDefault="00DD1B43" w14:paraId="5447F3C3" w14:textId="77777777">
      <w:pPr>
        <w:pStyle w:val="BodyText"/>
        <w:kinsoku w:val="0"/>
        <w:overflowPunct w:val="0"/>
        <w:spacing w:after="0"/>
        <w:ind w:left="720"/>
        <w:rPr>
          <w:rFonts w:cs="Calibri"/>
        </w:rPr>
      </w:pPr>
    </w:p>
    <w:p w:rsidR="003067FB" w:rsidP="00DD1B43" w:rsidRDefault="00914317" w14:paraId="675F6178" w14:textId="77777777">
      <w:pPr>
        <w:ind w:left="720"/>
      </w:pPr>
      <w:r w:rsidRPr="00914317">
        <w:rPr>
          <w:rFonts w:cs="Calibri"/>
        </w:rPr>
        <w:t xml:space="preserve">The Phase 2 </w:t>
      </w:r>
      <w:r w:rsidR="00CC166E">
        <w:rPr>
          <w:rFonts w:cs="Calibri"/>
        </w:rPr>
        <w:t xml:space="preserve">main study </w:t>
      </w:r>
      <w:r w:rsidRPr="00914317">
        <w:rPr>
          <w:rFonts w:cs="Calibri"/>
        </w:rPr>
        <w:t xml:space="preserve">includes </w:t>
      </w:r>
      <w:r w:rsidR="00E816AE">
        <w:rPr>
          <w:rFonts w:cs="Calibri"/>
        </w:rPr>
        <w:t>360</w:t>
      </w:r>
      <w:r w:rsidRPr="00914317" w:rsidR="00E816AE">
        <w:rPr>
          <w:rFonts w:cs="Calibri"/>
        </w:rPr>
        <w:t xml:space="preserve"> </w:t>
      </w:r>
      <w:r w:rsidRPr="00914317">
        <w:rPr>
          <w:rFonts w:cs="Calibri"/>
        </w:rPr>
        <w:t xml:space="preserve">consumers and </w:t>
      </w:r>
      <w:r w:rsidR="00E816AE">
        <w:rPr>
          <w:rFonts w:cs="Calibri"/>
        </w:rPr>
        <w:t xml:space="preserve">360 </w:t>
      </w:r>
      <w:r w:rsidRPr="00914317">
        <w:rPr>
          <w:rFonts w:cs="Calibri"/>
        </w:rPr>
        <w:t>HCPs. With this sample size, and assuming power level of 0.90, we would be able to detect an overall effect size f=.19 based on a p-value of .05 and an effect f=.24 assuming a Bonferroni adjusted p-value of 0.0018 based on 28 pairwise comparisons (.05/28 pairwise comparisons = .00178).</w:t>
      </w:r>
    </w:p>
    <w:p w:rsidRPr="00681993" w:rsidR="004C6979" w:rsidP="003067FB" w:rsidRDefault="00EB7538" w14:paraId="512B2C6F" w14:textId="77777777">
      <w:pPr>
        <w:numPr>
          <w:ilvl w:val="0"/>
          <w:numId w:val="2"/>
        </w:numPr>
        <w:shd w:val="clear" w:color="auto" w:fill="FFFFFF"/>
        <w:spacing w:before="100" w:beforeAutospacing="1" w:after="100" w:afterAutospacing="1"/>
        <w:rPr>
          <w:u w:val="single"/>
        </w:rPr>
      </w:pPr>
      <w:r w:rsidRPr="00BA16AA">
        <w:rPr>
          <w:u w:val="single"/>
        </w:rPr>
        <w:t xml:space="preserve">Methods to Maximize Response </w:t>
      </w:r>
      <w:r w:rsidRPr="00BA16AA" w:rsidR="004846BF">
        <w:rPr>
          <w:u w:val="single"/>
        </w:rPr>
        <w:t>Rates and Deal with Non</w:t>
      </w:r>
      <w:r w:rsidRPr="00BA16AA" w:rsidR="00E00EA0">
        <w:rPr>
          <w:u w:val="single"/>
        </w:rPr>
        <w:t>-</w:t>
      </w:r>
      <w:r w:rsidRPr="00BA16AA" w:rsidR="004846BF">
        <w:rPr>
          <w:u w:val="single"/>
        </w:rPr>
        <w:t>response</w:t>
      </w:r>
    </w:p>
    <w:p w:rsidRPr="00681993" w:rsidR="0021223F" w:rsidP="003067FB" w:rsidRDefault="005425B7" w14:paraId="00547120" w14:textId="77777777">
      <w:pPr>
        <w:pStyle w:val="NormalWeb"/>
        <w:shd w:val="clear" w:color="auto" w:fill="FFFFFF"/>
        <w:spacing w:before="0" w:beforeAutospacing="0" w:after="0" w:afterAutospacing="0"/>
        <w:ind w:left="720"/>
      </w:pPr>
      <w:r w:rsidRPr="00681993">
        <w:rPr>
          <w:color w:val="000000"/>
        </w:rPr>
        <w:t xml:space="preserve">The </w:t>
      </w:r>
      <w:r w:rsidR="00CC166E">
        <w:rPr>
          <w:color w:val="000000"/>
        </w:rPr>
        <w:t>study</w:t>
      </w:r>
      <w:r w:rsidRPr="00681993" w:rsidR="00423C0D">
        <w:rPr>
          <w:color w:val="000000"/>
        </w:rPr>
        <w:t xml:space="preserve"> will use </w:t>
      </w:r>
      <w:r w:rsidR="00DD1B43">
        <w:rPr>
          <w:color w:val="000000"/>
        </w:rPr>
        <w:t xml:space="preserve">an </w:t>
      </w:r>
      <w:r w:rsidRPr="00681993" w:rsidR="00423C0D">
        <w:rPr>
          <w:color w:val="000000"/>
        </w:rPr>
        <w:t xml:space="preserve">existing </w:t>
      </w:r>
      <w:r w:rsidRPr="00681993" w:rsidR="00907392">
        <w:rPr>
          <w:color w:val="000000"/>
        </w:rPr>
        <w:t>research</w:t>
      </w:r>
      <w:r w:rsidRPr="00681993" w:rsidR="00423C0D">
        <w:rPr>
          <w:color w:val="000000"/>
        </w:rPr>
        <w:t xml:space="preserve"> panel to draw a sample. The panel comprises individuals who </w:t>
      </w:r>
      <w:r w:rsidRPr="00681993" w:rsidR="00907392">
        <w:rPr>
          <w:color w:val="000000"/>
        </w:rPr>
        <w:t xml:space="preserve">have signed up to participate </w:t>
      </w:r>
      <w:r w:rsidR="008D62CD">
        <w:rPr>
          <w:color w:val="000000"/>
        </w:rPr>
        <w:t xml:space="preserve">voluntarily </w:t>
      </w:r>
      <w:r w:rsidRPr="00681993" w:rsidR="00907392">
        <w:rPr>
          <w:color w:val="000000"/>
        </w:rPr>
        <w:t xml:space="preserve">in </w:t>
      </w:r>
      <w:r w:rsidRPr="00681993" w:rsidR="00E773C0">
        <w:rPr>
          <w:color w:val="000000"/>
        </w:rPr>
        <w:t xml:space="preserve">online </w:t>
      </w:r>
      <w:r w:rsidRPr="00681993" w:rsidR="00907392">
        <w:rPr>
          <w:color w:val="000000"/>
        </w:rPr>
        <w:t>studies</w:t>
      </w:r>
      <w:r w:rsidRPr="00681993" w:rsidR="0021223F">
        <w:rPr>
          <w:color w:val="000000"/>
        </w:rPr>
        <w:t>. To help ensure that the par</w:t>
      </w:r>
      <w:r w:rsidRPr="00681993" w:rsidR="00423C0D">
        <w:rPr>
          <w:color w:val="000000"/>
        </w:rPr>
        <w:t>ticipation rate is as high as possible</w:t>
      </w:r>
      <w:r w:rsidRPr="00681993" w:rsidR="00423C0D">
        <w:t>, FDA will:</w:t>
      </w:r>
    </w:p>
    <w:p w:rsidRPr="00681993" w:rsidR="0021223F" w:rsidP="001311C3" w:rsidRDefault="0021223F" w14:paraId="42848116" w14:textId="77777777">
      <w:pPr>
        <w:pStyle w:val="NormalWeb"/>
        <w:shd w:val="clear" w:color="auto" w:fill="FFFFFF"/>
        <w:spacing w:before="0" w:beforeAutospacing="0" w:after="0" w:afterAutospacing="0"/>
        <w:ind w:left="360"/>
      </w:pPr>
    </w:p>
    <w:p w:rsidRPr="00681993" w:rsidR="0021223F" w:rsidP="001311C3" w:rsidRDefault="00423C0D" w14:paraId="70590620" w14:textId="77777777">
      <w:pPr>
        <w:pStyle w:val="NormalWeb"/>
        <w:numPr>
          <w:ilvl w:val="0"/>
          <w:numId w:val="44"/>
        </w:numPr>
        <w:shd w:val="clear" w:color="auto" w:fill="FFFFFF"/>
        <w:spacing w:before="0" w:beforeAutospacing="0" w:after="0" w:afterAutospacing="0"/>
      </w:pPr>
      <w:r w:rsidRPr="00681993">
        <w:t xml:space="preserve">Design an experimental protocol that minimizes burden (short in length, clearly written, and with appealing graphics); </w:t>
      </w:r>
    </w:p>
    <w:p w:rsidRPr="00681993" w:rsidR="0082658B" w:rsidP="001311C3" w:rsidRDefault="0082658B" w14:paraId="224CFFC0" w14:textId="77777777">
      <w:pPr>
        <w:pStyle w:val="NormalWeb"/>
        <w:numPr>
          <w:ilvl w:val="0"/>
          <w:numId w:val="44"/>
        </w:numPr>
        <w:shd w:val="clear" w:color="auto" w:fill="FFFFFF"/>
        <w:spacing w:before="0" w:beforeAutospacing="0" w:after="0" w:afterAutospacing="0"/>
      </w:pPr>
      <w:r w:rsidRPr="00681993">
        <w:t xml:space="preserve">Administer the </w:t>
      </w:r>
      <w:r w:rsidRPr="00681993" w:rsidR="005425B7">
        <w:t>pretests and main studies</w:t>
      </w:r>
      <w:r w:rsidRPr="00681993">
        <w:t xml:space="preserve"> over the Internet, allowing respondents to answer questions at a time </w:t>
      </w:r>
      <w:r w:rsidRPr="00681993" w:rsidR="00BF5A22">
        <w:t>and location of their choosing.</w:t>
      </w:r>
    </w:p>
    <w:p w:rsidRPr="00681993" w:rsidR="004C6979" w:rsidP="001311C3" w:rsidRDefault="00EB7538" w14:paraId="7EFC219E" w14:textId="77777777">
      <w:pPr>
        <w:numPr>
          <w:ilvl w:val="0"/>
          <w:numId w:val="2"/>
        </w:numPr>
        <w:shd w:val="clear" w:color="auto" w:fill="FFFFFF"/>
        <w:spacing w:before="100" w:beforeAutospacing="1" w:after="100" w:afterAutospacing="1"/>
        <w:rPr>
          <w:u w:val="single"/>
        </w:rPr>
      </w:pPr>
      <w:r w:rsidRPr="00681993">
        <w:rPr>
          <w:u w:val="single"/>
        </w:rPr>
        <w:t>Test of Procedu</w:t>
      </w:r>
      <w:r w:rsidRPr="00681993" w:rsidR="004846BF">
        <w:rPr>
          <w:u w:val="single"/>
        </w:rPr>
        <w:t>res or Methods to be Undertaken</w:t>
      </w:r>
    </w:p>
    <w:p w:rsidRPr="00681993" w:rsidR="00901043" w:rsidP="001311C3" w:rsidRDefault="005871C6" w14:paraId="29A2A56F" w14:textId="77777777">
      <w:pPr>
        <w:shd w:val="clear" w:color="auto" w:fill="FFFFFF"/>
        <w:spacing w:before="100" w:beforeAutospacing="1" w:after="100" w:afterAutospacing="1"/>
        <w:ind w:left="720"/>
      </w:pPr>
      <w:r>
        <w:t>W</w:t>
      </w:r>
      <w:r w:rsidRPr="00681993" w:rsidR="00675E2F">
        <w:t xml:space="preserve">e </w:t>
      </w:r>
      <w:r w:rsidR="007C13EC">
        <w:t>have</w:t>
      </w:r>
      <w:r w:rsidRPr="00681993" w:rsidR="00675E2F">
        <w:t xml:space="preserve"> conduct</w:t>
      </w:r>
      <w:r w:rsidR="007C13EC">
        <w:t>ed</w:t>
      </w:r>
      <w:r w:rsidRPr="00681993" w:rsidR="00675E2F">
        <w:t xml:space="preserve"> nine hour-long qualitative interviews to cognitively test the study stimuli and materials. </w:t>
      </w:r>
      <w:r w:rsidR="007C13EC">
        <w:t xml:space="preserve">Based on those interviews, we made changes to the questionnaire and study stimuli. </w:t>
      </w:r>
      <w:r w:rsidR="003C66FE">
        <w:t>W</w:t>
      </w:r>
      <w:r w:rsidRPr="00681993" w:rsidR="005425B7">
        <w:t xml:space="preserve">e will conduct </w:t>
      </w:r>
      <w:r w:rsidRPr="00681993" w:rsidR="00BF5A22">
        <w:t>pretest</w:t>
      </w:r>
      <w:r w:rsidR="00DD1B43">
        <w:t>ing</w:t>
      </w:r>
      <w:r w:rsidRPr="00681993" w:rsidR="00910CC3">
        <w:t xml:space="preserve"> to </w:t>
      </w:r>
      <w:r w:rsidRPr="00681993" w:rsidR="00BF5A22">
        <w:t>test the experimental manipulations and pilot the main study procedures</w:t>
      </w:r>
      <w:r w:rsidR="00DD1B43">
        <w:t xml:space="preserve"> in each phase</w:t>
      </w:r>
      <w:r w:rsidRPr="00681993" w:rsidR="00910CC3">
        <w:t xml:space="preserve">. </w:t>
      </w:r>
      <w:r w:rsidRPr="00681993" w:rsidR="00C76F75">
        <w:t>Final</w:t>
      </w:r>
      <w:r w:rsidRPr="00681993" w:rsidR="00BF5A22">
        <w:t xml:space="preserve">ly, we will run </w:t>
      </w:r>
      <w:r w:rsidRPr="00681993" w:rsidR="005425B7">
        <w:t xml:space="preserve">each </w:t>
      </w:r>
      <w:r w:rsidR="00DD1B43">
        <w:t>phase</w:t>
      </w:r>
      <w:r w:rsidRPr="00681993" w:rsidR="00C76F75">
        <w:t xml:space="preserve"> as described elsewhere in this document.</w:t>
      </w:r>
      <w:r w:rsidRPr="00681993" w:rsidR="00423C0D">
        <w:t xml:space="preserve"> </w:t>
      </w:r>
    </w:p>
    <w:p w:rsidRPr="00681993" w:rsidR="00423C0D" w:rsidP="001311C3" w:rsidRDefault="00EB7538" w14:paraId="5FB150B0" w14:textId="77777777">
      <w:pPr>
        <w:numPr>
          <w:ilvl w:val="0"/>
          <w:numId w:val="2"/>
        </w:numPr>
        <w:shd w:val="clear" w:color="auto" w:fill="FFFFFF"/>
        <w:spacing w:before="100" w:beforeAutospacing="1" w:after="100" w:afterAutospacing="1"/>
      </w:pPr>
      <w:r w:rsidRPr="00681993">
        <w:rPr>
          <w:u w:val="single"/>
        </w:rPr>
        <w:t>Individuals Consulted on Statistical Aspects and Individuals Collecting and/or Analyzing Data</w:t>
      </w:r>
    </w:p>
    <w:p w:rsidR="00423C0D" w:rsidP="001311C3" w:rsidRDefault="00423C0D" w14:paraId="30716713" w14:textId="77777777">
      <w:pPr>
        <w:shd w:val="clear" w:color="auto" w:fill="FFFFFF"/>
        <w:spacing w:before="100" w:beforeAutospacing="1" w:after="100" w:afterAutospacing="1"/>
        <w:ind w:left="720"/>
      </w:pPr>
      <w:r w:rsidRPr="00681993">
        <w:t xml:space="preserve">The contractor, </w:t>
      </w:r>
      <w:r w:rsidR="00DD1B43">
        <w:t>RTI International</w:t>
      </w:r>
      <w:r w:rsidRPr="00681993">
        <w:t xml:space="preserve">, will collect the data on behalf of FDA as a task order </w:t>
      </w:r>
      <w:r w:rsidRPr="00EA26F5">
        <w:t xml:space="preserve">under Contract </w:t>
      </w:r>
      <w:r w:rsidRPr="00DD1B43" w:rsidR="00DD1B43">
        <w:t>HHSF223201510002B</w:t>
      </w:r>
      <w:r w:rsidRPr="00EA26F5">
        <w:t xml:space="preserve">. </w:t>
      </w:r>
      <w:r w:rsidR="00DD1B43">
        <w:t>Jessica DeFrank</w:t>
      </w:r>
      <w:r w:rsidR="007C13EC">
        <w:t>, Ph.D.</w:t>
      </w:r>
      <w:r w:rsidRPr="00681993">
        <w:rPr>
          <w:noProof/>
        </w:rPr>
        <w:t xml:space="preserve">, </w:t>
      </w:r>
      <w:r w:rsidRPr="00681993">
        <w:t xml:space="preserve">is </w:t>
      </w:r>
      <w:r w:rsidRPr="00681993" w:rsidR="00C76F75">
        <w:t>the contractor’s</w:t>
      </w:r>
      <w:r w:rsidRPr="00681993">
        <w:t xml:space="preserve"> Project Director for this project</w:t>
      </w:r>
      <w:r w:rsidRPr="00681993">
        <w:rPr>
          <w:noProof/>
        </w:rPr>
        <w:t>.  Data</w:t>
      </w:r>
      <w:r w:rsidRPr="00681993">
        <w:rPr>
          <w:noProof/>
          <w:color w:val="000080"/>
        </w:rPr>
        <w:t xml:space="preserve"> </w:t>
      </w:r>
      <w:r w:rsidRPr="00681993">
        <w:t>analysis will be overseen by the Research Team, Office of Prescription Drug Promotion (OPDP), Office of Medical Policy, CDER, FDA, and coordinated</w:t>
      </w:r>
      <w:r w:rsidRPr="00681993" w:rsidR="00A718FB">
        <w:t xml:space="preserve"> by </w:t>
      </w:r>
      <w:r w:rsidRPr="00681993">
        <w:t xml:space="preserve">and </w:t>
      </w:r>
      <w:r w:rsidR="00EA26F5">
        <w:t>Kathryn Aikin</w:t>
      </w:r>
      <w:r w:rsidRPr="00681993">
        <w:t>, Ph.D., 301-796-</w:t>
      </w:r>
      <w:r w:rsidR="00EA26F5">
        <w:t>1200</w:t>
      </w:r>
      <w:r w:rsidR="007C13EC">
        <w:t xml:space="preserve"> and Amie O’Donoghue, Ph.D., 301-796-1200</w:t>
      </w:r>
      <w:r w:rsidRPr="00681993">
        <w:t>.</w:t>
      </w:r>
    </w:p>
    <w:p w:rsidRPr="004C6979" w:rsidR="00A718FB" w:rsidP="001311C3" w:rsidRDefault="00A718FB" w14:paraId="098C1667" w14:textId="77777777">
      <w:pPr>
        <w:shd w:val="clear" w:color="auto" w:fill="FFFFFF"/>
        <w:spacing w:before="100" w:beforeAutospacing="1" w:after="100" w:afterAutospacing="1"/>
        <w:ind w:left="720"/>
        <w:rPr>
          <w:b/>
        </w:rPr>
      </w:pPr>
    </w:p>
    <w:sectPr w:rsidRPr="004C6979" w:rsidR="00A718FB"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F28D0" w14:textId="77777777" w:rsidR="008C300D" w:rsidRDefault="008C300D">
      <w:r>
        <w:separator/>
      </w:r>
    </w:p>
  </w:endnote>
  <w:endnote w:type="continuationSeparator" w:id="0">
    <w:p w14:paraId="7734ADEE" w14:textId="77777777" w:rsidR="008C300D" w:rsidRDefault="008C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E9B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B2558"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76607"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F88">
      <w:rPr>
        <w:rStyle w:val="PageNumber"/>
        <w:noProof/>
      </w:rPr>
      <w:t>3</w:t>
    </w:r>
    <w:r>
      <w:rPr>
        <w:rStyle w:val="PageNumber"/>
      </w:rPr>
      <w:fldChar w:fldCharType="end"/>
    </w:r>
  </w:p>
  <w:p w14:paraId="7241E5FE"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4205E" w14:textId="77777777" w:rsidR="008C300D" w:rsidRDefault="008C300D">
      <w:r>
        <w:separator/>
      </w:r>
    </w:p>
  </w:footnote>
  <w:footnote w:type="continuationSeparator" w:id="0">
    <w:p w14:paraId="25898C71" w14:textId="77777777" w:rsidR="008C300D" w:rsidRDefault="008C300D">
      <w:r>
        <w:continuationSeparator/>
      </w:r>
    </w:p>
  </w:footnote>
  <w:footnote w:id="1">
    <w:p w14:paraId="23F32A54" w14:textId="0BCD72D6" w:rsidR="00EE4226" w:rsidRPr="00EE4226" w:rsidRDefault="00EE4226" w:rsidP="00EE4226">
      <w:pPr>
        <w:pStyle w:val="BodyText"/>
        <w:shd w:val="clear" w:color="auto" w:fill="FFFFFF"/>
        <w:tabs>
          <w:tab w:val="left" w:pos="720"/>
        </w:tabs>
        <w:kinsoku w:val="0"/>
        <w:overflowPunct w:val="0"/>
        <w:spacing w:after="0"/>
        <w:ind w:left="720"/>
        <w:rPr>
          <w:sz w:val="20"/>
          <w:szCs w:val="20"/>
        </w:rPr>
      </w:pPr>
      <w:r>
        <w:rPr>
          <w:rStyle w:val="FootnoteReference"/>
        </w:rPr>
        <w:footnoteRef/>
      </w:r>
      <w:r w:rsidRPr="00EE4226">
        <w:rPr>
          <w:sz w:val="20"/>
          <w:szCs w:val="20"/>
        </w:rPr>
        <w:t>Cohen, J. (1988). Statistical power analysis for the behavioral sciences (2nd ed.). Hillsdale, NJ: Erlbaum</w:t>
      </w:r>
      <w:r w:rsidRPr="00EE4226">
        <w:rPr>
          <w:rStyle w:val="CommentReference"/>
          <w:sz w:val="20"/>
          <w:szCs w:val="20"/>
        </w:rPr>
        <w:t/>
      </w:r>
      <w:r w:rsidRPr="00EE4226">
        <w:rPr>
          <w:sz w:val="20"/>
          <w:szCs w:val="20"/>
        </w:rPr>
        <w:t>.</w:t>
      </w:r>
    </w:p>
    <w:p w14:paraId="42AB8DA4" w14:textId="77777777" w:rsidR="00EE4226" w:rsidRDefault="00EE42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41126"/>
    <w:multiLevelType w:val="hybridMultilevel"/>
    <w:tmpl w:val="2C4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7"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015AFB"/>
    <w:multiLevelType w:val="hybridMultilevel"/>
    <w:tmpl w:val="4F783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8B1A41"/>
    <w:multiLevelType w:val="hybridMultilevel"/>
    <w:tmpl w:val="EDFA1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777081"/>
    <w:multiLevelType w:val="hybridMultilevel"/>
    <w:tmpl w:val="BC7C56BA"/>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297DBF"/>
    <w:multiLevelType w:val="hybridMultilevel"/>
    <w:tmpl w:val="7CF2AEDE"/>
    <w:lvl w:ilvl="0" w:tplc="253E0CAE">
      <w:start w:val="1"/>
      <w:numFmt w:val="decimal"/>
      <w:lvlText w:val="(%1)"/>
      <w:lvlJc w:val="left"/>
      <w:pPr>
        <w:ind w:left="450" w:hanging="360"/>
      </w:pPr>
      <w:rPr>
        <w:rFonts w:ascii="Franklin Gothic Medium" w:hAnsi="Franklin Gothic Medium" w:hint="default"/>
        <w:b/>
        <w:color w:val="DD481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6655C5"/>
    <w:multiLevelType w:val="hybridMultilevel"/>
    <w:tmpl w:val="801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31"/>
  </w:num>
  <w:num w:numId="7">
    <w:abstractNumId w:val="36"/>
  </w:num>
  <w:num w:numId="8">
    <w:abstractNumId w:val="9"/>
  </w:num>
  <w:num w:numId="9">
    <w:abstractNumId w:val="32"/>
  </w:num>
  <w:num w:numId="10">
    <w:abstractNumId w:val="26"/>
  </w:num>
  <w:num w:numId="11">
    <w:abstractNumId w:val="14"/>
  </w:num>
  <w:num w:numId="12">
    <w:abstractNumId w:val="41"/>
  </w:num>
  <w:num w:numId="13">
    <w:abstractNumId w:val="25"/>
  </w:num>
  <w:num w:numId="14">
    <w:abstractNumId w:val="13"/>
  </w:num>
  <w:num w:numId="15">
    <w:abstractNumId w:val="21"/>
  </w:num>
  <w:num w:numId="16">
    <w:abstractNumId w:val="20"/>
  </w:num>
  <w:num w:numId="17">
    <w:abstractNumId w:val="35"/>
  </w:num>
  <w:num w:numId="18">
    <w:abstractNumId w:val="40"/>
  </w:num>
  <w:num w:numId="19">
    <w:abstractNumId w:val="38"/>
  </w:num>
  <w:num w:numId="20">
    <w:abstractNumId w:val="24"/>
  </w:num>
  <w:num w:numId="21">
    <w:abstractNumId w:val="19"/>
  </w:num>
  <w:num w:numId="22">
    <w:abstractNumId w:val="5"/>
  </w:num>
  <w:num w:numId="23">
    <w:abstractNumId w:val="33"/>
  </w:num>
  <w:num w:numId="24">
    <w:abstractNumId w:val="28"/>
  </w:num>
  <w:num w:numId="25">
    <w:abstractNumId w:val="17"/>
  </w:num>
  <w:num w:numId="26">
    <w:abstractNumId w:val="11"/>
  </w:num>
  <w:num w:numId="27">
    <w:abstractNumId w:val="43"/>
  </w:num>
  <w:num w:numId="28">
    <w:abstractNumId w:val="34"/>
  </w:num>
  <w:num w:numId="29">
    <w:abstractNumId w:val="10"/>
  </w:num>
  <w:num w:numId="30">
    <w:abstractNumId w:val="23"/>
  </w:num>
  <w:num w:numId="31">
    <w:abstractNumId w:val="4"/>
  </w:num>
  <w:num w:numId="32">
    <w:abstractNumId w:val="2"/>
  </w:num>
  <w:num w:numId="33">
    <w:abstractNumId w:val="6"/>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3"/>
  </w:num>
  <w:num w:numId="39">
    <w:abstractNumId w:val="7"/>
  </w:num>
  <w:num w:numId="40">
    <w:abstractNumId w:val="39"/>
  </w:num>
  <w:num w:numId="41">
    <w:abstractNumId w:val="1"/>
  </w:num>
  <w:num w:numId="42">
    <w:abstractNumId w:val="18"/>
  </w:num>
  <w:num w:numId="43">
    <w:abstractNumId w:val="42"/>
  </w:num>
  <w:num w:numId="44">
    <w:abstractNumId w:val="29"/>
  </w:num>
  <w:num w:numId="45">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401"/>
    <w:rsid w:val="00012958"/>
    <w:rsid w:val="000321D3"/>
    <w:rsid w:val="000324D8"/>
    <w:rsid w:val="000358DF"/>
    <w:rsid w:val="00040160"/>
    <w:rsid w:val="000532C8"/>
    <w:rsid w:val="0006570F"/>
    <w:rsid w:val="000739A4"/>
    <w:rsid w:val="000840C7"/>
    <w:rsid w:val="00091CF2"/>
    <w:rsid w:val="000964BB"/>
    <w:rsid w:val="00096B8B"/>
    <w:rsid w:val="000B4906"/>
    <w:rsid w:val="000B7714"/>
    <w:rsid w:val="000D48FD"/>
    <w:rsid w:val="000D7569"/>
    <w:rsid w:val="000D7C58"/>
    <w:rsid w:val="000E1C64"/>
    <w:rsid w:val="000E36BA"/>
    <w:rsid w:val="000E75B0"/>
    <w:rsid w:val="000F6CA6"/>
    <w:rsid w:val="000F700B"/>
    <w:rsid w:val="00100739"/>
    <w:rsid w:val="00107885"/>
    <w:rsid w:val="00114FC4"/>
    <w:rsid w:val="0012329C"/>
    <w:rsid w:val="00123DE9"/>
    <w:rsid w:val="00127659"/>
    <w:rsid w:val="001311C3"/>
    <w:rsid w:val="0013231E"/>
    <w:rsid w:val="00132CEA"/>
    <w:rsid w:val="00134FA7"/>
    <w:rsid w:val="00134FF2"/>
    <w:rsid w:val="001369D2"/>
    <w:rsid w:val="001370ED"/>
    <w:rsid w:val="00137950"/>
    <w:rsid w:val="00142AA2"/>
    <w:rsid w:val="00152F29"/>
    <w:rsid w:val="0015453C"/>
    <w:rsid w:val="00165A9E"/>
    <w:rsid w:val="0016663D"/>
    <w:rsid w:val="00167BE3"/>
    <w:rsid w:val="0017237B"/>
    <w:rsid w:val="00172A34"/>
    <w:rsid w:val="00177055"/>
    <w:rsid w:val="0017723D"/>
    <w:rsid w:val="00177D6B"/>
    <w:rsid w:val="00181315"/>
    <w:rsid w:val="00181DF3"/>
    <w:rsid w:val="00185270"/>
    <w:rsid w:val="00193E2A"/>
    <w:rsid w:val="001A2095"/>
    <w:rsid w:val="001A322F"/>
    <w:rsid w:val="001A3B5A"/>
    <w:rsid w:val="001A444E"/>
    <w:rsid w:val="001A5E31"/>
    <w:rsid w:val="001B7CE9"/>
    <w:rsid w:val="001B7E54"/>
    <w:rsid w:val="001C36C6"/>
    <w:rsid w:val="001C416C"/>
    <w:rsid w:val="001C42D8"/>
    <w:rsid w:val="001D2477"/>
    <w:rsid w:val="001D495A"/>
    <w:rsid w:val="001E3E05"/>
    <w:rsid w:val="001F29EF"/>
    <w:rsid w:val="001F59EE"/>
    <w:rsid w:val="0021223F"/>
    <w:rsid w:val="00213BCA"/>
    <w:rsid w:val="00216419"/>
    <w:rsid w:val="002259EF"/>
    <w:rsid w:val="00232BE4"/>
    <w:rsid w:val="00242ED1"/>
    <w:rsid w:val="0024789A"/>
    <w:rsid w:val="00251EBF"/>
    <w:rsid w:val="0025328C"/>
    <w:rsid w:val="00254069"/>
    <w:rsid w:val="00255D82"/>
    <w:rsid w:val="00256561"/>
    <w:rsid w:val="0027039C"/>
    <w:rsid w:val="002734E5"/>
    <w:rsid w:val="0027419B"/>
    <w:rsid w:val="002746DB"/>
    <w:rsid w:val="00280CAF"/>
    <w:rsid w:val="00282F09"/>
    <w:rsid w:val="00292C10"/>
    <w:rsid w:val="00294C80"/>
    <w:rsid w:val="002A4B47"/>
    <w:rsid w:val="002A4F7C"/>
    <w:rsid w:val="002A502B"/>
    <w:rsid w:val="002A772C"/>
    <w:rsid w:val="002B057D"/>
    <w:rsid w:val="002B2607"/>
    <w:rsid w:val="002B5150"/>
    <w:rsid w:val="002C6B45"/>
    <w:rsid w:val="002D0C6C"/>
    <w:rsid w:val="002D14D8"/>
    <w:rsid w:val="002D3F6A"/>
    <w:rsid w:val="002D4799"/>
    <w:rsid w:val="002D49E7"/>
    <w:rsid w:val="002E357B"/>
    <w:rsid w:val="002E3FA4"/>
    <w:rsid w:val="002E7C59"/>
    <w:rsid w:val="002F06A7"/>
    <w:rsid w:val="002F552B"/>
    <w:rsid w:val="002F5BB3"/>
    <w:rsid w:val="002F7854"/>
    <w:rsid w:val="00302419"/>
    <w:rsid w:val="003067FB"/>
    <w:rsid w:val="0032277F"/>
    <w:rsid w:val="00323E95"/>
    <w:rsid w:val="00327212"/>
    <w:rsid w:val="00343ED7"/>
    <w:rsid w:val="00345CE3"/>
    <w:rsid w:val="00350523"/>
    <w:rsid w:val="003517D8"/>
    <w:rsid w:val="00373CDC"/>
    <w:rsid w:val="003740BC"/>
    <w:rsid w:val="003801A3"/>
    <w:rsid w:val="003820D3"/>
    <w:rsid w:val="00383D90"/>
    <w:rsid w:val="003913A5"/>
    <w:rsid w:val="003933F7"/>
    <w:rsid w:val="00395F0E"/>
    <w:rsid w:val="00396901"/>
    <w:rsid w:val="003A2364"/>
    <w:rsid w:val="003A551D"/>
    <w:rsid w:val="003B0289"/>
    <w:rsid w:val="003B42B3"/>
    <w:rsid w:val="003B6384"/>
    <w:rsid w:val="003B7D6B"/>
    <w:rsid w:val="003C318B"/>
    <w:rsid w:val="003C4EBB"/>
    <w:rsid w:val="003C66FE"/>
    <w:rsid w:val="003D1531"/>
    <w:rsid w:val="003D6B91"/>
    <w:rsid w:val="003E4EC6"/>
    <w:rsid w:val="003E527E"/>
    <w:rsid w:val="003E553E"/>
    <w:rsid w:val="003E7078"/>
    <w:rsid w:val="003F3DF5"/>
    <w:rsid w:val="0040001A"/>
    <w:rsid w:val="00403EE1"/>
    <w:rsid w:val="004069C6"/>
    <w:rsid w:val="00411B7E"/>
    <w:rsid w:val="00411D11"/>
    <w:rsid w:val="00415E23"/>
    <w:rsid w:val="00423C0D"/>
    <w:rsid w:val="00424061"/>
    <w:rsid w:val="0042760A"/>
    <w:rsid w:val="00435DE8"/>
    <w:rsid w:val="00443969"/>
    <w:rsid w:val="004446D0"/>
    <w:rsid w:val="00446EB0"/>
    <w:rsid w:val="00447D74"/>
    <w:rsid w:val="00450A74"/>
    <w:rsid w:val="004555A2"/>
    <w:rsid w:val="0046292A"/>
    <w:rsid w:val="00465350"/>
    <w:rsid w:val="00471D09"/>
    <w:rsid w:val="004744BA"/>
    <w:rsid w:val="004846BF"/>
    <w:rsid w:val="00495C67"/>
    <w:rsid w:val="004A15A1"/>
    <w:rsid w:val="004A5805"/>
    <w:rsid w:val="004B6AD4"/>
    <w:rsid w:val="004C47C2"/>
    <w:rsid w:val="004C6979"/>
    <w:rsid w:val="004C6DCB"/>
    <w:rsid w:val="004C79D7"/>
    <w:rsid w:val="004D171E"/>
    <w:rsid w:val="004D3E7A"/>
    <w:rsid w:val="004D4699"/>
    <w:rsid w:val="004E0E7D"/>
    <w:rsid w:val="004E309A"/>
    <w:rsid w:val="004F1781"/>
    <w:rsid w:val="00500A13"/>
    <w:rsid w:val="00523FA3"/>
    <w:rsid w:val="00531E80"/>
    <w:rsid w:val="00532973"/>
    <w:rsid w:val="005425B7"/>
    <w:rsid w:val="0054266E"/>
    <w:rsid w:val="00544002"/>
    <w:rsid w:val="00544138"/>
    <w:rsid w:val="00550A33"/>
    <w:rsid w:val="00554DEF"/>
    <w:rsid w:val="00562281"/>
    <w:rsid w:val="005640FD"/>
    <w:rsid w:val="0056457A"/>
    <w:rsid w:val="0056599C"/>
    <w:rsid w:val="00570C72"/>
    <w:rsid w:val="0057509E"/>
    <w:rsid w:val="00576517"/>
    <w:rsid w:val="00584583"/>
    <w:rsid w:val="005871C6"/>
    <w:rsid w:val="00597CD8"/>
    <w:rsid w:val="005A4099"/>
    <w:rsid w:val="005A59A1"/>
    <w:rsid w:val="005C38B2"/>
    <w:rsid w:val="005C5029"/>
    <w:rsid w:val="005C55C2"/>
    <w:rsid w:val="005D44CE"/>
    <w:rsid w:val="005D4DF5"/>
    <w:rsid w:val="005D6ED9"/>
    <w:rsid w:val="005E79FD"/>
    <w:rsid w:val="005F0651"/>
    <w:rsid w:val="005F1FC8"/>
    <w:rsid w:val="00600837"/>
    <w:rsid w:val="006023B1"/>
    <w:rsid w:val="00606E2B"/>
    <w:rsid w:val="00611D6B"/>
    <w:rsid w:val="00615D1E"/>
    <w:rsid w:val="00620F8E"/>
    <w:rsid w:val="006348DF"/>
    <w:rsid w:val="00635096"/>
    <w:rsid w:val="006364CA"/>
    <w:rsid w:val="0064391D"/>
    <w:rsid w:val="0065044F"/>
    <w:rsid w:val="00651E91"/>
    <w:rsid w:val="006664F8"/>
    <w:rsid w:val="0066768B"/>
    <w:rsid w:val="00675E2F"/>
    <w:rsid w:val="00681993"/>
    <w:rsid w:val="006830C1"/>
    <w:rsid w:val="00683687"/>
    <w:rsid w:val="00694C18"/>
    <w:rsid w:val="00696E36"/>
    <w:rsid w:val="006974B3"/>
    <w:rsid w:val="006A26C6"/>
    <w:rsid w:val="006A27C6"/>
    <w:rsid w:val="006A6C67"/>
    <w:rsid w:val="006A6F4B"/>
    <w:rsid w:val="006A7D5D"/>
    <w:rsid w:val="006B4E6A"/>
    <w:rsid w:val="006B5E70"/>
    <w:rsid w:val="006D1839"/>
    <w:rsid w:val="006E48F4"/>
    <w:rsid w:val="006F4D6D"/>
    <w:rsid w:val="006F50C7"/>
    <w:rsid w:val="00705086"/>
    <w:rsid w:val="00710606"/>
    <w:rsid w:val="00710D99"/>
    <w:rsid w:val="007409EF"/>
    <w:rsid w:val="007446CF"/>
    <w:rsid w:val="00746A87"/>
    <w:rsid w:val="00754497"/>
    <w:rsid w:val="00754BE0"/>
    <w:rsid w:val="007666A0"/>
    <w:rsid w:val="00783478"/>
    <w:rsid w:val="0078524B"/>
    <w:rsid w:val="00785D5F"/>
    <w:rsid w:val="00787C39"/>
    <w:rsid w:val="007940F0"/>
    <w:rsid w:val="00795DF3"/>
    <w:rsid w:val="007A212B"/>
    <w:rsid w:val="007A373C"/>
    <w:rsid w:val="007A58D7"/>
    <w:rsid w:val="007A7AD8"/>
    <w:rsid w:val="007B225C"/>
    <w:rsid w:val="007B7A56"/>
    <w:rsid w:val="007C0AA6"/>
    <w:rsid w:val="007C13EC"/>
    <w:rsid w:val="007C75B1"/>
    <w:rsid w:val="007D3DFC"/>
    <w:rsid w:val="007D7C9C"/>
    <w:rsid w:val="007E48B6"/>
    <w:rsid w:val="008005B5"/>
    <w:rsid w:val="0080776D"/>
    <w:rsid w:val="00810145"/>
    <w:rsid w:val="008108FA"/>
    <w:rsid w:val="00810FF1"/>
    <w:rsid w:val="00822336"/>
    <w:rsid w:val="00823DFA"/>
    <w:rsid w:val="0082658B"/>
    <w:rsid w:val="00831301"/>
    <w:rsid w:val="008424CA"/>
    <w:rsid w:val="00843752"/>
    <w:rsid w:val="00847BDF"/>
    <w:rsid w:val="00850F88"/>
    <w:rsid w:val="00863CC5"/>
    <w:rsid w:val="00872AFC"/>
    <w:rsid w:val="00876526"/>
    <w:rsid w:val="00885B09"/>
    <w:rsid w:val="008910A2"/>
    <w:rsid w:val="00892400"/>
    <w:rsid w:val="008A1B22"/>
    <w:rsid w:val="008A209D"/>
    <w:rsid w:val="008B0E29"/>
    <w:rsid w:val="008B0EFA"/>
    <w:rsid w:val="008B30AB"/>
    <w:rsid w:val="008C300D"/>
    <w:rsid w:val="008C5368"/>
    <w:rsid w:val="008D189F"/>
    <w:rsid w:val="008D5E7F"/>
    <w:rsid w:val="008D62CD"/>
    <w:rsid w:val="008D7C4F"/>
    <w:rsid w:val="008E0792"/>
    <w:rsid w:val="008F2743"/>
    <w:rsid w:val="008F4031"/>
    <w:rsid w:val="00901043"/>
    <w:rsid w:val="009051D2"/>
    <w:rsid w:val="00905DEF"/>
    <w:rsid w:val="00907392"/>
    <w:rsid w:val="00910CC3"/>
    <w:rsid w:val="00913B43"/>
    <w:rsid w:val="00914317"/>
    <w:rsid w:val="009210AD"/>
    <w:rsid w:val="00930203"/>
    <w:rsid w:val="009311D2"/>
    <w:rsid w:val="00931275"/>
    <w:rsid w:val="009329FD"/>
    <w:rsid w:val="00936AC7"/>
    <w:rsid w:val="009419FA"/>
    <w:rsid w:val="00945F04"/>
    <w:rsid w:val="00946F1B"/>
    <w:rsid w:val="00962564"/>
    <w:rsid w:val="009703AD"/>
    <w:rsid w:val="0097146A"/>
    <w:rsid w:val="009765CB"/>
    <w:rsid w:val="0097795B"/>
    <w:rsid w:val="009807AD"/>
    <w:rsid w:val="00981612"/>
    <w:rsid w:val="009832AD"/>
    <w:rsid w:val="00987F45"/>
    <w:rsid w:val="0099022F"/>
    <w:rsid w:val="00990E8D"/>
    <w:rsid w:val="00994A02"/>
    <w:rsid w:val="009950E0"/>
    <w:rsid w:val="009952E5"/>
    <w:rsid w:val="009A1674"/>
    <w:rsid w:val="009C666B"/>
    <w:rsid w:val="009C684F"/>
    <w:rsid w:val="009D074C"/>
    <w:rsid w:val="009E2AD3"/>
    <w:rsid w:val="009E2FDB"/>
    <w:rsid w:val="009E4E92"/>
    <w:rsid w:val="009E64F5"/>
    <w:rsid w:val="009F06FB"/>
    <w:rsid w:val="009F0955"/>
    <w:rsid w:val="009F2B4F"/>
    <w:rsid w:val="009F66B5"/>
    <w:rsid w:val="00A10D1B"/>
    <w:rsid w:val="00A20A7D"/>
    <w:rsid w:val="00A35D42"/>
    <w:rsid w:val="00A46CCF"/>
    <w:rsid w:val="00A472FE"/>
    <w:rsid w:val="00A64591"/>
    <w:rsid w:val="00A70426"/>
    <w:rsid w:val="00A718FB"/>
    <w:rsid w:val="00A725E8"/>
    <w:rsid w:val="00A73542"/>
    <w:rsid w:val="00A76D0D"/>
    <w:rsid w:val="00A91E9A"/>
    <w:rsid w:val="00A93ED9"/>
    <w:rsid w:val="00A94F37"/>
    <w:rsid w:val="00A95288"/>
    <w:rsid w:val="00AA1F72"/>
    <w:rsid w:val="00AA264C"/>
    <w:rsid w:val="00AB7830"/>
    <w:rsid w:val="00AC6A64"/>
    <w:rsid w:val="00AC6A99"/>
    <w:rsid w:val="00AD1B3A"/>
    <w:rsid w:val="00AF5DE1"/>
    <w:rsid w:val="00B0456C"/>
    <w:rsid w:val="00B055EF"/>
    <w:rsid w:val="00B14278"/>
    <w:rsid w:val="00B14D02"/>
    <w:rsid w:val="00B23285"/>
    <w:rsid w:val="00B23769"/>
    <w:rsid w:val="00B3284D"/>
    <w:rsid w:val="00B47448"/>
    <w:rsid w:val="00B531F2"/>
    <w:rsid w:val="00B55CDC"/>
    <w:rsid w:val="00B63ECB"/>
    <w:rsid w:val="00B725C5"/>
    <w:rsid w:val="00B73038"/>
    <w:rsid w:val="00B778F3"/>
    <w:rsid w:val="00B77C23"/>
    <w:rsid w:val="00B82974"/>
    <w:rsid w:val="00B86DFA"/>
    <w:rsid w:val="00B9313F"/>
    <w:rsid w:val="00B936D0"/>
    <w:rsid w:val="00B937B1"/>
    <w:rsid w:val="00B9743C"/>
    <w:rsid w:val="00BA16AA"/>
    <w:rsid w:val="00BA2E82"/>
    <w:rsid w:val="00BA44A2"/>
    <w:rsid w:val="00BC79AD"/>
    <w:rsid w:val="00BD0B1F"/>
    <w:rsid w:val="00BD3046"/>
    <w:rsid w:val="00BD3BF6"/>
    <w:rsid w:val="00BE3600"/>
    <w:rsid w:val="00BF5A22"/>
    <w:rsid w:val="00C01F6F"/>
    <w:rsid w:val="00C149AB"/>
    <w:rsid w:val="00C26E55"/>
    <w:rsid w:val="00C27499"/>
    <w:rsid w:val="00C279A8"/>
    <w:rsid w:val="00C3097C"/>
    <w:rsid w:val="00C40694"/>
    <w:rsid w:val="00C51037"/>
    <w:rsid w:val="00C538A4"/>
    <w:rsid w:val="00C63DB9"/>
    <w:rsid w:val="00C70542"/>
    <w:rsid w:val="00C707A5"/>
    <w:rsid w:val="00C75CBF"/>
    <w:rsid w:val="00C76F75"/>
    <w:rsid w:val="00C81B29"/>
    <w:rsid w:val="00C926B0"/>
    <w:rsid w:val="00C97A66"/>
    <w:rsid w:val="00CA2086"/>
    <w:rsid w:val="00CA45E5"/>
    <w:rsid w:val="00CC166E"/>
    <w:rsid w:val="00CC2894"/>
    <w:rsid w:val="00CD77C3"/>
    <w:rsid w:val="00CE112C"/>
    <w:rsid w:val="00CE6036"/>
    <w:rsid w:val="00CF5212"/>
    <w:rsid w:val="00D0451B"/>
    <w:rsid w:val="00D141E6"/>
    <w:rsid w:val="00D45D23"/>
    <w:rsid w:val="00D5248B"/>
    <w:rsid w:val="00D608DA"/>
    <w:rsid w:val="00D64541"/>
    <w:rsid w:val="00D65E42"/>
    <w:rsid w:val="00D730BF"/>
    <w:rsid w:val="00D763D0"/>
    <w:rsid w:val="00D8271B"/>
    <w:rsid w:val="00D92F2F"/>
    <w:rsid w:val="00D932AA"/>
    <w:rsid w:val="00DA0C2B"/>
    <w:rsid w:val="00DA7DA6"/>
    <w:rsid w:val="00DB34CA"/>
    <w:rsid w:val="00DB5DC1"/>
    <w:rsid w:val="00DB6788"/>
    <w:rsid w:val="00DB7C18"/>
    <w:rsid w:val="00DC15ED"/>
    <w:rsid w:val="00DC1712"/>
    <w:rsid w:val="00DC67FE"/>
    <w:rsid w:val="00DC690B"/>
    <w:rsid w:val="00DC76C7"/>
    <w:rsid w:val="00DC7A33"/>
    <w:rsid w:val="00DD09F5"/>
    <w:rsid w:val="00DD1B43"/>
    <w:rsid w:val="00DD3A4D"/>
    <w:rsid w:val="00DD4201"/>
    <w:rsid w:val="00DE152A"/>
    <w:rsid w:val="00DE34B0"/>
    <w:rsid w:val="00DE5711"/>
    <w:rsid w:val="00DE574D"/>
    <w:rsid w:val="00DE59C0"/>
    <w:rsid w:val="00DF38D5"/>
    <w:rsid w:val="00E00EA0"/>
    <w:rsid w:val="00E04CC9"/>
    <w:rsid w:val="00E05FEE"/>
    <w:rsid w:val="00E108CD"/>
    <w:rsid w:val="00E1114B"/>
    <w:rsid w:val="00E13764"/>
    <w:rsid w:val="00E16007"/>
    <w:rsid w:val="00E21E9C"/>
    <w:rsid w:val="00E23843"/>
    <w:rsid w:val="00E26758"/>
    <w:rsid w:val="00E36779"/>
    <w:rsid w:val="00E4357B"/>
    <w:rsid w:val="00E52320"/>
    <w:rsid w:val="00E63DE5"/>
    <w:rsid w:val="00E649B8"/>
    <w:rsid w:val="00E652F9"/>
    <w:rsid w:val="00E65A37"/>
    <w:rsid w:val="00E666EB"/>
    <w:rsid w:val="00E7010E"/>
    <w:rsid w:val="00E773C0"/>
    <w:rsid w:val="00E77B48"/>
    <w:rsid w:val="00E802AD"/>
    <w:rsid w:val="00E803FD"/>
    <w:rsid w:val="00E816AE"/>
    <w:rsid w:val="00E85DB1"/>
    <w:rsid w:val="00E90219"/>
    <w:rsid w:val="00E91799"/>
    <w:rsid w:val="00E96A9D"/>
    <w:rsid w:val="00E97DF5"/>
    <w:rsid w:val="00EA26F5"/>
    <w:rsid w:val="00EA34E3"/>
    <w:rsid w:val="00EA4CE0"/>
    <w:rsid w:val="00EB09D4"/>
    <w:rsid w:val="00EB6A4F"/>
    <w:rsid w:val="00EB7538"/>
    <w:rsid w:val="00EC3D7A"/>
    <w:rsid w:val="00ED0C4A"/>
    <w:rsid w:val="00EE4226"/>
    <w:rsid w:val="00EE756B"/>
    <w:rsid w:val="00EF1CE0"/>
    <w:rsid w:val="00EF3CCE"/>
    <w:rsid w:val="00F10C5F"/>
    <w:rsid w:val="00F207A4"/>
    <w:rsid w:val="00F21F9D"/>
    <w:rsid w:val="00F2790D"/>
    <w:rsid w:val="00F355AC"/>
    <w:rsid w:val="00F37A4F"/>
    <w:rsid w:val="00F40318"/>
    <w:rsid w:val="00F57B45"/>
    <w:rsid w:val="00F57FD3"/>
    <w:rsid w:val="00F65B5B"/>
    <w:rsid w:val="00F71A5A"/>
    <w:rsid w:val="00F769E0"/>
    <w:rsid w:val="00F76EBC"/>
    <w:rsid w:val="00F83808"/>
    <w:rsid w:val="00F861E8"/>
    <w:rsid w:val="00FA6526"/>
    <w:rsid w:val="00FB373C"/>
    <w:rsid w:val="00FC6BDE"/>
    <w:rsid w:val="00FE2C1C"/>
    <w:rsid w:val="00FE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CE4C06"/>
  <w15:chartTrackingRefBased/>
  <w15:docId w15:val="{AD0D9F4B-FBB9-4AC6-A33C-4FB7F34D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
    <w:unhideWhenUsed/>
    <w:qFormat/>
    <w:rsid w:val="00914317"/>
    <w:pPr>
      <w:keepNext/>
      <w:keepLines/>
      <w:spacing w:before="40" w:line="259" w:lineRule="auto"/>
      <w:outlineLvl w:val="1"/>
    </w:pPr>
    <w:rPr>
      <w:rFonts w:ascii="Cambria" w:hAnsi="Cambria"/>
      <w:color w:val="365F91"/>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ListParagraphChar">
    <w:name w:val="List Paragraph Char"/>
    <w:link w:val="ListParagraph"/>
    <w:uiPriority w:val="34"/>
    <w:locked/>
    <w:rsid w:val="0065044F"/>
    <w:rPr>
      <w:rFonts w:ascii="Calibri" w:eastAsia="Calibri" w:hAnsi="Calibri"/>
      <w:sz w:val="22"/>
      <w:szCs w:val="22"/>
    </w:rPr>
  </w:style>
  <w:style w:type="paragraph" w:styleId="Revision">
    <w:name w:val="Revision"/>
    <w:hidden/>
    <w:uiPriority w:val="99"/>
    <w:semiHidden/>
    <w:rsid w:val="00DE59C0"/>
    <w:rPr>
      <w:sz w:val="24"/>
      <w:szCs w:val="24"/>
    </w:rPr>
  </w:style>
  <w:style w:type="character" w:styleId="Strong">
    <w:name w:val="Strong"/>
    <w:uiPriority w:val="22"/>
    <w:qFormat/>
    <w:rsid w:val="00532973"/>
    <w:rPr>
      <w:b/>
      <w:bCs/>
    </w:rPr>
  </w:style>
  <w:style w:type="paragraph" w:customStyle="1" w:styleId="E1-Equation">
    <w:name w:val="E1-Equation"/>
    <w:basedOn w:val="Normal"/>
    <w:rsid w:val="00E1114B"/>
    <w:pPr>
      <w:tabs>
        <w:tab w:val="center" w:pos="4680"/>
        <w:tab w:val="right" w:pos="9360"/>
      </w:tabs>
      <w:spacing w:line="240" w:lineRule="atLeast"/>
    </w:pPr>
    <w:rPr>
      <w:rFonts w:ascii="Garamond" w:hAnsi="Garamond"/>
      <w:szCs w:val="20"/>
    </w:rPr>
  </w:style>
  <w:style w:type="paragraph" w:customStyle="1" w:styleId="L1-FlLSp12">
    <w:name w:val="L1-FlL Sp&amp;1/2"/>
    <w:basedOn w:val="Normal"/>
    <w:link w:val="L1-FlLSp12Char"/>
    <w:rsid w:val="00E1114B"/>
    <w:pPr>
      <w:tabs>
        <w:tab w:val="left" w:pos="1152"/>
      </w:tabs>
      <w:spacing w:line="360" w:lineRule="atLeast"/>
    </w:pPr>
    <w:rPr>
      <w:rFonts w:ascii="Garamond" w:hAnsi="Garamond"/>
      <w:szCs w:val="20"/>
    </w:rPr>
  </w:style>
  <w:style w:type="paragraph" w:customStyle="1" w:styleId="TT-TableTitle">
    <w:name w:val="TT-Table Title"/>
    <w:rsid w:val="00E1114B"/>
    <w:pPr>
      <w:keepNext/>
      <w:tabs>
        <w:tab w:val="left" w:pos="1440"/>
      </w:tabs>
      <w:spacing w:line="240" w:lineRule="atLeast"/>
      <w:ind w:left="1440" w:hanging="1440"/>
    </w:pPr>
    <w:rPr>
      <w:rFonts w:ascii="Franklin Gothic Medium" w:hAnsi="Franklin Gothic Medium"/>
      <w:sz w:val="22"/>
    </w:rPr>
  </w:style>
  <w:style w:type="table" w:customStyle="1" w:styleId="TableWestatStandardFormat">
    <w:name w:val="Table Westat Standard Format"/>
    <w:basedOn w:val="TableNormal"/>
    <w:rsid w:val="00E1114B"/>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E1114B"/>
    <w:pPr>
      <w:keepNext/>
      <w:spacing w:line="240" w:lineRule="atLeast"/>
      <w:jc w:val="center"/>
    </w:pPr>
    <w:rPr>
      <w:rFonts w:ascii="Franklin Gothic Medium" w:hAnsi="Franklin Gothic Medium"/>
      <w:b/>
    </w:rPr>
  </w:style>
  <w:style w:type="paragraph" w:customStyle="1" w:styleId="TX-TableText">
    <w:name w:val="TX-Table Text"/>
    <w:basedOn w:val="Normal"/>
    <w:rsid w:val="00E1114B"/>
    <w:pPr>
      <w:spacing w:line="240" w:lineRule="atLeast"/>
    </w:pPr>
    <w:rPr>
      <w:rFonts w:ascii="Franklin Gothic Medium" w:hAnsi="Franklin Gothic Medium"/>
      <w:sz w:val="20"/>
      <w:szCs w:val="20"/>
    </w:rPr>
  </w:style>
  <w:style w:type="character" w:customStyle="1" w:styleId="L1-FlLSp12Char">
    <w:name w:val="L1-FlL Sp&amp;1/2 Char"/>
    <w:link w:val="L1-FlLSp12"/>
    <w:rsid w:val="00E1114B"/>
    <w:rPr>
      <w:rFonts w:ascii="Garamond" w:hAnsi="Garamond"/>
      <w:sz w:val="24"/>
    </w:rPr>
  </w:style>
  <w:style w:type="paragraph" w:customStyle="1" w:styleId="table-headers">
    <w:name w:val="table-headers"/>
    <w:basedOn w:val="Normal"/>
    <w:uiPriority w:val="99"/>
    <w:rsid w:val="004D4699"/>
    <w:pPr>
      <w:spacing w:before="40" w:after="40"/>
      <w:ind w:left="360"/>
      <w:jc w:val="center"/>
    </w:pPr>
    <w:rPr>
      <w:rFonts w:ascii="Arial Narrow" w:eastAsia="SimSun" w:hAnsi="Arial Narrow"/>
      <w:b/>
      <w:sz w:val="22"/>
      <w:szCs w:val="22"/>
      <w:lang w:eastAsia="zh-CN"/>
    </w:rPr>
  </w:style>
  <w:style w:type="paragraph" w:customStyle="1" w:styleId="table-text">
    <w:name w:val="table-text"/>
    <w:basedOn w:val="Normal"/>
    <w:uiPriority w:val="99"/>
    <w:qFormat/>
    <w:rsid w:val="004D4699"/>
    <w:pPr>
      <w:spacing w:before="40" w:after="40"/>
      <w:ind w:left="360"/>
    </w:pPr>
    <w:rPr>
      <w:rFonts w:ascii="Arial Narrow" w:eastAsia="SimSun" w:hAnsi="Arial Narrow"/>
      <w:sz w:val="22"/>
      <w:szCs w:val="22"/>
      <w:lang w:eastAsia="zh-CN"/>
    </w:rPr>
  </w:style>
  <w:style w:type="paragraph" w:customStyle="1" w:styleId="table-title">
    <w:name w:val="table-title"/>
    <w:basedOn w:val="Normal"/>
    <w:link w:val="table-titleChar"/>
    <w:rsid w:val="004D4699"/>
    <w:pPr>
      <w:keepNext/>
      <w:keepLines/>
      <w:snapToGrid w:val="0"/>
      <w:spacing w:before="120" w:after="80"/>
      <w:ind w:left="1080" w:hanging="1080"/>
    </w:pPr>
    <w:rPr>
      <w:rFonts w:ascii="Arial Narrow" w:eastAsia="SimSun" w:hAnsi="Arial Narrow"/>
      <w:b/>
      <w:sz w:val="22"/>
      <w:szCs w:val="22"/>
      <w:lang w:eastAsia="zh-CN"/>
    </w:rPr>
  </w:style>
  <w:style w:type="character" w:customStyle="1" w:styleId="table-titleChar">
    <w:name w:val="table-title Char"/>
    <w:link w:val="table-title"/>
    <w:rsid w:val="004D4699"/>
    <w:rPr>
      <w:rFonts w:ascii="Arial Narrow" w:eastAsia="SimSun" w:hAnsi="Arial Narrow"/>
      <w:b/>
      <w:sz w:val="22"/>
      <w:szCs w:val="22"/>
      <w:lang w:eastAsia="zh-CN"/>
    </w:rPr>
  </w:style>
  <w:style w:type="character" w:customStyle="1" w:styleId="Heading2Char">
    <w:name w:val="Heading 2 Char"/>
    <w:link w:val="Heading2"/>
    <w:uiPriority w:val="9"/>
    <w:rsid w:val="00914317"/>
    <w:rPr>
      <w:rFonts w:ascii="Cambria" w:hAnsi="Cambria"/>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649">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62944123">
      <w:bodyDiv w:val="1"/>
      <w:marLeft w:val="0"/>
      <w:marRight w:val="0"/>
      <w:marTop w:val="0"/>
      <w:marBottom w:val="0"/>
      <w:divBdr>
        <w:top w:val="none" w:sz="0" w:space="0" w:color="auto"/>
        <w:left w:val="none" w:sz="0" w:space="0" w:color="auto"/>
        <w:bottom w:val="none" w:sz="0" w:space="0" w:color="auto"/>
        <w:right w:val="none" w:sz="0" w:space="0" w:color="auto"/>
      </w:divBdr>
    </w:div>
    <w:div w:id="39296622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584613565">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691150381">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967206265">
      <w:bodyDiv w:val="1"/>
      <w:marLeft w:val="0"/>
      <w:marRight w:val="0"/>
      <w:marTop w:val="0"/>
      <w:marBottom w:val="0"/>
      <w:divBdr>
        <w:top w:val="none" w:sz="0" w:space="0" w:color="auto"/>
        <w:left w:val="none" w:sz="0" w:space="0" w:color="auto"/>
        <w:bottom w:val="none" w:sz="0" w:space="0" w:color="auto"/>
        <w:right w:val="none" w:sz="0" w:space="0" w:color="auto"/>
      </w:divBdr>
    </w:div>
    <w:div w:id="1034499774">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9842436">
      <w:bodyDiv w:val="1"/>
      <w:marLeft w:val="0"/>
      <w:marRight w:val="0"/>
      <w:marTop w:val="0"/>
      <w:marBottom w:val="0"/>
      <w:divBdr>
        <w:top w:val="none" w:sz="0" w:space="0" w:color="auto"/>
        <w:left w:val="none" w:sz="0" w:space="0" w:color="auto"/>
        <w:bottom w:val="none" w:sz="0" w:space="0" w:color="auto"/>
        <w:right w:val="none" w:sz="0" w:space="0" w:color="auto"/>
      </w:divBdr>
    </w:div>
    <w:div w:id="1457600269">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0745462">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5BBD-FEAC-4D58-94B8-4E92057B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2633</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2010-12-08T19:17:00Z</cp:lastPrinted>
  <dcterms:created xsi:type="dcterms:W3CDTF">2021-09-13T18:38:00Z</dcterms:created>
  <dcterms:modified xsi:type="dcterms:W3CDTF">2021-09-13T18:44:00Z</dcterms:modified>
</cp:coreProperties>
</file>