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44BC" w:rsidR="00BF2A2B" w:rsidP="00BF2A2B" w:rsidRDefault="000A44BC" w14:paraId="6B781D65" w14:textId="40B425B1">
      <w:pPr>
        <w:tabs>
          <w:tab w:val="left" w:pos="303"/>
          <w:tab w:val="left" w:pos="1383"/>
          <w:tab w:val="left" w:pos="8511"/>
        </w:tabs>
        <w:jc w:val="right"/>
        <w:rPr>
          <w:rFonts w:ascii="Times New Roman" w:hAnsi="Times New Roman" w:cs="Times New Roman"/>
          <w:b/>
          <w:sz w:val="24"/>
          <w:szCs w:val="24"/>
        </w:rPr>
      </w:pPr>
      <w:r>
        <w:rPr>
          <w:rFonts w:ascii="Times New Roman" w:hAnsi="Times New Roman" w:cs="Times New Roman"/>
          <w:b/>
          <w:sz w:val="24"/>
          <w:szCs w:val="24"/>
        </w:rPr>
        <w:t>September 7, 2021</w:t>
      </w:r>
    </w:p>
    <w:p w:rsidRPr="000A44BC" w:rsidR="00BF2A2B" w:rsidP="00BF2A2B" w:rsidRDefault="00BF2A2B" w14:paraId="6B781D66" w14:textId="77777777">
      <w:pPr>
        <w:spacing w:line="216" w:lineRule="auto"/>
        <w:ind w:right="1008"/>
        <w:rPr>
          <w:rFonts w:ascii="Lucida Sans Unicode" w:hAnsi="Lucida Sans Unicode" w:cs="Lucida Sans Unicode"/>
          <w:color w:val="000000"/>
          <w:sz w:val="22"/>
          <w:szCs w:val="22"/>
        </w:rPr>
      </w:pPr>
    </w:p>
    <w:p w:rsidRPr="000A44BC" w:rsidR="00BF2A2B" w:rsidP="00BF2A2B" w:rsidRDefault="00BF2A2B" w14:paraId="6B781D67" w14:textId="77777777">
      <w:pPr>
        <w:spacing w:line="216" w:lineRule="auto"/>
        <w:rPr>
          <w:rFonts w:ascii="Times New Roman" w:hAnsi="Times New Roman" w:cs="Times New Roman"/>
          <w:sz w:val="24"/>
          <w:szCs w:val="24"/>
        </w:rPr>
      </w:pPr>
      <w:r w:rsidRPr="000A44BC">
        <w:rPr>
          <w:rFonts w:ascii="Times New Roman" w:hAnsi="Times New Roman" w:cs="Times New Roman"/>
          <w:sz w:val="24"/>
          <w:szCs w:val="24"/>
        </w:rPr>
        <w:t>Dominic Mancini</w:t>
      </w:r>
    </w:p>
    <w:p w:rsidRPr="000A44BC" w:rsidR="00BF2A2B" w:rsidP="00BF2A2B" w:rsidRDefault="00BF2A2B" w14:paraId="6B781D68" w14:textId="77777777">
      <w:pPr>
        <w:spacing w:line="216" w:lineRule="auto"/>
        <w:rPr>
          <w:rFonts w:ascii="Times New Roman" w:hAnsi="Times New Roman" w:cs="Times New Roman"/>
          <w:sz w:val="24"/>
          <w:szCs w:val="24"/>
        </w:rPr>
      </w:pPr>
      <w:r w:rsidRPr="000A44BC">
        <w:rPr>
          <w:rFonts w:ascii="Times New Roman" w:hAnsi="Times New Roman" w:cs="Times New Roman"/>
          <w:sz w:val="24"/>
          <w:szCs w:val="24"/>
        </w:rPr>
        <w:t>Deputy Director</w:t>
      </w:r>
    </w:p>
    <w:p w:rsidRPr="000A44BC" w:rsidR="00BF2A2B" w:rsidP="00BF2A2B" w:rsidRDefault="00BF2A2B" w14:paraId="6B781D69" w14:textId="77777777">
      <w:pPr>
        <w:spacing w:line="216" w:lineRule="auto"/>
        <w:rPr>
          <w:rFonts w:ascii="Times New Roman" w:hAnsi="Times New Roman" w:cs="Times New Roman"/>
          <w:sz w:val="24"/>
          <w:szCs w:val="24"/>
        </w:rPr>
      </w:pPr>
      <w:r w:rsidRPr="000A44BC">
        <w:rPr>
          <w:rFonts w:ascii="Times New Roman" w:hAnsi="Times New Roman" w:cs="Times New Roman"/>
          <w:sz w:val="24"/>
          <w:szCs w:val="24"/>
        </w:rPr>
        <w:t>Office of Information and Regulatory Affairs</w:t>
      </w:r>
    </w:p>
    <w:p w:rsidRPr="000A44BC" w:rsidR="00BF2A2B" w:rsidP="00BF2A2B" w:rsidRDefault="00BF2A2B" w14:paraId="6B781D6A" w14:textId="77777777">
      <w:pPr>
        <w:spacing w:line="216" w:lineRule="auto"/>
        <w:rPr>
          <w:rFonts w:ascii="Times New Roman" w:hAnsi="Times New Roman" w:cs="Times New Roman"/>
          <w:sz w:val="24"/>
          <w:szCs w:val="24"/>
        </w:rPr>
      </w:pPr>
      <w:r w:rsidRPr="000A44BC">
        <w:rPr>
          <w:rFonts w:ascii="Times New Roman" w:hAnsi="Times New Roman" w:cs="Times New Roman"/>
          <w:sz w:val="24"/>
          <w:szCs w:val="24"/>
        </w:rPr>
        <w:t>Office of Management and Budget</w:t>
      </w:r>
    </w:p>
    <w:p w:rsidRPr="000A44BC" w:rsidR="00BF2A2B" w:rsidP="00BF2A2B" w:rsidRDefault="00BF2A2B" w14:paraId="6B781D6B" w14:textId="77777777">
      <w:pPr>
        <w:spacing w:line="216" w:lineRule="auto"/>
        <w:rPr>
          <w:rFonts w:ascii="Times New Roman" w:hAnsi="Times New Roman" w:cs="Times New Roman"/>
          <w:sz w:val="24"/>
          <w:szCs w:val="24"/>
        </w:rPr>
      </w:pPr>
      <w:r w:rsidRPr="000A44BC">
        <w:rPr>
          <w:rFonts w:ascii="Times New Roman" w:hAnsi="Times New Roman" w:cs="Times New Roman"/>
          <w:sz w:val="24"/>
          <w:szCs w:val="24"/>
        </w:rPr>
        <w:t>Washington, DC</w:t>
      </w:r>
    </w:p>
    <w:p w:rsidRPr="000A44BC" w:rsidR="00BF2A2B" w:rsidP="00BF2A2B" w:rsidRDefault="00BF2A2B" w14:paraId="6B781D6C" w14:textId="77777777">
      <w:pPr>
        <w:spacing w:line="216" w:lineRule="auto"/>
        <w:rPr>
          <w:rFonts w:ascii="Times New Roman" w:hAnsi="Times New Roman" w:cs="Times New Roman"/>
          <w:color w:val="000000"/>
          <w:sz w:val="24"/>
          <w:szCs w:val="24"/>
        </w:rPr>
      </w:pPr>
    </w:p>
    <w:p w:rsidRPr="000A44BC" w:rsidR="00BF2A2B" w:rsidP="00BF2A2B" w:rsidRDefault="00BF2A2B" w14:paraId="6B781D6D" w14:textId="77777777">
      <w:pPr>
        <w:spacing w:line="216" w:lineRule="auto"/>
        <w:rPr>
          <w:rFonts w:ascii="Times New Roman" w:hAnsi="Times New Roman" w:cs="Times New Roman"/>
          <w:color w:val="FF0000"/>
          <w:sz w:val="24"/>
          <w:szCs w:val="24"/>
        </w:rPr>
      </w:pPr>
      <w:r w:rsidRPr="000A44BC">
        <w:rPr>
          <w:rFonts w:ascii="Times New Roman" w:hAnsi="Times New Roman" w:cs="Times New Roman"/>
          <w:color w:val="000000"/>
          <w:sz w:val="24"/>
          <w:szCs w:val="24"/>
        </w:rPr>
        <w:t>Subject:  Request for Emergency Review and Clearance</w:t>
      </w:r>
    </w:p>
    <w:p w:rsidRPr="000A44BC" w:rsidR="00BF2A2B" w:rsidP="00BF2A2B" w:rsidRDefault="00BF2A2B" w14:paraId="6B781D6E" w14:textId="77777777">
      <w:pPr>
        <w:spacing w:line="216" w:lineRule="auto"/>
        <w:rPr>
          <w:rFonts w:ascii="Times New Roman" w:hAnsi="Times New Roman" w:cs="Times New Roman"/>
          <w:sz w:val="24"/>
          <w:szCs w:val="24"/>
        </w:rPr>
      </w:pPr>
    </w:p>
    <w:p w:rsidRPr="000A44BC" w:rsidR="00BF2A2B" w:rsidP="00BF2A2B" w:rsidRDefault="00BF2A2B" w14:paraId="6B781D6F" w14:textId="77777777">
      <w:pPr>
        <w:spacing w:line="216" w:lineRule="auto"/>
        <w:rPr>
          <w:rFonts w:ascii="Times New Roman" w:hAnsi="Times New Roman" w:cs="Times New Roman"/>
          <w:sz w:val="24"/>
          <w:szCs w:val="24"/>
        </w:rPr>
      </w:pPr>
      <w:r w:rsidRPr="000A44BC">
        <w:rPr>
          <w:rFonts w:ascii="Times New Roman" w:hAnsi="Times New Roman" w:cs="Times New Roman"/>
          <w:sz w:val="24"/>
          <w:szCs w:val="24"/>
        </w:rPr>
        <w:t>Dear Mr. Mancini:</w:t>
      </w:r>
    </w:p>
    <w:p w:rsidRPr="000A44BC" w:rsidR="00BF2A2B" w:rsidP="00BF2A2B" w:rsidRDefault="00BF2A2B" w14:paraId="6B781D70" w14:textId="77777777">
      <w:pPr>
        <w:spacing w:line="216" w:lineRule="auto"/>
        <w:rPr>
          <w:rFonts w:ascii="Times New Roman" w:hAnsi="Times New Roman" w:cs="Times New Roman"/>
          <w:sz w:val="24"/>
          <w:szCs w:val="24"/>
        </w:rPr>
      </w:pPr>
    </w:p>
    <w:p w:rsidRPr="000A44BC" w:rsidR="00BF2A2B" w:rsidP="00BF2A2B" w:rsidRDefault="00BF2A2B" w14:paraId="6B781D71" w14:textId="76B1AE61">
      <w:pPr>
        <w:spacing w:line="216" w:lineRule="auto"/>
        <w:rPr>
          <w:rFonts w:ascii="Times New Roman" w:hAnsi="Times New Roman" w:cs="Times New Roman"/>
          <w:color w:val="000000"/>
          <w:sz w:val="24"/>
          <w:szCs w:val="24"/>
        </w:rPr>
      </w:pPr>
      <w:r w:rsidRPr="000A44BC">
        <w:rPr>
          <w:rFonts w:ascii="Times New Roman" w:hAnsi="Times New Roman" w:cs="Times New Roman"/>
          <w:sz w:val="24"/>
          <w:szCs w:val="24"/>
        </w:rPr>
        <w:t xml:space="preserve">Pursuant to Office of Management and Budget (OMB) procedures established at 5 CFR Part 1320, </w:t>
      </w:r>
      <w:r w:rsidRPr="000A44BC">
        <w:rPr>
          <w:rFonts w:ascii="Times New Roman" w:hAnsi="Times New Roman" w:cs="Times New Roman"/>
          <w:i/>
          <w:sz w:val="24"/>
          <w:szCs w:val="24"/>
        </w:rPr>
        <w:t>Controlling Paperwork Burdens on the Public</w:t>
      </w:r>
      <w:r w:rsidRPr="000A44BC">
        <w:rPr>
          <w:rFonts w:ascii="Times New Roman" w:hAnsi="Times New Roman" w:cs="Times New Roman"/>
          <w:sz w:val="24"/>
          <w:szCs w:val="24"/>
        </w:rPr>
        <w:t xml:space="preserve">, I request that the proposed information collection project, </w:t>
      </w:r>
      <w:r w:rsidRPr="000A44BC" w:rsidR="009974DD">
        <w:rPr>
          <w:rFonts w:ascii="Times New Roman" w:hAnsi="Times New Roman" w:cs="Times New Roman"/>
          <w:sz w:val="24"/>
          <w:szCs w:val="24"/>
        </w:rPr>
        <w:t xml:space="preserve">National </w:t>
      </w:r>
      <w:r w:rsidRPr="000A44BC" w:rsidR="00675B24">
        <w:rPr>
          <w:rFonts w:ascii="Times New Roman" w:hAnsi="Times New Roman" w:cs="Times New Roman"/>
          <w:sz w:val="24"/>
          <w:szCs w:val="24"/>
        </w:rPr>
        <w:t xml:space="preserve">Coal Workers’ Health Surveillance Program (CWHSP) </w:t>
      </w:r>
      <w:r w:rsidRPr="000A44BC">
        <w:rPr>
          <w:rFonts w:ascii="Times New Roman" w:hAnsi="Times New Roman" w:cs="Times New Roman"/>
          <w:sz w:val="24"/>
          <w:szCs w:val="24"/>
        </w:rPr>
        <w:t xml:space="preserve">be processed in accordance with section 1320.13, </w:t>
      </w:r>
      <w:r w:rsidRPr="000A44BC">
        <w:rPr>
          <w:rFonts w:ascii="Times New Roman" w:hAnsi="Times New Roman" w:cs="Times New Roman"/>
          <w:sz w:val="24"/>
          <w:szCs w:val="24"/>
          <w:u w:val="single"/>
        </w:rPr>
        <w:t>Emergency Processing</w:t>
      </w:r>
      <w:r w:rsidRPr="000A44BC">
        <w:rPr>
          <w:rFonts w:ascii="Times New Roman" w:hAnsi="Times New Roman" w:cs="Times New Roman"/>
          <w:color w:val="000000"/>
          <w:sz w:val="24"/>
          <w:szCs w:val="24"/>
        </w:rPr>
        <w:t>.</w:t>
      </w:r>
    </w:p>
    <w:p w:rsidRPr="000A44BC" w:rsidR="00BF2A2B" w:rsidP="00BF2A2B" w:rsidRDefault="00BF2A2B" w14:paraId="6B781D72" w14:textId="77777777">
      <w:pPr>
        <w:spacing w:line="216" w:lineRule="auto"/>
        <w:rPr>
          <w:rFonts w:ascii="Times New Roman" w:hAnsi="Times New Roman" w:cs="Times New Roman"/>
          <w:color w:val="000000"/>
          <w:sz w:val="24"/>
          <w:szCs w:val="24"/>
        </w:rPr>
      </w:pPr>
    </w:p>
    <w:p w:rsidRPr="000A44BC" w:rsidR="004C20DA" w:rsidP="004C20DA" w:rsidRDefault="00BF2A2B" w14:paraId="7D72AAC9" w14:textId="00AAC639">
      <w:pPr>
        <w:contextualSpacing/>
        <w:rPr>
          <w:rFonts w:ascii="Times New Roman" w:hAnsi="Times New Roman" w:cs="Times New Roman"/>
          <w:sz w:val="24"/>
          <w:szCs w:val="24"/>
        </w:rPr>
      </w:pPr>
      <w:r w:rsidRPr="000A44BC">
        <w:rPr>
          <w:rFonts w:ascii="Times New Roman" w:hAnsi="Times New Roman" w:cs="Times New Roman"/>
          <w:sz w:val="24"/>
          <w:szCs w:val="24"/>
        </w:rPr>
        <w:t>I have determined that this information must be collected prior to the expiration of time periods established under Part 1320, and that this information is essential</w:t>
      </w:r>
      <w:r w:rsidRPr="000A44BC" w:rsidR="004C20DA">
        <w:rPr>
          <w:rFonts w:ascii="Times New Roman" w:hAnsi="Times New Roman" w:cs="Times New Roman"/>
          <w:sz w:val="24"/>
          <w:szCs w:val="24"/>
        </w:rPr>
        <w:t xml:space="preserve"> </w:t>
      </w:r>
      <w:r w:rsidRPr="000A44BC" w:rsidR="009C63BB">
        <w:rPr>
          <w:rFonts w:ascii="Times New Roman" w:hAnsi="Times New Roman" w:cs="Times New Roman"/>
          <w:sz w:val="24"/>
          <w:szCs w:val="24"/>
        </w:rPr>
        <w:t>in the continued and uninterrupted operation of the CWHSP</w:t>
      </w:r>
      <w:r w:rsidRPr="000A44BC" w:rsidR="00675B24">
        <w:rPr>
          <w:rFonts w:ascii="Times New Roman" w:hAnsi="Times New Roman" w:cs="Times New Roman"/>
          <w:sz w:val="24"/>
          <w:szCs w:val="24"/>
        </w:rPr>
        <w:t xml:space="preserve">. </w:t>
      </w:r>
      <w:r w:rsidRPr="000A44BC" w:rsidR="009974DD">
        <w:rPr>
          <w:rFonts w:ascii="Times New Roman" w:hAnsi="Times New Roman" w:cs="Times New Roman"/>
          <w:sz w:val="24"/>
          <w:szCs w:val="24"/>
        </w:rPr>
        <w:t>The CWHSP is a Congressionally mandated program</w:t>
      </w:r>
      <w:r w:rsidRPr="000A44BC" w:rsidR="00675B24">
        <w:rPr>
          <w:rFonts w:ascii="Times New Roman" w:hAnsi="Times New Roman" w:cs="Times New Roman"/>
          <w:sz w:val="24"/>
          <w:szCs w:val="24"/>
        </w:rPr>
        <w:t xml:space="preserve">, and </w:t>
      </w:r>
      <w:proofErr w:type="gramStart"/>
      <w:r w:rsidRPr="000A44BC" w:rsidR="00675B24">
        <w:rPr>
          <w:rFonts w:ascii="Times New Roman" w:hAnsi="Times New Roman" w:cs="Times New Roman"/>
          <w:sz w:val="24"/>
          <w:szCs w:val="24"/>
        </w:rPr>
        <w:t>in order to</w:t>
      </w:r>
      <w:proofErr w:type="gramEnd"/>
      <w:r w:rsidRPr="000A44BC" w:rsidR="00675B24">
        <w:rPr>
          <w:rFonts w:ascii="Times New Roman" w:hAnsi="Times New Roman" w:cs="Times New Roman"/>
          <w:sz w:val="24"/>
          <w:szCs w:val="24"/>
        </w:rPr>
        <w:t xml:space="preserve"> keep in compliance with the statute, the </w:t>
      </w:r>
      <w:r w:rsidRPr="000A44BC" w:rsidR="009C63BB">
        <w:rPr>
          <w:rFonts w:ascii="Times New Roman" w:hAnsi="Times New Roman" w:cs="Times New Roman"/>
          <w:sz w:val="24"/>
          <w:szCs w:val="24"/>
        </w:rPr>
        <w:t>information collection request (</w:t>
      </w:r>
      <w:r w:rsidRPr="000A44BC" w:rsidR="00675B24">
        <w:rPr>
          <w:rFonts w:ascii="Times New Roman" w:hAnsi="Times New Roman" w:cs="Times New Roman"/>
          <w:sz w:val="24"/>
          <w:szCs w:val="24"/>
        </w:rPr>
        <w:t>ICR</w:t>
      </w:r>
      <w:r w:rsidRPr="000A44BC" w:rsidR="009C63BB">
        <w:rPr>
          <w:rFonts w:ascii="Times New Roman" w:hAnsi="Times New Roman" w:cs="Times New Roman"/>
          <w:sz w:val="24"/>
          <w:szCs w:val="24"/>
        </w:rPr>
        <w:t>)</w:t>
      </w:r>
      <w:r w:rsidRPr="000A44BC" w:rsidR="00675B24">
        <w:rPr>
          <w:rFonts w:ascii="Times New Roman" w:hAnsi="Times New Roman" w:cs="Times New Roman"/>
          <w:sz w:val="24"/>
          <w:szCs w:val="24"/>
        </w:rPr>
        <w:t xml:space="preserve"> needs to go forward as an Emergency to avoid a lapse in collection activities.</w:t>
      </w:r>
      <w:r w:rsidRPr="000A44BC" w:rsidR="00675B24">
        <w:t xml:space="preserve"> </w:t>
      </w:r>
    </w:p>
    <w:p w:rsidRPr="000A44BC" w:rsidR="00675B24" w:rsidP="004C20DA" w:rsidRDefault="00675B24" w14:paraId="4FF5BAF8" w14:textId="2112A4FF">
      <w:pPr>
        <w:contextualSpacing/>
        <w:rPr>
          <w:rFonts w:ascii="Times New Roman" w:hAnsi="Times New Roman" w:cs="Times New Roman"/>
          <w:sz w:val="32"/>
          <w:szCs w:val="32"/>
        </w:rPr>
      </w:pPr>
    </w:p>
    <w:p w:rsidRPr="000A44BC" w:rsidR="009C63BB" w:rsidP="009C63BB" w:rsidRDefault="001C1BE8" w14:paraId="2B29D3CA" w14:textId="4DDFAB64">
      <w:pPr>
        <w:jc w:val="both"/>
        <w:rPr>
          <w:rFonts w:ascii="Times New Roman" w:hAnsi="Times New Roman" w:cs="Times New Roman"/>
          <w:sz w:val="24"/>
          <w:szCs w:val="24"/>
        </w:rPr>
      </w:pPr>
      <w:r w:rsidRPr="000A44BC">
        <w:rPr>
          <w:rFonts w:ascii="Times New Roman" w:hAnsi="Times New Roman" w:cs="Times New Roman"/>
          <w:sz w:val="24"/>
          <w:szCs w:val="24"/>
        </w:rPr>
        <w:t>This</w:t>
      </w:r>
      <w:r w:rsidRPr="000A44BC" w:rsidR="009974DD">
        <w:rPr>
          <w:rFonts w:ascii="Times New Roman" w:hAnsi="Times New Roman" w:cs="Times New Roman"/>
          <w:sz w:val="24"/>
          <w:szCs w:val="24"/>
        </w:rPr>
        <w:t xml:space="preserve"> ICR </w:t>
      </w:r>
      <w:r w:rsidRPr="000A44BC">
        <w:rPr>
          <w:rFonts w:ascii="Times New Roman" w:hAnsi="Times New Roman" w:cs="Times New Roman"/>
          <w:sz w:val="24"/>
          <w:szCs w:val="24"/>
        </w:rPr>
        <w:t xml:space="preserve">is a revision of </w:t>
      </w:r>
      <w:r w:rsidRPr="000A44BC" w:rsidR="009C63BB">
        <w:rPr>
          <w:rFonts w:ascii="Times New Roman" w:hAnsi="Times New Roman" w:cs="Times New Roman"/>
          <w:sz w:val="24"/>
          <w:szCs w:val="24"/>
        </w:rPr>
        <w:t xml:space="preserve">the existing OMB #0920-0020 approval from the National Institute for Occupational Safety and Health (NIOSH), Centers for Disease Control and Prevention. This request </w:t>
      </w:r>
      <w:r w:rsidRPr="000A44BC" w:rsidR="007D1F56">
        <w:rPr>
          <w:rFonts w:ascii="Times New Roman" w:hAnsi="Times New Roman" w:cs="Times New Roman"/>
          <w:sz w:val="24"/>
          <w:szCs w:val="24"/>
        </w:rPr>
        <w:t xml:space="preserve">includes </w:t>
      </w:r>
      <w:r w:rsidRPr="000A44BC" w:rsidR="009C63BB">
        <w:rPr>
          <w:rFonts w:ascii="Times New Roman" w:hAnsi="Times New Roman" w:cs="Times New Roman"/>
          <w:sz w:val="24"/>
          <w:szCs w:val="24"/>
        </w:rPr>
        <w:t>an addition of a new data collection instrument. The revision and additional tool have become necessary due to proposed revisions to the code of federal regulations that the CWHSP operates in accordance with (42 CFR Part 37). Approval is requested for three years</w:t>
      </w:r>
      <w:r w:rsidRPr="000A44BC" w:rsidR="006C6DC4">
        <w:rPr>
          <w:rFonts w:ascii="Times New Roman" w:hAnsi="Times New Roman" w:cs="Times New Roman"/>
          <w:sz w:val="24"/>
          <w:szCs w:val="24"/>
        </w:rPr>
        <w:t xml:space="preserve"> as the current ICR will expire on September 30, 2021</w:t>
      </w:r>
      <w:r w:rsidRPr="000A44BC" w:rsidR="009C63BB">
        <w:rPr>
          <w:rFonts w:ascii="Times New Roman" w:hAnsi="Times New Roman" w:cs="Times New Roman"/>
          <w:sz w:val="24"/>
          <w:szCs w:val="24"/>
        </w:rPr>
        <w:t xml:space="preserve">. </w:t>
      </w:r>
    </w:p>
    <w:p w:rsidRPr="000A44BC" w:rsidR="009C63BB" w:rsidP="009C63BB" w:rsidRDefault="009C63BB" w14:paraId="1E6D9EE2" w14:textId="77777777">
      <w:pPr>
        <w:rPr>
          <w:rFonts w:ascii="Times New Roman" w:hAnsi="Times New Roman" w:cs="Times New Roman"/>
          <w:sz w:val="24"/>
          <w:szCs w:val="24"/>
        </w:rPr>
      </w:pPr>
    </w:p>
    <w:p w:rsidRPr="000A44BC" w:rsidR="002A3C87" w:rsidP="009C63BB" w:rsidRDefault="002A3C87" w14:paraId="10E55F51" w14:textId="7EC9CA94">
      <w:pPr>
        <w:rPr>
          <w:rFonts w:ascii="Times New Roman" w:hAnsi="Times New Roman" w:cs="Times New Roman"/>
          <w:sz w:val="24"/>
          <w:szCs w:val="24"/>
        </w:rPr>
      </w:pPr>
      <w:r w:rsidRPr="000A44BC">
        <w:rPr>
          <w:rFonts w:ascii="Times New Roman" w:hAnsi="Times New Roman" w:cs="Times New Roman"/>
          <w:sz w:val="24"/>
          <w:szCs w:val="24"/>
        </w:rPr>
        <w:t xml:space="preserve">Coal miners who inhale excessive dust are known to develop a group of diseases of the lungs and airways, including chronic bronchitis, emphysema, chronic obstructive pulmonary disease, silicosis, and coal workers’ pneumoconiosis. Section 203, “Medical Examinations,” of the Act, is intended to protect the health and safety of coal miners. This Act provides the basis for all forms being utilized in conjunction with this data collection. Through delegation of authority, the </w:t>
      </w:r>
      <w:r w:rsidRPr="000A44BC">
        <w:rPr>
          <w:rFonts w:ascii="Times New Roman" w:hAnsi="Times New Roman" w:cs="Times New Roman"/>
          <w:sz w:val="24"/>
          <w:szCs w:val="32"/>
        </w:rPr>
        <w:t>Act directs NIOSH to study the causes and consequences of coal-related respiratory disease, and, in cooperation with the Mine Safety and Health Administration (MSHA), to carry out a program for early detection and prevention of coal workers' pneumoconiosis and to provide the opportunity for an autopsy after the death of any active or inactive miner. These activities are administered through the CWHSP, as specified in the Code of Federal Regulations, 42 CFR 37, “Specifications for Medical Examinations of Coal Miners”</w:t>
      </w:r>
      <w:r w:rsidRPr="000A44BC">
        <w:rPr>
          <w:rFonts w:ascii="Times New Roman" w:hAnsi="Times New Roman" w:cs="Times New Roman"/>
          <w:sz w:val="24"/>
          <w:szCs w:val="24"/>
        </w:rPr>
        <w:t>.</w:t>
      </w:r>
    </w:p>
    <w:p w:rsidRPr="000A44BC" w:rsidR="002A3C87" w:rsidP="009C63BB" w:rsidRDefault="002A3C87" w14:paraId="4A866F7B" w14:textId="77777777">
      <w:pPr>
        <w:rPr>
          <w:rFonts w:ascii="Times New Roman" w:hAnsi="Times New Roman" w:cs="Times New Roman"/>
          <w:sz w:val="24"/>
          <w:szCs w:val="24"/>
        </w:rPr>
      </w:pPr>
    </w:p>
    <w:p w:rsidRPr="000A44BC" w:rsidR="002A3C87" w:rsidP="009C63BB" w:rsidRDefault="002A3C87" w14:paraId="226F9F59" w14:textId="16FB6526">
      <w:pPr>
        <w:rPr>
          <w:rFonts w:ascii="Times New Roman" w:hAnsi="Times New Roman" w:cs="Times New Roman"/>
          <w:sz w:val="22"/>
          <w:szCs w:val="22"/>
        </w:rPr>
      </w:pPr>
      <w:r w:rsidRPr="000A44BC">
        <w:rPr>
          <w:rFonts w:ascii="Times New Roman" w:hAnsi="Times New Roman" w:cs="Times New Roman"/>
          <w:sz w:val="24"/>
          <w:szCs w:val="24"/>
        </w:rPr>
        <w:t xml:space="preserve">The CWHSP administers all aspects of the following activities related to the conduct of periodic medical examinations for coal miners: 1) testing and certification of A and B Readers (physicians qualified to interpret and classify radiographs for the pneumoconioses); 2) evaluation and approval of radiograph and spirometry facilities where testing may be offered; 3) evaluation and approval of coal mine operator plans </w:t>
      </w:r>
      <w:r w:rsidRPr="000A44BC">
        <w:rPr>
          <w:rFonts w:ascii="Times New Roman" w:hAnsi="Times New Roman" w:cs="Times New Roman"/>
          <w:sz w:val="24"/>
          <w:szCs w:val="24"/>
        </w:rPr>
        <w:lastRenderedPageBreak/>
        <w:t xml:space="preserve">for providing medical examinations; 4) arranging and paying for B Reader classifications of chest radiographs; 5) contracting with approved facilities to take radiographs and provide initial classifications for mines that are out of compliance and are not covered by approved coal mine operator plans; 6) arranging locally available testing, including spirometry, chest radiograph, and blood pressure monitoring for former and actively working surface and underground miners through the NIOSH Mobile </w:t>
      </w:r>
      <w:r w:rsidRPr="000A44BC" w:rsidR="007D1F56">
        <w:rPr>
          <w:rFonts w:ascii="Times New Roman" w:hAnsi="Times New Roman" w:cs="Times New Roman"/>
          <w:sz w:val="24"/>
          <w:szCs w:val="24"/>
        </w:rPr>
        <w:t xml:space="preserve">Health Surveillance </w:t>
      </w:r>
      <w:r w:rsidRPr="000A44BC">
        <w:rPr>
          <w:rFonts w:ascii="Times New Roman" w:hAnsi="Times New Roman" w:cs="Times New Roman"/>
          <w:sz w:val="24"/>
          <w:szCs w:val="24"/>
        </w:rPr>
        <w:t>Units; 7) generation and dissemination of letters that notify participating miners of the results of their medical examinations; and, 8) maintenance of databases of information related to all aspects of the Program for purposes of assessing effectiveness, identifying disease trends, and storage allowing rapid retrieval of information relative to the taking, interpreting, and notification of results</w:t>
      </w:r>
      <w:r w:rsidRPr="000A44BC">
        <w:rPr>
          <w:rFonts w:ascii="Times New Roman" w:hAnsi="Times New Roman" w:cs="Times New Roman"/>
          <w:sz w:val="22"/>
          <w:szCs w:val="22"/>
        </w:rPr>
        <w:t>.</w:t>
      </w:r>
    </w:p>
    <w:p w:rsidRPr="000A44BC" w:rsidR="002A3C87" w:rsidP="009C63BB" w:rsidRDefault="002A3C87" w14:paraId="2F40CEC2" w14:textId="77777777">
      <w:pPr>
        <w:ind w:left="1440"/>
        <w:rPr>
          <w:rFonts w:ascii="Times New Roman" w:hAnsi="Times New Roman" w:cs="Times New Roman"/>
          <w:sz w:val="22"/>
          <w:szCs w:val="22"/>
        </w:rPr>
      </w:pPr>
    </w:p>
    <w:p w:rsidRPr="000A44BC" w:rsidR="002A3C87" w:rsidP="009C63BB" w:rsidRDefault="002A3C87" w14:paraId="6448AF82" w14:textId="0F9845D1">
      <w:pPr>
        <w:tabs>
          <w:tab w:val="left" w:pos="-720"/>
          <w:tab w:val="left" w:pos="0"/>
          <w:tab w:val="left" w:pos="450"/>
          <w:tab w:val="left" w:pos="990"/>
        </w:tabs>
        <w:rPr>
          <w:rFonts w:ascii="Times New Roman" w:hAnsi="Times New Roman" w:cs="Times New Roman"/>
          <w:sz w:val="24"/>
          <w:szCs w:val="24"/>
        </w:rPr>
      </w:pPr>
      <w:r w:rsidRPr="000A44BC">
        <w:rPr>
          <w:rFonts w:ascii="Times New Roman" w:hAnsi="Times New Roman" w:cs="Times New Roman"/>
          <w:sz w:val="24"/>
          <w:szCs w:val="24"/>
        </w:rPr>
        <w:t>The Act also authorizes NIOSH to make necessary arrangements with the next-of-kin for providing a post-mortem examination</w:t>
      </w:r>
      <w:r w:rsidRPr="000A44BC">
        <w:rPr>
          <w:rFonts w:ascii="Times New Roman" w:hAnsi="Times New Roman" w:cs="Times New Roman"/>
          <w:sz w:val="24"/>
          <w:szCs w:val="32"/>
        </w:rPr>
        <w:t xml:space="preserve"> to be performed after the death of any active or inactive </w:t>
      </w:r>
      <w:proofErr w:type="gramStart"/>
      <w:r w:rsidRPr="000A44BC">
        <w:rPr>
          <w:rFonts w:ascii="Times New Roman" w:hAnsi="Times New Roman" w:cs="Times New Roman"/>
          <w:sz w:val="24"/>
          <w:szCs w:val="32"/>
        </w:rPr>
        <w:t>miner, and</w:t>
      </w:r>
      <w:proofErr w:type="gramEnd"/>
      <w:r w:rsidRPr="000A44BC">
        <w:rPr>
          <w:rFonts w:ascii="Times New Roman" w:hAnsi="Times New Roman" w:cs="Times New Roman"/>
          <w:sz w:val="24"/>
          <w:szCs w:val="32"/>
        </w:rPr>
        <w:t xml:space="preserve"> specifies that the autopsy shall be paid for (through delegation) by </w:t>
      </w:r>
      <w:r w:rsidRPr="000A44BC">
        <w:rPr>
          <w:rFonts w:ascii="Times New Roman" w:hAnsi="Times New Roman" w:cs="Times New Roman"/>
          <w:sz w:val="24"/>
          <w:szCs w:val="24"/>
        </w:rPr>
        <w:t xml:space="preserve">NIOSH through the CWHSP. Results of </w:t>
      </w:r>
      <w:r w:rsidRPr="000A44BC" w:rsidR="007D1F56">
        <w:rPr>
          <w:rFonts w:ascii="Times New Roman" w:hAnsi="Times New Roman" w:cs="Times New Roman"/>
          <w:sz w:val="24"/>
          <w:szCs w:val="24"/>
        </w:rPr>
        <w:t>these</w:t>
      </w:r>
      <w:r w:rsidRPr="000A44BC">
        <w:rPr>
          <w:rFonts w:ascii="Times New Roman" w:hAnsi="Times New Roman" w:cs="Times New Roman"/>
          <w:sz w:val="24"/>
          <w:szCs w:val="24"/>
        </w:rPr>
        <w:t xml:space="preserve"> autopsies are used for research purposes (both epidemiological and clinical) and may also be used by the next-of-kin in support of compensation claims.</w:t>
      </w:r>
    </w:p>
    <w:p w:rsidRPr="000A44BC" w:rsidR="004C20DA" w:rsidP="009974DD" w:rsidRDefault="004C20DA" w14:paraId="252DBFC7" w14:textId="77777777">
      <w:pPr>
        <w:contextualSpacing/>
        <w:rPr>
          <w:rFonts w:ascii="Times New Roman" w:hAnsi="Times New Roman" w:cs="Times New Roman"/>
          <w:sz w:val="24"/>
          <w:szCs w:val="24"/>
        </w:rPr>
      </w:pPr>
    </w:p>
    <w:p w:rsidRPr="000A44BC" w:rsidR="004C20DA" w:rsidP="004C20DA" w:rsidRDefault="00BF2A2B" w14:paraId="0DF65679" w14:textId="7824ED58">
      <w:pPr>
        <w:contextualSpacing/>
        <w:rPr>
          <w:rFonts w:ascii="Times New Roman" w:hAnsi="Times New Roman" w:cs="Times New Roman"/>
          <w:sz w:val="24"/>
          <w:szCs w:val="24"/>
        </w:rPr>
      </w:pPr>
      <w:r w:rsidRPr="000A44BC">
        <w:rPr>
          <w:rFonts w:ascii="Times New Roman" w:hAnsi="Times New Roman" w:cs="Times New Roman"/>
          <w:sz w:val="24"/>
          <w:szCs w:val="24"/>
        </w:rPr>
        <w:t>CDC cannot reasonably comply with the normal clearance</w:t>
      </w:r>
      <w:r w:rsidRPr="000A44BC" w:rsidR="00B759CE">
        <w:rPr>
          <w:rFonts w:ascii="Times New Roman" w:hAnsi="Times New Roman" w:cs="Times New Roman"/>
          <w:sz w:val="24"/>
          <w:szCs w:val="24"/>
        </w:rPr>
        <w:t xml:space="preserve"> g</w:t>
      </w:r>
      <w:r w:rsidRPr="000A44BC" w:rsidR="00B759CE">
        <w:rPr>
          <w:rFonts w:ascii="Times New Roman" w:hAnsi="Times New Roman" w:cs="Times New Roman" w:eastAsiaTheme="minorHAnsi"/>
          <w:sz w:val="24"/>
          <w:szCs w:val="24"/>
        </w:rPr>
        <w:t>iven</w:t>
      </w:r>
      <w:r w:rsidRPr="000A44BC" w:rsidR="004C20DA">
        <w:rPr>
          <w:rFonts w:ascii="Times New Roman" w:hAnsi="Times New Roman" w:cs="Times New Roman" w:eastAsiaTheme="minorHAnsi"/>
          <w:sz w:val="24"/>
          <w:szCs w:val="24"/>
        </w:rPr>
        <w:t xml:space="preserve"> the fact that </w:t>
      </w:r>
      <w:r w:rsidRPr="000A44BC" w:rsidR="00675B24">
        <w:rPr>
          <w:rFonts w:ascii="Times New Roman" w:hAnsi="Times New Roman" w:cs="Times New Roman" w:eastAsiaTheme="minorHAnsi"/>
          <w:sz w:val="24"/>
          <w:szCs w:val="24"/>
        </w:rPr>
        <w:t xml:space="preserve">this is a mandated/required program, normal clearance processing time will prevent the program from </w:t>
      </w:r>
      <w:proofErr w:type="gramStart"/>
      <w:r w:rsidRPr="000A44BC" w:rsidR="00675B24">
        <w:rPr>
          <w:rFonts w:ascii="Times New Roman" w:hAnsi="Times New Roman" w:cs="Times New Roman" w:eastAsiaTheme="minorHAnsi"/>
          <w:sz w:val="24"/>
          <w:szCs w:val="24"/>
        </w:rPr>
        <w:t>being in compliance with</w:t>
      </w:r>
      <w:proofErr w:type="gramEnd"/>
      <w:r w:rsidRPr="000A44BC" w:rsidR="00675B24">
        <w:rPr>
          <w:rFonts w:ascii="Times New Roman" w:hAnsi="Times New Roman" w:cs="Times New Roman" w:eastAsiaTheme="minorHAnsi"/>
          <w:sz w:val="24"/>
          <w:szCs w:val="24"/>
        </w:rPr>
        <w:t xml:space="preserve"> the statue. Therefore, the ICR needs to be go forward</w:t>
      </w:r>
      <w:r w:rsidRPr="000A44BC" w:rsidR="009C63BB">
        <w:rPr>
          <w:rFonts w:ascii="Times New Roman" w:hAnsi="Times New Roman" w:cs="Times New Roman" w:eastAsiaTheme="minorHAnsi"/>
          <w:sz w:val="24"/>
          <w:szCs w:val="24"/>
        </w:rPr>
        <w:t xml:space="preserve"> </w:t>
      </w:r>
      <w:r w:rsidRPr="000A44BC" w:rsidR="00675B24">
        <w:rPr>
          <w:rFonts w:ascii="Times New Roman" w:hAnsi="Times New Roman" w:cs="Times New Roman" w:eastAsiaTheme="minorHAnsi"/>
          <w:sz w:val="24"/>
          <w:szCs w:val="24"/>
        </w:rPr>
        <w:t xml:space="preserve">as an emergency to prevent a lapse in collection activities. </w:t>
      </w:r>
    </w:p>
    <w:p w:rsidRPr="000A44BC" w:rsidR="00B759CE" w:rsidP="00B759CE" w:rsidRDefault="00B759CE" w14:paraId="2B6A57D0" w14:textId="77777777">
      <w:pPr>
        <w:widowControl/>
        <w:autoSpaceDE/>
        <w:autoSpaceDN/>
        <w:adjustRightInd/>
        <w:contextualSpacing/>
        <w:rPr>
          <w:rFonts w:ascii="Times New Roman" w:hAnsi="Times New Roman" w:cs="Times New Roman" w:eastAsiaTheme="minorHAnsi"/>
          <w:sz w:val="24"/>
          <w:szCs w:val="24"/>
        </w:rPr>
      </w:pPr>
    </w:p>
    <w:p w:rsidRPr="003926FD" w:rsidR="00BF2A2B" w:rsidP="00BF2A2B" w:rsidRDefault="00BF2A2B" w14:paraId="6B781D77" w14:textId="421E5B70">
      <w:pPr>
        <w:spacing w:line="216" w:lineRule="auto"/>
        <w:rPr>
          <w:rFonts w:ascii="Times New Roman" w:hAnsi="Times New Roman" w:cs="Times New Roman"/>
          <w:sz w:val="24"/>
          <w:szCs w:val="24"/>
        </w:rPr>
      </w:pPr>
      <w:r w:rsidRPr="000A44BC">
        <w:rPr>
          <w:rFonts w:ascii="Times New Roman" w:hAnsi="Times New Roman" w:cs="Times New Roman"/>
          <w:sz w:val="24"/>
          <w:szCs w:val="24"/>
        </w:rPr>
        <w:t xml:space="preserve">Please provide an approval/disapproval determination of this request to collect information under an emergency clearance by close of business </w:t>
      </w:r>
      <w:r w:rsidRPr="000A44BC" w:rsidR="00981427">
        <w:rPr>
          <w:rFonts w:ascii="Times New Roman" w:hAnsi="Times New Roman" w:cs="Times New Roman"/>
          <w:sz w:val="24"/>
          <w:szCs w:val="24"/>
        </w:rPr>
        <w:t>9/</w:t>
      </w:r>
      <w:r w:rsidR="00DD5F40">
        <w:rPr>
          <w:rFonts w:ascii="Times New Roman" w:hAnsi="Times New Roman" w:cs="Times New Roman"/>
          <w:sz w:val="24"/>
          <w:szCs w:val="24"/>
        </w:rPr>
        <w:t>30</w:t>
      </w:r>
      <w:r w:rsidRPr="000A44BC" w:rsidR="00981427">
        <w:rPr>
          <w:rFonts w:ascii="Times New Roman" w:hAnsi="Times New Roman" w:cs="Times New Roman"/>
          <w:sz w:val="24"/>
          <w:szCs w:val="24"/>
        </w:rPr>
        <w:t>/2021</w:t>
      </w:r>
      <w:r w:rsidRPr="000A44BC">
        <w:rPr>
          <w:rFonts w:ascii="Times New Roman" w:hAnsi="Times New Roman" w:cs="Times New Roman"/>
          <w:sz w:val="24"/>
          <w:szCs w:val="24"/>
        </w:rPr>
        <w:t>.</w:t>
      </w:r>
    </w:p>
    <w:p w:rsidRPr="003926FD" w:rsidR="00BF2A2B" w:rsidP="00BF2A2B" w:rsidRDefault="00BF2A2B" w14:paraId="6B781D78" w14:textId="77777777">
      <w:pPr>
        <w:spacing w:line="216" w:lineRule="auto"/>
        <w:ind w:left="720" w:firstLine="720"/>
        <w:rPr>
          <w:rFonts w:ascii="Times New Roman" w:hAnsi="Times New Roman" w:cs="Times New Roman"/>
          <w:sz w:val="24"/>
          <w:szCs w:val="24"/>
        </w:rPr>
      </w:pPr>
      <w:r w:rsidRPr="003926FD">
        <w:rPr>
          <w:rFonts w:ascii="Times New Roman" w:hAnsi="Times New Roman" w:cs="Times New Roman"/>
          <w:sz w:val="24"/>
          <w:szCs w:val="24"/>
        </w:rPr>
        <w:tab/>
      </w:r>
      <w:r w:rsidRPr="003926FD">
        <w:rPr>
          <w:rFonts w:ascii="Times New Roman" w:hAnsi="Times New Roman" w:cs="Times New Roman"/>
          <w:sz w:val="24"/>
          <w:szCs w:val="24"/>
        </w:rPr>
        <w:tab/>
      </w:r>
    </w:p>
    <w:p w:rsidR="00BF2A2B" w:rsidP="00BF2A2B" w:rsidRDefault="00BF2A2B" w14:paraId="6B781D79" w14:textId="77777777">
      <w:pPr>
        <w:spacing w:line="216" w:lineRule="auto"/>
        <w:rPr>
          <w:rFonts w:ascii="Times New Roman" w:hAnsi="Times New Roman" w:cs="Times New Roman"/>
          <w:sz w:val="24"/>
          <w:szCs w:val="24"/>
        </w:rPr>
      </w:pP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t xml:space="preserve"> </w:t>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p>
    <w:p w:rsidR="00BF2A2B" w:rsidP="00BF2A2B" w:rsidRDefault="00BF2A2B" w14:paraId="6B781D7A" w14:textId="77777777">
      <w:pPr>
        <w:spacing w:line="216" w:lineRule="auto"/>
        <w:rPr>
          <w:rFonts w:ascii="Times New Roman" w:hAnsi="Times New Roman" w:cs="Times New Roman"/>
          <w:sz w:val="24"/>
          <w:szCs w:val="24"/>
        </w:rPr>
      </w:pP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p>
    <w:p w:rsidR="00BF2A2B" w:rsidP="00BF2A2B" w:rsidRDefault="00BF2A2B" w14:paraId="6B781D7B" w14:textId="77777777">
      <w:pPr>
        <w:spacing w:line="216" w:lineRule="auto"/>
        <w:rPr>
          <w:rFonts w:ascii="Times New Roman" w:hAnsi="Times New Roman" w:cs="Times New Roman"/>
          <w:sz w:val="24"/>
          <w:szCs w:val="24"/>
        </w:rPr>
      </w:pPr>
    </w:p>
    <w:p w:rsidRPr="003926FD" w:rsidR="00BF2A2B" w:rsidP="00BF2A2B" w:rsidRDefault="00BF2A2B" w14:paraId="6B781D7C" w14:textId="77777777">
      <w:pPr>
        <w:spacing w:line="216" w:lineRule="auto"/>
        <w:ind w:left="3600" w:firstLine="720"/>
        <w:rPr>
          <w:rFonts w:ascii="Times New Roman" w:hAnsi="Times New Roman" w:cs="Times New Roman"/>
          <w:sz w:val="24"/>
          <w:szCs w:val="24"/>
        </w:rPr>
      </w:pPr>
      <w:r w:rsidRPr="003926FD">
        <w:rPr>
          <w:rFonts w:ascii="Times New Roman" w:hAnsi="Times New Roman" w:cs="Times New Roman"/>
          <w:sz w:val="24"/>
          <w:szCs w:val="24"/>
        </w:rPr>
        <w:t>Respectfully,</w:t>
      </w:r>
    </w:p>
    <w:p w:rsidR="00BF2A2B" w:rsidP="00BF2A2B" w:rsidRDefault="00BF2A2B" w14:paraId="6B781D7D" w14:textId="77777777">
      <w:pPr>
        <w:spacing w:line="216" w:lineRule="auto"/>
        <w:rPr>
          <w:rFonts w:ascii="Times New Roman" w:hAnsi="Times New Roman" w:cs="Times New Roman"/>
          <w:sz w:val="24"/>
          <w:szCs w:val="24"/>
        </w:rPr>
      </w:pPr>
    </w:p>
    <w:p w:rsidR="00BF2A2B" w:rsidP="00BF2A2B" w:rsidRDefault="00BF2A2B" w14:paraId="6B781D7E" w14:textId="77777777">
      <w:pPr>
        <w:spacing w:line="216" w:lineRule="auto"/>
        <w:rPr>
          <w:rFonts w:ascii="Times New Roman" w:hAnsi="Times New Roman" w:cs="Times New Roman"/>
          <w:sz w:val="24"/>
          <w:szCs w:val="24"/>
        </w:rPr>
      </w:pPr>
    </w:p>
    <w:p w:rsidR="00BF2A2B" w:rsidP="00BF2A2B" w:rsidRDefault="00BF2A2B" w14:paraId="6B781D7F" w14:textId="77777777">
      <w:pPr>
        <w:spacing w:line="216" w:lineRule="auto"/>
        <w:rPr>
          <w:rFonts w:ascii="Times New Roman" w:hAnsi="Times New Roman" w:cs="Times New Roman"/>
          <w:sz w:val="24"/>
          <w:szCs w:val="24"/>
        </w:rPr>
      </w:pPr>
    </w:p>
    <w:p w:rsidRPr="003926FD" w:rsidR="00BF2A2B" w:rsidP="00BF2A2B" w:rsidRDefault="00BF2A2B" w14:paraId="6B781D80" w14:textId="77777777">
      <w:pPr>
        <w:spacing w:line="216" w:lineRule="auto"/>
        <w:rPr>
          <w:rFonts w:ascii="Times New Roman" w:hAnsi="Times New Roman" w:cs="Times New Roman"/>
          <w:sz w:val="24"/>
          <w:szCs w:val="24"/>
        </w:rPr>
      </w:pPr>
    </w:p>
    <w:p w:rsidRPr="003926FD" w:rsidR="00BF2A2B" w:rsidP="00BF2A2B" w:rsidRDefault="00BF2A2B" w14:paraId="6B781D81" w14:textId="77777777">
      <w:pPr>
        <w:spacing w:line="216" w:lineRule="auto"/>
        <w:rPr>
          <w:rFonts w:ascii="Times New Roman" w:hAnsi="Times New Roman" w:cs="Times New Roman"/>
          <w:sz w:val="24"/>
          <w:szCs w:val="24"/>
        </w:rPr>
      </w:pP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p>
    <w:p w:rsidRPr="00C3080D" w:rsidR="00BF2A2B" w:rsidP="00BF2A2B" w:rsidRDefault="00BF2A2B" w14:paraId="6B781D82" w14:textId="77777777">
      <w:pPr>
        <w:spacing w:line="216" w:lineRule="auto"/>
        <w:rPr>
          <w:rFonts w:ascii="Times New Roman" w:hAnsi="Times New Roman" w:cs="Times New Roman"/>
          <w:sz w:val="24"/>
          <w:szCs w:val="24"/>
        </w:rPr>
      </w:pP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3926FD">
        <w:rPr>
          <w:rFonts w:ascii="Times New Roman" w:hAnsi="Times New Roman" w:cs="Times New Roman"/>
          <w:sz w:val="24"/>
          <w:szCs w:val="24"/>
        </w:rPr>
        <w:tab/>
      </w:r>
      <w:r w:rsidRPr="00C3080D">
        <w:rPr>
          <w:rFonts w:ascii="Times New Roman" w:hAnsi="Times New Roman" w:cs="Times New Roman"/>
          <w:sz w:val="24"/>
          <w:szCs w:val="24"/>
        </w:rPr>
        <w:t xml:space="preserve">________________________________________ </w:t>
      </w:r>
    </w:p>
    <w:p w:rsidRPr="00C3080D" w:rsidR="00BF2A2B" w:rsidP="00BF2A2B" w:rsidRDefault="00F90B5C" w14:paraId="6B781D83" w14:textId="62AF1395">
      <w:pPr>
        <w:spacing w:line="216" w:lineRule="auto"/>
        <w:ind w:left="3600" w:firstLine="720"/>
        <w:rPr>
          <w:rFonts w:ascii="Times New Roman" w:hAnsi="Times New Roman" w:cs="Times New Roman"/>
          <w:sz w:val="24"/>
          <w:szCs w:val="24"/>
        </w:rPr>
      </w:pPr>
      <w:r>
        <w:rPr>
          <w:rFonts w:ascii="Times New Roman" w:hAnsi="Times New Roman" w:cs="Times New Roman"/>
          <w:sz w:val="24"/>
          <w:szCs w:val="24"/>
        </w:rPr>
        <w:t>David Weissman</w:t>
      </w:r>
      <w:r w:rsidR="00A56C12">
        <w:rPr>
          <w:rFonts w:ascii="Times New Roman" w:hAnsi="Times New Roman" w:cs="Times New Roman"/>
          <w:sz w:val="24"/>
          <w:szCs w:val="24"/>
        </w:rPr>
        <w:t>, MD</w:t>
      </w:r>
      <w:r w:rsidRPr="00C3080D" w:rsidR="00BF2A2B">
        <w:rPr>
          <w:rFonts w:ascii="Times New Roman" w:hAnsi="Times New Roman" w:cs="Times New Roman"/>
          <w:sz w:val="24"/>
          <w:szCs w:val="24"/>
        </w:rPr>
        <w:t xml:space="preserve"> </w:t>
      </w:r>
    </w:p>
    <w:p w:rsidR="00F90B5C" w:rsidP="00BF2A2B" w:rsidRDefault="00BF2A2B" w14:paraId="3139F8AC" w14:textId="77777777">
      <w:pPr>
        <w:spacing w:line="216" w:lineRule="auto"/>
        <w:ind w:left="4320"/>
        <w:rPr>
          <w:rFonts w:ascii="Times New Roman" w:hAnsi="Times New Roman" w:cs="Times New Roman"/>
          <w:sz w:val="24"/>
          <w:szCs w:val="24"/>
        </w:rPr>
      </w:pPr>
      <w:r w:rsidRPr="00C3080D">
        <w:rPr>
          <w:rFonts w:ascii="Times New Roman" w:hAnsi="Times New Roman" w:cs="Times New Roman"/>
          <w:sz w:val="24"/>
          <w:szCs w:val="24"/>
        </w:rPr>
        <w:t xml:space="preserve">Director, </w:t>
      </w:r>
      <w:r w:rsidR="00F90B5C">
        <w:rPr>
          <w:rFonts w:ascii="Times New Roman" w:hAnsi="Times New Roman" w:cs="Times New Roman"/>
          <w:sz w:val="24"/>
          <w:szCs w:val="24"/>
        </w:rPr>
        <w:t>Respiratory Health Division (RHD)</w:t>
      </w:r>
    </w:p>
    <w:p w:rsidR="00202BEE" w:rsidP="00BF2A2B" w:rsidRDefault="00F90B5C" w14:paraId="25C618EB" w14:textId="77777777">
      <w:pPr>
        <w:spacing w:line="216" w:lineRule="auto"/>
        <w:ind w:left="4320"/>
        <w:rPr>
          <w:rFonts w:ascii="Times New Roman" w:hAnsi="Times New Roman" w:cs="Times New Roman"/>
          <w:sz w:val="24"/>
          <w:szCs w:val="24"/>
        </w:rPr>
      </w:pPr>
      <w:r>
        <w:rPr>
          <w:rFonts w:ascii="Times New Roman" w:hAnsi="Times New Roman" w:cs="Times New Roman"/>
          <w:sz w:val="24"/>
          <w:szCs w:val="24"/>
        </w:rPr>
        <w:t xml:space="preserve">National Institute for Occupational Safety and Health </w:t>
      </w:r>
      <w:r w:rsidR="00202BEE">
        <w:rPr>
          <w:rFonts w:ascii="Times New Roman" w:hAnsi="Times New Roman" w:cs="Times New Roman"/>
          <w:sz w:val="24"/>
          <w:szCs w:val="24"/>
        </w:rPr>
        <w:t>(NIOSH)</w:t>
      </w:r>
    </w:p>
    <w:p w:rsidRPr="000B12B6" w:rsidR="00BF2A2B" w:rsidP="00BF2A2B" w:rsidRDefault="00BF2A2B" w14:paraId="6B781D84" w14:textId="2C21BFC1">
      <w:pPr>
        <w:spacing w:line="216" w:lineRule="auto"/>
        <w:ind w:left="4320"/>
        <w:rPr>
          <w:rFonts w:ascii="Lucida Sans Unicode" w:hAnsi="Lucida Sans Unicode" w:cs="Lucida Sans Unicode"/>
          <w:sz w:val="22"/>
          <w:szCs w:val="22"/>
        </w:rPr>
      </w:pPr>
      <w:r w:rsidRPr="00C3080D">
        <w:rPr>
          <w:rFonts w:ascii="Times New Roman" w:hAnsi="Times New Roman" w:cs="Times New Roman"/>
          <w:sz w:val="24"/>
          <w:szCs w:val="24"/>
        </w:rPr>
        <w:t>Centers for Disease Control and Prevention (CDC)</w:t>
      </w:r>
    </w:p>
    <w:p w:rsidR="00DC57CC" w:rsidRDefault="00DC57CC" w14:paraId="6B781D85" w14:textId="77777777"/>
    <w:sectPr w:rsidR="00DC57CC" w:rsidSect="00BF2A2B">
      <w:headerReference w:type="even" r:id="rId11"/>
      <w:headerReference w:type="default" r:id="rId12"/>
      <w:footerReference w:type="even" r:id="rId13"/>
      <w:footerReference w:type="default" r:id="rId14"/>
      <w:headerReference w:type="first" r:id="rId15"/>
      <w:footerReference w:type="first" r:id="rId16"/>
      <w:pgSz w:w="12240" w:h="15840" w:code="1"/>
      <w:pgMar w:top="1890" w:right="99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C528B" w14:textId="77777777" w:rsidR="00D80161" w:rsidRDefault="00D80161" w:rsidP="008B5D54">
      <w:r>
        <w:separator/>
      </w:r>
    </w:p>
  </w:endnote>
  <w:endnote w:type="continuationSeparator" w:id="0">
    <w:p w14:paraId="71E0A22E" w14:textId="77777777" w:rsidR="00D80161" w:rsidRDefault="00D8016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4BD9" w14:textId="77777777" w:rsidR="004C20DA" w:rsidRDefault="004C2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99CD" w14:textId="77777777" w:rsidR="004C20DA" w:rsidRDefault="004C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B33D" w14:textId="77777777" w:rsidR="004C20DA" w:rsidRDefault="004C2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4CF60" w14:textId="77777777" w:rsidR="00D80161" w:rsidRDefault="00D80161" w:rsidP="008B5D54">
      <w:r>
        <w:separator/>
      </w:r>
    </w:p>
  </w:footnote>
  <w:footnote w:type="continuationSeparator" w:id="0">
    <w:p w14:paraId="1531E41A" w14:textId="77777777" w:rsidR="00D80161" w:rsidRDefault="00D80161"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6DFC" w14:textId="77777777" w:rsidR="004C20DA" w:rsidRDefault="004C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1D8A" w14:textId="77777777" w:rsidR="00BF2A2B" w:rsidRPr="00BF2A2B" w:rsidRDefault="00BF2A2B" w:rsidP="00BF2A2B">
    <w:pPr>
      <w:tabs>
        <w:tab w:val="left" w:pos="303"/>
        <w:tab w:val="left" w:pos="1383"/>
      </w:tabs>
      <w:rPr>
        <w:rFonts w:ascii="Arial" w:hAnsi="Arial" w:cs="Arial"/>
        <w:b/>
        <w:bCs/>
        <w:color w:val="0000FF"/>
      </w:rPr>
    </w:pPr>
    <w:r w:rsidRPr="00BF2A2B">
      <w:rPr>
        <w:noProof/>
      </w:rPr>
      <w:drawing>
        <wp:anchor distT="0" distB="0" distL="114300" distR="114300" simplePos="0" relativeHeight="251659264" behindDoc="1" locked="0" layoutInCell="1" allowOverlap="1" wp14:anchorId="6B781D91" wp14:editId="6B781D92">
          <wp:simplePos x="0" y="0"/>
          <wp:positionH relativeFrom="column">
            <wp:posOffset>-571500</wp:posOffset>
          </wp:positionH>
          <wp:positionV relativeFrom="paragraph">
            <wp:posOffset>-323850</wp:posOffset>
          </wp:positionV>
          <wp:extent cx="777240" cy="777240"/>
          <wp:effectExtent l="0" t="0" r="3810" b="3810"/>
          <wp:wrapTight wrapText="bothSides">
            <wp:wrapPolygon edited="0">
              <wp:start x="0" y="0"/>
              <wp:lineTo x="0" y="21176"/>
              <wp:lineTo x="21176" y="21176"/>
              <wp:lineTo x="21176" y="0"/>
              <wp:lineTo x="0" y="0"/>
            </wp:wrapPolygon>
          </wp:wrapTight>
          <wp:docPr id="227" name="Picture 227" descr="HHSjp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jp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A2B">
      <w:rPr>
        <w:rFonts w:ascii="Arial" w:hAnsi="Arial" w:cs="Arial"/>
        <w:b/>
        <w:bCs/>
        <w:color w:val="0000FF"/>
      </w:rPr>
      <w:t>DEPARTMENT OF HEALTH &amp; HUMAN SERVICES</w:t>
    </w:r>
    <w:r w:rsidRPr="00BF2A2B">
      <w:rPr>
        <w:rFonts w:ascii="Arial" w:hAnsi="Arial" w:cs="Arial"/>
        <w:b/>
        <w:bCs/>
        <w:color w:val="0000FF"/>
      </w:rPr>
      <w:tab/>
    </w:r>
    <w:r w:rsidRPr="00BF2A2B">
      <w:rPr>
        <w:rFonts w:ascii="Arial" w:hAnsi="Arial" w:cs="Arial"/>
        <w:b/>
        <w:bCs/>
        <w:color w:val="0000FF"/>
      </w:rPr>
      <w:tab/>
    </w:r>
    <w:r w:rsidRPr="00BF2A2B">
      <w:rPr>
        <w:rFonts w:ascii="Arial" w:hAnsi="Arial" w:cs="Arial"/>
        <w:b/>
        <w:bCs/>
        <w:color w:val="0000FF"/>
      </w:rPr>
      <w:tab/>
    </w:r>
    <w:r>
      <w:rPr>
        <w:rFonts w:ascii="Arial" w:hAnsi="Arial" w:cs="Arial"/>
        <w:b/>
        <w:bCs/>
        <w:color w:val="0000FF"/>
      </w:rPr>
      <w:t xml:space="preserve">                </w:t>
    </w:r>
    <w:r w:rsidRPr="00BF2A2B">
      <w:rPr>
        <w:rFonts w:ascii="Arial" w:hAnsi="Arial" w:cs="Arial"/>
        <w:b/>
        <w:bCs/>
        <w:color w:val="0000FF"/>
      </w:rPr>
      <w:t>Public Health Service</w:t>
    </w:r>
  </w:p>
  <w:p w14:paraId="6B781D8B" w14:textId="77777777" w:rsidR="00BF2A2B" w:rsidRPr="00BF2A2B" w:rsidRDefault="00BF2A2B" w:rsidP="00BF2A2B">
    <w:pPr>
      <w:tabs>
        <w:tab w:val="left" w:pos="303"/>
        <w:tab w:val="left" w:pos="1383"/>
      </w:tabs>
      <w:rPr>
        <w:rFonts w:ascii="Arial" w:hAnsi="Arial" w:cs="Arial"/>
        <w:b/>
        <w:bCs/>
        <w:color w:val="0000FF"/>
      </w:rPr>
    </w:pPr>
    <w:r w:rsidRPr="00BF2A2B">
      <w:rPr>
        <w:rFonts w:ascii="Arial" w:hAnsi="Arial" w:cs="Arial"/>
        <w:b/>
        <w:bCs/>
        <w:color w:val="0000FF"/>
      </w:rPr>
      <w:t>_______________________________________________________________________________________</w:t>
    </w:r>
  </w:p>
  <w:p w14:paraId="6B781D8C" w14:textId="77777777" w:rsidR="00BF2A2B" w:rsidRDefault="00BF2A2B" w:rsidP="00BF2A2B">
    <w:pPr>
      <w:jc w:val="right"/>
      <w:rPr>
        <w:rFonts w:ascii="Arial" w:hAnsi="Arial" w:cs="Arial"/>
        <w:color w:val="0000FF"/>
      </w:rPr>
    </w:pPr>
    <w:r w:rsidRPr="00BF2A2B">
      <w:rPr>
        <w:rFonts w:ascii="Arial" w:hAnsi="Arial" w:cs="Arial"/>
        <w:color w:val="0000FF"/>
      </w:rPr>
      <w:t>Centers for Disease Control</w:t>
    </w:r>
    <w:r>
      <w:rPr>
        <w:rFonts w:ascii="Arial" w:hAnsi="Arial" w:cs="Arial"/>
        <w:color w:val="0000FF"/>
      </w:rPr>
      <w:t xml:space="preserve"> </w:t>
    </w:r>
  </w:p>
  <w:p w14:paraId="6B781D8D" w14:textId="77777777" w:rsidR="00BF2A2B" w:rsidRDefault="00BF2A2B" w:rsidP="00BF2A2B">
    <w:pPr>
      <w:jc w:val="right"/>
      <w:rPr>
        <w:rFonts w:ascii="Arial" w:hAnsi="Arial" w:cs="Arial"/>
        <w:color w:val="0000FF"/>
      </w:rPr>
    </w:pPr>
    <w:r w:rsidRPr="00BF2A2B">
      <w:rPr>
        <w:rFonts w:ascii="Arial" w:hAnsi="Arial" w:cs="Arial"/>
        <w:color w:val="0000FF"/>
      </w:rPr>
      <w:t>and Prevention (CDC)</w:t>
    </w:r>
  </w:p>
  <w:p w14:paraId="6B781D8E" w14:textId="77777777" w:rsidR="00BF2A2B" w:rsidRPr="00BF2A2B" w:rsidRDefault="00BF2A2B" w:rsidP="00BF2A2B">
    <w:pPr>
      <w:jc w:val="right"/>
      <w:rPr>
        <w:rFonts w:ascii="Arial" w:hAnsi="Arial" w:cs="Arial"/>
        <w:color w:val="0000FF"/>
      </w:rPr>
    </w:pPr>
    <w:r w:rsidRPr="00BF2A2B">
      <w:rPr>
        <w:rFonts w:ascii="Arial" w:hAnsi="Arial" w:cs="Arial"/>
        <w:color w:val="0000FF"/>
      </w:rPr>
      <w:t>Atlanta GA 30341-3724</w:t>
    </w:r>
  </w:p>
  <w:p w14:paraId="6B781D8F" w14:textId="77777777" w:rsidR="00BF2A2B" w:rsidRPr="00BF2A2B" w:rsidRDefault="00BF2A2B" w:rsidP="00BF2A2B">
    <w:pPr>
      <w:tabs>
        <w:tab w:val="center" w:pos="4680"/>
        <w:tab w:val="right" w:pos="9360"/>
      </w:tabs>
    </w:pPr>
  </w:p>
  <w:p w14:paraId="6B781D90" w14:textId="77777777" w:rsidR="008B5D54" w:rsidRPr="00BF2A2B" w:rsidRDefault="008B5D54" w:rsidP="00BF2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435C" w14:textId="77777777" w:rsidR="004C20DA" w:rsidRDefault="004C2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B"/>
    <w:rsid w:val="000A44BC"/>
    <w:rsid w:val="00157FD6"/>
    <w:rsid w:val="001B12E8"/>
    <w:rsid w:val="001C1BE8"/>
    <w:rsid w:val="001F3FF7"/>
    <w:rsid w:val="00202BEE"/>
    <w:rsid w:val="002A0AF8"/>
    <w:rsid w:val="002A3C87"/>
    <w:rsid w:val="002F6111"/>
    <w:rsid w:val="004C20DA"/>
    <w:rsid w:val="00675B24"/>
    <w:rsid w:val="00690D1C"/>
    <w:rsid w:val="006C6578"/>
    <w:rsid w:val="006C6DC4"/>
    <w:rsid w:val="007D1F56"/>
    <w:rsid w:val="0089082C"/>
    <w:rsid w:val="008B5D54"/>
    <w:rsid w:val="00981427"/>
    <w:rsid w:val="009974DD"/>
    <w:rsid w:val="009C63BB"/>
    <w:rsid w:val="00A56C12"/>
    <w:rsid w:val="00A879DB"/>
    <w:rsid w:val="00B2718F"/>
    <w:rsid w:val="00B55735"/>
    <w:rsid w:val="00B608AC"/>
    <w:rsid w:val="00B73F44"/>
    <w:rsid w:val="00B759CE"/>
    <w:rsid w:val="00BA5ACA"/>
    <w:rsid w:val="00BF2A2B"/>
    <w:rsid w:val="00D80161"/>
    <w:rsid w:val="00DC57CC"/>
    <w:rsid w:val="00DD5F40"/>
    <w:rsid w:val="00F90B5C"/>
    <w:rsid w:val="00FD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781D65"/>
  <w15:chartTrackingRefBased/>
  <w15:docId w15:val="{260EDA94-0570-4B9B-9F55-67C35A12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A2B"/>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imes New Roman" w:eastAsiaTheme="minorHAnsi" w:hAnsi="Times New Roman" w:cstheme="minorBidi"/>
      <w:sz w:val="24"/>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imes New Roman" w:eastAsiaTheme="minorHAnsi" w:hAnsi="Times New Roman" w:cstheme="minorBidi"/>
      <w:sz w:val="24"/>
      <w:szCs w:val="22"/>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890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2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A3C87"/>
    <w:rPr>
      <w:sz w:val="16"/>
      <w:szCs w:val="16"/>
    </w:rPr>
  </w:style>
  <w:style w:type="paragraph" w:styleId="CommentText">
    <w:name w:val="annotation text"/>
    <w:basedOn w:val="Normal"/>
    <w:link w:val="CommentTextChar"/>
    <w:uiPriority w:val="99"/>
    <w:semiHidden/>
    <w:unhideWhenUsed/>
    <w:rsid w:val="002A3C87"/>
  </w:style>
  <w:style w:type="character" w:customStyle="1" w:styleId="CommentTextChar">
    <w:name w:val="Comment Text Char"/>
    <w:basedOn w:val="DefaultParagraphFont"/>
    <w:link w:val="CommentText"/>
    <w:uiPriority w:val="99"/>
    <w:semiHidden/>
    <w:rsid w:val="002A3C87"/>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2A3C87"/>
    <w:rPr>
      <w:b/>
      <w:bCs/>
    </w:rPr>
  </w:style>
  <w:style w:type="character" w:customStyle="1" w:styleId="CommentSubjectChar">
    <w:name w:val="Comment Subject Char"/>
    <w:basedOn w:val="CommentTextChar"/>
    <w:link w:val="CommentSubject"/>
    <w:uiPriority w:val="99"/>
    <w:semiHidden/>
    <w:rsid w:val="002A3C87"/>
    <w:rPr>
      <w:rFonts w:ascii="Courier" w:eastAsia="Times New Roman" w:hAnsi="Courier" w:cs="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PFY6PPX2AYTS-1630823389-24</_dlc_DocId>
    <_dlc_DocIdUrl xmlns="81daf041-c113-401c-bf82-107f5d396711">
      <Url>https://esp.cdc.gov/sites/ncezid/OD/policy/PRA/_layouts/15/DocIdRedir.aspx?ID=PFY6PPX2AYTS-1630823389-24</Url>
      <Description>PFY6PPX2AYTS-1630823389-24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57D5F-820E-4A65-B979-A0D1751003E7}">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290B857B-A67A-46DD-B429-546349F098EE}">
  <ds:schemaRefs>
    <ds:schemaRef ds:uri="http://schemas.openxmlformats.org/officeDocument/2006/bibliography"/>
  </ds:schemaRefs>
</ds:datastoreItem>
</file>

<file path=customXml/itemProps3.xml><?xml version="1.0" encoding="utf-8"?>
<ds:datastoreItem xmlns:ds="http://schemas.openxmlformats.org/officeDocument/2006/customXml" ds:itemID="{E27E0AA0-603A-4BAF-905C-B6770AD21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B1010-6A33-4688-87EC-A61F5A2AB583}">
  <ds:schemaRefs>
    <ds:schemaRef ds:uri="http://schemas.microsoft.com/sharepoint/events"/>
  </ds:schemaRefs>
</ds:datastoreItem>
</file>

<file path=customXml/itemProps5.xml><?xml version="1.0" encoding="utf-8"?>
<ds:datastoreItem xmlns:ds="http://schemas.openxmlformats.org/officeDocument/2006/customXml" ds:itemID="{F867321D-40F6-46FE-B4E5-3C3A955F8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3</cp:revision>
  <dcterms:created xsi:type="dcterms:W3CDTF">2021-09-07T18:48:00Z</dcterms:created>
  <dcterms:modified xsi:type="dcterms:W3CDTF">2021-09-08T22:46:00Z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74d3e8a9-0177-4214-8dfd-7cfdcf50eaf7</vt:lpwstr>
  </property>
  <property fmtid="{D5CDD505-2E9C-101B-9397-08002B2CF9AE}" pid="3" name="ContentTypeId">
    <vt:lpwstr>0x0101009915E6796A65F84ABE45D53AD58A9180</vt:lpwstr>
  </property>
  <property fmtid="{D5CDD505-2E9C-101B-9397-08002B2CF9AE}" pid="4" name="MSIP_Label_7b94a7b8-f06c-4dfe-bdcc-9b548fd58c31_Enabled">
    <vt:lpwstr>true</vt:lpwstr>
  </property>
  <property fmtid="{D5CDD505-2E9C-101B-9397-08002B2CF9AE}" pid="5" name="MSIP_Label_7b94a7b8-f06c-4dfe-bdcc-9b548fd58c31_SetDate">
    <vt:lpwstr>2020-11-09T16:29:23Z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0641ce77-7ebc-4661-b451-f18d5896cd5c</vt:lpwstr>
  </property>
  <property fmtid="{D5CDD505-2E9C-101B-9397-08002B2CF9AE}" pid="10" name="MSIP_Label_7b94a7b8-f06c-4dfe-bdcc-9b548fd58c31_ContentBits">
    <vt:lpwstr>0</vt:lpwstr>
  </property>
</Properties>
</file>