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3D63D7" w:rsidP="003D63D7" w:rsidRDefault="003D63D7" w14:paraId="5035092F" w14:textId="77777777">
      <w:pPr>
        <w:spacing w:after="0"/>
        <w:rPr>
          <w:rFonts w:cstheme="minorHAnsi"/>
          <w:b/>
        </w:rPr>
      </w:pPr>
    </w:p>
    <w:p w:rsidRPr="001A59B6" w:rsidR="003D63D7" w:rsidP="003D63D7" w:rsidRDefault="003D63D7" w14:paraId="1DAE3E5F" w14:textId="77777777">
      <w:pPr>
        <w:pStyle w:val="ReportCover-Title"/>
        <w:jc w:val="center"/>
        <w:rPr>
          <w:rFonts w:eastAsia="Arial Unicode MS" w:asciiTheme="minorHAnsi" w:hAnsiTheme="minorHAnsi" w:cstheme="minorHAnsi"/>
          <w:noProof/>
          <w:color w:val="auto"/>
        </w:rPr>
      </w:pPr>
    </w:p>
    <w:p w:rsidRPr="001A59B6" w:rsidR="003D63D7" w:rsidP="003D63D7" w:rsidRDefault="003D63D7" w14:paraId="409B8460" w14:textId="77777777">
      <w:pPr>
        <w:pStyle w:val="ReportCover-Title"/>
        <w:jc w:val="center"/>
        <w:rPr>
          <w:rFonts w:eastAsia="Arial Unicode MS" w:asciiTheme="minorHAnsi" w:hAnsiTheme="minorHAnsi" w:cstheme="minorHAnsi"/>
          <w:noProof/>
          <w:color w:val="auto"/>
        </w:rPr>
      </w:pPr>
    </w:p>
    <w:p w:rsidRPr="001A59B6" w:rsidR="003D63D7" w:rsidP="003D63D7" w:rsidRDefault="003D63D7" w14:paraId="293223C1" w14:textId="77777777">
      <w:pPr>
        <w:pStyle w:val="ReportCover-Title"/>
        <w:jc w:val="center"/>
        <w:rPr>
          <w:rFonts w:eastAsia="Arial Unicode MS" w:asciiTheme="minorHAnsi" w:hAnsiTheme="minorHAnsi" w:cstheme="minorHAnsi"/>
          <w:noProof/>
          <w:color w:val="auto"/>
        </w:rPr>
      </w:pPr>
    </w:p>
    <w:p w:rsidRPr="001A59B6" w:rsidR="003D63D7" w:rsidP="003D63D7" w:rsidRDefault="003D63D7" w14:paraId="03926488" w14:textId="77777777">
      <w:pPr>
        <w:pStyle w:val="ReportCover-Title"/>
        <w:jc w:val="center"/>
        <w:rPr>
          <w:rFonts w:eastAsia="Arial Unicode MS" w:asciiTheme="minorHAnsi" w:hAnsiTheme="minorHAnsi" w:cstheme="minorHAnsi"/>
          <w:noProof/>
          <w:color w:val="auto"/>
        </w:rPr>
      </w:pPr>
    </w:p>
    <w:p w:rsidRPr="001A59B6" w:rsidR="003D63D7" w:rsidP="003D63D7" w:rsidRDefault="003D63D7" w14:paraId="2227587A" w14:textId="77777777">
      <w:pPr>
        <w:pStyle w:val="ReportCover-Title"/>
        <w:jc w:val="center"/>
        <w:rPr>
          <w:rFonts w:asciiTheme="minorHAnsi" w:hAnsiTheme="minorHAnsi" w:cstheme="minorBidi"/>
          <w:color w:val="auto"/>
        </w:rPr>
      </w:pPr>
      <w:r w:rsidRPr="78FBFE0C">
        <w:rPr>
          <w:rFonts w:eastAsia="Arial Unicode MS" w:asciiTheme="minorHAnsi" w:hAnsiTheme="minorHAnsi" w:cstheme="minorBidi"/>
          <w:noProof/>
          <w:color w:val="auto"/>
        </w:rPr>
        <w:t xml:space="preserve">The Study of Disability Services Coordinators and Inclusion in Head Start, 2019-2024 </w:t>
      </w:r>
    </w:p>
    <w:p w:rsidRPr="001A59B6" w:rsidR="003D63D7" w:rsidP="003D63D7" w:rsidRDefault="003D63D7" w14:paraId="5A79F418" w14:textId="77777777">
      <w:pPr>
        <w:pStyle w:val="ReportCover-Title"/>
        <w:rPr>
          <w:rFonts w:asciiTheme="minorHAnsi" w:hAnsiTheme="minorHAnsi" w:cstheme="minorHAnsi"/>
          <w:color w:val="auto"/>
        </w:rPr>
      </w:pPr>
    </w:p>
    <w:p w:rsidRPr="001A59B6" w:rsidR="003D63D7" w:rsidP="003D63D7" w:rsidRDefault="003D63D7" w14:paraId="13962A44"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3D63D7" w:rsidP="003D63D7" w:rsidRDefault="003D63D7" w14:paraId="02E03B9D" w14:textId="77777777">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Data Collection</w:t>
      </w:r>
    </w:p>
    <w:p w:rsidRPr="001A59B6" w:rsidR="003D63D7" w:rsidP="003D63D7" w:rsidRDefault="003D63D7" w14:paraId="6F5B9F65" w14:textId="77777777">
      <w:pPr>
        <w:spacing w:after="0"/>
        <w:rPr>
          <w:rFonts w:cstheme="minorHAnsi"/>
        </w:rPr>
      </w:pPr>
    </w:p>
    <w:p w:rsidRPr="001A59B6" w:rsidR="003D63D7" w:rsidP="003D63D7" w:rsidRDefault="003D63D7" w14:paraId="28FEC9BA" w14:textId="77777777">
      <w:pPr>
        <w:pStyle w:val="ReportCover-Date"/>
        <w:spacing w:after="0"/>
        <w:jc w:val="center"/>
        <w:rPr>
          <w:rFonts w:asciiTheme="minorHAnsi" w:hAnsiTheme="minorHAnsi" w:cstheme="minorHAnsi"/>
          <w:color w:val="auto"/>
        </w:rPr>
      </w:pPr>
    </w:p>
    <w:p w:rsidRPr="001A59B6" w:rsidR="003D63D7" w:rsidP="003D63D7" w:rsidRDefault="003D63D7" w14:paraId="518D9B7E" w14:textId="77777777">
      <w:pPr>
        <w:pStyle w:val="ReportCover-Date"/>
        <w:spacing w:after="0"/>
        <w:jc w:val="center"/>
        <w:rPr>
          <w:rFonts w:asciiTheme="minorHAnsi" w:hAnsiTheme="minorHAnsi" w:cstheme="minorHAnsi"/>
          <w:color w:val="auto"/>
        </w:rPr>
      </w:pPr>
    </w:p>
    <w:p w:rsidRPr="001A59B6" w:rsidR="003D63D7" w:rsidP="003D63D7" w:rsidRDefault="003D63D7" w14:paraId="40931015" w14:textId="77777777">
      <w:pPr>
        <w:pStyle w:val="ReportCover-Date"/>
        <w:spacing w:after="0"/>
        <w:jc w:val="center"/>
        <w:rPr>
          <w:rFonts w:asciiTheme="minorHAnsi" w:hAnsiTheme="minorHAnsi" w:cstheme="minorHAnsi"/>
          <w:color w:val="auto"/>
        </w:rPr>
      </w:pPr>
    </w:p>
    <w:p w:rsidRPr="001A59B6" w:rsidR="003D63D7" w:rsidP="003D63D7" w:rsidRDefault="003D63D7" w14:paraId="64DCD144" w14:textId="77777777">
      <w:pPr>
        <w:pStyle w:val="ReportCover-Date"/>
        <w:spacing w:after="0" w:line="240" w:lineRule="auto"/>
        <w:jc w:val="center"/>
        <w:rPr>
          <w:rFonts w:asciiTheme="minorHAnsi" w:hAnsiTheme="minorHAnsi" w:cstheme="minorBidi"/>
          <w:color w:val="auto"/>
          <w:sz w:val="48"/>
          <w:szCs w:val="48"/>
        </w:rPr>
      </w:pPr>
      <w:r w:rsidRPr="4838DFD5">
        <w:rPr>
          <w:rFonts w:asciiTheme="minorHAnsi" w:hAnsiTheme="minorHAnsi" w:cstheme="minorBidi"/>
          <w:color w:val="auto"/>
          <w:sz w:val="48"/>
          <w:szCs w:val="48"/>
        </w:rPr>
        <w:t>Supporting Statement</w:t>
      </w:r>
    </w:p>
    <w:p w:rsidRPr="001A59B6" w:rsidR="003D63D7" w:rsidP="003D63D7" w:rsidRDefault="003D63D7" w14:paraId="0654FD2A"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3D63D7" w:rsidP="003D63D7" w:rsidRDefault="003D63D7" w14:paraId="0580F779" w14:textId="77777777">
      <w:pPr>
        <w:pStyle w:val="ReportCover-Date"/>
        <w:spacing w:after="0" w:line="240" w:lineRule="auto"/>
        <w:jc w:val="center"/>
        <w:rPr>
          <w:rFonts w:asciiTheme="minorHAnsi" w:hAnsiTheme="minorHAnsi" w:cstheme="minorHAnsi"/>
          <w:color w:val="auto"/>
          <w:sz w:val="48"/>
          <w:szCs w:val="48"/>
        </w:rPr>
      </w:pPr>
    </w:p>
    <w:p w:rsidRPr="001A59B6" w:rsidR="003D63D7" w:rsidP="003D63D7" w:rsidRDefault="003D63D7" w14:paraId="3FA28DD0" w14:textId="77777777">
      <w:pPr>
        <w:pStyle w:val="ReportCover-Date"/>
        <w:spacing w:after="0" w:line="240" w:lineRule="auto"/>
        <w:jc w:val="center"/>
        <w:rPr>
          <w:rFonts w:asciiTheme="minorHAnsi" w:hAnsiTheme="minorHAnsi" w:cstheme="minorHAnsi"/>
          <w:color w:val="auto"/>
          <w:sz w:val="48"/>
          <w:szCs w:val="48"/>
        </w:rPr>
      </w:pPr>
    </w:p>
    <w:p w:rsidRPr="001A59B6" w:rsidR="003D63D7" w:rsidP="003D63D7" w:rsidRDefault="003D63D7" w14:paraId="5A272885" w14:textId="77777777">
      <w:pPr>
        <w:pStyle w:val="ReportCover-Date"/>
        <w:spacing w:after="0"/>
        <w:jc w:val="center"/>
        <w:rPr>
          <w:rFonts w:asciiTheme="minorHAnsi" w:hAnsiTheme="minorHAnsi" w:cstheme="minorBidi"/>
          <w:color w:val="auto"/>
        </w:rPr>
      </w:pPr>
      <w:r>
        <w:rPr>
          <w:rFonts w:asciiTheme="minorHAnsi" w:hAnsiTheme="minorHAnsi" w:cstheme="minorBidi"/>
          <w:color w:val="auto"/>
        </w:rPr>
        <w:t>September</w:t>
      </w:r>
      <w:r w:rsidRPr="7B360CDE">
        <w:rPr>
          <w:rFonts w:asciiTheme="minorHAnsi" w:hAnsiTheme="minorHAnsi" w:cstheme="minorBidi"/>
          <w:color w:val="auto"/>
        </w:rPr>
        <w:t xml:space="preserve"> 2021</w:t>
      </w:r>
    </w:p>
    <w:p w:rsidRPr="001A59B6" w:rsidR="003D63D7" w:rsidP="003D63D7" w:rsidRDefault="003D63D7" w14:paraId="2B4A6CDB" w14:textId="77777777">
      <w:pPr>
        <w:pStyle w:val="ReportCover-Date"/>
        <w:spacing w:after="0"/>
        <w:jc w:val="center"/>
        <w:rPr>
          <w:rFonts w:asciiTheme="minorHAnsi" w:hAnsiTheme="minorHAnsi" w:cstheme="minorHAnsi"/>
          <w:color w:val="auto"/>
        </w:rPr>
      </w:pPr>
    </w:p>
    <w:p w:rsidRPr="001A59B6" w:rsidR="003D63D7" w:rsidP="003D63D7" w:rsidRDefault="003D63D7" w14:paraId="613ECEAB" w14:textId="77777777">
      <w:pPr>
        <w:pStyle w:val="ReportCover-Date"/>
        <w:spacing w:after="0"/>
        <w:jc w:val="center"/>
        <w:rPr>
          <w:rFonts w:asciiTheme="minorHAnsi" w:hAnsiTheme="minorHAnsi" w:cstheme="minorHAnsi"/>
          <w:color w:val="auto"/>
        </w:rPr>
      </w:pPr>
    </w:p>
    <w:p w:rsidRPr="001A59B6" w:rsidR="003D63D7" w:rsidP="003D63D7" w:rsidRDefault="003D63D7" w14:paraId="418B7067" w14:textId="77777777">
      <w:pPr>
        <w:pStyle w:val="ReportCover-Date"/>
        <w:spacing w:after="0"/>
        <w:jc w:val="center"/>
        <w:rPr>
          <w:rFonts w:asciiTheme="minorHAnsi" w:hAnsiTheme="minorHAnsi" w:cstheme="minorHAnsi"/>
          <w:color w:val="auto"/>
        </w:rPr>
      </w:pPr>
    </w:p>
    <w:p w:rsidRPr="001A59B6" w:rsidR="003D63D7" w:rsidP="003D63D7" w:rsidRDefault="003D63D7" w14:paraId="1D640A0B" w14:textId="77777777">
      <w:pPr>
        <w:pStyle w:val="ReportCover-Date"/>
        <w:spacing w:after="0"/>
        <w:jc w:val="center"/>
        <w:rPr>
          <w:rFonts w:asciiTheme="minorHAnsi" w:hAnsiTheme="minorHAnsi" w:cstheme="minorHAnsi"/>
          <w:color w:val="auto"/>
        </w:rPr>
      </w:pPr>
    </w:p>
    <w:p w:rsidRPr="001A59B6" w:rsidR="003D63D7" w:rsidP="003D63D7" w:rsidRDefault="003D63D7" w14:paraId="21E20DAE" w14:textId="77777777">
      <w:pPr>
        <w:pStyle w:val="ReportCover-Date"/>
        <w:spacing w:after="0"/>
        <w:jc w:val="center"/>
        <w:rPr>
          <w:rFonts w:asciiTheme="minorHAnsi" w:hAnsiTheme="minorHAnsi" w:cstheme="minorHAnsi"/>
          <w:color w:val="auto"/>
        </w:rPr>
      </w:pPr>
    </w:p>
    <w:p w:rsidRPr="001A59B6" w:rsidR="003D63D7" w:rsidP="003D63D7" w:rsidRDefault="003D63D7" w14:paraId="7833A333" w14:textId="77777777">
      <w:pPr>
        <w:pStyle w:val="ReportCover-Date"/>
        <w:spacing w:after="0"/>
        <w:jc w:val="center"/>
        <w:rPr>
          <w:rFonts w:asciiTheme="minorHAnsi" w:hAnsiTheme="minorHAnsi" w:cstheme="minorHAnsi"/>
          <w:color w:val="auto"/>
        </w:rPr>
      </w:pPr>
    </w:p>
    <w:p w:rsidRPr="001A59B6" w:rsidR="003D63D7" w:rsidP="003D63D7" w:rsidRDefault="003D63D7" w14:paraId="7008D74E" w14:textId="77777777">
      <w:pPr>
        <w:spacing w:after="0" w:line="240" w:lineRule="auto"/>
        <w:jc w:val="center"/>
        <w:rPr>
          <w:rFonts w:cstheme="minorHAnsi"/>
        </w:rPr>
      </w:pPr>
    </w:p>
    <w:p w:rsidRPr="001A59B6" w:rsidR="003D63D7" w:rsidP="003D63D7" w:rsidRDefault="003D63D7" w14:paraId="1E38CE3D" w14:textId="77777777">
      <w:pPr>
        <w:spacing w:after="0" w:line="240" w:lineRule="auto"/>
        <w:jc w:val="center"/>
      </w:pPr>
      <w:r w:rsidRPr="4838DFD5">
        <w:t>Submitted By:</w:t>
      </w:r>
    </w:p>
    <w:p w:rsidRPr="001A59B6" w:rsidR="003D63D7" w:rsidP="003D63D7" w:rsidRDefault="003D63D7" w14:paraId="044CBA3A" w14:textId="77777777">
      <w:pPr>
        <w:spacing w:after="0" w:line="240" w:lineRule="auto"/>
        <w:jc w:val="center"/>
        <w:rPr>
          <w:rFonts w:cstheme="minorHAnsi"/>
        </w:rPr>
      </w:pPr>
      <w:r w:rsidRPr="001A59B6">
        <w:rPr>
          <w:rFonts w:cstheme="minorHAnsi"/>
        </w:rPr>
        <w:t>Office of Planning, Research, and Evaluation</w:t>
      </w:r>
    </w:p>
    <w:p w:rsidRPr="001A59B6" w:rsidR="003D63D7" w:rsidP="003D63D7" w:rsidRDefault="003D63D7" w14:paraId="0E91022A" w14:textId="77777777">
      <w:pPr>
        <w:spacing w:after="0" w:line="240" w:lineRule="auto"/>
        <w:jc w:val="center"/>
        <w:rPr>
          <w:rFonts w:cstheme="minorHAnsi"/>
        </w:rPr>
      </w:pPr>
      <w:r w:rsidRPr="001A59B6">
        <w:rPr>
          <w:rFonts w:cstheme="minorHAnsi"/>
        </w:rPr>
        <w:t xml:space="preserve">Administration for Children and Families </w:t>
      </w:r>
    </w:p>
    <w:p w:rsidRPr="001A59B6" w:rsidR="003D63D7" w:rsidP="003D63D7" w:rsidRDefault="003D63D7" w14:paraId="6C0CB67C" w14:textId="77777777">
      <w:pPr>
        <w:spacing w:after="0" w:line="240" w:lineRule="auto"/>
        <w:jc w:val="center"/>
      </w:pPr>
      <w:r w:rsidRPr="4838DFD5">
        <w:t>U.S. Department of Health and Human Services</w:t>
      </w:r>
    </w:p>
    <w:p w:rsidRPr="001A59B6" w:rsidR="003D63D7" w:rsidP="003D63D7" w:rsidRDefault="003D63D7" w14:paraId="3EC199D9" w14:textId="77777777">
      <w:pPr>
        <w:spacing w:after="0" w:line="240" w:lineRule="auto"/>
        <w:jc w:val="center"/>
        <w:rPr>
          <w:rFonts w:cstheme="minorHAnsi"/>
        </w:rPr>
      </w:pPr>
    </w:p>
    <w:p w:rsidRPr="001A59B6" w:rsidR="003D63D7" w:rsidP="003D63D7" w:rsidRDefault="003D63D7" w14:paraId="2437FBC4"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3D63D7" w:rsidP="003D63D7" w:rsidRDefault="003D63D7" w14:paraId="12C25131" w14:textId="77777777">
      <w:pPr>
        <w:spacing w:after="0" w:line="240" w:lineRule="auto"/>
        <w:jc w:val="center"/>
        <w:rPr>
          <w:rFonts w:cstheme="minorHAnsi"/>
        </w:rPr>
      </w:pPr>
      <w:r w:rsidRPr="001A59B6">
        <w:rPr>
          <w:rFonts w:cstheme="minorHAnsi"/>
        </w:rPr>
        <w:t>330 C Street, SW</w:t>
      </w:r>
    </w:p>
    <w:p w:rsidRPr="001A59B6" w:rsidR="003D63D7" w:rsidP="003D63D7" w:rsidRDefault="003D63D7" w14:paraId="43B1871D" w14:textId="77777777">
      <w:pPr>
        <w:spacing w:after="0" w:line="240" w:lineRule="auto"/>
        <w:jc w:val="center"/>
        <w:rPr>
          <w:rFonts w:cstheme="minorHAnsi"/>
        </w:rPr>
      </w:pPr>
      <w:r w:rsidRPr="001A59B6">
        <w:rPr>
          <w:rFonts w:cstheme="minorHAnsi"/>
        </w:rPr>
        <w:t>Washington, D.C. 20201</w:t>
      </w:r>
    </w:p>
    <w:p w:rsidRPr="001A59B6" w:rsidR="003D63D7" w:rsidP="003D63D7" w:rsidRDefault="003D63D7" w14:paraId="0C9933DD" w14:textId="77777777">
      <w:pPr>
        <w:spacing w:after="0" w:line="240" w:lineRule="auto"/>
        <w:jc w:val="center"/>
        <w:rPr>
          <w:rFonts w:cstheme="minorHAnsi"/>
        </w:rPr>
      </w:pPr>
    </w:p>
    <w:p w:rsidRPr="001A59B6" w:rsidR="003D63D7" w:rsidP="003D63D7" w:rsidRDefault="003D63D7" w14:paraId="6C674DF8" w14:textId="77777777">
      <w:pPr>
        <w:spacing w:after="0" w:line="240" w:lineRule="auto"/>
        <w:jc w:val="center"/>
      </w:pPr>
      <w:r w:rsidRPr="4838DFD5">
        <w:t>Project Officers: Laura Hoard (ACF) and Wendy DeCourcey (ACF)</w:t>
      </w:r>
    </w:p>
    <w:p w:rsidRPr="001A59B6" w:rsidR="003D63D7" w:rsidP="003D63D7" w:rsidRDefault="003D63D7" w14:paraId="52271522" w14:textId="77777777">
      <w:pPr>
        <w:spacing w:after="0" w:line="240" w:lineRule="auto"/>
        <w:jc w:val="center"/>
        <w:rPr>
          <w:rFonts w:cstheme="minorHAnsi"/>
          <w:b/>
        </w:rPr>
      </w:pPr>
    </w:p>
    <w:p w:rsidR="003D63D7" w:rsidP="003D63D7" w:rsidRDefault="003D63D7" w14:paraId="4062A4E0" w14:textId="77777777">
      <w:pPr>
        <w:spacing w:after="0"/>
        <w:jc w:val="center"/>
        <w:rPr>
          <w:b/>
          <w:bCs/>
          <w:sz w:val="32"/>
          <w:szCs w:val="32"/>
        </w:rPr>
      </w:pPr>
    </w:p>
    <w:p w:rsidRPr="001A59B6" w:rsidR="003D63D7" w:rsidP="003D63D7" w:rsidRDefault="003D63D7" w14:paraId="235BF1F4" w14:textId="77777777">
      <w:pPr>
        <w:spacing w:after="0"/>
        <w:jc w:val="center"/>
        <w:rPr>
          <w:rFonts w:cstheme="minorHAnsi"/>
          <w:b/>
          <w:sz w:val="32"/>
          <w:szCs w:val="32"/>
        </w:rPr>
      </w:pPr>
      <w:r w:rsidRPr="001A59B6">
        <w:rPr>
          <w:rFonts w:cstheme="minorHAnsi"/>
          <w:b/>
          <w:sz w:val="32"/>
          <w:szCs w:val="32"/>
        </w:rPr>
        <w:lastRenderedPageBreak/>
        <w:t>Part B</w:t>
      </w:r>
    </w:p>
    <w:p w:rsidRPr="001A59B6" w:rsidR="003D63D7" w:rsidP="003D63D7" w:rsidRDefault="003D63D7" w14:paraId="195DE98C" w14:textId="77777777">
      <w:pPr>
        <w:spacing w:after="0" w:line="240" w:lineRule="auto"/>
        <w:rPr>
          <w:rFonts w:cstheme="minorHAnsi"/>
          <w:b/>
        </w:rPr>
      </w:pPr>
    </w:p>
    <w:p w:rsidRPr="007B149E" w:rsidR="003D63D7" w:rsidP="003D63D7" w:rsidRDefault="003D63D7" w14:paraId="42D55369" w14:textId="77777777">
      <w:pPr>
        <w:spacing w:after="120" w:line="240" w:lineRule="auto"/>
        <w:rPr>
          <w:i/>
          <w:iCs/>
          <w:color w:val="538135" w:themeColor="accent6" w:themeShade="BF"/>
          <w:sz w:val="28"/>
          <w:szCs w:val="28"/>
        </w:rPr>
      </w:pPr>
      <w:r w:rsidRPr="198EFEC4">
        <w:rPr>
          <w:b/>
          <w:bCs/>
        </w:rPr>
        <w:t>B1.</w:t>
      </w:r>
      <w:r w:rsidRPr="001A59B6">
        <w:rPr>
          <w:rFonts w:cstheme="minorHAnsi"/>
          <w:b/>
        </w:rPr>
        <w:tab/>
      </w:r>
      <w:r w:rsidRPr="198EFEC4">
        <w:rPr>
          <w:b/>
          <w:bCs/>
        </w:rPr>
        <w:t xml:space="preserve">Objectives </w:t>
      </w:r>
    </w:p>
    <w:p w:rsidR="003D63D7" w:rsidP="003D63D7" w:rsidRDefault="003D63D7" w14:paraId="0CEDBBCA" w14:textId="77777777">
      <w:pPr>
        <w:spacing w:after="60" w:line="240" w:lineRule="auto"/>
        <w:rPr>
          <w:i/>
          <w:iCs/>
        </w:rPr>
      </w:pPr>
      <w:r w:rsidRPr="7B360CDE">
        <w:rPr>
          <w:i/>
          <w:iCs/>
        </w:rPr>
        <w:t>Study Objectives</w:t>
      </w:r>
    </w:p>
    <w:p w:rsidR="003D63D7" w:rsidP="003D63D7" w:rsidRDefault="003D63D7" w14:paraId="1749E34A" w14:textId="77777777">
      <w:pPr>
        <w:spacing w:line="240" w:lineRule="atLeast"/>
      </w:pPr>
      <w:r>
        <w:t>The Study of Disability Services Coordinators and Inclusion in Head Start will provide the Office of Planning, Research &amp; Evaluation (OPRE) and the Office of Head Start (OHS) in the Administration for Children and Families (ACF) with a national picture of the Disability Services Coordinator (DSC) workforce and services provided to children with disabilities and their families within Early Head Start (EHS) and Head Start (HS) programs.</w:t>
      </w:r>
    </w:p>
    <w:p w:rsidR="003D63D7" w:rsidP="003D63D7" w:rsidRDefault="003D63D7" w14:paraId="08A15C7C" w14:textId="77777777">
      <w:pPr>
        <w:spacing w:after="120"/>
      </w:pPr>
      <w:r>
        <w:t>The study objectives are to:</w:t>
      </w:r>
    </w:p>
    <w:p w:rsidRPr="00E654B8" w:rsidR="003D63D7" w:rsidP="003D63D7" w:rsidRDefault="003D63D7" w14:paraId="3165C947" w14:textId="77777777">
      <w:pPr>
        <w:spacing w:after="120" w:line="240" w:lineRule="auto"/>
        <w:ind w:left="720"/>
      </w:pPr>
      <w:r>
        <w:t xml:space="preserve">1: Describe the characteristics and work of DSCs and related staff in Early Head Start (EHS)/Head Start (HS) programs </w:t>
      </w:r>
    </w:p>
    <w:p w:rsidRPr="00E654B8" w:rsidR="003D63D7" w:rsidP="003D63D7" w:rsidRDefault="003D63D7" w14:paraId="28E78688" w14:textId="77777777">
      <w:pPr>
        <w:spacing w:after="120" w:line="240" w:lineRule="auto"/>
        <w:ind w:left="720"/>
      </w:pPr>
      <w:r>
        <w:t>2: Identify how EHS/HS serves children with disabilities and their families, including recruitment and selection; screening and ongoing assessment; evaluation; and the Individualized Family Service Plan (IFSP) and Individualized Education Plan (IEP) process and implementation</w:t>
      </w:r>
    </w:p>
    <w:p w:rsidRPr="00E654B8" w:rsidR="003D63D7" w:rsidP="003D63D7" w:rsidRDefault="003D63D7" w14:paraId="5520CBCC" w14:textId="77777777">
      <w:pPr>
        <w:spacing w:after="120" w:line="240" w:lineRule="auto"/>
        <w:ind w:left="720"/>
      </w:pPr>
      <w:r>
        <w:t>3: Identify how EHS/HS programs engage in capacity building with families and provide supportive services to families as they understand and advocate for their children with potential or identified disabilities, delays, or other issues, such as early childhood mental health concerns or chronic health impairments</w:t>
      </w:r>
    </w:p>
    <w:p w:rsidRPr="00E654B8" w:rsidR="003D63D7" w:rsidP="003D63D7" w:rsidRDefault="003D63D7" w14:paraId="66373A62" w14:textId="77777777">
      <w:pPr>
        <w:spacing w:after="120" w:line="240" w:lineRule="auto"/>
        <w:ind w:left="720"/>
      </w:pPr>
      <w:r>
        <w:t>4: Identify what EHS/HS programs do when services are not available and/or when children do not meet Individuals with Disability Education Act (IDEA) eligibility requirements</w:t>
      </w:r>
    </w:p>
    <w:p w:rsidRPr="00E654B8" w:rsidR="003D63D7" w:rsidP="003D63D7" w:rsidRDefault="003D63D7" w14:paraId="6FC7A34E" w14:textId="77777777">
      <w:pPr>
        <w:spacing w:after="120" w:line="240" w:lineRule="auto"/>
        <w:ind w:left="720"/>
      </w:pPr>
      <w:r>
        <w:t>5: Identify how EHS/HS programs engage with services in the community, including Local Education Agencies (LEAs), IDEA Parts B and C providers, early intervention services, mental health providers, and community programs</w:t>
      </w:r>
    </w:p>
    <w:p w:rsidRPr="00E654B8" w:rsidR="003D63D7" w:rsidP="003D63D7" w:rsidRDefault="003D63D7" w14:paraId="58D0E224" w14:textId="77777777">
      <w:pPr>
        <w:spacing w:after="120" w:line="240" w:lineRule="auto"/>
        <w:ind w:left="720"/>
      </w:pPr>
      <w:r>
        <w:t>6: Identify the training teachers receive as well as how they individualize practice and work to fully integrate children with disabilities into the classroom</w:t>
      </w:r>
    </w:p>
    <w:p w:rsidRPr="001A59B6" w:rsidR="003D63D7" w:rsidP="003D63D7" w:rsidRDefault="003D63D7" w14:paraId="60807430" w14:textId="77777777">
      <w:pPr>
        <w:spacing w:after="60" w:line="240" w:lineRule="auto"/>
        <w:ind w:left="720"/>
      </w:pPr>
      <w:r>
        <w:t>7: Identify how EHS/HS programs work with children with disabilities and their families on transitions to HS or kindergarten</w:t>
      </w:r>
    </w:p>
    <w:p w:rsidRPr="001A59B6" w:rsidR="003D63D7" w:rsidP="003D63D7" w:rsidRDefault="003D63D7" w14:paraId="3AF651F8" w14:textId="77777777">
      <w:pPr>
        <w:spacing w:after="0" w:line="240" w:lineRule="auto"/>
        <w:rPr>
          <w:rFonts w:cstheme="minorHAnsi"/>
        </w:rPr>
      </w:pPr>
    </w:p>
    <w:p w:rsidR="003D63D7" w:rsidP="003D63D7" w:rsidRDefault="003D63D7" w14:paraId="16B36C97" w14:textId="77777777">
      <w:pPr>
        <w:spacing w:after="0" w:line="240" w:lineRule="auto"/>
      </w:pPr>
      <w:r>
        <w:t xml:space="preserve">The study will support ACF in better understanding the implementation of EHS/HS policies and practices for delivering disability services. The study will report on inclusive practices, staffing, professional development, and collaboration with local education agencies (LEAs), early intervention (EI) programs, health providers, and other community stakeholders who serve young children at risk for or with disabilities and their families. ACF’s goals for the Study of DSCs in EHS/HS are consistent with its commitment to enroll and provide high-quality, inclusive education to children with the greatest needs, including the legislative requirement that at least 10 percent of their funded slots be used to serve children with disabilities.  </w:t>
      </w:r>
    </w:p>
    <w:p w:rsidR="003D63D7" w:rsidP="003D63D7" w:rsidRDefault="003D63D7" w14:paraId="7C5999FE" w14:textId="77777777">
      <w:pPr>
        <w:spacing w:after="0" w:line="240" w:lineRule="auto"/>
      </w:pPr>
    </w:p>
    <w:p w:rsidR="003D63D7" w:rsidP="003D63D7" w:rsidRDefault="003D63D7" w14:paraId="1475ADDF" w14:textId="77777777">
      <w:pPr>
        <w:autoSpaceDE w:val="0"/>
        <w:autoSpaceDN w:val="0"/>
        <w:adjustRightInd w:val="0"/>
        <w:spacing w:after="60" w:line="240" w:lineRule="auto"/>
        <w:rPr>
          <w:i/>
          <w:iCs/>
          <w:color w:val="538135" w:themeColor="accent6" w:themeShade="BF"/>
          <w:sz w:val="28"/>
          <w:szCs w:val="28"/>
        </w:rPr>
      </w:pPr>
      <w:r w:rsidRPr="7B360CDE">
        <w:rPr>
          <w:i/>
          <w:iCs/>
        </w:rPr>
        <w:t xml:space="preserve">Generalizability of Results </w:t>
      </w:r>
    </w:p>
    <w:p w:rsidRPr="00CE18E8" w:rsidR="003D63D7" w:rsidP="003D63D7" w:rsidRDefault="003D63D7" w14:paraId="019BFC96" w14:textId="77777777">
      <w:pPr>
        <w:autoSpaceDE w:val="0"/>
        <w:autoSpaceDN w:val="0"/>
        <w:adjustRightInd w:val="0"/>
        <w:spacing w:after="0" w:line="240" w:lineRule="atLeast"/>
      </w:pPr>
      <w:r>
        <w:t xml:space="preserve">This study is intended to produce a national picture of the characteristics and practices of the DSC workforce in EHS/HS programs, including American Indian/Alaska Native (AIAN; Region XI) and Migrant and Seasonal Head Start (MSHS; Region XII) grantees, during the data collection period. </w:t>
      </w:r>
    </w:p>
    <w:p w:rsidR="003D63D7" w:rsidP="003D63D7" w:rsidRDefault="003D63D7" w14:paraId="5835BF49" w14:textId="77777777">
      <w:pPr>
        <w:spacing w:after="0" w:line="240" w:lineRule="atLeast"/>
      </w:pPr>
    </w:p>
    <w:p w:rsidR="003D63D7" w:rsidP="003D63D7" w:rsidRDefault="003D63D7" w14:paraId="20F84796" w14:textId="77777777">
      <w:pPr>
        <w:spacing w:after="60" w:line="240" w:lineRule="atLeast"/>
        <w:rPr>
          <w:rFonts w:eastAsia="Times New Roman"/>
          <w:color w:val="000000" w:themeColor="text1"/>
        </w:rPr>
      </w:pPr>
      <w:r w:rsidRPr="7B360CDE">
        <w:rPr>
          <w:rFonts w:eastAsia="Times New Roman"/>
          <w:i/>
          <w:iCs/>
          <w:color w:val="000000" w:themeColor="text1"/>
        </w:rPr>
        <w:t xml:space="preserve">Appropriateness of Study Design and Methods for Planned Uses </w:t>
      </w:r>
    </w:p>
    <w:p w:rsidR="003D63D7" w:rsidP="003D63D7" w:rsidRDefault="003D63D7" w14:paraId="6FDF124B" w14:textId="77777777">
      <w:pPr>
        <w:spacing w:after="0" w:line="240" w:lineRule="atLeast"/>
      </w:pPr>
      <w:r>
        <w:t>As described in SSA Section A.2 Study Design, the study comprises three phases of data collection: a survey of all EHS/HS program directors</w:t>
      </w:r>
      <w:r>
        <w:rPr>
          <w:rStyle w:val="FootnoteReference"/>
        </w:rPr>
        <w:footnoteReference w:id="1"/>
      </w:r>
      <w:r>
        <w:t xml:space="preserve"> (PDs; Phase 1); a survey of all EHS/HS DSCs (Phase 2); and interviews (Phase 3) with a subset of EHS/HS DSCs who completed the Phase 2 survey. These descriptive surveys and interviews will provide the needed information to meet the project goals of informing Head Start regarding the objectives above.  Phase 1 surveys will include questions for PDs regarding contact information for the grantees’ DSCs and program-level information that will place the DSC information (Phase 2) in context.  There is no existing list of the all EHS/HS DSCs and so it is necessary that Phase 1 include all PDs as respondents to establish a contact list for Phase 2.  DSCs invited to participate in Phase 3 interviews will be from programs that differ in terms of key factors such as program type and program size. The purpose of the Phase 3 interviews is to better understand </w:t>
      </w:r>
      <w:proofErr w:type="gramStart"/>
      <w:r>
        <w:t>particular practices</w:t>
      </w:r>
      <w:proofErr w:type="gramEnd"/>
      <w:r>
        <w:t>, experiences, and approaches that were observed in the Phase 2 surveys.</w:t>
      </w:r>
    </w:p>
    <w:p w:rsidR="003D63D7" w:rsidP="003D63D7" w:rsidRDefault="003D63D7" w14:paraId="5BCDA80D" w14:textId="77777777">
      <w:pPr>
        <w:spacing w:after="0" w:line="240" w:lineRule="atLeast"/>
      </w:pPr>
    </w:p>
    <w:p w:rsidR="003D63D7" w:rsidP="003D63D7" w:rsidRDefault="003D63D7" w14:paraId="7BB4EEA2" w14:textId="77777777">
      <w:pPr>
        <w:spacing w:after="0" w:line="240" w:lineRule="atLeast"/>
      </w:pPr>
      <w:r>
        <w:t>To meet the goals listed in SSA Section A.2, the research team will identify the universe of DSCs by first contacting EHS/HS PDs using information available in the HS Program Information Report (PIR</w:t>
      </w:r>
      <w:r>
        <w:rPr>
          <w:rFonts w:ascii="Calibri" w:hAnsi="Calibri" w:eastAsia="Calibri" w:cs="Calibri"/>
        </w:rPr>
        <w:t>, OMB #</w:t>
      </w:r>
      <w:r w:rsidRPr="00955C73">
        <w:rPr>
          <w:rFonts w:ascii="Calibri" w:hAnsi="Calibri" w:eastAsia="Calibri" w:cs="Calibri"/>
        </w:rPr>
        <w:t>0970-0427</w:t>
      </w:r>
      <w:r>
        <w:t xml:space="preserve">). The research team will then ask PDs to provide contact information for all DSCs in their program, as well as contact information for other staff who fulfill at least some of the functions of a DSC but have a different title. </w:t>
      </w:r>
      <w:proofErr w:type="gramStart"/>
      <w:r>
        <w:t>All of</w:t>
      </w:r>
      <w:proofErr w:type="gramEnd"/>
      <w:r>
        <w:t xml:space="preserve"> the EHS/HS DSCs and other staff, as identified by PDs in W1, will be invited to participate in the Phase 2 survey. This two-phase survey approach, though necessary in this context, may limit the representativeness of the findings regarding EHS/HS DSCs. Although data will be weighted to account for potential PD nonresponse in Phase 1 and potential EHS/HS DSC nonresponse in Phase 2, it is possible that some unaccounted-for characteristics associated with nonresponse and DSC characteristics and practices may potentially bias results. We will make explicit the data’s potential limitations in all products (e.g., briefs) that synthesize study findings. The Phase 3 interviews will be conducted with a subset of Phase 2 survey respondents. Phase 3 survey participants who work in EHS/HS programs that differ in terms of community urbanicity and program size will be purposively selected. The purpose of the Phase 3 interviews is to better understand </w:t>
      </w:r>
      <w:proofErr w:type="gramStart"/>
      <w:r>
        <w:t>particular practices</w:t>
      </w:r>
      <w:proofErr w:type="gramEnd"/>
      <w:r>
        <w:t>, experiences, and approaches that were observed in the Phase 2 surveys.</w:t>
      </w:r>
    </w:p>
    <w:p w:rsidR="003D63D7" w:rsidP="003D63D7" w:rsidRDefault="003D63D7" w14:paraId="6733BCFA" w14:textId="77777777">
      <w:pPr>
        <w:spacing w:after="0" w:line="240" w:lineRule="atLeast"/>
      </w:pPr>
    </w:p>
    <w:p w:rsidRPr="001A59B6" w:rsidR="003D63D7" w:rsidP="003D63D7" w:rsidRDefault="003D63D7" w14:paraId="46E5B409"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3D63D7" w:rsidP="003D63D7" w:rsidRDefault="003D63D7" w14:paraId="7538A8B7" w14:textId="77777777">
      <w:pPr>
        <w:pStyle w:val="ListParagraph"/>
        <w:spacing w:after="0"/>
        <w:ind w:left="0"/>
        <w:rPr>
          <w:color w:val="FF0000"/>
        </w:rPr>
      </w:pPr>
    </w:p>
    <w:p w:rsidR="003D63D7" w:rsidP="003D63D7" w:rsidRDefault="003D63D7" w14:paraId="19AD6074" w14:textId="77777777">
      <w:pPr>
        <w:pStyle w:val="ListParagraph"/>
        <w:spacing w:after="0"/>
        <w:ind w:left="0"/>
        <w:rPr>
          <w:color w:val="FF0000"/>
        </w:rPr>
      </w:pPr>
    </w:p>
    <w:p w:rsidRPr="001A59B6" w:rsidR="003D63D7" w:rsidP="003D63D7" w:rsidRDefault="003D63D7" w14:paraId="2B5A123E"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3D63D7" w:rsidP="003D63D7" w:rsidRDefault="003D63D7" w14:paraId="397A8EAB" w14:textId="77777777">
      <w:pPr>
        <w:autoSpaceDE w:val="0"/>
        <w:autoSpaceDN w:val="0"/>
        <w:adjustRightInd w:val="0"/>
        <w:spacing w:after="60" w:line="240" w:lineRule="atLeast"/>
        <w:contextualSpacing/>
        <w:rPr>
          <w:i/>
          <w:iCs/>
          <w:color w:val="0070C0"/>
          <w:sz w:val="28"/>
          <w:szCs w:val="28"/>
        </w:rPr>
      </w:pPr>
      <w:r w:rsidRPr="7B360CDE">
        <w:rPr>
          <w:rFonts w:eastAsia="Times New Roman"/>
          <w:i/>
          <w:iCs/>
          <w:color w:val="000000" w:themeColor="text1"/>
        </w:rPr>
        <w:t xml:space="preserve">Target Population </w:t>
      </w:r>
    </w:p>
    <w:p w:rsidR="003D63D7" w:rsidP="003D63D7" w:rsidRDefault="003D63D7" w14:paraId="2DC00E2A" w14:textId="77777777">
      <w:pPr>
        <w:pStyle w:val="CommentText"/>
        <w:rPr>
          <w:sz w:val="22"/>
          <w:szCs w:val="22"/>
        </w:rPr>
      </w:pPr>
      <w:r w:rsidRPr="0983A5E1">
        <w:rPr>
          <w:sz w:val="22"/>
          <w:szCs w:val="22"/>
        </w:rPr>
        <w:t xml:space="preserve">This study is intended to produce a national picture of the characteristics and work of EHS/HS DSC workforce. </w:t>
      </w:r>
      <w:r>
        <w:rPr>
          <w:sz w:val="22"/>
          <w:szCs w:val="22"/>
        </w:rPr>
        <w:t>Our target population is the HS/EHS PDs and DSCs.</w:t>
      </w:r>
    </w:p>
    <w:p w:rsidR="003D63D7" w:rsidP="003D63D7" w:rsidRDefault="003D63D7" w14:paraId="3BEC2525" w14:textId="77777777">
      <w:pPr>
        <w:pStyle w:val="CommentText"/>
        <w:rPr>
          <w:sz w:val="22"/>
          <w:szCs w:val="22"/>
        </w:rPr>
      </w:pPr>
      <w:r w:rsidRPr="5A06276C">
        <w:rPr>
          <w:sz w:val="22"/>
          <w:szCs w:val="22"/>
        </w:rPr>
        <w:t>We will identify and contact PDs using data from the PIR. According to PIR data from the 2018-2019 academic year, there are approximately 1,600 EHS/HS grantees</w:t>
      </w:r>
      <w:r>
        <w:rPr>
          <w:sz w:val="22"/>
          <w:szCs w:val="22"/>
        </w:rPr>
        <w:t xml:space="preserve"> and delegates</w:t>
      </w:r>
      <w:r w:rsidRPr="5A06276C">
        <w:rPr>
          <w:sz w:val="22"/>
          <w:szCs w:val="22"/>
        </w:rPr>
        <w:t xml:space="preserve">.  </w:t>
      </w:r>
      <w:r>
        <w:rPr>
          <w:sz w:val="22"/>
          <w:szCs w:val="22"/>
        </w:rPr>
        <w:t xml:space="preserve">We are unable to currently estimate the number of DSCs, however Head Start Standards require at least one DSC per grantee.  </w:t>
      </w:r>
    </w:p>
    <w:p w:rsidR="003D63D7" w:rsidP="003D63D7" w:rsidRDefault="003D63D7" w14:paraId="6D59C5A5" w14:textId="77777777">
      <w:pPr>
        <w:spacing w:after="60" w:line="240" w:lineRule="atLeast"/>
        <w:rPr>
          <w:rFonts w:eastAsia="Times New Roman"/>
          <w:i/>
          <w:iCs/>
          <w:color w:val="000000" w:themeColor="text1"/>
        </w:rPr>
      </w:pPr>
      <w:r w:rsidRPr="7B360CDE">
        <w:rPr>
          <w:rFonts w:eastAsia="Times New Roman"/>
          <w:i/>
          <w:iCs/>
          <w:color w:val="000000" w:themeColor="text1"/>
        </w:rPr>
        <w:lastRenderedPageBreak/>
        <w:t xml:space="preserve">Sampling </w:t>
      </w:r>
      <w:r>
        <w:rPr>
          <w:rFonts w:eastAsia="Times New Roman"/>
          <w:i/>
          <w:iCs/>
          <w:color w:val="000000" w:themeColor="text1"/>
        </w:rPr>
        <w:t xml:space="preserve"> </w:t>
      </w:r>
    </w:p>
    <w:p w:rsidR="003D63D7" w:rsidP="003D63D7" w:rsidRDefault="003D63D7" w14:paraId="2800368A" w14:textId="77777777">
      <w:pPr>
        <w:pStyle w:val="CommentText"/>
        <w:rPr>
          <w:rFonts w:eastAsia="Times New Roman"/>
          <w:i/>
          <w:iCs/>
          <w:color w:val="538135" w:themeColor="accent6" w:themeShade="BF"/>
          <w:sz w:val="28"/>
          <w:szCs w:val="28"/>
        </w:rPr>
      </w:pPr>
      <w:r>
        <w:rPr>
          <w:sz w:val="22"/>
          <w:szCs w:val="22"/>
        </w:rPr>
        <w:t xml:space="preserve">As no contact list is available for DSCs, we will </w:t>
      </w:r>
      <w:r w:rsidRPr="0983A5E1">
        <w:rPr>
          <w:sz w:val="22"/>
          <w:szCs w:val="22"/>
        </w:rPr>
        <w:t xml:space="preserve">collect data from </w:t>
      </w:r>
      <w:r>
        <w:rPr>
          <w:sz w:val="22"/>
          <w:szCs w:val="22"/>
        </w:rPr>
        <w:t xml:space="preserve">all </w:t>
      </w:r>
      <w:r w:rsidRPr="0983A5E1">
        <w:rPr>
          <w:sz w:val="22"/>
          <w:szCs w:val="22"/>
        </w:rPr>
        <w:t xml:space="preserve">EHS/HS </w:t>
      </w:r>
      <w:r>
        <w:rPr>
          <w:sz w:val="22"/>
          <w:szCs w:val="22"/>
        </w:rPr>
        <w:t xml:space="preserve">program directors to obtain contact information for DSCs and program-level information relevant to the provision of services to children with disabilities and their families. </w:t>
      </w:r>
      <w:r w:rsidRPr="003805F7">
        <w:rPr>
          <w:sz w:val="22"/>
          <w:szCs w:val="22"/>
        </w:rPr>
        <w:t>The responses from the EHS/HS Directors will serve as the sampling frame for our DSC survey.</w:t>
      </w:r>
      <w:r>
        <w:rPr>
          <w:sz w:val="22"/>
          <w:szCs w:val="22"/>
        </w:rPr>
        <w:t xml:space="preserve"> </w:t>
      </w:r>
    </w:p>
    <w:p w:rsidR="003D63D7" w:rsidP="003D63D7" w:rsidRDefault="003D63D7" w14:paraId="2B391FAE" w14:textId="77777777">
      <w:pPr>
        <w:autoSpaceDE w:val="0"/>
        <w:autoSpaceDN w:val="0"/>
        <w:adjustRightInd w:val="0"/>
        <w:spacing w:after="0" w:line="240" w:lineRule="atLeast"/>
        <w:rPr>
          <w:rFonts w:eastAsia="Times New Roman"/>
          <w:color w:val="000000"/>
        </w:rPr>
      </w:pPr>
      <w:r w:rsidRPr="5A06276C">
        <w:rPr>
          <w:rFonts w:eastAsia="Times New Roman"/>
          <w:color w:val="000000" w:themeColor="text1"/>
        </w:rPr>
        <w:t xml:space="preserve">At this time, it is not possible to determine which attributes of </w:t>
      </w:r>
      <w:r>
        <w:rPr>
          <w:rFonts w:eastAsia="Times New Roman"/>
          <w:color w:val="000000" w:themeColor="text1"/>
        </w:rPr>
        <w:t>EHS/</w:t>
      </w:r>
      <w:r w:rsidRPr="5A06276C">
        <w:rPr>
          <w:rFonts w:eastAsia="Times New Roman"/>
          <w:color w:val="000000" w:themeColor="text1"/>
        </w:rPr>
        <w:t xml:space="preserve">HS programs (e.g., size, location, demographics of the children and families </w:t>
      </w:r>
      <w:r w:rsidRPr="00400335">
        <w:rPr>
          <w:rFonts w:eastAsia="Times New Roman" w:cstheme="minorHAnsi"/>
        </w:rPr>
        <w:t xml:space="preserve">served, staffing model, DSC background, relationships with community providers) </w:t>
      </w:r>
      <w:r>
        <w:rPr>
          <w:rFonts w:eastAsia="Times New Roman" w:cstheme="minorHAnsi"/>
        </w:rPr>
        <w:t>contribute to differences in DSC roles, implementation, and processes</w:t>
      </w:r>
      <w:r w:rsidRPr="00400335">
        <w:rPr>
          <w:rFonts w:eastAsia="Times New Roman" w:cstheme="minorHAnsi"/>
        </w:rPr>
        <w:t xml:space="preserve">. </w:t>
      </w:r>
      <w:r w:rsidRPr="003805F7">
        <w:t xml:space="preserve">Given the limited information and potential sampling factors we will invite the entire sample </w:t>
      </w:r>
      <w:r>
        <w:t xml:space="preserve">of DSCs </w:t>
      </w:r>
      <w:r w:rsidRPr="003805F7">
        <w:t>to respond to the survey.</w:t>
      </w:r>
      <w:r>
        <w:t xml:space="preserve"> </w:t>
      </w:r>
    </w:p>
    <w:p w:rsidR="003D63D7" w:rsidP="003D63D7" w:rsidRDefault="003D63D7" w14:paraId="49811DFE" w14:textId="77777777">
      <w:pPr>
        <w:autoSpaceDE w:val="0"/>
        <w:autoSpaceDN w:val="0"/>
        <w:adjustRightInd w:val="0"/>
        <w:spacing w:after="0" w:line="240" w:lineRule="atLeast"/>
        <w:rPr>
          <w:rFonts w:eastAsia="Times New Roman"/>
          <w:color w:val="000000" w:themeColor="text1"/>
        </w:rPr>
      </w:pPr>
    </w:p>
    <w:p w:rsidRPr="003805F7" w:rsidR="003D63D7" w:rsidP="003D63D7" w:rsidRDefault="003D63D7" w14:paraId="7968738F" w14:textId="77777777">
      <w:pPr>
        <w:autoSpaceDE w:val="0"/>
        <w:autoSpaceDN w:val="0"/>
        <w:adjustRightInd w:val="0"/>
        <w:spacing w:after="60" w:line="240" w:lineRule="atLeast"/>
        <w:rPr>
          <w:rFonts w:eastAsia="Times New Roman"/>
          <w:i/>
          <w:color w:val="000000" w:themeColor="text1"/>
        </w:rPr>
      </w:pPr>
      <w:r w:rsidRPr="003805F7">
        <w:rPr>
          <w:rFonts w:eastAsia="Times New Roman"/>
          <w:i/>
          <w:color w:val="000000" w:themeColor="text1"/>
        </w:rPr>
        <w:t xml:space="preserve">Respondent Recruitment for </w:t>
      </w:r>
      <w:r>
        <w:rPr>
          <w:rFonts w:eastAsia="Times New Roman"/>
          <w:i/>
          <w:color w:val="000000" w:themeColor="text1"/>
        </w:rPr>
        <w:t>Phase 3</w:t>
      </w:r>
    </w:p>
    <w:p w:rsidR="003D63D7" w:rsidP="003D63D7" w:rsidRDefault="003D63D7" w14:paraId="3726306F" w14:textId="77777777">
      <w:pPr>
        <w:autoSpaceDE w:val="0"/>
        <w:autoSpaceDN w:val="0"/>
        <w:adjustRightInd w:val="0"/>
        <w:spacing w:after="0" w:line="240" w:lineRule="atLeast"/>
        <w:rPr>
          <w:rFonts w:eastAsia="Times New Roman"/>
          <w:color w:val="000000" w:themeColor="text1"/>
        </w:rPr>
      </w:pPr>
      <w:r>
        <w:rPr>
          <w:rFonts w:eastAsia="Times New Roman"/>
          <w:color w:val="000000" w:themeColor="text1"/>
        </w:rPr>
        <w:t xml:space="preserve">In the Phase 2 survey we will ask DSCs if they would be interested in participating in an interview (Phase 3).  Thirty-five (35) respondents will be purposely chosen from those that both agreed to participate and who meet certain program characteristic criteria (e.g., large program, small program, EHS only, HS only, EHS/HS combination, Region XI and XII). Thus, each respondent will meet at least one of these criteria.  </w:t>
      </w:r>
    </w:p>
    <w:p w:rsidR="003D63D7" w:rsidP="003D63D7" w:rsidRDefault="003D63D7" w14:paraId="4F1CD2FD" w14:textId="77777777">
      <w:pPr>
        <w:autoSpaceDE w:val="0"/>
        <w:autoSpaceDN w:val="0"/>
        <w:adjustRightInd w:val="0"/>
        <w:spacing w:after="0" w:line="240" w:lineRule="atLeast"/>
      </w:pPr>
      <w:r>
        <w:rPr>
          <w:rFonts w:eastAsia="Times New Roman"/>
          <w:color w:val="000000" w:themeColor="text1"/>
        </w:rPr>
        <w:t xml:space="preserve"> </w:t>
      </w:r>
      <w:r w:rsidRPr="5A06276C">
        <w:rPr>
          <w:rFonts w:eastAsia="Times New Roman"/>
          <w:color w:val="000000" w:themeColor="text1"/>
        </w:rPr>
        <w:t xml:space="preserve"> </w:t>
      </w:r>
    </w:p>
    <w:p w:rsidRPr="001A59B6" w:rsidR="003D63D7" w:rsidP="003D63D7" w:rsidRDefault="003D63D7" w14:paraId="1FD70463" w14:textId="77777777">
      <w:pPr>
        <w:pStyle w:val="ListParagraph"/>
        <w:spacing w:after="0" w:line="240" w:lineRule="auto"/>
        <w:ind w:left="0"/>
        <w:rPr>
          <w:rFonts w:cstheme="minorHAnsi"/>
        </w:rPr>
      </w:pPr>
    </w:p>
    <w:p w:rsidRPr="001A59B6" w:rsidR="003D63D7" w:rsidP="003D63D7" w:rsidRDefault="003D63D7" w14:paraId="16D00097" w14:textId="77777777">
      <w:pPr>
        <w:autoSpaceDE w:val="0"/>
        <w:autoSpaceDN w:val="0"/>
        <w:adjustRightInd w:val="0"/>
        <w:spacing w:after="120"/>
        <w:rPr>
          <w:i/>
          <w:iCs/>
          <w:color w:val="0070C0"/>
          <w:sz w:val="28"/>
          <w:szCs w:val="28"/>
        </w:rPr>
      </w:pPr>
      <w:r w:rsidRPr="183590F1">
        <w:rPr>
          <w:rFonts w:eastAsia="Times New Roman"/>
          <w:b/>
          <w:bCs/>
          <w:color w:val="000000"/>
        </w:rPr>
        <w:t>B3.</w:t>
      </w:r>
      <w:r w:rsidRPr="001A59B6">
        <w:rPr>
          <w:rFonts w:eastAsia="Times New Roman" w:cstheme="minorHAnsi"/>
          <w:b/>
          <w:bCs/>
          <w:color w:val="000000"/>
        </w:rPr>
        <w:tab/>
      </w:r>
      <w:r w:rsidRPr="183590F1">
        <w:rPr>
          <w:rFonts w:eastAsia="Times New Roman"/>
          <w:b/>
          <w:bCs/>
          <w:color w:val="000000"/>
        </w:rPr>
        <w:t>Design of Data Collection Instruments</w:t>
      </w:r>
    </w:p>
    <w:p w:rsidRPr="005A052F" w:rsidR="003D63D7" w:rsidP="003D63D7" w:rsidRDefault="003D63D7" w14:paraId="44B3644A" w14:textId="77777777">
      <w:pPr>
        <w:autoSpaceDE w:val="0"/>
        <w:autoSpaceDN w:val="0"/>
        <w:adjustRightInd w:val="0"/>
        <w:spacing w:after="60" w:line="240" w:lineRule="atLeast"/>
        <w:rPr>
          <w:rFonts w:eastAsia="Times New Roman"/>
          <w:i/>
          <w:iCs/>
          <w:color w:val="000000" w:themeColor="text1"/>
        </w:rPr>
      </w:pPr>
      <w:r w:rsidRPr="7B360CDE">
        <w:rPr>
          <w:rFonts w:eastAsia="Times New Roman"/>
          <w:i/>
          <w:iCs/>
          <w:color w:val="000000" w:themeColor="text1"/>
        </w:rPr>
        <w:t>Development of Data Collection Instruments</w:t>
      </w:r>
    </w:p>
    <w:p w:rsidR="003D63D7" w:rsidP="003D63D7" w:rsidRDefault="003D63D7" w14:paraId="311B5701" w14:textId="77777777">
      <w:pPr>
        <w:autoSpaceDE w:val="0"/>
        <w:autoSpaceDN w:val="0"/>
        <w:adjustRightInd w:val="0"/>
        <w:spacing w:after="0" w:line="240" w:lineRule="atLeast"/>
        <w:rPr>
          <w:rFonts w:eastAsiaTheme="minorEastAsia"/>
          <w:color w:val="000000"/>
        </w:rPr>
      </w:pPr>
      <w:r w:rsidRPr="5A06276C">
        <w:rPr>
          <w:rFonts w:eastAsia="Times New Roman"/>
          <w:color w:val="000000" w:themeColor="text1"/>
        </w:rPr>
        <w:t xml:space="preserve">This is the first national study of the HS DSCs. To develop the survey, </w:t>
      </w:r>
      <w:r>
        <w:rPr>
          <w:rFonts w:eastAsia="Times New Roman"/>
          <w:color w:val="000000" w:themeColor="text1"/>
        </w:rPr>
        <w:t>we</w:t>
      </w:r>
      <w:r w:rsidRPr="5A06276C">
        <w:rPr>
          <w:rFonts w:eastAsia="Times New Roman"/>
          <w:color w:val="000000" w:themeColor="text1"/>
        </w:rPr>
        <w:t xml:space="preserve"> engaged </w:t>
      </w:r>
      <w:r>
        <w:rPr>
          <w:rFonts w:eastAsia="Times New Roman"/>
          <w:color w:val="000000" w:themeColor="text1"/>
        </w:rPr>
        <w:t xml:space="preserve">research, </w:t>
      </w:r>
      <w:r w:rsidRPr="5A06276C">
        <w:rPr>
          <w:rFonts w:eastAsia="Times New Roman"/>
          <w:color w:val="000000" w:themeColor="text1"/>
        </w:rPr>
        <w:t xml:space="preserve">program </w:t>
      </w:r>
      <w:r>
        <w:rPr>
          <w:rFonts w:eastAsia="Times New Roman"/>
          <w:color w:val="000000" w:themeColor="text1"/>
        </w:rPr>
        <w:t xml:space="preserve">and training and technical assistance (T/TA) </w:t>
      </w:r>
      <w:r w:rsidRPr="5A06276C">
        <w:rPr>
          <w:rFonts w:eastAsia="Times New Roman"/>
          <w:color w:val="000000" w:themeColor="text1"/>
        </w:rPr>
        <w:t>stakeholders, who included</w:t>
      </w:r>
      <w:r w:rsidRPr="5A06276C">
        <w:rPr>
          <w:rFonts w:ascii="Calibri" w:hAnsi="Calibri" w:eastAsia="Calibri" w:cs="Calibri"/>
          <w:color w:val="000000" w:themeColor="text1"/>
        </w:rPr>
        <w:t xml:space="preserve"> representatives of Head Start Region XI (American Indian and Alaska Native [AIAN]) Stakeholder Workgroup along with other people familiar with HS policies and programs. </w:t>
      </w:r>
      <w:r>
        <w:rPr>
          <w:rFonts w:ascii="Calibri" w:hAnsi="Calibri" w:eastAsia="Calibri" w:cs="Calibri"/>
          <w:color w:val="000000" w:themeColor="text1"/>
        </w:rPr>
        <w:t>We</w:t>
      </w:r>
      <w:r w:rsidRPr="5A06276C">
        <w:rPr>
          <w:rFonts w:eastAsia="Times New Roman"/>
          <w:color w:val="000000" w:themeColor="text1"/>
        </w:rPr>
        <w:t xml:space="preserve"> also reviewed existing data sources, surveys, </w:t>
      </w:r>
      <w:r>
        <w:rPr>
          <w:rFonts w:eastAsia="Times New Roman"/>
          <w:color w:val="000000" w:themeColor="text1"/>
        </w:rPr>
        <w:t>T/</w:t>
      </w:r>
      <w:r w:rsidRPr="5A06276C">
        <w:rPr>
          <w:rFonts w:eastAsia="Times New Roman"/>
          <w:color w:val="000000" w:themeColor="text1"/>
        </w:rPr>
        <w:t>TA materials</w:t>
      </w:r>
      <w:r>
        <w:rPr>
          <w:rStyle w:val="FootnoteReference"/>
          <w:rFonts w:eastAsia="Times New Roman"/>
          <w:color w:val="000000" w:themeColor="text1"/>
        </w:rPr>
        <w:footnoteReference w:id="2"/>
      </w:r>
      <w:r w:rsidRPr="5A06276C">
        <w:rPr>
          <w:rFonts w:eastAsia="Times New Roman"/>
          <w:color w:val="000000" w:themeColor="text1"/>
        </w:rPr>
        <w:t xml:space="preserve">, and practice tools, and worked with federal staff to identify research questions aligned with </w:t>
      </w:r>
      <w:r>
        <w:rPr>
          <w:rFonts w:eastAsia="Times New Roman"/>
          <w:color w:val="000000" w:themeColor="text1"/>
        </w:rPr>
        <w:t xml:space="preserve">constructs and </w:t>
      </w:r>
      <w:r w:rsidRPr="5A06276C">
        <w:rPr>
          <w:rFonts w:eastAsia="Times New Roman"/>
          <w:color w:val="000000" w:themeColor="text1"/>
        </w:rPr>
        <w:t xml:space="preserve">study goals. </w:t>
      </w:r>
      <w:r>
        <w:rPr>
          <w:rFonts w:ascii="Calibri" w:hAnsi="Calibri" w:eastAsia="Calibri" w:cs="Calibri"/>
          <w:color w:val="000000" w:themeColor="text1"/>
        </w:rPr>
        <w:t>S</w:t>
      </w:r>
      <w:r w:rsidRPr="5A06276C">
        <w:rPr>
          <w:rFonts w:ascii="Calibri" w:hAnsi="Calibri" w:eastAsia="Calibri" w:cs="Calibri"/>
          <w:color w:val="000000" w:themeColor="text1"/>
        </w:rPr>
        <w:t>takeholders provided feedback on study constructs, data collection methods, and data collection instruments.</w:t>
      </w:r>
    </w:p>
    <w:p w:rsidR="003D63D7" w:rsidP="003D63D7" w:rsidRDefault="003D63D7" w14:paraId="00E59F54" w14:textId="77777777">
      <w:pPr>
        <w:autoSpaceDE w:val="0"/>
        <w:autoSpaceDN w:val="0"/>
        <w:adjustRightInd w:val="0"/>
        <w:spacing w:after="0" w:line="240" w:lineRule="atLeast"/>
        <w:rPr>
          <w:rFonts w:eastAsia="Times New Roman" w:cstheme="minorHAnsi"/>
          <w:iCs/>
          <w:color w:val="000000"/>
        </w:rPr>
      </w:pPr>
    </w:p>
    <w:p w:rsidR="003D63D7" w:rsidP="003D63D7" w:rsidRDefault="003D63D7" w14:paraId="041E0474" w14:textId="77777777">
      <w:pPr>
        <w:autoSpaceDE w:val="0"/>
        <w:autoSpaceDN w:val="0"/>
        <w:adjustRightInd w:val="0"/>
        <w:spacing w:after="0" w:line="240" w:lineRule="atLeast"/>
        <w:rPr>
          <w:rFonts w:eastAsiaTheme="minorEastAsia"/>
          <w:color w:val="000000" w:themeColor="text1"/>
        </w:rPr>
      </w:pPr>
      <w:r>
        <w:rPr>
          <w:rFonts w:eastAsia="Times New Roman"/>
          <w:color w:val="000000" w:themeColor="text1"/>
        </w:rPr>
        <w:t>We</w:t>
      </w:r>
      <w:r w:rsidRPr="5A06276C">
        <w:rPr>
          <w:rFonts w:eastAsia="Times New Roman"/>
          <w:color w:val="000000" w:themeColor="text1"/>
        </w:rPr>
        <w:t xml:space="preserve"> reviewed 18 quantitative (e.g., PIR</w:t>
      </w:r>
      <w:r>
        <w:rPr>
          <w:rFonts w:eastAsia="Times New Roman"/>
          <w:color w:val="000000" w:themeColor="text1"/>
        </w:rPr>
        <w:t>;</w:t>
      </w:r>
      <w:r w:rsidRPr="5A06276C">
        <w:rPr>
          <w:rFonts w:eastAsia="Times New Roman"/>
          <w:color w:val="000000" w:themeColor="text1"/>
        </w:rPr>
        <w:t xml:space="preserve"> Head Start Health Managers Study; Head Start Family and Child Experiences Survey</w:t>
      </w:r>
      <w:r>
        <w:rPr>
          <w:rFonts w:eastAsia="Times New Roman"/>
          <w:color w:val="000000" w:themeColor="text1"/>
        </w:rPr>
        <w:t>;</w:t>
      </w:r>
      <w:r w:rsidRPr="5A06276C">
        <w:rPr>
          <w:rFonts w:eastAsia="Times New Roman"/>
          <w:color w:val="000000" w:themeColor="text1"/>
        </w:rPr>
        <w:t xml:space="preserve"> EHS Baby Family and Child Experiences Survey</w:t>
      </w:r>
      <w:r>
        <w:rPr>
          <w:rFonts w:eastAsia="Times New Roman"/>
          <w:color w:val="000000" w:themeColor="text1"/>
        </w:rPr>
        <w:t>;</w:t>
      </w:r>
      <w:r w:rsidRPr="5A06276C">
        <w:rPr>
          <w:rFonts w:eastAsia="Times New Roman"/>
          <w:color w:val="000000" w:themeColor="text1"/>
        </w:rPr>
        <w:t xml:space="preserve"> AIAN Head Start Family and Child Experiences Survey; Head Start Impact Study) data sources to identify areas where constructs of interest could be measured with previously fielded items. Next, the research team identified existing items from self-assessments and checklists developed for professional development and adapted those items for the survey. </w:t>
      </w:r>
      <w:r>
        <w:rPr>
          <w:rFonts w:eastAsia="Times New Roman"/>
          <w:color w:val="000000" w:themeColor="text1"/>
        </w:rPr>
        <w:t>We</w:t>
      </w:r>
      <w:r w:rsidRPr="5A06276C">
        <w:rPr>
          <w:rFonts w:eastAsia="Times New Roman"/>
          <w:color w:val="000000" w:themeColor="text1"/>
        </w:rPr>
        <w:t xml:space="preserve"> developed original items where no existing items were available. The team then shared an initial pool of items with stakeholders, who provided feedback on</w:t>
      </w:r>
      <w:r>
        <w:rPr>
          <w:rFonts w:eastAsia="Times New Roman"/>
          <w:color w:val="000000" w:themeColor="text1"/>
        </w:rPr>
        <w:t xml:space="preserve"> </w:t>
      </w:r>
      <w:r w:rsidRPr="5A06276C">
        <w:rPr>
          <w:rFonts w:eastAsia="Times New Roman"/>
          <w:color w:val="000000" w:themeColor="text1"/>
        </w:rPr>
        <w:t xml:space="preserve">relevance </w:t>
      </w:r>
      <w:r>
        <w:rPr>
          <w:rFonts w:eastAsia="Times New Roman"/>
          <w:color w:val="000000" w:themeColor="text1"/>
        </w:rPr>
        <w:t>to</w:t>
      </w:r>
      <w:r w:rsidRPr="5A06276C">
        <w:rPr>
          <w:rFonts w:eastAsia="Times New Roman"/>
          <w:color w:val="000000" w:themeColor="text1"/>
        </w:rPr>
        <w:t xml:space="preserve"> the identified constructs</w:t>
      </w:r>
      <w:r>
        <w:rPr>
          <w:rFonts w:eastAsia="Times New Roman"/>
          <w:color w:val="000000" w:themeColor="text1"/>
        </w:rPr>
        <w:t xml:space="preserve"> and completeness of response items</w:t>
      </w:r>
      <w:r w:rsidRPr="5A06276C">
        <w:rPr>
          <w:rFonts w:eastAsia="Times New Roman"/>
          <w:color w:val="000000" w:themeColor="text1"/>
        </w:rPr>
        <w:t xml:space="preserve">. </w:t>
      </w:r>
      <w:r>
        <w:rPr>
          <w:rFonts w:eastAsia="Times New Roman"/>
          <w:color w:val="000000" w:themeColor="text1"/>
        </w:rPr>
        <w:t>Cognitive</w:t>
      </w:r>
      <w:r w:rsidRPr="5A06276C">
        <w:rPr>
          <w:rFonts w:eastAsia="Times New Roman"/>
          <w:color w:val="000000" w:themeColor="text1"/>
        </w:rPr>
        <w:t xml:space="preserve"> interviews </w:t>
      </w:r>
      <w:r>
        <w:rPr>
          <w:rFonts w:eastAsia="Times New Roman"/>
          <w:color w:val="000000" w:themeColor="text1"/>
        </w:rPr>
        <w:t xml:space="preserve">were conducted </w:t>
      </w:r>
      <w:r w:rsidRPr="5A06276C">
        <w:rPr>
          <w:rFonts w:eastAsia="Times New Roman"/>
          <w:color w:val="000000" w:themeColor="text1"/>
        </w:rPr>
        <w:t xml:space="preserve">with members of the target population to </w:t>
      </w:r>
      <w:r>
        <w:rPr>
          <w:rFonts w:eastAsia="Times New Roman"/>
          <w:color w:val="000000" w:themeColor="text1"/>
        </w:rPr>
        <w:t>identify</w:t>
      </w:r>
      <w:r w:rsidRPr="5A06276C">
        <w:rPr>
          <w:rFonts w:eastAsia="Times New Roman"/>
          <w:color w:val="000000" w:themeColor="text1"/>
        </w:rPr>
        <w:t xml:space="preserve"> questions that were difficult to understand (e.g., too complex, poorly phrased, use of uncommon terms) and questions that were difficult to answer (e.g., difficulty with recall, inability to look up needed data, incomplete list of response options). The final survey was mapped onto the objectives described in Section B1 (</w:t>
      </w:r>
      <w:r w:rsidRPr="00F1081B">
        <w:rPr>
          <w:rFonts w:eastAsia="Times New Roman"/>
          <w:color w:val="000000" w:themeColor="text1"/>
        </w:rPr>
        <w:t>see Attachment A for a table showing this mapping</w:t>
      </w:r>
      <w:r w:rsidRPr="5A06276C">
        <w:rPr>
          <w:rFonts w:eastAsia="Times New Roman"/>
          <w:color w:val="000000" w:themeColor="text1"/>
        </w:rPr>
        <w:t xml:space="preserve">). </w:t>
      </w:r>
      <w:r>
        <w:rPr>
          <w:rFonts w:eastAsia="Times New Roman"/>
          <w:color w:val="000000" w:themeColor="text1"/>
        </w:rPr>
        <w:t xml:space="preserve"> A few sources of m</w:t>
      </w:r>
      <w:r w:rsidRPr="5A06276C">
        <w:rPr>
          <w:rFonts w:eastAsia="Times New Roman"/>
          <w:color w:val="000000" w:themeColor="text1"/>
        </w:rPr>
        <w:t>easurement error w</w:t>
      </w:r>
      <w:r>
        <w:rPr>
          <w:rFonts w:eastAsia="Times New Roman"/>
          <w:color w:val="000000" w:themeColor="text1"/>
        </w:rPr>
        <w:t>ere</w:t>
      </w:r>
      <w:r w:rsidRPr="5A06276C">
        <w:rPr>
          <w:rFonts w:eastAsia="Times New Roman"/>
          <w:color w:val="000000" w:themeColor="text1"/>
        </w:rPr>
        <w:t xml:space="preserve"> identified through cognitive testing</w:t>
      </w:r>
      <w:r>
        <w:rPr>
          <w:rFonts w:eastAsia="Times New Roman"/>
          <w:color w:val="000000" w:themeColor="text1"/>
        </w:rPr>
        <w:t>,</w:t>
      </w:r>
      <w:r w:rsidRPr="5A06276C">
        <w:rPr>
          <w:rFonts w:eastAsia="Times New Roman"/>
          <w:color w:val="000000" w:themeColor="text1"/>
        </w:rPr>
        <w:t xml:space="preserve"> </w:t>
      </w:r>
      <w:r>
        <w:rPr>
          <w:rFonts w:eastAsia="Times New Roman"/>
          <w:color w:val="000000" w:themeColor="text1"/>
        </w:rPr>
        <w:t>and w</w:t>
      </w:r>
      <w:r w:rsidRPr="5A06276C">
        <w:rPr>
          <w:rFonts w:eastAsia="Times New Roman"/>
          <w:color w:val="000000" w:themeColor="text1"/>
        </w:rPr>
        <w:t>e revis</w:t>
      </w:r>
      <w:r>
        <w:rPr>
          <w:rFonts w:eastAsia="Times New Roman"/>
          <w:color w:val="000000" w:themeColor="text1"/>
        </w:rPr>
        <w:t>ed</w:t>
      </w:r>
      <w:r w:rsidRPr="5A06276C">
        <w:rPr>
          <w:rFonts w:eastAsia="Times New Roman"/>
          <w:color w:val="000000" w:themeColor="text1"/>
        </w:rPr>
        <w:t xml:space="preserve"> to strengthen clarity and interpretability of both the questions and the response options</w:t>
      </w:r>
      <w:r>
        <w:rPr>
          <w:rFonts w:eastAsia="Times New Roman"/>
          <w:color w:val="000000" w:themeColor="text1"/>
        </w:rPr>
        <w:t xml:space="preserve">. </w:t>
      </w:r>
    </w:p>
    <w:p w:rsidR="003D63D7" w:rsidP="003D63D7" w:rsidRDefault="003D63D7" w14:paraId="0E9D8CB1" w14:textId="77777777">
      <w:pPr>
        <w:autoSpaceDE w:val="0"/>
        <w:autoSpaceDN w:val="0"/>
        <w:adjustRightInd w:val="0"/>
        <w:spacing w:after="0" w:line="240" w:lineRule="atLeast"/>
        <w:rPr>
          <w:rFonts w:eastAsia="Times New Roman"/>
          <w:color w:val="000000"/>
        </w:rPr>
      </w:pPr>
    </w:p>
    <w:p w:rsidR="003D63D7" w:rsidP="003D63D7" w:rsidRDefault="003D63D7" w14:paraId="4D2B2A44" w14:textId="77777777">
      <w:pPr>
        <w:autoSpaceDE w:val="0"/>
        <w:autoSpaceDN w:val="0"/>
        <w:adjustRightInd w:val="0"/>
        <w:spacing w:after="0" w:line="240" w:lineRule="atLeast"/>
        <w:rPr>
          <w:rFonts w:eastAsia="Times New Roman"/>
          <w:color w:val="000000"/>
        </w:rPr>
      </w:pPr>
      <w:r>
        <w:rPr>
          <w:rFonts w:eastAsia="Times New Roman"/>
          <w:color w:val="000000" w:themeColor="text1"/>
        </w:rPr>
        <w:lastRenderedPageBreak/>
        <w:t>For the interview development, we</w:t>
      </w:r>
      <w:r w:rsidRPr="5A06276C">
        <w:rPr>
          <w:rFonts w:eastAsia="Times New Roman"/>
          <w:color w:val="000000" w:themeColor="text1"/>
        </w:rPr>
        <w:t xml:space="preserve"> </w:t>
      </w:r>
      <w:r>
        <w:rPr>
          <w:rFonts w:eastAsia="Times New Roman"/>
          <w:color w:val="000000" w:themeColor="text1"/>
        </w:rPr>
        <w:t>conferred with Office of Head Start and stakeholders to identify key areas in the survey that could be more valuable if fleshed out with in-depth information from the interviews.  We</w:t>
      </w:r>
      <w:r w:rsidRPr="5A06276C">
        <w:rPr>
          <w:rFonts w:eastAsia="Times New Roman"/>
          <w:color w:val="000000" w:themeColor="text1"/>
        </w:rPr>
        <w:t xml:space="preserve"> conducted cognitive testing of the interview items with </w:t>
      </w:r>
      <w:r>
        <w:rPr>
          <w:rFonts w:eastAsia="Times New Roman"/>
          <w:color w:val="000000" w:themeColor="text1"/>
        </w:rPr>
        <w:t xml:space="preserve">nine (9) </w:t>
      </w:r>
      <w:r w:rsidRPr="5A06276C">
        <w:rPr>
          <w:rFonts w:eastAsia="Times New Roman"/>
          <w:color w:val="000000" w:themeColor="text1"/>
        </w:rPr>
        <w:t xml:space="preserve">people familiar with </w:t>
      </w:r>
      <w:r>
        <w:rPr>
          <w:rFonts w:eastAsia="Times New Roman"/>
          <w:color w:val="000000" w:themeColor="text1"/>
        </w:rPr>
        <w:t>EHS/</w:t>
      </w:r>
      <w:r w:rsidRPr="5A06276C">
        <w:rPr>
          <w:rFonts w:eastAsia="Times New Roman"/>
          <w:color w:val="000000" w:themeColor="text1"/>
        </w:rPr>
        <w:t xml:space="preserve">HS and DSC responsibilities. </w:t>
      </w:r>
      <w:r>
        <w:rPr>
          <w:rFonts w:eastAsia="Times New Roman"/>
          <w:color w:val="000000" w:themeColor="text1"/>
        </w:rPr>
        <w:t>Based on the cognitive testing, questions and response options were refined for clarity and meaning.</w:t>
      </w:r>
    </w:p>
    <w:p w:rsidRPr="001A59B6" w:rsidR="003D63D7" w:rsidP="003D63D7" w:rsidRDefault="003D63D7" w14:paraId="0C01439C" w14:textId="77777777">
      <w:pPr>
        <w:autoSpaceDE w:val="0"/>
        <w:autoSpaceDN w:val="0"/>
        <w:adjustRightInd w:val="0"/>
        <w:spacing w:after="60" w:line="240" w:lineRule="atLeast"/>
        <w:rPr>
          <w:rFonts w:eastAsia="Times New Roman"/>
          <w:color w:val="000000"/>
        </w:rPr>
      </w:pPr>
    </w:p>
    <w:p w:rsidR="003D63D7" w:rsidP="003D63D7" w:rsidRDefault="003D63D7" w14:paraId="278B799C" w14:textId="77777777">
      <w:pPr>
        <w:autoSpaceDE w:val="0"/>
        <w:autoSpaceDN w:val="0"/>
        <w:adjustRightInd w:val="0"/>
        <w:spacing w:after="120"/>
        <w:rPr>
          <w:rFonts w:eastAsia="Times New Roman"/>
          <w:b/>
          <w:bCs/>
          <w:color w:val="00B050"/>
          <w:sz w:val="28"/>
          <w:szCs w:val="28"/>
        </w:rPr>
      </w:pPr>
      <w:r w:rsidRPr="7B360CDE">
        <w:rPr>
          <w:rFonts w:eastAsia="Times New Roman"/>
          <w:b/>
          <w:bCs/>
          <w:color w:val="000000" w:themeColor="text1"/>
        </w:rPr>
        <w:t xml:space="preserve">B4. </w:t>
      </w:r>
      <w:r>
        <w:tab/>
      </w:r>
      <w:r w:rsidRPr="7B360CDE">
        <w:rPr>
          <w:rFonts w:eastAsia="Times New Roman"/>
          <w:b/>
          <w:bCs/>
          <w:color w:val="000000" w:themeColor="text1"/>
        </w:rPr>
        <w:t xml:space="preserve">Collection of Data and Quality Control </w:t>
      </w:r>
    </w:p>
    <w:p w:rsidRPr="00624825" w:rsidR="003D63D7" w:rsidP="003D63D7" w:rsidRDefault="003D63D7" w14:paraId="2CC52985" w14:textId="77777777">
      <w:pPr>
        <w:pStyle w:val="ListParagraph"/>
        <w:spacing w:after="0" w:line="240" w:lineRule="atLeast"/>
        <w:ind w:left="0"/>
        <w:contextualSpacing w:val="0"/>
        <w:rPr>
          <w:rFonts w:cstheme="minorHAnsi"/>
        </w:rPr>
      </w:pPr>
      <w:r w:rsidRPr="00624825">
        <w:rPr>
          <w:rFonts w:cstheme="minorHAnsi"/>
        </w:rPr>
        <w:t>ACF has contracted</w:t>
      </w:r>
      <w:r>
        <w:rPr>
          <w:rFonts w:cstheme="minorHAnsi"/>
        </w:rPr>
        <w:t xml:space="preserve"> with NORC at the University of </w:t>
      </w:r>
      <w:r w:rsidRPr="00624825">
        <w:rPr>
          <w:rFonts w:cstheme="minorHAnsi"/>
        </w:rPr>
        <w:t xml:space="preserve">Chicago (NORC) to complete this study. NORC has </w:t>
      </w:r>
      <w:r w:rsidRPr="00624825">
        <w:rPr>
          <w:rFonts w:eastAsia="Calibri" w:cstheme="minorHAnsi"/>
          <w:color w:val="000000" w:themeColor="text1"/>
        </w:rPr>
        <w:t xml:space="preserve">partnered with SRI International and a consultant, Amanda Schwartz. </w:t>
      </w:r>
      <w:r w:rsidRPr="00624825">
        <w:rPr>
          <w:rFonts w:cstheme="minorHAnsi"/>
        </w:rPr>
        <w:t xml:space="preserve"> This </w:t>
      </w:r>
      <w:r w:rsidRPr="00A50AA2">
        <w:rPr>
          <w:rFonts w:cstheme="minorHAnsi"/>
        </w:rPr>
        <w:t xml:space="preserve">research team </w:t>
      </w:r>
      <w:r w:rsidRPr="00624825">
        <w:rPr>
          <w:rFonts w:cstheme="minorHAnsi"/>
        </w:rPr>
        <w:t>will implement the surveys and conduct the qualitative interviews.</w:t>
      </w:r>
    </w:p>
    <w:p w:rsidR="003D63D7" w:rsidP="003D63D7" w:rsidRDefault="003D63D7" w14:paraId="22D6909C" w14:textId="77777777">
      <w:pPr>
        <w:pStyle w:val="ListParagraph"/>
        <w:spacing w:after="0" w:line="240" w:lineRule="atLeast"/>
        <w:ind w:left="0"/>
        <w:contextualSpacing w:val="0"/>
      </w:pPr>
    </w:p>
    <w:p w:rsidRPr="00C96CB4" w:rsidR="003D63D7" w:rsidP="003D63D7" w:rsidRDefault="003D63D7" w14:paraId="1C767A7B" w14:textId="77777777">
      <w:pPr>
        <w:pStyle w:val="ListParagraph"/>
        <w:spacing w:after="60" w:line="240" w:lineRule="atLeast"/>
        <w:ind w:left="0"/>
        <w:contextualSpacing w:val="0"/>
        <w:rPr>
          <w:i/>
        </w:rPr>
      </w:pPr>
      <w:r>
        <w:rPr>
          <w:i/>
        </w:rPr>
        <w:t>PHASE 1</w:t>
      </w:r>
      <w:r w:rsidRPr="00C96CB4">
        <w:rPr>
          <w:i/>
        </w:rPr>
        <w:t>: Survey of EHS/HS Program Directors</w:t>
      </w:r>
      <w:r>
        <w:rPr>
          <w:i/>
        </w:rPr>
        <w:t xml:space="preserve"> </w:t>
      </w:r>
    </w:p>
    <w:p w:rsidR="003D63D7" w:rsidP="003D63D7" w:rsidRDefault="003D63D7" w14:paraId="084570F1" w14:textId="77777777">
      <w:pPr>
        <w:spacing w:after="0" w:line="240" w:lineRule="atLeast"/>
      </w:pPr>
      <w:r>
        <w:t>For Phase 1, all EHS/HS grantee- and delegate-level directors will receive an emailed invitation to participate in the survey (see Attachment C Phase 1 Recruitment Materials). The email will include a clear rationale for the study and explain how the director can contribute to the survey effort. The research team will provide contact information to those who have questions prior to agreeing to participate and</w:t>
      </w:r>
      <w:r w:rsidRPr="5A06276C">
        <w:rPr>
          <w:rFonts w:eastAsia="Times New Roman"/>
          <w:color w:val="000000" w:themeColor="text1"/>
        </w:rPr>
        <w:t xml:space="preserve"> will follow up as needed. </w:t>
      </w:r>
      <w:r>
        <w:t xml:space="preserve">Respondents will be provided with a generic URL and unique PIN to complete the survey online. The initial emails will also coincide with a letter of support from OHS to further encourage participation (see Attachment C Phase 1 Recruitment Materials). </w:t>
      </w:r>
    </w:p>
    <w:p w:rsidR="003D63D7" w:rsidP="003D63D7" w:rsidRDefault="003D63D7" w14:paraId="6B0A8020" w14:textId="77777777">
      <w:pPr>
        <w:spacing w:after="0" w:line="240" w:lineRule="atLeast"/>
      </w:pPr>
    </w:p>
    <w:p w:rsidR="003D63D7" w:rsidP="003D63D7" w:rsidRDefault="003D63D7" w14:paraId="0CE23CC5" w14:textId="77777777">
      <w:pPr>
        <w:spacing w:after="0" w:line="240" w:lineRule="auto"/>
      </w:pPr>
      <w:r w:rsidRPr="00C13391">
        <w:t xml:space="preserve">Given the essential study need for contact information about the DSCs, we will follow up with EHS/HS program directors who do not respond to the email invitation. </w:t>
      </w:r>
      <w:r>
        <w:t>We will send follow-up emails on a biweekly basis for a six-week period after the initial invitation.</w:t>
      </w:r>
      <w:r w:rsidRPr="00C13391">
        <w:t xml:space="preserve"> In addition, we will use follow-up calls to address gaps in response from key subgroups (e.g., </w:t>
      </w:r>
      <w:r>
        <w:t xml:space="preserve">program types; </w:t>
      </w:r>
      <w:r w:rsidRPr="00C13391">
        <w:t xml:space="preserve">smaller programs, larger programs, each region, programs with ethnic and language diversity). (See Attachment </w:t>
      </w:r>
      <w:r>
        <w:t>C Phase 1 Recruitment materials</w:t>
      </w:r>
      <w:r w:rsidRPr="00C13391">
        <w:t>)</w:t>
      </w:r>
      <w:r>
        <w:t>.</w:t>
      </w:r>
      <w:r w:rsidRPr="00C13391">
        <w:t xml:space="preserve"> </w:t>
      </w:r>
      <w:r>
        <w:t>In addition to email outreach, OPRE, OHS, and the study team will use strategies to raise awareness of the study. Attachment F (EXAMPLE Study Awareness Documentation)</w:t>
      </w:r>
      <w:r w:rsidRPr="00E54860">
        <w:t xml:space="preserve"> </w:t>
      </w:r>
      <w:r>
        <w:t>provides examples of potential study awareness materials.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003D63D7" w:rsidP="003D63D7" w:rsidRDefault="003D63D7" w14:paraId="5E420FD5" w14:textId="77777777">
      <w:pPr>
        <w:spacing w:after="0" w:line="240" w:lineRule="auto"/>
      </w:pPr>
    </w:p>
    <w:p w:rsidR="003D63D7" w:rsidP="003D63D7" w:rsidRDefault="003D63D7" w14:paraId="2766360C" w14:textId="77777777">
      <w:pPr>
        <w:pStyle w:val="ListParagraph"/>
        <w:spacing w:after="0" w:line="240" w:lineRule="atLeast"/>
        <w:ind w:left="0"/>
        <w:contextualSpacing w:val="0"/>
      </w:pPr>
      <w:r>
        <w:t>The research team will use a multi-mode data collection beginning with web-based data collection and transitioning to telephone collection as needed. Those who are not able to complete the survey using one of the available electronic methods (e.g., internet, personal digital assistance, smartphone, WebTV) will have the opportunity to complete the survey over the telephone with a trained interviewer.  We anticipate the number of individuals who opt to complete the survey by phone to be very minimal.</w:t>
      </w:r>
    </w:p>
    <w:p w:rsidR="003D63D7" w:rsidP="003D63D7" w:rsidRDefault="003D63D7" w14:paraId="173431C5" w14:textId="77777777">
      <w:pPr>
        <w:pStyle w:val="ListParagraph"/>
        <w:spacing w:after="0" w:line="240" w:lineRule="atLeast"/>
        <w:ind w:left="0"/>
        <w:contextualSpacing w:val="0"/>
      </w:pPr>
    </w:p>
    <w:p w:rsidRPr="00C96CB4" w:rsidR="003D63D7" w:rsidP="003D63D7" w:rsidRDefault="003D63D7" w14:paraId="48660A03" w14:textId="77777777">
      <w:pPr>
        <w:pStyle w:val="ListParagraph"/>
        <w:spacing w:after="60" w:line="240" w:lineRule="atLeast"/>
        <w:ind w:left="0"/>
        <w:contextualSpacing w:val="0"/>
        <w:rPr>
          <w:i/>
        </w:rPr>
      </w:pPr>
      <w:r>
        <w:rPr>
          <w:i/>
        </w:rPr>
        <w:t>PHASE 2</w:t>
      </w:r>
      <w:r w:rsidRPr="00C96CB4">
        <w:rPr>
          <w:i/>
        </w:rPr>
        <w:t>: Survey of</w:t>
      </w:r>
      <w:r>
        <w:rPr>
          <w:i/>
        </w:rPr>
        <w:t xml:space="preserve"> EHS/HS</w:t>
      </w:r>
      <w:r w:rsidRPr="00C96CB4">
        <w:rPr>
          <w:i/>
        </w:rPr>
        <w:t xml:space="preserve"> DSCs</w:t>
      </w:r>
    </w:p>
    <w:p w:rsidR="003D63D7" w:rsidP="003D63D7" w:rsidRDefault="003D63D7" w14:paraId="0D9AFED1" w14:textId="77777777">
      <w:pPr>
        <w:pStyle w:val="ListParagraph"/>
        <w:spacing w:after="0" w:line="240" w:lineRule="atLeast"/>
        <w:ind w:left="0"/>
        <w:contextualSpacing w:val="0"/>
      </w:pPr>
      <w:r>
        <w:t>Information from the Phase 1 survey establishes</w:t>
      </w:r>
      <w:r>
        <w:rPr>
          <w:rFonts w:eastAsia="Times New Roman"/>
          <w:color w:val="000000" w:themeColor="text1"/>
        </w:rPr>
        <w:t xml:space="preserve"> the sampling frame </w:t>
      </w:r>
      <w:r w:rsidRPr="5A06276C">
        <w:rPr>
          <w:rFonts w:eastAsia="Times New Roman"/>
          <w:color w:val="000000" w:themeColor="text1"/>
        </w:rPr>
        <w:t xml:space="preserve">of EHS/HS DSCs for the </w:t>
      </w:r>
      <w:r>
        <w:rPr>
          <w:rFonts w:eastAsia="Times New Roman"/>
          <w:color w:val="000000" w:themeColor="text1"/>
        </w:rPr>
        <w:t xml:space="preserve">Phase 2 </w:t>
      </w:r>
      <w:r w:rsidRPr="00C96CB4">
        <w:rPr>
          <w:rFonts w:eastAsia="Times New Roman"/>
          <w:color w:val="000000" w:themeColor="text1"/>
        </w:rPr>
        <w:t xml:space="preserve">online survey. </w:t>
      </w:r>
      <w:r>
        <w:t>For Phase 2, we will send an initial invite email in waves to all DSCs as they are identified (See Attachment D Phase 2 Recruitment). The email will include a clear rationale for the study and explain how the DSC can contribute to the survey effort.  The invite email will coincide with a letter of support from OHS supporting the study and encouraging DSC participation. We will send f</w:t>
      </w:r>
      <w:r w:rsidRPr="00C96CB4">
        <w:t>ollow-up emails on a biweekly basis for a six-week period after the initial invitation.</w:t>
      </w:r>
      <w:r>
        <w:t xml:space="preserve"> Follow-up emails may also be targeted to address </w:t>
      </w:r>
      <w:r w:rsidRPr="00C13391">
        <w:t xml:space="preserve">gaps in response from key subgroups (e.g., </w:t>
      </w:r>
      <w:r>
        <w:t xml:space="preserve">program types; </w:t>
      </w:r>
      <w:r w:rsidRPr="00C13391">
        <w:t xml:space="preserve">smaller programs, larger </w:t>
      </w:r>
      <w:r w:rsidRPr="00C13391">
        <w:lastRenderedPageBreak/>
        <w:t>programs, each region, programs with ethnic and language diversity). (See A</w:t>
      </w:r>
      <w:r>
        <w:t>ttachment</w:t>
      </w:r>
      <w:r w:rsidRPr="00C13391">
        <w:t xml:space="preserve"> </w:t>
      </w:r>
      <w:r>
        <w:t>D Phase 2 Recruitment</w:t>
      </w:r>
      <w:r w:rsidRPr="00C13391">
        <w:t>)</w:t>
      </w:r>
      <w:r>
        <w:t>.</w:t>
      </w:r>
      <w:r w:rsidRPr="00C13391">
        <w:t xml:space="preserve"> </w:t>
      </w:r>
      <w:r>
        <w:t>Phone recruitment may also be used to address gaps in responses from key subgroups.</w:t>
      </w:r>
      <w:r w:rsidRPr="00C96CB4">
        <w:t xml:space="preserve"> </w:t>
      </w:r>
      <w:r>
        <w:t>In addition to email outreach, OPRE, OHS, and the study team will use strategies to raise awareness of the study. Attachment F (EXAMPLE Study Awareness Documentation)</w:t>
      </w:r>
      <w:r w:rsidRPr="00E54860">
        <w:t xml:space="preserve"> </w:t>
      </w:r>
      <w:r>
        <w:t>provides examples of potential study awareness materials. Overviews and updates regarding the study will be sent through social media channels of OPRE, OHS, T/TA and other community partners. These materials will be customized for the audience and for the platform (e.g., for ACF leaders’ speech at DSC event; for regional office newsletter, etc.).</w:t>
      </w:r>
    </w:p>
    <w:p w:rsidR="003D63D7" w:rsidP="003D63D7" w:rsidRDefault="003D63D7" w14:paraId="0E2E56B8" w14:textId="77777777">
      <w:pPr>
        <w:pStyle w:val="ListParagraph"/>
        <w:spacing w:after="0" w:line="240" w:lineRule="atLeast"/>
        <w:ind w:left="0"/>
        <w:contextualSpacing w:val="0"/>
      </w:pPr>
    </w:p>
    <w:p w:rsidR="003D63D7" w:rsidP="003D63D7" w:rsidRDefault="003D63D7" w14:paraId="22C18C90" w14:textId="77777777">
      <w:pPr>
        <w:spacing w:after="0" w:line="240" w:lineRule="atLeast"/>
      </w:pPr>
      <w:r>
        <w:t>The research team will use a multimode data collection beginning with web-based data collection and transitioning to telephone collection as requested. Those who are not able to complete the survey using one of the available electronic methods (e.g., internet, personal digital assistance, smartphone, WebTV) will have the opportunity to complete the survey over the telephone with a trained interviewer.  We anticipate the number of individuals who opt to complete the survey by phone to be very minimal.</w:t>
      </w:r>
    </w:p>
    <w:p w:rsidRPr="001E433D" w:rsidR="003D63D7" w:rsidP="003D63D7" w:rsidRDefault="003D63D7" w14:paraId="763A413B" w14:textId="77777777">
      <w:pPr>
        <w:spacing w:after="0" w:line="240" w:lineRule="atLeast"/>
        <w:rPr>
          <w:rFonts w:ascii="Calibri" w:hAnsi="Calibri" w:eastAsia="Calibri" w:cs="Calibri"/>
          <w:color w:val="000000" w:themeColor="text1"/>
        </w:rPr>
      </w:pPr>
    </w:p>
    <w:p w:rsidRPr="00A959E6" w:rsidR="003D63D7" w:rsidP="003D63D7" w:rsidRDefault="003D63D7" w14:paraId="33E57B3B" w14:textId="77777777">
      <w:pPr>
        <w:spacing w:after="60" w:line="240" w:lineRule="atLeast"/>
        <w:rPr>
          <w:bCs/>
          <w:i/>
        </w:rPr>
      </w:pPr>
      <w:r>
        <w:rPr>
          <w:bCs/>
          <w:i/>
        </w:rPr>
        <w:t>PHASE 3</w:t>
      </w:r>
      <w:r w:rsidRPr="00A959E6">
        <w:rPr>
          <w:bCs/>
          <w:i/>
        </w:rPr>
        <w:t xml:space="preserve">: </w:t>
      </w:r>
      <w:r>
        <w:rPr>
          <w:bCs/>
          <w:i/>
        </w:rPr>
        <w:t xml:space="preserve">DSC Interview </w:t>
      </w:r>
    </w:p>
    <w:p w:rsidR="003D63D7" w:rsidP="003D63D7" w:rsidRDefault="003D63D7" w14:paraId="05B55796" w14:textId="77777777">
      <w:pPr>
        <w:spacing w:after="0" w:line="240" w:lineRule="atLeast"/>
        <w:rPr>
          <w:rFonts w:eastAsia="Times New Roman"/>
          <w:color w:val="000000" w:themeColor="text1"/>
        </w:rPr>
      </w:pPr>
      <w:r>
        <w:rPr>
          <w:rFonts w:eastAsia="Times New Roman"/>
          <w:color w:val="000000" w:themeColor="text1"/>
        </w:rPr>
        <w:t>The interviews will gather data from DSCs. Respondents will indicate at the end of the Phase 2 survey if they are interested in participating in interviews. Follow-up emails and phone recruitment will be used to encourage participation.</w:t>
      </w:r>
      <w:r w:rsidRPr="00E54860">
        <w:rPr>
          <w:rFonts w:eastAsia="Times New Roman"/>
          <w:color w:val="000000" w:themeColor="text1"/>
        </w:rPr>
        <w:t xml:space="preserve"> </w:t>
      </w:r>
      <w:r>
        <w:rPr>
          <w:rFonts w:eastAsia="Times New Roman"/>
          <w:color w:val="000000" w:themeColor="text1"/>
        </w:rPr>
        <w:t>(See Attachment E Phase 3 Recruitment).</w:t>
      </w:r>
    </w:p>
    <w:p w:rsidR="003D63D7" w:rsidP="003D63D7" w:rsidRDefault="003D63D7" w14:paraId="18EDBE1B" w14:textId="77777777">
      <w:pPr>
        <w:spacing w:after="0" w:line="240" w:lineRule="atLeast"/>
        <w:rPr>
          <w:rFonts w:eastAsia="Times New Roman"/>
          <w:color w:val="000000" w:themeColor="text1"/>
        </w:rPr>
      </w:pPr>
    </w:p>
    <w:p w:rsidR="003D63D7" w:rsidP="003D63D7" w:rsidRDefault="003D63D7" w14:paraId="73A2D684" w14:textId="77777777">
      <w:pPr>
        <w:spacing w:after="0" w:line="240" w:lineRule="atLeast"/>
        <w:rPr>
          <w:rFonts w:eastAsia="Times New Roman"/>
        </w:rPr>
      </w:pPr>
      <w:r>
        <w:t>I</w:t>
      </w:r>
      <w:r w:rsidRPr="5A06276C">
        <w:rPr>
          <w:rFonts w:eastAsia="Times New Roman"/>
        </w:rPr>
        <w:t>nterviews will occur</w:t>
      </w:r>
      <w:r>
        <w:rPr>
          <w:rFonts w:eastAsia="Times New Roman"/>
        </w:rPr>
        <w:t xml:space="preserve"> by phone through the Conference Now platform or by videoconference via Zoom, depending on the respondent’s preference and access. A note-taker will join each interview to capture the participant’s responses. With the respondent’s permission, we will also </w:t>
      </w:r>
      <w:r w:rsidRPr="5A06276C">
        <w:rPr>
          <w:rFonts w:eastAsia="Times New Roman"/>
        </w:rPr>
        <w:t xml:space="preserve">audio-record </w:t>
      </w:r>
      <w:r>
        <w:rPr>
          <w:rFonts w:eastAsia="Times New Roman"/>
        </w:rPr>
        <w:t>the interview to reference, as needed, to ensure that the notes are accurate and comprehensive</w:t>
      </w:r>
      <w:r w:rsidRPr="5A06276C">
        <w:rPr>
          <w:rFonts w:eastAsia="Times New Roman"/>
        </w:rPr>
        <w:t>.</w:t>
      </w:r>
      <w:r w:rsidRPr="009260A1">
        <w:rPr>
          <w:rFonts w:eastAsia="Times New Roman"/>
        </w:rPr>
        <w:t xml:space="preserve"> </w:t>
      </w:r>
    </w:p>
    <w:p w:rsidR="003D63D7" w:rsidP="003D63D7" w:rsidRDefault="003D63D7" w14:paraId="490C7572" w14:textId="77777777">
      <w:pPr>
        <w:spacing w:after="0" w:line="240" w:lineRule="atLeast"/>
        <w:rPr>
          <w:rFonts w:eastAsia="Times New Roman"/>
        </w:rPr>
      </w:pPr>
    </w:p>
    <w:p w:rsidR="003D63D7" w:rsidP="003D63D7" w:rsidRDefault="003D63D7" w14:paraId="7E027B0A" w14:textId="77777777">
      <w:pPr>
        <w:keepNext/>
        <w:keepLines/>
        <w:widowControl w:val="0"/>
        <w:spacing w:after="0"/>
        <w:rPr>
          <w:i/>
        </w:rPr>
      </w:pPr>
      <w:r w:rsidRPr="005942A5">
        <w:rPr>
          <w:rFonts w:eastAsia="Times New Roman"/>
          <w:bCs/>
          <w:i/>
          <w:iCs/>
          <w:color w:val="000000" w:themeColor="text1"/>
        </w:rPr>
        <w:t>Data Col</w:t>
      </w:r>
      <w:r>
        <w:rPr>
          <w:rFonts w:eastAsia="Times New Roman"/>
          <w:bCs/>
          <w:i/>
          <w:iCs/>
          <w:color w:val="000000" w:themeColor="text1"/>
        </w:rPr>
        <w:t>lection Quality and Consistency</w:t>
      </w:r>
      <w:r w:rsidRPr="005942A5">
        <w:rPr>
          <w:i/>
        </w:rPr>
        <w:t xml:space="preserve"> </w:t>
      </w:r>
      <w:r>
        <w:rPr>
          <w:i/>
        </w:rPr>
        <w:t>for Phase 1, Phase 2, and Phase 3</w:t>
      </w:r>
    </w:p>
    <w:p w:rsidR="003D63D7" w:rsidP="003D63D7" w:rsidRDefault="003D63D7" w14:paraId="40372CAA" w14:textId="77777777">
      <w:pPr>
        <w:autoSpaceDE w:val="0"/>
        <w:autoSpaceDN w:val="0"/>
        <w:adjustRightInd w:val="0"/>
        <w:spacing w:after="0" w:line="240" w:lineRule="auto"/>
        <w:rPr>
          <w:rFonts w:ascii="Calibri" w:hAnsi="Calibri" w:eastAsia="Calibri" w:cs="Calibri"/>
          <w:color w:val="000000" w:themeColor="text1"/>
        </w:rPr>
      </w:pPr>
      <w:r>
        <w:rPr>
          <w:rFonts w:ascii="Calibri" w:hAnsi="Calibri" w:eastAsia="Calibri" w:cs="Calibri"/>
          <w:color w:val="000000" w:themeColor="text1"/>
        </w:rPr>
        <w:t>For Phase 1 and Phase 2, a</w:t>
      </w:r>
      <w:r w:rsidRPr="5A06276C">
        <w:rPr>
          <w:rFonts w:ascii="Calibri" w:hAnsi="Calibri" w:eastAsia="Calibri" w:cs="Calibri"/>
          <w:color w:val="000000" w:themeColor="text1"/>
        </w:rPr>
        <w:t xml:space="preserve"> series of consistency and </w:t>
      </w:r>
      <w:r>
        <w:rPr>
          <w:rFonts w:ascii="Calibri" w:hAnsi="Calibri" w:eastAsia="Calibri" w:cs="Calibri"/>
          <w:color w:val="000000" w:themeColor="text1"/>
        </w:rPr>
        <w:t>checks of the range of responses given</w:t>
      </w:r>
      <w:r w:rsidRPr="5A06276C">
        <w:rPr>
          <w:rFonts w:ascii="Calibri" w:hAnsi="Calibri" w:eastAsia="Calibri" w:cs="Calibri"/>
          <w:color w:val="000000" w:themeColor="text1"/>
        </w:rPr>
        <w:t xml:space="preserve"> will be built into the </w:t>
      </w:r>
      <w:r>
        <w:rPr>
          <w:rFonts w:ascii="Calibri" w:hAnsi="Calibri" w:eastAsia="Calibri" w:cs="Calibri"/>
          <w:color w:val="000000" w:themeColor="text1"/>
        </w:rPr>
        <w:t xml:space="preserve">programming of </w:t>
      </w:r>
      <w:r w:rsidRPr="5A06276C">
        <w:rPr>
          <w:rFonts w:ascii="Calibri" w:hAnsi="Calibri" w:eastAsia="Calibri" w:cs="Calibri"/>
          <w:color w:val="000000" w:themeColor="text1"/>
        </w:rPr>
        <w:t>questionnaires to prevent invalid responses</w:t>
      </w:r>
      <w:r>
        <w:rPr>
          <w:rFonts w:ascii="Calibri" w:hAnsi="Calibri" w:eastAsia="Calibri" w:cs="Calibri"/>
          <w:color w:val="000000" w:themeColor="text1"/>
        </w:rPr>
        <w:t xml:space="preserve"> </w:t>
      </w:r>
      <w:r w:rsidRPr="5A06276C">
        <w:rPr>
          <w:rFonts w:ascii="Calibri" w:hAnsi="Calibri" w:eastAsia="Calibri" w:cs="Calibri"/>
          <w:color w:val="000000" w:themeColor="text1"/>
        </w:rPr>
        <w:t>from being recorded. The data collection team will thoroughly test the programmed questionnaires prior to collecting</w:t>
      </w:r>
      <w:r>
        <w:rPr>
          <w:rFonts w:ascii="Calibri" w:hAnsi="Calibri" w:eastAsia="Calibri" w:cs="Calibri"/>
          <w:color w:val="000000" w:themeColor="text1"/>
        </w:rPr>
        <w:t xml:space="preserve"> data, including</w:t>
      </w:r>
      <w:r w:rsidRPr="5A06276C">
        <w:rPr>
          <w:rFonts w:ascii="Calibri" w:hAnsi="Calibri" w:eastAsia="Calibri" w:cs="Calibri"/>
          <w:color w:val="000000" w:themeColor="text1"/>
        </w:rPr>
        <w:t xml:space="preserve"> a review of the data to confirm that responses are being recorded as expected. Throughout data collection, we will monitor the functioning of the questionnaire to detect potential technical issues and possible misinterpretation of questions by respondents. We will produce regular data quality assurance reports that collate questionnaire data across variables of high analytic value to help identify such issues and allow us to take corrective action.</w:t>
      </w:r>
    </w:p>
    <w:p w:rsidR="003D63D7" w:rsidP="003D63D7" w:rsidRDefault="003D63D7" w14:paraId="1FB93D51" w14:textId="77777777">
      <w:pPr>
        <w:autoSpaceDE w:val="0"/>
        <w:autoSpaceDN w:val="0"/>
        <w:adjustRightInd w:val="0"/>
        <w:spacing w:after="0" w:line="240" w:lineRule="auto"/>
        <w:rPr>
          <w:rFonts w:ascii="Calibri" w:hAnsi="Calibri" w:eastAsia="Calibri" w:cs="Calibri"/>
          <w:color w:val="000000" w:themeColor="text1"/>
        </w:rPr>
      </w:pPr>
    </w:p>
    <w:p w:rsidR="003D63D7" w:rsidP="003D63D7" w:rsidRDefault="003D63D7" w14:paraId="207211D0" w14:textId="77777777">
      <w:pPr>
        <w:spacing w:after="0"/>
      </w:pPr>
      <w:r>
        <w:t xml:space="preserve">In addition to questionnaire functioning, the research team monitors data collection progress carefully throughout the field period to achieve good response rates and representative data. Daily production reports will show how data collection is progressing, enable us to identify problem areas, and take remedial action quickly when needed. These reports will also allow us to monitor completion rates by sample subgroups </w:t>
      </w:r>
      <w:proofErr w:type="gramStart"/>
      <w:r>
        <w:t>in order to</w:t>
      </w:r>
      <w:proofErr w:type="gramEnd"/>
      <w:r>
        <w:t xml:space="preserve"> detect potential bias in response rates and pursue remedial action as needed. When we detect that a subgroup is completing surveys at lower rates, we will adjust our field procedures to boost completion among that group. </w:t>
      </w:r>
    </w:p>
    <w:p w:rsidR="003D63D7" w:rsidP="003D63D7" w:rsidRDefault="003D63D7" w14:paraId="532213AE" w14:textId="77777777">
      <w:pPr>
        <w:spacing w:after="0"/>
      </w:pPr>
    </w:p>
    <w:p w:rsidR="003D63D7" w:rsidP="003D63D7" w:rsidRDefault="003D63D7" w14:paraId="5D59E01D" w14:textId="77777777">
      <w:pPr>
        <w:autoSpaceDE w:val="0"/>
        <w:autoSpaceDN w:val="0"/>
        <w:adjustRightInd w:val="0"/>
        <w:spacing w:after="0"/>
        <w:rPr>
          <w:rFonts w:eastAsia="Times New Roman"/>
          <w:color w:val="000000"/>
        </w:rPr>
      </w:pPr>
      <w:r>
        <w:rPr>
          <w:rFonts w:eastAsia="Times New Roman"/>
          <w:color w:val="000000" w:themeColor="text1"/>
        </w:rPr>
        <w:t>For Phase 3, to improve data collection quality, t</w:t>
      </w:r>
      <w:r w:rsidRPr="0983A5E1">
        <w:rPr>
          <w:rFonts w:eastAsia="Times New Roman"/>
          <w:color w:val="000000" w:themeColor="text1"/>
        </w:rPr>
        <w:t>he research team will conduct a half-day training course for all interviewers to address general and respondent-specific concerns to ensure consistent, efficient, and culturally responsive data collection.</w:t>
      </w:r>
      <w:r>
        <w:rPr>
          <w:rFonts w:eastAsia="Times New Roman"/>
          <w:color w:val="000000" w:themeColor="text1"/>
        </w:rPr>
        <w:t xml:space="preserve"> </w:t>
      </w:r>
      <w:r w:rsidRPr="183590F1">
        <w:rPr>
          <w:rFonts w:eastAsia="Times New Roman"/>
          <w:color w:val="000000" w:themeColor="text1"/>
        </w:rPr>
        <w:t>Topics will include:</w:t>
      </w:r>
    </w:p>
    <w:p w:rsidRPr="006F07BD" w:rsidR="003D63D7" w:rsidP="003D63D7" w:rsidRDefault="003D63D7" w14:paraId="5BF79392" w14:textId="77777777">
      <w:pPr>
        <w:pStyle w:val="ListBullet"/>
        <w:numPr>
          <w:ilvl w:val="0"/>
          <w:numId w:val="2"/>
        </w:numPr>
        <w:spacing w:line="276" w:lineRule="auto"/>
        <w:rPr>
          <w:rFonts w:asciiTheme="minorHAnsi" w:hAnsiTheme="minorHAnsi" w:cstheme="minorHAnsi"/>
          <w:sz w:val="22"/>
          <w:szCs w:val="22"/>
        </w:rPr>
      </w:pPr>
      <w:r w:rsidRPr="006F07BD">
        <w:rPr>
          <w:rFonts w:asciiTheme="minorHAnsi" w:hAnsiTheme="minorHAnsi" w:cstheme="minorHAnsi"/>
          <w:sz w:val="22"/>
          <w:szCs w:val="22"/>
        </w:rPr>
        <w:lastRenderedPageBreak/>
        <w:t>Study purpose, research questions, and conceptual framework</w:t>
      </w:r>
    </w:p>
    <w:p w:rsidRPr="004517FF" w:rsidR="003D63D7" w:rsidP="003D63D7" w:rsidRDefault="003D63D7" w14:paraId="43E53C7A" w14:textId="77777777">
      <w:pPr>
        <w:pStyle w:val="ListBullet"/>
        <w:numPr>
          <w:ilvl w:val="0"/>
          <w:numId w:val="2"/>
        </w:numPr>
        <w:spacing w:line="276" w:lineRule="auto"/>
        <w:rPr>
          <w:rFonts w:asciiTheme="minorHAnsi" w:hAnsiTheme="minorHAnsi" w:cstheme="minorBidi"/>
          <w:sz w:val="22"/>
          <w:szCs w:val="22"/>
        </w:rPr>
      </w:pPr>
      <w:r w:rsidRPr="5A06276C">
        <w:rPr>
          <w:rFonts w:asciiTheme="minorHAnsi" w:hAnsiTheme="minorHAnsi" w:cstheme="minorBidi"/>
          <w:sz w:val="22"/>
          <w:szCs w:val="22"/>
        </w:rPr>
        <w:t xml:space="preserve">Primary data collection measures and instruments (i.e., </w:t>
      </w:r>
      <w:r>
        <w:rPr>
          <w:rFonts w:asciiTheme="minorHAnsi" w:hAnsiTheme="minorHAnsi" w:cstheme="minorBidi"/>
          <w:sz w:val="22"/>
          <w:szCs w:val="22"/>
        </w:rPr>
        <w:t>Phase 3</w:t>
      </w:r>
      <w:r w:rsidRPr="5A06276C">
        <w:rPr>
          <w:rFonts w:asciiTheme="minorHAnsi" w:hAnsiTheme="minorHAnsi" w:cstheme="minorBidi"/>
          <w:sz w:val="22"/>
          <w:szCs w:val="22"/>
        </w:rPr>
        <w:t xml:space="preserve"> interview guide)</w:t>
      </w:r>
    </w:p>
    <w:p w:rsidRPr="004517FF" w:rsidR="003D63D7" w:rsidP="003D63D7" w:rsidRDefault="003D63D7" w14:paraId="4C4DF880" w14:textId="77777777">
      <w:pPr>
        <w:pStyle w:val="ListBullet"/>
        <w:numPr>
          <w:ilvl w:val="0"/>
          <w:numId w:val="2"/>
        </w:numPr>
        <w:spacing w:line="276" w:lineRule="auto"/>
        <w:rPr>
          <w:rFonts w:asciiTheme="minorHAnsi" w:hAnsiTheme="minorHAnsi" w:cstheme="minorHAnsi"/>
          <w:sz w:val="22"/>
          <w:szCs w:val="22"/>
        </w:rPr>
      </w:pPr>
      <w:r w:rsidRPr="004517FF">
        <w:rPr>
          <w:rFonts w:asciiTheme="minorHAnsi" w:hAnsiTheme="minorHAnsi" w:cstheme="minorHAnsi"/>
          <w:sz w:val="22"/>
          <w:szCs w:val="22"/>
        </w:rPr>
        <w:t>Respondent privacy and informed consent procedures</w:t>
      </w:r>
    </w:p>
    <w:p w:rsidRPr="00AA5AE1" w:rsidR="003D63D7" w:rsidP="003D63D7" w:rsidRDefault="003D63D7" w14:paraId="66431AB8" w14:textId="77777777">
      <w:pPr>
        <w:pStyle w:val="ListBullet"/>
        <w:numPr>
          <w:ilvl w:val="0"/>
          <w:numId w:val="2"/>
        </w:numPr>
        <w:spacing w:line="276" w:lineRule="auto"/>
        <w:rPr>
          <w:rFonts w:asciiTheme="minorHAnsi" w:hAnsiTheme="minorHAnsi" w:cstheme="minorBidi"/>
          <w:sz w:val="22"/>
          <w:szCs w:val="22"/>
        </w:rPr>
      </w:pPr>
      <w:r w:rsidRPr="183590F1">
        <w:rPr>
          <w:rFonts w:asciiTheme="minorHAnsi" w:hAnsiTheme="minorHAnsi" w:cstheme="minorBidi"/>
          <w:sz w:val="22"/>
          <w:szCs w:val="22"/>
        </w:rPr>
        <w:t xml:space="preserve">Note cleaning and coding and analysis procedures </w:t>
      </w:r>
    </w:p>
    <w:p w:rsidRPr="001A59B6" w:rsidR="003D63D7" w:rsidP="003D63D7" w:rsidRDefault="003D63D7" w14:paraId="3764E4FA" w14:textId="77777777">
      <w:pPr>
        <w:autoSpaceDE w:val="0"/>
        <w:autoSpaceDN w:val="0"/>
        <w:adjustRightInd w:val="0"/>
        <w:spacing w:after="0" w:line="240" w:lineRule="atLeast"/>
        <w:rPr>
          <w:rFonts w:eastAsia="Times New Roman"/>
          <w:color w:val="000000" w:themeColor="text1"/>
        </w:rPr>
      </w:pPr>
    </w:p>
    <w:p w:rsidR="003D63D7" w:rsidP="003D63D7" w:rsidRDefault="003D63D7" w14:paraId="34B12662" w14:textId="77777777">
      <w:pPr>
        <w:autoSpaceDE w:val="0"/>
        <w:autoSpaceDN w:val="0"/>
        <w:adjustRightInd w:val="0"/>
        <w:spacing w:after="0" w:line="240" w:lineRule="atLeast"/>
        <w:rPr>
          <w:rStyle w:val="normaltextrun"/>
          <w:rFonts w:ascii="Calibri" w:hAnsi="Calibri" w:cs="Calibri"/>
          <w:color w:val="000000" w:themeColor="text1"/>
        </w:rPr>
      </w:pPr>
      <w:r w:rsidRPr="5A06276C">
        <w:rPr>
          <w:rStyle w:val="normaltextrun"/>
          <w:rFonts w:ascii="Calibri" w:hAnsi="Calibri" w:cs="Calibri"/>
          <w:color w:val="000000" w:themeColor="text1"/>
        </w:rPr>
        <w:t>To monitor field interviewer performance specifically, the team will develop a series of performance metrics built from multiple data sources (e.g., item nonresponse rates, questionnaire completion rates, case prompting rates). These metrics, which will be produced weekly, show where interviewers are deviating from the norm on key performance measures, thereby revealing areas where retraining or special coaching may be needed.  </w:t>
      </w:r>
    </w:p>
    <w:p w:rsidRPr="001A59B6" w:rsidR="003D63D7" w:rsidP="003D63D7" w:rsidRDefault="003D63D7" w14:paraId="0B1A5618" w14:textId="77777777">
      <w:pPr>
        <w:autoSpaceDE w:val="0"/>
        <w:autoSpaceDN w:val="0"/>
        <w:adjustRightInd w:val="0"/>
        <w:spacing w:after="0" w:line="240" w:lineRule="atLeast"/>
        <w:rPr>
          <w:rStyle w:val="normaltextrun"/>
          <w:rFonts w:ascii="Calibri" w:hAnsi="Calibri" w:cs="Calibri"/>
          <w:color w:val="000000" w:themeColor="text1"/>
        </w:rPr>
      </w:pPr>
    </w:p>
    <w:p w:rsidRPr="001A59B6" w:rsidR="003D63D7" w:rsidP="003D63D7" w:rsidRDefault="003D63D7" w14:paraId="0C659E0E" w14:textId="77777777">
      <w:pPr>
        <w:autoSpaceDE w:val="0"/>
        <w:autoSpaceDN w:val="0"/>
        <w:adjustRightInd w:val="0"/>
        <w:spacing w:after="0" w:line="240" w:lineRule="atLeast"/>
        <w:rPr>
          <w:rFonts w:eastAsia="Times New Roman"/>
          <w:color w:val="000000"/>
        </w:rPr>
      </w:pPr>
    </w:p>
    <w:p w:rsidRPr="007B149E" w:rsidR="003D63D7" w:rsidP="003D63D7" w:rsidRDefault="003D63D7" w14:paraId="316D2F91" w14:textId="77777777">
      <w:pPr>
        <w:autoSpaceDE w:val="0"/>
        <w:autoSpaceDN w:val="0"/>
        <w:adjustRightInd w:val="0"/>
        <w:spacing w:after="120"/>
        <w:rPr>
          <w:rFonts w:eastAsia="Times New Roman"/>
          <w:i/>
          <w:iCs/>
          <w:color w:val="000000"/>
        </w:rPr>
      </w:pPr>
      <w:r w:rsidRPr="7B360CDE">
        <w:rPr>
          <w:rFonts w:eastAsia="Times New Roman"/>
          <w:b/>
          <w:bCs/>
          <w:color w:val="000000" w:themeColor="text1"/>
        </w:rPr>
        <w:t>B5.</w:t>
      </w:r>
      <w:r>
        <w:tab/>
      </w:r>
      <w:r w:rsidRPr="7B360CDE">
        <w:rPr>
          <w:rFonts w:eastAsia="Times New Roman"/>
          <w:b/>
          <w:bCs/>
          <w:color w:val="000000" w:themeColor="text1"/>
        </w:rPr>
        <w:t xml:space="preserve">Response Rates and Potential Nonresponse Bias </w:t>
      </w:r>
    </w:p>
    <w:p w:rsidR="003D63D7" w:rsidP="003D63D7" w:rsidRDefault="003D63D7" w14:paraId="44C69528"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Response Rates</w:t>
      </w:r>
    </w:p>
    <w:p w:rsidR="003D63D7" w:rsidP="00771BC7" w:rsidRDefault="003D63D7" w14:paraId="11550450" w14:textId="77777777">
      <w:pPr>
        <w:spacing w:after="240" w:line="240" w:lineRule="atLeast"/>
        <w:rPr>
          <w:rFonts w:eastAsiaTheme="minorEastAsia"/>
          <w:color w:val="000000" w:themeColor="text1"/>
        </w:rPr>
      </w:pPr>
      <w:r w:rsidRPr="5A06276C">
        <w:rPr>
          <w:rFonts w:eastAsiaTheme="minorEastAsia"/>
        </w:rPr>
        <w:t>We aim to achieve a 7</w:t>
      </w:r>
      <w:r>
        <w:rPr>
          <w:rFonts w:eastAsiaTheme="minorEastAsia"/>
        </w:rPr>
        <w:t xml:space="preserve">9 </w:t>
      </w:r>
      <w:r w:rsidRPr="5A06276C">
        <w:rPr>
          <w:rFonts w:eastAsiaTheme="minorEastAsia"/>
        </w:rPr>
        <w:t xml:space="preserve">percent response rate for the </w:t>
      </w:r>
      <w:r>
        <w:rPr>
          <w:rFonts w:eastAsiaTheme="minorEastAsia"/>
        </w:rPr>
        <w:t>Phase 1</w:t>
      </w:r>
      <w:r w:rsidRPr="5A06276C">
        <w:rPr>
          <w:rFonts w:eastAsiaTheme="minorEastAsia"/>
        </w:rPr>
        <w:t xml:space="preserve"> survey</w:t>
      </w:r>
      <w:r>
        <w:rPr>
          <w:rFonts w:eastAsiaTheme="minorEastAsia"/>
        </w:rPr>
        <w:t xml:space="preserve"> </w:t>
      </w:r>
      <w:r w:rsidRPr="5A06276C">
        <w:rPr>
          <w:rFonts w:eastAsiaTheme="minorEastAsia"/>
        </w:rPr>
        <w:t xml:space="preserve">and </w:t>
      </w:r>
      <w:r>
        <w:rPr>
          <w:rFonts w:eastAsiaTheme="minorEastAsia"/>
        </w:rPr>
        <w:t xml:space="preserve">a </w:t>
      </w:r>
      <w:r w:rsidRPr="5A06276C">
        <w:rPr>
          <w:rFonts w:eastAsiaTheme="minorEastAsia"/>
        </w:rPr>
        <w:t>7</w:t>
      </w:r>
      <w:r>
        <w:rPr>
          <w:rFonts w:eastAsiaTheme="minorEastAsia"/>
        </w:rPr>
        <w:t>4</w:t>
      </w:r>
      <w:r w:rsidRPr="5A06276C">
        <w:rPr>
          <w:rFonts w:eastAsiaTheme="minorEastAsia"/>
        </w:rPr>
        <w:t xml:space="preserve"> percent response rate for the </w:t>
      </w:r>
      <w:r>
        <w:rPr>
          <w:rFonts w:eastAsiaTheme="minorEastAsia"/>
        </w:rPr>
        <w:t>Phase 2</w:t>
      </w:r>
      <w:r w:rsidRPr="5A06276C">
        <w:rPr>
          <w:rFonts w:eastAsiaTheme="minorEastAsia"/>
        </w:rPr>
        <w:t xml:space="preserve"> survey</w:t>
      </w:r>
      <w:r>
        <w:rPr>
          <w:rFonts w:eastAsiaTheme="minorEastAsia"/>
        </w:rPr>
        <w:t>.</w:t>
      </w:r>
      <w:r w:rsidRPr="5A06276C">
        <w:rPr>
          <w:rFonts w:eastAsiaTheme="minorEastAsia"/>
        </w:rPr>
        <w:t xml:space="preserve"> </w:t>
      </w:r>
      <w:r>
        <w:rPr>
          <w:rFonts w:eastAsiaTheme="minorEastAsia"/>
        </w:rPr>
        <w:t>As shown in</w:t>
      </w:r>
      <w:r w:rsidRPr="5A06276C">
        <w:rPr>
          <w:rFonts w:eastAsiaTheme="minorEastAsia"/>
        </w:rPr>
        <w:t xml:space="preserve"> Exhibit 1</w:t>
      </w:r>
      <w:r>
        <w:rPr>
          <w:rFonts w:eastAsiaTheme="minorEastAsia"/>
        </w:rPr>
        <w:t xml:space="preserve">, </w:t>
      </w:r>
      <w:r w:rsidRPr="5A06276C">
        <w:rPr>
          <w:rFonts w:eastAsiaTheme="minorEastAsia"/>
        </w:rPr>
        <w:t xml:space="preserve">these response rates are justified by </w:t>
      </w:r>
      <w:r>
        <w:rPr>
          <w:rFonts w:eastAsiaTheme="minorEastAsia"/>
          <w:color w:val="000000" w:themeColor="text1"/>
        </w:rPr>
        <w:t>those</w:t>
      </w:r>
      <w:r w:rsidRPr="5A06276C">
        <w:rPr>
          <w:rFonts w:eastAsiaTheme="minorEastAsia"/>
          <w:color w:val="000000" w:themeColor="text1"/>
        </w:rPr>
        <w:t xml:space="preserve"> </w:t>
      </w:r>
      <w:r>
        <w:rPr>
          <w:rFonts w:eastAsiaTheme="minorEastAsia"/>
          <w:color w:val="000000" w:themeColor="text1"/>
        </w:rPr>
        <w:t>achieved</w:t>
      </w:r>
      <w:r w:rsidRPr="5A06276C">
        <w:rPr>
          <w:rFonts w:eastAsiaTheme="minorEastAsia"/>
          <w:color w:val="000000" w:themeColor="text1"/>
        </w:rPr>
        <w:t xml:space="preserve"> in other recent surveys of HS program administrators and </w:t>
      </w:r>
      <w:r>
        <w:rPr>
          <w:rFonts w:eastAsiaTheme="minorEastAsia"/>
          <w:color w:val="000000" w:themeColor="text1"/>
        </w:rPr>
        <w:t>managers</w:t>
      </w:r>
      <w:r w:rsidRPr="5A06276C">
        <w:rPr>
          <w:rFonts w:eastAsiaTheme="minorEastAsia"/>
          <w:color w:val="000000" w:themeColor="text1"/>
        </w:rPr>
        <w:t xml:space="preserve">. </w:t>
      </w:r>
      <w:r>
        <w:rPr>
          <w:rFonts w:eastAsiaTheme="minorEastAsia"/>
          <w:color w:val="000000" w:themeColor="text1"/>
        </w:rPr>
        <w:t xml:space="preserve">These studies used the same design we are proposing – first surveying the universe of HS program directors to obtain contact information on the target population and then fielding a second survey of staff using the information provided by directors. </w:t>
      </w:r>
      <w:r w:rsidRPr="5A06276C">
        <w:rPr>
          <w:rFonts w:eastAsiaTheme="minorEastAsia"/>
          <w:color w:val="000000" w:themeColor="text1"/>
        </w:rPr>
        <w:t xml:space="preserve">The 2016 Head Start Health Managers Survey </w:t>
      </w:r>
      <w:r>
        <w:rPr>
          <w:rFonts w:eastAsiaTheme="minorEastAsia"/>
          <w:color w:val="000000" w:themeColor="text1"/>
        </w:rPr>
        <w:t xml:space="preserve">(HSHM) </w:t>
      </w:r>
      <w:r w:rsidRPr="5A06276C">
        <w:rPr>
          <w:rFonts w:eastAsiaTheme="minorEastAsia"/>
          <w:color w:val="000000" w:themeColor="text1"/>
        </w:rPr>
        <w:t>and</w:t>
      </w:r>
      <w:r>
        <w:rPr>
          <w:rFonts w:eastAsiaTheme="minorEastAsia"/>
          <w:color w:val="000000" w:themeColor="text1"/>
        </w:rPr>
        <w:t xml:space="preserve"> the</w:t>
      </w:r>
      <w:r w:rsidRPr="5A06276C">
        <w:rPr>
          <w:rFonts w:eastAsiaTheme="minorEastAsia"/>
          <w:color w:val="000000" w:themeColor="text1"/>
        </w:rPr>
        <w:t xml:space="preserve"> 2019 Head Start Training and Technical Assistance </w:t>
      </w:r>
      <w:r>
        <w:rPr>
          <w:rFonts w:eastAsiaTheme="minorEastAsia"/>
          <w:color w:val="000000" w:themeColor="text1"/>
        </w:rPr>
        <w:t xml:space="preserve">(T/TA) </w:t>
      </w:r>
      <w:r w:rsidRPr="5A06276C">
        <w:rPr>
          <w:rFonts w:eastAsiaTheme="minorEastAsia"/>
          <w:color w:val="000000" w:themeColor="text1"/>
        </w:rPr>
        <w:t xml:space="preserve">Survey obtained response rates of </w:t>
      </w:r>
      <w:r>
        <w:rPr>
          <w:rFonts w:eastAsiaTheme="minorEastAsia"/>
          <w:color w:val="000000" w:themeColor="text1"/>
        </w:rPr>
        <w:t>75 to 83</w:t>
      </w:r>
      <w:r w:rsidRPr="5A06276C">
        <w:rPr>
          <w:rFonts w:eastAsiaTheme="minorEastAsia"/>
          <w:color w:val="000000" w:themeColor="text1"/>
        </w:rPr>
        <w:t xml:space="preserve"> percent</w:t>
      </w:r>
      <w:r>
        <w:rPr>
          <w:rFonts w:eastAsiaTheme="minorEastAsia"/>
          <w:color w:val="000000" w:themeColor="text1"/>
        </w:rPr>
        <w:t xml:space="preserve"> for the Phase 1 director</w:t>
      </w:r>
      <w:r w:rsidRPr="5A06276C">
        <w:rPr>
          <w:rFonts w:eastAsiaTheme="minorEastAsia"/>
          <w:color w:val="000000" w:themeColor="text1"/>
        </w:rPr>
        <w:t xml:space="preserve"> </w:t>
      </w:r>
      <w:r>
        <w:rPr>
          <w:rFonts w:eastAsiaTheme="minorEastAsia"/>
          <w:color w:val="000000" w:themeColor="text1"/>
        </w:rPr>
        <w:t>surveys. They achieved a 73 to 75 percent response rate for</w:t>
      </w:r>
      <w:r w:rsidRPr="5A06276C">
        <w:rPr>
          <w:rFonts w:eastAsiaTheme="minorEastAsia"/>
          <w:color w:val="000000" w:themeColor="text1"/>
        </w:rPr>
        <w:t xml:space="preserve"> </w:t>
      </w:r>
      <w:r>
        <w:rPr>
          <w:rFonts w:eastAsiaTheme="minorEastAsia"/>
          <w:color w:val="000000" w:themeColor="text1"/>
        </w:rPr>
        <w:t xml:space="preserve">their Phase 2 surveys of </w:t>
      </w:r>
      <w:r w:rsidRPr="5A06276C">
        <w:rPr>
          <w:rFonts w:eastAsiaTheme="minorEastAsia"/>
          <w:color w:val="000000" w:themeColor="text1"/>
        </w:rPr>
        <w:t xml:space="preserve">personnel identified by </w:t>
      </w:r>
      <w:r>
        <w:rPr>
          <w:rFonts w:eastAsiaTheme="minorEastAsia"/>
          <w:color w:val="000000" w:themeColor="text1"/>
        </w:rPr>
        <w:t>directors.</w:t>
      </w:r>
    </w:p>
    <w:p w:rsidR="003D63D7" w:rsidP="003D63D7" w:rsidRDefault="003D63D7" w14:paraId="0593304E" w14:textId="77777777">
      <w:pPr>
        <w:spacing w:after="60" w:line="240" w:lineRule="atLeast"/>
        <w:rPr>
          <w:rFonts w:eastAsiaTheme="minorEastAsia"/>
          <w:color w:val="000000" w:themeColor="text1"/>
        </w:rPr>
      </w:pPr>
      <w:r>
        <w:rPr>
          <w:rFonts w:eastAsiaTheme="minorEastAsia"/>
          <w:color w:val="000000" w:themeColor="text1"/>
        </w:rPr>
        <w:t xml:space="preserve">The resulting projected sample will be sufficient to provide summary descriptive data about HS and EHS disability services practice and DSC roles and </w:t>
      </w:r>
      <w:proofErr w:type="gramStart"/>
      <w:r>
        <w:rPr>
          <w:rFonts w:eastAsiaTheme="minorEastAsia"/>
          <w:color w:val="000000" w:themeColor="text1"/>
        </w:rPr>
        <w:t>responsibilities, and</w:t>
      </w:r>
      <w:proofErr w:type="gramEnd"/>
      <w:r>
        <w:rPr>
          <w:rFonts w:eastAsiaTheme="minorEastAsia"/>
          <w:color w:val="000000" w:themeColor="text1"/>
        </w:rPr>
        <w:t xml:space="preserve"> examine differences in regional and subgroup implementation. Further, the data will allow for examination of associations between variables of interest (e.g., quality, context, and disability service practices). The results will be sufficiently valid to inform policy and practice guidance.</w:t>
      </w:r>
    </w:p>
    <w:p w:rsidR="003D63D7" w:rsidP="003D63D7" w:rsidRDefault="003D63D7" w14:paraId="7AB0DF7F" w14:textId="77777777">
      <w:pPr>
        <w:spacing w:after="60"/>
        <w:rPr>
          <w:rFonts w:eastAsiaTheme="minorEastAsia"/>
          <w:color w:val="000000" w:themeColor="text1"/>
        </w:rPr>
      </w:pPr>
    </w:p>
    <w:p w:rsidR="00771BC7" w:rsidP="003D63D7" w:rsidRDefault="00771BC7" w14:paraId="13B56D30" w14:textId="77777777">
      <w:pPr>
        <w:spacing w:after="60"/>
        <w:rPr>
          <w:rFonts w:ascii="Times New Roman" w:hAnsi="Times New Roman" w:eastAsia="Times New Roman" w:cs="Times New Roman"/>
          <w:b/>
          <w:bCs/>
          <w:color w:val="000000" w:themeColor="text1"/>
        </w:rPr>
      </w:pPr>
    </w:p>
    <w:p w:rsidR="00771BC7" w:rsidP="003D63D7" w:rsidRDefault="00771BC7" w14:paraId="223EB66A" w14:textId="77777777">
      <w:pPr>
        <w:spacing w:after="60"/>
        <w:rPr>
          <w:rFonts w:ascii="Times New Roman" w:hAnsi="Times New Roman" w:eastAsia="Times New Roman" w:cs="Times New Roman"/>
          <w:b/>
          <w:bCs/>
          <w:color w:val="000000" w:themeColor="text1"/>
        </w:rPr>
      </w:pPr>
    </w:p>
    <w:p w:rsidR="00771BC7" w:rsidP="003D63D7" w:rsidRDefault="00771BC7" w14:paraId="31808058" w14:textId="77777777">
      <w:pPr>
        <w:spacing w:after="60"/>
        <w:rPr>
          <w:rFonts w:ascii="Times New Roman" w:hAnsi="Times New Roman" w:eastAsia="Times New Roman" w:cs="Times New Roman"/>
          <w:b/>
          <w:bCs/>
          <w:color w:val="000000" w:themeColor="text1"/>
        </w:rPr>
      </w:pPr>
    </w:p>
    <w:p w:rsidR="00771BC7" w:rsidP="003D63D7" w:rsidRDefault="00771BC7" w14:paraId="090EAD68" w14:textId="77777777">
      <w:pPr>
        <w:spacing w:after="60"/>
        <w:rPr>
          <w:rFonts w:ascii="Times New Roman" w:hAnsi="Times New Roman" w:eastAsia="Times New Roman" w:cs="Times New Roman"/>
          <w:b/>
          <w:bCs/>
          <w:color w:val="000000" w:themeColor="text1"/>
        </w:rPr>
      </w:pPr>
    </w:p>
    <w:p w:rsidR="00771BC7" w:rsidP="003D63D7" w:rsidRDefault="00771BC7" w14:paraId="2D32A6FC" w14:textId="77777777">
      <w:pPr>
        <w:spacing w:after="60"/>
        <w:rPr>
          <w:rFonts w:ascii="Times New Roman" w:hAnsi="Times New Roman" w:eastAsia="Times New Roman" w:cs="Times New Roman"/>
          <w:b/>
          <w:bCs/>
          <w:color w:val="000000" w:themeColor="text1"/>
        </w:rPr>
      </w:pPr>
    </w:p>
    <w:p w:rsidR="00771BC7" w:rsidP="003D63D7" w:rsidRDefault="00771BC7" w14:paraId="39EB747A" w14:textId="77777777">
      <w:pPr>
        <w:spacing w:after="60"/>
        <w:rPr>
          <w:rFonts w:ascii="Times New Roman" w:hAnsi="Times New Roman" w:eastAsia="Times New Roman" w:cs="Times New Roman"/>
          <w:b/>
          <w:bCs/>
          <w:color w:val="000000" w:themeColor="text1"/>
        </w:rPr>
      </w:pPr>
    </w:p>
    <w:p w:rsidR="00771BC7" w:rsidP="003D63D7" w:rsidRDefault="00771BC7" w14:paraId="6BF6A6D6" w14:textId="77777777">
      <w:pPr>
        <w:spacing w:after="60"/>
        <w:rPr>
          <w:rFonts w:ascii="Times New Roman" w:hAnsi="Times New Roman" w:eastAsia="Times New Roman" w:cs="Times New Roman"/>
          <w:b/>
          <w:bCs/>
          <w:color w:val="000000" w:themeColor="text1"/>
        </w:rPr>
      </w:pPr>
    </w:p>
    <w:p w:rsidR="00771BC7" w:rsidP="003D63D7" w:rsidRDefault="00771BC7" w14:paraId="5F2A9CAB" w14:textId="77777777">
      <w:pPr>
        <w:spacing w:after="60"/>
        <w:rPr>
          <w:rFonts w:ascii="Times New Roman" w:hAnsi="Times New Roman" w:eastAsia="Times New Roman" w:cs="Times New Roman"/>
          <w:b/>
          <w:bCs/>
          <w:color w:val="000000" w:themeColor="text1"/>
        </w:rPr>
      </w:pPr>
    </w:p>
    <w:p w:rsidR="00771BC7" w:rsidP="003D63D7" w:rsidRDefault="00771BC7" w14:paraId="3F88A2A0" w14:textId="77777777">
      <w:pPr>
        <w:spacing w:after="60"/>
        <w:rPr>
          <w:rFonts w:ascii="Times New Roman" w:hAnsi="Times New Roman" w:eastAsia="Times New Roman" w:cs="Times New Roman"/>
          <w:b/>
          <w:bCs/>
          <w:color w:val="000000" w:themeColor="text1"/>
        </w:rPr>
      </w:pPr>
    </w:p>
    <w:p w:rsidR="00771BC7" w:rsidP="003D63D7" w:rsidRDefault="00771BC7" w14:paraId="0F8EF0D1" w14:textId="77777777">
      <w:pPr>
        <w:spacing w:after="60"/>
        <w:rPr>
          <w:rFonts w:ascii="Times New Roman" w:hAnsi="Times New Roman" w:eastAsia="Times New Roman" w:cs="Times New Roman"/>
          <w:b/>
          <w:bCs/>
          <w:color w:val="000000" w:themeColor="text1"/>
        </w:rPr>
      </w:pPr>
    </w:p>
    <w:p w:rsidR="00771BC7" w:rsidP="003D63D7" w:rsidRDefault="00771BC7" w14:paraId="52C3B0C2" w14:textId="77777777">
      <w:pPr>
        <w:spacing w:after="60"/>
        <w:rPr>
          <w:rFonts w:ascii="Times New Roman" w:hAnsi="Times New Roman" w:eastAsia="Times New Roman" w:cs="Times New Roman"/>
          <w:b/>
          <w:bCs/>
          <w:color w:val="000000" w:themeColor="text1"/>
        </w:rPr>
      </w:pPr>
    </w:p>
    <w:p w:rsidR="003D63D7" w:rsidP="003D63D7" w:rsidRDefault="003D63D7" w14:paraId="0223F249" w14:textId="3860F318">
      <w:pPr>
        <w:spacing w:after="60"/>
        <w:rPr>
          <w:rFonts w:ascii="Times New Roman" w:hAnsi="Times New Roman" w:eastAsia="Times New Roman" w:cs="Times New Roman"/>
          <w:b/>
          <w:bCs/>
          <w:color w:val="000000" w:themeColor="text1"/>
        </w:rPr>
      </w:pPr>
      <w:r w:rsidRPr="0983A5E1">
        <w:rPr>
          <w:rFonts w:ascii="Times New Roman" w:hAnsi="Times New Roman" w:eastAsia="Times New Roman" w:cs="Times New Roman"/>
          <w:b/>
          <w:bCs/>
          <w:color w:val="000000" w:themeColor="text1"/>
        </w:rPr>
        <w:lastRenderedPageBreak/>
        <w:t xml:space="preserve">Exhibit 1: </w:t>
      </w:r>
      <w:r>
        <w:rPr>
          <w:rFonts w:ascii="Times New Roman" w:hAnsi="Times New Roman" w:eastAsia="Times New Roman" w:cs="Times New Roman"/>
          <w:b/>
          <w:bCs/>
          <w:color w:val="000000" w:themeColor="text1"/>
        </w:rPr>
        <w:t>Expected Response Rates for</w:t>
      </w:r>
      <w:r w:rsidRPr="0983A5E1">
        <w:rPr>
          <w:rFonts w:ascii="Times New Roman" w:hAnsi="Times New Roman" w:eastAsia="Times New Roman" w:cs="Times New Roman"/>
          <w:b/>
          <w:bCs/>
          <w:color w:val="000000" w:themeColor="text1"/>
        </w:rPr>
        <w:t xml:space="preserve"> </w:t>
      </w:r>
      <w:r>
        <w:rPr>
          <w:rFonts w:ascii="Times New Roman" w:hAnsi="Times New Roman" w:eastAsia="Times New Roman" w:cs="Times New Roman"/>
          <w:b/>
          <w:bCs/>
          <w:color w:val="000000" w:themeColor="text1"/>
        </w:rPr>
        <w:t>Phase 1</w:t>
      </w:r>
      <w:r w:rsidRPr="0983A5E1">
        <w:rPr>
          <w:rFonts w:ascii="Times New Roman" w:hAnsi="Times New Roman" w:eastAsia="Times New Roman" w:cs="Times New Roman"/>
          <w:b/>
          <w:bCs/>
          <w:color w:val="000000" w:themeColor="text1"/>
        </w:rPr>
        <w:t xml:space="preserve"> and </w:t>
      </w:r>
      <w:r>
        <w:rPr>
          <w:rFonts w:ascii="Times New Roman" w:hAnsi="Times New Roman" w:eastAsia="Times New Roman" w:cs="Times New Roman"/>
          <w:b/>
          <w:bCs/>
          <w:color w:val="000000" w:themeColor="text1"/>
        </w:rPr>
        <w:t>Phase 2</w:t>
      </w:r>
      <w:r w:rsidRPr="0983A5E1">
        <w:rPr>
          <w:rFonts w:ascii="Times New Roman" w:hAnsi="Times New Roman" w:eastAsia="Times New Roman" w:cs="Times New Roman"/>
          <w:b/>
          <w:bCs/>
          <w:color w:val="000000" w:themeColor="text1"/>
        </w:rPr>
        <w:t xml:space="preserve"> </w:t>
      </w:r>
      <w:r>
        <w:rPr>
          <w:rFonts w:ascii="Times New Roman" w:hAnsi="Times New Roman" w:eastAsia="Times New Roman" w:cs="Times New Roman"/>
          <w:b/>
          <w:bCs/>
          <w:color w:val="000000" w:themeColor="text1"/>
        </w:rPr>
        <w:t>S</w:t>
      </w:r>
      <w:r w:rsidRPr="0983A5E1">
        <w:rPr>
          <w:rFonts w:ascii="Times New Roman" w:hAnsi="Times New Roman" w:eastAsia="Times New Roman" w:cs="Times New Roman"/>
          <w:b/>
          <w:bCs/>
          <w:color w:val="000000" w:themeColor="text1"/>
        </w:rPr>
        <w:t>urveys</w:t>
      </w:r>
      <w:r>
        <w:rPr>
          <w:rFonts w:ascii="Times New Roman" w:hAnsi="Times New Roman" w:eastAsia="Times New Roman" w:cs="Times New Roman"/>
          <w:b/>
          <w:bCs/>
          <w:color w:val="000000" w:themeColor="text1"/>
        </w:rPr>
        <w:t xml:space="preserve"> based on Similar Studies of Head Start Managers</w:t>
      </w:r>
    </w:p>
    <w:p w:rsidR="003D63D7" w:rsidP="003D63D7" w:rsidRDefault="003D63D7" w14:paraId="38127E1C" w14:textId="77777777">
      <w:pPr>
        <w:spacing w:after="60"/>
        <w:rPr>
          <w:rFonts w:ascii="Times New Roman" w:hAnsi="Times New Roman" w:eastAsia="Times New Roman" w:cs="Times New Roman"/>
          <w:b/>
          <w:bCs/>
          <w:color w:val="000000" w:themeColor="text1"/>
        </w:rPr>
      </w:pPr>
      <w:r>
        <w:rPr>
          <w:noProof/>
        </w:rPr>
        <w:drawing>
          <wp:inline distT="0" distB="0" distL="0" distR="0" wp14:anchorId="5529A945" wp14:editId="3A4F92C2">
            <wp:extent cx="5943600" cy="2654300"/>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D63D7" w:rsidP="003D63D7" w:rsidRDefault="003D63D7" w14:paraId="387CDCBB" w14:textId="77777777">
      <w:pPr>
        <w:spacing w:after="60"/>
        <w:rPr>
          <w:rFonts w:ascii="Times New Roman" w:hAnsi="Times New Roman" w:eastAsia="Times New Roman" w:cs="Times New Roman"/>
          <w:b/>
          <w:bCs/>
          <w:color w:val="000000" w:themeColor="text1"/>
        </w:rPr>
      </w:pPr>
    </w:p>
    <w:p w:rsidR="003D63D7" w:rsidP="003D63D7" w:rsidRDefault="003D63D7" w14:paraId="292CB346" w14:textId="77777777">
      <w:pPr>
        <w:autoSpaceDE w:val="0"/>
        <w:autoSpaceDN w:val="0"/>
        <w:adjustRightInd w:val="0"/>
        <w:spacing w:after="60" w:line="240" w:lineRule="atLeast"/>
        <w:rPr>
          <w:rFonts w:eastAsia="Times New Roman"/>
          <w:i/>
          <w:iCs/>
          <w:color w:val="000000"/>
        </w:rPr>
      </w:pPr>
      <w:r w:rsidRPr="7B360CDE">
        <w:rPr>
          <w:rFonts w:eastAsia="Times New Roman"/>
          <w:i/>
          <w:iCs/>
          <w:color w:val="000000" w:themeColor="text1"/>
        </w:rPr>
        <w:t>Nonresponse</w:t>
      </w:r>
    </w:p>
    <w:p w:rsidR="003D63D7" w:rsidP="003D63D7" w:rsidRDefault="003D63D7" w14:paraId="32E646E4" w14:textId="77777777">
      <w:pPr>
        <w:spacing w:after="0" w:line="240" w:lineRule="atLeast"/>
        <w:rPr>
          <w:rFonts w:eastAsiaTheme="minorEastAsia"/>
        </w:rPr>
      </w:pPr>
      <w:r w:rsidRPr="5A06276C">
        <w:rPr>
          <w:rFonts w:eastAsiaTheme="minorEastAsia"/>
        </w:rPr>
        <w:t>Although we will encourage participation through clear and attractive materials</w:t>
      </w:r>
      <w:r>
        <w:rPr>
          <w:rFonts w:eastAsiaTheme="minorEastAsia"/>
        </w:rPr>
        <w:t xml:space="preserve"> as well as offering multiple modes of data collection (i.e., online or phone),</w:t>
      </w:r>
      <w:r w:rsidRPr="5A06276C">
        <w:rPr>
          <w:rFonts w:eastAsiaTheme="minorEastAsia"/>
        </w:rPr>
        <w:t xml:space="preserve"> we do anticipate some </w:t>
      </w:r>
      <w:r>
        <w:rPr>
          <w:rFonts w:eastAsiaTheme="minorEastAsia"/>
        </w:rPr>
        <w:t xml:space="preserve">survey </w:t>
      </w:r>
      <w:r w:rsidRPr="5A06276C">
        <w:rPr>
          <w:rFonts w:eastAsiaTheme="minorEastAsia"/>
        </w:rPr>
        <w:t xml:space="preserve">nonresponse </w:t>
      </w:r>
      <w:r>
        <w:rPr>
          <w:rFonts w:eastAsiaTheme="minorEastAsia"/>
        </w:rPr>
        <w:t>in Phase 1</w:t>
      </w:r>
      <w:r w:rsidRPr="5A06276C">
        <w:rPr>
          <w:rFonts w:eastAsiaTheme="minorEastAsia"/>
        </w:rPr>
        <w:t xml:space="preserve"> and </w:t>
      </w:r>
      <w:r>
        <w:rPr>
          <w:rFonts w:eastAsiaTheme="minorEastAsia"/>
        </w:rPr>
        <w:t>Phase 2</w:t>
      </w:r>
      <w:r w:rsidRPr="5A06276C">
        <w:rPr>
          <w:rFonts w:eastAsiaTheme="minorEastAsia"/>
        </w:rPr>
        <w:t xml:space="preserve">. Each </w:t>
      </w:r>
      <w:r>
        <w:rPr>
          <w:rFonts w:eastAsiaTheme="minorEastAsia"/>
        </w:rPr>
        <w:t xml:space="preserve">HS program </w:t>
      </w:r>
      <w:r w:rsidRPr="5A06276C">
        <w:rPr>
          <w:rFonts w:eastAsiaTheme="minorEastAsia"/>
        </w:rPr>
        <w:t xml:space="preserve">director and </w:t>
      </w:r>
      <w:r>
        <w:rPr>
          <w:rFonts w:eastAsiaTheme="minorEastAsia"/>
        </w:rPr>
        <w:t>DSC</w:t>
      </w:r>
      <w:r w:rsidRPr="5A06276C">
        <w:rPr>
          <w:rFonts w:eastAsiaTheme="minorEastAsia"/>
        </w:rPr>
        <w:t xml:space="preserve"> invited to participate in the online survey will be assigned a unique ID that will be used to track, in real time, who has responded to the survey.</w:t>
      </w:r>
      <w:r>
        <w:rPr>
          <w:rFonts w:eastAsiaTheme="minorEastAsia"/>
        </w:rPr>
        <w:t xml:space="preserve"> </w:t>
      </w:r>
      <w:r w:rsidRPr="5A06276C">
        <w:rPr>
          <w:rFonts w:eastAsiaTheme="minorEastAsia"/>
        </w:rPr>
        <w:t xml:space="preserve">We </w:t>
      </w:r>
      <w:r>
        <w:rPr>
          <w:rFonts w:eastAsiaTheme="minorEastAsia"/>
        </w:rPr>
        <w:t xml:space="preserve">will establish subgroups of interest based </w:t>
      </w:r>
      <w:r w:rsidRPr="5A06276C">
        <w:rPr>
          <w:rFonts w:eastAsiaTheme="minorEastAsia"/>
        </w:rPr>
        <w:t xml:space="preserve">on </w:t>
      </w:r>
      <w:r w:rsidRPr="5A06276C">
        <w:rPr>
          <w:rFonts w:eastAsiaTheme="minorEastAsia"/>
          <w:i/>
          <w:iCs/>
        </w:rPr>
        <w:t>a priori</w:t>
      </w:r>
      <w:r w:rsidRPr="5A06276C">
        <w:rPr>
          <w:rFonts w:eastAsiaTheme="minorEastAsia"/>
        </w:rPr>
        <w:t xml:space="preserve"> information available through the PIR about EHS/HS programs (for </w:t>
      </w:r>
      <w:r>
        <w:rPr>
          <w:rFonts w:eastAsiaTheme="minorEastAsia"/>
        </w:rPr>
        <w:t>Phase 1</w:t>
      </w:r>
      <w:r w:rsidRPr="5A06276C">
        <w:rPr>
          <w:rFonts w:eastAsiaTheme="minorEastAsia"/>
        </w:rPr>
        <w:t xml:space="preserve"> and </w:t>
      </w:r>
      <w:r>
        <w:rPr>
          <w:rFonts w:eastAsiaTheme="minorEastAsia"/>
        </w:rPr>
        <w:t>Phase 2</w:t>
      </w:r>
      <w:r w:rsidRPr="5A06276C">
        <w:rPr>
          <w:rFonts w:eastAsiaTheme="minorEastAsia"/>
        </w:rPr>
        <w:t xml:space="preserve"> responses) and background information about DSCs collected during </w:t>
      </w:r>
      <w:r>
        <w:rPr>
          <w:rFonts w:eastAsiaTheme="minorEastAsia"/>
        </w:rPr>
        <w:t>Phase 1</w:t>
      </w:r>
      <w:r w:rsidRPr="5A06276C">
        <w:rPr>
          <w:rFonts w:eastAsiaTheme="minorEastAsia"/>
        </w:rPr>
        <w:t xml:space="preserve"> (for </w:t>
      </w:r>
      <w:r>
        <w:rPr>
          <w:rFonts w:eastAsiaTheme="minorEastAsia"/>
        </w:rPr>
        <w:t>Phase 2</w:t>
      </w:r>
      <w:r w:rsidRPr="5A06276C">
        <w:rPr>
          <w:rFonts w:eastAsiaTheme="minorEastAsia"/>
        </w:rPr>
        <w:t xml:space="preserve"> responses)</w:t>
      </w:r>
      <w:r>
        <w:rPr>
          <w:rFonts w:eastAsiaTheme="minorEastAsia"/>
        </w:rPr>
        <w:t xml:space="preserve">.  Potential subgroups of interest </w:t>
      </w:r>
      <w:proofErr w:type="gramStart"/>
      <w:r>
        <w:rPr>
          <w:rFonts w:eastAsiaTheme="minorEastAsia"/>
        </w:rPr>
        <w:t>include:</w:t>
      </w:r>
      <w:proofErr w:type="gramEnd"/>
      <w:r>
        <w:rPr>
          <w:rFonts w:eastAsiaTheme="minorEastAsia"/>
        </w:rPr>
        <w:t xml:space="preserve"> program size; geographic location (i.e., urban/rural); ACF Region; and program type (i.e., EHS, HS, or combined EHS/HS). For Phase 2 only, additional subgroups may include employment characteristics, such as full-time/part-time and HS employee or contractor. </w:t>
      </w:r>
      <w:r w:rsidRPr="5A06276C">
        <w:rPr>
          <w:rFonts w:eastAsiaTheme="minorEastAsia"/>
        </w:rPr>
        <w:t xml:space="preserve">We will regularly monitor response rates by these </w:t>
      </w:r>
      <w:r>
        <w:rPr>
          <w:rFonts w:eastAsiaTheme="minorEastAsia"/>
        </w:rPr>
        <w:t>subgroups t</w:t>
      </w:r>
      <w:r w:rsidRPr="5A06276C">
        <w:rPr>
          <w:rFonts w:eastAsiaTheme="minorEastAsia"/>
        </w:rPr>
        <w:t xml:space="preserve">o identify where additional outreach may be needed to obtain representativeness. In reporting our results, we will calculate nonresponse rates according to the standards promulgated by the American Association for Public Opinion Research, which involve calculating the response rate as the ratio of the </w:t>
      </w:r>
      <w:r w:rsidRPr="002731D1">
        <w:rPr>
          <w:rFonts w:eastAsiaTheme="minorEastAsia"/>
          <w:i/>
        </w:rPr>
        <w:t>number of eligible completed case</w:t>
      </w:r>
      <w:r w:rsidRPr="5A06276C">
        <w:rPr>
          <w:rFonts w:eastAsiaTheme="minorEastAsia"/>
        </w:rPr>
        <w:t xml:space="preserve">s to the </w:t>
      </w:r>
      <w:r w:rsidRPr="002731D1">
        <w:rPr>
          <w:rFonts w:eastAsiaTheme="minorEastAsia"/>
          <w:i/>
        </w:rPr>
        <w:t>number of eligible cases</w:t>
      </w:r>
      <w:r w:rsidRPr="5A06276C">
        <w:rPr>
          <w:rFonts w:eastAsiaTheme="minorEastAsia"/>
        </w:rPr>
        <w:t xml:space="preserve">. </w:t>
      </w:r>
    </w:p>
    <w:p w:rsidR="003D63D7" w:rsidP="003D63D7" w:rsidRDefault="003D63D7" w14:paraId="473A7716" w14:textId="77777777">
      <w:pPr>
        <w:spacing w:after="0" w:line="240" w:lineRule="atLeast"/>
        <w:rPr>
          <w:rFonts w:eastAsiaTheme="minorEastAsia"/>
        </w:rPr>
      </w:pPr>
    </w:p>
    <w:p w:rsidRPr="00EB5A11" w:rsidR="003D63D7" w:rsidP="003D63D7" w:rsidRDefault="003D63D7" w14:paraId="28F7742A" w14:textId="77777777">
      <w:pPr>
        <w:spacing w:after="60" w:line="240" w:lineRule="atLeast"/>
        <w:ind w:left="450"/>
        <w:rPr>
          <w:rFonts w:eastAsiaTheme="minorEastAsia"/>
          <w:color w:val="000000" w:themeColor="text1"/>
          <w:u w:val="single"/>
        </w:rPr>
      </w:pPr>
      <w:r w:rsidRPr="00EB5A11">
        <w:rPr>
          <w:rFonts w:eastAsiaTheme="minorEastAsia"/>
          <w:color w:val="000000" w:themeColor="text1"/>
          <w:u w:val="single"/>
        </w:rPr>
        <w:t>Survey non-response</w:t>
      </w:r>
    </w:p>
    <w:p w:rsidR="003D63D7" w:rsidP="003D63D7" w:rsidRDefault="003D63D7" w14:paraId="38303BAF" w14:textId="77777777">
      <w:pPr>
        <w:spacing w:after="0" w:line="240" w:lineRule="atLeast"/>
        <w:ind w:left="450"/>
        <w:rPr>
          <w:rFonts w:eastAsiaTheme="minorEastAsia"/>
        </w:rPr>
      </w:pPr>
      <w:r>
        <w:rPr>
          <w:rFonts w:eastAsiaTheme="minorEastAsia"/>
          <w:color w:val="000000" w:themeColor="text1"/>
        </w:rPr>
        <w:t>W</w:t>
      </w:r>
      <w:r w:rsidRPr="5A06276C">
        <w:rPr>
          <w:rFonts w:eastAsiaTheme="minorEastAsia"/>
          <w:color w:val="000000" w:themeColor="text1"/>
        </w:rPr>
        <w:t xml:space="preserve">e will then apply </w:t>
      </w:r>
      <w:r w:rsidRPr="007C2B9C">
        <w:rPr>
          <w:rFonts w:eastAsiaTheme="minorEastAsia"/>
          <w:i/>
          <w:color w:val="000000" w:themeColor="text1"/>
        </w:rPr>
        <w:t>nonresponse weights</w:t>
      </w:r>
      <w:r w:rsidRPr="5A06276C">
        <w:rPr>
          <w:rFonts w:eastAsiaTheme="minorEastAsia"/>
          <w:color w:val="000000" w:themeColor="text1"/>
        </w:rPr>
        <w:t xml:space="preserve"> to the data</w:t>
      </w:r>
      <w:r>
        <w:rPr>
          <w:rFonts w:eastAsiaTheme="minorEastAsia"/>
          <w:color w:val="000000" w:themeColor="text1"/>
        </w:rPr>
        <w:t>.</w:t>
      </w:r>
      <w:r w:rsidRPr="5A06276C">
        <w:rPr>
          <w:rFonts w:eastAsiaTheme="minorEastAsia"/>
          <w:color w:val="000000" w:themeColor="text1"/>
        </w:rPr>
        <w:t xml:space="preserve"> </w:t>
      </w:r>
      <w:r w:rsidRPr="0004558A">
        <w:rPr>
          <w:rFonts w:eastAsiaTheme="minorEastAsia"/>
          <w:color w:val="000000" w:themeColor="text1"/>
        </w:rPr>
        <w:t xml:space="preserve">The nonresponse weights will account for known characteristics of the missing cases based on </w:t>
      </w:r>
      <w:r>
        <w:rPr>
          <w:rFonts w:eastAsiaTheme="minorEastAsia"/>
          <w:color w:val="000000" w:themeColor="text1"/>
        </w:rPr>
        <w:t>HS</w:t>
      </w:r>
      <w:r w:rsidRPr="0004558A">
        <w:rPr>
          <w:rFonts w:eastAsiaTheme="minorEastAsia"/>
          <w:color w:val="000000" w:themeColor="text1"/>
        </w:rPr>
        <w:t xml:space="preserve"> program information available in the </w:t>
      </w:r>
      <w:r>
        <w:rPr>
          <w:rFonts w:eastAsiaTheme="minorEastAsia"/>
          <w:color w:val="000000" w:themeColor="text1"/>
        </w:rPr>
        <w:t>PIR</w:t>
      </w:r>
      <w:r w:rsidRPr="0004558A">
        <w:rPr>
          <w:rFonts w:eastAsiaTheme="minorEastAsia"/>
          <w:color w:val="000000" w:themeColor="text1"/>
        </w:rPr>
        <w:t>.</w:t>
      </w:r>
      <w:r>
        <w:rPr>
          <w:rFonts w:eastAsiaTheme="minorEastAsia"/>
          <w:color w:val="000000" w:themeColor="text1"/>
        </w:rPr>
        <w:t xml:space="preserve"> </w:t>
      </w:r>
      <w:r w:rsidRPr="5A06276C">
        <w:rPr>
          <w:rFonts w:eastAsiaTheme="minorEastAsia"/>
          <w:color w:val="000000" w:themeColor="text1"/>
        </w:rPr>
        <w:t xml:space="preserve">These nonresponse weights will be designed based on program characteristics that will allow for reweighting the sample of survey respondents to be </w:t>
      </w:r>
      <w:proofErr w:type="gramStart"/>
      <w:r w:rsidRPr="5A06276C">
        <w:rPr>
          <w:rFonts w:eastAsiaTheme="minorEastAsia"/>
          <w:color w:val="000000" w:themeColor="text1"/>
        </w:rPr>
        <w:t>similar to</w:t>
      </w:r>
      <w:proofErr w:type="gramEnd"/>
      <w:r w:rsidRPr="5A06276C">
        <w:rPr>
          <w:rFonts w:eastAsiaTheme="minorEastAsia"/>
          <w:color w:val="000000" w:themeColor="text1"/>
        </w:rPr>
        <w:t xml:space="preserve"> the population of HS programs that were invited to participate. We will use logistic regression models to predict the propensity of </w:t>
      </w:r>
      <w:r w:rsidRPr="5A06276C">
        <w:rPr>
          <w:rFonts w:eastAsiaTheme="minorEastAsia"/>
        </w:rPr>
        <w:t>an HS PD or a DSC participating in the survey and the inverse of the propensity as nonresponse weights. Extremely large weights will be trimmed to avoid outliers and influential observations. We will use these obtained weights throughout the analyses for inference.</w:t>
      </w:r>
      <w:r>
        <w:rPr>
          <w:rFonts w:eastAsiaTheme="minorEastAsia"/>
        </w:rPr>
        <w:t xml:space="preserve"> </w:t>
      </w:r>
      <w:r>
        <w:rPr>
          <w:rFonts w:eastAsia="Times New Roman" w:cstheme="minorHAnsi"/>
          <w:color w:val="000000"/>
        </w:rPr>
        <w:t xml:space="preserve">If non-response adjustments during data collection are not adequate, then multiple imputation may be undertaken for key variables.  </w:t>
      </w:r>
    </w:p>
    <w:p w:rsidR="003D63D7" w:rsidP="003D63D7" w:rsidRDefault="003D63D7" w14:paraId="2D6E8CE8" w14:textId="77777777">
      <w:pPr>
        <w:spacing w:after="0" w:line="240" w:lineRule="atLeast"/>
        <w:rPr>
          <w:rFonts w:eastAsiaTheme="minorEastAsia"/>
        </w:rPr>
      </w:pPr>
    </w:p>
    <w:p w:rsidRPr="00EB5A11" w:rsidR="003D63D7" w:rsidP="003D63D7" w:rsidRDefault="003D63D7" w14:paraId="05205C14" w14:textId="77777777">
      <w:pPr>
        <w:spacing w:after="60" w:line="240" w:lineRule="atLeast"/>
        <w:ind w:left="450"/>
        <w:rPr>
          <w:rFonts w:eastAsiaTheme="minorEastAsia"/>
          <w:u w:val="single"/>
        </w:rPr>
      </w:pPr>
      <w:r w:rsidRPr="00EB5A11">
        <w:rPr>
          <w:rFonts w:eastAsiaTheme="minorEastAsia"/>
          <w:u w:val="single"/>
        </w:rPr>
        <w:lastRenderedPageBreak/>
        <w:t xml:space="preserve">Item non-response </w:t>
      </w:r>
    </w:p>
    <w:p w:rsidR="003D63D7" w:rsidP="003D63D7" w:rsidRDefault="003D63D7" w14:paraId="45791CCB" w14:textId="77777777">
      <w:pPr>
        <w:autoSpaceDE w:val="0"/>
        <w:autoSpaceDN w:val="0"/>
        <w:adjustRightInd w:val="0"/>
        <w:spacing w:after="0" w:line="240" w:lineRule="atLeast"/>
        <w:ind w:left="540"/>
        <w:rPr>
          <w:rFonts w:eastAsia="Times New Roman" w:cstheme="minorHAnsi"/>
          <w:color w:val="000000"/>
        </w:rPr>
      </w:pPr>
      <w:r>
        <w:rPr>
          <w:rFonts w:eastAsia="Times New Roman" w:cstheme="minorHAnsi"/>
          <w:color w:val="000000"/>
        </w:rPr>
        <w:t xml:space="preserve">Questionnaires are designed to minimize item non-response based on design work the research team has conducted on other questionnaires, such as the National Survey on Early Care and Education and the </w:t>
      </w:r>
      <w:r w:rsidRPr="00742000">
        <w:rPr>
          <w:rFonts w:eastAsia="Times New Roman" w:cstheme="minorHAnsi"/>
          <w:color w:val="000000"/>
        </w:rPr>
        <w:t>Early Childhood Training and Technical Assistance</w:t>
      </w:r>
      <w:r>
        <w:rPr>
          <w:rFonts w:eastAsia="Times New Roman" w:cstheme="minorHAnsi"/>
          <w:color w:val="000000"/>
        </w:rPr>
        <w:t xml:space="preserve"> surveys. For example, we reduce the complexity of the question and narrow the focus to reduce the possibility of respondent skipping questions. In addition, stakeholder input on survey drafts and cognitive testing prior to administration will help identify questions that are difficult to complete and provide opportunities to reformat in ways that will increase user response to items. </w:t>
      </w:r>
    </w:p>
    <w:p w:rsidR="003D63D7" w:rsidP="003D63D7" w:rsidRDefault="003D63D7" w14:paraId="5252740F" w14:textId="77777777">
      <w:pPr>
        <w:autoSpaceDE w:val="0"/>
        <w:autoSpaceDN w:val="0"/>
        <w:adjustRightInd w:val="0"/>
        <w:spacing w:after="0" w:line="240" w:lineRule="atLeast"/>
        <w:ind w:left="540"/>
        <w:rPr>
          <w:rFonts w:eastAsia="Times New Roman" w:cstheme="minorHAnsi"/>
          <w:color w:val="000000"/>
        </w:rPr>
      </w:pPr>
    </w:p>
    <w:p w:rsidR="003D63D7" w:rsidP="003D63D7" w:rsidRDefault="003D63D7" w14:paraId="403B34E6" w14:textId="77777777">
      <w:pPr>
        <w:autoSpaceDE w:val="0"/>
        <w:autoSpaceDN w:val="0"/>
        <w:adjustRightInd w:val="0"/>
        <w:spacing w:after="60" w:line="240" w:lineRule="atLeast"/>
        <w:ind w:left="540"/>
        <w:rPr>
          <w:rFonts w:eastAsia="Times New Roman" w:cstheme="minorHAnsi"/>
          <w:color w:val="000000"/>
        </w:rPr>
      </w:pPr>
      <w:r>
        <w:rPr>
          <w:rFonts w:eastAsia="Times New Roman" w:cstheme="minorHAnsi"/>
          <w:color w:val="000000"/>
        </w:rPr>
        <w:t xml:space="preserve">The study team will examine item non-response to identify if there are patterns of missingness, such as increased nonresponse on individual items based on the size of the program. We will ensure these are documented clearly as a potential bias in the analyses. We will also discuss with stakeholders to gain perspectives on why bias may exist. </w:t>
      </w:r>
    </w:p>
    <w:p w:rsidRPr="007E3423" w:rsidR="003D63D7" w:rsidP="003D63D7" w:rsidRDefault="003D63D7" w14:paraId="3A69200A" w14:textId="77777777">
      <w:pPr>
        <w:spacing w:after="0" w:line="240" w:lineRule="atLeast"/>
        <w:rPr>
          <w:rFonts w:eastAsia="Times New Roman" w:cstheme="minorHAnsi"/>
          <w:color w:val="000000"/>
          <w:highlight w:val="lightGray"/>
        </w:rPr>
      </w:pPr>
    </w:p>
    <w:p w:rsidRPr="001A59B6" w:rsidR="003D63D7" w:rsidP="003D63D7" w:rsidRDefault="003D63D7" w14:paraId="6DFEFA38" w14:textId="77777777">
      <w:pPr>
        <w:autoSpaceDE w:val="0"/>
        <w:autoSpaceDN w:val="0"/>
        <w:adjustRightInd w:val="0"/>
        <w:spacing w:after="0" w:line="240" w:lineRule="atLeast"/>
        <w:rPr>
          <w:rFonts w:eastAsia="Times New Roman"/>
          <w:b/>
          <w:bCs/>
          <w:color w:val="000000"/>
        </w:rPr>
      </w:pPr>
    </w:p>
    <w:p w:rsidRPr="00A959E6" w:rsidR="003D63D7" w:rsidP="003D63D7" w:rsidRDefault="003D63D7" w14:paraId="69D22755" w14:textId="77777777">
      <w:pPr>
        <w:spacing w:after="120"/>
        <w:rPr>
          <w:rFonts w:eastAsia="Times New Roman"/>
          <w:i/>
          <w:iCs/>
          <w:color w:val="000000" w:themeColor="text1"/>
        </w:rPr>
      </w:pPr>
      <w:r w:rsidRPr="7B360CDE">
        <w:rPr>
          <w:rFonts w:eastAsia="Times New Roman"/>
          <w:b/>
          <w:bCs/>
        </w:rPr>
        <w:t>B6.</w:t>
      </w:r>
      <w:r>
        <w:rPr>
          <w:rFonts w:eastAsia="Times New Roman"/>
          <w:b/>
          <w:bCs/>
        </w:rPr>
        <w:tab/>
      </w:r>
      <w:r w:rsidRPr="7B360CDE">
        <w:rPr>
          <w:rFonts w:eastAsia="Times New Roman"/>
          <w:b/>
          <w:bCs/>
        </w:rPr>
        <w:t>Production of Estimates and Projections</w:t>
      </w:r>
      <w:r w:rsidRPr="7B360CDE">
        <w:rPr>
          <w:rFonts w:eastAsia="Times New Roman"/>
        </w:rPr>
        <w:t xml:space="preserve"> </w:t>
      </w:r>
    </w:p>
    <w:p w:rsidR="003D63D7" w:rsidP="003D63D7" w:rsidRDefault="003D63D7" w14:paraId="3E3BE4C9" w14:textId="77777777">
      <w:pPr>
        <w:spacing w:after="0" w:line="240" w:lineRule="auto"/>
        <w:rPr>
          <w:rFonts w:eastAsia="Times New Roman"/>
        </w:rPr>
      </w:pPr>
      <w:r w:rsidRPr="5A06276C">
        <w:rPr>
          <w:rFonts w:ascii="Calibri" w:hAnsi="Calibri" w:eastAsia="Calibri" w:cs="Calibri"/>
          <w:color w:val="000000" w:themeColor="text1"/>
        </w:rPr>
        <w:t xml:space="preserve">We will produce estimates for official external release by OPRE that are intended to be generalizable to the population of EHS/HS DSCs described in Section B1. </w:t>
      </w:r>
      <w:r>
        <w:rPr>
          <w:rFonts w:ascii="Calibri" w:hAnsi="Calibri" w:eastAsia="Calibri" w:cs="Calibri"/>
          <w:color w:val="000000" w:themeColor="text1"/>
        </w:rPr>
        <w:t xml:space="preserve">As our intent is a national survey of directors and DSCs, we will use weights to adjust for nonresponse, but not to account for non-selected sample members. </w:t>
      </w:r>
      <w:r>
        <w:rPr>
          <w:rFonts w:eastAsia="Times New Roman"/>
        </w:rPr>
        <w:t xml:space="preserve">As discussed above in section B.5, we </w:t>
      </w:r>
      <w:r w:rsidRPr="5A06276C">
        <w:rPr>
          <w:rFonts w:eastAsia="Times New Roman"/>
        </w:rPr>
        <w:t xml:space="preserve">will create calibrated weights to increase the precision of our estimates and account for nonresponse. Weights for </w:t>
      </w:r>
      <w:r>
        <w:rPr>
          <w:rFonts w:eastAsia="Times New Roman"/>
        </w:rPr>
        <w:t>Phase 1</w:t>
      </w:r>
      <w:r w:rsidRPr="5A06276C">
        <w:rPr>
          <w:rFonts w:eastAsia="Times New Roman"/>
        </w:rPr>
        <w:t xml:space="preserve"> responses will incorporate information on grantee characteristics provided through the HS PIR</w:t>
      </w:r>
      <w:r>
        <w:rPr>
          <w:rFonts w:eastAsia="Times New Roman"/>
        </w:rPr>
        <w:t xml:space="preserve"> and HS Enterprise System</w:t>
      </w:r>
      <w:r w:rsidRPr="5A06276C">
        <w:rPr>
          <w:rFonts w:eastAsia="Times New Roman"/>
        </w:rPr>
        <w:t xml:space="preserve">. </w:t>
      </w:r>
      <w:r w:rsidRPr="5A06276C" w:rsidDel="00830440">
        <w:rPr>
          <w:rFonts w:eastAsia="Times New Roman"/>
        </w:rPr>
        <w:t xml:space="preserve">We will select characteristics that are associated both with nonresponse and participants’ responses to the survey questions. </w:t>
      </w:r>
      <w:r w:rsidRPr="5A06276C" w:rsidDel="001D380E">
        <w:rPr>
          <w:rFonts w:eastAsia="Times New Roman"/>
        </w:rPr>
        <w:t xml:space="preserve">We anticipate that this will include the number of children served by a grantee; grantee region (as defined by OHS); and the types of program provided by the grantee (HS, EHS, home-based). </w:t>
      </w:r>
      <w:r>
        <w:rPr>
          <w:rFonts w:eastAsia="Times New Roman"/>
        </w:rPr>
        <w:t>Phase 2</w:t>
      </w:r>
      <w:r w:rsidRPr="5A06276C">
        <w:rPr>
          <w:rFonts w:eastAsia="Times New Roman"/>
        </w:rPr>
        <w:t xml:space="preserve"> responses will include an additional set of weights to account for nonresponse of HS DSCs</w:t>
      </w:r>
      <w:r>
        <w:rPr>
          <w:rFonts w:eastAsia="Times New Roman"/>
        </w:rPr>
        <w:t xml:space="preserve"> sent the survey</w:t>
      </w:r>
      <w:r w:rsidRPr="5A06276C">
        <w:rPr>
          <w:rFonts w:eastAsia="Times New Roman"/>
        </w:rPr>
        <w:t xml:space="preserve">. </w:t>
      </w:r>
      <w:r>
        <w:rPr>
          <w:rFonts w:eastAsia="Times New Roman"/>
        </w:rPr>
        <w:t>The full sample frame for the Phase 2 is not available, so t</w:t>
      </w:r>
      <w:r w:rsidRPr="5A06276C">
        <w:rPr>
          <w:rFonts w:eastAsia="Times New Roman"/>
        </w:rPr>
        <w:t xml:space="preserve">hese </w:t>
      </w:r>
      <w:r w:rsidRPr="007C2B9C">
        <w:rPr>
          <w:rFonts w:eastAsia="Times New Roman"/>
          <w:i/>
        </w:rPr>
        <w:t>nonresponse weights</w:t>
      </w:r>
      <w:r w:rsidRPr="5A06276C">
        <w:rPr>
          <w:rFonts w:eastAsia="Times New Roman"/>
        </w:rPr>
        <w:t xml:space="preserve"> will be based on characteristics of the individual HS DSCs that were </w:t>
      </w:r>
      <w:r>
        <w:rPr>
          <w:rFonts w:eastAsia="Times New Roman"/>
        </w:rPr>
        <w:t>reported</w:t>
      </w:r>
      <w:r w:rsidRPr="5A06276C">
        <w:rPr>
          <w:rFonts w:eastAsia="Times New Roman"/>
        </w:rPr>
        <w:t xml:space="preserve"> by respondent</w:t>
      </w:r>
      <w:r>
        <w:rPr>
          <w:rFonts w:eastAsia="Times New Roman"/>
        </w:rPr>
        <w:t>s to the Phase 1</w:t>
      </w:r>
      <w:r w:rsidRPr="5A06276C">
        <w:rPr>
          <w:rFonts w:eastAsia="Times New Roman"/>
        </w:rPr>
        <w:t xml:space="preserve"> surveys. We anticipate that this will include employment status (full time versus part time), number of other responsibilities, and estimated number of years working in their current HS program. </w:t>
      </w:r>
    </w:p>
    <w:p w:rsidR="003D63D7" w:rsidP="003D63D7" w:rsidRDefault="003D63D7" w14:paraId="1AC4C4FE" w14:textId="77777777">
      <w:pPr>
        <w:spacing w:after="0" w:line="240" w:lineRule="auto"/>
        <w:rPr>
          <w:rFonts w:eastAsia="Times New Roman"/>
        </w:rPr>
      </w:pPr>
    </w:p>
    <w:p w:rsidR="003D63D7" w:rsidP="003D63D7" w:rsidRDefault="003D63D7" w14:paraId="09C6132D" w14:textId="77777777">
      <w:pPr>
        <w:spacing w:after="0" w:line="240" w:lineRule="auto"/>
        <w:rPr>
          <w:rFonts w:ascii="Calibri" w:hAnsi="Calibri" w:eastAsia="Calibri" w:cs="Calibri"/>
          <w:color w:val="000000" w:themeColor="text1"/>
        </w:rPr>
      </w:pPr>
      <w:r>
        <w:t xml:space="preserve">The weighting adjustment factor is then computed as the inverse of the weighted response rate in each cell. </w:t>
      </w:r>
      <w:r w:rsidRPr="00B925BD">
        <w:t>Use of the sampling weights will enable unbiased estimation of descriptive statistics that are run on the variables. Selected data from the information collection will be made available to the public for secondary analysis. Datasets will include sampling weights as well as sample design variables to allow analysts to produce design-unbiased standard errors for their analysis.</w:t>
      </w:r>
      <w:r>
        <w:t xml:space="preserve"> Study documentation will describe how these variables can be used with commonly available statistical software to produce valid population estimates.</w:t>
      </w:r>
    </w:p>
    <w:p w:rsidR="003D63D7" w:rsidP="003D63D7" w:rsidRDefault="003D63D7" w14:paraId="0EDA6318" w14:textId="77777777">
      <w:pPr>
        <w:spacing w:after="0" w:line="240" w:lineRule="auto"/>
        <w:rPr>
          <w:rFonts w:ascii="Calibri" w:hAnsi="Calibri" w:eastAsia="Calibri" w:cs="Calibri"/>
          <w:i/>
          <w:color w:val="000000" w:themeColor="text1"/>
        </w:rPr>
      </w:pPr>
    </w:p>
    <w:p w:rsidRPr="00C64BC8" w:rsidR="003D63D7" w:rsidP="003D63D7" w:rsidRDefault="003D63D7" w14:paraId="6B18369B" w14:textId="77777777">
      <w:pPr>
        <w:spacing w:after="60" w:line="240" w:lineRule="auto"/>
        <w:rPr>
          <w:rFonts w:ascii="Calibri" w:hAnsi="Calibri" w:eastAsia="Calibri" w:cs="Calibri"/>
          <w:i/>
          <w:color w:val="000000" w:themeColor="text1"/>
        </w:rPr>
      </w:pPr>
      <w:r w:rsidRPr="00C64BC8">
        <w:rPr>
          <w:rFonts w:ascii="Calibri" w:hAnsi="Calibri" w:eastAsia="Calibri" w:cs="Calibri"/>
          <w:i/>
          <w:color w:val="000000" w:themeColor="text1"/>
        </w:rPr>
        <w:t>Data Archiving</w:t>
      </w:r>
    </w:p>
    <w:p w:rsidR="003D63D7" w:rsidP="003D63D7" w:rsidRDefault="003D63D7" w14:paraId="1AF3BC91" w14:textId="77777777">
      <w:pPr>
        <w:spacing w:after="0" w:line="240" w:lineRule="auto"/>
        <w:rPr>
          <w:rFonts w:ascii="Calibri" w:hAnsi="Calibri" w:eastAsia="Calibri" w:cs="Calibri"/>
          <w:color w:val="000000" w:themeColor="text1"/>
        </w:rPr>
      </w:pPr>
      <w:r w:rsidRPr="5A06276C">
        <w:rPr>
          <w:rFonts w:ascii="Calibri" w:hAnsi="Calibri" w:eastAsia="Calibri" w:cs="Calibri"/>
          <w:color w:val="000000" w:themeColor="text1"/>
        </w:rPr>
        <w:t xml:space="preserve">Survey data collected via this study will be archived and made available to the public for secondary </w:t>
      </w:r>
      <w:r>
        <w:rPr>
          <w:rFonts w:ascii="Calibri" w:hAnsi="Calibri" w:eastAsia="Calibri" w:cs="Calibri"/>
          <w:color w:val="000000" w:themeColor="text1"/>
        </w:rPr>
        <w:t xml:space="preserve">data </w:t>
      </w:r>
      <w:r w:rsidRPr="5A06276C">
        <w:rPr>
          <w:rFonts w:ascii="Calibri" w:hAnsi="Calibri" w:eastAsia="Calibri" w:cs="Calibri"/>
          <w:color w:val="000000" w:themeColor="text1"/>
        </w:rPr>
        <w:t xml:space="preserve">analysis. </w:t>
      </w:r>
      <w:r>
        <w:rPr>
          <w:rFonts w:ascii="Calibri" w:hAnsi="Calibri" w:eastAsia="Calibri" w:cs="Calibri"/>
          <w:color w:val="000000" w:themeColor="text1"/>
        </w:rPr>
        <w:t xml:space="preserve">Interview data collected will also be archived if data can be sufficiently treated to protect personally identifiable information. </w:t>
      </w:r>
      <w:r w:rsidRPr="5A06276C">
        <w:rPr>
          <w:rFonts w:ascii="Calibri" w:hAnsi="Calibri" w:eastAsia="Calibri" w:cs="Calibri"/>
          <w:color w:val="000000" w:themeColor="text1"/>
        </w:rPr>
        <w:t xml:space="preserve">The research team will implement masking strategies to ensure the </w:t>
      </w:r>
      <w:r>
        <w:rPr>
          <w:rFonts w:ascii="Calibri" w:hAnsi="Calibri" w:eastAsia="Calibri" w:cs="Calibri"/>
          <w:color w:val="000000" w:themeColor="text1"/>
        </w:rPr>
        <w:t>privacy</w:t>
      </w:r>
      <w:r w:rsidRPr="5A06276C">
        <w:rPr>
          <w:rFonts w:ascii="Calibri" w:hAnsi="Calibri" w:eastAsia="Calibri" w:cs="Calibri"/>
          <w:color w:val="000000" w:themeColor="text1"/>
        </w:rPr>
        <w:t xml:space="preserve"> of survey and interview participants. We will prepare documentation for each data file, including codebooks and user manuals, which will describe each variable on each data file, methods for accessing each data file, </w:t>
      </w:r>
      <w:r>
        <w:rPr>
          <w:rFonts w:ascii="Calibri" w:hAnsi="Calibri" w:eastAsia="Calibri" w:cs="Calibri"/>
          <w:color w:val="000000" w:themeColor="text1"/>
        </w:rPr>
        <w:t xml:space="preserve">guidance for using the weights, </w:t>
      </w:r>
      <w:r w:rsidRPr="5A06276C">
        <w:rPr>
          <w:rFonts w:ascii="Calibri" w:hAnsi="Calibri" w:eastAsia="Calibri" w:cs="Calibri"/>
          <w:color w:val="000000" w:themeColor="text1"/>
        </w:rPr>
        <w:t xml:space="preserve">and any editing strategies employed. Datasets will include </w:t>
      </w:r>
      <w:r w:rsidRPr="5A06276C">
        <w:rPr>
          <w:rFonts w:ascii="Calibri" w:hAnsi="Calibri" w:eastAsia="Calibri" w:cs="Calibri"/>
          <w:color w:val="000000" w:themeColor="text1"/>
        </w:rPr>
        <w:lastRenderedPageBreak/>
        <w:t xml:space="preserve">sampling weights to allow </w:t>
      </w:r>
      <w:r>
        <w:rPr>
          <w:rFonts w:ascii="Calibri" w:hAnsi="Calibri" w:eastAsia="Calibri" w:cs="Calibri"/>
          <w:color w:val="000000" w:themeColor="text1"/>
        </w:rPr>
        <w:t xml:space="preserve">secondary </w:t>
      </w:r>
      <w:r w:rsidRPr="5A06276C">
        <w:rPr>
          <w:rFonts w:ascii="Calibri" w:hAnsi="Calibri" w:eastAsia="Calibri" w:cs="Calibri"/>
          <w:color w:val="000000" w:themeColor="text1"/>
        </w:rPr>
        <w:t>analysts to produce nationally representative estimates. Study documentation will describe how these variables can be used with commonly available statistical software to produce valid population estimates.</w:t>
      </w:r>
    </w:p>
    <w:p w:rsidR="003D63D7" w:rsidP="003D63D7" w:rsidRDefault="003D63D7" w14:paraId="1395BBA7" w14:textId="77777777">
      <w:pPr>
        <w:spacing w:after="0" w:line="240" w:lineRule="auto"/>
        <w:rPr>
          <w:rFonts w:ascii="Calibri" w:hAnsi="Calibri" w:eastAsia="Calibri" w:cs="Calibri"/>
          <w:color w:val="000000" w:themeColor="text1"/>
        </w:rPr>
      </w:pPr>
    </w:p>
    <w:p w:rsidR="003D63D7" w:rsidP="003D63D7" w:rsidRDefault="003D63D7" w14:paraId="724CB940" w14:textId="77777777">
      <w:pPr>
        <w:spacing w:after="0" w:line="240" w:lineRule="auto"/>
        <w:rPr>
          <w:rFonts w:ascii="Calibri" w:hAnsi="Calibri" w:eastAsia="Calibri" w:cs="Calibri"/>
          <w:color w:val="000000" w:themeColor="text1"/>
        </w:rPr>
      </w:pPr>
      <w:r>
        <w:rPr>
          <w:rFonts w:eastAsia="Times New Roman" w:cstheme="minorHAnsi"/>
        </w:rPr>
        <w:t>We</w:t>
      </w:r>
      <w:r w:rsidRPr="0084670F">
        <w:rPr>
          <w:rFonts w:eastAsia="Times New Roman" w:cstheme="minorHAnsi"/>
        </w:rPr>
        <w:t xml:space="preserve"> do not plan to make policy decisions </w:t>
      </w:r>
      <w:r>
        <w:rPr>
          <w:rFonts w:eastAsia="Times New Roman" w:cstheme="minorHAnsi"/>
        </w:rPr>
        <w:t xml:space="preserve">based on </w:t>
      </w:r>
      <w:r w:rsidRPr="0084670F">
        <w:rPr>
          <w:rFonts w:eastAsia="Times New Roman" w:cstheme="minorHAnsi"/>
        </w:rPr>
        <w:t>data that is not representative or publish biased population estimates.</w:t>
      </w:r>
    </w:p>
    <w:p w:rsidRPr="001A59B6" w:rsidR="003D63D7" w:rsidP="003D63D7" w:rsidRDefault="003D63D7" w14:paraId="046BC650" w14:textId="77777777">
      <w:pPr>
        <w:spacing w:after="0" w:line="240" w:lineRule="auto"/>
        <w:rPr>
          <w:rFonts w:eastAsia="Times New Roman"/>
        </w:rPr>
      </w:pPr>
    </w:p>
    <w:p w:rsidRPr="001A59B6" w:rsidR="003D63D7" w:rsidP="003D63D7" w:rsidRDefault="003D63D7" w14:paraId="35A39A7E" w14:textId="77777777">
      <w:pPr>
        <w:spacing w:after="0" w:line="240" w:lineRule="auto"/>
        <w:rPr>
          <w:rFonts w:eastAsia="Times New Roman" w:cstheme="minorHAnsi"/>
        </w:rPr>
      </w:pPr>
    </w:p>
    <w:p w:rsidR="003D63D7" w:rsidP="003D63D7" w:rsidRDefault="003D63D7" w14:paraId="606AACC9" w14:textId="77777777">
      <w:pPr>
        <w:spacing w:after="120"/>
        <w:rPr>
          <w:rFonts w:eastAsia="Times New Roman"/>
          <w:b/>
          <w:bCs/>
          <w:color w:val="000000" w:themeColor="text1"/>
        </w:rPr>
      </w:pPr>
      <w:r w:rsidRPr="183590F1">
        <w:rPr>
          <w:rFonts w:eastAsia="Times New Roman"/>
          <w:b/>
          <w:bCs/>
          <w:color w:val="000000" w:themeColor="text1"/>
        </w:rPr>
        <w:t>B7.</w:t>
      </w:r>
      <w:r>
        <w:rPr>
          <w:rFonts w:eastAsia="Times New Roman"/>
          <w:color w:val="000000" w:themeColor="text1"/>
        </w:rPr>
        <w:tab/>
      </w:r>
      <w:r w:rsidRPr="183590F1">
        <w:rPr>
          <w:rFonts w:eastAsia="Times New Roman"/>
          <w:b/>
          <w:bCs/>
          <w:color w:val="000000" w:themeColor="text1"/>
        </w:rPr>
        <w:t>Data Handling and Analysis</w:t>
      </w:r>
    </w:p>
    <w:p w:rsidR="003D63D7" w:rsidP="003D63D7" w:rsidRDefault="003D63D7" w14:paraId="77739320" w14:textId="77777777">
      <w:pPr>
        <w:autoSpaceDE w:val="0"/>
        <w:autoSpaceDN w:val="0"/>
        <w:adjustRightInd w:val="0"/>
        <w:spacing w:after="60" w:line="240" w:lineRule="atLeast"/>
        <w:rPr>
          <w:rFonts w:eastAsia="Times New Roman"/>
        </w:rPr>
      </w:pPr>
      <w:r>
        <w:rPr>
          <w:rFonts w:eastAsia="Times New Roman"/>
          <w:i/>
        </w:rPr>
        <w:t>Data Handling</w:t>
      </w:r>
    </w:p>
    <w:p w:rsidRPr="00C56FC3" w:rsidR="003D63D7" w:rsidP="003D63D7" w:rsidRDefault="003D63D7" w14:paraId="27E03959" w14:textId="77777777">
      <w:pPr>
        <w:autoSpaceDE w:val="0"/>
        <w:autoSpaceDN w:val="0"/>
        <w:adjustRightInd w:val="0"/>
        <w:spacing w:after="0" w:line="240" w:lineRule="atLeast"/>
        <w:rPr>
          <w:rFonts w:eastAsia="Times New Roman"/>
        </w:rPr>
      </w:pPr>
      <w:r>
        <w:rPr>
          <w:rFonts w:eastAsia="Times New Roman"/>
        </w:rPr>
        <w:t>We will</w:t>
      </w:r>
      <w:r w:rsidRPr="5A06276C">
        <w:rPr>
          <w:rFonts w:eastAsia="Times New Roman"/>
        </w:rPr>
        <w:t xml:space="preserve"> minimize errors in the data </w:t>
      </w:r>
      <w:r>
        <w:rPr>
          <w:rFonts w:eastAsia="Times New Roman"/>
        </w:rPr>
        <w:t>with</w:t>
      </w:r>
      <w:r w:rsidRPr="5A06276C">
        <w:rPr>
          <w:rFonts w:eastAsia="Times New Roman"/>
        </w:rPr>
        <w:t xml:space="preserve"> skip patterns that </w:t>
      </w:r>
      <w:r>
        <w:rPr>
          <w:rFonts w:eastAsia="Times New Roman"/>
        </w:rPr>
        <w:t>avoid presentation of questions</w:t>
      </w:r>
      <w:r w:rsidRPr="5A06276C">
        <w:rPr>
          <w:rFonts w:eastAsia="Times New Roman"/>
        </w:rPr>
        <w:t xml:space="preserve"> that respondents are </w:t>
      </w:r>
      <w:r>
        <w:rPr>
          <w:rFonts w:eastAsia="Times New Roman"/>
        </w:rPr>
        <w:t>inappropriate to the respondent characteristics (e.g., type of program)</w:t>
      </w:r>
      <w:r w:rsidRPr="5A06276C">
        <w:rPr>
          <w:rFonts w:eastAsia="Times New Roman"/>
        </w:rPr>
        <w:t>. Question</w:t>
      </w:r>
      <w:r>
        <w:rPr>
          <w:rFonts w:eastAsia="Times New Roman"/>
        </w:rPr>
        <w:t>s will use</w:t>
      </w:r>
      <w:r w:rsidRPr="5A06276C">
        <w:rPr>
          <w:rFonts w:eastAsia="Times New Roman"/>
        </w:rPr>
        <w:t xml:space="preserve"> techniques such as establishing ranges for numeric items, presenting in words any numbers entered, and ensuring the inability of data entry of invalid codes for fixed-coded items (such as number of years). </w:t>
      </w:r>
      <w:r>
        <w:rPr>
          <w:rFonts w:eastAsia="Times New Roman" w:cstheme="minorHAnsi"/>
          <w:color w:val="000000"/>
        </w:rPr>
        <w:t>Coding errors will be mitigated by implementing</w:t>
      </w:r>
      <w:r w:rsidRPr="5A06276C">
        <w:rPr>
          <w:rFonts w:eastAsia="Times New Roman"/>
        </w:rPr>
        <w:t xml:space="preserve"> double</w:t>
      </w:r>
      <w:r>
        <w:rPr>
          <w:rFonts w:eastAsia="Times New Roman"/>
        </w:rPr>
        <w:t>-</w:t>
      </w:r>
      <w:r w:rsidRPr="5A06276C">
        <w:rPr>
          <w:rFonts w:eastAsia="Times New Roman"/>
        </w:rPr>
        <w:t>blind coding</w:t>
      </w:r>
      <w:r>
        <w:rPr>
          <w:rFonts w:eastAsia="Times New Roman"/>
        </w:rPr>
        <w:t xml:space="preserve"> for 10 to 20 percent of the responses</w:t>
      </w:r>
      <w:r w:rsidRPr="5A06276C">
        <w:rPr>
          <w:rFonts w:eastAsia="Times New Roman"/>
        </w:rPr>
        <w:t xml:space="preserve"> with reconciliation, and error rates exceeding 3 percent trigger a second round of more sophisticated coding. </w:t>
      </w:r>
      <w:r>
        <w:rPr>
          <w:rFonts w:eastAsia="Times New Roman"/>
        </w:rPr>
        <w:t xml:space="preserve">This will apply both to coding open-ended responses on the surveys as well as interview data from Phase 3. We implement strict quality assurance protocols throughout the development and implementation of the analysis plan, which includes reviews of </w:t>
      </w:r>
      <w:proofErr w:type="gramStart"/>
      <w:r>
        <w:rPr>
          <w:rFonts w:eastAsia="Times New Roman"/>
        </w:rPr>
        <w:t>newly-created</w:t>
      </w:r>
      <w:proofErr w:type="gramEnd"/>
      <w:r>
        <w:rPr>
          <w:rFonts w:eastAsia="Times New Roman"/>
        </w:rPr>
        <w:t xml:space="preserve"> composite and analytic variables,</w:t>
      </w:r>
      <w:r w:rsidRPr="5A06276C">
        <w:rPr>
          <w:rFonts w:eastAsia="Times New Roman"/>
        </w:rPr>
        <w:t xml:space="preserve"> statistical programming code, and analytic output (including against comparison data when available).</w:t>
      </w:r>
    </w:p>
    <w:p w:rsidRPr="00C56FC3" w:rsidR="003D63D7" w:rsidP="003D63D7" w:rsidRDefault="003D63D7" w14:paraId="6004D596" w14:textId="77777777">
      <w:pPr>
        <w:autoSpaceDE w:val="0"/>
        <w:autoSpaceDN w:val="0"/>
        <w:adjustRightInd w:val="0"/>
        <w:spacing w:after="0" w:line="240" w:lineRule="atLeast"/>
        <w:rPr>
          <w:rFonts w:eastAsia="Times New Roman" w:cstheme="minorHAnsi"/>
          <w:bCs/>
        </w:rPr>
      </w:pPr>
    </w:p>
    <w:p w:rsidR="003D63D7" w:rsidP="003D63D7" w:rsidRDefault="003D63D7" w14:paraId="3482B58F" w14:textId="77777777">
      <w:pPr>
        <w:autoSpaceDE w:val="0"/>
        <w:autoSpaceDN w:val="0"/>
        <w:adjustRightInd w:val="0"/>
        <w:spacing w:after="60" w:line="240" w:lineRule="atLeast"/>
        <w:rPr>
          <w:rFonts w:eastAsia="Times New Roman"/>
          <w:color w:val="000000" w:themeColor="text1"/>
        </w:rPr>
      </w:pPr>
      <w:r>
        <w:rPr>
          <w:rFonts w:eastAsia="Times New Roman"/>
          <w:i/>
          <w:color w:val="000000" w:themeColor="text1"/>
        </w:rPr>
        <w:t>Data Analysis</w:t>
      </w:r>
    </w:p>
    <w:p w:rsidR="003D63D7" w:rsidP="003D63D7" w:rsidRDefault="003D63D7" w14:paraId="157BEF2A" w14:textId="77777777">
      <w:pPr>
        <w:spacing w:after="0" w:line="240" w:lineRule="atLeast"/>
        <w:rPr>
          <w:i/>
          <w:iCs/>
          <w:color w:val="ED7D31"/>
        </w:rPr>
      </w:pPr>
      <w:r w:rsidRPr="5A06276C">
        <w:rPr>
          <w:b/>
          <w:bCs/>
        </w:rPr>
        <w:t xml:space="preserve">Quantitative Analyses. </w:t>
      </w:r>
      <w:r>
        <w:t xml:space="preserve">Phase 1 and Phase 2 surveys will yield data that we will analyze using quantitative methods. These approaches will enable us to make nationally representative estimates about EHS/HS programs. We will analyze </w:t>
      </w:r>
      <w:r w:rsidRPr="007C56BB">
        <w:t xml:space="preserve">the data collected to inform our research questions (see Section A2), which are linked to study objectives and survey items in Attachment </w:t>
      </w:r>
      <w:r>
        <w:t>A</w:t>
      </w:r>
      <w:r w:rsidRPr="007C56BB">
        <w:t xml:space="preserve">. We will address descriptive questions about who makes up the DSC workforce and key practices they support. Univariate statistics will examine the distribution of individual items. For example, </w:t>
      </w:r>
      <w:r w:rsidRPr="007C56BB">
        <w:rPr>
          <w:i/>
        </w:rPr>
        <w:t>frequency distributions</w:t>
      </w:r>
      <w:r w:rsidRPr="007C56BB">
        <w:t xml:space="preserve"> will be calculated to generate summaries of survey items, as well as to examine variability in the data. For quantitative items, </w:t>
      </w:r>
      <w:r w:rsidRPr="007C56BB">
        <w:rPr>
          <w:i/>
        </w:rPr>
        <w:t>parameter estimates</w:t>
      </w:r>
      <w:r w:rsidRPr="007C56BB">
        <w:t>, such as variances and means, will be established. We will</w:t>
      </w:r>
      <w:r>
        <w:t xml:space="preserve"> </w:t>
      </w:r>
      <w:r w:rsidRPr="00D11472">
        <w:t xml:space="preserve">also </w:t>
      </w:r>
      <w:r w:rsidRPr="007C56BB">
        <w:t xml:space="preserve">run </w:t>
      </w:r>
      <w:r w:rsidRPr="007C56BB">
        <w:rPr>
          <w:i/>
        </w:rPr>
        <w:t>cross-tabulations</w:t>
      </w:r>
      <w:r w:rsidRPr="007C56BB">
        <w:t xml:space="preserve"> to examine the relationship among items as well as conduct </w:t>
      </w:r>
      <w:r w:rsidRPr="007C56BB">
        <w:rPr>
          <w:i/>
        </w:rPr>
        <w:t>significance tests</w:t>
      </w:r>
      <w:r w:rsidRPr="007C56BB">
        <w:t xml:space="preserve"> (e.g., t-tests, F-statistics) to determine whether there are meaningful differences between subgroups (e.g., program size, region, program type, rurality). </w:t>
      </w:r>
      <w:r w:rsidRPr="007C56BB">
        <w:rPr>
          <w:iCs/>
          <w:shd w:val="clear" w:color="auto" w:fill="FFFFFF"/>
        </w:rPr>
        <w:t>If appropriate for the data, we may also run ANOVA (analysis of variance) or regressions to understand how variables relate to each other.</w:t>
      </w:r>
      <w:r w:rsidRPr="007C56BB">
        <w:rPr>
          <w:i/>
          <w:iCs/>
          <w:shd w:val="clear" w:color="auto" w:fill="FFFFFF"/>
        </w:rPr>
        <w:t xml:space="preserve"> </w:t>
      </w:r>
    </w:p>
    <w:p w:rsidR="003D63D7" w:rsidP="003D63D7" w:rsidRDefault="003D63D7" w14:paraId="4E92EB49" w14:textId="77777777">
      <w:pPr>
        <w:spacing w:after="0" w:line="240" w:lineRule="atLeast"/>
      </w:pPr>
    </w:p>
    <w:p w:rsidR="003D63D7" w:rsidP="003D63D7" w:rsidRDefault="003D63D7" w14:paraId="75591EDE" w14:textId="77777777">
      <w:pPr>
        <w:spacing w:after="0" w:line="240" w:lineRule="atLeast"/>
      </w:pPr>
      <w:r>
        <w:t xml:space="preserve">Our </w:t>
      </w:r>
      <w:r w:rsidRPr="004274B1">
        <w:rPr>
          <w:i/>
        </w:rPr>
        <w:t>content analysis</w:t>
      </w:r>
      <w:r>
        <w:t xml:space="preserve"> of open-ended survey items will entail systematic coding, creation of a hierarchy of codes, and cross-case and cross-source thematic analysis (see Section B7 for data handling procedures). </w:t>
      </w:r>
    </w:p>
    <w:p w:rsidR="003D63D7" w:rsidP="003D63D7" w:rsidRDefault="003D63D7" w14:paraId="77021232" w14:textId="77777777">
      <w:pPr>
        <w:autoSpaceDE w:val="0"/>
        <w:autoSpaceDN w:val="0"/>
        <w:adjustRightInd w:val="0"/>
        <w:spacing w:after="0" w:line="240" w:lineRule="atLeast"/>
      </w:pPr>
    </w:p>
    <w:p w:rsidR="003D63D7" w:rsidP="003D63D7" w:rsidRDefault="003D63D7" w14:paraId="25810991" w14:textId="77777777">
      <w:pPr>
        <w:spacing w:after="60" w:line="240" w:lineRule="atLeast"/>
        <w:rPr>
          <w:rFonts w:eastAsia="Times New Roman"/>
          <w:b/>
          <w:bCs/>
          <w:i/>
          <w:iCs/>
          <w:color w:val="000000" w:themeColor="text1"/>
        </w:rPr>
      </w:pPr>
      <w:r w:rsidRPr="5A06276C">
        <w:rPr>
          <w:rFonts w:eastAsia="Times New Roman"/>
          <w:b/>
          <w:bCs/>
          <w:color w:val="000000" w:themeColor="text1"/>
        </w:rPr>
        <w:t xml:space="preserve">Qualitative Analyses. </w:t>
      </w:r>
      <w:r w:rsidRPr="5A06276C">
        <w:rPr>
          <w:rFonts w:eastAsia="Times New Roman"/>
          <w:color w:val="000000" w:themeColor="text1"/>
        </w:rPr>
        <w:t xml:space="preserve">Prior to beginning qualitative data </w:t>
      </w:r>
      <w:r>
        <w:t xml:space="preserve">analysis, we will ensure that the interview notes are formatted to allow for efficient review and coding. We will use a grounded theory approach to identify a set of </w:t>
      </w:r>
      <w:r w:rsidRPr="00231464">
        <w:rPr>
          <w:i/>
        </w:rPr>
        <w:t>a priori</w:t>
      </w:r>
      <w:r>
        <w:t xml:space="preserve"> codes related to each interview topic that reflect hypotheses, areas of interest, and subgroup characteristics (e.g., individual, grantee, site characteristics such as race/ethnicity, age, size, type of organization, geographic location). Initial </w:t>
      </w:r>
      <w:r w:rsidRPr="00231464">
        <w:rPr>
          <w:i/>
        </w:rPr>
        <w:t>a priori</w:t>
      </w:r>
      <w:r>
        <w:t xml:space="preserve"> codes and subgroups of interest are presented in Exhibit 2.</w:t>
      </w:r>
    </w:p>
    <w:p w:rsidR="003D63D7" w:rsidP="003D63D7" w:rsidRDefault="003D63D7" w14:paraId="6258CDD3" w14:textId="77777777">
      <w:pPr>
        <w:spacing w:after="0" w:line="240" w:lineRule="atLeast"/>
        <w:rPr>
          <w:highlight w:val="yellow"/>
        </w:rPr>
      </w:pPr>
    </w:p>
    <w:tbl>
      <w:tblPr>
        <w:tblStyle w:val="TableGrid"/>
        <w:tblW w:w="0" w:type="auto"/>
        <w:tblInd w:w="0" w:type="dxa"/>
        <w:tblLayout w:type="fixed"/>
        <w:tblLook w:val="04A0" w:firstRow="1" w:lastRow="0" w:firstColumn="1" w:lastColumn="0" w:noHBand="0" w:noVBand="1"/>
      </w:tblPr>
      <w:tblGrid>
        <w:gridCol w:w="1935"/>
        <w:gridCol w:w="7425"/>
      </w:tblGrid>
      <w:tr w:rsidR="003D63D7" w:rsidTr="00F46AAC" w14:paraId="50C14292" w14:textId="77777777">
        <w:trPr>
          <w:trHeight w:val="420"/>
        </w:trPr>
        <w:tc>
          <w:tcPr>
            <w:tcW w:w="9360" w:type="dxa"/>
            <w:gridSpan w:val="2"/>
          </w:tcPr>
          <w:p w:rsidR="003D63D7" w:rsidP="00771BC7" w:rsidRDefault="003D63D7" w14:paraId="03DD02CE" w14:textId="77777777">
            <w:pPr>
              <w:spacing w:after="0"/>
              <w:rPr>
                <w:rFonts w:ascii="Calibri" w:hAnsi="Calibri" w:eastAsia="Calibri" w:cs="Calibri"/>
                <w:b/>
                <w:bCs/>
                <w:sz w:val="24"/>
                <w:szCs w:val="24"/>
              </w:rPr>
            </w:pPr>
            <w:r w:rsidRPr="00771BC7">
              <w:rPr>
                <w:rFonts w:ascii="Calibri" w:hAnsi="Calibri" w:eastAsia="Calibri" w:cs="Calibri"/>
                <w:b/>
                <w:bCs/>
                <w:sz w:val="22"/>
                <w:szCs w:val="22"/>
              </w:rPr>
              <w:t xml:space="preserve">Exhibit 2. </w:t>
            </w:r>
            <w:r w:rsidRPr="00771BC7">
              <w:rPr>
                <w:rFonts w:ascii="Calibri" w:hAnsi="Calibri" w:eastAsia="Calibri" w:cs="Calibri"/>
                <w:b/>
                <w:bCs/>
                <w:i/>
                <w:sz w:val="22"/>
                <w:szCs w:val="22"/>
              </w:rPr>
              <w:t>A Priori</w:t>
            </w:r>
            <w:r w:rsidRPr="00771BC7">
              <w:rPr>
                <w:rFonts w:ascii="Calibri" w:hAnsi="Calibri" w:eastAsia="Calibri" w:cs="Calibri"/>
                <w:b/>
                <w:bCs/>
                <w:sz w:val="22"/>
                <w:szCs w:val="22"/>
              </w:rPr>
              <w:t xml:space="preserve"> Codes for Analyzing Qualitative Data</w:t>
            </w:r>
          </w:p>
        </w:tc>
      </w:tr>
      <w:tr w:rsidR="003D63D7" w:rsidTr="00F46AAC" w14:paraId="66C17ECD" w14:textId="77777777">
        <w:trPr>
          <w:trHeight w:val="323"/>
        </w:trPr>
        <w:tc>
          <w:tcPr>
            <w:tcW w:w="1935" w:type="dxa"/>
            <w:shd w:val="clear" w:color="auto" w:fill="BFBFBF" w:themeFill="background1" w:themeFillShade="BF"/>
          </w:tcPr>
          <w:p w:rsidRPr="00DD59F4" w:rsidR="003D63D7" w:rsidP="00771BC7" w:rsidRDefault="003D63D7" w14:paraId="2123BB8D" w14:textId="77777777">
            <w:pPr>
              <w:spacing w:after="120"/>
              <w:rPr>
                <w:rFonts w:ascii="Calibri" w:hAnsi="Calibri" w:eastAsia="Calibri" w:cs="Calibri"/>
                <w:bCs/>
              </w:rPr>
            </w:pPr>
            <w:r>
              <w:rPr>
                <w:rFonts w:ascii="Calibri" w:hAnsi="Calibri" w:eastAsia="Calibri" w:cs="Calibri"/>
                <w:b/>
                <w:bCs/>
              </w:rPr>
              <w:t xml:space="preserve">Section or Topic </w:t>
            </w:r>
            <w:r>
              <w:rPr>
                <w:rFonts w:ascii="Calibri" w:hAnsi="Calibri" w:eastAsia="Calibri" w:cs="Calibri"/>
                <w:bCs/>
              </w:rPr>
              <w:t>(Guide #)</w:t>
            </w:r>
          </w:p>
        </w:tc>
        <w:tc>
          <w:tcPr>
            <w:tcW w:w="7425" w:type="dxa"/>
            <w:shd w:val="clear" w:color="auto" w:fill="BFBFBF" w:themeFill="background1" w:themeFillShade="BF"/>
          </w:tcPr>
          <w:p w:rsidRPr="5A06276C" w:rsidR="003D63D7" w:rsidP="00F46AAC" w:rsidRDefault="003D63D7" w14:paraId="72DEC1E6" w14:textId="77777777">
            <w:pPr>
              <w:rPr>
                <w:rFonts w:ascii="Calibri" w:hAnsi="Calibri" w:eastAsia="Calibri" w:cs="Calibri"/>
              </w:rPr>
            </w:pPr>
            <w:r w:rsidRPr="00DD59F4">
              <w:rPr>
                <w:rFonts w:ascii="Calibri" w:hAnsi="Calibri" w:eastAsia="Calibri" w:cs="Calibri"/>
                <w:b/>
                <w:i/>
              </w:rPr>
              <w:t>A Priori</w:t>
            </w:r>
            <w:r>
              <w:rPr>
                <w:rFonts w:ascii="Calibri" w:hAnsi="Calibri" w:eastAsia="Calibri" w:cs="Calibri"/>
              </w:rPr>
              <w:t xml:space="preserve"> </w:t>
            </w:r>
            <w:r w:rsidRPr="00DD59F4">
              <w:rPr>
                <w:rFonts w:ascii="Calibri" w:hAnsi="Calibri" w:eastAsia="Calibri" w:cs="Calibri"/>
                <w:b/>
              </w:rPr>
              <w:t>Codes</w:t>
            </w:r>
          </w:p>
        </w:tc>
      </w:tr>
      <w:tr w:rsidR="003D63D7" w:rsidTr="00F46AAC" w14:paraId="5E47BBC2" w14:textId="77777777">
        <w:trPr>
          <w:trHeight w:val="570"/>
        </w:trPr>
        <w:tc>
          <w:tcPr>
            <w:tcW w:w="1935" w:type="dxa"/>
          </w:tcPr>
          <w:p w:rsidRPr="125687FA" w:rsidR="003D63D7" w:rsidP="00771BC7" w:rsidRDefault="003D63D7" w14:paraId="282A6E31" w14:textId="77777777">
            <w:pPr>
              <w:spacing w:after="120"/>
              <w:rPr>
                <w:rFonts w:ascii="Calibri" w:hAnsi="Calibri" w:eastAsia="Calibri" w:cs="Calibri"/>
                <w:b/>
                <w:bCs/>
              </w:rPr>
            </w:pPr>
            <w:r>
              <w:rPr>
                <w:rFonts w:ascii="Calibri" w:hAnsi="Calibri" w:eastAsia="Calibri" w:cs="Calibri"/>
                <w:b/>
                <w:bCs/>
              </w:rPr>
              <w:t xml:space="preserve">Introduction </w:t>
            </w:r>
            <w:r w:rsidRPr="00DD59F4">
              <w:rPr>
                <w:rFonts w:ascii="Calibri" w:hAnsi="Calibri" w:eastAsia="Calibri" w:cs="Calibri"/>
                <w:bCs/>
              </w:rPr>
              <w:t>(all interview</w:t>
            </w:r>
            <w:r>
              <w:rPr>
                <w:rFonts w:ascii="Calibri" w:hAnsi="Calibri" w:eastAsia="Calibri" w:cs="Calibri"/>
                <w:bCs/>
              </w:rPr>
              <w:t xml:space="preserve"> guide</w:t>
            </w:r>
            <w:r w:rsidRPr="00DD59F4">
              <w:rPr>
                <w:rFonts w:ascii="Calibri" w:hAnsi="Calibri" w:eastAsia="Calibri" w:cs="Calibri"/>
                <w:bCs/>
              </w:rPr>
              <w:t>s)</w:t>
            </w:r>
          </w:p>
        </w:tc>
        <w:tc>
          <w:tcPr>
            <w:tcW w:w="7425" w:type="dxa"/>
          </w:tcPr>
          <w:p w:rsidRPr="5A06276C" w:rsidR="003D63D7" w:rsidP="00771BC7" w:rsidRDefault="003D63D7" w14:paraId="7ED220F8" w14:textId="77777777">
            <w:pPr>
              <w:spacing w:after="120"/>
              <w:rPr>
                <w:rFonts w:ascii="Calibri" w:hAnsi="Calibri" w:eastAsia="Calibri" w:cs="Calibri"/>
              </w:rPr>
            </w:pPr>
            <w:r>
              <w:rPr>
                <w:rFonts w:ascii="Calibri" w:hAnsi="Calibri" w:eastAsia="Calibri" w:cs="Calibri"/>
              </w:rPr>
              <w:t>Populations served; DSC Role-Fulfilling; DSC Role-Challenging</w:t>
            </w:r>
          </w:p>
        </w:tc>
      </w:tr>
      <w:tr w:rsidR="003D63D7" w:rsidTr="00F46AAC" w14:paraId="7EB531A3" w14:textId="77777777">
        <w:trPr>
          <w:trHeight w:val="570"/>
        </w:trPr>
        <w:tc>
          <w:tcPr>
            <w:tcW w:w="1935" w:type="dxa"/>
          </w:tcPr>
          <w:p w:rsidR="003D63D7" w:rsidP="00771BC7" w:rsidRDefault="003D63D7" w14:paraId="00FAF073" w14:textId="77777777">
            <w:pPr>
              <w:spacing w:after="120"/>
            </w:pPr>
            <w:r>
              <w:rPr>
                <w:rFonts w:ascii="Calibri" w:hAnsi="Calibri" w:eastAsia="Calibri" w:cs="Calibri"/>
                <w:b/>
                <w:bCs/>
              </w:rPr>
              <w:t xml:space="preserve">Partnerships with Community-based Disability Service Providers </w:t>
            </w:r>
            <w:r w:rsidRPr="00DD59F4">
              <w:rPr>
                <w:rFonts w:ascii="Calibri" w:hAnsi="Calibri" w:eastAsia="Calibri" w:cs="Calibri"/>
                <w:bCs/>
              </w:rPr>
              <w:t>(Guide 1)</w:t>
            </w:r>
          </w:p>
        </w:tc>
        <w:tc>
          <w:tcPr>
            <w:tcW w:w="7425" w:type="dxa"/>
          </w:tcPr>
          <w:p w:rsidR="003D63D7" w:rsidP="00771BC7" w:rsidRDefault="003D63D7" w14:paraId="35E71FA1" w14:textId="77777777">
            <w:pPr>
              <w:spacing w:after="120"/>
              <w:rPr>
                <w:rFonts w:ascii="Calibri" w:hAnsi="Calibri" w:eastAsia="Calibri" w:cs="Calibri"/>
              </w:rPr>
            </w:pPr>
            <w:r>
              <w:rPr>
                <w:rFonts w:ascii="Calibri" w:hAnsi="Calibri" w:eastAsia="Calibri" w:cs="Calibri"/>
              </w:rPr>
              <w:t>Collaboration-Early Intervention; Collaboration-LEA; Established Partners; Established Partners-Supports; DSC Role-Identify Partners; Identify Partners-Tools; Needed Partners; Needed Partners-Supports; Needed Partners-Challenges; Partner Services-Barriers; Partner Services-Facilitators; MOUs/IAs-Content; MOUs/IAs-Negotiations; Collaboration-Successful Practices; Responsiveness-External partners</w:t>
            </w:r>
            <w:r w:rsidRPr="5A06276C" w:rsidDel="00253A31">
              <w:rPr>
                <w:rFonts w:ascii="Calibri" w:hAnsi="Calibri" w:eastAsia="Calibri" w:cs="Calibri"/>
              </w:rPr>
              <w:t xml:space="preserve"> </w:t>
            </w:r>
          </w:p>
        </w:tc>
      </w:tr>
      <w:tr w:rsidR="003D63D7" w:rsidTr="00F46AAC" w14:paraId="497457C0" w14:textId="77777777">
        <w:tc>
          <w:tcPr>
            <w:tcW w:w="1935" w:type="dxa"/>
          </w:tcPr>
          <w:p w:rsidRPr="00DD59F4" w:rsidR="003D63D7" w:rsidP="00771BC7" w:rsidRDefault="003D63D7" w14:paraId="083E30D4" w14:textId="77777777">
            <w:pPr>
              <w:spacing w:after="120"/>
            </w:pPr>
            <w:r>
              <w:rPr>
                <w:rFonts w:ascii="Calibri" w:hAnsi="Calibri" w:eastAsia="Calibri" w:cs="Calibri"/>
                <w:b/>
                <w:bCs/>
              </w:rPr>
              <w:t xml:space="preserve">Teacher Training and Other Professional Development </w:t>
            </w:r>
            <w:r>
              <w:rPr>
                <w:rFonts w:ascii="Calibri" w:hAnsi="Calibri" w:eastAsia="Calibri" w:cs="Calibri"/>
                <w:bCs/>
              </w:rPr>
              <w:t>(Guide 2)</w:t>
            </w:r>
          </w:p>
        </w:tc>
        <w:tc>
          <w:tcPr>
            <w:tcW w:w="7425" w:type="dxa"/>
          </w:tcPr>
          <w:p w:rsidR="003D63D7" w:rsidP="00771BC7" w:rsidRDefault="003D63D7" w14:paraId="54E3FD2C" w14:textId="77777777">
            <w:pPr>
              <w:spacing w:after="120"/>
            </w:pPr>
            <w:r>
              <w:rPr>
                <w:rFonts w:ascii="Calibri" w:hAnsi="Calibri" w:eastAsia="Calibri" w:cs="Calibri"/>
              </w:rPr>
              <w:t xml:space="preserve">Training Needs </w:t>
            </w:r>
            <w:proofErr w:type="gramStart"/>
            <w:r>
              <w:rPr>
                <w:rFonts w:ascii="Calibri" w:hAnsi="Calibri" w:eastAsia="Calibri" w:cs="Calibri"/>
              </w:rPr>
              <w:t>Assessment;</w:t>
            </w:r>
            <w:proofErr w:type="gramEnd"/>
            <w:r>
              <w:rPr>
                <w:rFonts w:ascii="Calibri" w:hAnsi="Calibri" w:eastAsia="Calibri" w:cs="Calibri"/>
              </w:rPr>
              <w:t xml:space="preserve"> Trainings Needed; Providing Trainings-Process; Providing Trainings-Frequency; Providing Trainings-Methods; Responsiveness-Teacher Trainings; Evaluation-Measures; Evaluation-Most Successful; Other Needed Supports</w:t>
            </w:r>
          </w:p>
        </w:tc>
      </w:tr>
      <w:tr w:rsidR="003D63D7" w:rsidTr="00F46AAC" w14:paraId="65180168" w14:textId="77777777">
        <w:trPr>
          <w:trHeight w:val="735"/>
        </w:trPr>
        <w:tc>
          <w:tcPr>
            <w:tcW w:w="1935" w:type="dxa"/>
          </w:tcPr>
          <w:p w:rsidRPr="00DD59F4" w:rsidR="003D63D7" w:rsidP="00771BC7" w:rsidRDefault="003D63D7" w14:paraId="0F5747A1" w14:textId="77777777">
            <w:pPr>
              <w:spacing w:after="120"/>
            </w:pPr>
            <w:r>
              <w:rPr>
                <w:rFonts w:ascii="Calibri" w:hAnsi="Calibri" w:eastAsia="Calibri" w:cs="Calibri"/>
                <w:b/>
                <w:bCs/>
              </w:rPr>
              <w:t xml:space="preserve">Recruitment and Enrollment of Children with Disabilities and Suspected Delays </w:t>
            </w:r>
            <w:r>
              <w:rPr>
                <w:rFonts w:ascii="Calibri" w:hAnsi="Calibri" w:eastAsia="Calibri" w:cs="Calibri"/>
                <w:bCs/>
              </w:rPr>
              <w:t>(Guide 3)</w:t>
            </w:r>
          </w:p>
        </w:tc>
        <w:tc>
          <w:tcPr>
            <w:tcW w:w="7425" w:type="dxa"/>
          </w:tcPr>
          <w:p w:rsidR="003D63D7" w:rsidP="00771BC7" w:rsidRDefault="003D63D7" w14:paraId="2263AE07" w14:textId="77777777">
            <w:pPr>
              <w:spacing w:after="120"/>
            </w:pPr>
            <w:r>
              <w:rPr>
                <w:rFonts w:ascii="Calibri" w:hAnsi="Calibri" w:eastAsia="Calibri" w:cs="Calibri"/>
              </w:rPr>
              <w:t xml:space="preserve">Recruitment strategies-Successful; Recruitment strategies-Local Tailoring; Recruitment strategies-Unsuccessful; Recruitment strategies-Mitigate Challenges; Representation of Local Diversity; Enrollment-Successful strategies; Enrollment-Challenges; Recruitment and Enrollment-Best Practices; 10% Requirement-Facilitators; 10% Requirement-Barriers; 10% Requirement-Recruit after met; 10% Requirement-Waivers </w:t>
            </w:r>
          </w:p>
        </w:tc>
      </w:tr>
      <w:tr w:rsidR="003D63D7" w:rsidTr="00F46AAC" w14:paraId="7F479084" w14:textId="77777777">
        <w:tc>
          <w:tcPr>
            <w:tcW w:w="1935" w:type="dxa"/>
          </w:tcPr>
          <w:p w:rsidRPr="00DD59F4" w:rsidR="003D63D7" w:rsidP="00771BC7" w:rsidRDefault="003D63D7" w14:paraId="64FADBD4" w14:textId="77777777">
            <w:pPr>
              <w:spacing w:after="120"/>
            </w:pPr>
            <w:r>
              <w:rPr>
                <w:rFonts w:ascii="Calibri" w:hAnsi="Calibri" w:eastAsia="Calibri" w:cs="Calibri"/>
                <w:b/>
                <w:bCs/>
              </w:rPr>
              <w:t xml:space="preserve">Family Collaboration </w:t>
            </w:r>
            <w:r>
              <w:rPr>
                <w:rFonts w:ascii="Calibri" w:hAnsi="Calibri" w:eastAsia="Calibri" w:cs="Calibri"/>
                <w:bCs/>
              </w:rPr>
              <w:t>(Guide 4)</w:t>
            </w:r>
          </w:p>
        </w:tc>
        <w:tc>
          <w:tcPr>
            <w:tcW w:w="7425" w:type="dxa"/>
          </w:tcPr>
          <w:p w:rsidR="003D63D7" w:rsidP="00771BC7" w:rsidRDefault="003D63D7" w14:paraId="06D0472F" w14:textId="77777777">
            <w:pPr>
              <w:spacing w:after="120"/>
            </w:pPr>
            <w:r>
              <w:rPr>
                <w:rFonts w:ascii="Calibri" w:hAnsi="Calibri" w:eastAsia="Calibri" w:cs="Calibri"/>
              </w:rPr>
              <w:t>Communicate with Families-Methods; Communicate with Families-Best Methods; Communicate with Families-Challenges; Communicate with Families-Mitigate Challenges; Family Supports-New Diagnosis; Family Resistance; Family Supports-Advocacy; Family Supports-Training; Foster Relationships-Strategies; Foster Relationships-Best Practices; Family Supports-Underserved Populations; Engage Diverse Families-Strategies; Engage Diverse Families-Staff Support; Family Collaboration-Challenges; Family Collaboration-Mitigate Challenges</w:t>
            </w:r>
          </w:p>
        </w:tc>
      </w:tr>
      <w:tr w:rsidR="003D63D7" w:rsidTr="00F46AAC" w14:paraId="63FC1628" w14:textId="77777777">
        <w:tc>
          <w:tcPr>
            <w:tcW w:w="1935" w:type="dxa"/>
          </w:tcPr>
          <w:p w:rsidRPr="00DD59F4" w:rsidR="003D63D7" w:rsidP="00771BC7" w:rsidRDefault="003D63D7" w14:paraId="77800BDD" w14:textId="77777777">
            <w:pPr>
              <w:spacing w:after="120"/>
              <w:rPr>
                <w:rFonts w:ascii="Calibri" w:hAnsi="Calibri" w:eastAsia="Calibri" w:cs="Calibri"/>
                <w:bCs/>
              </w:rPr>
            </w:pPr>
            <w:r>
              <w:rPr>
                <w:rFonts w:ascii="Calibri" w:hAnsi="Calibri" w:eastAsia="Calibri" w:cs="Calibri"/>
                <w:b/>
                <w:bCs/>
              </w:rPr>
              <w:t xml:space="preserve">Transitioning Children with Disabilities </w:t>
            </w:r>
            <w:r>
              <w:rPr>
                <w:rFonts w:ascii="Calibri" w:hAnsi="Calibri" w:eastAsia="Calibri" w:cs="Calibri"/>
                <w:bCs/>
              </w:rPr>
              <w:t>(Guide 5)</w:t>
            </w:r>
          </w:p>
        </w:tc>
        <w:tc>
          <w:tcPr>
            <w:tcW w:w="7425" w:type="dxa"/>
          </w:tcPr>
          <w:p w:rsidR="003D63D7" w:rsidP="00771BC7" w:rsidRDefault="003D63D7" w14:paraId="06541D7E" w14:textId="77777777">
            <w:pPr>
              <w:spacing w:after="120"/>
              <w:rPr>
                <w:rFonts w:ascii="Calibri" w:hAnsi="Calibri" w:eastAsia="Calibri" w:cs="Calibri"/>
              </w:rPr>
            </w:pPr>
            <w:r>
              <w:rPr>
                <w:rFonts w:ascii="Calibri" w:hAnsi="Calibri" w:eastAsia="Calibri" w:cs="Calibri"/>
              </w:rPr>
              <w:t>Transition Planning-Start Date; Transition Planning-Challenges; Transition Planning-Mitigate Challenges; Transition Collaboration-Internal Staff; Transition Collaboration-Receiving Setting; Transition Collaboration-Partners; Transition-Prepare Families; Responsiveness-Transition Process; Transitions-Best Practices; Transitions-Challenges; Transitions-Mitigate Challenges; Transitions-Lessons Learned; Program Transitions-Level of Satisfaction</w:t>
            </w:r>
          </w:p>
        </w:tc>
      </w:tr>
      <w:tr w:rsidR="003D63D7" w:rsidTr="00F46AAC" w14:paraId="4C49FCF3" w14:textId="77777777">
        <w:tc>
          <w:tcPr>
            <w:tcW w:w="1935" w:type="dxa"/>
          </w:tcPr>
          <w:p w:rsidRPr="00DD59F4" w:rsidR="003D63D7" w:rsidP="00771BC7" w:rsidRDefault="003D63D7" w14:paraId="58EADCE3" w14:textId="77777777">
            <w:pPr>
              <w:spacing w:after="120"/>
              <w:rPr>
                <w:rFonts w:ascii="Calibri" w:hAnsi="Calibri" w:eastAsia="Calibri" w:cs="Calibri"/>
                <w:bCs/>
              </w:rPr>
            </w:pPr>
            <w:r>
              <w:rPr>
                <w:rFonts w:ascii="Calibri" w:hAnsi="Calibri" w:eastAsia="Calibri" w:cs="Calibri"/>
                <w:b/>
                <w:bCs/>
              </w:rPr>
              <w:t xml:space="preserve">Racial, ethnic, cultural, and linguistic responsiveness </w:t>
            </w:r>
            <w:r>
              <w:rPr>
                <w:rFonts w:ascii="Calibri" w:hAnsi="Calibri" w:eastAsia="Calibri" w:cs="Calibri"/>
                <w:bCs/>
              </w:rPr>
              <w:t>(all interview guides)</w:t>
            </w:r>
          </w:p>
        </w:tc>
        <w:tc>
          <w:tcPr>
            <w:tcW w:w="7425" w:type="dxa"/>
          </w:tcPr>
          <w:p w:rsidRPr="5A06276C" w:rsidR="003D63D7" w:rsidP="00771BC7" w:rsidRDefault="003D63D7" w14:paraId="4528E0EF" w14:textId="77777777">
            <w:pPr>
              <w:spacing w:after="120"/>
              <w:rPr>
                <w:rFonts w:ascii="Calibri" w:hAnsi="Calibri" w:eastAsia="Calibri" w:cs="Calibri"/>
              </w:rPr>
            </w:pPr>
            <w:r>
              <w:rPr>
                <w:rFonts w:ascii="Calibri" w:hAnsi="Calibri" w:eastAsia="Calibri" w:cs="Calibri"/>
              </w:rPr>
              <w:t>Responsiveness-External partners; Responsiveness-Teacher Trainings; Representation of Local Diversity; Engage Diverse Families-Strategies; Engage Diverse Families-Staff Support; Responsiveness-Transition Process</w:t>
            </w:r>
          </w:p>
        </w:tc>
      </w:tr>
    </w:tbl>
    <w:p w:rsidR="003D63D7" w:rsidP="003D63D7" w:rsidRDefault="003D63D7" w14:paraId="4D79E519" w14:textId="77777777">
      <w:pPr>
        <w:spacing w:after="0" w:line="240" w:lineRule="atLeast"/>
        <w:rPr>
          <w:rFonts w:ascii="Calibri" w:hAnsi="Calibri" w:eastAsia="Calibri" w:cs="Calibri"/>
        </w:rPr>
      </w:pPr>
    </w:p>
    <w:p w:rsidR="003D63D7" w:rsidP="003D63D7" w:rsidRDefault="003D63D7" w14:paraId="5856BC5C" w14:textId="77777777">
      <w:pPr>
        <w:spacing w:after="0" w:line="240" w:lineRule="atLeast"/>
        <w:rPr>
          <w:color w:val="000000" w:themeColor="text1"/>
        </w:rPr>
      </w:pPr>
      <w:r w:rsidRPr="5A06276C">
        <w:rPr>
          <w:rFonts w:ascii="Calibri" w:hAnsi="Calibri" w:eastAsia="Calibri" w:cs="Calibri"/>
        </w:rPr>
        <w:lastRenderedPageBreak/>
        <w:t>Following initial data collection, the</w:t>
      </w:r>
      <w:r>
        <w:rPr>
          <w:rFonts w:ascii="Calibri" w:hAnsi="Calibri" w:eastAsia="Calibri" w:cs="Calibri"/>
        </w:rPr>
        <w:t xml:space="preserve"> research</w:t>
      </w:r>
      <w:r w:rsidRPr="5A06276C">
        <w:rPr>
          <w:rFonts w:ascii="Calibri" w:hAnsi="Calibri" w:eastAsia="Calibri" w:cs="Calibri"/>
        </w:rPr>
        <w:t xml:space="preserve"> team will </w:t>
      </w:r>
      <w:r>
        <w:rPr>
          <w:rFonts w:ascii="Calibri" w:hAnsi="Calibri" w:eastAsia="Calibri" w:cs="Calibri"/>
        </w:rPr>
        <w:t xml:space="preserve">analyze the qualitative data. </w:t>
      </w:r>
      <w:r>
        <w:rPr>
          <w:color w:val="000000" w:themeColor="text1"/>
        </w:rPr>
        <w:t>Since multiple</w:t>
      </w:r>
      <w:r w:rsidRPr="004F65BF">
        <w:rPr>
          <w:color w:val="000000" w:themeColor="text1"/>
        </w:rPr>
        <w:t xml:space="preserve"> people </w:t>
      </w:r>
      <w:r>
        <w:rPr>
          <w:color w:val="000000" w:themeColor="text1"/>
        </w:rPr>
        <w:t>will be</w:t>
      </w:r>
      <w:r w:rsidRPr="004F65BF">
        <w:rPr>
          <w:color w:val="000000" w:themeColor="text1"/>
        </w:rPr>
        <w:t xml:space="preserve"> involved in data coding and analysis, steps must be taken to ensure analytic rigor and the systematization necessary to reduce the effects of subjectivity and selection bias. These steps include developing a codebook, ensuring inter-coder reliability, and using a qualitative data analysis software program</w:t>
      </w:r>
      <w:r>
        <w:rPr>
          <w:color w:val="000000" w:themeColor="text1"/>
        </w:rPr>
        <w:t xml:space="preserve"> (i.e., NVivo)</w:t>
      </w:r>
      <w:r w:rsidRPr="004F65BF">
        <w:rPr>
          <w:color w:val="000000" w:themeColor="text1"/>
        </w:rPr>
        <w:t xml:space="preserve">. The team </w:t>
      </w:r>
      <w:r>
        <w:rPr>
          <w:color w:val="000000" w:themeColor="text1"/>
        </w:rPr>
        <w:t>will</w:t>
      </w:r>
      <w:r w:rsidRPr="004F65BF">
        <w:rPr>
          <w:color w:val="000000" w:themeColor="text1"/>
        </w:rPr>
        <w:t xml:space="preserve"> meet on a regular basis to discuss code application and general findings. This </w:t>
      </w:r>
      <w:r>
        <w:rPr>
          <w:color w:val="000000" w:themeColor="text1"/>
        </w:rPr>
        <w:t xml:space="preserve">will </w:t>
      </w:r>
      <w:r w:rsidRPr="004F65BF">
        <w:rPr>
          <w:color w:val="000000" w:themeColor="text1"/>
        </w:rPr>
        <w:t xml:space="preserve">create an opportunity to ensure that the codes are being applied consistently across analysts. </w:t>
      </w:r>
      <w:r>
        <w:rPr>
          <w:color w:val="000000" w:themeColor="text1"/>
        </w:rPr>
        <w:t>C</w:t>
      </w:r>
      <w:r w:rsidRPr="004F65BF">
        <w:rPr>
          <w:color w:val="000000" w:themeColor="text1"/>
        </w:rPr>
        <w:t xml:space="preserve">oders </w:t>
      </w:r>
      <w:r>
        <w:rPr>
          <w:color w:val="000000" w:themeColor="text1"/>
        </w:rPr>
        <w:t>may also</w:t>
      </w:r>
      <w:r w:rsidRPr="004F65BF">
        <w:rPr>
          <w:color w:val="000000" w:themeColor="text1"/>
        </w:rPr>
        <w:t xml:space="preserve"> use the memo and comment functions in </w:t>
      </w:r>
      <w:r>
        <w:rPr>
          <w:color w:val="000000" w:themeColor="text1"/>
        </w:rPr>
        <w:t>NVivo</w:t>
      </w:r>
      <w:r w:rsidRPr="004F65BF">
        <w:rPr>
          <w:color w:val="000000" w:themeColor="text1"/>
        </w:rPr>
        <w:t xml:space="preserve"> to flag segments of text for discussion during internal team meetings. Any changes to the codebook or coding process resulting from </w:t>
      </w:r>
      <w:r>
        <w:rPr>
          <w:color w:val="000000" w:themeColor="text1"/>
        </w:rPr>
        <w:t xml:space="preserve">these </w:t>
      </w:r>
      <w:r w:rsidRPr="004F65BF">
        <w:rPr>
          <w:color w:val="000000" w:themeColor="text1"/>
        </w:rPr>
        <w:t xml:space="preserve">discussions </w:t>
      </w:r>
      <w:r>
        <w:rPr>
          <w:color w:val="000000" w:themeColor="text1"/>
        </w:rPr>
        <w:t>will</w:t>
      </w:r>
      <w:r w:rsidRPr="004F65BF">
        <w:rPr>
          <w:color w:val="000000" w:themeColor="text1"/>
        </w:rPr>
        <w:t xml:space="preserve"> be applied to </w:t>
      </w:r>
      <w:proofErr w:type="gramStart"/>
      <w:r w:rsidRPr="004F65BF">
        <w:rPr>
          <w:color w:val="000000" w:themeColor="text1"/>
        </w:rPr>
        <w:t>previously-coded</w:t>
      </w:r>
      <w:proofErr w:type="gramEnd"/>
      <w:r w:rsidRPr="004F65BF">
        <w:rPr>
          <w:color w:val="000000" w:themeColor="text1"/>
        </w:rPr>
        <w:t xml:space="preserve"> </w:t>
      </w:r>
      <w:r>
        <w:rPr>
          <w:color w:val="000000" w:themeColor="text1"/>
        </w:rPr>
        <w:t>interview notes</w:t>
      </w:r>
      <w:r w:rsidRPr="004F65BF">
        <w:rPr>
          <w:color w:val="000000" w:themeColor="text1"/>
        </w:rPr>
        <w:t xml:space="preserve">. </w:t>
      </w:r>
    </w:p>
    <w:p w:rsidR="003D63D7" w:rsidP="003D63D7" w:rsidRDefault="003D63D7" w14:paraId="1284EBD1" w14:textId="77777777">
      <w:pPr>
        <w:spacing w:after="0" w:line="240" w:lineRule="atLeast"/>
        <w:rPr>
          <w:rFonts w:ascii="Calibri" w:hAnsi="Calibri" w:eastAsia="Calibri" w:cs="Calibri"/>
        </w:rPr>
      </w:pPr>
    </w:p>
    <w:p w:rsidR="003D63D7" w:rsidP="003D63D7" w:rsidRDefault="003D63D7" w14:paraId="105774F7" w14:textId="77777777">
      <w:pPr>
        <w:spacing w:after="0" w:line="240" w:lineRule="atLeast"/>
        <w:rPr>
          <w:rFonts w:eastAsiaTheme="minorEastAsia"/>
          <w:color w:val="000000" w:themeColor="text1"/>
        </w:rPr>
      </w:pPr>
      <w:r>
        <w:rPr>
          <w:rFonts w:ascii="Calibri" w:hAnsi="Calibri" w:eastAsia="Calibri" w:cs="Calibri"/>
        </w:rPr>
        <w:t xml:space="preserve">First, the team will produce a codebook reflecting the initial set of codes that will guide the coders in reviewing and coding the qualitative data. </w:t>
      </w:r>
      <w:r w:rsidRPr="004F65BF">
        <w:rPr>
          <w:color w:val="000000" w:themeColor="text1"/>
        </w:rPr>
        <w:t>The</w:t>
      </w:r>
      <w:r>
        <w:rPr>
          <w:color w:val="000000" w:themeColor="text1"/>
        </w:rPr>
        <w:t>se</w:t>
      </w:r>
      <w:r w:rsidRPr="004F65BF">
        <w:rPr>
          <w:color w:val="000000" w:themeColor="text1"/>
        </w:rPr>
        <w:t xml:space="preserve"> codes </w:t>
      </w:r>
      <w:r>
        <w:rPr>
          <w:color w:val="000000" w:themeColor="text1"/>
        </w:rPr>
        <w:t>were developed based on the draft interview guides, which reflect our study goals and research questions; they are</w:t>
      </w:r>
      <w:r w:rsidRPr="004F65BF">
        <w:rPr>
          <w:color w:val="000000" w:themeColor="text1"/>
        </w:rPr>
        <w:t xml:space="preserve"> broad enough in nature to facilitate consistent code application across coders.</w:t>
      </w:r>
      <w:r>
        <w:rPr>
          <w:color w:val="000000" w:themeColor="text1"/>
        </w:rPr>
        <w:t xml:space="preserve"> </w:t>
      </w:r>
      <w:r>
        <w:rPr>
          <w:rFonts w:ascii="Calibri" w:hAnsi="Calibri" w:eastAsia="Calibri" w:cs="Calibri"/>
        </w:rPr>
        <w:t xml:space="preserve">Then, we will import the interview notes and </w:t>
      </w:r>
      <w:r>
        <w:rPr>
          <w:rFonts w:ascii="Calibri" w:hAnsi="Calibri" w:eastAsia="Calibri" w:cs="Calibri"/>
          <w:i/>
        </w:rPr>
        <w:t xml:space="preserve">a priori </w:t>
      </w:r>
      <w:r>
        <w:rPr>
          <w:rFonts w:ascii="Calibri" w:hAnsi="Calibri" w:eastAsia="Calibri" w:cs="Calibri"/>
        </w:rPr>
        <w:t xml:space="preserve">codes into NVivo, and a team of trained coders will begin to review the notes and apply the </w:t>
      </w:r>
      <w:r>
        <w:rPr>
          <w:rFonts w:ascii="Calibri" w:hAnsi="Calibri" w:eastAsia="Calibri" w:cs="Calibri"/>
          <w:i/>
        </w:rPr>
        <w:t xml:space="preserve">a priori </w:t>
      </w:r>
      <w:r>
        <w:rPr>
          <w:rFonts w:ascii="Calibri" w:hAnsi="Calibri" w:eastAsia="Calibri" w:cs="Calibri"/>
        </w:rPr>
        <w:t>codes as well as</w:t>
      </w:r>
      <w:r w:rsidRPr="5A06276C">
        <w:rPr>
          <w:rFonts w:ascii="Calibri" w:hAnsi="Calibri" w:eastAsia="Calibri" w:cs="Calibri"/>
        </w:rPr>
        <w:t xml:space="preserve"> identify additional codes that emerge from unanticipated patterns in the data. </w:t>
      </w:r>
      <w:r>
        <w:t xml:space="preserve">The coders will discuss these new codes during regular internal meetings and, upon agreement, add them to the codebook and apply them to any </w:t>
      </w:r>
      <w:proofErr w:type="gramStart"/>
      <w:r>
        <w:t>previously-coded</w:t>
      </w:r>
      <w:proofErr w:type="gramEnd"/>
      <w:r>
        <w:t xml:space="preserve"> data. </w:t>
      </w:r>
      <w:r w:rsidRPr="00BC4D0D">
        <w:t>These</w:t>
      </w:r>
      <w:r w:rsidRPr="00034F88">
        <w:t xml:space="preserve"> codes will allow </w:t>
      </w:r>
      <w:r>
        <w:t>evaluators</w:t>
      </w:r>
      <w:r w:rsidRPr="00034F88">
        <w:t xml:space="preserve"> to identify and group common themes </w:t>
      </w:r>
      <w:r>
        <w:t>as well as</w:t>
      </w:r>
      <w:r w:rsidRPr="00034F88">
        <w:t xml:space="preserve"> assess their overall strengths and implications.</w:t>
      </w:r>
      <w:r>
        <w:t xml:space="preserve"> </w:t>
      </w:r>
    </w:p>
    <w:p w:rsidR="003D63D7" w:rsidP="003D63D7" w:rsidRDefault="003D63D7" w14:paraId="062ED883" w14:textId="77777777">
      <w:pPr>
        <w:spacing w:after="0" w:line="240" w:lineRule="atLeast"/>
        <w:ind w:left="1440"/>
      </w:pPr>
    </w:p>
    <w:p w:rsidR="003D63D7" w:rsidP="003D63D7" w:rsidRDefault="003D63D7" w14:paraId="4E34D695" w14:textId="77777777">
      <w:pPr>
        <w:spacing w:after="0" w:line="240" w:lineRule="atLeast"/>
        <w:rPr>
          <w:color w:val="000000" w:themeColor="text1"/>
        </w:rPr>
      </w:pPr>
      <w:r>
        <w:rPr>
          <w:color w:val="000000" w:themeColor="text1"/>
        </w:rPr>
        <w:t xml:space="preserve">The interview guides reference the DSCs’ responses to the Phase 2 survey and ask follow-up questions, which allow us to delve deeper into the nuances of different program policies, practices, successes, and challenges. As such, the qualitative analysis will supplement the </w:t>
      </w:r>
      <w:proofErr w:type="gramStart"/>
      <w:r>
        <w:rPr>
          <w:color w:val="000000" w:themeColor="text1"/>
        </w:rPr>
        <w:t>nationally-representative</w:t>
      </w:r>
      <w:proofErr w:type="gramEnd"/>
      <w:r>
        <w:rPr>
          <w:color w:val="000000" w:themeColor="text1"/>
        </w:rPr>
        <w:t xml:space="preserve"> quantitative data to produce a comprehensive picture of the DSC workforce. </w:t>
      </w:r>
    </w:p>
    <w:p w:rsidRPr="001A59B6" w:rsidR="003D63D7" w:rsidP="003D63D7" w:rsidRDefault="003D63D7" w14:paraId="5C18E66C" w14:textId="77777777">
      <w:pPr>
        <w:autoSpaceDE w:val="0"/>
        <w:autoSpaceDN w:val="0"/>
        <w:adjustRightInd w:val="0"/>
        <w:spacing w:after="0" w:line="240" w:lineRule="atLeast"/>
        <w:rPr>
          <w:rFonts w:eastAsia="Times New Roman"/>
          <w:color w:val="000000"/>
        </w:rPr>
      </w:pPr>
    </w:p>
    <w:p w:rsidRPr="001A59B6" w:rsidR="003D63D7" w:rsidP="003D63D7" w:rsidRDefault="003D63D7" w14:paraId="424CA456" w14:textId="77777777">
      <w:pPr>
        <w:spacing w:after="60" w:line="240" w:lineRule="atLeast"/>
        <w:rPr>
          <w:rFonts w:eastAsia="Times New Roman"/>
          <w:i/>
          <w:iCs/>
        </w:rPr>
      </w:pPr>
      <w:r w:rsidRPr="183590F1">
        <w:rPr>
          <w:rFonts w:eastAsia="Times New Roman"/>
          <w:i/>
          <w:iCs/>
        </w:rPr>
        <w:t>Data Use</w:t>
      </w:r>
    </w:p>
    <w:p w:rsidR="003D63D7" w:rsidP="003D63D7" w:rsidRDefault="003D63D7" w14:paraId="11494EB0" w14:textId="77777777">
      <w:pPr>
        <w:spacing w:after="0" w:line="240" w:lineRule="atLeast"/>
      </w:pPr>
      <w:r>
        <w:rPr>
          <w:rFonts w:eastAsia="Times New Roman"/>
        </w:rPr>
        <w:t>We</w:t>
      </w:r>
      <w:r w:rsidRPr="5A06276C">
        <w:rPr>
          <w:rFonts w:eastAsia="Times New Roman"/>
        </w:rPr>
        <w:t xml:space="preserve"> will </w:t>
      </w:r>
      <w:r>
        <w:t>archive the data with supporting materials (e.g., codebooks, instruments), so that a wide variety of researchers and stakeholders can access, use, and duplicate any analyses conducted by the project. The codebooks will include data variables, data labels, and response options for each question. The accompanying User Guide will describe each dataset (from Phase 1, Phase 2, and Phase 3), explain the weights, and detail the processes for linking datasets. The User Guide will also include: a description of the study design and methods used to collect and analyze data; documentation of study approval (i.e., OMB and IRB) and consent forms; the Phase 1 and Phase 2 questionnaires; and the Phase 3 interview guides. No data currently exists regarding DSCs’ roles and the ways they address HS Performance Standards. Other researchers will be able to conduct secondary analyses on the study data to expand the influence of our findings on EHS/HS services for children with disabilities and their families.</w:t>
      </w:r>
    </w:p>
    <w:p w:rsidR="003D63D7" w:rsidP="003D63D7" w:rsidRDefault="003D63D7" w14:paraId="445C6870" w14:textId="77777777">
      <w:pPr>
        <w:spacing w:after="0" w:line="240" w:lineRule="atLeast"/>
      </w:pPr>
    </w:p>
    <w:p w:rsidRPr="001527CB" w:rsidR="003D63D7" w:rsidP="003D63D7" w:rsidRDefault="003D63D7" w14:paraId="281F7ADD" w14:textId="77777777">
      <w:pPr>
        <w:spacing w:after="0" w:line="240" w:lineRule="atLeast"/>
        <w:rPr>
          <w:rFonts w:eastAsia="Times New Roman"/>
        </w:rPr>
      </w:pPr>
      <w:r>
        <w:rPr>
          <w:rFonts w:eastAsia="Times New Roman"/>
        </w:rPr>
        <w:t>T</w:t>
      </w:r>
      <w:r w:rsidRPr="00406108">
        <w:rPr>
          <w:rFonts w:eastAsia="Times New Roman"/>
        </w:rPr>
        <w:t xml:space="preserve">he </w:t>
      </w:r>
      <w:r>
        <w:rPr>
          <w:rFonts w:eastAsia="Times New Roman"/>
        </w:rPr>
        <w:t>Data Tables Report will</w:t>
      </w:r>
      <w:r w:rsidRPr="00406108">
        <w:rPr>
          <w:rFonts w:eastAsia="Times New Roman"/>
        </w:rPr>
        <w:t xml:space="preserve"> serve as the primary reference of the information collected</w:t>
      </w:r>
      <w:r>
        <w:rPr>
          <w:rFonts w:eastAsia="Times New Roman"/>
        </w:rPr>
        <w:t>. This report provides the summary data and subgroup analyses from the Phase 1 and Phase 2 surveys. It will also provide a description of t</w:t>
      </w:r>
      <w:r w:rsidRPr="004843C4">
        <w:rPr>
          <w:rFonts w:eastAsia="Times New Roman"/>
        </w:rPr>
        <w:t>he study design, method</w:t>
      </w:r>
      <w:r>
        <w:rPr>
          <w:rFonts w:eastAsia="Times New Roman"/>
        </w:rPr>
        <w:t>s</w:t>
      </w:r>
      <w:r w:rsidRPr="004843C4">
        <w:rPr>
          <w:rFonts w:eastAsia="Times New Roman"/>
        </w:rPr>
        <w:t>, analytic approach</w:t>
      </w:r>
      <w:r>
        <w:rPr>
          <w:rFonts w:eastAsia="Times New Roman"/>
        </w:rPr>
        <w:t>es</w:t>
      </w:r>
      <w:r w:rsidRPr="004843C4">
        <w:rPr>
          <w:rFonts w:eastAsia="Times New Roman"/>
        </w:rPr>
        <w:t xml:space="preserve">, and sampling information. The Data Tables </w:t>
      </w:r>
      <w:r>
        <w:rPr>
          <w:rFonts w:eastAsia="Times New Roman"/>
        </w:rPr>
        <w:t xml:space="preserve">Report </w:t>
      </w:r>
      <w:r w:rsidRPr="004843C4">
        <w:rPr>
          <w:rFonts w:eastAsia="Times New Roman"/>
        </w:rPr>
        <w:t>will also include descripti</w:t>
      </w:r>
      <w:r>
        <w:rPr>
          <w:rFonts w:eastAsia="Times New Roman"/>
        </w:rPr>
        <w:t>ve information about the sample</w:t>
      </w:r>
      <w:r w:rsidRPr="004843C4">
        <w:rPr>
          <w:rFonts w:eastAsia="Times New Roman"/>
        </w:rPr>
        <w:t>.</w:t>
      </w:r>
      <w:r>
        <w:rPr>
          <w:rFonts w:eastAsia="Times New Roman"/>
        </w:rPr>
        <w:t xml:space="preserve"> We</w:t>
      </w:r>
      <w:r w:rsidRPr="5A06276C">
        <w:rPr>
          <w:rFonts w:eastAsia="Times New Roman"/>
        </w:rPr>
        <w:t xml:space="preserve"> will </w:t>
      </w:r>
      <w:r>
        <w:rPr>
          <w:rFonts w:eastAsia="Times New Roman"/>
        </w:rPr>
        <w:t xml:space="preserve">highlight </w:t>
      </w:r>
      <w:r w:rsidRPr="5A06276C">
        <w:rPr>
          <w:rFonts w:eastAsia="Times New Roman"/>
        </w:rPr>
        <w:t xml:space="preserve">findings through study briefs, which OPRE will publish on its website and the research team will </w:t>
      </w:r>
      <w:r>
        <w:rPr>
          <w:rFonts w:eastAsia="Times New Roman"/>
        </w:rPr>
        <w:t>disseminate to various audiences. The topics were selected based on the research objectives (Section B.1) and stakeholder feedback. The briefs will be targeted for T/TA providers, EHS/HS program directors, and DSCs. The briefs will focus on: 1) partnerships with community-based disability service providers; 2) teacher training and other professional development; 3) recruitment and enrollment of children with disabilities and suspected delays; 4) family collaboration; 5) transitioning children with disabilities; and racial, ethnic, cultural, and linguistic responsiveness.</w:t>
      </w:r>
      <w:r w:rsidRPr="5A06276C">
        <w:rPr>
          <w:rFonts w:eastAsia="Times New Roman"/>
        </w:rPr>
        <w:t xml:space="preserve"> </w:t>
      </w:r>
    </w:p>
    <w:p w:rsidRPr="001A59B6" w:rsidR="003D63D7" w:rsidP="003D63D7" w:rsidRDefault="003D63D7" w14:paraId="5AB93285" w14:textId="77777777">
      <w:pPr>
        <w:spacing w:after="0" w:line="240" w:lineRule="auto"/>
        <w:rPr>
          <w:rFonts w:eastAsia="Times New Roman" w:cstheme="minorHAnsi"/>
        </w:rPr>
      </w:pPr>
    </w:p>
    <w:p w:rsidRPr="001A59B6" w:rsidR="003D63D7" w:rsidP="003D63D7" w:rsidRDefault="003D63D7" w14:paraId="0DD4080A" w14:textId="77777777">
      <w:pPr>
        <w:spacing w:after="120" w:line="240" w:lineRule="auto"/>
        <w:rPr>
          <w:rFonts w:eastAsia="Times New Roman"/>
        </w:rPr>
      </w:pPr>
      <w:r w:rsidRPr="7B360CDE">
        <w:rPr>
          <w:rFonts w:eastAsia="Times New Roman"/>
          <w:b/>
          <w:bCs/>
        </w:rPr>
        <w:t>B8.</w:t>
      </w:r>
      <w:r>
        <w:rPr>
          <w:rFonts w:eastAsia="Times New Roman"/>
          <w:b/>
          <w:bCs/>
        </w:rPr>
        <w:tab/>
      </w:r>
      <w:r w:rsidRPr="7B360CDE">
        <w:rPr>
          <w:rFonts w:eastAsia="Times New Roman"/>
          <w:b/>
          <w:bCs/>
        </w:rPr>
        <w:t>Contact Person(s)</w:t>
      </w:r>
      <w:r w:rsidRPr="7B360CDE">
        <w:rPr>
          <w:rFonts w:eastAsia="Times New Roman"/>
        </w:rPr>
        <w:t xml:space="preserve">  </w:t>
      </w:r>
    </w:p>
    <w:tbl>
      <w:tblPr>
        <w:tblStyle w:val="TableGrid"/>
        <w:tblW w:w="0" w:type="auto"/>
        <w:tblInd w:w="0" w:type="dxa"/>
        <w:tblLayout w:type="fixed"/>
        <w:tblLook w:val="04A0" w:firstRow="1" w:lastRow="0" w:firstColumn="1" w:lastColumn="0" w:noHBand="0" w:noVBand="1"/>
      </w:tblPr>
      <w:tblGrid>
        <w:gridCol w:w="2430"/>
        <w:gridCol w:w="3510"/>
        <w:gridCol w:w="3150"/>
      </w:tblGrid>
      <w:tr w:rsidR="003D63D7" w:rsidTr="00F46AAC" w14:paraId="5940C119" w14:textId="77777777">
        <w:trPr>
          <w:trHeight w:val="210"/>
        </w:trPr>
        <w:tc>
          <w:tcPr>
            <w:tcW w:w="2430" w:type="dxa"/>
            <w:tcBorders>
              <w:top w:val="single" w:color="auto" w:sz="8" w:space="0"/>
              <w:left w:val="single" w:color="auto" w:sz="8" w:space="0"/>
              <w:bottom w:val="single" w:color="auto" w:sz="8" w:space="0"/>
              <w:right w:val="single" w:color="auto" w:sz="8" w:space="0"/>
            </w:tcBorders>
            <w:shd w:val="clear" w:color="auto" w:fill="D9E2F3" w:themeFill="accent5" w:themeFillTint="33"/>
          </w:tcPr>
          <w:p w:rsidRPr="001D36A7" w:rsidR="003D63D7" w:rsidP="00F46AAC" w:rsidRDefault="003D63D7" w14:paraId="1A451471" w14:textId="77777777">
            <w:pPr>
              <w:rPr>
                <w:rFonts w:asciiTheme="minorHAnsi" w:hAnsiTheme="minorHAnsi" w:cstheme="minorHAnsi"/>
              </w:rPr>
            </w:pPr>
            <w:r w:rsidRPr="001D36A7">
              <w:rPr>
                <w:rFonts w:eastAsia="Calibri" w:asciiTheme="minorHAnsi" w:hAnsiTheme="minorHAnsi" w:cstheme="minorHAnsi"/>
                <w:b/>
                <w:bCs/>
              </w:rPr>
              <w:t>Name</w:t>
            </w:r>
          </w:p>
        </w:tc>
        <w:tc>
          <w:tcPr>
            <w:tcW w:w="3510" w:type="dxa"/>
            <w:tcBorders>
              <w:top w:val="single" w:color="auto" w:sz="8" w:space="0"/>
              <w:left w:val="single" w:color="auto" w:sz="8" w:space="0"/>
              <w:bottom w:val="single" w:color="auto" w:sz="8" w:space="0"/>
              <w:right w:val="single" w:color="auto" w:sz="8" w:space="0"/>
            </w:tcBorders>
            <w:shd w:val="clear" w:color="auto" w:fill="D9E2F3" w:themeFill="accent5" w:themeFillTint="33"/>
          </w:tcPr>
          <w:p w:rsidRPr="001D36A7" w:rsidR="003D63D7" w:rsidP="00F46AAC" w:rsidRDefault="003D63D7" w14:paraId="672DFE5A" w14:textId="77777777">
            <w:pPr>
              <w:rPr>
                <w:rFonts w:asciiTheme="minorHAnsi" w:hAnsiTheme="minorHAnsi" w:cstheme="minorHAnsi"/>
              </w:rPr>
            </w:pPr>
            <w:r w:rsidRPr="001D36A7">
              <w:rPr>
                <w:rFonts w:eastAsia="Calibri" w:asciiTheme="minorHAnsi" w:hAnsiTheme="minorHAnsi" w:cstheme="minorHAnsi"/>
                <w:b/>
                <w:bCs/>
              </w:rPr>
              <w:t>Affiliation</w:t>
            </w:r>
          </w:p>
        </w:tc>
        <w:tc>
          <w:tcPr>
            <w:tcW w:w="3150" w:type="dxa"/>
            <w:tcBorders>
              <w:top w:val="single" w:color="auto" w:sz="8" w:space="0"/>
              <w:left w:val="single" w:color="auto" w:sz="8" w:space="0"/>
              <w:bottom w:val="single" w:color="auto" w:sz="8" w:space="0"/>
              <w:right w:val="single" w:color="auto" w:sz="8" w:space="0"/>
            </w:tcBorders>
            <w:shd w:val="clear" w:color="auto" w:fill="D9E2F3" w:themeFill="accent5" w:themeFillTint="33"/>
          </w:tcPr>
          <w:p w:rsidRPr="001D36A7" w:rsidR="003D63D7" w:rsidP="00F46AAC" w:rsidRDefault="003D63D7" w14:paraId="6A83B196" w14:textId="77777777">
            <w:pPr>
              <w:rPr>
                <w:rFonts w:asciiTheme="minorHAnsi" w:hAnsiTheme="minorHAnsi" w:cstheme="minorHAnsi"/>
              </w:rPr>
            </w:pPr>
            <w:r w:rsidRPr="001D36A7">
              <w:rPr>
                <w:rFonts w:eastAsia="Calibri" w:asciiTheme="minorHAnsi" w:hAnsiTheme="minorHAnsi" w:cstheme="minorHAnsi"/>
                <w:b/>
                <w:bCs/>
              </w:rPr>
              <w:t>Email Address</w:t>
            </w:r>
          </w:p>
        </w:tc>
      </w:tr>
      <w:tr w:rsidR="003D63D7" w:rsidTr="00F46AAC" w14:paraId="4685EC8C"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243CD4B8" w14:textId="77777777">
            <w:pPr>
              <w:rPr>
                <w:rFonts w:eastAsia="Calibri" w:asciiTheme="minorHAnsi" w:hAnsiTheme="minorHAnsi" w:cstheme="minorHAnsi"/>
              </w:rPr>
            </w:pPr>
            <w:r w:rsidRPr="001D36A7">
              <w:rPr>
                <w:rFonts w:eastAsia="Calibri" w:asciiTheme="minorHAnsi" w:hAnsiTheme="minorHAnsi" w:cstheme="minorHAnsi"/>
              </w:rPr>
              <w:t>Michael Lopez, PhD</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4CB95B41"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7DEEA03B" w14:textId="77777777">
            <w:pPr>
              <w:rPr>
                <w:rFonts w:asciiTheme="minorHAnsi" w:hAnsiTheme="minorHAnsi" w:eastAsiaTheme="minorEastAsia" w:cstheme="minorHAnsi"/>
              </w:rPr>
            </w:pPr>
            <w:hyperlink r:id="rId12">
              <w:r w:rsidRPr="001D36A7" w:rsidR="003D63D7">
                <w:rPr>
                  <w:rStyle w:val="Hyperlink"/>
                  <w:rFonts w:asciiTheme="minorHAnsi" w:hAnsiTheme="minorHAnsi" w:eastAsiaTheme="minorEastAsia" w:cstheme="minorHAnsi"/>
                </w:rPr>
                <w:t>lopez-michael@norc.org</w:t>
              </w:r>
            </w:hyperlink>
          </w:p>
        </w:tc>
      </w:tr>
      <w:tr w:rsidR="003D63D7" w:rsidTr="00F46AAC" w14:paraId="5685DD5D"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1AD08D1B" w14:textId="77777777">
            <w:pPr>
              <w:rPr>
                <w:rFonts w:eastAsia="Calibri" w:asciiTheme="minorHAnsi" w:hAnsiTheme="minorHAnsi" w:cstheme="minorHAnsi"/>
              </w:rPr>
            </w:pPr>
            <w:r>
              <w:rPr>
                <w:rFonts w:eastAsia="Calibri" w:asciiTheme="minorHAnsi" w:hAnsiTheme="minorHAnsi" w:cstheme="minorHAnsi"/>
              </w:rPr>
              <w:t xml:space="preserve">Shannon </w:t>
            </w:r>
            <w:proofErr w:type="spellStart"/>
            <w:r>
              <w:rPr>
                <w:rFonts w:eastAsia="Calibri" w:asciiTheme="minorHAnsi" w:hAnsiTheme="minorHAnsi" w:cstheme="minorHAnsi"/>
              </w:rPr>
              <w:t>TenB</w:t>
            </w:r>
            <w:r w:rsidRPr="001D36A7">
              <w:rPr>
                <w:rFonts w:eastAsia="Calibri" w:asciiTheme="minorHAnsi" w:hAnsiTheme="minorHAnsi" w:cstheme="minorHAnsi"/>
              </w:rPr>
              <w:t>roeck</w:t>
            </w:r>
            <w:proofErr w:type="spellEnd"/>
            <w:r>
              <w:rPr>
                <w:rFonts w:eastAsia="Calibri" w:asciiTheme="minorHAnsi" w:hAnsiTheme="minorHAnsi" w:cstheme="minorHAnsi"/>
              </w:rPr>
              <w:t>, MA</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4DC1FAE8"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25C375AB" w14:textId="77777777">
            <w:pPr>
              <w:rPr>
                <w:rFonts w:asciiTheme="minorHAnsi" w:hAnsiTheme="minorHAnsi" w:eastAsiaTheme="minorEastAsia" w:cstheme="minorHAnsi"/>
              </w:rPr>
            </w:pPr>
            <w:hyperlink r:id="rId13">
              <w:r w:rsidRPr="001D36A7" w:rsidR="003D63D7">
                <w:rPr>
                  <w:rStyle w:val="Hyperlink"/>
                  <w:rFonts w:asciiTheme="minorHAnsi" w:hAnsiTheme="minorHAnsi" w:eastAsiaTheme="minorEastAsia" w:cstheme="minorHAnsi"/>
                </w:rPr>
                <w:t>tenbroeck-shannon@norc.org</w:t>
              </w:r>
            </w:hyperlink>
          </w:p>
        </w:tc>
      </w:tr>
      <w:tr w:rsidR="003D63D7" w:rsidTr="00F46AAC" w14:paraId="5B42DCC7"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688A141F" w14:textId="77777777">
            <w:pPr>
              <w:rPr>
                <w:rFonts w:eastAsia="Calibri" w:asciiTheme="minorHAnsi" w:hAnsiTheme="minorHAnsi" w:cstheme="minorHAnsi"/>
              </w:rPr>
            </w:pPr>
            <w:r w:rsidRPr="001D36A7">
              <w:rPr>
                <w:rFonts w:eastAsia="Calibri" w:asciiTheme="minorHAnsi" w:hAnsiTheme="minorHAnsi" w:cstheme="minorHAnsi"/>
              </w:rPr>
              <w:t xml:space="preserve">Todd </w:t>
            </w:r>
            <w:proofErr w:type="spellStart"/>
            <w:r w:rsidRPr="001D36A7">
              <w:rPr>
                <w:rFonts w:eastAsia="Calibri" w:asciiTheme="minorHAnsi" w:hAnsiTheme="minorHAnsi" w:cstheme="minorHAnsi"/>
              </w:rPr>
              <w:t>Grindal</w:t>
            </w:r>
            <w:proofErr w:type="spellEnd"/>
            <w:r w:rsidRPr="001D36A7">
              <w:rPr>
                <w:rFonts w:eastAsia="Calibri" w:asciiTheme="minorHAnsi" w:hAnsiTheme="minorHAnsi" w:cstheme="minorHAnsi"/>
              </w:rPr>
              <w:t>, EdD*</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1432D337"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7CDD924F" w14:textId="77777777">
            <w:pPr>
              <w:rPr>
                <w:rFonts w:eastAsia="Calibri" w:asciiTheme="minorHAnsi" w:hAnsiTheme="minorHAnsi" w:cstheme="minorHAnsi"/>
              </w:rPr>
            </w:pPr>
            <w:hyperlink r:id="rId14">
              <w:r w:rsidRPr="001D36A7" w:rsidR="003D63D7">
                <w:rPr>
                  <w:rStyle w:val="Hyperlink"/>
                  <w:rFonts w:eastAsia="Calibri" w:asciiTheme="minorHAnsi" w:hAnsiTheme="minorHAnsi" w:cstheme="minorHAnsi"/>
                </w:rPr>
                <w:t>todd.grindal@sri.com</w:t>
              </w:r>
            </w:hyperlink>
          </w:p>
        </w:tc>
      </w:tr>
      <w:tr w:rsidR="003D63D7" w:rsidTr="00F46AAC" w14:paraId="563C9711"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2F1CB6B4" w14:textId="77777777">
            <w:pPr>
              <w:rPr>
                <w:rFonts w:asciiTheme="minorHAnsi" w:hAnsiTheme="minorHAnsi" w:cstheme="minorHAnsi"/>
              </w:rPr>
            </w:pPr>
            <w:r w:rsidRPr="001D36A7">
              <w:rPr>
                <w:rFonts w:eastAsia="Calibri" w:asciiTheme="minorHAnsi" w:hAnsiTheme="minorHAnsi" w:cstheme="minorHAnsi"/>
              </w:rPr>
              <w:t>Stacy Ehrlich, PhD*</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7B99ED41"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5B2FDCF5" w14:textId="77777777">
            <w:pPr>
              <w:rPr>
                <w:rFonts w:asciiTheme="minorHAnsi" w:hAnsiTheme="minorHAnsi" w:cstheme="minorHAnsi"/>
              </w:rPr>
            </w:pPr>
            <w:hyperlink r:id="rId15">
              <w:r w:rsidRPr="001D36A7" w:rsidR="003D63D7">
                <w:rPr>
                  <w:rStyle w:val="Hyperlink"/>
                  <w:rFonts w:eastAsia="Calibri" w:asciiTheme="minorHAnsi" w:hAnsiTheme="minorHAnsi" w:cstheme="minorHAnsi"/>
                </w:rPr>
                <w:t>ehrlich-stacy@norc.org</w:t>
              </w:r>
            </w:hyperlink>
          </w:p>
        </w:tc>
      </w:tr>
      <w:tr w:rsidR="003D63D7" w:rsidTr="00F46AAC" w14:paraId="34DA7610"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6D7C4EE0" w14:textId="77777777">
            <w:pPr>
              <w:rPr>
                <w:rFonts w:eastAsia="Calibri" w:asciiTheme="minorHAnsi" w:hAnsiTheme="minorHAnsi" w:cstheme="minorHAnsi"/>
              </w:rPr>
            </w:pPr>
            <w:r w:rsidRPr="001D36A7">
              <w:rPr>
                <w:rFonts w:eastAsia="Calibri" w:asciiTheme="minorHAnsi" w:hAnsiTheme="minorHAnsi" w:cstheme="minorHAnsi"/>
              </w:rPr>
              <w:t>Cornelia Taylor, PhD</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54EAD033" w14:textId="77777777">
            <w:pPr>
              <w:rPr>
                <w:rFonts w:eastAsia="Calibri" w:asciiTheme="minorHAnsi" w:hAnsiTheme="minorHAnsi" w:cstheme="minorHAnsi"/>
              </w:rPr>
            </w:pPr>
            <w:r w:rsidRPr="001D36A7">
              <w:rPr>
                <w:rFonts w:eastAsia="Calibri" w:asciiTheme="minorHAnsi" w:hAnsiTheme="minorHAnsi" w:cstheme="minorHAnsi"/>
              </w:rPr>
              <w:t>SRI International</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4F4212DD" w14:textId="77777777">
            <w:pPr>
              <w:rPr>
                <w:rFonts w:eastAsia="Calibri" w:asciiTheme="minorHAnsi" w:hAnsiTheme="minorHAnsi" w:cstheme="minorHAnsi"/>
              </w:rPr>
            </w:pPr>
            <w:hyperlink r:id="rId16">
              <w:r w:rsidRPr="001D36A7" w:rsidR="003D63D7">
                <w:rPr>
                  <w:rStyle w:val="Hyperlink"/>
                  <w:rFonts w:eastAsia="Calibri" w:asciiTheme="minorHAnsi" w:hAnsiTheme="minorHAnsi" w:cstheme="minorHAnsi"/>
                </w:rPr>
                <w:t>cornelia.taylor@sri.com</w:t>
              </w:r>
            </w:hyperlink>
          </w:p>
        </w:tc>
      </w:tr>
      <w:tr w:rsidR="003D63D7" w:rsidTr="00F46AAC" w14:paraId="59EBF86A" w14:textId="77777777">
        <w:trPr>
          <w:trHeight w:val="300"/>
        </w:trPr>
        <w:tc>
          <w:tcPr>
            <w:tcW w:w="243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3BF00C1E" w14:textId="77777777">
            <w:pPr>
              <w:rPr>
                <w:rFonts w:eastAsia="Calibri" w:asciiTheme="minorHAnsi" w:hAnsiTheme="minorHAnsi" w:cstheme="minorHAnsi"/>
              </w:rPr>
            </w:pPr>
            <w:r w:rsidRPr="001D36A7">
              <w:rPr>
                <w:rFonts w:eastAsia="Calibri" w:asciiTheme="minorHAnsi" w:hAnsiTheme="minorHAnsi" w:cstheme="minorHAnsi"/>
              </w:rPr>
              <w:t>Rebecca Berger, PhD*</w:t>
            </w:r>
          </w:p>
        </w:tc>
        <w:tc>
          <w:tcPr>
            <w:tcW w:w="3510" w:type="dxa"/>
            <w:tcBorders>
              <w:top w:val="single" w:color="auto" w:sz="8" w:space="0"/>
              <w:left w:val="single" w:color="auto" w:sz="8" w:space="0"/>
              <w:bottom w:val="single" w:color="auto" w:sz="8" w:space="0"/>
              <w:right w:val="single" w:color="auto" w:sz="8" w:space="0"/>
            </w:tcBorders>
          </w:tcPr>
          <w:p w:rsidRPr="001D36A7" w:rsidR="003D63D7" w:rsidP="00F46AAC" w:rsidRDefault="003D63D7" w14:paraId="030DBF9B" w14:textId="77777777">
            <w:pPr>
              <w:rPr>
                <w:rFonts w:asciiTheme="minorHAnsi" w:hAnsiTheme="minorHAnsi" w:cstheme="minorHAnsi"/>
              </w:rPr>
            </w:pPr>
            <w:r w:rsidRPr="001D36A7">
              <w:rPr>
                <w:rFonts w:eastAsia="Calibri" w:asciiTheme="minorHAnsi" w:hAnsiTheme="minorHAnsi" w:cstheme="minorHAnsi"/>
              </w:rPr>
              <w:t>NORC at the University of Chicago</w:t>
            </w:r>
          </w:p>
        </w:tc>
        <w:tc>
          <w:tcPr>
            <w:tcW w:w="3150" w:type="dxa"/>
            <w:tcBorders>
              <w:top w:val="single" w:color="auto" w:sz="8" w:space="0"/>
              <w:left w:val="single" w:color="auto" w:sz="8" w:space="0"/>
              <w:bottom w:val="single" w:color="auto" w:sz="8" w:space="0"/>
              <w:right w:val="single" w:color="auto" w:sz="8" w:space="0"/>
            </w:tcBorders>
          </w:tcPr>
          <w:p w:rsidRPr="001D36A7" w:rsidR="003D63D7" w:rsidP="00F46AAC" w:rsidRDefault="00771BC7" w14:paraId="417C5594" w14:textId="77777777">
            <w:pPr>
              <w:rPr>
                <w:rFonts w:eastAsia="Calibri" w:asciiTheme="minorHAnsi" w:hAnsiTheme="minorHAnsi" w:cstheme="minorHAnsi"/>
              </w:rPr>
            </w:pPr>
            <w:hyperlink r:id="rId17">
              <w:r w:rsidRPr="001D36A7" w:rsidR="003D63D7">
                <w:rPr>
                  <w:rStyle w:val="Hyperlink"/>
                  <w:rFonts w:eastAsia="Calibri" w:asciiTheme="minorHAnsi" w:hAnsiTheme="minorHAnsi" w:cstheme="minorHAnsi"/>
                </w:rPr>
                <w:t>Berger-Rebecca@norc.org</w:t>
              </w:r>
            </w:hyperlink>
          </w:p>
        </w:tc>
      </w:tr>
    </w:tbl>
    <w:p w:rsidRPr="001A59B6" w:rsidR="003D63D7" w:rsidP="003D63D7" w:rsidRDefault="003D63D7" w14:paraId="4CA5EFB2" w14:textId="77777777">
      <w:pPr>
        <w:pStyle w:val="ListParagraph"/>
        <w:spacing w:after="0" w:line="240" w:lineRule="auto"/>
        <w:ind w:left="0"/>
      </w:pPr>
      <w:r w:rsidRPr="5A06276C">
        <w:rPr>
          <w:rFonts w:ascii="Calibri" w:hAnsi="Calibri" w:eastAsia="Calibri" w:cs="Calibri"/>
        </w:rPr>
        <w:t>*Can answer questions about the statistical/methodological aspects of the design and analyses.</w:t>
      </w:r>
    </w:p>
    <w:p w:rsidRPr="001A59B6" w:rsidR="003D63D7" w:rsidP="003D63D7" w:rsidRDefault="003D63D7" w14:paraId="14E95CCE" w14:textId="77777777">
      <w:pPr>
        <w:pStyle w:val="ListParagraph"/>
        <w:spacing w:after="0" w:line="240" w:lineRule="auto"/>
        <w:ind w:left="0"/>
        <w:rPr>
          <w:rFonts w:cstheme="minorHAnsi"/>
          <w:b/>
        </w:rPr>
      </w:pPr>
    </w:p>
    <w:p w:rsidRPr="001A59B6" w:rsidR="003D63D7" w:rsidP="003D63D7" w:rsidRDefault="003D63D7" w14:paraId="5799F5D8" w14:textId="77777777">
      <w:pPr>
        <w:spacing w:after="0" w:line="240" w:lineRule="auto"/>
        <w:rPr>
          <w:rFonts w:cstheme="minorHAnsi"/>
          <w:b/>
        </w:rPr>
      </w:pPr>
    </w:p>
    <w:p w:rsidRPr="001A59B6" w:rsidR="003D63D7" w:rsidP="003D63D7" w:rsidRDefault="003D63D7" w14:paraId="48794359" w14:textId="77777777">
      <w:pPr>
        <w:spacing w:after="120" w:line="240" w:lineRule="auto"/>
        <w:rPr>
          <w:b/>
          <w:bCs/>
        </w:rPr>
      </w:pPr>
      <w:r w:rsidRPr="7B360CDE">
        <w:rPr>
          <w:b/>
          <w:bCs/>
        </w:rPr>
        <w:t>Attachments</w:t>
      </w:r>
    </w:p>
    <w:p w:rsidR="003D63D7" w:rsidP="003D63D7" w:rsidRDefault="003D63D7" w14:paraId="6F198C0A"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Instrument 1: </w:t>
      </w:r>
      <w:r>
        <w:rPr>
          <w:rStyle w:val="normaltextrun"/>
          <w:rFonts w:ascii="Calibri" w:hAnsi="Calibri" w:cs="Calibri"/>
          <w:sz w:val="22"/>
          <w:szCs w:val="22"/>
        </w:rPr>
        <w:t>Survey of EHS/HS Program Directors</w:t>
      </w:r>
      <w:r>
        <w:rPr>
          <w:rStyle w:val="eop"/>
          <w:rFonts w:ascii="Calibri" w:hAnsi="Calibri" w:cs="Calibri"/>
          <w:sz w:val="22"/>
          <w:szCs w:val="22"/>
        </w:rPr>
        <w:t> (Phase 1)</w:t>
      </w:r>
    </w:p>
    <w:p w:rsidR="003D63D7" w:rsidP="003D63D7" w:rsidRDefault="003D63D7" w14:paraId="421E4C40" w14:textId="77777777">
      <w:pPr>
        <w:pStyle w:val="paragraph"/>
        <w:spacing w:before="0" w:beforeAutospacing="0" w:after="0" w:afterAutospacing="0"/>
        <w:textAlignment w:val="baseline"/>
        <w:rPr>
          <w:rFonts w:ascii="Segoe UI" w:hAnsi="Segoe UI" w:cs="Segoe UI"/>
          <w:sz w:val="18"/>
          <w:szCs w:val="18"/>
        </w:rPr>
      </w:pPr>
    </w:p>
    <w:p w:rsidR="003D63D7" w:rsidP="003D63D7" w:rsidRDefault="003D63D7" w14:paraId="1F600D6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Instrument 2: </w:t>
      </w:r>
      <w:r>
        <w:rPr>
          <w:rStyle w:val="normaltextrun"/>
          <w:rFonts w:ascii="Calibri" w:hAnsi="Calibri" w:cs="Calibri"/>
          <w:sz w:val="22"/>
          <w:szCs w:val="22"/>
        </w:rPr>
        <w:t>Survey of EHS/HS DSCs</w:t>
      </w:r>
      <w:r>
        <w:rPr>
          <w:rStyle w:val="eop"/>
          <w:rFonts w:ascii="Calibri" w:hAnsi="Calibri" w:cs="Calibri"/>
          <w:sz w:val="22"/>
          <w:szCs w:val="22"/>
        </w:rPr>
        <w:t> (Phase 2)</w:t>
      </w:r>
    </w:p>
    <w:p w:rsidR="003D63D7" w:rsidP="003D63D7" w:rsidRDefault="003D63D7" w14:paraId="42EE7C83"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3D63D7" w:rsidP="003D63D7" w:rsidRDefault="003D63D7" w14:paraId="522B767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Instrument 3: DSC Interview (Phase 3)</w:t>
      </w:r>
    </w:p>
    <w:p w:rsidR="003D63D7" w:rsidP="003D63D7" w:rsidRDefault="003D63D7" w14:paraId="686DB5DC"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3D63D7" w:rsidP="003D63D7" w:rsidRDefault="003D63D7" w14:paraId="53E69C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A: Crosswalk Mapping Study Goals to Research Questions, Constructs, Instruments, and Item numbers</w:t>
      </w:r>
      <w:r>
        <w:rPr>
          <w:rStyle w:val="eop"/>
          <w:rFonts w:ascii="Calibri" w:hAnsi="Calibri" w:cs="Calibri"/>
          <w:color w:val="000000"/>
          <w:sz w:val="22"/>
          <w:szCs w:val="22"/>
        </w:rPr>
        <w:t> </w:t>
      </w:r>
    </w:p>
    <w:p w:rsidR="003D63D7" w:rsidP="003D63D7" w:rsidRDefault="003D63D7" w14:paraId="512002EC"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3D63D7" w:rsidP="003D63D7" w:rsidRDefault="003D63D7" w14:paraId="541D001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Attachment B: Informed Consent Forms </w:t>
      </w:r>
      <w:r>
        <w:rPr>
          <w:rStyle w:val="eop"/>
          <w:rFonts w:ascii="Calibri" w:hAnsi="Calibri" w:cs="Calibri"/>
          <w:color w:val="000000"/>
          <w:sz w:val="22"/>
          <w:szCs w:val="22"/>
        </w:rPr>
        <w:t> </w:t>
      </w:r>
    </w:p>
    <w:p w:rsidR="003D63D7" w:rsidP="003D63D7" w:rsidRDefault="003D63D7" w14:paraId="779A0CFB"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Pr="006B53F1" w:rsidR="003D63D7" w:rsidP="003D63D7" w:rsidRDefault="003D63D7" w14:paraId="6BF0FF14" w14:textId="77777777">
      <w:pPr>
        <w:rPr>
          <w:rFonts w:ascii="Calibri" w:hAnsi="Calibri" w:eastAsia="Calibri" w:cs="Calibri"/>
          <w:color w:val="000000" w:themeColor="text1"/>
        </w:rPr>
      </w:pPr>
      <w:r>
        <w:rPr>
          <w:rFonts w:ascii="Calibri" w:hAnsi="Calibri" w:eastAsia="Calibri" w:cs="Calibri"/>
          <w:color w:val="000000" w:themeColor="text1"/>
        </w:rPr>
        <w:t>Attachment C:</w:t>
      </w:r>
      <w:r w:rsidRPr="0A52DAFF">
        <w:rPr>
          <w:rFonts w:ascii="Calibri" w:hAnsi="Calibri" w:eastAsia="Calibri" w:cs="Calibri"/>
          <w:color w:val="000000" w:themeColor="text1"/>
        </w:rPr>
        <w:t xml:space="preserve"> </w:t>
      </w:r>
      <w:r>
        <w:rPr>
          <w:rFonts w:ascii="Calibri" w:hAnsi="Calibri" w:eastAsia="Calibri" w:cs="Calibri"/>
          <w:color w:val="000000" w:themeColor="text1"/>
        </w:rPr>
        <w:t xml:space="preserve">Phase 1 Recruitment </w:t>
      </w:r>
    </w:p>
    <w:p w:rsidR="003D63D7" w:rsidP="003D63D7" w:rsidRDefault="003D63D7" w14:paraId="177692E3" w14:textId="77777777">
      <w:pPr>
        <w:rPr>
          <w:rFonts w:ascii="Calibri" w:hAnsi="Calibri" w:eastAsia="Calibri" w:cs="Calibri"/>
          <w:color w:val="000000" w:themeColor="text1"/>
        </w:rPr>
      </w:pPr>
      <w:r>
        <w:rPr>
          <w:rFonts w:ascii="Calibri" w:hAnsi="Calibri" w:eastAsia="Calibri" w:cs="Calibri"/>
          <w:color w:val="000000" w:themeColor="text1"/>
        </w:rPr>
        <w:t>Attachment D: Phase 2 Recruitment</w:t>
      </w:r>
    </w:p>
    <w:p w:rsidR="003D63D7" w:rsidP="003D63D7" w:rsidRDefault="003D63D7" w14:paraId="3AEDC23E" w14:textId="77777777">
      <w:pPr>
        <w:rPr>
          <w:rFonts w:ascii="Calibri" w:hAnsi="Calibri" w:eastAsia="Calibri" w:cs="Calibri"/>
          <w:color w:val="000000" w:themeColor="text1"/>
        </w:rPr>
      </w:pPr>
      <w:r>
        <w:rPr>
          <w:rFonts w:ascii="Calibri" w:hAnsi="Calibri" w:eastAsia="Calibri" w:cs="Calibri"/>
          <w:color w:val="000000" w:themeColor="text1"/>
        </w:rPr>
        <w:t>Attachment E: Phase 3 Recruitment</w:t>
      </w:r>
    </w:p>
    <w:p w:rsidR="003D63D7" w:rsidP="003D63D7" w:rsidRDefault="003D63D7" w14:paraId="4E418BB4" w14:textId="77777777">
      <w:pPr>
        <w:pStyle w:val="paragraph"/>
        <w:spacing w:before="0" w:beforeAutospacing="0" w:after="0" w:afterAutospacing="0"/>
        <w:textAlignment w:val="baseline"/>
        <w:rPr>
          <w:rFonts w:asciiTheme="minorHAnsi" w:hAnsiTheme="minorHAnsi"/>
          <w:sz w:val="22"/>
          <w:szCs w:val="22"/>
        </w:rPr>
      </w:pPr>
      <w:r w:rsidRPr="00C90CBF">
        <w:rPr>
          <w:rStyle w:val="eop"/>
          <w:rFonts w:cs="Calibri" w:asciiTheme="minorHAnsi" w:hAnsiTheme="minorHAnsi"/>
          <w:color w:val="000000"/>
          <w:sz w:val="22"/>
          <w:szCs w:val="22"/>
        </w:rPr>
        <w:t xml:space="preserve">Attachment F: Study </w:t>
      </w:r>
      <w:r>
        <w:rPr>
          <w:rStyle w:val="eop"/>
          <w:rFonts w:cs="Calibri" w:asciiTheme="minorHAnsi" w:hAnsiTheme="minorHAnsi"/>
          <w:color w:val="000000"/>
          <w:sz w:val="22"/>
          <w:szCs w:val="22"/>
        </w:rPr>
        <w:t>Awareness</w:t>
      </w:r>
    </w:p>
    <w:p w:rsidRPr="00C90CBF" w:rsidR="003D63D7" w:rsidP="003D63D7" w:rsidRDefault="003D63D7" w14:paraId="439967A9" w14:textId="77777777">
      <w:pPr>
        <w:pStyle w:val="paragraph"/>
        <w:spacing w:before="240" w:beforeAutospacing="0" w:after="0" w:afterAutospacing="0"/>
        <w:textAlignment w:val="baseline"/>
        <w:rPr>
          <w:rFonts w:asciiTheme="minorHAnsi" w:hAnsiTheme="minorHAnsi"/>
          <w:sz w:val="22"/>
          <w:szCs w:val="22"/>
        </w:rPr>
      </w:pPr>
      <w:r>
        <w:rPr>
          <w:rFonts w:asciiTheme="minorHAnsi" w:hAnsiTheme="minorHAnsi"/>
          <w:sz w:val="22"/>
          <w:szCs w:val="22"/>
        </w:rPr>
        <w:t>Attachment G: OPRE Response to Comments</w:t>
      </w:r>
    </w:p>
    <w:p w:rsidRPr="00C90CBF" w:rsidR="003D63D7" w:rsidP="003D63D7" w:rsidRDefault="003D63D7" w14:paraId="6F2A8E1E" w14:textId="77777777">
      <w:pPr>
        <w:pStyle w:val="paragraph"/>
        <w:spacing w:before="0" w:beforeAutospacing="0" w:after="0" w:afterAutospacing="0"/>
        <w:textAlignment w:val="baseline"/>
        <w:rPr>
          <w:rFonts w:asciiTheme="minorHAnsi" w:hAnsiTheme="minorHAnsi"/>
          <w:sz w:val="22"/>
          <w:szCs w:val="22"/>
        </w:rPr>
      </w:pPr>
      <w:r w:rsidRPr="00C90CBF">
        <w:rPr>
          <w:rFonts w:asciiTheme="minorHAnsi" w:hAnsiTheme="minorHAnsi"/>
          <w:sz w:val="22"/>
          <w:szCs w:val="22"/>
        </w:rPr>
        <w:t xml:space="preserve"> </w:t>
      </w:r>
    </w:p>
    <w:p w:rsidR="003D63D7" w:rsidP="003D63D7" w:rsidRDefault="003D63D7" w14:paraId="4E9AF8ED" w14:textId="77777777"/>
    <w:p w:rsidRPr="003D63D7" w:rsidR="00832FC5" w:rsidP="003D63D7" w:rsidRDefault="00832FC5" w14:paraId="2A4C88D2" w14:textId="77777777"/>
    <w:sectPr w:rsidRPr="003D63D7" w:rsidR="00832FC5" w:rsidSect="00C91C7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922B7" w14:textId="77777777" w:rsidR="003D63D7" w:rsidRDefault="003D63D7" w:rsidP="003D63D7">
      <w:pPr>
        <w:spacing w:after="0" w:line="240" w:lineRule="auto"/>
      </w:pPr>
      <w:r>
        <w:separator/>
      </w:r>
    </w:p>
  </w:endnote>
  <w:endnote w:type="continuationSeparator" w:id="0">
    <w:p w14:paraId="7D27B2AA" w14:textId="77777777" w:rsidR="003D63D7" w:rsidRDefault="003D63D7" w:rsidP="003D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4FD214D9" w14:textId="77777777" w:rsidR="000E6826" w:rsidRDefault="003D63D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976B87A" w14:textId="77777777" w:rsidR="000E6826" w:rsidRDefault="0077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DFC63" w14:textId="77777777" w:rsidR="003D63D7" w:rsidRDefault="003D63D7" w:rsidP="003D63D7">
      <w:pPr>
        <w:spacing w:after="0" w:line="240" w:lineRule="auto"/>
      </w:pPr>
      <w:r>
        <w:separator/>
      </w:r>
    </w:p>
  </w:footnote>
  <w:footnote w:type="continuationSeparator" w:id="0">
    <w:p w14:paraId="0A8B409E" w14:textId="77777777" w:rsidR="003D63D7" w:rsidRDefault="003D63D7" w:rsidP="003D63D7">
      <w:pPr>
        <w:spacing w:after="0" w:line="240" w:lineRule="auto"/>
      </w:pPr>
      <w:r>
        <w:continuationSeparator/>
      </w:r>
    </w:p>
  </w:footnote>
  <w:footnote w:id="1">
    <w:p w14:paraId="5817F3F7" w14:textId="77777777" w:rsidR="003D63D7" w:rsidRDefault="003D63D7" w:rsidP="003D63D7">
      <w:pPr>
        <w:pStyle w:val="FootnoteText"/>
      </w:pPr>
      <w:r>
        <w:rPr>
          <w:rStyle w:val="FootnoteReference"/>
        </w:rPr>
        <w:footnoteRef/>
      </w:r>
      <w:r>
        <w:t xml:space="preserve"> Program is used to reference grantee or delegate agency. </w:t>
      </w:r>
    </w:p>
  </w:footnote>
  <w:footnote w:id="2">
    <w:p w14:paraId="29F72180" w14:textId="77777777" w:rsidR="003D63D7" w:rsidRDefault="003D63D7" w:rsidP="003D63D7">
      <w:pPr>
        <w:pStyle w:val="FootnoteText"/>
      </w:pPr>
      <w:r>
        <w:rPr>
          <w:rStyle w:val="FootnoteReference"/>
        </w:rPr>
        <w:footnoteRef/>
      </w:r>
      <w:r>
        <w:t xml:space="preserve"> </w:t>
      </w:r>
      <w:r w:rsidRPr="5A06276C">
        <w:rPr>
          <w:rFonts w:eastAsia="Times New Roman"/>
          <w:color w:val="000000" w:themeColor="text1"/>
        </w:rPr>
        <w:t>Head Start Early Learning and Knowledge Center, the Head Start Center for Inclusion, and the Early Childhood Technical Assistance 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4BB11" w14:textId="77777777" w:rsidR="000E6826" w:rsidRPr="000D7D44" w:rsidRDefault="003D63D7"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3DE944AE" w14:textId="77777777" w:rsidR="000E6826" w:rsidRPr="00390F85" w:rsidRDefault="003D63D7"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B0557"/>
    <w:multiLevelType w:val="hybridMultilevel"/>
    <w:tmpl w:val="4C6E71DA"/>
    <w:lvl w:ilvl="0" w:tplc="04090001">
      <w:start w:val="1"/>
      <w:numFmt w:val="bullet"/>
      <w:pStyle w:val="List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F439F"/>
    <w:multiLevelType w:val="hybridMultilevel"/>
    <w:tmpl w:val="B52C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A6"/>
    <w:rsid w:val="003D63D7"/>
    <w:rsid w:val="00771BC7"/>
    <w:rsid w:val="00832FC5"/>
    <w:rsid w:val="00A1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D21A"/>
  <w15:chartTrackingRefBased/>
  <w15:docId w15:val="{932AE847-4B09-4928-9EA4-C5BDDB48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63D7"/>
    <w:pPr>
      <w:ind w:left="720"/>
      <w:contextualSpacing/>
    </w:pPr>
  </w:style>
  <w:style w:type="paragraph" w:styleId="CommentText">
    <w:name w:val="annotation text"/>
    <w:basedOn w:val="Normal"/>
    <w:link w:val="CommentTextChar"/>
    <w:unhideWhenUsed/>
    <w:rsid w:val="003D63D7"/>
    <w:pPr>
      <w:spacing w:line="240" w:lineRule="auto"/>
    </w:pPr>
    <w:rPr>
      <w:sz w:val="20"/>
      <w:szCs w:val="20"/>
    </w:rPr>
  </w:style>
  <w:style w:type="character" w:customStyle="1" w:styleId="CommentTextChar">
    <w:name w:val="Comment Text Char"/>
    <w:basedOn w:val="DefaultParagraphFont"/>
    <w:link w:val="CommentText"/>
    <w:rsid w:val="003D63D7"/>
    <w:rPr>
      <w:sz w:val="20"/>
      <w:szCs w:val="20"/>
    </w:rPr>
  </w:style>
  <w:style w:type="paragraph" w:styleId="Footer">
    <w:name w:val="footer"/>
    <w:basedOn w:val="Normal"/>
    <w:link w:val="FooterChar"/>
    <w:uiPriority w:val="99"/>
    <w:unhideWhenUsed/>
    <w:rsid w:val="003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3D7"/>
  </w:style>
  <w:style w:type="table" w:styleId="TableGrid">
    <w:name w:val="Table Grid"/>
    <w:basedOn w:val="TableNormal"/>
    <w:uiPriority w:val="59"/>
    <w:rsid w:val="003D63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63D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D63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3D7"/>
    <w:rPr>
      <w:sz w:val="20"/>
      <w:szCs w:val="20"/>
    </w:rPr>
  </w:style>
  <w:style w:type="character" w:styleId="FootnoteReference">
    <w:name w:val="footnote reference"/>
    <w:aliases w:val="*Footnote Reference"/>
    <w:basedOn w:val="DefaultParagraphFont"/>
    <w:uiPriority w:val="99"/>
    <w:unhideWhenUsed/>
    <w:rsid w:val="003D63D7"/>
    <w:rPr>
      <w:vertAlign w:val="superscript"/>
    </w:rPr>
  </w:style>
  <w:style w:type="character" w:styleId="Hyperlink">
    <w:name w:val="Hyperlink"/>
    <w:basedOn w:val="DefaultParagraphFont"/>
    <w:uiPriority w:val="99"/>
    <w:unhideWhenUsed/>
    <w:rsid w:val="003D63D7"/>
    <w:rPr>
      <w:color w:val="0563C1" w:themeColor="hyperlink"/>
      <w:u w:val="single"/>
    </w:rPr>
  </w:style>
  <w:style w:type="character" w:customStyle="1" w:styleId="ListParagraphChar">
    <w:name w:val="List Paragraph Char"/>
    <w:link w:val="ListParagraph"/>
    <w:uiPriority w:val="34"/>
    <w:locked/>
    <w:rsid w:val="003D63D7"/>
  </w:style>
  <w:style w:type="paragraph" w:customStyle="1" w:styleId="ReportCover-Title">
    <w:name w:val="ReportCover-Title"/>
    <w:basedOn w:val="Normal"/>
    <w:rsid w:val="003D63D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D63D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3D63D7"/>
  </w:style>
  <w:style w:type="character" w:customStyle="1" w:styleId="eop">
    <w:name w:val="eop"/>
    <w:basedOn w:val="DefaultParagraphFont"/>
    <w:rsid w:val="003D63D7"/>
  </w:style>
  <w:style w:type="paragraph" w:styleId="ListBullet">
    <w:name w:val="List Bullet"/>
    <w:basedOn w:val="Normal"/>
    <w:uiPriority w:val="99"/>
    <w:unhideWhenUsed/>
    <w:rsid w:val="003D63D7"/>
    <w:pPr>
      <w:widowControl w:val="0"/>
      <w:numPr>
        <w:numId w:val="1"/>
      </w:numPr>
      <w:spacing w:after="0" w:line="360" w:lineRule="auto"/>
      <w:contextualSpacing/>
    </w:pPr>
    <w:rPr>
      <w:rFonts w:ascii="Times New Roman" w:eastAsia="Times New Roman" w:hAnsi="Times New Roman" w:cs="Times New Roman"/>
      <w:sz w:val="24"/>
      <w:szCs w:val="24"/>
    </w:rPr>
  </w:style>
  <w:style w:type="paragraph" w:customStyle="1" w:styleId="paragraph">
    <w:name w:val="paragraph"/>
    <w:basedOn w:val="Normal"/>
    <w:rsid w:val="003D63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tenbroeck-%20shannon@norc.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mailto:lopez-michael@norc.org" TargetMode="External"/><Relationship Id="rId17" Type="http://schemas.openxmlformats.org/officeDocument/2006/relationships/hyperlink" Target="mailto:Berger-Rebecca@norc.org" TargetMode="External"/><Relationship Id="rId2" Type="http://schemas.openxmlformats.org/officeDocument/2006/relationships/styles" Target="styles.xml"/><Relationship Id="rId16" Type="http://schemas.openxmlformats.org/officeDocument/2006/relationships/hyperlink" Target="mailto:cornelia.taylor@sri.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mailto:ehrlich-stacy@norc.org" TargetMode="Externa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todd.grindal@sri.com"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E272C0-A4B9-4E1F-A38A-040FF078368E}"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en-US"/>
        </a:p>
      </dgm:t>
    </dgm:pt>
    <dgm:pt modelId="{671D160B-F0D9-4B69-93A6-4692A9EE91B1}">
      <dgm:prSet phldrT="[Text]" custT="1"/>
      <dgm:spPr/>
      <dgm:t>
        <a:bodyPr/>
        <a:lstStyle/>
        <a:p>
          <a:pPr algn="ctr"/>
          <a:r>
            <a:rPr lang="en-US" sz="1000" b="1">
              <a:latin typeface="Arial Narrow" panose="020B0606020202030204" pitchFamily="34" charset="0"/>
            </a:rPr>
            <a:t>Universe of EHS/HS programs from PIR or HSES</a:t>
          </a:r>
        </a:p>
      </dgm:t>
    </dgm:pt>
    <dgm:pt modelId="{10096002-70E2-4EB8-9C73-307CEF4C8C56}" type="parTrans" cxnId="{ABD15948-601F-43F3-AAA0-27EAEDFB4BC6}">
      <dgm:prSet/>
      <dgm:spPr/>
      <dgm:t>
        <a:bodyPr/>
        <a:lstStyle/>
        <a:p>
          <a:pPr algn="ctr"/>
          <a:endParaRPr lang="en-US">
            <a:latin typeface="Arial Narrow" panose="020B0606020202030204" pitchFamily="34" charset="0"/>
          </a:endParaRPr>
        </a:p>
      </dgm:t>
    </dgm:pt>
    <dgm:pt modelId="{9E70E144-AB86-4FB8-97C8-0F78C0CD348F}" type="sibTrans" cxnId="{ABD15948-601F-43F3-AAA0-27EAEDFB4BC6}">
      <dgm:prSet/>
      <dgm:spPr/>
      <dgm:t>
        <a:bodyPr/>
        <a:lstStyle/>
        <a:p>
          <a:pPr algn="ctr"/>
          <a:endParaRPr lang="en-US">
            <a:latin typeface="Arial Narrow" panose="020B0606020202030204" pitchFamily="34" charset="0"/>
          </a:endParaRPr>
        </a:p>
      </dgm:t>
    </dgm:pt>
    <dgm:pt modelId="{970DD283-9A61-4760-AB34-ACC10E6A1A5C}">
      <dgm:prSet phldrT="[Text]"/>
      <dgm:spPr/>
      <dgm:t>
        <a:bodyPr/>
        <a:lstStyle/>
        <a:p>
          <a:pPr algn="ctr"/>
          <a:r>
            <a:rPr lang="en-US">
              <a:latin typeface="Arial Narrow" panose="020B0606020202030204" pitchFamily="34" charset="0"/>
            </a:rPr>
            <a:t>1,965</a:t>
          </a:r>
        </a:p>
      </dgm:t>
    </dgm:pt>
    <dgm:pt modelId="{6DFE22C0-3FDC-4DFC-865C-3BD86F7F288D}" type="parTrans" cxnId="{9529F1CA-A374-4B8D-80CD-FA9CF8255D63}">
      <dgm:prSet/>
      <dgm:spPr/>
      <dgm:t>
        <a:bodyPr/>
        <a:lstStyle/>
        <a:p>
          <a:pPr algn="ctr"/>
          <a:endParaRPr lang="en-US">
            <a:latin typeface="Arial Narrow" panose="020B0606020202030204" pitchFamily="34" charset="0"/>
          </a:endParaRPr>
        </a:p>
      </dgm:t>
    </dgm:pt>
    <dgm:pt modelId="{7B7A08A3-AC1B-4B6D-9C51-DC1065F18F77}" type="sibTrans" cxnId="{9529F1CA-A374-4B8D-80CD-FA9CF8255D63}">
      <dgm:prSet/>
      <dgm:spPr/>
      <dgm:t>
        <a:bodyPr/>
        <a:lstStyle/>
        <a:p>
          <a:pPr algn="ctr"/>
          <a:endParaRPr lang="en-US">
            <a:latin typeface="Arial Narrow" panose="020B0606020202030204" pitchFamily="34" charset="0"/>
          </a:endParaRPr>
        </a:p>
      </dgm:t>
    </dgm:pt>
    <dgm:pt modelId="{C706494C-861E-4D0D-88FE-81054A307A8A}">
      <dgm:prSet phldrT="[Text]" custT="1"/>
      <dgm:spPr/>
      <dgm:t>
        <a:bodyPr/>
        <a:lstStyle/>
        <a:p>
          <a:pPr algn="ctr"/>
          <a:r>
            <a:rPr lang="en-US" sz="1000" b="1">
              <a:latin typeface="Arial Narrow" panose="020B0606020202030204" pitchFamily="34" charset="0"/>
            </a:rPr>
            <a:t>Completed S:udy: </a:t>
          </a:r>
        </a:p>
        <a:p>
          <a:pPr algn="ctr"/>
          <a:r>
            <a:rPr lang="en-US" sz="1000" b="1">
              <a:latin typeface="Arial Narrow" panose="020B0606020202030204" pitchFamily="34" charset="0"/>
            </a:rPr>
            <a:t>HSHM - Sampled using 2012 PIR</a:t>
          </a:r>
        </a:p>
      </dgm:t>
    </dgm:pt>
    <dgm:pt modelId="{755AC33F-8D18-4745-A1A4-A808F88A24C4}" type="parTrans" cxnId="{B72B1029-A3F3-414B-BBF4-9AF1ACC23A45}">
      <dgm:prSet/>
      <dgm:spPr/>
      <dgm:t>
        <a:bodyPr/>
        <a:lstStyle/>
        <a:p>
          <a:pPr algn="ctr"/>
          <a:endParaRPr lang="en-US">
            <a:latin typeface="Arial Narrow" panose="020B0606020202030204" pitchFamily="34" charset="0"/>
          </a:endParaRPr>
        </a:p>
      </dgm:t>
    </dgm:pt>
    <dgm:pt modelId="{9BA27880-237C-4F89-AC49-D3C99AE4124F}" type="sibTrans" cxnId="{B72B1029-A3F3-414B-BBF4-9AF1ACC23A45}">
      <dgm:prSet/>
      <dgm:spPr/>
      <dgm:t>
        <a:bodyPr/>
        <a:lstStyle/>
        <a:p>
          <a:pPr algn="ctr"/>
          <a:endParaRPr lang="en-US">
            <a:latin typeface="Arial Narrow" panose="020B0606020202030204" pitchFamily="34" charset="0"/>
          </a:endParaRPr>
        </a:p>
      </dgm:t>
    </dgm:pt>
    <dgm:pt modelId="{F3D12BBD-0167-486F-8BF9-F622388B8F1F}">
      <dgm:prSet phldrT="[Text]"/>
      <dgm:spPr/>
      <dgm:t>
        <a:bodyPr/>
        <a:lstStyle/>
        <a:p>
          <a:pPr algn="ctr"/>
          <a:r>
            <a:rPr lang="en-US">
              <a:latin typeface="Arial Narrow" panose="020B0606020202030204" pitchFamily="34" charset="0"/>
            </a:rPr>
            <a:t>Phase 1: Total unique directors</a:t>
          </a:r>
        </a:p>
      </dgm:t>
    </dgm:pt>
    <dgm:pt modelId="{1821C359-AC6B-4605-A687-33BC08A9F22B}" type="parTrans" cxnId="{DC3B42E5-D824-4B77-89E1-39B8A7FB8AA4}">
      <dgm:prSet/>
      <dgm:spPr/>
      <dgm:t>
        <a:bodyPr/>
        <a:lstStyle/>
        <a:p>
          <a:pPr algn="ctr"/>
          <a:endParaRPr lang="en-US">
            <a:latin typeface="Arial Narrow" panose="020B0606020202030204" pitchFamily="34" charset="0"/>
          </a:endParaRPr>
        </a:p>
      </dgm:t>
    </dgm:pt>
    <dgm:pt modelId="{CDDD6048-39C9-47F9-BD05-E278EEACC666}" type="sibTrans" cxnId="{DC3B42E5-D824-4B77-89E1-39B8A7FB8AA4}">
      <dgm:prSet/>
      <dgm:spPr/>
      <dgm:t>
        <a:bodyPr/>
        <a:lstStyle/>
        <a:p>
          <a:pPr algn="ctr"/>
          <a:endParaRPr lang="en-US">
            <a:latin typeface="Arial Narrow" panose="020B0606020202030204" pitchFamily="34" charset="0"/>
          </a:endParaRPr>
        </a:p>
      </dgm:t>
    </dgm:pt>
    <dgm:pt modelId="{DDECDBFC-F1D5-4F58-9B2B-E31D74FA4938}">
      <dgm:prSet phldrT="[Text]"/>
      <dgm:spPr/>
      <dgm:t>
        <a:bodyPr/>
        <a:lstStyle/>
        <a:p>
          <a:pPr algn="ctr"/>
          <a:r>
            <a:rPr lang="en-US">
              <a:latin typeface="Arial Narrow" panose="020B0606020202030204" pitchFamily="34" charset="0"/>
            </a:rPr>
            <a:t>1,627 (83%)</a:t>
          </a:r>
        </a:p>
      </dgm:t>
    </dgm:pt>
    <dgm:pt modelId="{2D2CA864-A3BD-4EBA-B826-910C3A93E2B2}" type="parTrans" cxnId="{4C309D87-A565-467F-A508-E4BC2995DCA7}">
      <dgm:prSet/>
      <dgm:spPr/>
      <dgm:t>
        <a:bodyPr/>
        <a:lstStyle/>
        <a:p>
          <a:pPr algn="ctr"/>
          <a:endParaRPr lang="en-US">
            <a:latin typeface="Arial Narrow" panose="020B0606020202030204" pitchFamily="34" charset="0"/>
          </a:endParaRPr>
        </a:p>
      </dgm:t>
    </dgm:pt>
    <dgm:pt modelId="{D3D48DA7-1662-4583-B723-B869689E9A60}" type="sibTrans" cxnId="{4C309D87-A565-467F-A508-E4BC2995DCA7}">
      <dgm:prSet/>
      <dgm:spPr/>
      <dgm:t>
        <a:bodyPr/>
        <a:lstStyle/>
        <a:p>
          <a:pPr algn="ctr"/>
          <a:endParaRPr lang="en-US">
            <a:latin typeface="Arial Narrow" panose="020B0606020202030204" pitchFamily="34" charset="0"/>
          </a:endParaRPr>
        </a:p>
      </dgm:t>
    </dgm:pt>
    <dgm:pt modelId="{A70BF70F-795F-4815-8E29-4C8CC30AD13E}">
      <dgm:prSet phldrT="[Text]"/>
      <dgm:spPr/>
      <dgm:t>
        <a:bodyPr/>
        <a:lstStyle/>
        <a:p>
          <a:pPr algn="ctr"/>
          <a:r>
            <a:rPr lang="en-US">
              <a:latin typeface="Arial Narrow" panose="020B0606020202030204" pitchFamily="34" charset="0"/>
            </a:rPr>
            <a:t>Phase 1: Director completes</a:t>
          </a:r>
        </a:p>
      </dgm:t>
    </dgm:pt>
    <dgm:pt modelId="{7F919BCF-AEF4-4211-9D00-01F7470F1BD0}" type="parTrans" cxnId="{F55ECF78-8B87-4B3C-BF93-3A73D21D63F4}">
      <dgm:prSet/>
      <dgm:spPr/>
      <dgm:t>
        <a:bodyPr/>
        <a:lstStyle/>
        <a:p>
          <a:pPr algn="ctr"/>
          <a:endParaRPr lang="en-US">
            <a:latin typeface="Arial Narrow" panose="020B0606020202030204" pitchFamily="34" charset="0"/>
          </a:endParaRPr>
        </a:p>
      </dgm:t>
    </dgm:pt>
    <dgm:pt modelId="{5F2FE742-E50C-4E83-90B1-175C95AE20D8}" type="sibTrans" cxnId="{F55ECF78-8B87-4B3C-BF93-3A73D21D63F4}">
      <dgm:prSet/>
      <dgm:spPr/>
      <dgm:t>
        <a:bodyPr/>
        <a:lstStyle/>
        <a:p>
          <a:pPr algn="ctr"/>
          <a:endParaRPr lang="en-US">
            <a:latin typeface="Arial Narrow" panose="020B0606020202030204" pitchFamily="34" charset="0"/>
          </a:endParaRPr>
        </a:p>
      </dgm:t>
    </dgm:pt>
    <dgm:pt modelId="{3819CAD9-532E-4D8B-97D3-A7CB37E1D090}">
      <dgm:prSet phldrT="[Text]"/>
      <dgm:spPr/>
      <dgm:t>
        <a:bodyPr/>
        <a:lstStyle/>
        <a:p>
          <a:pPr algn="ctr"/>
          <a:r>
            <a:rPr lang="en-US">
              <a:latin typeface="Arial Narrow" panose="020B0606020202030204" pitchFamily="34" charset="0"/>
            </a:rPr>
            <a:t>Phase 2: Unique managers referred by directors</a:t>
          </a:r>
        </a:p>
      </dgm:t>
    </dgm:pt>
    <dgm:pt modelId="{70A54B00-DE1B-412D-9D4F-FCEFBE596524}" type="parTrans" cxnId="{16B17427-D3C6-4E4D-BF2D-90EA5E3C52FF}">
      <dgm:prSet/>
      <dgm:spPr/>
      <dgm:t>
        <a:bodyPr/>
        <a:lstStyle/>
        <a:p>
          <a:pPr algn="ctr"/>
          <a:endParaRPr lang="en-US">
            <a:latin typeface="Arial Narrow" panose="020B0606020202030204" pitchFamily="34" charset="0"/>
          </a:endParaRPr>
        </a:p>
      </dgm:t>
    </dgm:pt>
    <dgm:pt modelId="{C2F07B5B-CA4E-425D-860F-FA0E6394C6F2}" type="sibTrans" cxnId="{16B17427-D3C6-4E4D-BF2D-90EA5E3C52FF}">
      <dgm:prSet/>
      <dgm:spPr/>
      <dgm:t>
        <a:bodyPr/>
        <a:lstStyle/>
        <a:p>
          <a:pPr algn="ctr"/>
          <a:endParaRPr lang="en-US">
            <a:latin typeface="Arial Narrow" panose="020B0606020202030204" pitchFamily="34" charset="0"/>
          </a:endParaRPr>
        </a:p>
      </dgm:t>
    </dgm:pt>
    <dgm:pt modelId="{140614AE-1857-4AE7-9C09-959C76BF6BF6}">
      <dgm:prSet phldrT="[Text]"/>
      <dgm:spPr/>
      <dgm:t>
        <a:bodyPr/>
        <a:lstStyle/>
        <a:p>
          <a:pPr algn="ctr"/>
          <a:r>
            <a:rPr lang="en-US">
              <a:latin typeface="Arial Narrow" panose="020B0606020202030204" pitchFamily="34" charset="0"/>
            </a:rPr>
            <a:t>Phase 2: Manager completes</a:t>
          </a:r>
        </a:p>
      </dgm:t>
    </dgm:pt>
    <dgm:pt modelId="{4524E026-0CBB-4E31-AB98-D00D1534E77D}" type="parTrans" cxnId="{E35AA553-AA16-4C67-B41A-B9E130A8F488}">
      <dgm:prSet/>
      <dgm:spPr/>
      <dgm:t>
        <a:bodyPr/>
        <a:lstStyle/>
        <a:p>
          <a:pPr algn="ctr"/>
          <a:endParaRPr lang="en-US">
            <a:latin typeface="Arial Narrow" panose="020B0606020202030204" pitchFamily="34" charset="0"/>
          </a:endParaRPr>
        </a:p>
      </dgm:t>
    </dgm:pt>
    <dgm:pt modelId="{726A07DF-1DD8-46F9-BACF-CD4E01827FDE}" type="sibTrans" cxnId="{E35AA553-AA16-4C67-B41A-B9E130A8F488}">
      <dgm:prSet/>
      <dgm:spPr/>
      <dgm:t>
        <a:bodyPr/>
        <a:lstStyle/>
        <a:p>
          <a:pPr algn="ctr"/>
          <a:endParaRPr lang="en-US">
            <a:latin typeface="Arial Narrow" panose="020B0606020202030204" pitchFamily="34" charset="0"/>
          </a:endParaRPr>
        </a:p>
      </dgm:t>
    </dgm:pt>
    <dgm:pt modelId="{138679F1-FA6D-4CD0-8290-E5867D318424}">
      <dgm:prSet phldrT="[Text]"/>
      <dgm:spPr/>
      <dgm:t>
        <a:bodyPr/>
        <a:lstStyle/>
        <a:p>
          <a:pPr algn="ctr"/>
          <a:r>
            <a:rPr lang="en-US">
              <a:latin typeface="Arial Narrow" panose="020B0606020202030204" pitchFamily="34" charset="0"/>
            </a:rPr>
            <a:t>1,465 (73%)</a:t>
          </a:r>
        </a:p>
      </dgm:t>
    </dgm:pt>
    <dgm:pt modelId="{2885285E-775C-4BC4-9FAD-FF3270EDC59A}" type="parTrans" cxnId="{4F708B2B-419B-4985-9313-3EEF440463BC}">
      <dgm:prSet/>
      <dgm:spPr/>
      <dgm:t>
        <a:bodyPr/>
        <a:lstStyle/>
        <a:p>
          <a:pPr algn="ctr"/>
          <a:endParaRPr lang="en-US">
            <a:latin typeface="Arial Narrow" panose="020B0606020202030204" pitchFamily="34" charset="0"/>
          </a:endParaRPr>
        </a:p>
      </dgm:t>
    </dgm:pt>
    <dgm:pt modelId="{2E5095BE-E27D-4FC5-BCD5-242577101D77}" type="sibTrans" cxnId="{4F708B2B-419B-4985-9313-3EEF440463BC}">
      <dgm:prSet/>
      <dgm:spPr/>
      <dgm:t>
        <a:bodyPr/>
        <a:lstStyle/>
        <a:p>
          <a:pPr algn="ctr"/>
          <a:endParaRPr lang="en-US">
            <a:latin typeface="Arial Narrow" panose="020B0606020202030204" pitchFamily="34" charset="0"/>
          </a:endParaRPr>
        </a:p>
      </dgm:t>
    </dgm:pt>
    <dgm:pt modelId="{2A1DE779-9337-42A3-B2A6-10CD347CDB31}">
      <dgm:prSet phldrT="[Text]"/>
      <dgm:spPr/>
      <dgm:t>
        <a:bodyPr/>
        <a:lstStyle/>
        <a:p>
          <a:pPr algn="ctr"/>
          <a:r>
            <a:rPr lang="en-US">
              <a:latin typeface="Arial Narrow" panose="020B0606020202030204" pitchFamily="34" charset="0"/>
            </a:rPr>
            <a:t>1,600</a:t>
          </a:r>
        </a:p>
      </dgm:t>
    </dgm:pt>
    <dgm:pt modelId="{86BC6C9C-BCBC-45FF-9DE5-FA96A524D152}" type="parTrans" cxnId="{3EA9AAF0-ECF5-483F-8794-B32BE1170C6D}">
      <dgm:prSet/>
      <dgm:spPr/>
      <dgm:t>
        <a:bodyPr/>
        <a:lstStyle/>
        <a:p>
          <a:pPr algn="ctr"/>
          <a:endParaRPr lang="en-US">
            <a:latin typeface="Arial Narrow" panose="020B0606020202030204" pitchFamily="34" charset="0"/>
          </a:endParaRPr>
        </a:p>
      </dgm:t>
    </dgm:pt>
    <dgm:pt modelId="{7497DF7A-4708-47DF-9CB6-1B5369B277C8}" type="sibTrans" cxnId="{3EA9AAF0-ECF5-483F-8794-B32BE1170C6D}">
      <dgm:prSet/>
      <dgm:spPr/>
      <dgm:t>
        <a:bodyPr/>
        <a:lstStyle/>
        <a:p>
          <a:pPr algn="ctr"/>
          <a:endParaRPr lang="en-US">
            <a:latin typeface="Arial Narrow" panose="020B0606020202030204" pitchFamily="34" charset="0"/>
          </a:endParaRPr>
        </a:p>
      </dgm:t>
    </dgm:pt>
    <dgm:pt modelId="{C6FB5434-C826-4274-A393-142F7924BD26}">
      <dgm:prSet phldrT="[Text]"/>
      <dgm:spPr/>
      <dgm:t>
        <a:bodyPr/>
        <a:lstStyle/>
        <a:p>
          <a:pPr algn="ctr"/>
          <a:r>
            <a:rPr lang="en-US">
              <a:latin typeface="Arial Narrow" panose="020B0606020202030204" pitchFamily="34" charset="0"/>
            </a:rPr>
            <a:t>1,200 (75%)</a:t>
          </a:r>
        </a:p>
      </dgm:t>
    </dgm:pt>
    <dgm:pt modelId="{1889481E-C06F-46E7-A633-471FA6317438}" type="parTrans" cxnId="{495F4254-1808-430B-A314-C230765D3995}">
      <dgm:prSet/>
      <dgm:spPr/>
      <dgm:t>
        <a:bodyPr/>
        <a:lstStyle/>
        <a:p>
          <a:pPr algn="ctr"/>
          <a:endParaRPr lang="en-US">
            <a:latin typeface="Arial Narrow" panose="020B0606020202030204" pitchFamily="34" charset="0"/>
          </a:endParaRPr>
        </a:p>
      </dgm:t>
    </dgm:pt>
    <dgm:pt modelId="{8325433D-1202-4509-9889-097AF4753E6D}" type="sibTrans" cxnId="{495F4254-1808-430B-A314-C230765D3995}">
      <dgm:prSet/>
      <dgm:spPr/>
      <dgm:t>
        <a:bodyPr/>
        <a:lstStyle/>
        <a:p>
          <a:pPr algn="ctr"/>
          <a:endParaRPr lang="en-US">
            <a:latin typeface="Arial Narrow" panose="020B0606020202030204" pitchFamily="34" charset="0"/>
          </a:endParaRPr>
        </a:p>
      </dgm:t>
    </dgm:pt>
    <dgm:pt modelId="{28A7B730-BD9E-420F-8735-161BD25CD875}">
      <dgm:prSet phldrT="[Text]"/>
      <dgm:spPr/>
      <dgm:t>
        <a:bodyPr/>
        <a:lstStyle/>
        <a:p>
          <a:pPr algn="ctr"/>
          <a:r>
            <a:rPr lang="en-US">
              <a:latin typeface="Arial Narrow" panose="020B0606020202030204" pitchFamily="34" charset="0"/>
            </a:rPr>
            <a:t>1,200 (1 manager/director)</a:t>
          </a:r>
        </a:p>
      </dgm:t>
    </dgm:pt>
    <dgm:pt modelId="{051F6370-245F-40D2-BFAF-DDF385369C82}" type="parTrans" cxnId="{0A3677ED-17D4-4384-9843-13EF9568B88E}">
      <dgm:prSet/>
      <dgm:spPr/>
      <dgm:t>
        <a:bodyPr/>
        <a:lstStyle/>
        <a:p>
          <a:pPr algn="ctr"/>
          <a:endParaRPr lang="en-US">
            <a:latin typeface="Arial Narrow" panose="020B0606020202030204" pitchFamily="34" charset="0"/>
          </a:endParaRPr>
        </a:p>
      </dgm:t>
    </dgm:pt>
    <dgm:pt modelId="{E56AB24D-9F0A-4530-ACE1-5999B931D999}" type="sibTrans" cxnId="{0A3677ED-17D4-4384-9843-13EF9568B88E}">
      <dgm:prSet/>
      <dgm:spPr/>
      <dgm:t>
        <a:bodyPr/>
        <a:lstStyle/>
        <a:p>
          <a:pPr algn="ctr"/>
          <a:endParaRPr lang="en-US">
            <a:latin typeface="Arial Narrow" panose="020B0606020202030204" pitchFamily="34" charset="0"/>
          </a:endParaRPr>
        </a:p>
      </dgm:t>
    </dgm:pt>
    <dgm:pt modelId="{72A8874C-204F-4646-A8E4-6AE10C04488C}">
      <dgm:prSet phldrT="[Text]"/>
      <dgm:spPr/>
      <dgm:t>
        <a:bodyPr/>
        <a:lstStyle/>
        <a:p>
          <a:pPr algn="ctr"/>
          <a:r>
            <a:rPr lang="en-US">
              <a:latin typeface="Arial Narrow" panose="020B0606020202030204" pitchFamily="34" charset="0"/>
            </a:rPr>
            <a:t>900 (75%)</a:t>
          </a:r>
        </a:p>
      </dgm:t>
    </dgm:pt>
    <dgm:pt modelId="{A87DA569-0FD3-4B1B-BF5A-A205E28360C0}" type="parTrans" cxnId="{BAEFC6AE-CC03-4347-8578-417A242EBA1F}">
      <dgm:prSet/>
      <dgm:spPr/>
      <dgm:t>
        <a:bodyPr/>
        <a:lstStyle/>
        <a:p>
          <a:pPr algn="ctr"/>
          <a:endParaRPr lang="en-US">
            <a:latin typeface="Arial Narrow" panose="020B0606020202030204" pitchFamily="34" charset="0"/>
          </a:endParaRPr>
        </a:p>
      </dgm:t>
    </dgm:pt>
    <dgm:pt modelId="{340754F2-A675-4296-BE3E-E9133EA5D0EA}" type="sibTrans" cxnId="{BAEFC6AE-CC03-4347-8578-417A242EBA1F}">
      <dgm:prSet/>
      <dgm:spPr/>
      <dgm:t>
        <a:bodyPr/>
        <a:lstStyle/>
        <a:p>
          <a:pPr algn="ctr"/>
          <a:endParaRPr lang="en-US">
            <a:latin typeface="Arial Narrow" panose="020B0606020202030204" pitchFamily="34" charset="0"/>
          </a:endParaRPr>
        </a:p>
      </dgm:t>
    </dgm:pt>
    <dgm:pt modelId="{FD59622F-19C2-4412-8C8B-CB45944861B3}">
      <dgm:prSet phldrT="[Text]" custT="1"/>
      <dgm:spPr/>
      <dgm:t>
        <a:bodyPr/>
        <a:lstStyle/>
        <a:p>
          <a:pPr algn="ctr"/>
          <a:r>
            <a:rPr lang="en-US" sz="1000" b="1">
              <a:latin typeface="Arial Narrow" panose="020B0606020202030204" pitchFamily="34" charset="0"/>
            </a:rPr>
            <a:t>In Process Study: HS T/TA - Sampling plan developed with 2019 HSES</a:t>
          </a:r>
        </a:p>
      </dgm:t>
    </dgm:pt>
    <dgm:pt modelId="{F942620F-6D0C-4A33-A03D-B61C11AAFF3A}" type="parTrans" cxnId="{ADEFAABB-BAD9-4E0D-99AF-9AEED904B146}">
      <dgm:prSet/>
      <dgm:spPr/>
      <dgm:t>
        <a:bodyPr/>
        <a:lstStyle/>
        <a:p>
          <a:pPr algn="ctr"/>
          <a:endParaRPr lang="en-US">
            <a:latin typeface="Arial Narrow" panose="020B0606020202030204" pitchFamily="34" charset="0"/>
          </a:endParaRPr>
        </a:p>
      </dgm:t>
    </dgm:pt>
    <dgm:pt modelId="{7943B97F-DD78-4CF6-9B44-80EFF67DA426}" type="sibTrans" cxnId="{ADEFAABB-BAD9-4E0D-99AF-9AEED904B146}">
      <dgm:prSet/>
      <dgm:spPr/>
      <dgm:t>
        <a:bodyPr/>
        <a:lstStyle/>
        <a:p>
          <a:pPr algn="ctr"/>
          <a:endParaRPr lang="en-US">
            <a:latin typeface="Arial Narrow" panose="020B0606020202030204" pitchFamily="34" charset="0"/>
          </a:endParaRPr>
        </a:p>
      </dgm:t>
    </dgm:pt>
    <dgm:pt modelId="{C42ACC53-685A-422C-810E-95E358A73371}">
      <dgm:prSet phldrT="[Text]"/>
      <dgm:spPr/>
      <dgm:t>
        <a:bodyPr/>
        <a:lstStyle/>
        <a:p>
          <a:pPr algn="ctr"/>
          <a:r>
            <a:rPr lang="en-US">
              <a:latin typeface="Arial Narrow" panose="020B0606020202030204" pitchFamily="34" charset="0"/>
            </a:rPr>
            <a:t>2,013 (1.23 managers/director)</a:t>
          </a:r>
        </a:p>
      </dgm:t>
    </dgm:pt>
    <dgm:pt modelId="{952FDD10-9F83-407D-A5EC-FB290A103F31}" type="parTrans" cxnId="{4E8DBD4D-33CB-481C-815F-53B1F3BD04D0}">
      <dgm:prSet/>
      <dgm:spPr/>
      <dgm:t>
        <a:bodyPr/>
        <a:lstStyle/>
        <a:p>
          <a:pPr algn="ctr"/>
          <a:endParaRPr lang="en-US">
            <a:latin typeface="Arial Narrow" panose="020B0606020202030204" pitchFamily="34" charset="0"/>
          </a:endParaRPr>
        </a:p>
      </dgm:t>
    </dgm:pt>
    <dgm:pt modelId="{BFFF045C-55FE-4385-A538-DE498CE331C5}" type="sibTrans" cxnId="{4E8DBD4D-33CB-481C-815F-53B1F3BD04D0}">
      <dgm:prSet/>
      <dgm:spPr/>
      <dgm:t>
        <a:bodyPr/>
        <a:lstStyle/>
        <a:p>
          <a:pPr algn="ctr"/>
          <a:endParaRPr lang="en-US">
            <a:latin typeface="Arial Narrow" panose="020B0606020202030204" pitchFamily="34" charset="0"/>
          </a:endParaRPr>
        </a:p>
      </dgm:t>
    </dgm:pt>
    <dgm:pt modelId="{F8AB23FF-AA9D-49C8-9CF3-C09F00FD7FB8}">
      <dgm:prSet phldrT="[Text]"/>
      <dgm:spPr/>
      <dgm:t>
        <a:bodyPr/>
        <a:lstStyle/>
        <a:p>
          <a:pPr algn="ctr"/>
          <a:r>
            <a:rPr lang="en-US">
              <a:latin typeface="Arial Narrow" panose="020B0606020202030204" pitchFamily="34" charset="0"/>
            </a:rPr>
            <a:t>73%-75%</a:t>
          </a:r>
        </a:p>
      </dgm:t>
    </dgm:pt>
    <dgm:pt modelId="{10655C3F-6700-40DB-A1DD-E9C903AD4446}">
      <dgm:prSet phldrT="[Text]"/>
      <dgm:spPr/>
      <dgm:t>
        <a:bodyPr/>
        <a:lstStyle/>
        <a:p>
          <a:pPr algn="ctr"/>
          <a:r>
            <a:rPr lang="en-US">
              <a:latin typeface="Arial Narrow" panose="020B0606020202030204" pitchFamily="34" charset="0"/>
            </a:rPr>
            <a:t>1-3 DSCs/director</a:t>
          </a:r>
        </a:p>
      </dgm:t>
    </dgm:pt>
    <dgm:pt modelId="{2CEAB8D1-40AB-420C-B6DC-AA537F1FCBB4}">
      <dgm:prSet phldrT="[Text]"/>
      <dgm:spPr/>
      <dgm:t>
        <a:bodyPr/>
        <a:lstStyle/>
        <a:p>
          <a:pPr algn="ctr"/>
          <a:r>
            <a:rPr lang="en-US">
              <a:latin typeface="Arial Narrow" panose="020B0606020202030204" pitchFamily="34" charset="0"/>
            </a:rPr>
            <a:t>75%-83%</a:t>
          </a:r>
        </a:p>
      </dgm:t>
    </dgm:pt>
    <dgm:pt modelId="{F98B273F-2ABF-4674-A07E-2A570AE3D5BA}">
      <dgm:prSet phldrT="[Text]"/>
      <dgm:spPr/>
      <dgm:t>
        <a:bodyPr/>
        <a:lstStyle/>
        <a:p>
          <a:pPr algn="ctr"/>
          <a:r>
            <a:rPr lang="en-US">
              <a:latin typeface="Arial Narrow" panose="020B0606020202030204" pitchFamily="34" charset="0"/>
            </a:rPr>
            <a:t>1,600</a:t>
          </a:r>
        </a:p>
      </dgm:t>
    </dgm:pt>
    <dgm:pt modelId="{5F298471-C820-4A8E-9831-8BAA9B0B1BB6}">
      <dgm:prSet phldrT="[Text]" custT="1"/>
      <dgm:spPr/>
      <dgm:t>
        <a:bodyPr/>
        <a:lstStyle/>
        <a:p>
          <a:pPr algn="ctr"/>
          <a:r>
            <a:rPr lang="en-US" sz="1000" b="1">
              <a:latin typeface="Arial Narrow" panose="020B0606020202030204" pitchFamily="34" charset="0"/>
            </a:rPr>
            <a:t>Proposed Study of DSCs: Sampling Targets</a:t>
          </a:r>
        </a:p>
      </dgm:t>
    </dgm:pt>
    <dgm:pt modelId="{13D19583-D449-4CE9-A31B-9B19AF9E2F85}" type="sibTrans" cxnId="{4385DBE4-4D4A-4CE0-BEC6-581888082588}">
      <dgm:prSet/>
      <dgm:spPr/>
      <dgm:t>
        <a:bodyPr/>
        <a:lstStyle/>
        <a:p>
          <a:pPr algn="ctr"/>
          <a:endParaRPr lang="en-US">
            <a:latin typeface="Arial Narrow" panose="020B0606020202030204" pitchFamily="34" charset="0"/>
          </a:endParaRPr>
        </a:p>
      </dgm:t>
    </dgm:pt>
    <dgm:pt modelId="{8A425D38-C653-4986-A765-677663F468CD}" type="parTrans" cxnId="{4385DBE4-4D4A-4CE0-BEC6-581888082588}">
      <dgm:prSet/>
      <dgm:spPr/>
      <dgm:t>
        <a:bodyPr/>
        <a:lstStyle/>
        <a:p>
          <a:pPr algn="ctr"/>
          <a:endParaRPr lang="en-US">
            <a:latin typeface="Arial Narrow" panose="020B0606020202030204" pitchFamily="34" charset="0"/>
          </a:endParaRPr>
        </a:p>
      </dgm:t>
    </dgm:pt>
    <dgm:pt modelId="{458171BE-7524-4D29-B136-5FF430FC8562}" type="sibTrans" cxnId="{E88B4D54-0533-4170-A0D4-C0C18BD52232}">
      <dgm:prSet/>
      <dgm:spPr/>
      <dgm:t>
        <a:bodyPr/>
        <a:lstStyle/>
        <a:p>
          <a:pPr algn="ctr"/>
          <a:endParaRPr lang="en-US">
            <a:latin typeface="Arial Narrow" panose="020B0606020202030204" pitchFamily="34" charset="0"/>
          </a:endParaRPr>
        </a:p>
      </dgm:t>
    </dgm:pt>
    <dgm:pt modelId="{9F21EC89-4555-4797-8472-5147528F227A}" type="parTrans" cxnId="{E88B4D54-0533-4170-A0D4-C0C18BD52232}">
      <dgm:prSet/>
      <dgm:spPr/>
      <dgm:t>
        <a:bodyPr/>
        <a:lstStyle/>
        <a:p>
          <a:pPr algn="ctr"/>
          <a:endParaRPr lang="en-US">
            <a:latin typeface="Arial Narrow" panose="020B0606020202030204" pitchFamily="34" charset="0"/>
          </a:endParaRPr>
        </a:p>
      </dgm:t>
    </dgm:pt>
    <dgm:pt modelId="{B4BD9585-E317-468E-BA0D-ABFB913CE84F}" type="sibTrans" cxnId="{B51360A2-A55B-419B-A34F-3ABDA8DE3D80}">
      <dgm:prSet/>
      <dgm:spPr/>
      <dgm:t>
        <a:bodyPr/>
        <a:lstStyle/>
        <a:p>
          <a:pPr algn="ctr"/>
          <a:endParaRPr lang="en-US">
            <a:latin typeface="Arial Narrow" panose="020B0606020202030204" pitchFamily="34" charset="0"/>
          </a:endParaRPr>
        </a:p>
      </dgm:t>
    </dgm:pt>
    <dgm:pt modelId="{7D9CE1AD-9E73-43F1-A294-FD1CB1D2BE51}" type="parTrans" cxnId="{B51360A2-A55B-419B-A34F-3ABDA8DE3D80}">
      <dgm:prSet/>
      <dgm:spPr/>
      <dgm:t>
        <a:bodyPr/>
        <a:lstStyle/>
        <a:p>
          <a:pPr algn="ctr"/>
          <a:endParaRPr lang="en-US">
            <a:latin typeface="Arial Narrow" panose="020B0606020202030204" pitchFamily="34" charset="0"/>
          </a:endParaRPr>
        </a:p>
      </dgm:t>
    </dgm:pt>
    <dgm:pt modelId="{487FE24E-64FA-4904-8B9E-6ED5B26709BA}" type="sibTrans" cxnId="{41C13B7E-F551-4C8C-BEF9-EB509BADD16F}">
      <dgm:prSet/>
      <dgm:spPr/>
      <dgm:t>
        <a:bodyPr/>
        <a:lstStyle/>
        <a:p>
          <a:pPr algn="ctr"/>
          <a:endParaRPr lang="en-US">
            <a:latin typeface="Arial Narrow" panose="020B0606020202030204" pitchFamily="34" charset="0"/>
          </a:endParaRPr>
        </a:p>
      </dgm:t>
    </dgm:pt>
    <dgm:pt modelId="{B4FCD015-AAE1-4976-B96A-8C633CB69178}" type="parTrans" cxnId="{41C13B7E-F551-4C8C-BEF9-EB509BADD16F}">
      <dgm:prSet/>
      <dgm:spPr/>
      <dgm:t>
        <a:bodyPr/>
        <a:lstStyle/>
        <a:p>
          <a:pPr algn="ctr"/>
          <a:endParaRPr lang="en-US">
            <a:latin typeface="Arial Narrow" panose="020B0606020202030204" pitchFamily="34" charset="0"/>
          </a:endParaRPr>
        </a:p>
      </dgm:t>
    </dgm:pt>
    <dgm:pt modelId="{60468ECE-13EA-4F56-8D59-F4EF46942099}" type="sibTrans" cxnId="{0C4037B4-54A2-4DF4-BDBC-7ED08C7BFAD9}">
      <dgm:prSet/>
      <dgm:spPr/>
      <dgm:t>
        <a:bodyPr/>
        <a:lstStyle/>
        <a:p>
          <a:pPr algn="ctr"/>
          <a:endParaRPr lang="en-US">
            <a:latin typeface="Arial Narrow" panose="020B0606020202030204" pitchFamily="34" charset="0"/>
          </a:endParaRPr>
        </a:p>
      </dgm:t>
    </dgm:pt>
    <dgm:pt modelId="{2357AC31-BBB8-41C7-A873-48E9AEB186B1}" type="parTrans" cxnId="{0C4037B4-54A2-4DF4-BDBC-7ED08C7BFAD9}">
      <dgm:prSet/>
      <dgm:spPr/>
      <dgm:t>
        <a:bodyPr/>
        <a:lstStyle/>
        <a:p>
          <a:pPr algn="ctr"/>
          <a:endParaRPr lang="en-US">
            <a:latin typeface="Arial Narrow" panose="020B0606020202030204" pitchFamily="34" charset="0"/>
          </a:endParaRPr>
        </a:p>
      </dgm:t>
    </dgm:pt>
    <dgm:pt modelId="{3FAEA378-95E5-409F-A163-F3A0BE8FFE7C}" type="pres">
      <dgm:prSet presAssocID="{20E272C0-A4B9-4E1F-A38A-040FF078368E}" presName="Name0" presStyleCnt="0">
        <dgm:presLayoutVars>
          <dgm:dir/>
          <dgm:animLvl val="lvl"/>
          <dgm:resizeHandles val="exact"/>
        </dgm:presLayoutVars>
      </dgm:prSet>
      <dgm:spPr/>
    </dgm:pt>
    <dgm:pt modelId="{2B0A320F-F88B-4A61-BD85-C3DF770A8C98}" type="pres">
      <dgm:prSet presAssocID="{671D160B-F0D9-4B69-93A6-4692A9EE91B1}" presName="vertFlow" presStyleCnt="0"/>
      <dgm:spPr/>
    </dgm:pt>
    <dgm:pt modelId="{16A59B07-7D61-40FE-A416-5463708BF9DA}" type="pres">
      <dgm:prSet presAssocID="{671D160B-F0D9-4B69-93A6-4692A9EE91B1}" presName="header" presStyleLbl="node1" presStyleIdx="0" presStyleCnt="4" custScaleY="283310" custLinFactY="-100000" custLinFactNeighborY="-139200"/>
      <dgm:spPr/>
    </dgm:pt>
    <dgm:pt modelId="{B1EA5294-ABE3-4CCD-817C-B8E5AE091F6F}" type="pres">
      <dgm:prSet presAssocID="{1821C359-AC6B-4605-A687-33BC08A9F22B}" presName="parTrans" presStyleLbl="sibTrans2D1" presStyleIdx="0" presStyleCnt="16"/>
      <dgm:spPr/>
    </dgm:pt>
    <dgm:pt modelId="{C26643D9-9248-4498-9E3F-C53438609A94}" type="pres">
      <dgm:prSet presAssocID="{F3D12BBD-0167-486F-8BF9-F622388B8F1F}" presName="child" presStyleLbl="alignAccFollowNode1" presStyleIdx="0" presStyleCnt="16">
        <dgm:presLayoutVars>
          <dgm:chMax val="0"/>
          <dgm:bulletEnabled val="1"/>
        </dgm:presLayoutVars>
      </dgm:prSet>
      <dgm:spPr/>
    </dgm:pt>
    <dgm:pt modelId="{9F1554A7-D773-4A31-9715-2B1B470DCA5C}" type="pres">
      <dgm:prSet presAssocID="{CDDD6048-39C9-47F9-BD05-E278EEACC666}" presName="sibTrans" presStyleLbl="sibTrans2D1" presStyleIdx="1" presStyleCnt="16"/>
      <dgm:spPr/>
    </dgm:pt>
    <dgm:pt modelId="{52C5AADB-5E21-4C96-B3A7-46EB498F1B99}" type="pres">
      <dgm:prSet presAssocID="{A70BF70F-795F-4815-8E29-4C8CC30AD13E}" presName="child" presStyleLbl="alignAccFollowNode1" presStyleIdx="1" presStyleCnt="16">
        <dgm:presLayoutVars>
          <dgm:chMax val="0"/>
          <dgm:bulletEnabled val="1"/>
        </dgm:presLayoutVars>
      </dgm:prSet>
      <dgm:spPr/>
    </dgm:pt>
    <dgm:pt modelId="{3DCAFAB6-91E7-4ED8-BF23-79F941B5D028}" type="pres">
      <dgm:prSet presAssocID="{5F2FE742-E50C-4E83-90B1-175C95AE20D8}" presName="sibTrans" presStyleLbl="sibTrans2D1" presStyleIdx="2" presStyleCnt="16"/>
      <dgm:spPr/>
    </dgm:pt>
    <dgm:pt modelId="{D713AA69-76B6-41FA-8713-7499C8328108}" type="pres">
      <dgm:prSet presAssocID="{3819CAD9-532E-4D8B-97D3-A7CB37E1D090}" presName="child" presStyleLbl="alignAccFollowNode1" presStyleIdx="2" presStyleCnt="16">
        <dgm:presLayoutVars>
          <dgm:chMax val="0"/>
          <dgm:bulletEnabled val="1"/>
        </dgm:presLayoutVars>
      </dgm:prSet>
      <dgm:spPr/>
    </dgm:pt>
    <dgm:pt modelId="{1B6D6B72-695C-4D12-B0DD-CA8FFEAFF87D}" type="pres">
      <dgm:prSet presAssocID="{C2F07B5B-CA4E-425D-860F-FA0E6394C6F2}" presName="sibTrans" presStyleLbl="sibTrans2D1" presStyleIdx="3" presStyleCnt="16"/>
      <dgm:spPr/>
    </dgm:pt>
    <dgm:pt modelId="{4A0CE25B-DBBD-4155-936D-292D9991752D}" type="pres">
      <dgm:prSet presAssocID="{140614AE-1857-4AE7-9C09-959C76BF6BF6}" presName="child" presStyleLbl="alignAccFollowNode1" presStyleIdx="3" presStyleCnt="16">
        <dgm:presLayoutVars>
          <dgm:chMax val="0"/>
          <dgm:bulletEnabled val="1"/>
        </dgm:presLayoutVars>
      </dgm:prSet>
      <dgm:spPr/>
    </dgm:pt>
    <dgm:pt modelId="{6B7C2D96-371A-4056-A771-F69F563BEA7F}" type="pres">
      <dgm:prSet presAssocID="{671D160B-F0D9-4B69-93A6-4692A9EE91B1}" presName="hSp" presStyleCnt="0"/>
      <dgm:spPr/>
    </dgm:pt>
    <dgm:pt modelId="{F450D2F8-295B-4F07-B1F4-9A534997308A}" type="pres">
      <dgm:prSet presAssocID="{C706494C-861E-4D0D-88FE-81054A307A8A}" presName="vertFlow" presStyleCnt="0"/>
      <dgm:spPr/>
    </dgm:pt>
    <dgm:pt modelId="{BA01AF46-BC3E-4B0D-9CA3-D34ED2662C4B}" type="pres">
      <dgm:prSet presAssocID="{C706494C-861E-4D0D-88FE-81054A307A8A}" presName="header" presStyleLbl="node1" presStyleIdx="1" presStyleCnt="4" custScaleY="283310" custLinFactY="-100000" custLinFactNeighborY="-188758"/>
      <dgm:spPr/>
    </dgm:pt>
    <dgm:pt modelId="{2C036752-E8C2-4AB0-A331-685BA778DBC3}" type="pres">
      <dgm:prSet presAssocID="{6DFE22C0-3FDC-4DFC-865C-3BD86F7F288D}" presName="parTrans" presStyleLbl="sibTrans2D1" presStyleIdx="4" presStyleCnt="16"/>
      <dgm:spPr/>
    </dgm:pt>
    <dgm:pt modelId="{EAD9E582-B236-4409-9ED1-9072D56AD35B}" type="pres">
      <dgm:prSet presAssocID="{970DD283-9A61-4760-AB34-ACC10E6A1A5C}" presName="child" presStyleLbl="alignAccFollowNode1" presStyleIdx="4" presStyleCnt="16">
        <dgm:presLayoutVars>
          <dgm:chMax val="0"/>
          <dgm:bulletEnabled val="1"/>
        </dgm:presLayoutVars>
      </dgm:prSet>
      <dgm:spPr/>
    </dgm:pt>
    <dgm:pt modelId="{5425150E-748E-4608-AA91-2C526749B42E}" type="pres">
      <dgm:prSet presAssocID="{7B7A08A3-AC1B-4B6D-9C51-DC1065F18F77}" presName="sibTrans" presStyleLbl="sibTrans2D1" presStyleIdx="5" presStyleCnt="16"/>
      <dgm:spPr/>
    </dgm:pt>
    <dgm:pt modelId="{EA5DC386-ECB0-4B8B-AC50-001E3A7C85D3}" type="pres">
      <dgm:prSet presAssocID="{DDECDBFC-F1D5-4F58-9B2B-E31D74FA4938}" presName="child" presStyleLbl="alignAccFollowNode1" presStyleIdx="5" presStyleCnt="16">
        <dgm:presLayoutVars>
          <dgm:chMax val="0"/>
          <dgm:bulletEnabled val="1"/>
        </dgm:presLayoutVars>
      </dgm:prSet>
      <dgm:spPr/>
    </dgm:pt>
    <dgm:pt modelId="{3D97D9B3-1FE1-481F-A106-B62F18A4B41F}" type="pres">
      <dgm:prSet presAssocID="{D3D48DA7-1662-4583-B723-B869689E9A60}" presName="sibTrans" presStyleLbl="sibTrans2D1" presStyleIdx="6" presStyleCnt="16"/>
      <dgm:spPr/>
    </dgm:pt>
    <dgm:pt modelId="{9DC1E813-746E-4297-88F2-B908D9F12FFF}" type="pres">
      <dgm:prSet presAssocID="{C42ACC53-685A-422C-810E-95E358A73371}" presName="child" presStyleLbl="alignAccFollowNode1" presStyleIdx="6" presStyleCnt="16">
        <dgm:presLayoutVars>
          <dgm:chMax val="0"/>
          <dgm:bulletEnabled val="1"/>
        </dgm:presLayoutVars>
      </dgm:prSet>
      <dgm:spPr/>
    </dgm:pt>
    <dgm:pt modelId="{FCF404A6-4E25-410E-BF94-CAA3BCCCB251}" type="pres">
      <dgm:prSet presAssocID="{BFFF045C-55FE-4385-A538-DE498CE331C5}" presName="sibTrans" presStyleLbl="sibTrans2D1" presStyleIdx="7" presStyleCnt="16"/>
      <dgm:spPr/>
    </dgm:pt>
    <dgm:pt modelId="{DC78228F-F9E5-442D-9A60-5C135121289D}" type="pres">
      <dgm:prSet presAssocID="{138679F1-FA6D-4CD0-8290-E5867D318424}" presName="child" presStyleLbl="alignAccFollowNode1" presStyleIdx="7" presStyleCnt="16">
        <dgm:presLayoutVars>
          <dgm:chMax val="0"/>
          <dgm:bulletEnabled val="1"/>
        </dgm:presLayoutVars>
      </dgm:prSet>
      <dgm:spPr/>
    </dgm:pt>
    <dgm:pt modelId="{2608AE28-AF80-4117-8A88-A92BA93F805E}" type="pres">
      <dgm:prSet presAssocID="{C706494C-861E-4D0D-88FE-81054A307A8A}" presName="hSp" presStyleCnt="0"/>
      <dgm:spPr/>
    </dgm:pt>
    <dgm:pt modelId="{DC07CDE5-314E-4CF8-91DA-5F85FE6B4AE4}" type="pres">
      <dgm:prSet presAssocID="{FD59622F-19C2-4412-8C8B-CB45944861B3}" presName="vertFlow" presStyleCnt="0"/>
      <dgm:spPr/>
    </dgm:pt>
    <dgm:pt modelId="{4D8146B1-63DE-4440-9756-4F21FBFAFA17}" type="pres">
      <dgm:prSet presAssocID="{FD59622F-19C2-4412-8C8B-CB45944861B3}" presName="header" presStyleLbl="node1" presStyleIdx="2" presStyleCnt="4" custScaleY="283310" custLinFactY="-100000" custLinFactNeighborY="-188758"/>
      <dgm:spPr/>
    </dgm:pt>
    <dgm:pt modelId="{84691F6A-FCBA-42A1-A2B8-CF5809FF613F}" type="pres">
      <dgm:prSet presAssocID="{86BC6C9C-BCBC-45FF-9DE5-FA96A524D152}" presName="parTrans" presStyleLbl="sibTrans2D1" presStyleIdx="8" presStyleCnt="16"/>
      <dgm:spPr/>
    </dgm:pt>
    <dgm:pt modelId="{533B8EC3-E0E1-4879-AA11-70246F3A0111}" type="pres">
      <dgm:prSet presAssocID="{2A1DE779-9337-42A3-B2A6-10CD347CDB31}" presName="child" presStyleLbl="alignAccFollowNode1" presStyleIdx="8" presStyleCnt="16">
        <dgm:presLayoutVars>
          <dgm:chMax val="0"/>
          <dgm:bulletEnabled val="1"/>
        </dgm:presLayoutVars>
      </dgm:prSet>
      <dgm:spPr/>
    </dgm:pt>
    <dgm:pt modelId="{F702DFE2-CB81-4232-B912-74C91F950108}" type="pres">
      <dgm:prSet presAssocID="{7497DF7A-4708-47DF-9CB6-1B5369B277C8}" presName="sibTrans" presStyleLbl="sibTrans2D1" presStyleIdx="9" presStyleCnt="16"/>
      <dgm:spPr/>
    </dgm:pt>
    <dgm:pt modelId="{D27C9717-424E-4492-A032-BFF72822CF5E}" type="pres">
      <dgm:prSet presAssocID="{C6FB5434-C826-4274-A393-142F7924BD26}" presName="child" presStyleLbl="alignAccFollowNode1" presStyleIdx="9" presStyleCnt="16">
        <dgm:presLayoutVars>
          <dgm:chMax val="0"/>
          <dgm:bulletEnabled val="1"/>
        </dgm:presLayoutVars>
      </dgm:prSet>
      <dgm:spPr/>
    </dgm:pt>
    <dgm:pt modelId="{98AF3B08-3BD1-4E8D-BE66-F2263B9C3AA3}" type="pres">
      <dgm:prSet presAssocID="{8325433D-1202-4509-9889-097AF4753E6D}" presName="sibTrans" presStyleLbl="sibTrans2D1" presStyleIdx="10" presStyleCnt="16"/>
      <dgm:spPr/>
    </dgm:pt>
    <dgm:pt modelId="{BA2BDA4A-940E-4736-B9FF-52B3224C853A}" type="pres">
      <dgm:prSet presAssocID="{28A7B730-BD9E-420F-8735-161BD25CD875}" presName="child" presStyleLbl="alignAccFollowNode1" presStyleIdx="10" presStyleCnt="16">
        <dgm:presLayoutVars>
          <dgm:chMax val="0"/>
          <dgm:bulletEnabled val="1"/>
        </dgm:presLayoutVars>
      </dgm:prSet>
      <dgm:spPr/>
    </dgm:pt>
    <dgm:pt modelId="{23FC4450-3750-4444-B627-C619B16A64F7}" type="pres">
      <dgm:prSet presAssocID="{E56AB24D-9F0A-4530-ACE1-5999B931D999}" presName="sibTrans" presStyleLbl="sibTrans2D1" presStyleIdx="11" presStyleCnt="16"/>
      <dgm:spPr/>
    </dgm:pt>
    <dgm:pt modelId="{1255A05C-8C01-44BC-BAE0-AF1DBD93C7ED}" type="pres">
      <dgm:prSet presAssocID="{72A8874C-204F-4646-A8E4-6AE10C04488C}" presName="child" presStyleLbl="alignAccFollowNode1" presStyleIdx="11" presStyleCnt="16">
        <dgm:presLayoutVars>
          <dgm:chMax val="0"/>
          <dgm:bulletEnabled val="1"/>
        </dgm:presLayoutVars>
      </dgm:prSet>
      <dgm:spPr/>
    </dgm:pt>
    <dgm:pt modelId="{F02688F4-6B78-4AE4-A001-A615E53481C9}" type="pres">
      <dgm:prSet presAssocID="{FD59622F-19C2-4412-8C8B-CB45944861B3}" presName="hSp" presStyleCnt="0"/>
      <dgm:spPr/>
    </dgm:pt>
    <dgm:pt modelId="{53D02611-39DA-4335-B3DE-8F813AD65BE0}" type="pres">
      <dgm:prSet presAssocID="{5F298471-C820-4A8E-9831-8BAA9B0B1BB6}" presName="vertFlow" presStyleCnt="0"/>
      <dgm:spPr/>
    </dgm:pt>
    <dgm:pt modelId="{3C27F53E-87F5-4653-9DFF-656D857D4463}" type="pres">
      <dgm:prSet presAssocID="{5F298471-C820-4A8E-9831-8BAA9B0B1BB6}" presName="header" presStyleLbl="node1" presStyleIdx="3" presStyleCnt="4" custScaleY="283310" custLinFactY="-100000" custLinFactNeighborY="-188758"/>
      <dgm:spPr/>
    </dgm:pt>
    <dgm:pt modelId="{0F5A2E72-1A91-4293-AD34-F53E7B51B8E0}" type="pres">
      <dgm:prSet presAssocID="{2357AC31-BBB8-41C7-A873-48E9AEB186B1}" presName="parTrans" presStyleLbl="sibTrans2D1" presStyleIdx="12" presStyleCnt="16"/>
      <dgm:spPr/>
    </dgm:pt>
    <dgm:pt modelId="{64C38EC1-6716-479B-9C9B-92AA58D434BF}" type="pres">
      <dgm:prSet presAssocID="{F98B273F-2ABF-4674-A07E-2A570AE3D5BA}" presName="child" presStyleLbl="alignAccFollowNode1" presStyleIdx="12" presStyleCnt="16">
        <dgm:presLayoutVars>
          <dgm:chMax val="0"/>
          <dgm:bulletEnabled val="1"/>
        </dgm:presLayoutVars>
      </dgm:prSet>
      <dgm:spPr/>
    </dgm:pt>
    <dgm:pt modelId="{765EDB55-3429-4167-B3CE-949C2EEB5570}" type="pres">
      <dgm:prSet presAssocID="{60468ECE-13EA-4F56-8D59-F4EF46942099}" presName="sibTrans" presStyleLbl="sibTrans2D1" presStyleIdx="13" presStyleCnt="16"/>
      <dgm:spPr/>
    </dgm:pt>
    <dgm:pt modelId="{48AD9DDA-94FF-42EE-87CA-DFE1CA74AC62}" type="pres">
      <dgm:prSet presAssocID="{2CEAB8D1-40AB-420C-B6DC-AA537F1FCBB4}" presName="child" presStyleLbl="alignAccFollowNode1" presStyleIdx="13" presStyleCnt="16">
        <dgm:presLayoutVars>
          <dgm:chMax val="0"/>
          <dgm:bulletEnabled val="1"/>
        </dgm:presLayoutVars>
      </dgm:prSet>
      <dgm:spPr/>
    </dgm:pt>
    <dgm:pt modelId="{B6925D9D-F9F6-40FE-8BE4-9CC7E4F5EB47}" type="pres">
      <dgm:prSet presAssocID="{487FE24E-64FA-4904-8B9E-6ED5B26709BA}" presName="sibTrans" presStyleLbl="sibTrans2D1" presStyleIdx="14" presStyleCnt="16"/>
      <dgm:spPr/>
    </dgm:pt>
    <dgm:pt modelId="{7F936025-E700-4E2E-B019-9518291498AC}" type="pres">
      <dgm:prSet presAssocID="{10655C3F-6700-40DB-A1DD-E9C903AD4446}" presName="child" presStyleLbl="alignAccFollowNode1" presStyleIdx="14" presStyleCnt="16">
        <dgm:presLayoutVars>
          <dgm:chMax val="0"/>
          <dgm:bulletEnabled val="1"/>
        </dgm:presLayoutVars>
      </dgm:prSet>
      <dgm:spPr/>
    </dgm:pt>
    <dgm:pt modelId="{66DA6301-2451-4BE0-BB01-E4B0CB4AFE36}" type="pres">
      <dgm:prSet presAssocID="{B4BD9585-E317-468E-BA0D-ABFB913CE84F}" presName="sibTrans" presStyleLbl="sibTrans2D1" presStyleIdx="15" presStyleCnt="16"/>
      <dgm:spPr/>
    </dgm:pt>
    <dgm:pt modelId="{0EBAB77D-7B81-4D8F-8999-E886433DB866}" type="pres">
      <dgm:prSet presAssocID="{F8AB23FF-AA9D-49C8-9CF3-C09F00FD7FB8}" presName="child" presStyleLbl="alignAccFollowNode1" presStyleIdx="15" presStyleCnt="16">
        <dgm:presLayoutVars>
          <dgm:chMax val="0"/>
          <dgm:bulletEnabled val="1"/>
        </dgm:presLayoutVars>
      </dgm:prSet>
      <dgm:spPr/>
    </dgm:pt>
  </dgm:ptLst>
  <dgm:cxnLst>
    <dgm:cxn modelId="{DC924903-A174-4342-BA3B-F4A06437F244}" type="presOf" srcId="{7B7A08A3-AC1B-4B6D-9C51-DC1065F18F77}" destId="{5425150E-748E-4608-AA91-2C526749B42E}" srcOrd="0" destOrd="0" presId="urn:microsoft.com/office/officeart/2005/8/layout/lProcess1"/>
    <dgm:cxn modelId="{97220509-CF8F-40E0-B01A-4AF97686F766}" type="presOf" srcId="{C706494C-861E-4D0D-88FE-81054A307A8A}" destId="{BA01AF46-BC3E-4B0D-9CA3-D34ED2662C4B}" srcOrd="0" destOrd="0" presId="urn:microsoft.com/office/officeart/2005/8/layout/lProcess1"/>
    <dgm:cxn modelId="{2E153C15-9C7B-4EB7-8279-181A9CA575E9}" type="presOf" srcId="{C2F07B5B-CA4E-425D-860F-FA0E6394C6F2}" destId="{1B6D6B72-695C-4D12-B0DD-CA8FFEAFF87D}" srcOrd="0" destOrd="0" presId="urn:microsoft.com/office/officeart/2005/8/layout/lProcess1"/>
    <dgm:cxn modelId="{16B17427-D3C6-4E4D-BF2D-90EA5E3C52FF}" srcId="{671D160B-F0D9-4B69-93A6-4692A9EE91B1}" destId="{3819CAD9-532E-4D8B-97D3-A7CB37E1D090}" srcOrd="2" destOrd="0" parTransId="{70A54B00-DE1B-412D-9D4F-FCEFBE596524}" sibTransId="{C2F07B5B-CA4E-425D-860F-FA0E6394C6F2}"/>
    <dgm:cxn modelId="{B72B1029-A3F3-414B-BBF4-9AF1ACC23A45}" srcId="{20E272C0-A4B9-4E1F-A38A-040FF078368E}" destId="{C706494C-861E-4D0D-88FE-81054A307A8A}" srcOrd="1" destOrd="0" parTransId="{755AC33F-8D18-4745-A1A4-A808F88A24C4}" sibTransId="{9BA27880-237C-4F89-AC49-D3C99AE4124F}"/>
    <dgm:cxn modelId="{4F708B2B-419B-4985-9313-3EEF440463BC}" srcId="{C706494C-861E-4D0D-88FE-81054A307A8A}" destId="{138679F1-FA6D-4CD0-8290-E5867D318424}" srcOrd="3" destOrd="0" parTransId="{2885285E-775C-4BC4-9FAD-FF3270EDC59A}" sibTransId="{2E5095BE-E27D-4FC5-BCD5-242577101D77}"/>
    <dgm:cxn modelId="{66B03D35-9FA7-4457-B372-A9DDD62619B3}" type="presOf" srcId="{5F298471-C820-4A8E-9831-8BAA9B0B1BB6}" destId="{3C27F53E-87F5-4653-9DFF-656D857D4463}" srcOrd="0" destOrd="0" presId="urn:microsoft.com/office/officeart/2005/8/layout/lProcess1"/>
    <dgm:cxn modelId="{92833B3B-0B13-4724-884A-CE5E537AD8F8}" type="presOf" srcId="{3819CAD9-532E-4D8B-97D3-A7CB37E1D090}" destId="{D713AA69-76B6-41FA-8713-7499C8328108}" srcOrd="0" destOrd="0" presId="urn:microsoft.com/office/officeart/2005/8/layout/lProcess1"/>
    <dgm:cxn modelId="{E063F53E-723C-459B-A5F7-FAE9CA88755D}" type="presOf" srcId="{E56AB24D-9F0A-4530-ACE1-5999B931D999}" destId="{23FC4450-3750-4444-B627-C619B16A64F7}" srcOrd="0" destOrd="0" presId="urn:microsoft.com/office/officeart/2005/8/layout/lProcess1"/>
    <dgm:cxn modelId="{5FD1AC5C-9BCB-446C-A583-D922141BC42E}" type="presOf" srcId="{487FE24E-64FA-4904-8B9E-6ED5B26709BA}" destId="{B6925D9D-F9F6-40FE-8BE4-9CC7E4F5EB47}" srcOrd="0" destOrd="0" presId="urn:microsoft.com/office/officeart/2005/8/layout/lProcess1"/>
    <dgm:cxn modelId="{59FFA05D-4104-47E1-A228-F4150EFF69CB}" type="presOf" srcId="{970DD283-9A61-4760-AB34-ACC10E6A1A5C}" destId="{EAD9E582-B236-4409-9ED1-9072D56AD35B}" srcOrd="0" destOrd="0" presId="urn:microsoft.com/office/officeart/2005/8/layout/lProcess1"/>
    <dgm:cxn modelId="{05222566-2259-4702-89AC-F2D1DB051926}" type="presOf" srcId="{86BC6C9C-BCBC-45FF-9DE5-FA96A524D152}" destId="{84691F6A-FCBA-42A1-A2B8-CF5809FF613F}" srcOrd="0" destOrd="0" presId="urn:microsoft.com/office/officeart/2005/8/layout/lProcess1"/>
    <dgm:cxn modelId="{ABD15948-601F-43F3-AAA0-27EAEDFB4BC6}" srcId="{20E272C0-A4B9-4E1F-A38A-040FF078368E}" destId="{671D160B-F0D9-4B69-93A6-4692A9EE91B1}" srcOrd="0" destOrd="0" parTransId="{10096002-70E2-4EB8-9C73-307CEF4C8C56}" sibTransId="{9E70E144-AB86-4FB8-97C8-0F78C0CD348F}"/>
    <dgm:cxn modelId="{4E8DBD4D-33CB-481C-815F-53B1F3BD04D0}" srcId="{C706494C-861E-4D0D-88FE-81054A307A8A}" destId="{C42ACC53-685A-422C-810E-95E358A73371}" srcOrd="2" destOrd="0" parTransId="{952FDD10-9F83-407D-A5EC-FB290A103F31}" sibTransId="{BFFF045C-55FE-4385-A538-DE498CE331C5}"/>
    <dgm:cxn modelId="{3EA7EF51-6EBF-40FE-B25C-E5B2E5045EFE}" type="presOf" srcId="{138679F1-FA6D-4CD0-8290-E5867D318424}" destId="{DC78228F-F9E5-442D-9A60-5C135121289D}" srcOrd="0" destOrd="0" presId="urn:microsoft.com/office/officeart/2005/8/layout/lProcess1"/>
    <dgm:cxn modelId="{3FB20072-0C58-4DCA-AF52-A5645424EFFC}" type="presOf" srcId="{BFFF045C-55FE-4385-A538-DE498CE331C5}" destId="{FCF404A6-4E25-410E-BF94-CAA3BCCCB251}" srcOrd="0" destOrd="0" presId="urn:microsoft.com/office/officeart/2005/8/layout/lProcess1"/>
    <dgm:cxn modelId="{E35AA553-AA16-4C67-B41A-B9E130A8F488}" srcId="{671D160B-F0D9-4B69-93A6-4692A9EE91B1}" destId="{140614AE-1857-4AE7-9C09-959C76BF6BF6}" srcOrd="3" destOrd="0" parTransId="{4524E026-0CBB-4E31-AB98-D00D1534E77D}" sibTransId="{726A07DF-1DD8-46F9-BACF-CD4E01827FDE}"/>
    <dgm:cxn modelId="{495F4254-1808-430B-A314-C230765D3995}" srcId="{FD59622F-19C2-4412-8C8B-CB45944861B3}" destId="{C6FB5434-C826-4274-A393-142F7924BD26}" srcOrd="1" destOrd="0" parTransId="{1889481E-C06F-46E7-A633-471FA6317438}" sibTransId="{8325433D-1202-4509-9889-097AF4753E6D}"/>
    <dgm:cxn modelId="{E88B4D54-0533-4170-A0D4-C0C18BD52232}" srcId="{5F298471-C820-4A8E-9831-8BAA9B0B1BB6}" destId="{F8AB23FF-AA9D-49C8-9CF3-C09F00FD7FB8}" srcOrd="3" destOrd="0" parTransId="{9F21EC89-4555-4797-8472-5147528F227A}" sibTransId="{458171BE-7524-4D29-B136-5FF430FC8562}"/>
    <dgm:cxn modelId="{1CEF8574-DF67-47F0-B301-F1A801DBC053}" type="presOf" srcId="{20E272C0-A4B9-4E1F-A38A-040FF078368E}" destId="{3FAEA378-95E5-409F-A163-F3A0BE8FFE7C}" srcOrd="0" destOrd="0" presId="urn:microsoft.com/office/officeart/2005/8/layout/lProcess1"/>
    <dgm:cxn modelId="{849AC175-A0E6-4011-9115-24F2B0D0FFE2}" type="presOf" srcId="{5F2FE742-E50C-4E83-90B1-175C95AE20D8}" destId="{3DCAFAB6-91E7-4ED8-BF23-79F941B5D028}" srcOrd="0" destOrd="0" presId="urn:microsoft.com/office/officeart/2005/8/layout/lProcess1"/>
    <dgm:cxn modelId="{F55ECF78-8B87-4B3C-BF93-3A73D21D63F4}" srcId="{671D160B-F0D9-4B69-93A6-4692A9EE91B1}" destId="{A70BF70F-795F-4815-8E29-4C8CC30AD13E}" srcOrd="1" destOrd="0" parTransId="{7F919BCF-AEF4-4211-9D00-01F7470F1BD0}" sibTransId="{5F2FE742-E50C-4E83-90B1-175C95AE20D8}"/>
    <dgm:cxn modelId="{2CC16E7C-67B3-4658-BFD8-0D422FCC881A}" type="presOf" srcId="{B4BD9585-E317-468E-BA0D-ABFB913CE84F}" destId="{66DA6301-2451-4BE0-BB01-E4B0CB4AFE36}" srcOrd="0" destOrd="0" presId="urn:microsoft.com/office/officeart/2005/8/layout/lProcess1"/>
    <dgm:cxn modelId="{41C13B7E-F551-4C8C-BEF9-EB509BADD16F}" srcId="{5F298471-C820-4A8E-9831-8BAA9B0B1BB6}" destId="{2CEAB8D1-40AB-420C-B6DC-AA537F1FCBB4}" srcOrd="1" destOrd="0" parTransId="{B4FCD015-AAE1-4976-B96A-8C633CB69178}" sibTransId="{487FE24E-64FA-4904-8B9E-6ED5B26709BA}"/>
    <dgm:cxn modelId="{5BD7E281-6A8A-42C6-B4BE-15A9F9679C9D}" type="presOf" srcId="{2CEAB8D1-40AB-420C-B6DC-AA537F1FCBB4}" destId="{48AD9DDA-94FF-42EE-87CA-DFE1CA74AC62}" srcOrd="0" destOrd="0" presId="urn:microsoft.com/office/officeart/2005/8/layout/lProcess1"/>
    <dgm:cxn modelId="{6DEC7085-07D9-4185-929C-B9BD4A898DC9}" type="presOf" srcId="{8325433D-1202-4509-9889-097AF4753E6D}" destId="{98AF3B08-3BD1-4E8D-BE66-F2263B9C3AA3}" srcOrd="0" destOrd="0" presId="urn:microsoft.com/office/officeart/2005/8/layout/lProcess1"/>
    <dgm:cxn modelId="{4C309D87-A565-467F-A508-E4BC2995DCA7}" srcId="{C706494C-861E-4D0D-88FE-81054A307A8A}" destId="{DDECDBFC-F1D5-4F58-9B2B-E31D74FA4938}" srcOrd="1" destOrd="0" parTransId="{2D2CA864-A3BD-4EBA-B826-910C3A93E2B2}" sibTransId="{D3D48DA7-1662-4583-B723-B869689E9A60}"/>
    <dgm:cxn modelId="{F5767089-2BC0-465E-92DC-662915F8AC4B}" type="presOf" srcId="{140614AE-1857-4AE7-9C09-959C76BF6BF6}" destId="{4A0CE25B-DBBD-4155-936D-292D9991752D}" srcOrd="0" destOrd="0" presId="urn:microsoft.com/office/officeart/2005/8/layout/lProcess1"/>
    <dgm:cxn modelId="{DC44E98F-83A0-48B7-9A22-C316114FE379}" type="presOf" srcId="{CDDD6048-39C9-47F9-BD05-E278EEACC666}" destId="{9F1554A7-D773-4A31-9715-2B1B470DCA5C}" srcOrd="0" destOrd="0" presId="urn:microsoft.com/office/officeart/2005/8/layout/lProcess1"/>
    <dgm:cxn modelId="{057D029A-8069-485A-AC60-87ECF1518D19}" type="presOf" srcId="{A70BF70F-795F-4815-8E29-4C8CC30AD13E}" destId="{52C5AADB-5E21-4C96-B3A7-46EB498F1B99}" srcOrd="0" destOrd="0" presId="urn:microsoft.com/office/officeart/2005/8/layout/lProcess1"/>
    <dgm:cxn modelId="{AB78429A-EA53-4D95-BD6A-0BBA31EC8B2D}" type="presOf" srcId="{60468ECE-13EA-4F56-8D59-F4EF46942099}" destId="{765EDB55-3429-4167-B3CE-949C2EEB5570}" srcOrd="0" destOrd="0" presId="urn:microsoft.com/office/officeart/2005/8/layout/lProcess1"/>
    <dgm:cxn modelId="{69E5B49F-1D85-4E0E-AC6D-773038B4774B}" type="presOf" srcId="{DDECDBFC-F1D5-4F58-9B2B-E31D74FA4938}" destId="{EA5DC386-ECB0-4B8B-AC50-001E3A7C85D3}" srcOrd="0" destOrd="0" presId="urn:microsoft.com/office/officeart/2005/8/layout/lProcess1"/>
    <dgm:cxn modelId="{B51360A2-A55B-419B-A34F-3ABDA8DE3D80}" srcId="{5F298471-C820-4A8E-9831-8BAA9B0B1BB6}" destId="{10655C3F-6700-40DB-A1DD-E9C903AD4446}" srcOrd="2" destOrd="0" parTransId="{7D9CE1AD-9E73-43F1-A294-FD1CB1D2BE51}" sibTransId="{B4BD9585-E317-468E-BA0D-ABFB913CE84F}"/>
    <dgm:cxn modelId="{E7DAA0A4-E7C0-4185-A760-BB3DE52B3C1B}" type="presOf" srcId="{FD59622F-19C2-4412-8C8B-CB45944861B3}" destId="{4D8146B1-63DE-4440-9756-4F21FBFAFA17}" srcOrd="0" destOrd="0" presId="urn:microsoft.com/office/officeart/2005/8/layout/lProcess1"/>
    <dgm:cxn modelId="{ECDF82AC-5F51-4347-9BB0-E623AFF1FB5E}" type="presOf" srcId="{72A8874C-204F-4646-A8E4-6AE10C04488C}" destId="{1255A05C-8C01-44BC-BAE0-AF1DBD93C7ED}" srcOrd="0" destOrd="0" presId="urn:microsoft.com/office/officeart/2005/8/layout/lProcess1"/>
    <dgm:cxn modelId="{BAEFC6AE-CC03-4347-8578-417A242EBA1F}" srcId="{FD59622F-19C2-4412-8C8B-CB45944861B3}" destId="{72A8874C-204F-4646-A8E4-6AE10C04488C}" srcOrd="3" destOrd="0" parTransId="{A87DA569-0FD3-4B1B-BF5A-A205E28360C0}" sibTransId="{340754F2-A675-4296-BE3E-E9133EA5D0EA}"/>
    <dgm:cxn modelId="{998947B0-AF07-4158-B0FB-7901CEA4C118}" type="presOf" srcId="{1821C359-AC6B-4605-A687-33BC08A9F22B}" destId="{B1EA5294-ABE3-4CCD-817C-B8E5AE091F6F}" srcOrd="0" destOrd="0" presId="urn:microsoft.com/office/officeart/2005/8/layout/lProcess1"/>
    <dgm:cxn modelId="{0C4037B4-54A2-4DF4-BDBC-7ED08C7BFAD9}" srcId="{5F298471-C820-4A8E-9831-8BAA9B0B1BB6}" destId="{F98B273F-2ABF-4674-A07E-2A570AE3D5BA}" srcOrd="0" destOrd="0" parTransId="{2357AC31-BBB8-41C7-A873-48E9AEB186B1}" sibTransId="{60468ECE-13EA-4F56-8D59-F4EF46942099}"/>
    <dgm:cxn modelId="{F8CFB7B5-91E3-459D-BC8C-C3991AC947C8}" type="presOf" srcId="{F3D12BBD-0167-486F-8BF9-F622388B8F1F}" destId="{C26643D9-9248-4498-9E3F-C53438609A94}" srcOrd="0" destOrd="0" presId="urn:microsoft.com/office/officeart/2005/8/layout/lProcess1"/>
    <dgm:cxn modelId="{ADEFAABB-BAD9-4E0D-99AF-9AEED904B146}" srcId="{20E272C0-A4B9-4E1F-A38A-040FF078368E}" destId="{FD59622F-19C2-4412-8C8B-CB45944861B3}" srcOrd="2" destOrd="0" parTransId="{F942620F-6D0C-4A33-A03D-B61C11AAFF3A}" sibTransId="{7943B97F-DD78-4CF6-9B44-80EFF67DA426}"/>
    <dgm:cxn modelId="{9529F1CA-A374-4B8D-80CD-FA9CF8255D63}" srcId="{C706494C-861E-4D0D-88FE-81054A307A8A}" destId="{970DD283-9A61-4760-AB34-ACC10E6A1A5C}" srcOrd="0" destOrd="0" parTransId="{6DFE22C0-3FDC-4DFC-865C-3BD86F7F288D}" sibTransId="{7B7A08A3-AC1B-4B6D-9C51-DC1065F18F77}"/>
    <dgm:cxn modelId="{244980CE-3A60-4A0C-A3F0-D0FE5DB101FC}" type="presOf" srcId="{6DFE22C0-3FDC-4DFC-865C-3BD86F7F288D}" destId="{2C036752-E8C2-4AB0-A331-685BA778DBC3}" srcOrd="0" destOrd="0" presId="urn:microsoft.com/office/officeart/2005/8/layout/lProcess1"/>
    <dgm:cxn modelId="{3387D8CE-7F78-428A-A0D8-F5F2D250FA03}" type="presOf" srcId="{28A7B730-BD9E-420F-8735-161BD25CD875}" destId="{BA2BDA4A-940E-4736-B9FF-52B3224C853A}" srcOrd="0" destOrd="0" presId="urn:microsoft.com/office/officeart/2005/8/layout/lProcess1"/>
    <dgm:cxn modelId="{4C4ADED1-FEE0-41DC-ACD8-644B198F21E6}" type="presOf" srcId="{2A1DE779-9337-42A3-B2A6-10CD347CDB31}" destId="{533B8EC3-E0E1-4879-AA11-70246F3A0111}" srcOrd="0" destOrd="0" presId="urn:microsoft.com/office/officeart/2005/8/layout/lProcess1"/>
    <dgm:cxn modelId="{4642DED3-7A9B-43AD-8F2D-47E84FE7469C}" type="presOf" srcId="{F8AB23FF-AA9D-49C8-9CF3-C09F00FD7FB8}" destId="{0EBAB77D-7B81-4D8F-8999-E886433DB866}" srcOrd="0" destOrd="0" presId="urn:microsoft.com/office/officeart/2005/8/layout/lProcess1"/>
    <dgm:cxn modelId="{4517A4DC-F15D-4EB8-9CB0-FBDD850F8E10}" type="presOf" srcId="{10655C3F-6700-40DB-A1DD-E9C903AD4446}" destId="{7F936025-E700-4E2E-B019-9518291498AC}" srcOrd="0" destOrd="0" presId="urn:microsoft.com/office/officeart/2005/8/layout/lProcess1"/>
    <dgm:cxn modelId="{65CAC0E4-4095-4708-86D0-0881FAD1DE16}" type="presOf" srcId="{D3D48DA7-1662-4583-B723-B869689E9A60}" destId="{3D97D9B3-1FE1-481F-A106-B62F18A4B41F}" srcOrd="0" destOrd="0" presId="urn:microsoft.com/office/officeart/2005/8/layout/lProcess1"/>
    <dgm:cxn modelId="{4385DBE4-4D4A-4CE0-BEC6-581888082588}" srcId="{20E272C0-A4B9-4E1F-A38A-040FF078368E}" destId="{5F298471-C820-4A8E-9831-8BAA9B0B1BB6}" srcOrd="3" destOrd="0" parTransId="{8A425D38-C653-4986-A765-677663F468CD}" sibTransId="{13D19583-D449-4CE9-A31B-9B19AF9E2F85}"/>
    <dgm:cxn modelId="{DC3B42E5-D824-4B77-89E1-39B8A7FB8AA4}" srcId="{671D160B-F0D9-4B69-93A6-4692A9EE91B1}" destId="{F3D12BBD-0167-486F-8BF9-F622388B8F1F}" srcOrd="0" destOrd="0" parTransId="{1821C359-AC6B-4605-A687-33BC08A9F22B}" sibTransId="{CDDD6048-39C9-47F9-BD05-E278EEACC666}"/>
    <dgm:cxn modelId="{15A091E5-28A2-418F-BA59-08735D58E322}" type="presOf" srcId="{C42ACC53-685A-422C-810E-95E358A73371}" destId="{9DC1E813-746E-4297-88F2-B908D9F12FFF}" srcOrd="0" destOrd="0" presId="urn:microsoft.com/office/officeart/2005/8/layout/lProcess1"/>
    <dgm:cxn modelId="{C5407EEC-B5C7-4D6A-AAEE-823D10FC2F68}" type="presOf" srcId="{C6FB5434-C826-4274-A393-142F7924BD26}" destId="{D27C9717-424E-4492-A032-BFF72822CF5E}" srcOrd="0" destOrd="0" presId="urn:microsoft.com/office/officeart/2005/8/layout/lProcess1"/>
    <dgm:cxn modelId="{5AEDABEC-40FB-4089-B1C7-6E764401FC0F}" type="presOf" srcId="{671D160B-F0D9-4B69-93A6-4692A9EE91B1}" destId="{16A59B07-7D61-40FE-A416-5463708BF9DA}" srcOrd="0" destOrd="0" presId="urn:microsoft.com/office/officeart/2005/8/layout/lProcess1"/>
    <dgm:cxn modelId="{0A3677ED-17D4-4384-9843-13EF9568B88E}" srcId="{FD59622F-19C2-4412-8C8B-CB45944861B3}" destId="{28A7B730-BD9E-420F-8735-161BD25CD875}" srcOrd="2" destOrd="0" parTransId="{051F6370-245F-40D2-BFAF-DDF385369C82}" sibTransId="{E56AB24D-9F0A-4530-ACE1-5999B931D999}"/>
    <dgm:cxn modelId="{9FEC73EE-56EC-4B0B-B4DB-22DA302DFB48}" type="presOf" srcId="{2357AC31-BBB8-41C7-A873-48E9AEB186B1}" destId="{0F5A2E72-1A91-4293-AD34-F53E7B51B8E0}" srcOrd="0" destOrd="0" presId="urn:microsoft.com/office/officeart/2005/8/layout/lProcess1"/>
    <dgm:cxn modelId="{3EA9AAF0-ECF5-483F-8794-B32BE1170C6D}" srcId="{FD59622F-19C2-4412-8C8B-CB45944861B3}" destId="{2A1DE779-9337-42A3-B2A6-10CD347CDB31}" srcOrd="0" destOrd="0" parTransId="{86BC6C9C-BCBC-45FF-9DE5-FA96A524D152}" sibTransId="{7497DF7A-4708-47DF-9CB6-1B5369B277C8}"/>
    <dgm:cxn modelId="{BF5FB6F3-2AAC-4B59-8427-3CCA1E6F2969}" type="presOf" srcId="{F98B273F-2ABF-4674-A07E-2A570AE3D5BA}" destId="{64C38EC1-6716-479B-9C9B-92AA58D434BF}" srcOrd="0" destOrd="0" presId="urn:microsoft.com/office/officeart/2005/8/layout/lProcess1"/>
    <dgm:cxn modelId="{280766FD-9B5B-41AB-BBDB-AD989BB53002}" type="presOf" srcId="{7497DF7A-4708-47DF-9CB6-1B5369B277C8}" destId="{F702DFE2-CB81-4232-B912-74C91F950108}" srcOrd="0" destOrd="0" presId="urn:microsoft.com/office/officeart/2005/8/layout/lProcess1"/>
    <dgm:cxn modelId="{01A216A4-6408-4B6B-A5CB-7C204E930085}" type="presParOf" srcId="{3FAEA378-95E5-409F-A163-F3A0BE8FFE7C}" destId="{2B0A320F-F88B-4A61-BD85-C3DF770A8C98}" srcOrd="0" destOrd="0" presId="urn:microsoft.com/office/officeart/2005/8/layout/lProcess1"/>
    <dgm:cxn modelId="{6691005B-D90A-430C-A1C5-69DCBF8565B5}" type="presParOf" srcId="{2B0A320F-F88B-4A61-BD85-C3DF770A8C98}" destId="{16A59B07-7D61-40FE-A416-5463708BF9DA}" srcOrd="0" destOrd="0" presId="urn:microsoft.com/office/officeart/2005/8/layout/lProcess1"/>
    <dgm:cxn modelId="{456683FC-4B97-4CD4-8F04-E1E8D730742D}" type="presParOf" srcId="{2B0A320F-F88B-4A61-BD85-C3DF770A8C98}" destId="{B1EA5294-ABE3-4CCD-817C-B8E5AE091F6F}" srcOrd="1" destOrd="0" presId="urn:microsoft.com/office/officeart/2005/8/layout/lProcess1"/>
    <dgm:cxn modelId="{6C03C7A1-2D46-45D9-80FF-F2FD6BB6CA98}" type="presParOf" srcId="{2B0A320F-F88B-4A61-BD85-C3DF770A8C98}" destId="{C26643D9-9248-4498-9E3F-C53438609A94}" srcOrd="2" destOrd="0" presId="urn:microsoft.com/office/officeart/2005/8/layout/lProcess1"/>
    <dgm:cxn modelId="{1FD08B29-04E5-4C24-8D11-F20578501319}" type="presParOf" srcId="{2B0A320F-F88B-4A61-BD85-C3DF770A8C98}" destId="{9F1554A7-D773-4A31-9715-2B1B470DCA5C}" srcOrd="3" destOrd="0" presId="urn:microsoft.com/office/officeart/2005/8/layout/lProcess1"/>
    <dgm:cxn modelId="{F8A9413F-5DEA-4037-BA79-3CB50C393E93}" type="presParOf" srcId="{2B0A320F-F88B-4A61-BD85-C3DF770A8C98}" destId="{52C5AADB-5E21-4C96-B3A7-46EB498F1B99}" srcOrd="4" destOrd="0" presId="urn:microsoft.com/office/officeart/2005/8/layout/lProcess1"/>
    <dgm:cxn modelId="{A146A843-6A54-472D-AFD7-6AD9AA7C2783}" type="presParOf" srcId="{2B0A320F-F88B-4A61-BD85-C3DF770A8C98}" destId="{3DCAFAB6-91E7-4ED8-BF23-79F941B5D028}" srcOrd="5" destOrd="0" presId="urn:microsoft.com/office/officeart/2005/8/layout/lProcess1"/>
    <dgm:cxn modelId="{556AD058-AEB0-40C8-8828-8AFA1F55AE5D}" type="presParOf" srcId="{2B0A320F-F88B-4A61-BD85-C3DF770A8C98}" destId="{D713AA69-76B6-41FA-8713-7499C8328108}" srcOrd="6" destOrd="0" presId="urn:microsoft.com/office/officeart/2005/8/layout/lProcess1"/>
    <dgm:cxn modelId="{F169FA59-693D-422C-A2F1-B558E313C94F}" type="presParOf" srcId="{2B0A320F-F88B-4A61-BD85-C3DF770A8C98}" destId="{1B6D6B72-695C-4D12-B0DD-CA8FFEAFF87D}" srcOrd="7" destOrd="0" presId="urn:microsoft.com/office/officeart/2005/8/layout/lProcess1"/>
    <dgm:cxn modelId="{0BDE7D21-24D6-496F-8225-BA0BE7F71798}" type="presParOf" srcId="{2B0A320F-F88B-4A61-BD85-C3DF770A8C98}" destId="{4A0CE25B-DBBD-4155-936D-292D9991752D}" srcOrd="8" destOrd="0" presId="urn:microsoft.com/office/officeart/2005/8/layout/lProcess1"/>
    <dgm:cxn modelId="{EDAFADCC-12BA-4966-B630-7DC1A0989DBC}" type="presParOf" srcId="{3FAEA378-95E5-409F-A163-F3A0BE8FFE7C}" destId="{6B7C2D96-371A-4056-A771-F69F563BEA7F}" srcOrd="1" destOrd="0" presId="urn:microsoft.com/office/officeart/2005/8/layout/lProcess1"/>
    <dgm:cxn modelId="{1F064B0C-9B03-406A-AA18-5EBFC0137804}" type="presParOf" srcId="{3FAEA378-95E5-409F-A163-F3A0BE8FFE7C}" destId="{F450D2F8-295B-4F07-B1F4-9A534997308A}" srcOrd="2" destOrd="0" presId="urn:microsoft.com/office/officeart/2005/8/layout/lProcess1"/>
    <dgm:cxn modelId="{113FC5D6-E360-4448-9CFF-7A08D61A5EC8}" type="presParOf" srcId="{F450D2F8-295B-4F07-B1F4-9A534997308A}" destId="{BA01AF46-BC3E-4B0D-9CA3-D34ED2662C4B}" srcOrd="0" destOrd="0" presId="urn:microsoft.com/office/officeart/2005/8/layout/lProcess1"/>
    <dgm:cxn modelId="{3F6788FC-F3E4-4F63-B7EC-AFDFBD3AB2A4}" type="presParOf" srcId="{F450D2F8-295B-4F07-B1F4-9A534997308A}" destId="{2C036752-E8C2-4AB0-A331-685BA778DBC3}" srcOrd="1" destOrd="0" presId="urn:microsoft.com/office/officeart/2005/8/layout/lProcess1"/>
    <dgm:cxn modelId="{99417C8F-AFA4-4029-BC5A-DAE276D490AE}" type="presParOf" srcId="{F450D2F8-295B-4F07-B1F4-9A534997308A}" destId="{EAD9E582-B236-4409-9ED1-9072D56AD35B}" srcOrd="2" destOrd="0" presId="urn:microsoft.com/office/officeart/2005/8/layout/lProcess1"/>
    <dgm:cxn modelId="{0A0D923C-F492-45D6-94D1-04A09232D323}" type="presParOf" srcId="{F450D2F8-295B-4F07-B1F4-9A534997308A}" destId="{5425150E-748E-4608-AA91-2C526749B42E}" srcOrd="3" destOrd="0" presId="urn:microsoft.com/office/officeart/2005/8/layout/lProcess1"/>
    <dgm:cxn modelId="{48E13445-C49E-48CF-B413-7E8B52FA55C2}" type="presParOf" srcId="{F450D2F8-295B-4F07-B1F4-9A534997308A}" destId="{EA5DC386-ECB0-4B8B-AC50-001E3A7C85D3}" srcOrd="4" destOrd="0" presId="urn:microsoft.com/office/officeart/2005/8/layout/lProcess1"/>
    <dgm:cxn modelId="{583DFB68-0C55-4A45-B057-15E2F4A0159A}" type="presParOf" srcId="{F450D2F8-295B-4F07-B1F4-9A534997308A}" destId="{3D97D9B3-1FE1-481F-A106-B62F18A4B41F}" srcOrd="5" destOrd="0" presId="urn:microsoft.com/office/officeart/2005/8/layout/lProcess1"/>
    <dgm:cxn modelId="{8D8DCB0E-7EFF-48D0-8EEF-2B296A12E020}" type="presParOf" srcId="{F450D2F8-295B-4F07-B1F4-9A534997308A}" destId="{9DC1E813-746E-4297-88F2-B908D9F12FFF}" srcOrd="6" destOrd="0" presId="urn:microsoft.com/office/officeart/2005/8/layout/lProcess1"/>
    <dgm:cxn modelId="{5C08F790-41C2-4E1B-87C6-12009F0A4ECF}" type="presParOf" srcId="{F450D2F8-295B-4F07-B1F4-9A534997308A}" destId="{FCF404A6-4E25-410E-BF94-CAA3BCCCB251}" srcOrd="7" destOrd="0" presId="urn:microsoft.com/office/officeart/2005/8/layout/lProcess1"/>
    <dgm:cxn modelId="{31228D37-970F-42DF-B5BF-D65696208D70}" type="presParOf" srcId="{F450D2F8-295B-4F07-B1F4-9A534997308A}" destId="{DC78228F-F9E5-442D-9A60-5C135121289D}" srcOrd="8" destOrd="0" presId="urn:microsoft.com/office/officeart/2005/8/layout/lProcess1"/>
    <dgm:cxn modelId="{D625DDC8-9EB4-4C73-93F1-38183D0D2FDF}" type="presParOf" srcId="{3FAEA378-95E5-409F-A163-F3A0BE8FFE7C}" destId="{2608AE28-AF80-4117-8A88-A92BA93F805E}" srcOrd="3" destOrd="0" presId="urn:microsoft.com/office/officeart/2005/8/layout/lProcess1"/>
    <dgm:cxn modelId="{D1553E20-BCA5-4A1A-9520-19F76949351D}" type="presParOf" srcId="{3FAEA378-95E5-409F-A163-F3A0BE8FFE7C}" destId="{DC07CDE5-314E-4CF8-91DA-5F85FE6B4AE4}" srcOrd="4" destOrd="0" presId="urn:microsoft.com/office/officeart/2005/8/layout/lProcess1"/>
    <dgm:cxn modelId="{145E50D8-084E-40E5-9F6E-40AB76E69677}" type="presParOf" srcId="{DC07CDE5-314E-4CF8-91DA-5F85FE6B4AE4}" destId="{4D8146B1-63DE-4440-9756-4F21FBFAFA17}" srcOrd="0" destOrd="0" presId="urn:microsoft.com/office/officeart/2005/8/layout/lProcess1"/>
    <dgm:cxn modelId="{80558923-EDD3-4F77-9A32-7629DEBE0374}" type="presParOf" srcId="{DC07CDE5-314E-4CF8-91DA-5F85FE6B4AE4}" destId="{84691F6A-FCBA-42A1-A2B8-CF5809FF613F}" srcOrd="1" destOrd="0" presId="urn:microsoft.com/office/officeart/2005/8/layout/lProcess1"/>
    <dgm:cxn modelId="{081439FA-DECF-448A-B8A4-62C033A2D3C2}" type="presParOf" srcId="{DC07CDE5-314E-4CF8-91DA-5F85FE6B4AE4}" destId="{533B8EC3-E0E1-4879-AA11-70246F3A0111}" srcOrd="2" destOrd="0" presId="urn:microsoft.com/office/officeart/2005/8/layout/lProcess1"/>
    <dgm:cxn modelId="{3D15D5C3-15F6-48D4-B475-EDA3FF556AD3}" type="presParOf" srcId="{DC07CDE5-314E-4CF8-91DA-5F85FE6B4AE4}" destId="{F702DFE2-CB81-4232-B912-74C91F950108}" srcOrd="3" destOrd="0" presId="urn:microsoft.com/office/officeart/2005/8/layout/lProcess1"/>
    <dgm:cxn modelId="{49B55514-9274-4279-98FC-2A43CFB7D40A}" type="presParOf" srcId="{DC07CDE5-314E-4CF8-91DA-5F85FE6B4AE4}" destId="{D27C9717-424E-4492-A032-BFF72822CF5E}" srcOrd="4" destOrd="0" presId="urn:microsoft.com/office/officeart/2005/8/layout/lProcess1"/>
    <dgm:cxn modelId="{CE85105E-CFC7-49FB-8C76-1BF2983A7193}" type="presParOf" srcId="{DC07CDE5-314E-4CF8-91DA-5F85FE6B4AE4}" destId="{98AF3B08-3BD1-4E8D-BE66-F2263B9C3AA3}" srcOrd="5" destOrd="0" presId="urn:microsoft.com/office/officeart/2005/8/layout/lProcess1"/>
    <dgm:cxn modelId="{573332D6-F458-4E63-85D1-54BA9541C915}" type="presParOf" srcId="{DC07CDE5-314E-4CF8-91DA-5F85FE6B4AE4}" destId="{BA2BDA4A-940E-4736-B9FF-52B3224C853A}" srcOrd="6" destOrd="0" presId="urn:microsoft.com/office/officeart/2005/8/layout/lProcess1"/>
    <dgm:cxn modelId="{FA0446D1-8ACC-49ED-BED8-F0D30EA02B66}" type="presParOf" srcId="{DC07CDE5-314E-4CF8-91DA-5F85FE6B4AE4}" destId="{23FC4450-3750-4444-B627-C619B16A64F7}" srcOrd="7" destOrd="0" presId="urn:microsoft.com/office/officeart/2005/8/layout/lProcess1"/>
    <dgm:cxn modelId="{BCC13BDF-BF7D-4CAF-B497-EFE2F437576B}" type="presParOf" srcId="{DC07CDE5-314E-4CF8-91DA-5F85FE6B4AE4}" destId="{1255A05C-8C01-44BC-BAE0-AF1DBD93C7ED}" srcOrd="8" destOrd="0" presId="urn:microsoft.com/office/officeart/2005/8/layout/lProcess1"/>
    <dgm:cxn modelId="{A48AF226-5BA2-4307-9C40-5849FFCB872F}" type="presParOf" srcId="{3FAEA378-95E5-409F-A163-F3A0BE8FFE7C}" destId="{F02688F4-6B78-4AE4-A001-A615E53481C9}" srcOrd="5" destOrd="0" presId="urn:microsoft.com/office/officeart/2005/8/layout/lProcess1"/>
    <dgm:cxn modelId="{AB4AE1FE-E5B5-4B6C-BEE7-CB692570A518}" type="presParOf" srcId="{3FAEA378-95E5-409F-A163-F3A0BE8FFE7C}" destId="{53D02611-39DA-4335-B3DE-8F813AD65BE0}" srcOrd="6" destOrd="0" presId="urn:microsoft.com/office/officeart/2005/8/layout/lProcess1"/>
    <dgm:cxn modelId="{3F517419-4EAB-4E5A-BD3F-A33E10741744}" type="presParOf" srcId="{53D02611-39DA-4335-B3DE-8F813AD65BE0}" destId="{3C27F53E-87F5-4653-9DFF-656D857D4463}" srcOrd="0" destOrd="0" presId="urn:microsoft.com/office/officeart/2005/8/layout/lProcess1"/>
    <dgm:cxn modelId="{C707EFFA-5D92-48CA-8449-4A1278A16DCF}" type="presParOf" srcId="{53D02611-39DA-4335-B3DE-8F813AD65BE0}" destId="{0F5A2E72-1A91-4293-AD34-F53E7B51B8E0}" srcOrd="1" destOrd="0" presId="urn:microsoft.com/office/officeart/2005/8/layout/lProcess1"/>
    <dgm:cxn modelId="{02374ECB-968D-48B4-B137-DAB34F8FCD25}" type="presParOf" srcId="{53D02611-39DA-4335-B3DE-8F813AD65BE0}" destId="{64C38EC1-6716-479B-9C9B-92AA58D434BF}" srcOrd="2" destOrd="0" presId="urn:microsoft.com/office/officeart/2005/8/layout/lProcess1"/>
    <dgm:cxn modelId="{5FF2923B-7E92-4E51-BA49-3982727EBAA1}" type="presParOf" srcId="{53D02611-39DA-4335-B3DE-8F813AD65BE0}" destId="{765EDB55-3429-4167-B3CE-949C2EEB5570}" srcOrd="3" destOrd="0" presId="urn:microsoft.com/office/officeart/2005/8/layout/lProcess1"/>
    <dgm:cxn modelId="{160FA8E6-DCC7-49A6-811D-4833A4336CD8}" type="presParOf" srcId="{53D02611-39DA-4335-B3DE-8F813AD65BE0}" destId="{48AD9DDA-94FF-42EE-87CA-DFE1CA74AC62}" srcOrd="4" destOrd="0" presId="urn:microsoft.com/office/officeart/2005/8/layout/lProcess1"/>
    <dgm:cxn modelId="{25D848EE-3AA7-495C-B601-A5D119E0989B}" type="presParOf" srcId="{53D02611-39DA-4335-B3DE-8F813AD65BE0}" destId="{B6925D9D-F9F6-40FE-8BE4-9CC7E4F5EB47}" srcOrd="5" destOrd="0" presId="urn:microsoft.com/office/officeart/2005/8/layout/lProcess1"/>
    <dgm:cxn modelId="{930C3A08-C6D1-4FF7-8594-5C8B0A241BE1}" type="presParOf" srcId="{53D02611-39DA-4335-B3DE-8F813AD65BE0}" destId="{7F936025-E700-4E2E-B019-9518291498AC}" srcOrd="6" destOrd="0" presId="urn:microsoft.com/office/officeart/2005/8/layout/lProcess1"/>
    <dgm:cxn modelId="{3012314E-022A-49A4-9946-F23D909FA03A}" type="presParOf" srcId="{53D02611-39DA-4335-B3DE-8F813AD65BE0}" destId="{66DA6301-2451-4BE0-BB01-E4B0CB4AFE36}" srcOrd="7" destOrd="0" presId="urn:microsoft.com/office/officeart/2005/8/layout/lProcess1"/>
    <dgm:cxn modelId="{FFE51F74-CCC4-4D36-A1C6-A86008B4B6A0}" type="presParOf" srcId="{53D02611-39DA-4335-B3DE-8F813AD65BE0}" destId="{0EBAB77D-7B81-4D8F-8999-E886433DB866}" srcOrd="8" destOrd="0" presId="urn:microsoft.com/office/officeart/2005/8/layout/l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59B07-7D61-40FE-A416-5463708BF9DA}">
      <dsp:nvSpPr>
        <dsp:cNvPr id="0" name=""/>
        <dsp:cNvSpPr/>
      </dsp:nvSpPr>
      <dsp:spPr>
        <a:xfrm>
          <a:off x="121862" y="0"/>
          <a:ext cx="1289564" cy="91336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Universe of EHS/HS programs from PIR or HSES</a:t>
          </a:r>
        </a:p>
      </dsp:txBody>
      <dsp:txXfrm>
        <a:off x="148614" y="26752"/>
        <a:ext cx="1236060" cy="859862"/>
      </dsp:txXfrm>
    </dsp:sp>
    <dsp:sp modelId="{B1EA5294-ABE3-4CCD-817C-B8E5AE091F6F}">
      <dsp:nvSpPr>
        <dsp:cNvPr id="0" name=""/>
        <dsp:cNvSpPr/>
      </dsp:nvSpPr>
      <dsp:spPr>
        <a:xfrm rot="5400000">
          <a:off x="738432" y="941580"/>
          <a:ext cx="56423" cy="56418"/>
        </a:xfrm>
        <a:prstGeom prst="rightArrow">
          <a:avLst>
            <a:gd name="adj1" fmla="val 667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6643D9-9248-4498-9E3F-C53438609A94}">
      <dsp:nvSpPr>
        <dsp:cNvPr id="0" name=""/>
        <dsp:cNvSpPr/>
      </dsp:nvSpPr>
      <dsp:spPr>
        <a:xfrm>
          <a:off x="121862" y="1026213"/>
          <a:ext cx="1289564" cy="322391"/>
        </a:xfrm>
        <a:prstGeom prst="roundRect">
          <a:avLst>
            <a:gd name="adj" fmla="val 1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Total unique directors</a:t>
          </a:r>
        </a:p>
      </dsp:txBody>
      <dsp:txXfrm>
        <a:off x="131305" y="1035656"/>
        <a:ext cx="1270678" cy="303505"/>
      </dsp:txXfrm>
    </dsp:sp>
    <dsp:sp modelId="{9F1554A7-D773-4A31-9715-2B1B470DCA5C}">
      <dsp:nvSpPr>
        <dsp:cNvPr id="0" name=""/>
        <dsp:cNvSpPr/>
      </dsp:nvSpPr>
      <dsp:spPr>
        <a:xfrm rot="5400000">
          <a:off x="738435" y="1376814"/>
          <a:ext cx="56418" cy="56418"/>
        </a:xfrm>
        <a:prstGeom prst="rightArrow">
          <a:avLst>
            <a:gd name="adj1" fmla="val 66700"/>
            <a:gd name="adj2" fmla="val 50000"/>
          </a:avLst>
        </a:prstGeom>
        <a:solidFill>
          <a:schemeClr val="accent5">
            <a:hueOff val="-490223"/>
            <a:satOff val="-682"/>
            <a:lumOff val="-2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C5AADB-5E21-4C96-B3A7-46EB498F1B99}">
      <dsp:nvSpPr>
        <dsp:cNvPr id="0" name=""/>
        <dsp:cNvSpPr/>
      </dsp:nvSpPr>
      <dsp:spPr>
        <a:xfrm>
          <a:off x="121862" y="1461442"/>
          <a:ext cx="1289564" cy="322391"/>
        </a:xfrm>
        <a:prstGeom prst="roundRect">
          <a:avLst>
            <a:gd name="adj" fmla="val 10000"/>
          </a:avLst>
        </a:prstGeom>
        <a:solidFill>
          <a:schemeClr val="accent5">
            <a:tint val="40000"/>
            <a:alpha val="90000"/>
            <a:hueOff val="-492784"/>
            <a:satOff val="-854"/>
            <a:lumOff val="-86"/>
            <a:alphaOff val="0"/>
          </a:schemeClr>
        </a:solidFill>
        <a:ln w="12700" cap="flat" cmpd="sng" algn="ctr">
          <a:solidFill>
            <a:schemeClr val="accent5">
              <a:tint val="40000"/>
              <a:alpha val="90000"/>
              <a:hueOff val="-492784"/>
              <a:satOff val="-854"/>
              <a:lumOff val="-8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1: Director completes</a:t>
          </a:r>
        </a:p>
      </dsp:txBody>
      <dsp:txXfrm>
        <a:off x="131305" y="1470885"/>
        <a:ext cx="1270678" cy="303505"/>
      </dsp:txXfrm>
    </dsp:sp>
    <dsp:sp modelId="{3DCAFAB6-91E7-4ED8-BF23-79F941B5D028}">
      <dsp:nvSpPr>
        <dsp:cNvPr id="0" name=""/>
        <dsp:cNvSpPr/>
      </dsp:nvSpPr>
      <dsp:spPr>
        <a:xfrm rot="5400000">
          <a:off x="738435" y="1812042"/>
          <a:ext cx="56418" cy="56418"/>
        </a:xfrm>
        <a:prstGeom prst="rightArrow">
          <a:avLst>
            <a:gd name="adj1" fmla="val 66700"/>
            <a:gd name="adj2" fmla="val 50000"/>
          </a:avLst>
        </a:prstGeom>
        <a:solidFill>
          <a:schemeClr val="accent5">
            <a:hueOff val="-980446"/>
            <a:satOff val="-1364"/>
            <a:lumOff val="-52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13AA69-76B6-41FA-8713-7499C8328108}">
      <dsp:nvSpPr>
        <dsp:cNvPr id="0" name=""/>
        <dsp:cNvSpPr/>
      </dsp:nvSpPr>
      <dsp:spPr>
        <a:xfrm>
          <a:off x="121862" y="1896670"/>
          <a:ext cx="1289564" cy="322391"/>
        </a:xfrm>
        <a:prstGeom prst="roundRect">
          <a:avLst>
            <a:gd name="adj" fmla="val 10000"/>
          </a:avLst>
        </a:prstGeom>
        <a:solidFill>
          <a:schemeClr val="accent5">
            <a:tint val="40000"/>
            <a:alpha val="90000"/>
            <a:hueOff val="-985567"/>
            <a:satOff val="-1709"/>
            <a:lumOff val="-172"/>
            <a:alphaOff val="0"/>
          </a:schemeClr>
        </a:solidFill>
        <a:ln w="12700" cap="flat" cmpd="sng" algn="ctr">
          <a:solidFill>
            <a:schemeClr val="accent5">
              <a:tint val="40000"/>
              <a:alpha val="90000"/>
              <a:hueOff val="-985567"/>
              <a:satOff val="-1709"/>
              <a:lumOff val="-17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Unique managers referred by directors</a:t>
          </a:r>
        </a:p>
      </dsp:txBody>
      <dsp:txXfrm>
        <a:off x="131305" y="1906113"/>
        <a:ext cx="1270678" cy="303505"/>
      </dsp:txXfrm>
    </dsp:sp>
    <dsp:sp modelId="{1B6D6B72-695C-4D12-B0DD-CA8FFEAFF87D}">
      <dsp:nvSpPr>
        <dsp:cNvPr id="0" name=""/>
        <dsp:cNvSpPr/>
      </dsp:nvSpPr>
      <dsp:spPr>
        <a:xfrm rot="5400000">
          <a:off x="738435" y="2247270"/>
          <a:ext cx="56418" cy="56418"/>
        </a:xfrm>
        <a:prstGeom prst="rightArrow">
          <a:avLst>
            <a:gd name="adj1" fmla="val 66700"/>
            <a:gd name="adj2" fmla="val 50000"/>
          </a:avLst>
        </a:prstGeom>
        <a:solidFill>
          <a:schemeClr val="accent5">
            <a:hueOff val="-1470669"/>
            <a:satOff val="-2046"/>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0CE25B-DBBD-4155-936D-292D9991752D}">
      <dsp:nvSpPr>
        <dsp:cNvPr id="0" name=""/>
        <dsp:cNvSpPr/>
      </dsp:nvSpPr>
      <dsp:spPr>
        <a:xfrm>
          <a:off x="121862" y="2331898"/>
          <a:ext cx="1289564" cy="322391"/>
        </a:xfrm>
        <a:prstGeom prst="roundRect">
          <a:avLst>
            <a:gd name="adj" fmla="val 10000"/>
          </a:avLst>
        </a:prstGeom>
        <a:solidFill>
          <a:schemeClr val="accent5">
            <a:tint val="40000"/>
            <a:alpha val="90000"/>
            <a:hueOff val="-1478351"/>
            <a:satOff val="-2563"/>
            <a:lumOff val="-258"/>
            <a:alphaOff val="0"/>
          </a:schemeClr>
        </a:solidFill>
        <a:ln w="12700" cap="flat" cmpd="sng" algn="ctr">
          <a:solidFill>
            <a:schemeClr val="accent5">
              <a:tint val="40000"/>
              <a:alpha val="90000"/>
              <a:hueOff val="-1478351"/>
              <a:satOff val="-2563"/>
              <a:lumOff val="-2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Phase 2: Manager completes</a:t>
          </a:r>
        </a:p>
      </dsp:txBody>
      <dsp:txXfrm>
        <a:off x="131305" y="2341341"/>
        <a:ext cx="1270678" cy="303505"/>
      </dsp:txXfrm>
    </dsp:sp>
    <dsp:sp modelId="{BA01AF46-BC3E-4B0D-9CA3-D34ED2662C4B}">
      <dsp:nvSpPr>
        <dsp:cNvPr id="0" name=""/>
        <dsp:cNvSpPr/>
      </dsp:nvSpPr>
      <dsp:spPr>
        <a:xfrm>
          <a:off x="1591965" y="0"/>
          <a:ext cx="1289564" cy="913366"/>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Completed S:udy: </a:t>
          </a:r>
        </a:p>
        <a:p>
          <a:pPr marL="0" lvl="0" indent="0" algn="ctr" defTabSz="444500">
            <a:lnSpc>
              <a:spcPct val="90000"/>
            </a:lnSpc>
            <a:spcBef>
              <a:spcPct val="0"/>
            </a:spcBef>
            <a:spcAft>
              <a:spcPct val="35000"/>
            </a:spcAft>
            <a:buNone/>
          </a:pPr>
          <a:r>
            <a:rPr lang="en-US" sz="1000" b="1" kern="1200">
              <a:latin typeface="Arial Narrow" panose="020B0606020202030204" pitchFamily="34" charset="0"/>
            </a:rPr>
            <a:t>HSHM - Sampled using 2012 PIR</a:t>
          </a:r>
        </a:p>
      </dsp:txBody>
      <dsp:txXfrm>
        <a:off x="1618717" y="26752"/>
        <a:ext cx="1236060" cy="859862"/>
      </dsp:txXfrm>
    </dsp:sp>
    <dsp:sp modelId="{2C036752-E8C2-4AB0-A331-685BA778DBC3}">
      <dsp:nvSpPr>
        <dsp:cNvPr id="0" name=""/>
        <dsp:cNvSpPr/>
      </dsp:nvSpPr>
      <dsp:spPr>
        <a:xfrm rot="5400000">
          <a:off x="2208536" y="941580"/>
          <a:ext cx="56423" cy="56418"/>
        </a:xfrm>
        <a:prstGeom prst="rightArrow">
          <a:avLst>
            <a:gd name="adj1" fmla="val 66700"/>
            <a:gd name="adj2" fmla="val 50000"/>
          </a:avLst>
        </a:prstGeom>
        <a:solidFill>
          <a:schemeClr val="accent5">
            <a:hueOff val="-1960892"/>
            <a:satOff val="-2727"/>
            <a:lumOff val="-104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D9E582-B236-4409-9ED1-9072D56AD35B}">
      <dsp:nvSpPr>
        <dsp:cNvPr id="0" name=""/>
        <dsp:cNvSpPr/>
      </dsp:nvSpPr>
      <dsp:spPr>
        <a:xfrm>
          <a:off x="1591965" y="1026213"/>
          <a:ext cx="1289564" cy="322391"/>
        </a:xfrm>
        <a:prstGeom prst="roundRect">
          <a:avLst>
            <a:gd name="adj" fmla="val 10000"/>
          </a:avLst>
        </a:prstGeom>
        <a:solidFill>
          <a:schemeClr val="accent5">
            <a:tint val="40000"/>
            <a:alpha val="90000"/>
            <a:hueOff val="-1971135"/>
            <a:satOff val="-3418"/>
            <a:lumOff val="-344"/>
            <a:alphaOff val="0"/>
          </a:schemeClr>
        </a:solidFill>
        <a:ln w="12700" cap="flat" cmpd="sng" algn="ctr">
          <a:solidFill>
            <a:schemeClr val="accent5">
              <a:tint val="40000"/>
              <a:alpha val="90000"/>
              <a:hueOff val="-1971135"/>
              <a:satOff val="-3418"/>
              <a:lumOff val="-3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1,965</a:t>
          </a:r>
        </a:p>
      </dsp:txBody>
      <dsp:txXfrm>
        <a:off x="1601408" y="1035656"/>
        <a:ext cx="1270678" cy="303505"/>
      </dsp:txXfrm>
    </dsp:sp>
    <dsp:sp modelId="{5425150E-748E-4608-AA91-2C526749B42E}">
      <dsp:nvSpPr>
        <dsp:cNvPr id="0" name=""/>
        <dsp:cNvSpPr/>
      </dsp:nvSpPr>
      <dsp:spPr>
        <a:xfrm rot="5400000">
          <a:off x="2208538" y="1376814"/>
          <a:ext cx="56418" cy="56418"/>
        </a:xfrm>
        <a:prstGeom prst="rightArrow">
          <a:avLst>
            <a:gd name="adj1" fmla="val 66700"/>
            <a:gd name="adj2" fmla="val 50000"/>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A5DC386-ECB0-4B8B-AC50-001E3A7C85D3}">
      <dsp:nvSpPr>
        <dsp:cNvPr id="0" name=""/>
        <dsp:cNvSpPr/>
      </dsp:nvSpPr>
      <dsp:spPr>
        <a:xfrm>
          <a:off x="1591965" y="1461442"/>
          <a:ext cx="1289564" cy="322391"/>
        </a:xfrm>
        <a:prstGeom prst="roundRect">
          <a:avLst>
            <a:gd name="adj" fmla="val 10000"/>
          </a:avLst>
        </a:prstGeom>
        <a:solidFill>
          <a:schemeClr val="accent5">
            <a:tint val="40000"/>
            <a:alpha val="90000"/>
            <a:hueOff val="-2463918"/>
            <a:satOff val="-4272"/>
            <a:lumOff val="-430"/>
            <a:alphaOff val="0"/>
          </a:schemeClr>
        </a:solidFill>
        <a:ln w="12700" cap="flat" cmpd="sng" algn="ctr">
          <a:solidFill>
            <a:schemeClr val="accent5">
              <a:tint val="40000"/>
              <a:alpha val="90000"/>
              <a:hueOff val="-2463918"/>
              <a:satOff val="-4272"/>
              <a:lumOff val="-43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1,627 (83%)</a:t>
          </a:r>
        </a:p>
      </dsp:txBody>
      <dsp:txXfrm>
        <a:off x="1601408" y="1470885"/>
        <a:ext cx="1270678" cy="303505"/>
      </dsp:txXfrm>
    </dsp:sp>
    <dsp:sp modelId="{3D97D9B3-1FE1-481F-A106-B62F18A4B41F}">
      <dsp:nvSpPr>
        <dsp:cNvPr id="0" name=""/>
        <dsp:cNvSpPr/>
      </dsp:nvSpPr>
      <dsp:spPr>
        <a:xfrm rot="5400000">
          <a:off x="2208538" y="1812042"/>
          <a:ext cx="56418" cy="56418"/>
        </a:xfrm>
        <a:prstGeom prst="rightArrow">
          <a:avLst>
            <a:gd name="adj1" fmla="val 66700"/>
            <a:gd name="adj2" fmla="val 50000"/>
          </a:avLst>
        </a:prstGeom>
        <a:solidFill>
          <a:schemeClr val="accent5">
            <a:hueOff val="-2941338"/>
            <a:satOff val="-4091"/>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C1E813-746E-4297-88F2-B908D9F12FFF}">
      <dsp:nvSpPr>
        <dsp:cNvPr id="0" name=""/>
        <dsp:cNvSpPr/>
      </dsp:nvSpPr>
      <dsp:spPr>
        <a:xfrm>
          <a:off x="1591965" y="1896670"/>
          <a:ext cx="1289564" cy="322391"/>
        </a:xfrm>
        <a:prstGeom prst="roundRect">
          <a:avLst>
            <a:gd name="adj" fmla="val 10000"/>
          </a:avLst>
        </a:prstGeom>
        <a:solidFill>
          <a:schemeClr val="accent5">
            <a:tint val="40000"/>
            <a:alpha val="90000"/>
            <a:hueOff val="-2956702"/>
            <a:satOff val="-5126"/>
            <a:lumOff val="-516"/>
            <a:alphaOff val="0"/>
          </a:schemeClr>
        </a:solidFill>
        <a:ln w="12700" cap="flat" cmpd="sng" algn="ctr">
          <a:solidFill>
            <a:schemeClr val="accent5">
              <a:tint val="40000"/>
              <a:alpha val="90000"/>
              <a:hueOff val="-2956702"/>
              <a:satOff val="-5126"/>
              <a:lumOff val="-51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2,013 (1.23 managers/director)</a:t>
          </a:r>
        </a:p>
      </dsp:txBody>
      <dsp:txXfrm>
        <a:off x="1601408" y="1906113"/>
        <a:ext cx="1270678" cy="303505"/>
      </dsp:txXfrm>
    </dsp:sp>
    <dsp:sp modelId="{FCF404A6-4E25-410E-BF94-CAA3BCCCB251}">
      <dsp:nvSpPr>
        <dsp:cNvPr id="0" name=""/>
        <dsp:cNvSpPr/>
      </dsp:nvSpPr>
      <dsp:spPr>
        <a:xfrm rot="5400000">
          <a:off x="2208538" y="2247270"/>
          <a:ext cx="56418" cy="56418"/>
        </a:xfrm>
        <a:prstGeom prst="rightArrow">
          <a:avLst>
            <a:gd name="adj1" fmla="val 66700"/>
            <a:gd name="adj2" fmla="val 50000"/>
          </a:avLst>
        </a:prstGeom>
        <a:solidFill>
          <a:schemeClr val="accent5">
            <a:hueOff val="-3431561"/>
            <a:satOff val="-477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78228F-F9E5-442D-9A60-5C135121289D}">
      <dsp:nvSpPr>
        <dsp:cNvPr id="0" name=""/>
        <dsp:cNvSpPr/>
      </dsp:nvSpPr>
      <dsp:spPr>
        <a:xfrm>
          <a:off x="1591965" y="2331898"/>
          <a:ext cx="1289564" cy="322391"/>
        </a:xfrm>
        <a:prstGeom prst="roundRect">
          <a:avLst>
            <a:gd name="adj" fmla="val 10000"/>
          </a:avLst>
        </a:prstGeom>
        <a:solidFill>
          <a:schemeClr val="accent5">
            <a:tint val="40000"/>
            <a:alpha val="90000"/>
            <a:hueOff val="-3449486"/>
            <a:satOff val="-5981"/>
            <a:lumOff val="-602"/>
            <a:alphaOff val="0"/>
          </a:schemeClr>
        </a:solidFill>
        <a:ln w="12700" cap="flat" cmpd="sng" algn="ctr">
          <a:solidFill>
            <a:schemeClr val="accent5">
              <a:tint val="40000"/>
              <a:alpha val="90000"/>
              <a:hueOff val="-3449486"/>
              <a:satOff val="-5981"/>
              <a:lumOff val="-6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1,465 (73%)</a:t>
          </a:r>
        </a:p>
      </dsp:txBody>
      <dsp:txXfrm>
        <a:off x="1601408" y="2341341"/>
        <a:ext cx="1270678" cy="303505"/>
      </dsp:txXfrm>
    </dsp:sp>
    <dsp:sp modelId="{4D8146B1-63DE-4440-9756-4F21FBFAFA17}">
      <dsp:nvSpPr>
        <dsp:cNvPr id="0" name=""/>
        <dsp:cNvSpPr/>
      </dsp:nvSpPr>
      <dsp:spPr>
        <a:xfrm>
          <a:off x="3062069" y="0"/>
          <a:ext cx="1289564" cy="913366"/>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In Process Study: HS T/TA - Sampling plan developed with 2019 HSES</a:t>
          </a:r>
        </a:p>
      </dsp:txBody>
      <dsp:txXfrm>
        <a:off x="3088821" y="26752"/>
        <a:ext cx="1236060" cy="859862"/>
      </dsp:txXfrm>
    </dsp:sp>
    <dsp:sp modelId="{84691F6A-FCBA-42A1-A2B8-CF5809FF613F}">
      <dsp:nvSpPr>
        <dsp:cNvPr id="0" name=""/>
        <dsp:cNvSpPr/>
      </dsp:nvSpPr>
      <dsp:spPr>
        <a:xfrm rot="5400000">
          <a:off x="3678639" y="941580"/>
          <a:ext cx="56423" cy="56418"/>
        </a:xfrm>
        <a:prstGeom prst="rightArrow">
          <a:avLst>
            <a:gd name="adj1" fmla="val 66700"/>
            <a:gd name="adj2" fmla="val 50000"/>
          </a:avLst>
        </a:prstGeom>
        <a:solidFill>
          <a:schemeClr val="accent5">
            <a:hueOff val="-3921784"/>
            <a:satOff val="-5455"/>
            <a:lumOff val="-209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B8EC3-E0E1-4879-AA11-70246F3A0111}">
      <dsp:nvSpPr>
        <dsp:cNvPr id="0" name=""/>
        <dsp:cNvSpPr/>
      </dsp:nvSpPr>
      <dsp:spPr>
        <a:xfrm>
          <a:off x="3062069" y="1026213"/>
          <a:ext cx="1289564" cy="322391"/>
        </a:xfrm>
        <a:prstGeom prst="roundRect">
          <a:avLst>
            <a:gd name="adj" fmla="val 10000"/>
          </a:avLst>
        </a:prstGeom>
        <a:solidFill>
          <a:schemeClr val="accent5">
            <a:tint val="40000"/>
            <a:alpha val="90000"/>
            <a:hueOff val="-3942269"/>
            <a:satOff val="-6835"/>
            <a:lumOff val="-687"/>
            <a:alphaOff val="0"/>
          </a:schemeClr>
        </a:solidFill>
        <a:ln w="12700" cap="flat" cmpd="sng" algn="ctr">
          <a:solidFill>
            <a:schemeClr val="accent5">
              <a:tint val="40000"/>
              <a:alpha val="90000"/>
              <a:hueOff val="-3942269"/>
              <a:satOff val="-6835"/>
              <a:lumOff val="-68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1,600</a:t>
          </a:r>
        </a:p>
      </dsp:txBody>
      <dsp:txXfrm>
        <a:off x="3071512" y="1035656"/>
        <a:ext cx="1270678" cy="303505"/>
      </dsp:txXfrm>
    </dsp:sp>
    <dsp:sp modelId="{F702DFE2-CB81-4232-B912-74C91F950108}">
      <dsp:nvSpPr>
        <dsp:cNvPr id="0" name=""/>
        <dsp:cNvSpPr/>
      </dsp:nvSpPr>
      <dsp:spPr>
        <a:xfrm rot="5400000">
          <a:off x="3678642" y="1376814"/>
          <a:ext cx="56418" cy="56418"/>
        </a:xfrm>
        <a:prstGeom prst="rightArrow">
          <a:avLst>
            <a:gd name="adj1" fmla="val 66700"/>
            <a:gd name="adj2" fmla="val 50000"/>
          </a:avLst>
        </a:prstGeom>
        <a:solidFill>
          <a:schemeClr val="accent5">
            <a:hueOff val="-4412007"/>
            <a:satOff val="-6137"/>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7C9717-424E-4492-A032-BFF72822CF5E}">
      <dsp:nvSpPr>
        <dsp:cNvPr id="0" name=""/>
        <dsp:cNvSpPr/>
      </dsp:nvSpPr>
      <dsp:spPr>
        <a:xfrm>
          <a:off x="3062069" y="1461442"/>
          <a:ext cx="1289564" cy="322391"/>
        </a:xfrm>
        <a:prstGeom prst="roundRect">
          <a:avLst>
            <a:gd name="adj" fmla="val 10000"/>
          </a:avLst>
        </a:prstGeom>
        <a:solidFill>
          <a:schemeClr val="accent5">
            <a:tint val="40000"/>
            <a:alpha val="90000"/>
            <a:hueOff val="-4435053"/>
            <a:satOff val="-7690"/>
            <a:lumOff val="-773"/>
            <a:alphaOff val="0"/>
          </a:schemeClr>
        </a:solidFill>
        <a:ln w="12700" cap="flat" cmpd="sng" algn="ctr">
          <a:solidFill>
            <a:schemeClr val="accent5">
              <a:tint val="40000"/>
              <a:alpha val="90000"/>
              <a:hueOff val="-4435053"/>
              <a:satOff val="-7690"/>
              <a:lumOff val="-7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(75%)</a:t>
          </a:r>
        </a:p>
      </dsp:txBody>
      <dsp:txXfrm>
        <a:off x="3071512" y="1470885"/>
        <a:ext cx="1270678" cy="303505"/>
      </dsp:txXfrm>
    </dsp:sp>
    <dsp:sp modelId="{98AF3B08-3BD1-4E8D-BE66-F2263B9C3AA3}">
      <dsp:nvSpPr>
        <dsp:cNvPr id="0" name=""/>
        <dsp:cNvSpPr/>
      </dsp:nvSpPr>
      <dsp:spPr>
        <a:xfrm rot="5400000">
          <a:off x="3678642" y="1812042"/>
          <a:ext cx="56418" cy="56418"/>
        </a:xfrm>
        <a:prstGeom prst="rightArrow">
          <a:avLst>
            <a:gd name="adj1" fmla="val 66700"/>
            <a:gd name="adj2" fmla="val 50000"/>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2BDA4A-940E-4736-B9FF-52B3224C853A}">
      <dsp:nvSpPr>
        <dsp:cNvPr id="0" name=""/>
        <dsp:cNvSpPr/>
      </dsp:nvSpPr>
      <dsp:spPr>
        <a:xfrm>
          <a:off x="3062069" y="1896670"/>
          <a:ext cx="1289564" cy="322391"/>
        </a:xfrm>
        <a:prstGeom prst="roundRect">
          <a:avLst>
            <a:gd name="adj" fmla="val 10000"/>
          </a:avLst>
        </a:prstGeom>
        <a:solidFill>
          <a:schemeClr val="accent5">
            <a:tint val="40000"/>
            <a:alpha val="90000"/>
            <a:hueOff val="-4927837"/>
            <a:satOff val="-8544"/>
            <a:lumOff val="-859"/>
            <a:alphaOff val="0"/>
          </a:schemeClr>
        </a:solidFill>
        <a:ln w="12700" cap="flat" cmpd="sng" algn="ctr">
          <a:solidFill>
            <a:schemeClr val="accent5">
              <a:tint val="40000"/>
              <a:alpha val="90000"/>
              <a:hueOff val="-4927837"/>
              <a:satOff val="-8544"/>
              <a:lumOff val="-8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1,200 (1 manager/director)</a:t>
          </a:r>
        </a:p>
      </dsp:txBody>
      <dsp:txXfrm>
        <a:off x="3071512" y="1906113"/>
        <a:ext cx="1270678" cy="303505"/>
      </dsp:txXfrm>
    </dsp:sp>
    <dsp:sp modelId="{23FC4450-3750-4444-B627-C619B16A64F7}">
      <dsp:nvSpPr>
        <dsp:cNvPr id="0" name=""/>
        <dsp:cNvSpPr/>
      </dsp:nvSpPr>
      <dsp:spPr>
        <a:xfrm rot="5400000">
          <a:off x="3678642" y="2247270"/>
          <a:ext cx="56418" cy="56418"/>
        </a:xfrm>
        <a:prstGeom prst="rightArrow">
          <a:avLst>
            <a:gd name="adj1" fmla="val 66700"/>
            <a:gd name="adj2" fmla="val 50000"/>
          </a:avLst>
        </a:prstGeom>
        <a:solidFill>
          <a:schemeClr val="accent5">
            <a:hueOff val="-5392453"/>
            <a:satOff val="-7501"/>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255A05C-8C01-44BC-BAE0-AF1DBD93C7ED}">
      <dsp:nvSpPr>
        <dsp:cNvPr id="0" name=""/>
        <dsp:cNvSpPr/>
      </dsp:nvSpPr>
      <dsp:spPr>
        <a:xfrm>
          <a:off x="3062069" y="2331898"/>
          <a:ext cx="1289564" cy="322391"/>
        </a:xfrm>
        <a:prstGeom prst="roundRect">
          <a:avLst>
            <a:gd name="adj" fmla="val 10000"/>
          </a:avLst>
        </a:prstGeom>
        <a:solidFill>
          <a:schemeClr val="accent5">
            <a:tint val="40000"/>
            <a:alpha val="90000"/>
            <a:hueOff val="-5420620"/>
            <a:satOff val="-9398"/>
            <a:lumOff val="-945"/>
            <a:alphaOff val="0"/>
          </a:schemeClr>
        </a:solidFill>
        <a:ln w="12700" cap="flat" cmpd="sng" algn="ctr">
          <a:solidFill>
            <a:schemeClr val="accent5">
              <a:tint val="40000"/>
              <a:alpha val="90000"/>
              <a:hueOff val="-5420620"/>
              <a:satOff val="-9398"/>
              <a:lumOff val="-9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900 (75%)</a:t>
          </a:r>
        </a:p>
      </dsp:txBody>
      <dsp:txXfrm>
        <a:off x="3071512" y="2341341"/>
        <a:ext cx="1270678" cy="303505"/>
      </dsp:txXfrm>
    </dsp:sp>
    <dsp:sp modelId="{3C27F53E-87F5-4653-9DFF-656D857D4463}">
      <dsp:nvSpPr>
        <dsp:cNvPr id="0" name=""/>
        <dsp:cNvSpPr/>
      </dsp:nvSpPr>
      <dsp:spPr>
        <a:xfrm>
          <a:off x="4532173" y="0"/>
          <a:ext cx="1289564" cy="913366"/>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Narrow" panose="020B0606020202030204" pitchFamily="34" charset="0"/>
            </a:rPr>
            <a:t>Proposed Study of DSCs: Sampling Targets</a:t>
          </a:r>
        </a:p>
      </dsp:txBody>
      <dsp:txXfrm>
        <a:off x="4558925" y="26752"/>
        <a:ext cx="1236060" cy="859862"/>
      </dsp:txXfrm>
    </dsp:sp>
    <dsp:sp modelId="{0F5A2E72-1A91-4293-AD34-F53E7B51B8E0}">
      <dsp:nvSpPr>
        <dsp:cNvPr id="0" name=""/>
        <dsp:cNvSpPr/>
      </dsp:nvSpPr>
      <dsp:spPr>
        <a:xfrm rot="5400000">
          <a:off x="5148743" y="941580"/>
          <a:ext cx="56423" cy="56418"/>
        </a:xfrm>
        <a:prstGeom prst="rightArrow">
          <a:avLst>
            <a:gd name="adj1" fmla="val 66700"/>
            <a:gd name="adj2" fmla="val 50000"/>
          </a:avLst>
        </a:prstGeom>
        <a:solidFill>
          <a:schemeClr val="accent5">
            <a:hueOff val="-5882676"/>
            <a:satOff val="-8182"/>
            <a:lumOff val="-313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C38EC1-6716-479B-9C9B-92AA58D434BF}">
      <dsp:nvSpPr>
        <dsp:cNvPr id="0" name=""/>
        <dsp:cNvSpPr/>
      </dsp:nvSpPr>
      <dsp:spPr>
        <a:xfrm>
          <a:off x="4532173" y="1026213"/>
          <a:ext cx="1289564" cy="322391"/>
        </a:xfrm>
        <a:prstGeom prst="roundRect">
          <a:avLst>
            <a:gd name="adj" fmla="val 10000"/>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5913404"/>
              <a:satOff val="-10253"/>
              <a:lumOff val="-103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1,600</a:t>
          </a:r>
        </a:p>
      </dsp:txBody>
      <dsp:txXfrm>
        <a:off x="4541616" y="1035656"/>
        <a:ext cx="1270678" cy="303505"/>
      </dsp:txXfrm>
    </dsp:sp>
    <dsp:sp modelId="{765EDB55-3429-4167-B3CE-949C2EEB5570}">
      <dsp:nvSpPr>
        <dsp:cNvPr id="0" name=""/>
        <dsp:cNvSpPr/>
      </dsp:nvSpPr>
      <dsp:spPr>
        <a:xfrm rot="5400000">
          <a:off x="5148746" y="1376814"/>
          <a:ext cx="56418" cy="56418"/>
        </a:xfrm>
        <a:prstGeom prst="rightArrow">
          <a:avLst>
            <a:gd name="adj1" fmla="val 66700"/>
            <a:gd name="adj2" fmla="val 50000"/>
          </a:avLst>
        </a:prstGeom>
        <a:solidFill>
          <a:schemeClr val="accent5">
            <a:hueOff val="-6372898"/>
            <a:satOff val="-8864"/>
            <a:lumOff val="-339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AD9DDA-94FF-42EE-87CA-DFE1CA74AC62}">
      <dsp:nvSpPr>
        <dsp:cNvPr id="0" name=""/>
        <dsp:cNvSpPr/>
      </dsp:nvSpPr>
      <dsp:spPr>
        <a:xfrm>
          <a:off x="4532173" y="1461442"/>
          <a:ext cx="1289564" cy="322391"/>
        </a:xfrm>
        <a:prstGeom prst="roundRect">
          <a:avLst>
            <a:gd name="adj" fmla="val 10000"/>
          </a:avLst>
        </a:prstGeom>
        <a:solidFill>
          <a:schemeClr val="accent5">
            <a:tint val="40000"/>
            <a:alpha val="90000"/>
            <a:hueOff val="-6406187"/>
            <a:satOff val="-11107"/>
            <a:lumOff val="-1117"/>
            <a:alphaOff val="0"/>
          </a:schemeClr>
        </a:solidFill>
        <a:ln w="12700" cap="flat" cmpd="sng" algn="ctr">
          <a:solidFill>
            <a:schemeClr val="accent5">
              <a:tint val="40000"/>
              <a:alpha val="90000"/>
              <a:hueOff val="-6406187"/>
              <a:satOff val="-11107"/>
              <a:lumOff val="-11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75%-83%</a:t>
          </a:r>
        </a:p>
      </dsp:txBody>
      <dsp:txXfrm>
        <a:off x="4541616" y="1470885"/>
        <a:ext cx="1270678" cy="303505"/>
      </dsp:txXfrm>
    </dsp:sp>
    <dsp:sp modelId="{B6925D9D-F9F6-40FE-8BE4-9CC7E4F5EB47}">
      <dsp:nvSpPr>
        <dsp:cNvPr id="0" name=""/>
        <dsp:cNvSpPr/>
      </dsp:nvSpPr>
      <dsp:spPr>
        <a:xfrm rot="5400000">
          <a:off x="5148746" y="1812042"/>
          <a:ext cx="56418" cy="56418"/>
        </a:xfrm>
        <a:prstGeom prst="rightArrow">
          <a:avLst>
            <a:gd name="adj1" fmla="val 66700"/>
            <a:gd name="adj2" fmla="val 50000"/>
          </a:avLst>
        </a:prstGeom>
        <a:solidFill>
          <a:schemeClr val="accent5">
            <a:hueOff val="-6863122"/>
            <a:satOff val="-9546"/>
            <a:lumOff val="-36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936025-E700-4E2E-B019-9518291498AC}">
      <dsp:nvSpPr>
        <dsp:cNvPr id="0" name=""/>
        <dsp:cNvSpPr/>
      </dsp:nvSpPr>
      <dsp:spPr>
        <a:xfrm>
          <a:off x="4532173" y="1896670"/>
          <a:ext cx="1289564" cy="322391"/>
        </a:xfrm>
        <a:prstGeom prst="roundRect">
          <a:avLst>
            <a:gd name="adj" fmla="val 10000"/>
          </a:avLst>
        </a:prstGeom>
        <a:solidFill>
          <a:schemeClr val="accent5">
            <a:tint val="40000"/>
            <a:alpha val="90000"/>
            <a:hueOff val="-6898971"/>
            <a:satOff val="-11962"/>
            <a:lumOff val="-1203"/>
            <a:alphaOff val="0"/>
          </a:schemeClr>
        </a:solidFill>
        <a:ln w="12700" cap="flat" cmpd="sng" algn="ctr">
          <a:solidFill>
            <a:schemeClr val="accent5">
              <a:tint val="40000"/>
              <a:alpha val="90000"/>
              <a:hueOff val="-6898971"/>
              <a:satOff val="-11962"/>
              <a:lumOff val="-1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1-3 DSCs/director</a:t>
          </a:r>
        </a:p>
      </dsp:txBody>
      <dsp:txXfrm>
        <a:off x="4541616" y="1906113"/>
        <a:ext cx="1270678" cy="303505"/>
      </dsp:txXfrm>
    </dsp:sp>
    <dsp:sp modelId="{66DA6301-2451-4BE0-BB01-E4B0CB4AFE36}">
      <dsp:nvSpPr>
        <dsp:cNvPr id="0" name=""/>
        <dsp:cNvSpPr/>
      </dsp:nvSpPr>
      <dsp:spPr>
        <a:xfrm rot="5400000">
          <a:off x="5148746" y="2247270"/>
          <a:ext cx="56418" cy="56418"/>
        </a:xfrm>
        <a:prstGeom prst="rightArrow">
          <a:avLst>
            <a:gd name="adj1" fmla="val 667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BAB77D-7B81-4D8F-8999-E886433DB866}">
      <dsp:nvSpPr>
        <dsp:cNvPr id="0" name=""/>
        <dsp:cNvSpPr/>
      </dsp:nvSpPr>
      <dsp:spPr>
        <a:xfrm>
          <a:off x="4532173" y="2331898"/>
          <a:ext cx="1289564" cy="322391"/>
        </a:xfrm>
        <a:prstGeom prst="roundRect">
          <a:avLst>
            <a:gd name="adj" fmla="val 10000"/>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73%-75%</a:t>
          </a:r>
        </a:p>
      </dsp:txBody>
      <dsp:txXfrm>
        <a:off x="4541616" y="2341341"/>
        <a:ext cx="1270678" cy="30350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5636</Words>
  <Characters>32126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DeCourcey, Wendy (ACF)</dc:creator>
  <cp:keywords/>
  <dc:description/>
  <cp:lastModifiedBy>Jones, Molly (ACF)</cp:lastModifiedBy>
  <cp:revision>3</cp:revision>
  <dcterms:created xsi:type="dcterms:W3CDTF">2021-09-23T13:39:00Z</dcterms:created>
  <dcterms:modified xsi:type="dcterms:W3CDTF">2021-09-24T12:53:00Z</dcterms:modified>
</cp:coreProperties>
</file>