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5E42" w:rsidR="0005680D" w:rsidP="0005680D" w:rsidRDefault="0005680D" w14:paraId="7B098020" w14:textId="2D9B531D">
      <w:pPr>
        <w:tabs>
          <w:tab w:val="left" w:pos="1080"/>
        </w:tabs>
        <w:ind w:left="1080" w:hanging="1080"/>
        <w:rPr>
          <w:rFonts w:asciiTheme="minorHAnsi" w:hAnsiTheme="minorHAnsi" w:cstheme="minorHAnsi"/>
          <w:sz w:val="22"/>
          <w:szCs w:val="22"/>
        </w:rPr>
      </w:pPr>
      <w:r w:rsidRPr="00FF5E42">
        <w:rPr>
          <w:rFonts w:asciiTheme="minorHAnsi" w:hAnsiTheme="minorHAnsi" w:cstheme="minorHAnsi"/>
          <w:b/>
          <w:bCs/>
          <w:sz w:val="22"/>
          <w:szCs w:val="22"/>
        </w:rPr>
        <w:t>To:</w:t>
      </w:r>
      <w:r w:rsidRPr="00FF5E42">
        <w:rPr>
          <w:rFonts w:asciiTheme="minorHAnsi" w:hAnsiTheme="minorHAnsi" w:cstheme="minorHAnsi"/>
          <w:sz w:val="22"/>
          <w:szCs w:val="22"/>
        </w:rPr>
        <w:tab/>
      </w:r>
      <w:r w:rsidRPr="00FF5E42" w:rsidR="005A1A71">
        <w:rPr>
          <w:rFonts w:asciiTheme="minorHAnsi" w:hAnsiTheme="minorHAnsi" w:cstheme="minorHAnsi"/>
          <w:sz w:val="22"/>
          <w:szCs w:val="22"/>
        </w:rPr>
        <w:t>Jordan Cohen</w:t>
      </w:r>
    </w:p>
    <w:p w:rsidRPr="00FF5E42" w:rsidR="0005680D" w:rsidP="0005680D" w:rsidRDefault="0005680D" w14:paraId="36853E0B" w14:textId="77777777">
      <w:pPr>
        <w:tabs>
          <w:tab w:val="left" w:pos="1080"/>
        </w:tabs>
        <w:ind w:left="1080" w:hanging="1080"/>
        <w:rPr>
          <w:rFonts w:asciiTheme="minorHAnsi" w:hAnsiTheme="minorHAnsi" w:cstheme="minorHAnsi"/>
          <w:sz w:val="22"/>
          <w:szCs w:val="22"/>
        </w:rPr>
      </w:pPr>
      <w:r w:rsidRPr="00FF5E42">
        <w:rPr>
          <w:rFonts w:asciiTheme="minorHAnsi" w:hAnsiTheme="minorHAnsi" w:cstheme="minorHAnsi"/>
          <w:b/>
          <w:bCs/>
          <w:sz w:val="22"/>
          <w:szCs w:val="22"/>
        </w:rPr>
        <w:tab/>
      </w:r>
      <w:r w:rsidRPr="00FF5E42">
        <w:rPr>
          <w:rFonts w:asciiTheme="minorHAnsi" w:hAnsiTheme="minorHAnsi" w:cstheme="minorHAnsi"/>
          <w:sz w:val="22"/>
          <w:szCs w:val="22"/>
        </w:rPr>
        <w:t>Office of Information and Regulatory Affairs (OIRA)</w:t>
      </w:r>
    </w:p>
    <w:p w:rsidRPr="00FF5E42" w:rsidR="0005680D" w:rsidP="0005680D" w:rsidRDefault="0005680D" w14:paraId="30A9ED8F" w14:textId="77777777">
      <w:pPr>
        <w:tabs>
          <w:tab w:val="left" w:pos="1080"/>
        </w:tabs>
        <w:ind w:left="1080" w:hanging="1080"/>
        <w:rPr>
          <w:rFonts w:asciiTheme="minorHAnsi" w:hAnsiTheme="minorHAnsi" w:cstheme="minorHAnsi"/>
          <w:sz w:val="22"/>
          <w:szCs w:val="22"/>
        </w:rPr>
      </w:pPr>
      <w:r w:rsidRPr="00FF5E42">
        <w:rPr>
          <w:rFonts w:asciiTheme="minorHAnsi" w:hAnsiTheme="minorHAnsi" w:cstheme="minorHAnsi"/>
          <w:sz w:val="22"/>
          <w:szCs w:val="22"/>
        </w:rPr>
        <w:tab/>
        <w:t>Office of Management and Budget (OMB)</w:t>
      </w:r>
    </w:p>
    <w:p w:rsidRPr="00FF5E42" w:rsidR="0005680D" w:rsidP="0005680D" w:rsidRDefault="0005680D" w14:paraId="020B5E52" w14:textId="77777777">
      <w:pPr>
        <w:tabs>
          <w:tab w:val="left" w:pos="1080"/>
        </w:tabs>
        <w:ind w:left="1080" w:hanging="1080"/>
        <w:rPr>
          <w:rFonts w:asciiTheme="minorHAnsi" w:hAnsiTheme="minorHAnsi" w:cstheme="minorHAnsi"/>
          <w:sz w:val="22"/>
          <w:szCs w:val="22"/>
        </w:rPr>
      </w:pPr>
    </w:p>
    <w:p w:rsidRPr="00FF5E42" w:rsidR="0005680D" w:rsidP="0005680D" w:rsidRDefault="0005680D" w14:paraId="092E1B53" w14:textId="675E60E9">
      <w:pPr>
        <w:tabs>
          <w:tab w:val="left" w:pos="1080"/>
        </w:tabs>
        <w:ind w:left="1080" w:hanging="1080"/>
        <w:rPr>
          <w:rFonts w:asciiTheme="minorHAnsi" w:hAnsiTheme="minorHAnsi" w:cstheme="minorHAnsi"/>
          <w:sz w:val="22"/>
          <w:szCs w:val="22"/>
        </w:rPr>
      </w:pPr>
      <w:r w:rsidRPr="00FF5E42">
        <w:rPr>
          <w:rFonts w:asciiTheme="minorHAnsi" w:hAnsiTheme="minorHAnsi" w:cstheme="minorHAnsi"/>
          <w:b/>
          <w:bCs/>
          <w:sz w:val="22"/>
          <w:szCs w:val="22"/>
        </w:rPr>
        <w:t>From:</w:t>
      </w:r>
      <w:r w:rsidRPr="00FF5E42">
        <w:rPr>
          <w:rFonts w:asciiTheme="minorHAnsi" w:hAnsiTheme="minorHAnsi" w:cstheme="minorHAnsi"/>
          <w:sz w:val="22"/>
          <w:szCs w:val="22"/>
        </w:rPr>
        <w:tab/>
      </w:r>
      <w:r w:rsidRPr="00FF5E42" w:rsidR="001F6AA8">
        <w:rPr>
          <w:rFonts w:asciiTheme="minorHAnsi" w:hAnsiTheme="minorHAnsi" w:cstheme="minorHAnsi"/>
          <w:sz w:val="22"/>
          <w:szCs w:val="22"/>
        </w:rPr>
        <w:t>Meryl Barofsky</w:t>
      </w:r>
    </w:p>
    <w:p w:rsidRPr="00FF5E42" w:rsidR="0005680D" w:rsidP="0005680D" w:rsidRDefault="0005680D" w14:paraId="48DB0716" w14:textId="77777777">
      <w:pPr>
        <w:tabs>
          <w:tab w:val="left" w:pos="1080"/>
        </w:tabs>
        <w:ind w:left="1080" w:hanging="1080"/>
        <w:rPr>
          <w:rFonts w:asciiTheme="minorHAnsi" w:hAnsiTheme="minorHAnsi" w:cstheme="minorHAnsi"/>
          <w:sz w:val="22"/>
          <w:szCs w:val="22"/>
        </w:rPr>
      </w:pPr>
      <w:r w:rsidRPr="00FF5E42">
        <w:rPr>
          <w:rFonts w:asciiTheme="minorHAnsi" w:hAnsiTheme="minorHAnsi" w:cstheme="minorHAnsi"/>
          <w:b/>
          <w:bCs/>
          <w:sz w:val="22"/>
          <w:szCs w:val="22"/>
        </w:rPr>
        <w:tab/>
      </w:r>
      <w:r w:rsidRPr="00FF5E42">
        <w:rPr>
          <w:rFonts w:asciiTheme="minorHAnsi" w:hAnsiTheme="minorHAnsi" w:cstheme="minorHAnsi"/>
          <w:sz w:val="22"/>
          <w:szCs w:val="22"/>
        </w:rPr>
        <w:t>Office of Planning, Research and Evaluation (OPRE)</w:t>
      </w:r>
    </w:p>
    <w:p w:rsidRPr="00FF5E42" w:rsidR="0005680D" w:rsidP="0005680D" w:rsidRDefault="0005680D" w14:paraId="15ABAFDA" w14:textId="77777777">
      <w:pPr>
        <w:tabs>
          <w:tab w:val="left" w:pos="1080"/>
        </w:tabs>
        <w:ind w:left="1080" w:hanging="1080"/>
        <w:rPr>
          <w:rFonts w:asciiTheme="minorHAnsi" w:hAnsiTheme="minorHAnsi" w:cstheme="minorHAnsi"/>
          <w:sz w:val="22"/>
          <w:szCs w:val="22"/>
        </w:rPr>
      </w:pPr>
      <w:r w:rsidRPr="00FF5E42">
        <w:rPr>
          <w:rFonts w:asciiTheme="minorHAnsi" w:hAnsiTheme="minorHAnsi" w:cstheme="minorHAnsi"/>
          <w:sz w:val="22"/>
          <w:szCs w:val="22"/>
        </w:rPr>
        <w:tab/>
        <w:t>Administration for Children and Families (ACF)</w:t>
      </w:r>
    </w:p>
    <w:p w:rsidRPr="00FF5E42" w:rsidR="0005680D" w:rsidP="0005680D" w:rsidRDefault="0005680D" w14:paraId="7685F2B8" w14:textId="77777777">
      <w:pPr>
        <w:tabs>
          <w:tab w:val="left" w:pos="1080"/>
        </w:tabs>
        <w:ind w:left="1080" w:hanging="1080"/>
        <w:rPr>
          <w:rFonts w:asciiTheme="minorHAnsi" w:hAnsiTheme="minorHAnsi" w:cstheme="minorHAnsi"/>
          <w:sz w:val="22"/>
          <w:szCs w:val="22"/>
        </w:rPr>
      </w:pPr>
    </w:p>
    <w:p w:rsidRPr="00FF5E42" w:rsidR="0005680D" w:rsidP="0005680D" w:rsidRDefault="0005680D" w14:paraId="0BBD6359" w14:textId="6967FDD2">
      <w:pPr>
        <w:tabs>
          <w:tab w:val="left" w:pos="1080"/>
        </w:tabs>
        <w:rPr>
          <w:rFonts w:asciiTheme="minorHAnsi" w:hAnsiTheme="minorHAnsi" w:cstheme="minorHAnsi"/>
          <w:sz w:val="22"/>
          <w:szCs w:val="22"/>
        </w:rPr>
      </w:pPr>
      <w:r w:rsidRPr="00FF5E42">
        <w:rPr>
          <w:rFonts w:asciiTheme="minorHAnsi" w:hAnsiTheme="minorHAnsi" w:cstheme="minorHAnsi"/>
          <w:b/>
          <w:bCs/>
          <w:sz w:val="22"/>
          <w:szCs w:val="22"/>
        </w:rPr>
        <w:t>Date:</w:t>
      </w:r>
      <w:r w:rsidRPr="00FF5E42">
        <w:rPr>
          <w:rFonts w:asciiTheme="minorHAnsi" w:hAnsiTheme="minorHAnsi" w:cstheme="minorHAnsi"/>
          <w:sz w:val="22"/>
          <w:szCs w:val="22"/>
        </w:rPr>
        <w:tab/>
      </w:r>
      <w:r w:rsidRPr="00FF5E42" w:rsidR="006C024E">
        <w:rPr>
          <w:rFonts w:asciiTheme="minorHAnsi" w:hAnsiTheme="minorHAnsi" w:cstheme="minorHAnsi"/>
          <w:sz w:val="22"/>
          <w:szCs w:val="22"/>
        </w:rPr>
        <w:t xml:space="preserve">September </w:t>
      </w:r>
      <w:r w:rsidR="000E5714">
        <w:rPr>
          <w:rFonts w:asciiTheme="minorHAnsi" w:hAnsiTheme="minorHAnsi" w:cstheme="minorHAnsi"/>
          <w:sz w:val="22"/>
          <w:szCs w:val="22"/>
        </w:rPr>
        <w:t>14</w:t>
      </w:r>
      <w:r w:rsidRPr="00FF5E42" w:rsidR="006C024E">
        <w:rPr>
          <w:rFonts w:asciiTheme="minorHAnsi" w:hAnsiTheme="minorHAnsi" w:cstheme="minorHAnsi"/>
          <w:sz w:val="22"/>
          <w:szCs w:val="22"/>
        </w:rPr>
        <w:t>, 2021</w:t>
      </w:r>
    </w:p>
    <w:p w:rsidRPr="00FF5E42" w:rsidR="0005680D" w:rsidP="0005680D" w:rsidRDefault="0005680D" w14:paraId="7B991363" w14:textId="77777777">
      <w:pPr>
        <w:tabs>
          <w:tab w:val="left" w:pos="1080"/>
        </w:tabs>
        <w:rPr>
          <w:rFonts w:asciiTheme="minorHAnsi" w:hAnsiTheme="minorHAnsi" w:cstheme="minorHAnsi"/>
          <w:sz w:val="22"/>
          <w:szCs w:val="22"/>
        </w:rPr>
      </w:pPr>
    </w:p>
    <w:p w:rsidRPr="00FF5E42" w:rsidR="0005680D" w:rsidP="0005680D" w:rsidRDefault="0005680D" w14:paraId="3A89B6CD" w14:textId="63928C10">
      <w:pPr>
        <w:pBdr>
          <w:bottom w:val="single" w:color="auto" w:sz="12" w:space="1"/>
        </w:pBdr>
        <w:tabs>
          <w:tab w:val="left" w:pos="1080"/>
        </w:tabs>
        <w:ind w:left="1080" w:hanging="1080"/>
        <w:rPr>
          <w:rFonts w:asciiTheme="minorHAnsi" w:hAnsiTheme="minorHAnsi" w:cstheme="minorHAnsi"/>
          <w:sz w:val="22"/>
          <w:szCs w:val="22"/>
        </w:rPr>
      </w:pPr>
      <w:r w:rsidRPr="00FF5E42">
        <w:rPr>
          <w:rFonts w:asciiTheme="minorHAnsi" w:hAnsiTheme="minorHAnsi" w:cstheme="minorHAnsi"/>
          <w:b/>
          <w:bCs/>
          <w:sz w:val="22"/>
          <w:szCs w:val="22"/>
        </w:rPr>
        <w:t>Subject:</w:t>
      </w:r>
      <w:r w:rsidRPr="00FF5E42">
        <w:rPr>
          <w:rFonts w:asciiTheme="minorHAnsi" w:hAnsiTheme="minorHAnsi" w:cstheme="minorHAnsi"/>
          <w:sz w:val="22"/>
          <w:szCs w:val="22"/>
        </w:rPr>
        <w:tab/>
      </w:r>
      <w:proofErr w:type="spellStart"/>
      <w:r w:rsidRPr="00FF5E42">
        <w:rPr>
          <w:rFonts w:asciiTheme="minorHAnsi" w:hAnsiTheme="minorHAnsi" w:cstheme="minorHAnsi"/>
          <w:sz w:val="22"/>
          <w:szCs w:val="22"/>
        </w:rPr>
        <w:t>NonSubstantive</w:t>
      </w:r>
      <w:proofErr w:type="spellEnd"/>
      <w:r w:rsidRPr="00FF5E42">
        <w:rPr>
          <w:rFonts w:asciiTheme="minorHAnsi" w:hAnsiTheme="minorHAnsi" w:cstheme="minorHAnsi"/>
          <w:sz w:val="22"/>
          <w:szCs w:val="22"/>
        </w:rPr>
        <w:t xml:space="preserve"> Change Request – </w:t>
      </w:r>
      <w:r w:rsidRPr="00FF5E42" w:rsidR="007811A7">
        <w:rPr>
          <w:rFonts w:asciiTheme="minorHAnsi" w:hAnsiTheme="minorHAnsi" w:cstheme="minorHAnsi"/>
          <w:sz w:val="22"/>
          <w:szCs w:val="22"/>
        </w:rPr>
        <w:t xml:space="preserve">Assessing the Implementation and Cost of </w:t>
      </w:r>
      <w:proofErr w:type="gramStart"/>
      <w:r w:rsidRPr="00FF5E42" w:rsidR="007811A7">
        <w:rPr>
          <w:rFonts w:asciiTheme="minorHAnsi" w:hAnsiTheme="minorHAnsi" w:cstheme="minorHAnsi"/>
          <w:sz w:val="22"/>
          <w:szCs w:val="22"/>
        </w:rPr>
        <w:t>High Quality</w:t>
      </w:r>
      <w:proofErr w:type="gramEnd"/>
      <w:r w:rsidRPr="00FF5E42" w:rsidR="007811A7">
        <w:rPr>
          <w:rFonts w:asciiTheme="minorHAnsi" w:hAnsiTheme="minorHAnsi" w:cstheme="minorHAnsi"/>
          <w:sz w:val="22"/>
          <w:szCs w:val="22"/>
        </w:rPr>
        <w:t xml:space="preserve"> Early Care and Education: Comparative Multi-Case Study (OMB: 0970-0499)</w:t>
      </w:r>
    </w:p>
    <w:p w:rsidRPr="00FF5E42" w:rsidR="0005680D" w:rsidP="0005680D" w:rsidRDefault="0005680D" w14:paraId="5036976F" w14:textId="77777777">
      <w:pPr>
        <w:pBdr>
          <w:bottom w:val="single" w:color="auto" w:sz="12" w:space="1"/>
        </w:pBdr>
        <w:tabs>
          <w:tab w:val="left" w:pos="1080"/>
        </w:tabs>
        <w:ind w:left="1080" w:hanging="1080"/>
        <w:rPr>
          <w:rFonts w:asciiTheme="minorHAnsi" w:hAnsiTheme="minorHAnsi" w:cstheme="minorHAnsi"/>
          <w:sz w:val="22"/>
          <w:szCs w:val="22"/>
        </w:rPr>
      </w:pPr>
    </w:p>
    <w:p w:rsidRPr="00FF5E42" w:rsidR="0005680D" w:rsidP="0005680D" w:rsidRDefault="0005680D" w14:paraId="595C69AB" w14:textId="77777777">
      <w:pPr>
        <w:tabs>
          <w:tab w:val="left" w:pos="1080"/>
        </w:tabs>
        <w:ind w:left="1080" w:hanging="1080"/>
        <w:rPr>
          <w:rFonts w:asciiTheme="minorHAnsi" w:hAnsiTheme="minorHAnsi" w:cstheme="minorHAnsi"/>
          <w:sz w:val="22"/>
          <w:szCs w:val="22"/>
        </w:rPr>
      </w:pPr>
    </w:p>
    <w:p w:rsidRPr="00FF5E42" w:rsidR="00E525D4" w:rsidP="0005680D" w:rsidRDefault="0005680D" w14:paraId="494EB7FC" w14:textId="60ED25B2">
      <w:pPr>
        <w:rPr>
          <w:rFonts w:asciiTheme="minorHAnsi" w:hAnsiTheme="minorHAnsi" w:cstheme="minorHAnsi"/>
          <w:sz w:val="22"/>
          <w:szCs w:val="22"/>
        </w:rPr>
      </w:pPr>
      <w:r w:rsidRPr="00FF5E42">
        <w:rPr>
          <w:rFonts w:asciiTheme="minorHAnsi" w:hAnsiTheme="minorHAnsi" w:cstheme="minorHAnsi"/>
          <w:sz w:val="22"/>
          <w:szCs w:val="22"/>
        </w:rPr>
        <w:t xml:space="preserve">This memo requests approval of </w:t>
      </w:r>
      <w:proofErr w:type="spellStart"/>
      <w:r w:rsidRPr="00FF5E42">
        <w:rPr>
          <w:rFonts w:asciiTheme="minorHAnsi" w:hAnsiTheme="minorHAnsi" w:cstheme="minorHAnsi"/>
          <w:sz w:val="22"/>
          <w:szCs w:val="22"/>
        </w:rPr>
        <w:t>nonsubstantive</w:t>
      </w:r>
      <w:proofErr w:type="spellEnd"/>
      <w:r w:rsidRPr="00FF5E42">
        <w:rPr>
          <w:rFonts w:asciiTheme="minorHAnsi" w:hAnsiTheme="minorHAnsi" w:cstheme="minorHAnsi"/>
          <w:sz w:val="22"/>
          <w:szCs w:val="22"/>
        </w:rPr>
        <w:t xml:space="preserve"> changes to the approved information collection, </w:t>
      </w:r>
      <w:r w:rsidRPr="00FF5E42" w:rsidR="007811A7">
        <w:rPr>
          <w:rFonts w:asciiTheme="minorHAnsi" w:hAnsiTheme="minorHAnsi" w:cstheme="minorHAnsi"/>
          <w:sz w:val="22"/>
          <w:szCs w:val="22"/>
        </w:rPr>
        <w:t xml:space="preserve">Assessing the Implementation and Cost of </w:t>
      </w:r>
      <w:proofErr w:type="gramStart"/>
      <w:r w:rsidRPr="00FF5E42" w:rsidR="007811A7">
        <w:rPr>
          <w:rFonts w:asciiTheme="minorHAnsi" w:hAnsiTheme="minorHAnsi" w:cstheme="minorHAnsi"/>
          <w:sz w:val="22"/>
          <w:szCs w:val="22"/>
        </w:rPr>
        <w:t>High Quality</w:t>
      </w:r>
      <w:proofErr w:type="gramEnd"/>
      <w:r w:rsidRPr="00FF5E42" w:rsidR="007811A7">
        <w:rPr>
          <w:rFonts w:asciiTheme="minorHAnsi" w:hAnsiTheme="minorHAnsi" w:cstheme="minorHAnsi"/>
          <w:sz w:val="22"/>
          <w:szCs w:val="22"/>
        </w:rPr>
        <w:t xml:space="preserve"> Early Care and Education: Comparative Multi-Case Study (OMB: 0970-0499)</w:t>
      </w:r>
      <w:r w:rsidRPr="00FF5E42">
        <w:rPr>
          <w:rFonts w:asciiTheme="minorHAnsi" w:hAnsiTheme="minorHAnsi" w:cstheme="minorHAnsi"/>
          <w:sz w:val="22"/>
          <w:szCs w:val="22"/>
        </w:rPr>
        <w:t xml:space="preserve">. </w:t>
      </w:r>
      <w:r w:rsidR="00F13E4F">
        <w:rPr>
          <w:rFonts w:asciiTheme="minorHAnsi" w:hAnsiTheme="minorHAnsi" w:cstheme="minorHAnsi"/>
          <w:sz w:val="22"/>
          <w:szCs w:val="22"/>
        </w:rPr>
        <w:t xml:space="preserve"> Specifically, we are seeking approval for: 1) non-substantive changes to our time use survey; and 2) non-substantive changes to our </w:t>
      </w:r>
      <w:r w:rsidR="002B2077">
        <w:rPr>
          <w:rFonts w:asciiTheme="minorHAnsi" w:hAnsiTheme="minorHAnsi" w:cstheme="minorHAnsi"/>
          <w:sz w:val="22"/>
          <w:szCs w:val="22"/>
        </w:rPr>
        <w:t>currently approved experiment</w:t>
      </w:r>
      <w:r w:rsidR="00AC6BB7">
        <w:rPr>
          <w:rFonts w:asciiTheme="minorHAnsi" w:hAnsiTheme="minorHAnsi" w:cstheme="minorHAnsi"/>
          <w:sz w:val="22"/>
          <w:szCs w:val="22"/>
        </w:rPr>
        <w:t>s</w:t>
      </w:r>
      <w:r w:rsidR="002B2077">
        <w:rPr>
          <w:rFonts w:asciiTheme="minorHAnsi" w:hAnsiTheme="minorHAnsi" w:cstheme="minorHAnsi"/>
          <w:sz w:val="22"/>
          <w:szCs w:val="22"/>
        </w:rPr>
        <w:t xml:space="preserve"> looking at the timing of a token of appreciation</w:t>
      </w:r>
      <w:r w:rsidR="00F13E4F">
        <w:rPr>
          <w:rFonts w:asciiTheme="minorHAnsi" w:hAnsiTheme="minorHAnsi" w:cstheme="minorHAnsi"/>
          <w:sz w:val="22"/>
          <w:szCs w:val="22"/>
        </w:rPr>
        <w:t xml:space="preserve">. </w:t>
      </w:r>
    </w:p>
    <w:p w:rsidRPr="00FF5E42" w:rsidR="0005680D" w:rsidP="0005680D" w:rsidRDefault="0005680D" w14:paraId="6BF529D8" w14:textId="77777777">
      <w:pPr>
        <w:rPr>
          <w:rFonts w:asciiTheme="minorHAnsi" w:hAnsiTheme="minorHAnsi" w:cstheme="minorHAnsi"/>
          <w:sz w:val="22"/>
          <w:szCs w:val="22"/>
        </w:rPr>
      </w:pPr>
    </w:p>
    <w:p w:rsidRPr="00FF5E42" w:rsidR="0005680D" w:rsidP="0005680D" w:rsidRDefault="0005680D" w14:paraId="37532181" w14:textId="6AE73AF5">
      <w:pPr>
        <w:spacing w:after="120"/>
        <w:rPr>
          <w:rFonts w:asciiTheme="minorHAnsi" w:hAnsiTheme="minorHAnsi" w:cstheme="minorHAnsi"/>
          <w:sz w:val="22"/>
          <w:szCs w:val="22"/>
        </w:rPr>
      </w:pPr>
      <w:r w:rsidRPr="00FF5E42">
        <w:rPr>
          <w:rFonts w:asciiTheme="minorHAnsi" w:hAnsiTheme="minorHAnsi" w:cstheme="minorHAnsi"/>
          <w:b/>
          <w:i/>
          <w:sz w:val="22"/>
          <w:szCs w:val="22"/>
        </w:rPr>
        <w:t>Background</w:t>
      </w:r>
      <w:r w:rsidRPr="00FF5E42" w:rsidR="00620E53">
        <w:rPr>
          <w:rFonts w:asciiTheme="minorHAnsi" w:hAnsiTheme="minorHAnsi" w:cstheme="minorHAnsi"/>
          <w:b/>
          <w:i/>
          <w:sz w:val="22"/>
          <w:szCs w:val="22"/>
        </w:rPr>
        <w:t xml:space="preserve"> on project</w:t>
      </w:r>
    </w:p>
    <w:p w:rsidRPr="00FF5E42" w:rsidR="0045566B" w:rsidP="007811A7" w:rsidRDefault="007811A7" w14:paraId="0372CC9B" w14:textId="5FC5774B">
      <w:pPr>
        <w:rPr>
          <w:rFonts w:asciiTheme="minorHAnsi" w:hAnsiTheme="minorHAnsi" w:cstheme="minorHAnsi"/>
          <w:sz w:val="22"/>
          <w:szCs w:val="22"/>
        </w:rPr>
      </w:pPr>
      <w:r w:rsidRPr="00FF5E42">
        <w:rPr>
          <w:rFonts w:asciiTheme="minorHAnsi" w:hAnsiTheme="minorHAnsi" w:cstheme="minorHAnsi"/>
          <w:sz w:val="22"/>
          <w:szCs w:val="22"/>
        </w:rPr>
        <w:t xml:space="preserve">The goals of the </w:t>
      </w:r>
      <w:r w:rsidRPr="00FF5E42" w:rsidR="0045566B">
        <w:rPr>
          <w:rFonts w:asciiTheme="minorHAnsi" w:hAnsiTheme="minorHAnsi" w:cstheme="minorHAnsi"/>
          <w:sz w:val="22"/>
          <w:szCs w:val="22"/>
        </w:rPr>
        <w:t>Assessing the Implementation and Cost of High Quality Early Care and Education</w:t>
      </w:r>
      <w:r w:rsidRPr="00FF5E42">
        <w:rPr>
          <w:rFonts w:asciiTheme="minorHAnsi" w:hAnsiTheme="minorHAnsi" w:cstheme="minorHAnsi"/>
          <w:sz w:val="22"/>
          <w:szCs w:val="22"/>
        </w:rPr>
        <w:t xml:space="preserve"> field test are to (1) refine the implementation measures to further improve their psychometric properties, (2) refine the cost measures to identify costs associated with each center function and across ages of children, and (3) test the associations between implementation, cost, and quality measures. </w:t>
      </w:r>
      <w:proofErr w:type="gramStart"/>
      <w:r w:rsidRPr="00FF5E42">
        <w:rPr>
          <w:rFonts w:asciiTheme="minorHAnsi" w:hAnsiTheme="minorHAnsi" w:cstheme="minorHAnsi"/>
          <w:sz w:val="22"/>
          <w:szCs w:val="22"/>
        </w:rPr>
        <w:t>In light of</w:t>
      </w:r>
      <w:proofErr w:type="gramEnd"/>
      <w:r w:rsidRPr="00FF5E42">
        <w:rPr>
          <w:rFonts w:asciiTheme="minorHAnsi" w:hAnsiTheme="minorHAnsi" w:cstheme="minorHAnsi"/>
          <w:sz w:val="22"/>
          <w:szCs w:val="22"/>
        </w:rPr>
        <w:t xml:space="preserve"> the COVID-19 pandemic, the field test data collection </w:t>
      </w:r>
      <w:r w:rsidRPr="00FF5E42" w:rsidR="00FB0FFB">
        <w:rPr>
          <w:rFonts w:asciiTheme="minorHAnsi" w:hAnsiTheme="minorHAnsi" w:cstheme="minorHAnsi"/>
          <w:sz w:val="22"/>
          <w:szCs w:val="22"/>
        </w:rPr>
        <w:t xml:space="preserve">originally </w:t>
      </w:r>
      <w:r w:rsidRPr="00FF5E42">
        <w:rPr>
          <w:rFonts w:asciiTheme="minorHAnsi" w:hAnsiTheme="minorHAnsi" w:cstheme="minorHAnsi"/>
          <w:sz w:val="22"/>
          <w:szCs w:val="22"/>
        </w:rPr>
        <w:t xml:space="preserve">scheduled for 2020 could not proceed as planned. </w:t>
      </w:r>
    </w:p>
    <w:p w:rsidRPr="00FF5E42" w:rsidR="0045566B" w:rsidP="007811A7" w:rsidRDefault="0045566B" w14:paraId="763B34A7" w14:textId="77777777">
      <w:pPr>
        <w:rPr>
          <w:rFonts w:asciiTheme="minorHAnsi" w:hAnsiTheme="minorHAnsi" w:cstheme="minorHAnsi"/>
          <w:sz w:val="22"/>
          <w:szCs w:val="22"/>
        </w:rPr>
      </w:pPr>
    </w:p>
    <w:p w:rsidRPr="00FF5E42" w:rsidR="007811A7" w:rsidP="007811A7" w:rsidRDefault="007811A7" w14:paraId="785E9F0A" w14:textId="10889010">
      <w:pPr>
        <w:rPr>
          <w:rFonts w:asciiTheme="minorHAnsi" w:hAnsiTheme="minorHAnsi" w:cstheme="minorHAnsi"/>
          <w:sz w:val="22"/>
          <w:szCs w:val="22"/>
        </w:rPr>
      </w:pPr>
      <w:r w:rsidRPr="00FF5E42">
        <w:rPr>
          <w:rFonts w:asciiTheme="minorHAnsi" w:hAnsiTheme="minorHAnsi" w:cstheme="minorHAnsi"/>
          <w:sz w:val="22"/>
          <w:szCs w:val="22"/>
        </w:rPr>
        <w:t xml:space="preserve">We received approval for a </w:t>
      </w:r>
      <w:proofErr w:type="spellStart"/>
      <w:r w:rsidRPr="00FF5E42">
        <w:rPr>
          <w:rFonts w:asciiTheme="minorHAnsi" w:hAnsiTheme="minorHAnsi" w:cstheme="minorHAnsi"/>
          <w:sz w:val="22"/>
          <w:szCs w:val="22"/>
        </w:rPr>
        <w:t>nonsubstantive</w:t>
      </w:r>
      <w:proofErr w:type="spellEnd"/>
      <w:r w:rsidRPr="00FF5E42">
        <w:rPr>
          <w:rFonts w:asciiTheme="minorHAnsi" w:hAnsiTheme="minorHAnsi" w:cstheme="minorHAnsi"/>
          <w:sz w:val="22"/>
          <w:szCs w:val="22"/>
        </w:rPr>
        <w:t xml:space="preserve"> change request in March 2021 to conduct data collection in centers that had previously participated in the study. </w:t>
      </w:r>
      <w:r w:rsidRPr="00FF5E42" w:rsidR="006C024E">
        <w:rPr>
          <w:rFonts w:asciiTheme="minorHAnsi" w:hAnsiTheme="minorHAnsi" w:cstheme="minorHAnsi"/>
          <w:sz w:val="22"/>
          <w:szCs w:val="22"/>
        </w:rPr>
        <w:t xml:space="preserve">In April 2021, we received approval to </w:t>
      </w:r>
      <w:r w:rsidRPr="00FF5E42" w:rsidR="00983D16">
        <w:rPr>
          <w:rFonts w:asciiTheme="minorHAnsi" w:hAnsiTheme="minorHAnsi" w:cstheme="minorHAnsi"/>
          <w:sz w:val="22"/>
          <w:szCs w:val="22"/>
        </w:rPr>
        <w:t xml:space="preserve">engage </w:t>
      </w:r>
      <w:r w:rsidRPr="00FF5E42" w:rsidR="00D758EF">
        <w:rPr>
          <w:rFonts w:asciiTheme="minorHAnsi" w:hAnsiTheme="minorHAnsi" w:cstheme="minorHAnsi"/>
          <w:sz w:val="22"/>
          <w:szCs w:val="22"/>
        </w:rPr>
        <w:t xml:space="preserve">additional </w:t>
      </w:r>
      <w:r w:rsidRPr="00FF5E42" w:rsidR="00983D16">
        <w:rPr>
          <w:rFonts w:asciiTheme="minorHAnsi" w:hAnsiTheme="minorHAnsi" w:cstheme="minorHAnsi"/>
          <w:sz w:val="22"/>
          <w:szCs w:val="22"/>
        </w:rPr>
        <w:t xml:space="preserve">centers </w:t>
      </w:r>
      <w:r w:rsidRPr="00FF5E42" w:rsidR="00D758EF">
        <w:rPr>
          <w:rFonts w:asciiTheme="minorHAnsi" w:hAnsiTheme="minorHAnsi" w:cstheme="minorHAnsi"/>
          <w:sz w:val="22"/>
          <w:szCs w:val="22"/>
        </w:rPr>
        <w:t xml:space="preserve">in the field test </w:t>
      </w:r>
      <w:r w:rsidRPr="00FF5E42" w:rsidR="00983D16">
        <w:rPr>
          <w:rFonts w:asciiTheme="minorHAnsi" w:hAnsiTheme="minorHAnsi" w:cstheme="minorHAnsi"/>
          <w:sz w:val="22"/>
          <w:szCs w:val="22"/>
        </w:rPr>
        <w:t xml:space="preserve">(up to the approved 80 centers under this control number—some that previously participated in earlier phases and some new centers). </w:t>
      </w:r>
      <w:r w:rsidRPr="00FF5E42" w:rsidR="006B301B">
        <w:rPr>
          <w:rFonts w:asciiTheme="minorHAnsi" w:hAnsiTheme="minorHAnsi" w:cstheme="minorHAnsi"/>
          <w:sz w:val="22"/>
          <w:szCs w:val="22"/>
        </w:rPr>
        <w:t xml:space="preserve">Combined, these two requests </w:t>
      </w:r>
      <w:r w:rsidRPr="00FF5E42" w:rsidR="00FB0FFB">
        <w:rPr>
          <w:rFonts w:asciiTheme="minorHAnsi" w:hAnsiTheme="minorHAnsi" w:cstheme="minorHAnsi"/>
          <w:sz w:val="22"/>
          <w:szCs w:val="22"/>
        </w:rPr>
        <w:t>were</w:t>
      </w:r>
      <w:r w:rsidRPr="00FF5E42" w:rsidR="006B301B">
        <w:rPr>
          <w:rFonts w:asciiTheme="minorHAnsi" w:hAnsiTheme="minorHAnsi" w:cstheme="minorHAnsi"/>
          <w:sz w:val="22"/>
          <w:szCs w:val="22"/>
        </w:rPr>
        <w:t xml:space="preserve"> in line with the plans for the original field test. </w:t>
      </w:r>
      <w:r w:rsidRPr="00FF5E42" w:rsidR="00D758EF">
        <w:rPr>
          <w:rFonts w:asciiTheme="minorHAnsi" w:hAnsiTheme="minorHAnsi" w:cstheme="minorHAnsi"/>
          <w:sz w:val="22"/>
          <w:szCs w:val="22"/>
        </w:rPr>
        <w:t xml:space="preserve">We </w:t>
      </w:r>
      <w:r w:rsidRPr="00FF5E42" w:rsidR="00C906D6">
        <w:rPr>
          <w:rFonts w:asciiTheme="minorHAnsi" w:hAnsiTheme="minorHAnsi" w:cstheme="minorHAnsi"/>
          <w:sz w:val="22"/>
          <w:szCs w:val="22"/>
        </w:rPr>
        <w:t>recently had a</w:t>
      </w:r>
      <w:r w:rsidRPr="00FF5E42" w:rsidR="00D758EF">
        <w:rPr>
          <w:rFonts w:asciiTheme="minorHAnsi" w:hAnsiTheme="minorHAnsi" w:cstheme="minorHAnsi"/>
          <w:sz w:val="22"/>
          <w:szCs w:val="22"/>
        </w:rPr>
        <w:t xml:space="preserve"> revised package </w:t>
      </w:r>
      <w:r w:rsidRPr="00FF5E42" w:rsidR="00C906D6">
        <w:rPr>
          <w:rFonts w:asciiTheme="minorHAnsi" w:hAnsiTheme="minorHAnsi" w:cstheme="minorHAnsi"/>
          <w:sz w:val="22"/>
          <w:szCs w:val="22"/>
        </w:rPr>
        <w:t>approved</w:t>
      </w:r>
      <w:r w:rsidRPr="00FF5E42" w:rsidR="00D758EF">
        <w:rPr>
          <w:rFonts w:asciiTheme="minorHAnsi" w:hAnsiTheme="minorHAnsi" w:cstheme="minorHAnsi"/>
          <w:sz w:val="22"/>
          <w:szCs w:val="22"/>
        </w:rPr>
        <w:t xml:space="preserve"> that requests the addition of a teaching staff survey (the SEQUAL)</w:t>
      </w:r>
      <w:r w:rsidRPr="00FF5E42" w:rsidR="006B301B">
        <w:rPr>
          <w:rFonts w:asciiTheme="minorHAnsi" w:hAnsiTheme="minorHAnsi" w:cstheme="minorHAnsi"/>
          <w:sz w:val="22"/>
          <w:szCs w:val="22"/>
        </w:rPr>
        <w:t>; that package include</w:t>
      </w:r>
      <w:r w:rsidRPr="00FF5E42" w:rsidR="00C906D6">
        <w:rPr>
          <w:rFonts w:asciiTheme="minorHAnsi" w:hAnsiTheme="minorHAnsi" w:cstheme="minorHAnsi"/>
          <w:sz w:val="22"/>
          <w:szCs w:val="22"/>
        </w:rPr>
        <w:t>d</w:t>
      </w:r>
      <w:r w:rsidRPr="00FF5E42" w:rsidR="006B301B">
        <w:rPr>
          <w:rFonts w:asciiTheme="minorHAnsi" w:hAnsiTheme="minorHAnsi" w:cstheme="minorHAnsi"/>
          <w:sz w:val="22"/>
          <w:szCs w:val="22"/>
        </w:rPr>
        <w:t xml:space="preserve"> a</w:t>
      </w:r>
      <w:r w:rsidRPr="00FF5E42" w:rsidR="00C906D6">
        <w:rPr>
          <w:rFonts w:asciiTheme="minorHAnsi" w:hAnsiTheme="minorHAnsi" w:cstheme="minorHAnsi"/>
          <w:sz w:val="22"/>
          <w:szCs w:val="22"/>
        </w:rPr>
        <w:t xml:space="preserve"> </w:t>
      </w:r>
      <w:r w:rsidR="000E0AAF">
        <w:rPr>
          <w:rFonts w:asciiTheme="minorHAnsi" w:hAnsiTheme="minorHAnsi" w:cstheme="minorHAnsi"/>
          <w:sz w:val="22"/>
          <w:szCs w:val="22"/>
        </w:rPr>
        <w:t>token of appreciation</w:t>
      </w:r>
      <w:r w:rsidRPr="00FF5E42" w:rsidR="00C906D6">
        <w:rPr>
          <w:rFonts w:asciiTheme="minorHAnsi" w:hAnsiTheme="minorHAnsi" w:cstheme="minorHAnsi"/>
          <w:sz w:val="22"/>
          <w:szCs w:val="22"/>
        </w:rPr>
        <w:t xml:space="preserve"> </w:t>
      </w:r>
      <w:r w:rsidRPr="00FF5E42" w:rsidR="006B301B">
        <w:rPr>
          <w:rFonts w:asciiTheme="minorHAnsi" w:hAnsiTheme="minorHAnsi" w:cstheme="minorHAnsi"/>
          <w:sz w:val="22"/>
          <w:szCs w:val="22"/>
        </w:rPr>
        <w:t>experiment. We also received approval in May 2021 for a</w:t>
      </w:r>
      <w:r w:rsidRPr="00FF5E42" w:rsidR="00C906D6">
        <w:rPr>
          <w:rFonts w:asciiTheme="minorHAnsi" w:hAnsiTheme="minorHAnsi" w:cstheme="minorHAnsi"/>
          <w:sz w:val="22"/>
          <w:szCs w:val="22"/>
        </w:rPr>
        <w:t xml:space="preserve"> </w:t>
      </w:r>
      <w:r w:rsidR="000E0AAF">
        <w:rPr>
          <w:rFonts w:asciiTheme="minorHAnsi" w:hAnsiTheme="minorHAnsi" w:cstheme="minorHAnsi"/>
          <w:sz w:val="22"/>
          <w:szCs w:val="22"/>
        </w:rPr>
        <w:t>token of appreciation</w:t>
      </w:r>
      <w:r w:rsidRPr="00FF5E42" w:rsidR="00C906D6">
        <w:rPr>
          <w:rFonts w:asciiTheme="minorHAnsi" w:hAnsiTheme="minorHAnsi" w:cstheme="minorHAnsi"/>
          <w:sz w:val="22"/>
          <w:szCs w:val="22"/>
        </w:rPr>
        <w:t xml:space="preserve"> </w:t>
      </w:r>
      <w:r w:rsidRPr="00FF5E42" w:rsidR="006B301B">
        <w:rPr>
          <w:rFonts w:asciiTheme="minorHAnsi" w:hAnsiTheme="minorHAnsi" w:cstheme="minorHAnsi"/>
          <w:sz w:val="22"/>
          <w:szCs w:val="22"/>
        </w:rPr>
        <w:t xml:space="preserve">experiment for the time use survey. </w:t>
      </w:r>
    </w:p>
    <w:p w:rsidRPr="00FF5E42" w:rsidR="00FB0FFB" w:rsidP="007811A7" w:rsidRDefault="00FB0FFB" w14:paraId="652F2C72" w14:textId="5DC90FD1">
      <w:pPr>
        <w:rPr>
          <w:rFonts w:asciiTheme="minorHAnsi" w:hAnsiTheme="minorHAnsi" w:cstheme="minorHAnsi"/>
          <w:sz w:val="22"/>
          <w:szCs w:val="22"/>
        </w:rPr>
      </w:pPr>
    </w:p>
    <w:p w:rsidRPr="00FF5E42" w:rsidR="00FB0FFB" w:rsidP="00FB0FFB" w:rsidRDefault="00FB0FFB" w14:paraId="0147F026" w14:textId="69465F66">
      <w:pPr>
        <w:rPr>
          <w:rFonts w:asciiTheme="minorHAnsi" w:hAnsiTheme="minorHAnsi" w:cstheme="minorHAnsi"/>
          <w:sz w:val="22"/>
          <w:szCs w:val="22"/>
        </w:rPr>
      </w:pPr>
      <w:r w:rsidRPr="00FF5E42">
        <w:rPr>
          <w:rFonts w:asciiTheme="minorHAnsi" w:hAnsiTheme="minorHAnsi" w:cstheme="minorHAnsi"/>
          <w:sz w:val="22"/>
          <w:szCs w:val="22"/>
        </w:rPr>
        <w:t xml:space="preserve">We are writing to request approval of non-substantive changes to the time use survey and to revise the approach to the </w:t>
      </w:r>
      <w:r w:rsidR="000E0AAF">
        <w:rPr>
          <w:rFonts w:asciiTheme="minorHAnsi" w:hAnsiTheme="minorHAnsi" w:cstheme="minorHAnsi"/>
          <w:sz w:val="22"/>
          <w:szCs w:val="22"/>
        </w:rPr>
        <w:t>token of appreciation</w:t>
      </w:r>
      <w:r w:rsidRPr="00FF5E42" w:rsidR="00C906D6">
        <w:rPr>
          <w:rFonts w:asciiTheme="minorHAnsi" w:hAnsiTheme="minorHAnsi" w:cstheme="minorHAnsi"/>
          <w:sz w:val="22"/>
          <w:szCs w:val="22"/>
        </w:rPr>
        <w:t xml:space="preserve"> </w:t>
      </w:r>
      <w:r w:rsidRPr="00FF5E42">
        <w:rPr>
          <w:rFonts w:asciiTheme="minorHAnsi" w:hAnsiTheme="minorHAnsi" w:cstheme="minorHAnsi"/>
          <w:sz w:val="22"/>
          <w:szCs w:val="22"/>
        </w:rPr>
        <w:t xml:space="preserve">experiments, while maintaining the approved level of </w:t>
      </w:r>
      <w:r w:rsidR="000E0AAF">
        <w:rPr>
          <w:rFonts w:asciiTheme="minorHAnsi" w:hAnsiTheme="minorHAnsi" w:cstheme="minorHAnsi"/>
          <w:sz w:val="22"/>
          <w:szCs w:val="22"/>
        </w:rPr>
        <w:t>token of appreciation</w:t>
      </w:r>
      <w:r w:rsidRPr="00FF5E42">
        <w:rPr>
          <w:rFonts w:asciiTheme="minorHAnsi" w:hAnsiTheme="minorHAnsi" w:cstheme="minorHAnsi"/>
          <w:sz w:val="22"/>
          <w:szCs w:val="22"/>
        </w:rPr>
        <w:t>.</w:t>
      </w:r>
    </w:p>
    <w:p w:rsidRPr="00C906D6" w:rsidR="00FB0FFB" w:rsidP="007811A7" w:rsidRDefault="00FB0FFB" w14:paraId="3FE2F7C4" w14:textId="77777777">
      <w:pPr>
        <w:rPr>
          <w:rFonts w:asciiTheme="minorHAnsi" w:hAnsiTheme="minorHAnsi" w:eastAsiaTheme="minorHAnsi" w:cstheme="minorHAnsi"/>
          <w:kern w:val="0"/>
          <w:sz w:val="22"/>
          <w:szCs w:val="22"/>
        </w:rPr>
      </w:pPr>
    </w:p>
    <w:p w:rsidRPr="00FF5E42" w:rsidR="00032175" w:rsidP="00CE5D23" w:rsidRDefault="00620E53" w14:paraId="478131A7" w14:textId="547165CA">
      <w:pPr>
        <w:spacing w:after="120"/>
        <w:rPr>
          <w:rFonts w:asciiTheme="minorHAnsi" w:hAnsiTheme="minorHAnsi" w:cstheme="minorHAnsi"/>
          <w:b/>
          <w:bCs/>
          <w:i/>
          <w:iCs/>
          <w:sz w:val="22"/>
          <w:szCs w:val="22"/>
        </w:rPr>
      </w:pPr>
      <w:r w:rsidRPr="00FF5E42">
        <w:rPr>
          <w:rFonts w:asciiTheme="minorHAnsi" w:hAnsiTheme="minorHAnsi" w:cstheme="minorHAnsi"/>
          <w:b/>
          <w:bCs/>
          <w:i/>
          <w:iCs/>
          <w:sz w:val="22"/>
          <w:szCs w:val="22"/>
        </w:rPr>
        <w:t>Background for this request</w:t>
      </w:r>
    </w:p>
    <w:p w:rsidRPr="00C906D6" w:rsidR="001A1788" w:rsidP="00032175" w:rsidRDefault="00032175" w14:paraId="3DF67606" w14:textId="26B48BDD">
      <w:pPr>
        <w:pStyle w:val="Paragraph"/>
      </w:pPr>
      <w:r w:rsidRPr="00C906D6">
        <w:t xml:space="preserve">We discovered issues with the quality of data coming from the time use survey </w:t>
      </w:r>
      <w:r w:rsidR="00C906D6">
        <w:t xml:space="preserve">(TUS) </w:t>
      </w:r>
      <w:r w:rsidRPr="00C906D6">
        <w:t xml:space="preserve">in the field test. </w:t>
      </w:r>
      <w:r w:rsidRPr="00C906D6" w:rsidR="001A1788">
        <w:rPr>
          <w:rFonts w:eastAsia="Times New Roman"/>
        </w:rPr>
        <w:t xml:space="preserve">The </w:t>
      </w:r>
      <w:r w:rsidR="00C906D6">
        <w:rPr>
          <w:rFonts w:eastAsia="Times New Roman"/>
        </w:rPr>
        <w:t>TUS</w:t>
      </w:r>
      <w:r w:rsidRPr="00C906D6" w:rsidR="001A1788">
        <w:rPr>
          <w:rFonts w:eastAsia="Times New Roman"/>
        </w:rPr>
        <w:t xml:space="preserve"> was revised substantially from Phase 2 to the field test </w:t>
      </w:r>
      <w:r w:rsidR="00C906D6">
        <w:rPr>
          <w:rFonts w:eastAsia="Times New Roman"/>
        </w:rPr>
        <w:t xml:space="preserve">including adding </w:t>
      </w:r>
      <w:r w:rsidRPr="00C906D6" w:rsidR="001A1788">
        <w:rPr>
          <w:rFonts w:eastAsia="Times New Roman"/>
        </w:rPr>
        <w:t>COVID-related questions</w:t>
      </w:r>
      <w:r w:rsidR="000E0AAF">
        <w:rPr>
          <w:rFonts w:eastAsia="Times New Roman"/>
        </w:rPr>
        <w:t xml:space="preserve">. </w:t>
      </w:r>
      <w:r w:rsidRPr="00C906D6" w:rsidR="001A1788">
        <w:t>Issues compromising the data quality came in part due to the pace in quickly preparing for the field test</w:t>
      </w:r>
      <w:r w:rsidR="000E0AAF">
        <w:t xml:space="preserve"> (due to the inability to extend the current contract beyond the period of performance)</w:t>
      </w:r>
      <w:r w:rsidRPr="00C906D6" w:rsidR="001A1788">
        <w:t xml:space="preserve">, </w:t>
      </w:r>
      <w:r w:rsidRPr="00C906D6" w:rsidR="001A1788">
        <w:lastRenderedPageBreak/>
        <w:t xml:space="preserve">preventing a pre-test, as well as the change in mode from hard-copy delivered in person by field staff (as done in the prior phase) to a web-based instrument.  </w:t>
      </w:r>
    </w:p>
    <w:p w:rsidRPr="00C906D6" w:rsidR="00032175" w:rsidP="00032175" w:rsidRDefault="00C906D6" w14:paraId="20305116" w14:textId="6A4AA785">
      <w:pPr>
        <w:pStyle w:val="Paragraph"/>
      </w:pPr>
      <w:r>
        <w:t>We began doing our checks of the TUS data after about a third o</w:t>
      </w:r>
      <w:r w:rsidR="002B2077">
        <w:t>f</w:t>
      </w:r>
      <w:r>
        <w:t xml:space="preserve"> our potential sample completed the survey. W</w:t>
      </w:r>
      <w:r w:rsidRPr="00C906D6" w:rsidR="00032175">
        <w:t xml:space="preserve">e </w:t>
      </w:r>
      <w:r>
        <w:t>noticed</w:t>
      </w:r>
      <w:r w:rsidRPr="00C906D6" w:rsidR="00032175">
        <w:t xml:space="preserve"> a lot of double-counting in hours across activities and hours summing to much more than the time worked in a typical week. This is a</w:t>
      </w:r>
      <w:r w:rsidR="008002CC">
        <w:t xml:space="preserve"> major</w:t>
      </w:r>
      <w:r w:rsidRPr="00C906D6" w:rsidR="00032175">
        <w:t xml:space="preserve"> concern because it compromises our ability to allocate staff labor hours to the different key functions</w:t>
      </w:r>
      <w:r w:rsidR="008002CC">
        <w:t xml:space="preserve"> appropriately</w:t>
      </w:r>
      <w:r w:rsidRPr="00C906D6" w:rsidR="00032175">
        <w:t xml:space="preserve">. </w:t>
      </w:r>
      <w:r w:rsidRPr="00C906D6" w:rsidR="001A1788">
        <w:t>We cannot use the data as collected.</w:t>
      </w:r>
    </w:p>
    <w:p w:rsidRPr="00FF5E42" w:rsidR="00032175" w:rsidP="001A1788" w:rsidRDefault="00032175" w14:paraId="2EE8C2BE" w14:textId="7D26BC7A">
      <w:pPr>
        <w:rPr>
          <w:rFonts w:asciiTheme="minorHAnsi" w:hAnsiTheme="minorHAnsi" w:cstheme="minorHAnsi"/>
          <w:sz w:val="22"/>
          <w:szCs w:val="22"/>
        </w:rPr>
      </w:pPr>
      <w:r w:rsidRPr="00FF5E42">
        <w:rPr>
          <w:rFonts w:asciiTheme="minorHAnsi" w:hAnsiTheme="minorHAnsi" w:cstheme="minorHAnsi"/>
          <w:sz w:val="22"/>
          <w:szCs w:val="22"/>
        </w:rPr>
        <w:t xml:space="preserve">Data from the </w:t>
      </w:r>
      <w:r w:rsidR="00C906D6">
        <w:rPr>
          <w:rFonts w:asciiTheme="minorHAnsi" w:hAnsiTheme="minorHAnsi" w:cstheme="minorHAnsi"/>
          <w:sz w:val="22"/>
          <w:szCs w:val="22"/>
        </w:rPr>
        <w:t>TUS</w:t>
      </w:r>
      <w:r w:rsidRPr="00FF5E42">
        <w:rPr>
          <w:rFonts w:asciiTheme="minorHAnsi" w:hAnsiTheme="minorHAnsi" w:cstheme="minorHAnsi"/>
          <w:sz w:val="22"/>
          <w:szCs w:val="22"/>
        </w:rPr>
        <w:t xml:space="preserve"> is essential to creating the ICHQ cost measures by key function. Time use allows us to allocate labor hours—the largest resource category—across the five key functions of a center. Understanding the variation in costs across functions is vital to using ICHQ measures to shed light on efficient, and potentially different, pathways to quality.</w:t>
      </w:r>
      <w:r w:rsidRPr="00FF5E42" w:rsidR="001A1788">
        <w:rPr>
          <w:rFonts w:asciiTheme="minorHAnsi" w:hAnsiTheme="minorHAnsi" w:cstheme="minorHAnsi"/>
          <w:sz w:val="22"/>
          <w:szCs w:val="22"/>
        </w:rPr>
        <w:t xml:space="preserve"> </w:t>
      </w:r>
    </w:p>
    <w:p w:rsidRPr="00FF5E42" w:rsidR="001A1788" w:rsidP="001A1788" w:rsidRDefault="001A1788" w14:paraId="2D31A6DA" w14:textId="77777777">
      <w:pPr>
        <w:rPr>
          <w:rFonts w:asciiTheme="minorHAnsi" w:hAnsiTheme="minorHAnsi" w:cstheme="minorHAnsi"/>
          <w:sz w:val="22"/>
          <w:szCs w:val="22"/>
        </w:rPr>
      </w:pPr>
    </w:p>
    <w:p w:rsidR="00DD191B" w:rsidP="00E770CA" w:rsidRDefault="00DD191B" w14:paraId="454A9AD1" w14:textId="35DBCD3D">
      <w:pPr>
        <w:rPr>
          <w:rFonts w:asciiTheme="minorHAnsi" w:hAnsiTheme="minorHAnsi" w:cstheme="minorHAnsi"/>
          <w:sz w:val="22"/>
          <w:szCs w:val="22"/>
        </w:rPr>
      </w:pPr>
      <w:r w:rsidRPr="001B1676">
        <w:rPr>
          <w:rFonts w:asciiTheme="minorHAnsi" w:hAnsiTheme="minorHAnsi" w:cstheme="minorHAnsi"/>
          <w:b/>
          <w:bCs/>
          <w:sz w:val="22"/>
          <w:szCs w:val="22"/>
        </w:rPr>
        <w:t xml:space="preserve">We </w:t>
      </w:r>
      <w:r w:rsidR="0091332B">
        <w:rPr>
          <w:rFonts w:asciiTheme="minorHAnsi" w:hAnsiTheme="minorHAnsi" w:cstheme="minorHAnsi"/>
          <w:b/>
          <w:bCs/>
          <w:sz w:val="22"/>
          <w:szCs w:val="22"/>
        </w:rPr>
        <w:t>propose</w:t>
      </w:r>
      <w:r w:rsidRPr="001B1676">
        <w:rPr>
          <w:rFonts w:asciiTheme="minorHAnsi" w:hAnsiTheme="minorHAnsi" w:cstheme="minorHAnsi"/>
          <w:b/>
          <w:bCs/>
          <w:sz w:val="22"/>
          <w:szCs w:val="22"/>
        </w:rPr>
        <w:t xml:space="preserve"> to administer </w:t>
      </w:r>
      <w:r>
        <w:rPr>
          <w:rFonts w:asciiTheme="minorHAnsi" w:hAnsiTheme="minorHAnsi" w:cstheme="minorHAnsi"/>
          <w:b/>
          <w:bCs/>
          <w:sz w:val="22"/>
          <w:szCs w:val="22"/>
        </w:rPr>
        <w:t>a</w:t>
      </w:r>
      <w:r w:rsidRPr="001B1676">
        <w:rPr>
          <w:rFonts w:asciiTheme="minorHAnsi" w:hAnsiTheme="minorHAnsi" w:cstheme="minorHAnsi"/>
          <w:b/>
          <w:bCs/>
          <w:sz w:val="22"/>
          <w:szCs w:val="22"/>
        </w:rPr>
        <w:t xml:space="preserve"> revised version </w:t>
      </w:r>
      <w:r>
        <w:rPr>
          <w:rFonts w:asciiTheme="minorHAnsi" w:hAnsiTheme="minorHAnsi" w:cstheme="minorHAnsi"/>
          <w:b/>
          <w:bCs/>
          <w:sz w:val="22"/>
          <w:szCs w:val="22"/>
        </w:rPr>
        <w:t xml:space="preserve">of the TUS </w:t>
      </w:r>
      <w:r w:rsidRPr="001B1676">
        <w:rPr>
          <w:rFonts w:asciiTheme="minorHAnsi" w:hAnsiTheme="minorHAnsi" w:cstheme="minorHAnsi"/>
          <w:b/>
          <w:bCs/>
          <w:sz w:val="22"/>
          <w:szCs w:val="22"/>
        </w:rPr>
        <w:t>with the entire field test sample.</w:t>
      </w:r>
      <w:r w:rsidRPr="001B1676">
        <w:rPr>
          <w:rFonts w:asciiTheme="minorHAnsi" w:hAnsiTheme="minorHAnsi" w:cstheme="minorHAnsi"/>
          <w:sz w:val="22"/>
          <w:szCs w:val="22"/>
        </w:rPr>
        <w:t xml:space="preserve"> </w:t>
      </w:r>
    </w:p>
    <w:p w:rsidR="00DD191B" w:rsidP="00E770CA" w:rsidRDefault="00DD191B" w14:paraId="358615D2" w14:textId="77777777">
      <w:pPr>
        <w:rPr>
          <w:rFonts w:asciiTheme="minorHAnsi" w:hAnsiTheme="minorHAnsi" w:cstheme="minorHAnsi"/>
          <w:sz w:val="22"/>
          <w:szCs w:val="22"/>
        </w:rPr>
      </w:pPr>
    </w:p>
    <w:p w:rsidRPr="00FF5E42" w:rsidR="00DD191B" w:rsidP="00FF5E42" w:rsidRDefault="00DD191B" w14:paraId="1AE97C13" w14:textId="56DFC627">
      <w:pPr>
        <w:pStyle w:val="ListParagraph"/>
        <w:numPr>
          <w:ilvl w:val="0"/>
          <w:numId w:val="15"/>
        </w:numPr>
        <w:rPr>
          <w:rFonts w:asciiTheme="minorHAnsi" w:hAnsiTheme="minorHAnsi" w:cstheme="minorHAnsi"/>
        </w:rPr>
      </w:pPr>
      <w:r w:rsidRPr="00FF5E42">
        <w:rPr>
          <w:rFonts w:asciiTheme="minorHAnsi" w:hAnsiTheme="minorHAnsi" w:cstheme="minorHAnsi"/>
          <w:u w:val="single"/>
        </w:rPr>
        <w:t>Proposed Revisions</w:t>
      </w:r>
      <w:r w:rsidRPr="00FF5E42">
        <w:rPr>
          <w:rFonts w:asciiTheme="minorHAnsi" w:hAnsiTheme="minorHAnsi" w:cstheme="minorHAnsi"/>
        </w:rPr>
        <w:t xml:space="preserve">: The structural problem with the TUS impacted </w:t>
      </w:r>
      <w:proofErr w:type="gramStart"/>
      <w:r w:rsidRPr="00FF5E42">
        <w:rPr>
          <w:rFonts w:asciiTheme="minorHAnsi" w:hAnsiTheme="minorHAnsi" w:cstheme="minorHAnsi"/>
        </w:rPr>
        <w:t>the majority of</w:t>
      </w:r>
      <w:proofErr w:type="gramEnd"/>
      <w:r w:rsidRPr="00FF5E42">
        <w:rPr>
          <w:rFonts w:asciiTheme="minorHAnsi" w:hAnsiTheme="minorHAnsi" w:cstheme="minorHAnsi"/>
        </w:rPr>
        <w:t xml:space="preserve"> the questions in the survey. We have created a corrected version that will be shorter to administer overall and take less time per respondent than individual follow-up to clarify responses on the original TUS. Additionally, this version is fully compatible on a mobile device. </w:t>
      </w:r>
    </w:p>
    <w:p w:rsidRPr="00FF5E42" w:rsidR="00DD191B" w:rsidP="00FF5E42" w:rsidRDefault="00DD191B" w14:paraId="3AB7E656" w14:textId="77777777">
      <w:pPr>
        <w:pStyle w:val="ListParagraph"/>
        <w:spacing w:after="120"/>
        <w:rPr>
          <w:rFonts w:asciiTheme="minorHAnsi" w:hAnsiTheme="minorHAnsi" w:cstheme="minorHAnsi"/>
          <w:sz w:val="12"/>
          <w:szCs w:val="12"/>
        </w:rPr>
      </w:pPr>
    </w:p>
    <w:p w:rsidRPr="00FF5E42" w:rsidR="001A1788" w:rsidP="00FF5E42" w:rsidRDefault="00DD191B" w14:paraId="13B48538" w14:textId="3713B081">
      <w:pPr>
        <w:pStyle w:val="ListParagraph"/>
        <w:numPr>
          <w:ilvl w:val="0"/>
          <w:numId w:val="15"/>
        </w:numPr>
        <w:rPr>
          <w:rFonts w:asciiTheme="minorHAnsi" w:hAnsiTheme="minorHAnsi" w:cstheme="minorHAnsi"/>
        </w:rPr>
      </w:pPr>
      <w:r w:rsidRPr="00FF5E42">
        <w:rPr>
          <w:rFonts w:asciiTheme="minorHAnsi" w:hAnsiTheme="minorHAnsi" w:cstheme="minorHAnsi"/>
          <w:u w:val="single"/>
        </w:rPr>
        <w:t>Why the Full Field Test Sample</w:t>
      </w:r>
      <w:r>
        <w:rPr>
          <w:rFonts w:asciiTheme="minorHAnsi" w:hAnsiTheme="minorHAnsi" w:cstheme="minorHAnsi"/>
        </w:rPr>
        <w:t xml:space="preserve">: </w:t>
      </w:r>
      <w:r w:rsidRPr="00FF5E42" w:rsidR="001A1788">
        <w:rPr>
          <w:rFonts w:asciiTheme="minorHAnsi" w:hAnsiTheme="minorHAnsi" w:cstheme="minorHAnsi"/>
        </w:rPr>
        <w:t>Fielding the corrected instrument with just non-respondents would give us an incomplete and likely biased picture of time use.</w:t>
      </w:r>
      <w:r w:rsidRPr="00FF5E42" w:rsidR="00E770CA">
        <w:rPr>
          <w:rFonts w:asciiTheme="minorHAnsi" w:hAnsiTheme="minorHAnsi" w:cstheme="minorHAnsi"/>
        </w:rPr>
        <w:t xml:space="preserve"> </w:t>
      </w:r>
      <w:r w:rsidRPr="00FF5E42" w:rsidR="008002CC">
        <w:rPr>
          <w:rFonts w:asciiTheme="minorHAnsi" w:hAnsiTheme="minorHAnsi" w:cstheme="minorHAnsi"/>
        </w:rPr>
        <w:t>Specifically, t</w:t>
      </w:r>
      <w:r w:rsidRPr="00FF5E42" w:rsidR="001A1788">
        <w:rPr>
          <w:rFonts w:asciiTheme="minorHAnsi" w:hAnsiTheme="minorHAnsi" w:cstheme="minorHAnsi"/>
        </w:rPr>
        <w:t>he TUS was fielded on a staggered basis as centers were recruited and centers with mixed funding and smaller centers were faster to complete the recruitment process than centers within other funding categories and larger centers. Losing the bulk of our sample, particularly for one of the key funding subgroups, would prevent us from doing subgroup analyses to explore patterns in staff time use across centers of different funding sources, a key lever through which the government can support quality.</w:t>
      </w:r>
      <w:r w:rsidRPr="00FF5E42" w:rsidR="00E770CA">
        <w:rPr>
          <w:rFonts w:asciiTheme="minorHAnsi" w:hAnsiTheme="minorHAnsi" w:cstheme="minorHAnsi"/>
        </w:rPr>
        <w:t xml:space="preserve"> </w:t>
      </w:r>
      <w:r w:rsidRPr="00FF5E42" w:rsidR="001A1788">
        <w:rPr>
          <w:rFonts w:asciiTheme="minorHAnsi" w:hAnsiTheme="minorHAnsi" w:cstheme="minorHAnsi"/>
        </w:rPr>
        <w:t>The sample was also released for recruitment by state. If we do not go back to all respondents, the remaining sample would consist primarily of centers in just 2 of the 4 states.</w:t>
      </w:r>
    </w:p>
    <w:p w:rsidRPr="00FF5E42" w:rsidR="00E770CA" w:rsidP="00E770CA" w:rsidRDefault="00E770CA" w14:paraId="48E9963A" w14:textId="44350C35">
      <w:pPr>
        <w:rPr>
          <w:rFonts w:asciiTheme="minorHAnsi" w:hAnsiTheme="minorHAnsi" w:cstheme="minorHAnsi"/>
          <w:sz w:val="22"/>
          <w:szCs w:val="22"/>
        </w:rPr>
      </w:pPr>
    </w:p>
    <w:p w:rsidRPr="00FF5E42" w:rsidR="00032175" w:rsidP="00FF5E42" w:rsidRDefault="00032175" w14:paraId="3283CE36" w14:textId="3EC4E385">
      <w:pPr>
        <w:ind w:left="720"/>
        <w:rPr>
          <w:rFonts w:asciiTheme="minorHAnsi" w:hAnsiTheme="minorHAnsi" w:cstheme="minorHAnsi"/>
          <w:sz w:val="22"/>
          <w:szCs w:val="22"/>
        </w:rPr>
      </w:pPr>
      <w:r w:rsidRPr="00FF5E42">
        <w:rPr>
          <w:rFonts w:asciiTheme="minorHAnsi" w:hAnsiTheme="minorHAnsi" w:cstheme="minorHAnsi"/>
          <w:sz w:val="22"/>
          <w:szCs w:val="22"/>
        </w:rPr>
        <w:t xml:space="preserve">Not having the time use data for the full sample will </w:t>
      </w:r>
      <w:r w:rsidR="00C906D6">
        <w:rPr>
          <w:rFonts w:asciiTheme="minorHAnsi" w:hAnsiTheme="minorHAnsi" w:cstheme="minorHAnsi"/>
          <w:sz w:val="22"/>
          <w:szCs w:val="22"/>
        </w:rPr>
        <w:t xml:space="preserve">also </w:t>
      </w:r>
      <w:r w:rsidRPr="00FF5E42">
        <w:rPr>
          <w:rFonts w:asciiTheme="minorHAnsi" w:hAnsiTheme="minorHAnsi" w:cstheme="minorHAnsi"/>
          <w:sz w:val="22"/>
          <w:szCs w:val="22"/>
        </w:rPr>
        <w:t xml:space="preserve">limit the ability to explore whether patterns in time use seen in </w:t>
      </w:r>
      <w:r w:rsidRPr="00FF5E42" w:rsidR="001A1788">
        <w:rPr>
          <w:rFonts w:asciiTheme="minorHAnsi" w:hAnsiTheme="minorHAnsi" w:cstheme="minorHAnsi"/>
          <w:sz w:val="22"/>
          <w:szCs w:val="22"/>
        </w:rPr>
        <w:t xml:space="preserve">the prior </w:t>
      </w:r>
      <w:r w:rsidRPr="00FF5E42">
        <w:rPr>
          <w:rFonts w:asciiTheme="minorHAnsi" w:hAnsiTheme="minorHAnsi" w:cstheme="minorHAnsi"/>
          <w:sz w:val="22"/>
          <w:szCs w:val="22"/>
        </w:rPr>
        <w:t xml:space="preserve">Phase 2 hold in a larger sample and how time use varies across the full sample and for different staff roles across centers with different characteristics. It will also prevent us from producing the full range of cost measures for all 80 centers in the field test. Not having TUS data for the full sample of centers </w:t>
      </w:r>
      <w:r w:rsidRPr="00FF5E42" w:rsidR="001A1788">
        <w:rPr>
          <w:rFonts w:asciiTheme="minorHAnsi" w:hAnsiTheme="minorHAnsi" w:cstheme="minorHAnsi"/>
          <w:sz w:val="22"/>
          <w:szCs w:val="22"/>
        </w:rPr>
        <w:t xml:space="preserve">also </w:t>
      </w:r>
      <w:r w:rsidRPr="00FF5E42">
        <w:rPr>
          <w:rFonts w:asciiTheme="minorHAnsi" w:hAnsiTheme="minorHAnsi" w:cstheme="minorHAnsi"/>
          <w:sz w:val="22"/>
          <w:szCs w:val="22"/>
        </w:rPr>
        <w:t xml:space="preserve">limits our statistical power to detect significant differences in the means of cost measures between subgroups of centers. It also limits our ability to examine associations between cost, implementation, and quality for the full sample and whether associations vary by different center characteristics. </w:t>
      </w:r>
    </w:p>
    <w:p w:rsidR="00C906D6" w:rsidP="00C906D6" w:rsidRDefault="00C906D6" w14:paraId="31F30BDC" w14:textId="77777777">
      <w:pPr>
        <w:rPr>
          <w:rFonts w:asciiTheme="minorHAnsi" w:hAnsiTheme="minorHAnsi" w:cstheme="minorHAnsi"/>
          <w:sz w:val="22"/>
          <w:szCs w:val="22"/>
        </w:rPr>
      </w:pPr>
    </w:p>
    <w:p w:rsidR="0030197F" w:rsidP="00FF5E42" w:rsidRDefault="0030197F" w14:paraId="7E388244" w14:textId="42420EC3">
      <w:pPr>
        <w:spacing w:after="120"/>
        <w:rPr>
          <w:rFonts w:asciiTheme="minorHAnsi" w:hAnsiTheme="minorHAnsi" w:cstheme="minorHAnsi"/>
          <w:sz w:val="22"/>
          <w:szCs w:val="22"/>
        </w:rPr>
      </w:pPr>
      <w:r>
        <w:rPr>
          <w:rFonts w:asciiTheme="minorHAnsi" w:hAnsiTheme="minorHAnsi" w:cstheme="minorHAnsi"/>
          <w:b/>
          <w:bCs/>
        </w:rPr>
        <w:t>W</w:t>
      </w:r>
      <w:r w:rsidRPr="000D1074">
        <w:rPr>
          <w:rFonts w:asciiTheme="minorHAnsi" w:hAnsiTheme="minorHAnsi" w:cstheme="minorHAnsi"/>
          <w:b/>
          <w:bCs/>
        </w:rPr>
        <w:t xml:space="preserve">e </w:t>
      </w:r>
      <w:r>
        <w:rPr>
          <w:rFonts w:asciiTheme="minorHAnsi" w:hAnsiTheme="minorHAnsi" w:cstheme="minorHAnsi"/>
          <w:b/>
          <w:bCs/>
        </w:rPr>
        <w:t xml:space="preserve">also propose </w:t>
      </w:r>
      <w:r w:rsidRPr="000D1074">
        <w:rPr>
          <w:rFonts w:asciiTheme="minorHAnsi" w:hAnsiTheme="minorHAnsi" w:cstheme="minorHAnsi"/>
          <w:b/>
          <w:bCs/>
        </w:rPr>
        <w:t xml:space="preserve">to administer the </w:t>
      </w:r>
      <w:r>
        <w:rPr>
          <w:rStyle w:val="CommentReference"/>
        </w:rPr>
        <w:t/>
      </w:r>
      <w:r>
        <w:rPr>
          <w:rStyle w:val="CommentReference"/>
        </w:rPr>
        <w:t/>
      </w:r>
      <w:r w:rsidRPr="000D1074">
        <w:rPr>
          <w:rFonts w:asciiTheme="minorHAnsi" w:hAnsiTheme="minorHAnsi" w:cstheme="minorHAnsi"/>
          <w:b/>
          <w:bCs/>
        </w:rPr>
        <w:t xml:space="preserve">revised </w:t>
      </w:r>
      <w:r>
        <w:rPr>
          <w:rFonts w:asciiTheme="minorHAnsi" w:hAnsiTheme="minorHAnsi" w:cstheme="minorHAnsi"/>
          <w:b/>
          <w:bCs/>
        </w:rPr>
        <w:t>TUS</w:t>
      </w:r>
      <w:r w:rsidRPr="000D1074">
        <w:rPr>
          <w:rFonts w:asciiTheme="minorHAnsi" w:hAnsiTheme="minorHAnsi" w:cstheme="minorHAnsi"/>
          <w:b/>
          <w:bCs/>
        </w:rPr>
        <w:t xml:space="preserve"> and the SEQUAL </w:t>
      </w:r>
      <w:r>
        <w:rPr>
          <w:rFonts w:asciiTheme="minorHAnsi" w:hAnsiTheme="minorHAnsi" w:cstheme="minorHAnsi"/>
          <w:b/>
          <w:bCs/>
        </w:rPr>
        <w:t xml:space="preserve">at the same time </w:t>
      </w:r>
      <w:r w:rsidRPr="000D1074">
        <w:rPr>
          <w:rFonts w:asciiTheme="minorHAnsi" w:hAnsiTheme="minorHAnsi" w:cstheme="minorHAnsi"/>
          <w:b/>
          <w:bCs/>
        </w:rPr>
        <w:t xml:space="preserve">to all eligible center staff, combine the </w:t>
      </w:r>
      <w:r>
        <w:rPr>
          <w:rFonts w:asciiTheme="minorHAnsi" w:hAnsiTheme="minorHAnsi" w:cstheme="minorHAnsi"/>
          <w:b/>
          <w:bCs/>
        </w:rPr>
        <w:t>tokens of appreciation</w:t>
      </w:r>
      <w:r w:rsidRPr="000D1074">
        <w:rPr>
          <w:rFonts w:asciiTheme="minorHAnsi" w:hAnsiTheme="minorHAnsi" w:cstheme="minorHAnsi"/>
          <w:b/>
          <w:bCs/>
        </w:rPr>
        <w:t xml:space="preserve">, and revise the </w:t>
      </w:r>
      <w:r>
        <w:rPr>
          <w:rFonts w:asciiTheme="minorHAnsi" w:hAnsiTheme="minorHAnsi" w:cstheme="minorHAnsi"/>
          <w:b/>
          <w:bCs/>
        </w:rPr>
        <w:t>approved experiments examining the timing of the token of appreciation.</w:t>
      </w:r>
      <w:r w:rsidRPr="000D1074">
        <w:rPr>
          <w:rFonts w:asciiTheme="minorHAnsi" w:hAnsiTheme="minorHAnsi" w:cstheme="minorHAnsi"/>
        </w:rPr>
        <w:t xml:space="preserve"> </w:t>
      </w:r>
    </w:p>
    <w:p w:rsidR="00AC6BB7" w:rsidP="00AC6BB7" w:rsidRDefault="00AC6BB7" w14:paraId="369607E6" w14:textId="4DA3D37B">
      <w:pPr>
        <w:pStyle w:val="ListParagraph"/>
        <w:numPr>
          <w:ilvl w:val="0"/>
          <w:numId w:val="16"/>
        </w:numPr>
        <w:rPr>
          <w:rFonts w:asciiTheme="minorHAnsi" w:hAnsiTheme="minorHAnsi" w:cstheme="minorHAnsi"/>
        </w:rPr>
      </w:pPr>
      <w:r w:rsidRPr="00FF5E42">
        <w:rPr>
          <w:rFonts w:asciiTheme="minorHAnsi" w:hAnsiTheme="minorHAnsi" w:cstheme="minorHAnsi"/>
          <w:u w:val="single"/>
        </w:rPr>
        <w:t>Joint Administration</w:t>
      </w:r>
      <w:r>
        <w:rPr>
          <w:rFonts w:asciiTheme="minorHAnsi" w:hAnsiTheme="minorHAnsi" w:cstheme="minorHAnsi"/>
        </w:rPr>
        <w:t>: Since we are going out into the field to collect responses on the SEQUAL from the same respondents to the TUS, it is least burdensome to collect the TUS and the SEQUAL information at the same time.</w:t>
      </w:r>
      <w:r w:rsidRPr="00691971">
        <w:rPr>
          <w:rFonts w:asciiTheme="minorHAnsi" w:hAnsiTheme="minorHAnsi" w:cstheme="minorHAnsi"/>
        </w:rPr>
        <w:t xml:space="preserve"> </w:t>
      </w:r>
    </w:p>
    <w:p w:rsidRPr="005A1A6B" w:rsidR="00E770CA" w:rsidP="00FF5E42" w:rsidRDefault="00AC6BB7" w14:paraId="01F7A2D8" w14:textId="3707D8B2">
      <w:pPr>
        <w:pStyle w:val="ListParagraph"/>
        <w:numPr>
          <w:ilvl w:val="0"/>
          <w:numId w:val="16"/>
        </w:numPr>
        <w:rPr>
          <w:rFonts w:asciiTheme="minorHAnsi" w:hAnsiTheme="minorHAnsi" w:cstheme="minorHAnsi"/>
        </w:rPr>
      </w:pPr>
      <w:r w:rsidRPr="00FF5E42">
        <w:rPr>
          <w:rFonts w:asciiTheme="minorHAnsi" w:hAnsiTheme="minorHAnsi" w:cstheme="minorHAnsi"/>
          <w:u w:val="single"/>
        </w:rPr>
        <w:lastRenderedPageBreak/>
        <w:t>Revised Experiment Plan</w:t>
      </w:r>
      <w:r>
        <w:rPr>
          <w:rFonts w:asciiTheme="minorHAnsi" w:hAnsiTheme="minorHAnsi" w:cstheme="minorHAnsi"/>
        </w:rPr>
        <w:t xml:space="preserve">: </w:t>
      </w:r>
      <w:r w:rsidRPr="00691971" w:rsidR="00E770CA">
        <w:rPr>
          <w:rFonts w:asciiTheme="minorHAnsi" w:hAnsiTheme="minorHAnsi" w:cstheme="minorHAnsi"/>
        </w:rPr>
        <w:t xml:space="preserve">The </w:t>
      </w:r>
      <w:r w:rsidRPr="00FF5E42" w:rsidR="008002CC">
        <w:rPr>
          <w:rFonts w:asciiTheme="minorHAnsi" w:hAnsiTheme="minorHAnsi" w:cstheme="minorHAnsi"/>
        </w:rPr>
        <w:t xml:space="preserve">original </w:t>
      </w:r>
      <w:r w:rsidRPr="00691971" w:rsidR="00E770CA">
        <w:rPr>
          <w:rFonts w:asciiTheme="minorHAnsi" w:hAnsiTheme="minorHAnsi" w:cstheme="minorHAnsi"/>
        </w:rPr>
        <w:t xml:space="preserve">two </w:t>
      </w:r>
      <w:r w:rsidR="000E0AAF">
        <w:rPr>
          <w:rFonts w:asciiTheme="minorHAnsi" w:hAnsiTheme="minorHAnsi" w:cstheme="minorHAnsi"/>
        </w:rPr>
        <w:t>token of appreciation</w:t>
      </w:r>
      <w:r w:rsidRPr="00FF5E42" w:rsidR="008002CC">
        <w:rPr>
          <w:rFonts w:asciiTheme="minorHAnsi" w:hAnsiTheme="minorHAnsi" w:cstheme="minorHAnsi"/>
        </w:rPr>
        <w:t xml:space="preserve"> </w:t>
      </w:r>
      <w:r w:rsidRPr="00691971" w:rsidR="00E770CA">
        <w:rPr>
          <w:rFonts w:asciiTheme="minorHAnsi" w:hAnsiTheme="minorHAnsi" w:cstheme="minorHAnsi"/>
        </w:rPr>
        <w:t xml:space="preserve">experiments were planned to be separate because we expected to finish the </w:t>
      </w:r>
      <w:r w:rsidRPr="00FF5E42" w:rsidR="008002CC">
        <w:rPr>
          <w:rFonts w:asciiTheme="minorHAnsi" w:hAnsiTheme="minorHAnsi" w:cstheme="minorHAnsi"/>
        </w:rPr>
        <w:t>TUS</w:t>
      </w:r>
      <w:r w:rsidRPr="00691971" w:rsidR="00E770CA">
        <w:rPr>
          <w:rFonts w:asciiTheme="minorHAnsi" w:hAnsiTheme="minorHAnsi" w:cstheme="minorHAnsi"/>
        </w:rPr>
        <w:t xml:space="preserve"> data collection in August/September and administer the SEQUAL beginning in October. </w:t>
      </w:r>
      <w:r>
        <w:rPr>
          <w:rFonts w:asciiTheme="minorHAnsi" w:hAnsiTheme="minorHAnsi" w:cstheme="minorHAnsi"/>
        </w:rPr>
        <w:t xml:space="preserve">Since </w:t>
      </w:r>
      <w:r w:rsidRPr="00FF5E42" w:rsidR="00E770CA">
        <w:rPr>
          <w:rFonts w:asciiTheme="minorHAnsi" w:hAnsiTheme="minorHAnsi" w:cstheme="minorHAnsi"/>
        </w:rPr>
        <w:t>it will no longer be viable to administer them as distinct surveys</w:t>
      </w:r>
      <w:r>
        <w:rPr>
          <w:rFonts w:asciiTheme="minorHAnsi" w:hAnsiTheme="minorHAnsi" w:cstheme="minorHAnsi"/>
        </w:rPr>
        <w:t xml:space="preserve"> and w</w:t>
      </w:r>
      <w:r w:rsidRPr="00691971" w:rsidR="00E770CA">
        <w:rPr>
          <w:rFonts w:asciiTheme="minorHAnsi" w:hAnsiTheme="minorHAnsi" w:cstheme="minorHAnsi"/>
        </w:rPr>
        <w:t xml:space="preserve">e </w:t>
      </w:r>
      <w:r w:rsidRPr="00FF5E42" w:rsidR="00E770CA">
        <w:rPr>
          <w:rFonts w:asciiTheme="minorHAnsi" w:hAnsiTheme="minorHAnsi" w:cstheme="minorHAnsi"/>
        </w:rPr>
        <w:t>need to combine the fielding of the two surveys</w:t>
      </w:r>
      <w:r>
        <w:rPr>
          <w:rFonts w:asciiTheme="minorHAnsi" w:hAnsiTheme="minorHAnsi" w:cstheme="minorHAnsi"/>
        </w:rPr>
        <w:t xml:space="preserve">, we also need to </w:t>
      </w:r>
      <w:r w:rsidRPr="00691971" w:rsidR="00E770CA">
        <w:rPr>
          <w:rFonts w:asciiTheme="minorHAnsi" w:hAnsiTheme="minorHAnsi" w:cstheme="minorHAnsi"/>
        </w:rPr>
        <w:t xml:space="preserve">revisit the structure of the </w:t>
      </w:r>
      <w:r w:rsidRPr="00FF5E42" w:rsidR="008002CC">
        <w:rPr>
          <w:rFonts w:asciiTheme="minorHAnsi" w:hAnsiTheme="minorHAnsi" w:cstheme="minorHAnsi"/>
        </w:rPr>
        <w:t xml:space="preserve">participant </w:t>
      </w:r>
      <w:r w:rsidR="00691971">
        <w:rPr>
          <w:rFonts w:asciiTheme="minorHAnsi" w:hAnsiTheme="minorHAnsi" w:cstheme="minorHAnsi"/>
        </w:rPr>
        <w:t>tokens of appreciation</w:t>
      </w:r>
      <w:r w:rsidRPr="00691971" w:rsidR="008002CC">
        <w:rPr>
          <w:rFonts w:asciiTheme="minorHAnsi" w:hAnsiTheme="minorHAnsi" w:cstheme="minorHAnsi"/>
        </w:rPr>
        <w:t xml:space="preserve"> </w:t>
      </w:r>
      <w:r w:rsidRPr="005A1A6B" w:rsidR="00E770CA">
        <w:rPr>
          <w:rFonts w:asciiTheme="minorHAnsi" w:hAnsiTheme="minorHAnsi" w:cstheme="minorHAnsi"/>
        </w:rPr>
        <w:t>and the experiment.</w:t>
      </w:r>
    </w:p>
    <w:p w:rsidRPr="00FF5E42" w:rsidR="001A1788" w:rsidP="001A1788" w:rsidRDefault="001A1788" w14:paraId="11501F8F" w14:textId="77777777">
      <w:pPr>
        <w:rPr>
          <w:rFonts w:asciiTheme="minorHAnsi" w:hAnsiTheme="minorHAnsi" w:cstheme="minorHAnsi"/>
          <w:sz w:val="22"/>
          <w:szCs w:val="22"/>
        </w:rPr>
      </w:pPr>
    </w:p>
    <w:p w:rsidRPr="00FF5E42" w:rsidR="000D3416" w:rsidP="00FF5E42" w:rsidRDefault="008002CC" w14:paraId="1174AC39" w14:textId="1EDF21A8">
      <w:pPr>
        <w:pStyle w:val="Paragraph"/>
        <w:ind w:left="720"/>
        <w:rPr>
          <w:rFonts w:cstheme="minorHAnsi"/>
        </w:rPr>
      </w:pPr>
      <w:r>
        <w:rPr>
          <w:rFonts w:cstheme="minorHAnsi"/>
        </w:rPr>
        <w:t xml:space="preserve">Although we had quality issues with the original TUS, we </w:t>
      </w:r>
      <w:proofErr w:type="gramStart"/>
      <w:r>
        <w:rPr>
          <w:rFonts w:cstheme="minorHAnsi"/>
        </w:rPr>
        <w:t>are able to</w:t>
      </w:r>
      <w:proofErr w:type="gramEnd"/>
      <w:r>
        <w:rPr>
          <w:rFonts w:cstheme="minorHAnsi"/>
        </w:rPr>
        <w:t xml:space="preserve"> make some statements about the </w:t>
      </w:r>
      <w:r w:rsidR="00691971">
        <w:rPr>
          <w:rFonts w:cstheme="minorHAnsi"/>
        </w:rPr>
        <w:t>pre- and post-pay</w:t>
      </w:r>
      <w:r>
        <w:rPr>
          <w:rFonts w:cstheme="minorHAnsi"/>
        </w:rPr>
        <w:t xml:space="preserve"> experiment. </w:t>
      </w:r>
      <w:r w:rsidRPr="00FF5E42" w:rsidR="00032175">
        <w:rPr>
          <w:rFonts w:cstheme="minorHAnsi"/>
        </w:rPr>
        <w:t xml:space="preserve">The findings from the </w:t>
      </w:r>
      <w:r>
        <w:rPr>
          <w:rFonts w:cstheme="minorHAnsi"/>
        </w:rPr>
        <w:t>TUS</w:t>
      </w:r>
      <w:r w:rsidRPr="00FF5E42" w:rsidR="00032175">
        <w:rPr>
          <w:rFonts w:cstheme="minorHAnsi"/>
        </w:rPr>
        <w:t xml:space="preserve"> </w:t>
      </w:r>
      <w:r w:rsidRPr="00691971" w:rsidR="00691971">
        <w:rPr>
          <w:rFonts w:cstheme="minorHAnsi"/>
        </w:rPr>
        <w:t xml:space="preserve"> </w:t>
      </w:r>
      <w:r w:rsidR="00691971">
        <w:rPr>
          <w:rFonts w:cstheme="minorHAnsi"/>
        </w:rPr>
        <w:t xml:space="preserve">pre- and post-pay </w:t>
      </w:r>
      <w:r w:rsidRPr="00FF5E42" w:rsidR="00032175">
        <w:rPr>
          <w:rFonts w:cstheme="minorHAnsi"/>
        </w:rPr>
        <w:t xml:space="preserve">experiment based on the first part of the sample are conclusive and helpful in identifying an effective approach to producing high response rates among center staff.  </w:t>
      </w:r>
      <w:r w:rsidRPr="00FF5E42" w:rsidR="000D3416">
        <w:rPr>
          <w:rFonts w:cstheme="minorHAnsi"/>
        </w:rPr>
        <w:t xml:space="preserve">We see a significantly higher response rate among the group of </w:t>
      </w:r>
      <w:r w:rsidRPr="00FF5E42" w:rsidR="00242E2D">
        <w:rPr>
          <w:rFonts w:cstheme="minorHAnsi"/>
        </w:rPr>
        <w:t>respondents</w:t>
      </w:r>
      <w:r w:rsidRPr="00FF5E42" w:rsidR="000D3416">
        <w:rPr>
          <w:rFonts w:cstheme="minorHAnsi"/>
        </w:rPr>
        <w:t xml:space="preserve"> who received the pre-paid </w:t>
      </w:r>
      <w:r w:rsidR="00F13E4F">
        <w:rPr>
          <w:rFonts w:cstheme="minorHAnsi"/>
        </w:rPr>
        <w:t>payment</w:t>
      </w:r>
      <w:r w:rsidRPr="00FF5E42" w:rsidR="00F13E4F">
        <w:rPr>
          <w:rFonts w:cstheme="minorHAnsi"/>
        </w:rPr>
        <w:t xml:space="preserve"> </w:t>
      </w:r>
      <w:r w:rsidRPr="00FF5E42" w:rsidR="000D3416">
        <w:rPr>
          <w:rFonts w:cstheme="minorHAnsi"/>
        </w:rPr>
        <w:t>over those who did not (81% compared to 61%, respectively) (Exhibit 5). We do not see differences in the timing to complete the surveys between the two groups (about 11 days, on average).</w:t>
      </w:r>
    </w:p>
    <w:p w:rsidRPr="00FF5E42" w:rsidR="000D3416" w:rsidP="000D3416" w:rsidRDefault="000D3416" w14:paraId="43FFC559" w14:textId="711ADFE7">
      <w:pPr>
        <w:pStyle w:val="ExhibitTitle"/>
        <w:rPr>
          <w:rFonts w:eastAsia="Times New Roman"/>
          <w:sz w:val="22"/>
        </w:rPr>
      </w:pPr>
      <w:r w:rsidRPr="00FF5E42">
        <w:rPr>
          <w:rFonts w:eastAsia="Times New Roman"/>
          <w:sz w:val="22"/>
        </w:rPr>
        <w:t xml:space="preserve">Exhibit 1. Preliminary and partial findings from the </w:t>
      </w:r>
      <w:r w:rsidR="000E0AAF">
        <w:rPr>
          <w:rFonts w:eastAsia="Times New Roman"/>
          <w:sz w:val="22"/>
        </w:rPr>
        <w:t>token of appreciation</w:t>
      </w:r>
      <w:r w:rsidRPr="00FF5E42" w:rsidR="00F13E4F">
        <w:rPr>
          <w:rFonts w:eastAsia="Times New Roman"/>
          <w:sz w:val="22"/>
        </w:rPr>
        <w:t xml:space="preserve"> </w:t>
      </w:r>
      <w:r w:rsidRPr="00FF5E42">
        <w:rPr>
          <w:rFonts w:eastAsia="Times New Roman"/>
          <w:sz w:val="22"/>
        </w:rPr>
        <w:t>experiment, among surveys released before July 2021</w:t>
      </w:r>
    </w:p>
    <w:tbl>
      <w:tblPr>
        <w:tblStyle w:val="TableGrid1"/>
        <w:tblW w:w="9751" w:type="dxa"/>
        <w:tblLook w:val="04A0" w:firstRow="1" w:lastRow="0" w:firstColumn="1" w:lastColumn="0" w:noHBand="0" w:noVBand="1"/>
      </w:tblPr>
      <w:tblGrid>
        <w:gridCol w:w="2845"/>
        <w:gridCol w:w="1009"/>
        <w:gridCol w:w="1254"/>
        <w:gridCol w:w="1149"/>
        <w:gridCol w:w="601"/>
        <w:gridCol w:w="634"/>
        <w:gridCol w:w="748"/>
        <w:gridCol w:w="931"/>
        <w:gridCol w:w="580"/>
      </w:tblGrid>
      <w:tr w:rsidRPr="00C906D6" w:rsidR="000D3416" w:rsidTr="0065475B" w14:paraId="3C4CC794" w14:textId="77777777">
        <w:tc>
          <w:tcPr>
            <w:tcW w:w="3145" w:type="dxa"/>
          </w:tcPr>
          <w:p w:rsidRPr="00FF5E42" w:rsidR="000D3416" w:rsidP="0065475B" w:rsidRDefault="000D3416" w14:paraId="4642BB7A" w14:textId="77777777">
            <w:pPr>
              <w:autoSpaceDE w:val="0"/>
              <w:autoSpaceDN w:val="0"/>
              <w:adjustRightInd w:val="0"/>
              <w:spacing w:line="259" w:lineRule="auto"/>
              <w:rPr>
                <w:rFonts w:ascii="Garamond" w:hAnsi="Garamond"/>
                <w:sz w:val="22"/>
                <w:szCs w:val="22"/>
              </w:rPr>
            </w:pPr>
          </w:p>
        </w:tc>
        <w:tc>
          <w:tcPr>
            <w:tcW w:w="2106" w:type="dxa"/>
            <w:gridSpan w:val="2"/>
          </w:tcPr>
          <w:p w:rsidRPr="00FF5E42" w:rsidR="000D3416" w:rsidP="0065475B" w:rsidRDefault="000D3416" w14:paraId="091F107D" w14:textId="77777777">
            <w:pPr>
              <w:autoSpaceDE w:val="0"/>
              <w:autoSpaceDN w:val="0"/>
              <w:adjustRightInd w:val="0"/>
              <w:spacing w:line="259" w:lineRule="auto"/>
              <w:jc w:val="center"/>
              <w:rPr>
                <w:rFonts w:ascii="Garamond" w:hAnsi="Garamond"/>
                <w:b/>
                <w:bCs/>
                <w:sz w:val="22"/>
                <w:szCs w:val="22"/>
              </w:rPr>
            </w:pPr>
            <w:r w:rsidRPr="00FF5E42">
              <w:rPr>
                <w:rFonts w:ascii="Garamond" w:hAnsi="Garamond"/>
                <w:b/>
                <w:bCs/>
                <w:sz w:val="22"/>
                <w:szCs w:val="22"/>
              </w:rPr>
              <w:t xml:space="preserve">Response </w:t>
            </w:r>
            <w:proofErr w:type="spellStart"/>
            <w:r w:rsidRPr="00FF5E42">
              <w:rPr>
                <w:rFonts w:ascii="Garamond" w:hAnsi="Garamond"/>
                <w:b/>
                <w:bCs/>
                <w:sz w:val="22"/>
                <w:szCs w:val="22"/>
              </w:rPr>
              <w:t>rate</w:t>
            </w:r>
            <w:r w:rsidRPr="00FF5E42">
              <w:rPr>
                <w:rFonts w:ascii="Garamond" w:hAnsi="Garamond"/>
                <w:b/>
                <w:bCs/>
                <w:sz w:val="22"/>
                <w:szCs w:val="22"/>
                <w:vertAlign w:val="superscript"/>
              </w:rPr>
              <w:t>a</w:t>
            </w:r>
            <w:proofErr w:type="spellEnd"/>
          </w:p>
        </w:tc>
        <w:tc>
          <w:tcPr>
            <w:tcW w:w="4500" w:type="dxa"/>
            <w:gridSpan w:val="6"/>
          </w:tcPr>
          <w:p w:rsidRPr="00FF5E42" w:rsidR="000D3416" w:rsidP="0065475B" w:rsidRDefault="000D3416" w14:paraId="07C844BC" w14:textId="77777777">
            <w:pPr>
              <w:autoSpaceDE w:val="0"/>
              <w:autoSpaceDN w:val="0"/>
              <w:adjustRightInd w:val="0"/>
              <w:spacing w:line="259" w:lineRule="auto"/>
              <w:jc w:val="center"/>
              <w:rPr>
                <w:rFonts w:ascii="Garamond" w:hAnsi="Garamond"/>
                <w:b/>
                <w:bCs/>
                <w:sz w:val="22"/>
                <w:szCs w:val="22"/>
              </w:rPr>
            </w:pPr>
            <w:r w:rsidRPr="00FF5E42">
              <w:rPr>
                <w:rFonts w:ascii="Garamond" w:hAnsi="Garamond"/>
                <w:b/>
                <w:bCs/>
                <w:sz w:val="22"/>
                <w:szCs w:val="22"/>
              </w:rPr>
              <w:t xml:space="preserve">Days to </w:t>
            </w:r>
            <w:proofErr w:type="spellStart"/>
            <w:r w:rsidRPr="00FF5E42">
              <w:rPr>
                <w:rFonts w:ascii="Garamond" w:hAnsi="Garamond"/>
                <w:b/>
                <w:bCs/>
                <w:sz w:val="22"/>
                <w:szCs w:val="22"/>
              </w:rPr>
              <w:t>complete</w:t>
            </w:r>
            <w:r w:rsidRPr="00FF5E42">
              <w:rPr>
                <w:rFonts w:ascii="Garamond" w:hAnsi="Garamond"/>
                <w:b/>
                <w:bCs/>
                <w:sz w:val="22"/>
                <w:szCs w:val="22"/>
                <w:vertAlign w:val="superscript"/>
              </w:rPr>
              <w:t>b</w:t>
            </w:r>
            <w:proofErr w:type="spellEnd"/>
          </w:p>
          <w:p w:rsidRPr="00FF5E42" w:rsidR="000D3416" w:rsidP="0065475B" w:rsidRDefault="000D3416" w14:paraId="2901920D" w14:textId="77777777">
            <w:pPr>
              <w:autoSpaceDE w:val="0"/>
              <w:autoSpaceDN w:val="0"/>
              <w:adjustRightInd w:val="0"/>
              <w:spacing w:line="259" w:lineRule="auto"/>
              <w:jc w:val="center"/>
              <w:rPr>
                <w:rFonts w:ascii="Garamond" w:hAnsi="Garamond"/>
                <w:b/>
                <w:bCs/>
                <w:sz w:val="22"/>
                <w:szCs w:val="22"/>
              </w:rPr>
            </w:pPr>
          </w:p>
        </w:tc>
      </w:tr>
      <w:tr w:rsidRPr="00C906D6" w:rsidR="000D3416" w:rsidTr="0065475B" w14:paraId="4080C2E0" w14:textId="77777777">
        <w:tc>
          <w:tcPr>
            <w:tcW w:w="3145" w:type="dxa"/>
          </w:tcPr>
          <w:p w:rsidRPr="00FF5E42" w:rsidR="000D3416" w:rsidP="0065475B" w:rsidRDefault="000D3416" w14:paraId="68913DD9" w14:textId="77777777">
            <w:pPr>
              <w:autoSpaceDE w:val="0"/>
              <w:autoSpaceDN w:val="0"/>
              <w:adjustRightInd w:val="0"/>
              <w:spacing w:line="259" w:lineRule="auto"/>
              <w:rPr>
                <w:rFonts w:ascii="Garamond" w:hAnsi="Garamond"/>
                <w:b/>
                <w:bCs/>
                <w:sz w:val="22"/>
                <w:szCs w:val="22"/>
              </w:rPr>
            </w:pPr>
          </w:p>
        </w:tc>
        <w:tc>
          <w:tcPr>
            <w:tcW w:w="937" w:type="dxa"/>
          </w:tcPr>
          <w:p w:rsidRPr="00FF5E42" w:rsidR="000D3416" w:rsidP="0065475B" w:rsidRDefault="000D3416" w14:paraId="26FE99CE"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Number of staff</w:t>
            </w:r>
          </w:p>
        </w:tc>
        <w:tc>
          <w:tcPr>
            <w:tcW w:w="1169" w:type="dxa"/>
          </w:tcPr>
          <w:p w:rsidRPr="00FF5E42" w:rsidR="000D3416" w:rsidP="0065475B" w:rsidRDefault="000D3416" w14:paraId="105F43DD"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Percentage</w:t>
            </w:r>
          </w:p>
        </w:tc>
        <w:tc>
          <w:tcPr>
            <w:tcW w:w="1169" w:type="dxa"/>
          </w:tcPr>
          <w:p w:rsidRPr="00FF5E42" w:rsidR="000D3416" w:rsidP="0065475B" w:rsidRDefault="000D3416" w14:paraId="31BB2876"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Number of staff</w:t>
            </w:r>
          </w:p>
        </w:tc>
        <w:tc>
          <w:tcPr>
            <w:tcW w:w="588" w:type="dxa"/>
          </w:tcPr>
          <w:p w:rsidRPr="00FF5E42" w:rsidR="000D3416" w:rsidP="0065475B" w:rsidRDefault="000D3416" w14:paraId="740C1307"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Min</w:t>
            </w:r>
          </w:p>
        </w:tc>
        <w:tc>
          <w:tcPr>
            <w:tcW w:w="596" w:type="dxa"/>
          </w:tcPr>
          <w:p w:rsidRPr="00FF5E42" w:rsidR="000D3416" w:rsidP="0065475B" w:rsidRDefault="000D3416" w14:paraId="0E42DD6C"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Max</w:t>
            </w:r>
          </w:p>
        </w:tc>
        <w:tc>
          <w:tcPr>
            <w:tcW w:w="700" w:type="dxa"/>
          </w:tcPr>
          <w:p w:rsidRPr="00FF5E42" w:rsidR="000D3416" w:rsidP="0065475B" w:rsidRDefault="000D3416" w14:paraId="36351EAC"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Mean</w:t>
            </w:r>
          </w:p>
        </w:tc>
        <w:tc>
          <w:tcPr>
            <w:tcW w:w="866" w:type="dxa"/>
          </w:tcPr>
          <w:p w:rsidRPr="00FF5E42" w:rsidR="000D3416" w:rsidP="0065475B" w:rsidRDefault="000D3416" w14:paraId="2EE68D4B"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Median</w:t>
            </w:r>
          </w:p>
        </w:tc>
        <w:tc>
          <w:tcPr>
            <w:tcW w:w="581" w:type="dxa"/>
          </w:tcPr>
          <w:p w:rsidRPr="00FF5E42" w:rsidR="000D3416" w:rsidP="0065475B" w:rsidRDefault="000D3416" w14:paraId="5DC743CC" w14:textId="77777777">
            <w:pPr>
              <w:autoSpaceDE w:val="0"/>
              <w:autoSpaceDN w:val="0"/>
              <w:adjustRightInd w:val="0"/>
              <w:spacing w:line="259" w:lineRule="auto"/>
              <w:rPr>
                <w:rFonts w:ascii="Garamond" w:hAnsi="Garamond"/>
                <w:b/>
                <w:bCs/>
                <w:sz w:val="22"/>
                <w:szCs w:val="22"/>
              </w:rPr>
            </w:pPr>
            <w:r w:rsidRPr="00FF5E42">
              <w:rPr>
                <w:rFonts w:ascii="Garamond" w:hAnsi="Garamond"/>
                <w:b/>
                <w:bCs/>
                <w:sz w:val="22"/>
                <w:szCs w:val="22"/>
              </w:rPr>
              <w:t>SD</w:t>
            </w:r>
          </w:p>
        </w:tc>
      </w:tr>
      <w:tr w:rsidRPr="00C906D6" w:rsidR="000D3416" w:rsidTr="0065475B" w14:paraId="589A503D" w14:textId="77777777">
        <w:tc>
          <w:tcPr>
            <w:tcW w:w="3145" w:type="dxa"/>
          </w:tcPr>
          <w:p w:rsidRPr="00FF5E42" w:rsidR="000D3416" w:rsidP="0065475B" w:rsidRDefault="000D3416" w14:paraId="26C0D615" w14:textId="77777777">
            <w:pPr>
              <w:autoSpaceDE w:val="0"/>
              <w:autoSpaceDN w:val="0"/>
              <w:adjustRightInd w:val="0"/>
              <w:spacing w:line="259" w:lineRule="auto"/>
              <w:rPr>
                <w:rFonts w:ascii="Garamond" w:hAnsi="Garamond"/>
                <w:sz w:val="22"/>
                <w:szCs w:val="22"/>
              </w:rPr>
            </w:pPr>
            <w:r w:rsidRPr="00FF5E42">
              <w:rPr>
                <w:rFonts w:ascii="Garamond" w:hAnsi="Garamond"/>
                <w:b/>
                <w:bCs/>
                <w:sz w:val="22"/>
                <w:szCs w:val="22"/>
              </w:rPr>
              <w:t>$10 pre-pay and $10 post-pay</w:t>
            </w:r>
          </w:p>
        </w:tc>
        <w:tc>
          <w:tcPr>
            <w:tcW w:w="937" w:type="dxa"/>
          </w:tcPr>
          <w:p w:rsidRPr="00FF5E42" w:rsidR="000D3416" w:rsidP="0065475B" w:rsidRDefault="000D3416" w14:paraId="4EE19AC7"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68</w:t>
            </w:r>
          </w:p>
        </w:tc>
        <w:tc>
          <w:tcPr>
            <w:tcW w:w="1169" w:type="dxa"/>
          </w:tcPr>
          <w:p w:rsidRPr="00FF5E42" w:rsidR="000D3416" w:rsidP="0065475B" w:rsidRDefault="000D3416" w14:paraId="3FFB9225"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80.9%</w:t>
            </w:r>
          </w:p>
        </w:tc>
        <w:tc>
          <w:tcPr>
            <w:tcW w:w="1169" w:type="dxa"/>
          </w:tcPr>
          <w:p w:rsidRPr="00FF5E42" w:rsidR="000D3416" w:rsidP="0065475B" w:rsidRDefault="000D3416" w14:paraId="312264B7"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55</w:t>
            </w:r>
          </w:p>
        </w:tc>
        <w:tc>
          <w:tcPr>
            <w:tcW w:w="588" w:type="dxa"/>
          </w:tcPr>
          <w:p w:rsidRPr="00FF5E42" w:rsidR="000D3416" w:rsidP="0065475B" w:rsidRDefault="000D3416" w14:paraId="0F7EA111"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2</w:t>
            </w:r>
          </w:p>
        </w:tc>
        <w:tc>
          <w:tcPr>
            <w:tcW w:w="596" w:type="dxa"/>
          </w:tcPr>
          <w:p w:rsidRPr="00FF5E42" w:rsidR="000D3416" w:rsidP="0065475B" w:rsidRDefault="000D3416" w14:paraId="07F5C1D3"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35</w:t>
            </w:r>
          </w:p>
        </w:tc>
        <w:tc>
          <w:tcPr>
            <w:tcW w:w="700" w:type="dxa"/>
          </w:tcPr>
          <w:p w:rsidRPr="00FF5E42" w:rsidR="000D3416" w:rsidP="0065475B" w:rsidRDefault="000D3416" w14:paraId="7A197B6A"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10.71</w:t>
            </w:r>
          </w:p>
        </w:tc>
        <w:tc>
          <w:tcPr>
            <w:tcW w:w="866" w:type="dxa"/>
          </w:tcPr>
          <w:p w:rsidRPr="00FF5E42" w:rsidR="000D3416" w:rsidP="0065475B" w:rsidRDefault="000D3416" w14:paraId="3EA08173"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7</w:t>
            </w:r>
          </w:p>
        </w:tc>
        <w:tc>
          <w:tcPr>
            <w:tcW w:w="581" w:type="dxa"/>
          </w:tcPr>
          <w:p w:rsidRPr="00FF5E42" w:rsidR="000D3416" w:rsidP="0065475B" w:rsidRDefault="000D3416" w14:paraId="2E930101"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7.98</w:t>
            </w:r>
          </w:p>
        </w:tc>
      </w:tr>
      <w:tr w:rsidRPr="00C906D6" w:rsidR="000D3416" w:rsidTr="0065475B" w14:paraId="2DE204DD" w14:textId="77777777">
        <w:tc>
          <w:tcPr>
            <w:tcW w:w="3145" w:type="dxa"/>
          </w:tcPr>
          <w:p w:rsidRPr="00FF5E42" w:rsidR="000D3416" w:rsidP="0065475B" w:rsidRDefault="000D3416" w14:paraId="33051BF0" w14:textId="77777777">
            <w:pPr>
              <w:autoSpaceDE w:val="0"/>
              <w:autoSpaceDN w:val="0"/>
              <w:adjustRightInd w:val="0"/>
              <w:spacing w:line="259" w:lineRule="auto"/>
              <w:rPr>
                <w:rFonts w:ascii="Garamond" w:hAnsi="Garamond"/>
                <w:sz w:val="22"/>
                <w:szCs w:val="22"/>
              </w:rPr>
            </w:pPr>
            <w:r w:rsidRPr="00FF5E42">
              <w:rPr>
                <w:rFonts w:ascii="Garamond" w:hAnsi="Garamond"/>
                <w:b/>
                <w:bCs/>
                <w:sz w:val="22"/>
                <w:szCs w:val="22"/>
              </w:rPr>
              <w:t>$20 post-pay</w:t>
            </w:r>
          </w:p>
        </w:tc>
        <w:tc>
          <w:tcPr>
            <w:tcW w:w="937" w:type="dxa"/>
          </w:tcPr>
          <w:p w:rsidRPr="00FF5E42" w:rsidR="000D3416" w:rsidP="0065475B" w:rsidRDefault="000D3416" w14:paraId="660D8F9D"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117</w:t>
            </w:r>
          </w:p>
        </w:tc>
        <w:tc>
          <w:tcPr>
            <w:tcW w:w="1169" w:type="dxa"/>
          </w:tcPr>
          <w:p w:rsidRPr="00FF5E42" w:rsidR="000D3416" w:rsidP="0065475B" w:rsidRDefault="000D3416" w14:paraId="314B7A8A"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60.7%</w:t>
            </w:r>
          </w:p>
        </w:tc>
        <w:tc>
          <w:tcPr>
            <w:tcW w:w="1169" w:type="dxa"/>
          </w:tcPr>
          <w:p w:rsidRPr="00FF5E42" w:rsidR="000D3416" w:rsidP="0065475B" w:rsidRDefault="000D3416" w14:paraId="37A8C751"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71</w:t>
            </w:r>
          </w:p>
        </w:tc>
        <w:tc>
          <w:tcPr>
            <w:tcW w:w="588" w:type="dxa"/>
          </w:tcPr>
          <w:p w:rsidRPr="00FF5E42" w:rsidR="000D3416" w:rsidP="0065475B" w:rsidRDefault="000D3416" w14:paraId="60F33754"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1</w:t>
            </w:r>
          </w:p>
        </w:tc>
        <w:tc>
          <w:tcPr>
            <w:tcW w:w="596" w:type="dxa"/>
          </w:tcPr>
          <w:p w:rsidRPr="00FF5E42" w:rsidR="000D3416" w:rsidP="0065475B" w:rsidRDefault="000D3416" w14:paraId="6D9E879A"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31</w:t>
            </w:r>
          </w:p>
        </w:tc>
        <w:tc>
          <w:tcPr>
            <w:tcW w:w="700" w:type="dxa"/>
          </w:tcPr>
          <w:p w:rsidRPr="00FF5E42" w:rsidR="000D3416" w:rsidP="0065475B" w:rsidRDefault="000D3416" w14:paraId="75C502F9"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10.72</w:t>
            </w:r>
          </w:p>
        </w:tc>
        <w:tc>
          <w:tcPr>
            <w:tcW w:w="866" w:type="dxa"/>
          </w:tcPr>
          <w:p w:rsidRPr="00FF5E42" w:rsidR="000D3416" w:rsidP="0065475B" w:rsidRDefault="000D3416" w14:paraId="220FF72E"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8</w:t>
            </w:r>
          </w:p>
        </w:tc>
        <w:tc>
          <w:tcPr>
            <w:tcW w:w="581" w:type="dxa"/>
          </w:tcPr>
          <w:p w:rsidRPr="00FF5E42" w:rsidR="000D3416" w:rsidP="0065475B" w:rsidRDefault="000D3416" w14:paraId="598A68C4" w14:textId="77777777">
            <w:pPr>
              <w:autoSpaceDE w:val="0"/>
              <w:autoSpaceDN w:val="0"/>
              <w:adjustRightInd w:val="0"/>
              <w:spacing w:line="259" w:lineRule="auto"/>
              <w:rPr>
                <w:rFonts w:ascii="Garamond" w:hAnsi="Garamond"/>
                <w:sz w:val="22"/>
                <w:szCs w:val="22"/>
              </w:rPr>
            </w:pPr>
            <w:r w:rsidRPr="00FF5E42">
              <w:rPr>
                <w:rFonts w:ascii="Garamond" w:hAnsi="Garamond"/>
                <w:sz w:val="22"/>
                <w:szCs w:val="22"/>
              </w:rPr>
              <w:t>8.50</w:t>
            </w:r>
          </w:p>
        </w:tc>
      </w:tr>
    </w:tbl>
    <w:p w:rsidRPr="00F13E4F" w:rsidR="000D3416" w:rsidP="000D3416" w:rsidRDefault="000D3416" w14:paraId="52E16E12" w14:textId="1C76E55F">
      <w:pPr>
        <w:autoSpaceDE w:val="0"/>
        <w:autoSpaceDN w:val="0"/>
        <w:adjustRightInd w:val="0"/>
        <w:rPr>
          <w:rFonts w:ascii="Garamond" w:hAnsi="Garamond"/>
          <w:sz w:val="20"/>
          <w:szCs w:val="20"/>
        </w:rPr>
      </w:pPr>
      <w:r w:rsidRPr="00F13E4F">
        <w:rPr>
          <w:rFonts w:ascii="Garamond" w:hAnsi="Garamond"/>
          <w:sz w:val="20"/>
          <w:szCs w:val="20"/>
        </w:rPr>
        <w:t xml:space="preserve">Note: Includes 26 field test centers for which the time use survey was been released more than 1 week prior to the survey pause. One field test center would not offer staff </w:t>
      </w:r>
      <w:r w:rsidR="00F13E4F">
        <w:rPr>
          <w:rFonts w:ascii="Garamond" w:hAnsi="Garamond"/>
          <w:sz w:val="20"/>
          <w:szCs w:val="20"/>
        </w:rPr>
        <w:t>payments</w:t>
      </w:r>
      <w:r w:rsidRPr="00F13E4F">
        <w:rPr>
          <w:rFonts w:ascii="Garamond" w:hAnsi="Garamond"/>
          <w:sz w:val="20"/>
          <w:szCs w:val="20"/>
        </w:rPr>
        <w:t>. Phase 3 centers (8 centers) are not included in the experiment. Excludes surveys that were released on July 13 and July 16, the week before the time use survey was paused. Respondents in these 8 centers had only a few days to complete the survey and staff in the pre-</w:t>
      </w:r>
      <w:r w:rsidR="00F13E4F">
        <w:rPr>
          <w:rFonts w:ascii="Garamond" w:hAnsi="Garamond"/>
          <w:sz w:val="20"/>
          <w:szCs w:val="20"/>
        </w:rPr>
        <w:t>payment</w:t>
      </w:r>
      <w:r w:rsidRPr="00F13E4F" w:rsidR="00F13E4F">
        <w:rPr>
          <w:rFonts w:ascii="Garamond" w:hAnsi="Garamond"/>
          <w:sz w:val="20"/>
          <w:szCs w:val="20"/>
        </w:rPr>
        <w:t xml:space="preserve"> </w:t>
      </w:r>
      <w:r w:rsidRPr="00F13E4F">
        <w:rPr>
          <w:rFonts w:ascii="Garamond" w:hAnsi="Garamond"/>
          <w:sz w:val="20"/>
          <w:szCs w:val="20"/>
        </w:rPr>
        <w:t>group were unlikely to have received their pre-</w:t>
      </w:r>
      <w:r w:rsidR="00F13E4F">
        <w:rPr>
          <w:rFonts w:ascii="Garamond" w:hAnsi="Garamond"/>
          <w:sz w:val="20"/>
          <w:szCs w:val="20"/>
        </w:rPr>
        <w:t>payments</w:t>
      </w:r>
      <w:r w:rsidRPr="00F13E4F">
        <w:rPr>
          <w:rFonts w:ascii="Garamond" w:hAnsi="Garamond"/>
          <w:sz w:val="20"/>
          <w:szCs w:val="20"/>
        </w:rPr>
        <w:t xml:space="preserve"> from their director.</w:t>
      </w:r>
    </w:p>
    <w:p w:rsidRPr="00F13E4F" w:rsidR="000D3416" w:rsidP="000D3416" w:rsidRDefault="000D3416" w14:paraId="2D4895F0" w14:textId="77777777">
      <w:pPr>
        <w:autoSpaceDE w:val="0"/>
        <w:autoSpaceDN w:val="0"/>
        <w:adjustRightInd w:val="0"/>
        <w:rPr>
          <w:rFonts w:ascii="Garamond" w:hAnsi="Garamond"/>
          <w:sz w:val="20"/>
          <w:szCs w:val="20"/>
        </w:rPr>
      </w:pPr>
      <w:proofErr w:type="spellStart"/>
      <w:r w:rsidRPr="00F13E4F">
        <w:rPr>
          <w:rFonts w:ascii="Garamond" w:hAnsi="Garamond"/>
          <w:sz w:val="20"/>
          <w:szCs w:val="20"/>
          <w:vertAlign w:val="superscript"/>
        </w:rPr>
        <w:t>a</w:t>
      </w:r>
      <w:r w:rsidRPr="00F13E4F">
        <w:rPr>
          <w:rFonts w:ascii="Garamond" w:hAnsi="Garamond"/>
          <w:sz w:val="20"/>
          <w:szCs w:val="20"/>
        </w:rPr>
        <w:t>Includes</w:t>
      </w:r>
      <w:proofErr w:type="spellEnd"/>
      <w:r w:rsidRPr="00F13E4F">
        <w:rPr>
          <w:rFonts w:ascii="Garamond" w:hAnsi="Garamond"/>
          <w:sz w:val="20"/>
          <w:szCs w:val="20"/>
        </w:rPr>
        <w:t xml:space="preserve"> all staff in an experiment group for which the time use survey has been released. We compared the proportion of staff who complete the survey in each group and found response rates differ across the two groups. </w:t>
      </w:r>
    </w:p>
    <w:p w:rsidRPr="00F13E4F" w:rsidR="000D3416" w:rsidP="000D3416" w:rsidRDefault="000D3416" w14:paraId="54ACD328" w14:textId="77777777">
      <w:pPr>
        <w:autoSpaceDE w:val="0"/>
        <w:autoSpaceDN w:val="0"/>
        <w:adjustRightInd w:val="0"/>
        <w:rPr>
          <w:rFonts w:ascii="Garamond" w:hAnsi="Garamond"/>
          <w:sz w:val="20"/>
          <w:szCs w:val="20"/>
        </w:rPr>
      </w:pPr>
      <w:proofErr w:type="spellStart"/>
      <w:r w:rsidRPr="00F13E4F">
        <w:rPr>
          <w:rFonts w:ascii="Garamond" w:hAnsi="Garamond"/>
          <w:sz w:val="20"/>
          <w:szCs w:val="20"/>
          <w:vertAlign w:val="superscript"/>
        </w:rPr>
        <w:t>b</w:t>
      </w:r>
      <w:r w:rsidRPr="00F13E4F">
        <w:rPr>
          <w:rFonts w:ascii="Garamond" w:hAnsi="Garamond"/>
          <w:sz w:val="20"/>
          <w:szCs w:val="20"/>
        </w:rPr>
        <w:t>Includes</w:t>
      </w:r>
      <w:proofErr w:type="spellEnd"/>
      <w:r w:rsidRPr="00F13E4F">
        <w:rPr>
          <w:rFonts w:ascii="Garamond" w:hAnsi="Garamond"/>
          <w:sz w:val="20"/>
          <w:szCs w:val="20"/>
        </w:rPr>
        <w:t xml:space="preserve"> all staff in an experiment group who have completed the time use survey. We compared the mean days to complete the survey for each group and found the means did not differ across the two groups. </w:t>
      </w:r>
    </w:p>
    <w:p w:rsidRPr="00F13E4F" w:rsidR="000D3416" w:rsidP="000D3416" w:rsidRDefault="000D3416" w14:paraId="052D7D80" w14:textId="77777777">
      <w:pPr>
        <w:autoSpaceDE w:val="0"/>
        <w:autoSpaceDN w:val="0"/>
        <w:adjustRightInd w:val="0"/>
        <w:rPr>
          <w:rFonts w:ascii="Garamond" w:hAnsi="Garamond"/>
          <w:sz w:val="20"/>
          <w:szCs w:val="20"/>
        </w:rPr>
      </w:pPr>
      <w:r w:rsidRPr="00F13E4F">
        <w:rPr>
          <w:rFonts w:ascii="Garamond" w:hAnsi="Garamond"/>
          <w:sz w:val="20"/>
          <w:szCs w:val="20"/>
        </w:rPr>
        <w:t>SD=Standard deviation.</w:t>
      </w:r>
    </w:p>
    <w:p w:rsidRPr="00FF5E42" w:rsidR="000D3416" w:rsidP="000D3416" w:rsidRDefault="000D3416" w14:paraId="3D34546B" w14:textId="77777777">
      <w:pPr>
        <w:spacing w:after="120"/>
        <w:rPr>
          <w:rFonts w:asciiTheme="minorHAnsi" w:hAnsiTheme="minorHAnsi" w:cstheme="minorHAnsi"/>
          <w:bCs/>
          <w:iCs/>
          <w:sz w:val="22"/>
          <w:szCs w:val="22"/>
        </w:rPr>
      </w:pPr>
    </w:p>
    <w:p w:rsidRPr="00FF5E42" w:rsidR="00032175" w:rsidP="000D3416" w:rsidRDefault="00032175" w14:paraId="058AC9A2" w14:textId="27CFFDA0">
      <w:pPr>
        <w:rPr>
          <w:rFonts w:asciiTheme="minorHAnsi" w:hAnsiTheme="minorHAnsi" w:cstheme="minorHAnsi"/>
          <w:sz w:val="22"/>
          <w:szCs w:val="22"/>
        </w:rPr>
      </w:pPr>
      <w:r w:rsidRPr="00FF5E42">
        <w:rPr>
          <w:rFonts w:asciiTheme="minorHAnsi" w:hAnsiTheme="minorHAnsi" w:cstheme="minorHAnsi"/>
          <w:sz w:val="22"/>
          <w:szCs w:val="22"/>
        </w:rPr>
        <w:t xml:space="preserve">Studies in ECE are increasingly incorporating staff surveys to understand center functioning and quality but little is known about how the </w:t>
      </w:r>
      <w:r w:rsidR="000E0AAF">
        <w:rPr>
          <w:rFonts w:asciiTheme="minorHAnsi" w:hAnsiTheme="minorHAnsi" w:cstheme="minorHAnsi"/>
          <w:sz w:val="22"/>
          <w:szCs w:val="22"/>
        </w:rPr>
        <w:t>token of appreciation</w:t>
      </w:r>
      <w:r w:rsidRPr="00FF5E42" w:rsidR="00F13E4F">
        <w:rPr>
          <w:rFonts w:asciiTheme="minorHAnsi" w:hAnsiTheme="minorHAnsi" w:cstheme="minorHAnsi"/>
          <w:sz w:val="22"/>
          <w:szCs w:val="22"/>
        </w:rPr>
        <w:t xml:space="preserve"> </w:t>
      </w:r>
      <w:r w:rsidRPr="00FF5E42">
        <w:rPr>
          <w:rFonts w:asciiTheme="minorHAnsi" w:hAnsiTheme="minorHAnsi" w:cstheme="minorHAnsi"/>
          <w:sz w:val="22"/>
          <w:szCs w:val="22"/>
        </w:rPr>
        <w:t>literature that points to the effectiveness of pre-</w:t>
      </w:r>
      <w:r w:rsidR="00F13E4F">
        <w:rPr>
          <w:rFonts w:asciiTheme="minorHAnsi" w:hAnsiTheme="minorHAnsi" w:cstheme="minorHAnsi"/>
          <w:sz w:val="22"/>
          <w:szCs w:val="22"/>
        </w:rPr>
        <w:t>payments</w:t>
      </w:r>
      <w:r w:rsidRPr="00FF5E42">
        <w:rPr>
          <w:rFonts w:asciiTheme="minorHAnsi" w:hAnsiTheme="minorHAnsi" w:cstheme="minorHAnsi"/>
          <w:sz w:val="22"/>
          <w:szCs w:val="22"/>
        </w:rPr>
        <w:t xml:space="preserve"> works for staff, and specifically teaching staff, in center-based settings. Continuing to test different </w:t>
      </w:r>
      <w:r w:rsidR="00F13E4F">
        <w:rPr>
          <w:rFonts w:asciiTheme="minorHAnsi" w:hAnsiTheme="minorHAnsi" w:cstheme="minorHAnsi"/>
          <w:sz w:val="22"/>
          <w:szCs w:val="22"/>
        </w:rPr>
        <w:t>payment</w:t>
      </w:r>
      <w:r w:rsidRPr="00FF5E42" w:rsidR="00F13E4F">
        <w:rPr>
          <w:rFonts w:asciiTheme="minorHAnsi" w:hAnsiTheme="minorHAnsi" w:cstheme="minorHAnsi"/>
          <w:sz w:val="22"/>
          <w:szCs w:val="22"/>
        </w:rPr>
        <w:t xml:space="preserve"> </w:t>
      </w:r>
      <w:r w:rsidRPr="00FF5E42">
        <w:rPr>
          <w:rFonts w:asciiTheme="minorHAnsi" w:hAnsiTheme="minorHAnsi" w:cstheme="minorHAnsi"/>
          <w:sz w:val="22"/>
          <w:szCs w:val="22"/>
        </w:rPr>
        <w:t>amounts with center staff will make a substantial contribution to how the field can efficiently and effectively conduct surveys in center-based settings.</w:t>
      </w:r>
    </w:p>
    <w:p w:rsidRPr="00FF5E42" w:rsidR="00032175" w:rsidP="00CE5D23" w:rsidRDefault="00032175" w14:paraId="3866016D" w14:textId="5799FCCD">
      <w:pPr>
        <w:rPr>
          <w:sz w:val="22"/>
          <w:szCs w:val="22"/>
        </w:rPr>
      </w:pPr>
    </w:p>
    <w:p w:rsidRPr="00FF5E42" w:rsidR="001658FD" w:rsidP="001658FD" w:rsidRDefault="001658FD" w14:paraId="6F65D3E2" w14:textId="77777777">
      <w:pPr>
        <w:spacing w:after="120"/>
        <w:rPr>
          <w:rFonts w:asciiTheme="minorHAnsi" w:hAnsiTheme="minorHAnsi" w:cstheme="minorHAnsi"/>
          <w:b/>
          <w:i/>
          <w:sz w:val="22"/>
          <w:szCs w:val="22"/>
        </w:rPr>
      </w:pPr>
      <w:r w:rsidRPr="00FF5E42">
        <w:rPr>
          <w:rFonts w:asciiTheme="minorHAnsi" w:hAnsiTheme="minorHAnsi" w:cstheme="minorHAnsi"/>
          <w:b/>
          <w:i/>
          <w:sz w:val="22"/>
          <w:szCs w:val="22"/>
        </w:rPr>
        <w:t>Overview of Requested Changes</w:t>
      </w:r>
    </w:p>
    <w:p w:rsidRPr="0022327F" w:rsidR="00F13E4F" w:rsidP="00F13E4F" w:rsidRDefault="00F13E4F" w14:paraId="35E16E9E" w14:textId="77777777">
      <w:pPr>
        <w:spacing w:after="120"/>
        <w:rPr>
          <w:rFonts w:asciiTheme="minorHAnsi" w:hAnsiTheme="minorHAnsi" w:cstheme="minorHAnsi"/>
          <w:bCs/>
          <w:iCs/>
          <w:sz w:val="22"/>
          <w:szCs w:val="22"/>
        </w:rPr>
      </w:pPr>
      <w:r w:rsidRPr="0022327F">
        <w:rPr>
          <w:rFonts w:asciiTheme="minorHAnsi" w:hAnsiTheme="minorHAnsi" w:cstheme="minorHAnsi"/>
          <w:b/>
          <w:iCs/>
          <w:sz w:val="22"/>
          <w:szCs w:val="22"/>
        </w:rPr>
        <w:t xml:space="preserve">Revisions to the time use survey. </w:t>
      </w:r>
      <w:r w:rsidRPr="0022327F">
        <w:rPr>
          <w:rFonts w:asciiTheme="minorHAnsi" w:hAnsiTheme="minorHAnsi" w:cstheme="minorHAnsi"/>
          <w:bCs/>
          <w:iCs/>
          <w:sz w:val="22"/>
          <w:szCs w:val="22"/>
        </w:rPr>
        <w:t>We made the following revisions to the time use survey to improve data quality to support the analysis goals:</w:t>
      </w:r>
    </w:p>
    <w:p w:rsidRPr="00C906D6" w:rsidR="00F13E4F" w:rsidP="00F13E4F" w:rsidRDefault="00F13E4F" w14:paraId="245D8508" w14:textId="77777777">
      <w:pPr>
        <w:pStyle w:val="ListParagraph"/>
        <w:numPr>
          <w:ilvl w:val="0"/>
          <w:numId w:val="14"/>
        </w:numPr>
        <w:spacing w:after="120"/>
        <w:rPr>
          <w:rFonts w:asciiTheme="minorHAnsi" w:hAnsiTheme="minorHAnsi" w:cstheme="minorHAnsi"/>
          <w:bCs/>
          <w:iCs/>
        </w:rPr>
      </w:pPr>
      <w:r w:rsidRPr="00C906D6">
        <w:rPr>
          <w:rFonts w:asciiTheme="minorHAnsi" w:hAnsiTheme="minorHAnsi" w:cstheme="minorHAnsi"/>
          <w:bCs/>
          <w:iCs/>
        </w:rPr>
        <w:t>Dropped the COVID questions that were interrupting the flow of questions and adding to cognitive load</w:t>
      </w:r>
    </w:p>
    <w:p w:rsidRPr="0022327F" w:rsidR="00F13E4F" w:rsidP="00F13E4F" w:rsidRDefault="00F13E4F" w14:paraId="32C55162" w14:textId="77777777">
      <w:pPr>
        <w:pStyle w:val="ListParagraph"/>
        <w:numPr>
          <w:ilvl w:val="0"/>
          <w:numId w:val="14"/>
        </w:numPr>
        <w:spacing w:after="120"/>
        <w:rPr>
          <w:rFonts w:asciiTheme="minorHAnsi" w:hAnsiTheme="minorHAnsi" w:cstheme="minorHAnsi"/>
          <w:bCs/>
          <w:iCs/>
        </w:rPr>
      </w:pPr>
      <w:r w:rsidRPr="0022327F">
        <w:rPr>
          <w:rFonts w:asciiTheme="minorHAnsi" w:hAnsiTheme="minorHAnsi" w:cstheme="minorHAnsi"/>
          <w:bCs/>
          <w:iCs/>
        </w:rPr>
        <w:t xml:space="preserve">Dropped the “other” category that was not adding new information </w:t>
      </w:r>
    </w:p>
    <w:p w:rsidRPr="0022327F" w:rsidR="00F13E4F" w:rsidP="00F13E4F" w:rsidRDefault="00F13E4F" w14:paraId="56CFEF65" w14:textId="77777777">
      <w:pPr>
        <w:pStyle w:val="ListParagraph"/>
        <w:numPr>
          <w:ilvl w:val="0"/>
          <w:numId w:val="14"/>
        </w:numPr>
        <w:spacing w:after="120"/>
        <w:rPr>
          <w:rFonts w:asciiTheme="minorHAnsi" w:hAnsiTheme="minorHAnsi" w:cstheme="minorHAnsi"/>
          <w:bCs/>
          <w:iCs/>
        </w:rPr>
      </w:pPr>
      <w:r w:rsidRPr="0022327F">
        <w:rPr>
          <w:rFonts w:asciiTheme="minorHAnsi" w:hAnsiTheme="minorHAnsi" w:cstheme="minorHAnsi"/>
          <w:bCs/>
          <w:iCs/>
        </w:rPr>
        <w:lastRenderedPageBreak/>
        <w:t>Added running sums to decrease cognitive difficulty in summing time for a typical week across activities</w:t>
      </w:r>
    </w:p>
    <w:p w:rsidRPr="0022327F" w:rsidR="00F13E4F" w:rsidP="00F13E4F" w:rsidRDefault="00F13E4F" w14:paraId="021FEAE2" w14:textId="77777777">
      <w:pPr>
        <w:pStyle w:val="ListParagraph"/>
        <w:numPr>
          <w:ilvl w:val="0"/>
          <w:numId w:val="14"/>
        </w:numPr>
        <w:spacing w:after="120"/>
        <w:rPr>
          <w:rFonts w:asciiTheme="minorHAnsi" w:hAnsiTheme="minorHAnsi" w:cstheme="minorHAnsi"/>
          <w:bCs/>
          <w:iCs/>
        </w:rPr>
      </w:pPr>
      <w:r w:rsidRPr="0022327F">
        <w:rPr>
          <w:rFonts w:asciiTheme="minorHAnsi" w:hAnsiTheme="minorHAnsi" w:cstheme="minorHAnsi"/>
          <w:bCs/>
          <w:iCs/>
        </w:rPr>
        <w:t>Streamlined range checks to improve accuracy and quality of the hours reported</w:t>
      </w:r>
    </w:p>
    <w:p w:rsidRPr="0022327F" w:rsidR="00F13E4F" w:rsidP="00F13E4F" w:rsidRDefault="00F13E4F" w14:paraId="1D8296E0" w14:textId="77777777">
      <w:pPr>
        <w:pStyle w:val="ListParagraph"/>
        <w:numPr>
          <w:ilvl w:val="0"/>
          <w:numId w:val="14"/>
        </w:numPr>
        <w:spacing w:after="120"/>
        <w:rPr>
          <w:rFonts w:asciiTheme="minorHAnsi" w:hAnsiTheme="minorHAnsi" w:cstheme="minorHAnsi"/>
          <w:bCs/>
          <w:iCs/>
        </w:rPr>
      </w:pPr>
      <w:r w:rsidRPr="0022327F">
        <w:rPr>
          <w:rFonts w:asciiTheme="minorHAnsi" w:hAnsiTheme="minorHAnsi" w:cstheme="minorHAnsi"/>
          <w:bCs/>
          <w:iCs/>
        </w:rPr>
        <w:t>Streamlined to three small grids to reduce burden and cognitive difficulty for respondents and increase accessibility on a small screen (such as a mobile device)</w:t>
      </w:r>
    </w:p>
    <w:p w:rsidRPr="0022327F" w:rsidR="00F13E4F" w:rsidP="00F13E4F" w:rsidRDefault="00F13E4F" w14:paraId="35E2E0C0" w14:textId="77777777">
      <w:pPr>
        <w:pStyle w:val="ListParagraph"/>
        <w:numPr>
          <w:ilvl w:val="0"/>
          <w:numId w:val="14"/>
        </w:numPr>
        <w:spacing w:after="120"/>
        <w:rPr>
          <w:rFonts w:asciiTheme="minorHAnsi" w:hAnsiTheme="minorHAnsi" w:cstheme="minorHAnsi"/>
          <w:bCs/>
          <w:iCs/>
        </w:rPr>
      </w:pPr>
      <w:r w:rsidRPr="0022327F">
        <w:rPr>
          <w:rFonts w:asciiTheme="minorHAnsi" w:hAnsiTheme="minorHAnsi" w:cstheme="minorHAnsi"/>
          <w:bCs/>
          <w:iCs/>
        </w:rPr>
        <w:t xml:space="preserve">Created a Yes/No question to ask if any time is spent on each periodic activity, followed by a numeric question (hours/year) to decrease respondent burden </w:t>
      </w:r>
    </w:p>
    <w:p w:rsidRPr="0022327F" w:rsidR="00F13E4F" w:rsidP="00F13E4F" w:rsidRDefault="00F13E4F" w14:paraId="5BD4FA45" w14:textId="0200FAE1">
      <w:pPr>
        <w:spacing w:after="120"/>
        <w:rPr>
          <w:rFonts w:asciiTheme="minorHAnsi" w:hAnsiTheme="minorHAnsi" w:cstheme="minorHAnsi"/>
          <w:bCs/>
          <w:iCs/>
          <w:sz w:val="22"/>
          <w:szCs w:val="22"/>
        </w:rPr>
      </w:pPr>
      <w:r w:rsidRPr="0022327F">
        <w:rPr>
          <w:rFonts w:asciiTheme="minorHAnsi" w:hAnsiTheme="minorHAnsi" w:cstheme="minorHAnsi"/>
          <w:bCs/>
          <w:iCs/>
          <w:sz w:val="22"/>
          <w:szCs w:val="22"/>
        </w:rPr>
        <w:t xml:space="preserve">The revised time use survey is </w:t>
      </w:r>
      <w:r w:rsidR="00691971">
        <w:rPr>
          <w:rFonts w:asciiTheme="minorHAnsi" w:hAnsiTheme="minorHAnsi" w:cstheme="minorHAnsi"/>
          <w:bCs/>
          <w:iCs/>
          <w:sz w:val="22"/>
          <w:szCs w:val="22"/>
        </w:rPr>
        <w:t>included with this request.</w:t>
      </w:r>
    </w:p>
    <w:p w:rsidRPr="00FF5E42" w:rsidR="00D15FF5" w:rsidP="00CE5D23" w:rsidRDefault="000E0AAF" w14:paraId="2E138067" w14:textId="52275D5B">
      <w:pPr>
        <w:spacing w:after="120"/>
        <w:rPr>
          <w:rFonts w:asciiTheme="minorHAnsi" w:hAnsiTheme="minorHAnsi" w:cstheme="minorHAnsi"/>
          <w:sz w:val="22"/>
          <w:szCs w:val="22"/>
        </w:rPr>
      </w:pPr>
      <w:r>
        <w:rPr>
          <w:rFonts w:asciiTheme="minorHAnsi" w:hAnsiTheme="minorHAnsi" w:cstheme="minorHAnsi"/>
          <w:b/>
          <w:bCs/>
          <w:sz w:val="22"/>
          <w:szCs w:val="22"/>
        </w:rPr>
        <w:t>Token of appreciation</w:t>
      </w:r>
      <w:r w:rsidRPr="00FF5E42" w:rsidR="00F13E4F">
        <w:rPr>
          <w:rFonts w:asciiTheme="minorHAnsi" w:hAnsiTheme="minorHAnsi" w:cstheme="minorHAnsi"/>
          <w:b/>
          <w:bCs/>
          <w:sz w:val="22"/>
          <w:szCs w:val="22"/>
        </w:rPr>
        <w:t xml:space="preserve"> </w:t>
      </w:r>
      <w:r w:rsidRPr="00FF5E42" w:rsidR="00CE5D23">
        <w:rPr>
          <w:rFonts w:asciiTheme="minorHAnsi" w:hAnsiTheme="minorHAnsi" w:cstheme="minorHAnsi"/>
          <w:b/>
          <w:bCs/>
          <w:sz w:val="22"/>
          <w:szCs w:val="22"/>
        </w:rPr>
        <w:t>experiment.</w:t>
      </w:r>
      <w:r w:rsidRPr="00FF5E42" w:rsidR="00CE5D23">
        <w:rPr>
          <w:rFonts w:asciiTheme="minorHAnsi" w:hAnsiTheme="minorHAnsi" w:cstheme="minorHAnsi"/>
          <w:sz w:val="22"/>
          <w:szCs w:val="22"/>
        </w:rPr>
        <w:t xml:space="preserve"> </w:t>
      </w:r>
      <w:r w:rsidRPr="00FF5E42" w:rsidR="00D15FF5">
        <w:rPr>
          <w:rFonts w:asciiTheme="minorHAnsi" w:hAnsiTheme="minorHAnsi" w:cstheme="minorHAnsi"/>
          <w:sz w:val="22"/>
          <w:szCs w:val="22"/>
        </w:rPr>
        <w:t xml:space="preserve">Based on the preliminary results of the </w:t>
      </w:r>
      <w:r w:rsidR="00F13E4F">
        <w:rPr>
          <w:rFonts w:asciiTheme="minorHAnsi" w:hAnsiTheme="minorHAnsi" w:cstheme="minorHAnsi"/>
          <w:sz w:val="22"/>
          <w:szCs w:val="22"/>
        </w:rPr>
        <w:t xml:space="preserve">TUS participant </w:t>
      </w:r>
      <w:r w:rsidR="00691971">
        <w:rPr>
          <w:rFonts w:cstheme="minorHAnsi"/>
        </w:rPr>
        <w:t xml:space="preserve">pre- and post-pay </w:t>
      </w:r>
      <w:r w:rsidRPr="00FF5E42" w:rsidR="00D15FF5">
        <w:rPr>
          <w:rFonts w:asciiTheme="minorHAnsi" w:hAnsiTheme="minorHAnsi" w:cstheme="minorHAnsi"/>
          <w:sz w:val="22"/>
          <w:szCs w:val="22"/>
        </w:rPr>
        <w:t xml:space="preserve">experiment, we recommend </w:t>
      </w:r>
      <w:r w:rsidRPr="00FF5E42" w:rsidR="000D3416">
        <w:rPr>
          <w:rFonts w:asciiTheme="minorHAnsi" w:hAnsiTheme="minorHAnsi" w:cstheme="minorHAnsi"/>
          <w:sz w:val="22"/>
          <w:szCs w:val="22"/>
        </w:rPr>
        <w:t xml:space="preserve">combining the approved $20 total </w:t>
      </w:r>
      <w:r w:rsidR="00691971">
        <w:rPr>
          <w:rFonts w:asciiTheme="minorHAnsi" w:hAnsiTheme="minorHAnsi" w:cstheme="minorHAnsi"/>
          <w:sz w:val="22"/>
          <w:szCs w:val="22"/>
        </w:rPr>
        <w:t>amount</w:t>
      </w:r>
      <w:r w:rsidRPr="00FF5E42" w:rsidR="00F13E4F">
        <w:rPr>
          <w:rFonts w:asciiTheme="minorHAnsi" w:hAnsiTheme="minorHAnsi" w:cstheme="minorHAnsi"/>
          <w:sz w:val="22"/>
          <w:szCs w:val="22"/>
        </w:rPr>
        <w:t xml:space="preserve"> </w:t>
      </w:r>
      <w:r w:rsidRPr="00FF5E42" w:rsidR="000D3416">
        <w:rPr>
          <w:rFonts w:asciiTheme="minorHAnsi" w:hAnsiTheme="minorHAnsi" w:cstheme="minorHAnsi"/>
          <w:sz w:val="22"/>
          <w:szCs w:val="22"/>
        </w:rPr>
        <w:t xml:space="preserve">for the time use survey and the $30 total </w:t>
      </w:r>
      <w:r w:rsidR="00691971">
        <w:rPr>
          <w:rFonts w:asciiTheme="minorHAnsi" w:hAnsiTheme="minorHAnsi" w:cstheme="minorHAnsi"/>
          <w:sz w:val="22"/>
          <w:szCs w:val="22"/>
        </w:rPr>
        <w:t>amount</w:t>
      </w:r>
      <w:r w:rsidRPr="00FF5E42" w:rsidR="00F13E4F">
        <w:rPr>
          <w:rFonts w:asciiTheme="minorHAnsi" w:hAnsiTheme="minorHAnsi" w:cstheme="minorHAnsi"/>
          <w:sz w:val="22"/>
          <w:szCs w:val="22"/>
        </w:rPr>
        <w:t xml:space="preserve"> </w:t>
      </w:r>
      <w:r w:rsidRPr="00FF5E42" w:rsidR="000D3416">
        <w:rPr>
          <w:rFonts w:asciiTheme="minorHAnsi" w:hAnsiTheme="minorHAnsi" w:cstheme="minorHAnsi"/>
          <w:sz w:val="22"/>
          <w:szCs w:val="22"/>
        </w:rPr>
        <w:t xml:space="preserve">for the SEQUAL teaching staff survey for a total </w:t>
      </w:r>
      <w:r w:rsidR="00691971">
        <w:rPr>
          <w:rFonts w:asciiTheme="minorHAnsi" w:hAnsiTheme="minorHAnsi" w:cstheme="minorHAnsi"/>
          <w:sz w:val="22"/>
          <w:szCs w:val="22"/>
        </w:rPr>
        <w:t>amount</w:t>
      </w:r>
      <w:r w:rsidRPr="00FF5E42" w:rsidR="00F13E4F">
        <w:rPr>
          <w:rFonts w:asciiTheme="minorHAnsi" w:hAnsiTheme="minorHAnsi" w:cstheme="minorHAnsi"/>
          <w:sz w:val="22"/>
          <w:szCs w:val="22"/>
        </w:rPr>
        <w:t xml:space="preserve"> </w:t>
      </w:r>
      <w:r w:rsidRPr="00FF5E42" w:rsidR="000D3416">
        <w:rPr>
          <w:rFonts w:asciiTheme="minorHAnsi" w:hAnsiTheme="minorHAnsi" w:cstheme="minorHAnsi"/>
          <w:sz w:val="22"/>
          <w:szCs w:val="22"/>
        </w:rPr>
        <w:t xml:space="preserve">of $50 for the combined instruments. </w:t>
      </w:r>
      <w:r w:rsidRPr="00FF5E42" w:rsidR="00D15FF5">
        <w:rPr>
          <w:rFonts w:asciiTheme="minorHAnsi" w:hAnsiTheme="minorHAnsi" w:cstheme="minorHAnsi"/>
          <w:sz w:val="22"/>
          <w:szCs w:val="22"/>
        </w:rPr>
        <w:t>This could help us achieve good response rates while testing variations (and cost effectiveness) in the amount of pre-</w:t>
      </w:r>
      <w:r w:rsidR="00F13E4F">
        <w:rPr>
          <w:rFonts w:asciiTheme="minorHAnsi" w:hAnsiTheme="minorHAnsi" w:cstheme="minorHAnsi"/>
          <w:sz w:val="22"/>
          <w:szCs w:val="22"/>
        </w:rPr>
        <w:t>payments</w:t>
      </w:r>
      <w:r w:rsidRPr="00FF5E42" w:rsidR="00D15FF5">
        <w:rPr>
          <w:rFonts w:asciiTheme="minorHAnsi" w:hAnsiTheme="minorHAnsi" w:cstheme="minorHAnsi"/>
          <w:sz w:val="22"/>
          <w:szCs w:val="22"/>
        </w:rPr>
        <w:t xml:space="preserve">. </w:t>
      </w:r>
      <w:r w:rsidRPr="00FF5E42" w:rsidR="000D3416">
        <w:rPr>
          <w:rFonts w:asciiTheme="minorHAnsi" w:hAnsiTheme="minorHAnsi" w:cstheme="minorHAnsi"/>
          <w:sz w:val="22"/>
          <w:szCs w:val="22"/>
        </w:rPr>
        <w:t>We will present</w:t>
      </w:r>
      <w:r w:rsidRPr="00FF5E42" w:rsidR="00D15FF5">
        <w:rPr>
          <w:rFonts w:asciiTheme="minorHAnsi" w:hAnsiTheme="minorHAnsi" w:cstheme="minorHAnsi"/>
          <w:sz w:val="22"/>
          <w:szCs w:val="22"/>
        </w:rPr>
        <w:t xml:space="preserve"> the time use survey and SEQUAL as a single task in the respondent invitations. The experiment will compare a low pre-</w:t>
      </w:r>
      <w:r w:rsidR="00F13E4F">
        <w:rPr>
          <w:rFonts w:asciiTheme="minorHAnsi" w:hAnsiTheme="minorHAnsi" w:cstheme="minorHAnsi"/>
          <w:sz w:val="22"/>
          <w:szCs w:val="22"/>
        </w:rPr>
        <w:t>payment</w:t>
      </w:r>
      <w:r w:rsidRPr="00FF5E42" w:rsidR="00D15FF5">
        <w:rPr>
          <w:rFonts w:asciiTheme="minorHAnsi" w:hAnsiTheme="minorHAnsi" w:cstheme="minorHAnsi"/>
          <w:sz w:val="22"/>
          <w:szCs w:val="22"/>
        </w:rPr>
        <w:t xml:space="preserve"> with a 50% </w:t>
      </w:r>
      <w:r w:rsidR="00F13E4F">
        <w:rPr>
          <w:rFonts w:asciiTheme="minorHAnsi" w:hAnsiTheme="minorHAnsi" w:cstheme="minorHAnsi"/>
          <w:sz w:val="22"/>
          <w:szCs w:val="22"/>
        </w:rPr>
        <w:t>pre-payment</w:t>
      </w:r>
      <w:r w:rsidRPr="00FF5E42" w:rsidR="000D3416">
        <w:rPr>
          <w:rFonts w:asciiTheme="minorHAnsi" w:hAnsiTheme="minorHAnsi" w:cstheme="minorHAnsi"/>
          <w:sz w:val="22"/>
          <w:szCs w:val="22"/>
        </w:rPr>
        <w:t>.</w:t>
      </w:r>
      <w:r w:rsidRPr="00FF5E42" w:rsidR="00D15FF5">
        <w:rPr>
          <w:rFonts w:asciiTheme="minorHAnsi" w:hAnsiTheme="minorHAnsi" w:cstheme="minorHAnsi"/>
          <w:sz w:val="22"/>
          <w:szCs w:val="22"/>
        </w:rPr>
        <w:t xml:space="preserve"> </w:t>
      </w:r>
      <w:r w:rsidRPr="00FF5E42" w:rsidR="005B390C">
        <w:rPr>
          <w:rFonts w:asciiTheme="minorHAnsi" w:hAnsiTheme="minorHAnsi" w:cstheme="minorHAnsi"/>
          <w:sz w:val="22"/>
          <w:szCs w:val="22"/>
        </w:rPr>
        <w:t>Centers will be randomly assigned to receive (1) a $10 pre- and a $40 post-</w:t>
      </w:r>
      <w:r w:rsidR="00F13E4F">
        <w:rPr>
          <w:rFonts w:asciiTheme="minorHAnsi" w:hAnsiTheme="minorHAnsi" w:cstheme="minorHAnsi"/>
          <w:sz w:val="22"/>
          <w:szCs w:val="22"/>
        </w:rPr>
        <w:t>payment</w:t>
      </w:r>
      <w:r w:rsidRPr="00FF5E42" w:rsidR="00F13E4F">
        <w:rPr>
          <w:rFonts w:asciiTheme="minorHAnsi" w:hAnsiTheme="minorHAnsi" w:cstheme="minorHAnsi"/>
          <w:sz w:val="22"/>
          <w:szCs w:val="22"/>
        </w:rPr>
        <w:t xml:space="preserve"> </w:t>
      </w:r>
      <w:r w:rsidRPr="00FF5E42" w:rsidR="005B390C">
        <w:rPr>
          <w:rFonts w:asciiTheme="minorHAnsi" w:hAnsiTheme="minorHAnsi" w:cstheme="minorHAnsi"/>
          <w:sz w:val="22"/>
          <w:szCs w:val="22"/>
        </w:rPr>
        <w:t>or (2) a $25 pre- and $25 post-</w:t>
      </w:r>
      <w:r w:rsidR="00F13E4F">
        <w:rPr>
          <w:rFonts w:asciiTheme="minorHAnsi" w:hAnsiTheme="minorHAnsi" w:cstheme="minorHAnsi"/>
          <w:sz w:val="22"/>
          <w:szCs w:val="22"/>
        </w:rPr>
        <w:t>payment</w:t>
      </w:r>
      <w:r w:rsidRPr="00FF5E42" w:rsidR="005B390C">
        <w:rPr>
          <w:rFonts w:asciiTheme="minorHAnsi" w:hAnsiTheme="minorHAnsi" w:cstheme="minorHAnsi"/>
          <w:sz w:val="22"/>
          <w:szCs w:val="22"/>
        </w:rPr>
        <w:t>.</w:t>
      </w:r>
    </w:p>
    <w:p w:rsidRPr="00FF5E42" w:rsidR="00D15FF5" w:rsidP="00D15FF5" w:rsidRDefault="00CE5D23" w14:paraId="3D31C9EF" w14:textId="6125180C">
      <w:pPr>
        <w:pStyle w:val="Paragraph"/>
      </w:pPr>
      <w:r w:rsidRPr="00FF5E42">
        <w:t>This approach</w:t>
      </w:r>
      <w:r w:rsidRPr="00FF5E42" w:rsidR="00D15FF5">
        <w:t xml:space="preserve"> </w:t>
      </w:r>
      <w:r w:rsidR="00F13E4F">
        <w:t xml:space="preserve">does </w:t>
      </w:r>
      <w:r w:rsidRPr="00FF5E42" w:rsidR="00D15FF5">
        <w:t>increas</w:t>
      </w:r>
      <w:r w:rsidRPr="00FF5E42">
        <w:t>e</w:t>
      </w:r>
      <w:r w:rsidRPr="00FF5E42" w:rsidR="00D15FF5">
        <w:t xml:space="preserve"> the </w:t>
      </w:r>
      <w:r w:rsidR="00691971">
        <w:t>amount provided</w:t>
      </w:r>
      <w:r w:rsidRPr="00FF5E42" w:rsidR="00F13E4F">
        <w:t xml:space="preserve"> </w:t>
      </w:r>
      <w:r w:rsidRPr="00FF5E42" w:rsidR="00D15FF5">
        <w:t xml:space="preserve">to individuals being asked to complete the </w:t>
      </w:r>
      <w:r w:rsidR="00F13E4F">
        <w:t xml:space="preserve">TUS </w:t>
      </w:r>
      <w:r w:rsidRPr="00FF5E42" w:rsidR="00D15FF5">
        <w:t>a second time</w:t>
      </w:r>
      <w:r w:rsidRPr="00FF5E42" w:rsidR="00B74306">
        <w:t>.</w:t>
      </w:r>
      <w:r w:rsidRPr="00FF5E42">
        <w:t xml:space="preserve"> </w:t>
      </w:r>
      <w:r w:rsidRPr="00FF5E42" w:rsidR="00B74306">
        <w:t>T</w:t>
      </w:r>
      <w:r w:rsidRPr="00FF5E42" w:rsidR="00D15FF5">
        <w:t xml:space="preserve">he additional </w:t>
      </w:r>
      <w:r w:rsidR="00691971">
        <w:t>amount</w:t>
      </w:r>
      <w:r w:rsidRPr="00FF5E42" w:rsidR="00F13E4F">
        <w:t xml:space="preserve"> </w:t>
      </w:r>
      <w:r w:rsidRPr="00FF5E42" w:rsidR="00D15FF5">
        <w:t>is justified by the increased individual burden</w:t>
      </w:r>
      <w:r w:rsidRPr="00FF5E42" w:rsidR="00B74306">
        <w:t>; being asked to complete the survey a second time</w:t>
      </w:r>
      <w:r w:rsidRPr="00FF5E42" w:rsidR="00D15FF5">
        <w:t>.</w:t>
      </w:r>
    </w:p>
    <w:p w:rsidRPr="00FF5E42" w:rsidR="00DC7890" w:rsidP="00DC7890" w:rsidRDefault="00DC7890" w14:paraId="73BD8466" w14:textId="66B4C38F">
      <w:pPr>
        <w:spacing w:after="120"/>
        <w:rPr>
          <w:rFonts w:asciiTheme="minorHAnsi" w:hAnsiTheme="minorHAnsi" w:eastAsiaTheme="minorHAnsi" w:cstheme="minorHAnsi"/>
          <w:kern w:val="0"/>
          <w:sz w:val="22"/>
          <w:szCs w:val="22"/>
        </w:rPr>
      </w:pPr>
      <w:r w:rsidRPr="00FF5E42">
        <w:rPr>
          <w:rFonts w:asciiTheme="minorHAnsi" w:hAnsiTheme="minorHAnsi" w:cstheme="minorHAnsi"/>
          <w:b/>
          <w:bCs/>
          <w:sz w:val="22"/>
          <w:szCs w:val="22"/>
        </w:rPr>
        <w:t>Revisions to other instruments and materials.</w:t>
      </w:r>
      <w:r w:rsidRPr="00FF5E42">
        <w:rPr>
          <w:rFonts w:asciiTheme="minorHAnsi" w:hAnsiTheme="minorHAnsi" w:cstheme="minorHAnsi"/>
          <w:sz w:val="22"/>
          <w:szCs w:val="22"/>
        </w:rPr>
        <w:t xml:space="preserve"> We revised the center re-engagement script (Instrument 7) and the survey outreach materials (Attachment F) to align with the plan to administer the time use survey and SEQUAL teaching staff surveys at the same time. </w:t>
      </w:r>
      <w:r w:rsidR="00691971">
        <w:rPr>
          <w:rFonts w:asciiTheme="minorHAnsi" w:hAnsiTheme="minorHAnsi" w:cstheme="minorHAnsi"/>
          <w:sz w:val="22"/>
          <w:szCs w:val="22"/>
        </w:rPr>
        <w:t>Updated versions are included with this request</w:t>
      </w:r>
      <w:r w:rsidRPr="00FF5E42">
        <w:rPr>
          <w:rFonts w:asciiTheme="minorHAnsi" w:hAnsiTheme="minorHAnsi" w:cstheme="minorHAnsi"/>
          <w:sz w:val="22"/>
          <w:szCs w:val="22"/>
        </w:rPr>
        <w:t>.</w:t>
      </w:r>
    </w:p>
    <w:p w:rsidRPr="00FF5E42" w:rsidR="00DC7890" w:rsidP="00F13E4F" w:rsidRDefault="00DC7890" w14:paraId="0881468E" w14:textId="77777777">
      <w:pPr>
        <w:spacing w:after="120"/>
        <w:rPr>
          <w:rFonts w:asciiTheme="minorHAnsi" w:hAnsiTheme="minorHAnsi" w:cstheme="minorHAnsi"/>
          <w:bCs/>
          <w:iCs/>
          <w:sz w:val="22"/>
          <w:szCs w:val="22"/>
        </w:rPr>
      </w:pPr>
    </w:p>
    <w:sectPr w:rsidRPr="00FF5E42" w:rsidR="00DC7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7B5C7" w14:textId="77777777" w:rsidR="00C906D6" w:rsidRDefault="00C906D6" w:rsidP="00C906D6">
      <w:r>
        <w:separator/>
      </w:r>
    </w:p>
  </w:endnote>
  <w:endnote w:type="continuationSeparator" w:id="0">
    <w:p w14:paraId="2E6E0677" w14:textId="77777777" w:rsidR="00C906D6" w:rsidRDefault="00C906D6" w:rsidP="00C9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B7BD7" w14:textId="77777777" w:rsidR="00C906D6" w:rsidRDefault="00C906D6" w:rsidP="00C906D6">
      <w:r>
        <w:separator/>
      </w:r>
    </w:p>
  </w:footnote>
  <w:footnote w:type="continuationSeparator" w:id="0">
    <w:p w14:paraId="2574986A" w14:textId="77777777" w:rsidR="00C906D6" w:rsidRDefault="00C906D6" w:rsidP="00C9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40BF"/>
    <w:multiLevelType w:val="hybridMultilevel"/>
    <w:tmpl w:val="03426134"/>
    <w:lvl w:ilvl="0" w:tplc="2C1EF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22056"/>
    <w:multiLevelType w:val="hybridMultilevel"/>
    <w:tmpl w:val="56A80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8F5651"/>
    <w:multiLevelType w:val="hybridMultilevel"/>
    <w:tmpl w:val="54081FD2"/>
    <w:lvl w:ilvl="0" w:tplc="AA44A52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706A24"/>
    <w:multiLevelType w:val="hybridMultilevel"/>
    <w:tmpl w:val="5A5A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016B7"/>
    <w:multiLevelType w:val="hybridMultilevel"/>
    <w:tmpl w:val="4380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978D1"/>
    <w:multiLevelType w:val="hybridMultilevel"/>
    <w:tmpl w:val="2280C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4A301BB"/>
    <w:multiLevelType w:val="hybridMultilevel"/>
    <w:tmpl w:val="0AA6C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652253C"/>
    <w:multiLevelType w:val="hybridMultilevel"/>
    <w:tmpl w:val="603C60CA"/>
    <w:lvl w:ilvl="0" w:tplc="AA44A52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573C4B"/>
    <w:multiLevelType w:val="hybridMultilevel"/>
    <w:tmpl w:val="7BC6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C37CB"/>
    <w:multiLevelType w:val="hybridMultilevel"/>
    <w:tmpl w:val="15CEF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5C6F89"/>
    <w:multiLevelType w:val="hybridMultilevel"/>
    <w:tmpl w:val="3F146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215954"/>
    <w:multiLevelType w:val="hybridMultilevel"/>
    <w:tmpl w:val="5D60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004F9"/>
    <w:multiLevelType w:val="hybridMultilevel"/>
    <w:tmpl w:val="D892D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C66004F"/>
    <w:multiLevelType w:val="hybridMultilevel"/>
    <w:tmpl w:val="1DA6AAB8"/>
    <w:lvl w:ilvl="0" w:tplc="FFF276D4">
      <w:start w:val="1"/>
      <w:numFmt w:val="bullet"/>
      <w:lvlText w:val="-"/>
      <w:lvlJc w:val="left"/>
      <w:pPr>
        <w:tabs>
          <w:tab w:val="num" w:pos="720"/>
        </w:tabs>
        <w:ind w:left="720" w:hanging="360"/>
      </w:pPr>
      <w:rPr>
        <w:rFonts w:ascii="Times New Roman" w:hAnsi="Times New Roman" w:hint="default"/>
      </w:rPr>
    </w:lvl>
    <w:lvl w:ilvl="1" w:tplc="1BB2041A">
      <w:start w:val="1"/>
      <w:numFmt w:val="bullet"/>
      <w:lvlText w:val="-"/>
      <w:lvlJc w:val="left"/>
      <w:pPr>
        <w:tabs>
          <w:tab w:val="num" w:pos="1440"/>
        </w:tabs>
        <w:ind w:left="1440" w:hanging="360"/>
      </w:pPr>
      <w:rPr>
        <w:rFonts w:ascii="Times New Roman" w:hAnsi="Times New Roman" w:hint="default"/>
      </w:rPr>
    </w:lvl>
    <w:lvl w:ilvl="2" w:tplc="A8C0495E" w:tentative="1">
      <w:start w:val="1"/>
      <w:numFmt w:val="bullet"/>
      <w:lvlText w:val="-"/>
      <w:lvlJc w:val="left"/>
      <w:pPr>
        <w:tabs>
          <w:tab w:val="num" w:pos="2160"/>
        </w:tabs>
        <w:ind w:left="2160" w:hanging="360"/>
      </w:pPr>
      <w:rPr>
        <w:rFonts w:ascii="Times New Roman" w:hAnsi="Times New Roman" w:hint="default"/>
      </w:rPr>
    </w:lvl>
    <w:lvl w:ilvl="3" w:tplc="303CCCE8" w:tentative="1">
      <w:start w:val="1"/>
      <w:numFmt w:val="bullet"/>
      <w:lvlText w:val="-"/>
      <w:lvlJc w:val="left"/>
      <w:pPr>
        <w:tabs>
          <w:tab w:val="num" w:pos="2880"/>
        </w:tabs>
        <w:ind w:left="2880" w:hanging="360"/>
      </w:pPr>
      <w:rPr>
        <w:rFonts w:ascii="Times New Roman" w:hAnsi="Times New Roman" w:hint="default"/>
      </w:rPr>
    </w:lvl>
    <w:lvl w:ilvl="4" w:tplc="960E0610" w:tentative="1">
      <w:start w:val="1"/>
      <w:numFmt w:val="bullet"/>
      <w:lvlText w:val="-"/>
      <w:lvlJc w:val="left"/>
      <w:pPr>
        <w:tabs>
          <w:tab w:val="num" w:pos="3600"/>
        </w:tabs>
        <w:ind w:left="3600" w:hanging="360"/>
      </w:pPr>
      <w:rPr>
        <w:rFonts w:ascii="Times New Roman" w:hAnsi="Times New Roman" w:hint="default"/>
      </w:rPr>
    </w:lvl>
    <w:lvl w:ilvl="5" w:tplc="EFBA36A2" w:tentative="1">
      <w:start w:val="1"/>
      <w:numFmt w:val="bullet"/>
      <w:lvlText w:val="-"/>
      <w:lvlJc w:val="left"/>
      <w:pPr>
        <w:tabs>
          <w:tab w:val="num" w:pos="4320"/>
        </w:tabs>
        <w:ind w:left="4320" w:hanging="360"/>
      </w:pPr>
      <w:rPr>
        <w:rFonts w:ascii="Times New Roman" w:hAnsi="Times New Roman" w:hint="default"/>
      </w:rPr>
    </w:lvl>
    <w:lvl w:ilvl="6" w:tplc="74741AC2" w:tentative="1">
      <w:start w:val="1"/>
      <w:numFmt w:val="bullet"/>
      <w:lvlText w:val="-"/>
      <w:lvlJc w:val="left"/>
      <w:pPr>
        <w:tabs>
          <w:tab w:val="num" w:pos="5040"/>
        </w:tabs>
        <w:ind w:left="5040" w:hanging="360"/>
      </w:pPr>
      <w:rPr>
        <w:rFonts w:ascii="Times New Roman" w:hAnsi="Times New Roman" w:hint="default"/>
      </w:rPr>
    </w:lvl>
    <w:lvl w:ilvl="7" w:tplc="0616F8CE" w:tentative="1">
      <w:start w:val="1"/>
      <w:numFmt w:val="bullet"/>
      <w:lvlText w:val="-"/>
      <w:lvlJc w:val="left"/>
      <w:pPr>
        <w:tabs>
          <w:tab w:val="num" w:pos="5760"/>
        </w:tabs>
        <w:ind w:left="5760" w:hanging="360"/>
      </w:pPr>
      <w:rPr>
        <w:rFonts w:ascii="Times New Roman" w:hAnsi="Times New Roman" w:hint="default"/>
      </w:rPr>
    </w:lvl>
    <w:lvl w:ilvl="8" w:tplc="9EA81CD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3B6B60"/>
    <w:multiLevelType w:val="hybridMultilevel"/>
    <w:tmpl w:val="9474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3"/>
  </w:num>
  <w:num w:numId="5">
    <w:abstractNumId w:val="6"/>
  </w:num>
  <w:num w:numId="6">
    <w:abstractNumId w:val="4"/>
  </w:num>
  <w:num w:numId="7">
    <w:abstractNumId w:val="10"/>
  </w:num>
  <w:num w:numId="8">
    <w:abstractNumId w:val="11"/>
  </w:num>
  <w:num w:numId="9">
    <w:abstractNumId w:val="3"/>
  </w:num>
  <w:num w:numId="10">
    <w:abstractNumId w:val="2"/>
  </w:num>
  <w:num w:numId="11">
    <w:abstractNumId w:val="8"/>
  </w:num>
  <w:num w:numId="12">
    <w:abstractNumId w:val="0"/>
  </w:num>
  <w:num w:numId="13">
    <w:abstractNumId w:val="14"/>
  </w:num>
  <w:num w:numId="14">
    <w:abstractNumId w:val="1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2175"/>
    <w:rsid w:val="0005680D"/>
    <w:rsid w:val="000A1B2C"/>
    <w:rsid w:val="000D3416"/>
    <w:rsid w:val="000E0AAF"/>
    <w:rsid w:val="000E5714"/>
    <w:rsid w:val="001109BD"/>
    <w:rsid w:val="001658FD"/>
    <w:rsid w:val="001A1788"/>
    <w:rsid w:val="001D7421"/>
    <w:rsid w:val="001F44D7"/>
    <w:rsid w:val="001F6AA8"/>
    <w:rsid w:val="00201D4A"/>
    <w:rsid w:val="00242E2D"/>
    <w:rsid w:val="002B2077"/>
    <w:rsid w:val="0030197F"/>
    <w:rsid w:val="00307E80"/>
    <w:rsid w:val="00416E1B"/>
    <w:rsid w:val="0045566B"/>
    <w:rsid w:val="005A1A6B"/>
    <w:rsid w:val="005A1A71"/>
    <w:rsid w:val="005B390C"/>
    <w:rsid w:val="00620E53"/>
    <w:rsid w:val="00691971"/>
    <w:rsid w:val="006B301B"/>
    <w:rsid w:val="006C024E"/>
    <w:rsid w:val="006F5D8D"/>
    <w:rsid w:val="00714C49"/>
    <w:rsid w:val="007811A7"/>
    <w:rsid w:val="007F4AB2"/>
    <w:rsid w:val="008002CC"/>
    <w:rsid w:val="00882E0D"/>
    <w:rsid w:val="0091332B"/>
    <w:rsid w:val="00983D16"/>
    <w:rsid w:val="00995018"/>
    <w:rsid w:val="00A44387"/>
    <w:rsid w:val="00AC6BB7"/>
    <w:rsid w:val="00B568DC"/>
    <w:rsid w:val="00B74306"/>
    <w:rsid w:val="00C906D6"/>
    <w:rsid w:val="00CE5D23"/>
    <w:rsid w:val="00CF6AD7"/>
    <w:rsid w:val="00D15FF5"/>
    <w:rsid w:val="00D758EF"/>
    <w:rsid w:val="00DC7890"/>
    <w:rsid w:val="00DD191B"/>
    <w:rsid w:val="00E525D4"/>
    <w:rsid w:val="00E770CA"/>
    <w:rsid w:val="00F13E4F"/>
    <w:rsid w:val="00F23685"/>
    <w:rsid w:val="00FB0FFB"/>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7811A7"/>
    <w:pPr>
      <w:widowControl/>
      <w:suppressAutoHyphens w:val="0"/>
      <w:ind w:left="720"/>
      <w:contextualSpacing/>
    </w:pPr>
    <w:rPr>
      <w:rFonts w:ascii="Calibri" w:eastAsiaTheme="minorHAnsi" w:hAnsi="Calibri"/>
      <w:kern w:val="0"/>
      <w:sz w:val="22"/>
      <w:szCs w:val="22"/>
    </w:rPr>
  </w:style>
  <w:style w:type="table" w:styleId="TableGrid">
    <w:name w:val="Table Grid"/>
    <w:basedOn w:val="TableNormal"/>
    <w:uiPriority w:val="39"/>
    <w:rsid w:val="007811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032175"/>
    <w:pPr>
      <w:widowControl/>
      <w:suppressAutoHyphens w:val="0"/>
      <w:spacing w:after="160" w:line="264" w:lineRule="auto"/>
    </w:pPr>
    <w:rPr>
      <w:rFonts w:asciiTheme="minorHAnsi" w:eastAsiaTheme="minorHAnsi" w:hAnsiTheme="minorHAnsi" w:cstheme="minorBidi"/>
      <w:kern w:val="0"/>
      <w:sz w:val="22"/>
      <w:szCs w:val="22"/>
    </w:rPr>
  </w:style>
  <w:style w:type="paragraph" w:customStyle="1" w:styleId="ExhibitTitle">
    <w:name w:val="Exhibit Title"/>
    <w:basedOn w:val="Normal"/>
    <w:qFormat/>
    <w:rsid w:val="00D15FF5"/>
    <w:pPr>
      <w:keepNext/>
      <w:keepLines/>
      <w:widowControl/>
      <w:suppressAutoHyphens w:val="0"/>
      <w:spacing w:before="40" w:after="40" w:line="264" w:lineRule="auto"/>
    </w:pPr>
    <w:rPr>
      <w:rFonts w:asciiTheme="majorHAnsi" w:eastAsiaTheme="minorHAnsi" w:hAnsiTheme="majorHAnsi" w:cstheme="minorBidi"/>
      <w:b/>
      <w:color w:val="000000" w:themeColor="text1"/>
      <w:kern w:val="0"/>
      <w:sz w:val="20"/>
      <w:szCs w:val="22"/>
    </w:rPr>
  </w:style>
  <w:style w:type="table" w:customStyle="1" w:styleId="TableGrid1">
    <w:name w:val="Table Grid1"/>
    <w:basedOn w:val="TableNormal"/>
    <w:next w:val="TableGrid"/>
    <w:uiPriority w:val="39"/>
    <w:rsid w:val="00D15FF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D15FF5"/>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styleId="Header">
    <w:name w:val="header"/>
    <w:basedOn w:val="Normal"/>
    <w:link w:val="HeaderChar"/>
    <w:uiPriority w:val="99"/>
    <w:unhideWhenUsed/>
    <w:rsid w:val="00C906D6"/>
    <w:pPr>
      <w:tabs>
        <w:tab w:val="center" w:pos="4680"/>
        <w:tab w:val="right" w:pos="9360"/>
      </w:tabs>
    </w:pPr>
  </w:style>
  <w:style w:type="character" w:customStyle="1" w:styleId="HeaderChar">
    <w:name w:val="Header Char"/>
    <w:basedOn w:val="DefaultParagraphFont"/>
    <w:link w:val="Header"/>
    <w:uiPriority w:val="99"/>
    <w:rsid w:val="00C906D6"/>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C906D6"/>
    <w:pPr>
      <w:tabs>
        <w:tab w:val="center" w:pos="4680"/>
        <w:tab w:val="right" w:pos="9360"/>
      </w:tabs>
    </w:pPr>
  </w:style>
  <w:style w:type="character" w:customStyle="1" w:styleId="FooterChar">
    <w:name w:val="Footer Char"/>
    <w:basedOn w:val="DefaultParagraphFont"/>
    <w:link w:val="Footer"/>
    <w:uiPriority w:val="99"/>
    <w:rsid w:val="00C906D6"/>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02720">
      <w:bodyDiv w:val="1"/>
      <w:marLeft w:val="0"/>
      <w:marRight w:val="0"/>
      <w:marTop w:val="0"/>
      <w:marBottom w:val="0"/>
      <w:divBdr>
        <w:top w:val="none" w:sz="0" w:space="0" w:color="auto"/>
        <w:left w:val="none" w:sz="0" w:space="0" w:color="auto"/>
        <w:bottom w:val="none" w:sz="0" w:space="0" w:color="auto"/>
        <w:right w:val="none" w:sz="0" w:space="0" w:color="auto"/>
      </w:divBdr>
    </w:div>
    <w:div w:id="707486793">
      <w:bodyDiv w:val="1"/>
      <w:marLeft w:val="0"/>
      <w:marRight w:val="0"/>
      <w:marTop w:val="0"/>
      <w:marBottom w:val="0"/>
      <w:divBdr>
        <w:top w:val="none" w:sz="0" w:space="0" w:color="auto"/>
        <w:left w:val="none" w:sz="0" w:space="0" w:color="auto"/>
        <w:bottom w:val="none" w:sz="0" w:space="0" w:color="auto"/>
        <w:right w:val="none" w:sz="0" w:space="0" w:color="auto"/>
      </w:divBdr>
    </w:div>
    <w:div w:id="1266184053">
      <w:bodyDiv w:val="1"/>
      <w:marLeft w:val="0"/>
      <w:marRight w:val="0"/>
      <w:marTop w:val="0"/>
      <w:marBottom w:val="0"/>
      <w:divBdr>
        <w:top w:val="none" w:sz="0" w:space="0" w:color="auto"/>
        <w:left w:val="none" w:sz="0" w:space="0" w:color="auto"/>
        <w:bottom w:val="none" w:sz="0" w:space="0" w:color="auto"/>
        <w:right w:val="none" w:sz="0" w:space="0" w:color="auto"/>
      </w:divBdr>
    </w:div>
    <w:div w:id="1664510766">
      <w:bodyDiv w:val="1"/>
      <w:marLeft w:val="0"/>
      <w:marRight w:val="0"/>
      <w:marTop w:val="0"/>
      <w:marBottom w:val="0"/>
      <w:divBdr>
        <w:top w:val="none" w:sz="0" w:space="0" w:color="auto"/>
        <w:left w:val="none" w:sz="0" w:space="0" w:color="auto"/>
        <w:bottom w:val="none" w:sz="0" w:space="0" w:color="auto"/>
        <w:right w:val="none" w:sz="0" w:space="0" w:color="auto"/>
      </w:divBdr>
    </w:div>
    <w:div w:id="1863084441">
      <w:bodyDiv w:val="1"/>
      <w:marLeft w:val="0"/>
      <w:marRight w:val="0"/>
      <w:marTop w:val="0"/>
      <w:marBottom w:val="0"/>
      <w:divBdr>
        <w:top w:val="none" w:sz="0" w:space="0" w:color="auto"/>
        <w:left w:val="none" w:sz="0" w:space="0" w:color="auto"/>
        <w:bottom w:val="none" w:sz="0" w:space="0" w:color="auto"/>
        <w:right w:val="none" w:sz="0" w:space="0" w:color="auto"/>
      </w:divBdr>
      <w:divsChild>
        <w:div w:id="2088727823">
          <w:marLeft w:val="7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2021-09-11T00:46:00Z</dcterms:created>
  <dcterms:modified xsi:type="dcterms:W3CDTF">2021-09-14T09:56:00Z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