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B17F1" w:rsidR="003B17F1" w:rsidP="003B17F1" w:rsidRDefault="003B17F1">
      <w:pPr>
        <w:tabs>
          <w:tab w:val="left" w:pos="720"/>
          <w:tab w:val="left" w:pos="1440"/>
        </w:tabs>
        <w:jc w:val="both"/>
        <w:rPr>
          <w:rFonts w:ascii="Times New Roman" w:hAnsi="Times New Roman"/>
        </w:rPr>
      </w:pPr>
    </w:p>
    <w:p w:rsidRPr="003B17F1" w:rsidR="003B17F1" w:rsidP="003B17F1" w:rsidRDefault="003B17F1">
      <w:pPr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Non-Substantive Change Request</w:t>
      </w:r>
    </w:p>
    <w:p w:rsidRPr="003B17F1" w:rsidR="003B17F1" w:rsidP="003B17F1" w:rsidRDefault="003B17F1">
      <w:pPr>
        <w:pStyle w:val="Heading1"/>
        <w:spacing w:before="79" w:line="276" w:lineRule="auto"/>
        <w:ind w:left="0" w:right="571"/>
        <w:jc w:val="center"/>
        <w:rPr>
          <w:sz w:val="22"/>
          <w:szCs w:val="22"/>
        </w:rPr>
      </w:pPr>
      <w:r w:rsidRPr="003B17F1">
        <w:rPr>
          <w:sz w:val="22"/>
          <w:szCs w:val="22"/>
        </w:rPr>
        <w:t>HHS ASPA COVID-19 Public Education Campaign Market Research</w:t>
      </w:r>
    </w:p>
    <w:p w:rsidRPr="003B17F1" w:rsidR="003B17F1" w:rsidP="003B17F1" w:rsidRDefault="003B17F1">
      <w:pPr>
        <w:pStyle w:val="Heading1"/>
        <w:spacing w:before="79" w:line="276" w:lineRule="auto"/>
        <w:ind w:left="0" w:right="571"/>
        <w:jc w:val="center"/>
        <w:rPr>
          <w:sz w:val="22"/>
          <w:szCs w:val="22"/>
        </w:rPr>
      </w:pPr>
      <w:r w:rsidRPr="003B17F1">
        <w:rPr>
          <w:sz w:val="22"/>
          <w:szCs w:val="22"/>
        </w:rPr>
        <w:t xml:space="preserve">(OMB </w:t>
      </w:r>
      <w:r>
        <w:rPr>
          <w:sz w:val="22"/>
          <w:szCs w:val="22"/>
        </w:rPr>
        <w:t>0990-0476; expires 7/31/21</w:t>
      </w:r>
      <w:r w:rsidRPr="003B17F1">
        <w:rPr>
          <w:sz w:val="22"/>
          <w:szCs w:val="22"/>
        </w:rPr>
        <w:t>)</w:t>
      </w:r>
    </w:p>
    <w:p w:rsidRPr="003B17F1" w:rsidR="003B17F1" w:rsidP="003B17F1" w:rsidRDefault="003B17F1">
      <w:pPr>
        <w:tabs>
          <w:tab w:val="left" w:pos="720"/>
          <w:tab w:val="left" w:pos="1440"/>
        </w:tabs>
        <w:ind w:left="1440" w:hanging="1440"/>
        <w:jc w:val="both"/>
        <w:rPr>
          <w:rFonts w:ascii="Times New Roman" w:hAnsi="Times New Roman"/>
        </w:rPr>
      </w:pPr>
    </w:p>
    <w:p w:rsidRPr="003B17F1" w:rsidR="003B17F1" w:rsidP="003C0BCF" w:rsidRDefault="003B17F1">
      <w:pPr>
        <w:tabs>
          <w:tab w:val="left" w:pos="72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Market Research emergency clearance package OMB approved in January 2021 covers a series</w:t>
      </w:r>
      <w:r>
        <w:rPr>
          <w:rFonts w:ascii="Times New Roman" w:hAnsi="Times New Roman"/>
        </w:rPr>
        <w:t xml:space="preserve"> of</w:t>
      </w:r>
      <w:r>
        <w:rPr>
          <w:rFonts w:ascii="Times New Roman" w:hAnsi="Times New Roman"/>
        </w:rPr>
        <w:t xml:space="preserve"> Foundational Focus Groups</w:t>
      </w:r>
      <w:r>
        <w:rPr>
          <w:rFonts w:ascii="Times New Roman" w:hAnsi="Times New Roman"/>
        </w:rPr>
        <w:t xml:space="preserve"> (FFGs) to examine the topics of preventative behaviors and vaccine knowledge, intent, attitudes, and barriers and motivators to vaccination.</w:t>
      </w:r>
      <w:r w:rsidR="003C0BCF">
        <w:rPr>
          <w:rFonts w:ascii="Times New Roman" w:hAnsi="Times New Roman"/>
        </w:rPr>
        <w:t xml:space="preserve"> As noted within the original submission, the composition of audiences and content will change between iterations to accommodate the current state of COVID-19 and COVID-19 vaccination. </w:t>
      </w:r>
    </w:p>
    <w:p w:rsidR="003B17F1" w:rsidP="003B17F1" w:rsidRDefault="003B17F1">
      <w:pPr>
        <w:rPr>
          <w:rFonts w:ascii="Times New Roman" w:hAnsi="Times New Roman"/>
        </w:rPr>
      </w:pPr>
    </w:p>
    <w:p w:rsidRPr="003B17F1" w:rsidR="003B17F1" w:rsidP="003B17F1" w:rsidRDefault="003C0BCF">
      <w:pPr>
        <w:rPr>
          <w:rFonts w:ascii="Times New Roman" w:hAnsi="Times New Roman"/>
        </w:rPr>
      </w:pPr>
      <w:r>
        <w:rPr>
          <w:rFonts w:ascii="Times New Roman" w:hAnsi="Times New Roman"/>
        </w:rPr>
        <w:t>As such</w:t>
      </w:r>
      <w:r w:rsidRPr="003B17F1" w:rsidR="003B17F1">
        <w:rPr>
          <w:rFonts w:ascii="Times New Roman" w:hAnsi="Times New Roman"/>
        </w:rPr>
        <w:t xml:space="preserve"> the focus group discussion guide</w:t>
      </w:r>
      <w:r>
        <w:rPr>
          <w:rFonts w:ascii="Times New Roman" w:hAnsi="Times New Roman"/>
        </w:rPr>
        <w:t xml:space="preserve"> is </w:t>
      </w:r>
      <w:r w:rsidRPr="003B17F1" w:rsidR="003B17F1">
        <w:rPr>
          <w:rFonts w:ascii="Times New Roman" w:hAnsi="Times New Roman"/>
        </w:rPr>
        <w:t>revised to include in-depth questions about vaccine attitudes since the broader vaccine rollout has occur</w:t>
      </w:r>
      <w:r>
        <w:rPr>
          <w:rFonts w:ascii="Times New Roman" w:hAnsi="Times New Roman"/>
        </w:rPr>
        <w:t xml:space="preserve">red since original submission. We also added a new </w:t>
      </w:r>
      <w:r w:rsidRPr="003B17F1" w:rsidR="003B17F1">
        <w:rPr>
          <w:rFonts w:ascii="Times New Roman" w:hAnsi="Times New Roman"/>
        </w:rPr>
        <w:t xml:space="preserve">discussion guide </w:t>
      </w:r>
      <w:r>
        <w:rPr>
          <w:rFonts w:ascii="Times New Roman" w:hAnsi="Times New Roman"/>
        </w:rPr>
        <w:t xml:space="preserve">for two groups with vaccinated participants that will explore motivation to vaccinate after initial hesitation, vaccination process and experience, and post-vaccination behaviors. </w:t>
      </w:r>
      <w:r w:rsidRPr="003B17F1" w:rsidR="003B17F1">
        <w:rPr>
          <w:rFonts w:ascii="Times New Roman" w:hAnsi="Times New Roman"/>
        </w:rPr>
        <w:t xml:space="preserve"> </w:t>
      </w:r>
    </w:p>
    <w:p w:rsidRPr="003B17F1" w:rsidR="003B17F1" w:rsidP="003B17F1" w:rsidRDefault="003B17F1">
      <w:pPr>
        <w:rPr>
          <w:rFonts w:ascii="Times New Roman" w:hAnsi="Times New Roman"/>
        </w:rPr>
      </w:pPr>
    </w:p>
    <w:p w:rsidR="003B17F1" w:rsidP="003B17F1" w:rsidRDefault="003B17F1">
      <w:pPr>
        <w:rPr>
          <w:rFonts w:ascii="Times New Roman" w:hAnsi="Times New Roman"/>
        </w:rPr>
      </w:pPr>
      <w:r w:rsidRPr="003B17F1">
        <w:rPr>
          <w:rFonts w:ascii="Times New Roman" w:hAnsi="Times New Roman"/>
        </w:rPr>
        <w:t>The number of focus groups and number of participants is unchanged—the study will conduct 18 focus groups comprised of 4-6 participants per group</w:t>
      </w:r>
      <w:r w:rsidR="003C0BCF">
        <w:rPr>
          <w:rFonts w:ascii="Times New Roman" w:hAnsi="Times New Roman"/>
        </w:rPr>
        <w:t xml:space="preserve"> with a variety of audiences as summarized in the table below</w:t>
      </w:r>
      <w:r w:rsidRPr="003B17F1">
        <w:rPr>
          <w:rFonts w:ascii="Times New Roman" w:hAnsi="Times New Roman"/>
        </w:rPr>
        <w:t xml:space="preserve">. As in our initial submission, we propose to conduct focus groups with general population adults, Black/African American adults, Hispanic/Latinx adults, and American Indian/Alaska Native adults. We now propose to also conduct focus groups with Asian American and Native Hawaiian/Pacific Islander adults, as well as those who fall into </w:t>
      </w:r>
      <w:proofErr w:type="spellStart"/>
      <w:r w:rsidRPr="003B17F1">
        <w:rPr>
          <w:rFonts w:ascii="Times New Roman" w:hAnsi="Times New Roman"/>
        </w:rPr>
        <w:t>subclusters</w:t>
      </w:r>
      <w:proofErr w:type="spellEnd"/>
      <w:r w:rsidRPr="003B17F1">
        <w:rPr>
          <w:rFonts w:ascii="Times New Roman" w:hAnsi="Times New Roman"/>
        </w:rPr>
        <w:t xml:space="preserve"> of the movable middle (i.e., those who are hesitant to get a COVID-19 vaccine but indicate at least a moderate likelihood of eventually getting it) based on race/ethnicity, political ideology, and gender. Recruitment screeners </w:t>
      </w:r>
      <w:r w:rsidR="003C0BCF">
        <w:rPr>
          <w:rFonts w:ascii="Times New Roman" w:hAnsi="Times New Roman"/>
        </w:rPr>
        <w:t>are</w:t>
      </w:r>
      <w:r w:rsidRPr="003B17F1">
        <w:rPr>
          <w:rFonts w:ascii="Times New Roman" w:hAnsi="Times New Roman"/>
        </w:rPr>
        <w:t xml:space="preserve"> revised to reflect </w:t>
      </w:r>
      <w:r w:rsidR="003C0BCF">
        <w:rPr>
          <w:rFonts w:ascii="Times New Roman" w:hAnsi="Times New Roman"/>
        </w:rPr>
        <w:t>the</w:t>
      </w:r>
      <w:r w:rsidRPr="003B17F1">
        <w:rPr>
          <w:rFonts w:ascii="Times New Roman" w:hAnsi="Times New Roman"/>
        </w:rPr>
        <w:t xml:space="preserve"> updated target populations. </w:t>
      </w:r>
    </w:p>
    <w:p w:rsidR="003C0BCF" w:rsidP="003B17F1" w:rsidRDefault="003C0BCF">
      <w:pPr>
        <w:rPr>
          <w:rFonts w:ascii="Times New Roman" w:hAnsi="Times New Roman"/>
        </w:rPr>
      </w:pPr>
    </w:p>
    <w:p w:rsidR="003C0BCF" w:rsidP="003B17F1" w:rsidRDefault="003C0B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Approval of these changes allows the program to conduct a study consistent with the current environment in order to secure actionable insights to inform </w:t>
      </w:r>
      <w:r w:rsidR="009C7F95">
        <w:rPr>
          <w:rFonts w:ascii="Times New Roman" w:hAnsi="Times New Roman"/>
        </w:rPr>
        <w:t xml:space="preserve">the ongoing HHS ASPA COVID-19 Public Education Campaign. </w:t>
      </w:r>
      <w:bookmarkStart w:name="_GoBack" w:id="0"/>
      <w:bookmarkEnd w:id="0"/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="009C7F95" w:rsidP="003B17F1" w:rsidRDefault="009C7F95">
      <w:pPr>
        <w:rPr>
          <w:rFonts w:ascii="Times New Roman" w:hAnsi="Times New Roman"/>
        </w:rPr>
      </w:pPr>
    </w:p>
    <w:p w:rsidRPr="003B17F1" w:rsidR="009C7F95" w:rsidP="003B17F1" w:rsidRDefault="009C7F95">
      <w:pPr>
        <w:rPr>
          <w:rFonts w:ascii="Times New Roman" w:hAnsi="Times New Roman"/>
        </w:rPr>
      </w:pPr>
    </w:p>
    <w:p w:rsidRPr="003B17F1" w:rsidR="003B17F1" w:rsidP="003B17F1" w:rsidRDefault="003B17F1">
      <w:pPr>
        <w:rPr>
          <w:rFonts w:ascii="Times New Roman" w:hAnsi="Times New Roman"/>
        </w:rPr>
      </w:pP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1755"/>
        <w:gridCol w:w="1755"/>
        <w:gridCol w:w="3325"/>
      </w:tblGrid>
      <w:tr w:rsidRPr="003B17F1" w:rsidR="003B17F1" w:rsidTr="003B17F1">
        <w:tc>
          <w:tcPr>
            <w:tcW w:w="2515" w:type="dxa"/>
            <w:tcBorders>
              <w:top w:val="single" w:color="122E51" w:sz="8" w:space="0"/>
              <w:left w:val="single" w:color="122E51" w:sz="8" w:space="0"/>
              <w:bottom w:val="single" w:color="C9C9C9" w:sz="12" w:space="0"/>
              <w:right w:val="single" w:color="122E51" w:sz="8" w:space="0"/>
            </w:tcBorders>
            <w:shd w:val="clear" w:color="auto" w:fill="122E5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55" w:type="dxa"/>
            <w:tcBorders>
              <w:top w:val="single" w:color="122E51" w:sz="8" w:space="0"/>
              <w:left w:val="nil"/>
              <w:bottom w:val="single" w:color="C9C9C9" w:sz="12" w:space="0"/>
              <w:right w:val="single" w:color="122E51" w:sz="8" w:space="0"/>
            </w:tcBorders>
            <w:shd w:val="clear" w:color="auto" w:fill="122E5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  <w:b/>
                <w:bCs/>
                <w:color w:val="FFFFFF"/>
              </w:rPr>
              <w:t xml:space="preserve">Non-Vaccinated </w:t>
            </w:r>
          </w:p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  <w:b/>
                <w:bCs/>
                <w:color w:val="FFFFFF"/>
              </w:rPr>
              <w:t>Focus Groups</w:t>
            </w:r>
          </w:p>
        </w:tc>
        <w:tc>
          <w:tcPr>
            <w:tcW w:w="1755" w:type="dxa"/>
            <w:tcBorders>
              <w:top w:val="single" w:color="122E51" w:sz="8" w:space="0"/>
              <w:left w:val="nil"/>
              <w:bottom w:val="single" w:color="C9C9C9" w:sz="12" w:space="0"/>
              <w:right w:val="single" w:color="122E51" w:sz="8" w:space="0"/>
            </w:tcBorders>
            <w:shd w:val="clear" w:color="auto" w:fill="122E5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  <w:b/>
                <w:bCs/>
                <w:color w:val="FFFFFF"/>
              </w:rPr>
              <w:t>Vaccinated Focus Groups</w:t>
            </w:r>
          </w:p>
        </w:tc>
        <w:tc>
          <w:tcPr>
            <w:tcW w:w="3325" w:type="dxa"/>
            <w:tcBorders>
              <w:top w:val="single" w:color="122E51" w:sz="8" w:space="0"/>
              <w:left w:val="nil"/>
              <w:bottom w:val="single" w:color="C9C9C9" w:sz="12" w:space="0"/>
              <w:right w:val="single" w:color="122E51" w:sz="8" w:space="0"/>
            </w:tcBorders>
            <w:shd w:val="clear" w:color="auto" w:fill="122E5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3B17F1">
              <w:rPr>
                <w:rFonts w:ascii="Times New Roman" w:hAnsi="Times New Roman"/>
                <w:b/>
                <w:bCs/>
                <w:color w:val="FFFFFF"/>
              </w:rPr>
              <w:t>Screening Notes</w:t>
            </w:r>
          </w:p>
        </w:tc>
      </w:tr>
      <w:tr w:rsidRPr="003B17F1" w:rsidR="003B17F1" w:rsidTr="003B17F1">
        <w:tc>
          <w:tcPr>
            <w:tcW w:w="2515" w:type="dxa"/>
            <w:tcBorders>
              <w:top w:val="nil"/>
              <w:left w:val="single" w:color="122E51" w:sz="8" w:space="0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  <w:b/>
                <w:bCs/>
              </w:rPr>
            </w:pPr>
            <w:r w:rsidRPr="003B17F1">
              <w:rPr>
                <w:rFonts w:ascii="Times New Roman" w:hAnsi="Times New Roman"/>
                <w:b/>
                <w:bCs/>
              </w:rPr>
              <w:t>General Population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B17F1" w:rsidR="003B17F1" w:rsidRDefault="003B17F1">
            <w:pPr>
              <w:textAlignment w:val="baseline"/>
              <w:rPr>
                <w:rStyle w:val="normaltextrun"/>
                <w:shd w:val="clear" w:color="auto" w:fill="FFFFFF"/>
              </w:rPr>
            </w:pPr>
            <w:r w:rsidRPr="003B17F1">
              <w:rPr>
                <w:rStyle w:val="normaltextrun"/>
                <w:color w:val="000000"/>
                <w:shd w:val="clear" w:color="auto" w:fill="FFFFFF"/>
              </w:rPr>
              <w:t>Mix of genders, ages, race, ethnicity, education level, ideology, geographic location, and income</w:t>
            </w:r>
          </w:p>
        </w:tc>
      </w:tr>
      <w:tr w:rsidRPr="003B17F1" w:rsidR="003B17F1" w:rsidTr="003B17F1">
        <w:tc>
          <w:tcPr>
            <w:tcW w:w="2515" w:type="dxa"/>
            <w:tcBorders>
              <w:top w:val="nil"/>
              <w:left w:val="single" w:color="122E51" w:sz="8" w:space="0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  <w:b/>
                <w:bCs/>
              </w:rPr>
            </w:pPr>
            <w:r w:rsidRPr="003B17F1">
              <w:rPr>
                <w:rFonts w:ascii="Times New Roman" w:hAnsi="Times New Roman"/>
                <w:b/>
                <w:bCs/>
              </w:rPr>
              <w:t>Hispanic/Latinx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Segment by language and age (1 Spanish group ages 18-34, 1 Spanish group ages 35+, 1 English group ages 18-34)</w:t>
            </w:r>
          </w:p>
        </w:tc>
      </w:tr>
      <w:tr w:rsidRPr="003B17F1" w:rsidR="003B17F1" w:rsidTr="003B17F1">
        <w:tc>
          <w:tcPr>
            <w:tcW w:w="2515" w:type="dxa"/>
            <w:tcBorders>
              <w:top w:val="nil"/>
              <w:left w:val="single" w:color="122E51" w:sz="8" w:space="0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  <w:b/>
                <w:bCs/>
              </w:rPr>
            </w:pPr>
            <w:r w:rsidRPr="003B17F1">
              <w:rPr>
                <w:rFonts w:ascii="Times New Roman" w:hAnsi="Times New Roman"/>
                <w:b/>
                <w:bCs/>
              </w:rPr>
              <w:t>Black/African American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 xml:space="preserve">Segment by age (2 ages 18-34, 1 </w:t>
            </w:r>
            <w:proofErr w:type="gramStart"/>
            <w:r w:rsidRPr="003B17F1">
              <w:rPr>
                <w:rFonts w:ascii="Times New Roman" w:hAnsi="Times New Roman"/>
              </w:rPr>
              <w:t>ages</w:t>
            </w:r>
            <w:proofErr w:type="gramEnd"/>
            <w:r w:rsidRPr="003B17F1">
              <w:rPr>
                <w:rFonts w:ascii="Times New Roman" w:hAnsi="Times New Roman"/>
              </w:rPr>
              <w:t xml:space="preserve"> 35+)</w:t>
            </w:r>
          </w:p>
        </w:tc>
      </w:tr>
      <w:tr w:rsidRPr="003B17F1" w:rsidR="003B17F1" w:rsidTr="003B17F1">
        <w:tc>
          <w:tcPr>
            <w:tcW w:w="2515" w:type="dxa"/>
            <w:tcBorders>
              <w:top w:val="nil"/>
              <w:left w:val="single" w:color="122E51" w:sz="8" w:space="0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  <w:b/>
                <w:bCs/>
              </w:rPr>
            </w:pPr>
            <w:r w:rsidRPr="003B17F1">
              <w:rPr>
                <w:rFonts w:ascii="Times New Roman" w:hAnsi="Times New Roman"/>
                <w:b/>
                <w:bCs/>
              </w:rPr>
              <w:t>American Indian/Alaska Native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Segment by gender (1 female group, 1 male group)</w:t>
            </w:r>
          </w:p>
        </w:tc>
      </w:tr>
      <w:tr w:rsidRPr="003B17F1" w:rsidR="003B17F1" w:rsidTr="003B17F1">
        <w:tc>
          <w:tcPr>
            <w:tcW w:w="2515" w:type="dxa"/>
            <w:tcBorders>
              <w:top w:val="nil"/>
              <w:left w:val="single" w:color="122E51" w:sz="8" w:space="0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  <w:b/>
                <w:bCs/>
              </w:rPr>
            </w:pPr>
            <w:r w:rsidRPr="003B17F1">
              <w:rPr>
                <w:rFonts w:ascii="Times New Roman" w:hAnsi="Times New Roman"/>
                <w:b/>
                <w:bCs/>
              </w:rPr>
              <w:t>Asian American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Segment by ethnic group (1 Chinese group, 1 Vietnamese group)</w:t>
            </w:r>
          </w:p>
        </w:tc>
      </w:tr>
      <w:tr w:rsidRPr="003B17F1" w:rsidR="003B17F1" w:rsidTr="003B17F1">
        <w:tc>
          <w:tcPr>
            <w:tcW w:w="2515" w:type="dxa"/>
            <w:tcBorders>
              <w:top w:val="nil"/>
              <w:left w:val="single" w:color="122E51" w:sz="8" w:space="0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  <w:b/>
                <w:bCs/>
              </w:rPr>
            </w:pPr>
            <w:r w:rsidRPr="003B17F1">
              <w:rPr>
                <w:rFonts w:ascii="Times New Roman" w:hAnsi="Times New Roman"/>
                <w:b/>
                <w:bCs/>
              </w:rPr>
              <w:t>Native Hawaiian/Pacific Islander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Mix of genders, ages, education level, ideology, geographic location, and income</w:t>
            </w:r>
          </w:p>
        </w:tc>
      </w:tr>
      <w:tr w:rsidRPr="003B17F1" w:rsidR="003B17F1" w:rsidTr="003B17F1">
        <w:tc>
          <w:tcPr>
            <w:tcW w:w="2515" w:type="dxa"/>
            <w:tcBorders>
              <w:top w:val="nil"/>
              <w:left w:val="single" w:color="122E51" w:sz="8" w:space="0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  <w:b/>
                <w:bCs/>
              </w:rPr>
            </w:pPr>
            <w:r w:rsidRPr="003B17F1">
              <w:rPr>
                <w:rFonts w:ascii="Times New Roman" w:hAnsi="Times New Roman"/>
                <w:b/>
                <w:bCs/>
              </w:rPr>
              <w:t>Unsure Waiters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 xml:space="preserve">Target persons of color, moderate or liberal ideology; mix of education level, geographic location, and income; segment by age (2 ages 18-34, 1 </w:t>
            </w:r>
            <w:proofErr w:type="gramStart"/>
            <w:r w:rsidRPr="003B17F1">
              <w:rPr>
                <w:rFonts w:ascii="Times New Roman" w:hAnsi="Times New Roman"/>
              </w:rPr>
              <w:t>ages</w:t>
            </w:r>
            <w:proofErr w:type="gramEnd"/>
            <w:r w:rsidRPr="003B17F1">
              <w:rPr>
                <w:rFonts w:ascii="Times New Roman" w:hAnsi="Times New Roman"/>
              </w:rPr>
              <w:t xml:space="preserve"> 35+)</w:t>
            </w:r>
          </w:p>
        </w:tc>
      </w:tr>
      <w:tr w:rsidRPr="003B17F1" w:rsidR="003B17F1" w:rsidTr="003B17F1">
        <w:tc>
          <w:tcPr>
            <w:tcW w:w="2515" w:type="dxa"/>
            <w:tcBorders>
              <w:top w:val="nil"/>
              <w:left w:val="single" w:color="122E51" w:sz="8" w:space="0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  <w:b/>
                <w:bCs/>
              </w:rPr>
            </w:pPr>
            <w:r w:rsidRPr="003B17F1">
              <w:rPr>
                <w:rFonts w:ascii="Times New Roman" w:hAnsi="Times New Roman"/>
                <w:b/>
                <w:bCs/>
              </w:rPr>
              <w:t>Definite Waiters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 xml:space="preserve">Target non-Hispanic White persons with conservative ideology; mix of genders, education level, geographic location, and income; segment by age (1 </w:t>
            </w:r>
            <w:proofErr w:type="gramStart"/>
            <w:r w:rsidRPr="003B17F1">
              <w:rPr>
                <w:rFonts w:ascii="Times New Roman" w:hAnsi="Times New Roman"/>
              </w:rPr>
              <w:t>ages</w:t>
            </w:r>
            <w:proofErr w:type="gramEnd"/>
            <w:r w:rsidRPr="003B17F1">
              <w:rPr>
                <w:rFonts w:ascii="Times New Roman" w:hAnsi="Times New Roman"/>
              </w:rPr>
              <w:t xml:space="preserve"> 18-34, 1 ages 35+)</w:t>
            </w:r>
          </w:p>
        </w:tc>
      </w:tr>
      <w:tr w:rsidRPr="003B17F1" w:rsidR="003B17F1" w:rsidTr="003B17F1">
        <w:tc>
          <w:tcPr>
            <w:tcW w:w="2515" w:type="dxa"/>
            <w:tcBorders>
              <w:top w:val="nil"/>
              <w:left w:val="single" w:color="122E51" w:sz="8" w:space="0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17F1" w:rsidR="003B17F1" w:rsidRDefault="003B17F1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3B17F1">
              <w:rPr>
                <w:rFonts w:ascii="Times New Roman" w:hAnsi="Times New Roman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122E51" w:sz="8" w:space="0"/>
              <w:right w:val="single" w:color="122E5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B17F1" w:rsidR="003B17F1" w:rsidRDefault="003B17F1">
            <w:pPr>
              <w:textAlignment w:val="baseline"/>
              <w:rPr>
                <w:rFonts w:ascii="Times New Roman" w:hAnsi="Times New Roman"/>
              </w:rPr>
            </w:pPr>
          </w:p>
        </w:tc>
      </w:tr>
    </w:tbl>
    <w:p w:rsidRPr="003B17F1" w:rsidR="003B17F1" w:rsidP="003B17F1" w:rsidRDefault="003B17F1">
      <w:pPr>
        <w:rPr>
          <w:rFonts w:ascii="Times New Roman" w:hAnsi="Times New Roman"/>
          <w:color w:val="000000"/>
        </w:rPr>
      </w:pPr>
    </w:p>
    <w:p w:rsidRPr="003B17F1" w:rsidR="003B17F1" w:rsidP="003B17F1" w:rsidRDefault="003B17F1">
      <w:pPr>
        <w:rPr>
          <w:rFonts w:ascii="Times New Roman" w:hAnsi="Times New Roman"/>
        </w:rPr>
      </w:pPr>
    </w:p>
    <w:p w:rsidRPr="003B17F1" w:rsidR="00DB44F5" w:rsidRDefault="00DB44F5">
      <w:pPr>
        <w:rPr>
          <w:rFonts w:ascii="Times New Roman" w:hAnsi="Times New Roman"/>
        </w:rPr>
      </w:pPr>
    </w:p>
    <w:sectPr w:rsidRPr="003B17F1" w:rsidR="00DB4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F1"/>
    <w:rsid w:val="003B17F1"/>
    <w:rsid w:val="003C0BCF"/>
    <w:rsid w:val="009C7F95"/>
    <w:rsid w:val="00D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9716"/>
  <w15:chartTrackingRefBased/>
  <w15:docId w15:val="{26E5385F-F51C-447C-B1DC-4B481EB5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17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3B17F1"/>
    <w:pPr>
      <w:widowControl w:val="0"/>
      <w:autoSpaceDE w:val="0"/>
      <w:autoSpaceDN w:val="0"/>
      <w:ind w:left="543"/>
      <w:outlineLvl w:val="0"/>
    </w:pPr>
    <w:rPr>
      <w:rFonts w:ascii="Times New Roman" w:hAnsi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B17F1"/>
    <w:rPr>
      <w:rFonts w:ascii="Times New Roman" w:hAnsi="Times New Roman" w:cs="Times New Roman" w:hint="default"/>
    </w:rPr>
  </w:style>
  <w:style w:type="character" w:customStyle="1" w:styleId="Heading1Char">
    <w:name w:val="Heading 1 Char"/>
    <w:basedOn w:val="DefaultParagraphFont"/>
    <w:link w:val="Heading1"/>
    <w:uiPriority w:val="1"/>
    <w:rsid w:val="003B17F1"/>
    <w:rPr>
      <w:rFonts w:ascii="Times New Roman" w:eastAsia="Times New Roman" w:hAnsi="Times New Roman" w:cs="Times New Roman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Vines, Monica (HHS/ASPA)</dc:creator>
  <cp:keywords/>
  <dc:description/>
  <cp:lastModifiedBy>Vines, Monica (HHS/ASPA)</cp:lastModifiedBy>
  <cp:revision>1</cp:revision>
  <dcterms:created xsi:type="dcterms:W3CDTF">2021-05-05T21:45:00Z</dcterms:created>
  <dcterms:modified xsi:type="dcterms:W3CDTF">2021-05-05T22:08:00Z</dcterms:modified>
</cp:coreProperties>
</file>