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0D93" w:rsidP="00425592" w:rsidRDefault="00D20D93" w14:paraId="275AB043" w14:textId="03F7527F">
      <w:pPr>
        <w:pBdr>
          <w:bottom w:val="single" w:color="auto" w:sz="6" w:space="1"/>
        </w:pBdr>
        <w:tabs>
          <w:tab w:val="left" w:pos="2340"/>
          <w:tab w:val="left" w:pos="3240"/>
        </w:tabs>
        <w:rPr>
          <w:b/>
          <w:bCs/>
          <w:sz w:val="28"/>
          <w:szCs w:val="24"/>
        </w:rPr>
      </w:pPr>
    </w:p>
    <w:p w:rsidR="00D20D93" w:rsidP="00D20D93" w:rsidRDefault="00D20D93" w14:paraId="2C7447E8" w14:textId="77777777">
      <w:pPr>
        <w:tabs>
          <w:tab w:val="left" w:pos="2340"/>
          <w:tab w:val="left" w:pos="3240"/>
        </w:tabs>
        <w:jc w:val="center"/>
        <w:rPr>
          <w:b/>
          <w:bCs/>
          <w:sz w:val="28"/>
          <w:szCs w:val="24"/>
        </w:rPr>
      </w:pPr>
    </w:p>
    <w:p w:rsidRPr="00022C92" w:rsidR="00D20D93" w:rsidP="00D20D93" w:rsidRDefault="00D20D93" w14:paraId="11BE09D6" w14:textId="462227B9">
      <w:pPr>
        <w:tabs>
          <w:tab w:val="left" w:pos="2340"/>
          <w:tab w:val="left" w:pos="3240"/>
        </w:tabs>
        <w:jc w:val="center"/>
        <w:rPr>
          <w:b/>
          <w:bCs/>
          <w:sz w:val="24"/>
          <w:szCs w:val="24"/>
        </w:rPr>
      </w:pPr>
      <w:r w:rsidRPr="00022C92">
        <w:rPr>
          <w:b/>
          <w:bCs/>
          <w:sz w:val="24"/>
          <w:szCs w:val="24"/>
        </w:rPr>
        <w:t>U.S. DEPARTMENT OF THE INTERIOR</w:t>
      </w:r>
    </w:p>
    <w:p w:rsidRPr="00022C92" w:rsidR="00D20D93" w:rsidP="00D20D93" w:rsidRDefault="00D20D93" w14:paraId="428BFF48" w14:textId="77777777">
      <w:pPr>
        <w:tabs>
          <w:tab w:val="left" w:pos="2340"/>
          <w:tab w:val="left" w:pos="3240"/>
        </w:tabs>
        <w:jc w:val="center"/>
        <w:rPr>
          <w:b/>
          <w:bCs/>
          <w:sz w:val="24"/>
          <w:szCs w:val="24"/>
        </w:rPr>
      </w:pPr>
      <w:r w:rsidRPr="00022C92">
        <w:rPr>
          <w:b/>
          <w:bCs/>
          <w:sz w:val="24"/>
          <w:szCs w:val="24"/>
        </w:rPr>
        <w:t xml:space="preserve">BUREAU OF LAND MANAGEMENT </w:t>
      </w:r>
    </w:p>
    <w:p w:rsidRPr="00022C92" w:rsidR="00D20D93" w:rsidP="00D20D93" w:rsidRDefault="00D20D93" w14:paraId="0FCD3667" w14:textId="77777777">
      <w:pPr>
        <w:tabs>
          <w:tab w:val="left" w:pos="2340"/>
          <w:tab w:val="left" w:pos="3240"/>
        </w:tabs>
        <w:jc w:val="center"/>
        <w:rPr>
          <w:b/>
          <w:bCs/>
          <w:sz w:val="24"/>
          <w:szCs w:val="24"/>
        </w:rPr>
      </w:pPr>
    </w:p>
    <w:p w:rsidRPr="00022C92" w:rsidR="00D20D93" w:rsidP="00D20D93" w:rsidRDefault="00D20D93" w14:paraId="4EACC2EB" w14:textId="77777777">
      <w:pPr>
        <w:tabs>
          <w:tab w:val="left" w:pos="2340"/>
          <w:tab w:val="left" w:pos="3240"/>
        </w:tabs>
        <w:jc w:val="center"/>
        <w:rPr>
          <w:b/>
          <w:bCs/>
          <w:sz w:val="24"/>
          <w:szCs w:val="24"/>
        </w:rPr>
      </w:pPr>
      <w:r w:rsidRPr="00022C92">
        <w:rPr>
          <w:b/>
          <w:bCs/>
          <w:sz w:val="24"/>
          <w:szCs w:val="24"/>
        </w:rPr>
        <w:t>PAPERWORK REDUCTION ACT SUBMISSION</w:t>
      </w:r>
    </w:p>
    <w:p w:rsidRPr="00022C92" w:rsidR="00D20D93" w:rsidP="00D20D93" w:rsidRDefault="00D20D93" w14:paraId="0D4DB705" w14:textId="77777777">
      <w:pPr>
        <w:tabs>
          <w:tab w:val="left" w:pos="2340"/>
          <w:tab w:val="left" w:pos="3240"/>
        </w:tabs>
        <w:jc w:val="center"/>
        <w:rPr>
          <w:b/>
          <w:bCs/>
          <w:caps/>
          <w:sz w:val="24"/>
          <w:szCs w:val="24"/>
        </w:rPr>
      </w:pPr>
      <w:r w:rsidRPr="00022C92">
        <w:rPr>
          <w:b/>
          <w:bCs/>
          <w:caps/>
          <w:sz w:val="24"/>
          <w:szCs w:val="24"/>
        </w:rPr>
        <w:t xml:space="preserve">Supporting Statement </w:t>
      </w:r>
    </w:p>
    <w:p w:rsidRPr="00022C92" w:rsidR="00D20D93" w:rsidP="00D20D93" w:rsidRDefault="00D20D93" w14:paraId="54BE7F5F" w14:textId="0BF80D48">
      <w:pPr>
        <w:tabs>
          <w:tab w:val="left" w:pos="2340"/>
          <w:tab w:val="left" w:pos="3240"/>
        </w:tabs>
        <w:jc w:val="center"/>
        <w:rPr>
          <w:b/>
          <w:bCs/>
          <w:caps/>
          <w:sz w:val="24"/>
          <w:szCs w:val="24"/>
        </w:rPr>
      </w:pPr>
      <w:r w:rsidRPr="00022C92">
        <w:rPr>
          <w:b/>
          <w:bCs/>
          <w:caps/>
          <w:sz w:val="24"/>
          <w:szCs w:val="24"/>
        </w:rPr>
        <w:t>PART B statistical mehtods</w:t>
      </w:r>
    </w:p>
    <w:p w:rsidRPr="00022C92" w:rsidR="00D20D93" w:rsidP="00D20D93" w:rsidRDefault="00D20D93" w14:paraId="2B293CB9" w14:textId="77777777">
      <w:pPr>
        <w:tabs>
          <w:tab w:val="left" w:pos="2340"/>
          <w:tab w:val="left" w:pos="3240"/>
        </w:tabs>
        <w:rPr>
          <w:b/>
          <w:bCs/>
          <w:caps/>
          <w:sz w:val="24"/>
          <w:szCs w:val="24"/>
        </w:rPr>
      </w:pPr>
    </w:p>
    <w:p w:rsidRPr="00022C92" w:rsidR="00D20D93" w:rsidP="00D20D93" w:rsidRDefault="00D20D93" w14:paraId="680B5D8C" w14:textId="77777777">
      <w:pPr>
        <w:tabs>
          <w:tab w:val="left" w:pos="-1080"/>
          <w:tab w:val="left" w:pos="2340"/>
          <w:tab w:val="left" w:pos="3240"/>
        </w:tabs>
        <w:jc w:val="center"/>
        <w:rPr>
          <w:caps/>
          <w:sz w:val="24"/>
          <w:szCs w:val="24"/>
        </w:rPr>
      </w:pPr>
      <w:r w:rsidRPr="00022C92">
        <w:rPr>
          <w:b/>
          <w:bCs/>
          <w:caps/>
          <w:sz w:val="24"/>
          <w:szCs w:val="24"/>
        </w:rPr>
        <w:t>Surveys and Focus Groups to Support Outcomes-Focused Management (RECREATION SURVEY)</w:t>
      </w:r>
    </w:p>
    <w:p w:rsidRPr="00022C92" w:rsidR="00D20D93" w:rsidP="00D20D93" w:rsidRDefault="00D20D93" w14:paraId="1710A39F" w14:textId="77777777">
      <w:pPr>
        <w:pBdr>
          <w:bottom w:val="single" w:color="auto" w:sz="6" w:space="1"/>
        </w:pBdr>
        <w:tabs>
          <w:tab w:val="left" w:pos="2340"/>
          <w:tab w:val="left" w:pos="3240"/>
        </w:tabs>
        <w:jc w:val="center"/>
        <w:rPr>
          <w:b/>
          <w:bCs/>
          <w:caps/>
          <w:sz w:val="24"/>
          <w:szCs w:val="24"/>
        </w:rPr>
      </w:pPr>
    </w:p>
    <w:p w:rsidRPr="00022C92" w:rsidR="00D20D93" w:rsidP="00D20D93" w:rsidRDefault="00D20D93" w14:paraId="7461C37B" w14:textId="7EEBB4A1">
      <w:pPr>
        <w:pBdr>
          <w:bottom w:val="single" w:color="auto" w:sz="6" w:space="1"/>
        </w:pBdr>
        <w:tabs>
          <w:tab w:val="left" w:pos="2340"/>
          <w:tab w:val="left" w:pos="3240"/>
        </w:tabs>
        <w:jc w:val="center"/>
        <w:rPr>
          <w:b/>
          <w:bCs/>
          <w:caps/>
          <w:sz w:val="24"/>
          <w:szCs w:val="24"/>
        </w:rPr>
      </w:pPr>
      <w:r w:rsidRPr="00022C92">
        <w:rPr>
          <w:b/>
          <w:bCs/>
          <w:caps/>
          <w:sz w:val="24"/>
          <w:szCs w:val="24"/>
        </w:rPr>
        <w:t>OMB Control Number 1004-</w:t>
      </w:r>
      <w:r w:rsidR="00720C7D">
        <w:rPr>
          <w:b/>
          <w:bCs/>
          <w:caps/>
          <w:sz w:val="24"/>
          <w:szCs w:val="24"/>
        </w:rPr>
        <w:t>0NEW</w:t>
      </w:r>
    </w:p>
    <w:p w:rsidRPr="00F01581" w:rsidR="00943F26" w:rsidP="00A75E87" w:rsidRDefault="00943F26" w14:paraId="76A0F441" w14:textId="77777777">
      <w:pPr>
        <w:rPr>
          <w:b/>
          <w:sz w:val="22"/>
          <w:szCs w:val="22"/>
        </w:rPr>
      </w:pPr>
    </w:p>
    <w:p w:rsidRPr="00F01581" w:rsidR="00780547" w:rsidP="00A75E87" w:rsidRDefault="00300594" w14:paraId="17C76138" w14:textId="77777777">
      <w:pPr>
        <w:rPr>
          <w:color w:val="0000FF"/>
          <w:sz w:val="24"/>
          <w:szCs w:val="24"/>
        </w:rPr>
      </w:pPr>
      <w:r w:rsidRPr="00F01581">
        <w:rPr>
          <w:b/>
          <w:sz w:val="24"/>
          <w:szCs w:val="24"/>
        </w:rPr>
        <w:t>1.</w:t>
      </w:r>
      <w:r w:rsidRPr="00F01581" w:rsidR="001543F3">
        <w:rPr>
          <w:b/>
          <w:sz w:val="24"/>
          <w:szCs w:val="24"/>
        </w:rPr>
        <w:t xml:space="preserve">  </w:t>
      </w:r>
      <w:r w:rsidRPr="00F01581">
        <w:rPr>
          <w:b/>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w:t>
      </w:r>
      <w:proofErr w:type="gramStart"/>
      <w:r w:rsidRPr="00F01581">
        <w:rPr>
          <w:b/>
          <w:sz w:val="24"/>
          <w:szCs w:val="24"/>
        </w:rPr>
        <w:t xml:space="preserve">.  </w:t>
      </w:r>
      <w:proofErr w:type="gramEnd"/>
      <w:r w:rsidRPr="00F01581">
        <w:rPr>
          <w:b/>
          <w:sz w:val="24"/>
          <w:szCs w:val="24"/>
        </w:rPr>
        <w:t>If the collection had been conducted previously, include the actual response rate achieved during the last collection.</w:t>
      </w:r>
    </w:p>
    <w:p w:rsidRPr="00F01581" w:rsidR="00780547" w:rsidP="002E26BF" w:rsidRDefault="00780547" w14:paraId="56E961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947F09" w:rsidR="00300594" w:rsidP="002E26BF" w:rsidRDefault="00300594" w14:paraId="525637B7" w14:textId="77777777">
      <w:pPr>
        <w:pStyle w:val="BodyText"/>
        <w:jc w:val="left"/>
        <w:rPr>
          <w:rFonts w:ascii="Times New Roman" w:hAnsi="Times New Roman"/>
          <w:b/>
          <w:bCs/>
          <w:i/>
          <w:sz w:val="24"/>
        </w:rPr>
      </w:pPr>
      <w:r w:rsidRPr="00947F09">
        <w:rPr>
          <w:rFonts w:ascii="Times New Roman" w:hAnsi="Times New Roman"/>
          <w:b/>
          <w:bCs/>
          <w:i/>
          <w:sz w:val="24"/>
        </w:rPr>
        <w:t xml:space="preserve">Respondent Universe </w:t>
      </w:r>
    </w:p>
    <w:p w:rsidR="00F604F0" w:rsidP="00C260BF" w:rsidRDefault="00341AD9" w14:paraId="3D2EBDFC" w14:textId="416D5E62">
      <w:pPr>
        <w:pStyle w:val="BodyText"/>
        <w:jc w:val="left"/>
        <w:rPr>
          <w:rFonts w:ascii="Times New Roman" w:hAnsi="Times New Roman"/>
          <w:sz w:val="24"/>
        </w:rPr>
      </w:pPr>
      <w:r w:rsidRPr="00F01581">
        <w:rPr>
          <w:rFonts w:ascii="Times New Roman" w:hAnsi="Times New Roman"/>
          <w:sz w:val="24"/>
        </w:rPr>
        <w:t>The purpose of this social science information collection endeavor is to provide relevant public input to support outcome-focused management decisions required by BLM Planning for Recreation and Visitor Services Handbook (H-8320-1)</w:t>
      </w:r>
      <w:r w:rsidR="00947F09">
        <w:rPr>
          <w:rFonts w:ascii="Times New Roman" w:hAnsi="Times New Roman"/>
          <w:sz w:val="24"/>
        </w:rPr>
        <w:t>, approved in 2014</w:t>
      </w:r>
      <w:proofErr w:type="gramStart"/>
      <w:r w:rsidRPr="00F01581">
        <w:rPr>
          <w:rFonts w:ascii="Times New Roman" w:hAnsi="Times New Roman"/>
          <w:sz w:val="24"/>
        </w:rPr>
        <w:t xml:space="preserve">.  </w:t>
      </w:r>
      <w:proofErr w:type="gramEnd"/>
    </w:p>
    <w:p w:rsidR="00744A99" w:rsidP="00C260BF" w:rsidRDefault="00744A99" w14:paraId="2A610006" w14:textId="77777777">
      <w:pPr>
        <w:pStyle w:val="BodyText"/>
        <w:jc w:val="left"/>
        <w:rPr>
          <w:rFonts w:ascii="Times New Roman" w:hAnsi="Times New Roman"/>
          <w:sz w:val="24"/>
        </w:rPr>
      </w:pPr>
    </w:p>
    <w:p w:rsidR="00744A99" w:rsidP="00744A99" w:rsidRDefault="00744A99" w14:paraId="57F28852" w14:textId="20094EE6">
      <w:pPr>
        <w:tabs>
          <w:tab w:val="left" w:pos="2340"/>
          <w:tab w:val="left" w:pos="3240"/>
        </w:tabs>
        <w:rPr>
          <w:sz w:val="24"/>
          <w:szCs w:val="24"/>
        </w:rPr>
      </w:pPr>
      <w:r w:rsidRPr="00B56E4C">
        <w:rPr>
          <w:sz w:val="24"/>
          <w:szCs w:val="24"/>
        </w:rPr>
        <w:t xml:space="preserve">BLM </w:t>
      </w:r>
      <w:r>
        <w:rPr>
          <w:sz w:val="24"/>
          <w:szCs w:val="24"/>
        </w:rPr>
        <w:t>F</w:t>
      </w:r>
      <w:r w:rsidRPr="00B56E4C">
        <w:rPr>
          <w:sz w:val="24"/>
          <w:szCs w:val="24"/>
        </w:rPr>
        <w:t xml:space="preserve">ield </w:t>
      </w:r>
      <w:r>
        <w:rPr>
          <w:sz w:val="24"/>
          <w:szCs w:val="24"/>
        </w:rPr>
        <w:t>O</w:t>
      </w:r>
      <w:r w:rsidRPr="00B56E4C">
        <w:rPr>
          <w:sz w:val="24"/>
          <w:szCs w:val="24"/>
        </w:rPr>
        <w:t>ffices w</w:t>
      </w:r>
      <w:r>
        <w:rPr>
          <w:sz w:val="24"/>
          <w:szCs w:val="24"/>
        </w:rPr>
        <w:t>ill</w:t>
      </w:r>
      <w:r w:rsidRPr="00B56E4C">
        <w:rPr>
          <w:sz w:val="24"/>
          <w:szCs w:val="24"/>
        </w:rPr>
        <w:t xml:space="preserve"> be selected to administer a visitor survey based on one of two conditions: 1) a forthcoming </w:t>
      </w:r>
      <w:r w:rsidR="00FA3C16">
        <w:rPr>
          <w:sz w:val="24"/>
          <w:szCs w:val="24"/>
        </w:rPr>
        <w:t>Land Use Plan (</w:t>
      </w:r>
      <w:r w:rsidRPr="00B56E4C">
        <w:rPr>
          <w:sz w:val="24"/>
          <w:szCs w:val="24"/>
        </w:rPr>
        <w:t>LUP</w:t>
      </w:r>
      <w:r w:rsidR="00FA3C16">
        <w:rPr>
          <w:sz w:val="24"/>
          <w:szCs w:val="24"/>
        </w:rPr>
        <w:t>)</w:t>
      </w:r>
      <w:r w:rsidRPr="00B56E4C">
        <w:rPr>
          <w:sz w:val="24"/>
          <w:szCs w:val="24"/>
        </w:rPr>
        <w:t xml:space="preserve"> in which Recreation Management Areas (RMA) might be considered (e.g., high visitation, unique recreation opportunities, and unique natural features); or 2) </w:t>
      </w:r>
      <w:r>
        <w:rPr>
          <w:sz w:val="24"/>
          <w:szCs w:val="24"/>
        </w:rPr>
        <w:t xml:space="preserve">to monitor achievement of LUP objectives in </w:t>
      </w:r>
      <w:r w:rsidRPr="00B56E4C">
        <w:rPr>
          <w:sz w:val="24"/>
          <w:szCs w:val="24"/>
        </w:rPr>
        <w:t>completed</w:t>
      </w:r>
      <w:r>
        <w:rPr>
          <w:sz w:val="24"/>
          <w:szCs w:val="24"/>
        </w:rPr>
        <w:t xml:space="preserve"> LUPs</w:t>
      </w:r>
      <w:r w:rsidRPr="00B56E4C">
        <w:rPr>
          <w:sz w:val="24"/>
          <w:szCs w:val="24"/>
        </w:rPr>
        <w:t xml:space="preserve">. </w:t>
      </w:r>
    </w:p>
    <w:p w:rsidRPr="00744A99" w:rsidR="00744A99" w:rsidP="00C260BF" w:rsidRDefault="00744A99" w14:paraId="664AA03F" w14:textId="77777777">
      <w:pPr>
        <w:pStyle w:val="BodyText"/>
        <w:jc w:val="left"/>
        <w:rPr>
          <w:rFonts w:ascii="Times New Roman" w:hAnsi="Times New Roman"/>
          <w:b/>
          <w:sz w:val="24"/>
        </w:rPr>
      </w:pPr>
    </w:p>
    <w:p w:rsidRPr="00F01581" w:rsidR="00341AD9" w:rsidP="00007ADC" w:rsidRDefault="00F604F0" w14:paraId="1D43BF9D" w14:textId="7F5ACEC7">
      <w:pPr>
        <w:tabs>
          <w:tab w:val="left" w:pos="2340"/>
          <w:tab w:val="left" w:pos="3240"/>
        </w:tabs>
        <w:rPr>
          <w:sz w:val="24"/>
          <w:szCs w:val="24"/>
        </w:rPr>
      </w:pPr>
      <w:r w:rsidRPr="00364280">
        <w:rPr>
          <w:sz w:val="24"/>
          <w:szCs w:val="24"/>
        </w:rPr>
        <w:t>BLM Field Offices will be selected to administer a focus group based on one of three conditions: 1) a forthcoming LUP in which</w:t>
      </w:r>
      <w:r w:rsidR="00121BDC">
        <w:rPr>
          <w:sz w:val="24"/>
          <w:szCs w:val="24"/>
        </w:rPr>
        <w:t xml:space="preserve"> </w:t>
      </w:r>
      <w:r w:rsidRPr="00364280">
        <w:rPr>
          <w:sz w:val="24"/>
          <w:szCs w:val="24"/>
        </w:rPr>
        <w:t>RMA</w:t>
      </w:r>
      <w:r>
        <w:rPr>
          <w:sz w:val="24"/>
          <w:szCs w:val="24"/>
        </w:rPr>
        <w:t>s</w:t>
      </w:r>
      <w:r w:rsidRPr="00364280">
        <w:rPr>
          <w:sz w:val="24"/>
          <w:szCs w:val="24"/>
        </w:rPr>
        <w:t xml:space="preserve"> might be considered (e.g., high visitation, unique recreation opportunities, and unique natural features); or 2) a recently completed LUP in which </w:t>
      </w:r>
      <w:r w:rsidR="00FA3C16">
        <w:rPr>
          <w:sz w:val="24"/>
          <w:szCs w:val="24"/>
        </w:rPr>
        <w:t>Special Recreation Management Areas (</w:t>
      </w:r>
      <w:r w:rsidRPr="00364280">
        <w:rPr>
          <w:sz w:val="24"/>
          <w:szCs w:val="24"/>
        </w:rPr>
        <w:t>SRMA</w:t>
      </w:r>
      <w:r w:rsidR="00121BDC">
        <w:rPr>
          <w:sz w:val="24"/>
          <w:szCs w:val="24"/>
        </w:rPr>
        <w:t>s</w:t>
      </w:r>
      <w:r w:rsidR="00FA3C16">
        <w:rPr>
          <w:sz w:val="24"/>
          <w:szCs w:val="24"/>
        </w:rPr>
        <w:t>)</w:t>
      </w:r>
      <w:r w:rsidRPr="00364280">
        <w:rPr>
          <w:sz w:val="24"/>
          <w:szCs w:val="24"/>
        </w:rPr>
        <w:t xml:space="preserve"> were designated; or 3) in support of efforts to engage local communities and stakeholders in recreational planning and management consistent with the BLM national recreation strategy – “Connecting with Communities</w:t>
      </w:r>
      <w:r w:rsidR="00121BDC">
        <w:rPr>
          <w:sz w:val="24"/>
          <w:szCs w:val="24"/>
        </w:rPr>
        <w:t>.</w:t>
      </w:r>
      <w:r w:rsidRPr="00364280">
        <w:rPr>
          <w:sz w:val="24"/>
          <w:szCs w:val="24"/>
        </w:rPr>
        <w:t>”</w:t>
      </w:r>
    </w:p>
    <w:p w:rsidRPr="00F01581" w:rsidR="00943F26" w:rsidP="004E69A7" w:rsidRDefault="00943F26" w14:paraId="4B1AA753" w14:textId="744F1DE9">
      <w:pPr>
        <w:rPr>
          <w:sz w:val="24"/>
          <w:szCs w:val="24"/>
        </w:rPr>
      </w:pPr>
    </w:p>
    <w:p w:rsidR="005F7E68" w:rsidP="004E69A7" w:rsidRDefault="005F7E68" w14:paraId="077B9939" w14:textId="77777777">
      <w:pPr>
        <w:rPr>
          <w:b/>
          <w:i/>
          <w:sz w:val="24"/>
          <w:szCs w:val="24"/>
        </w:rPr>
      </w:pPr>
    </w:p>
    <w:p w:rsidRPr="00F01581" w:rsidR="00943F26" w:rsidP="004E69A7" w:rsidRDefault="00943F26" w14:paraId="628C5348" w14:textId="4FDDB528">
      <w:pPr>
        <w:rPr>
          <w:b/>
          <w:i/>
          <w:sz w:val="24"/>
          <w:szCs w:val="24"/>
        </w:rPr>
      </w:pPr>
      <w:r w:rsidRPr="00F01581">
        <w:rPr>
          <w:b/>
          <w:i/>
          <w:sz w:val="24"/>
          <w:szCs w:val="24"/>
        </w:rPr>
        <w:t>Pre-</w:t>
      </w:r>
      <w:r w:rsidRPr="00F01581" w:rsidR="004F75C3">
        <w:rPr>
          <w:b/>
          <w:i/>
          <w:sz w:val="24"/>
          <w:szCs w:val="24"/>
        </w:rPr>
        <w:t xml:space="preserve">LUP </w:t>
      </w:r>
      <w:r w:rsidRPr="00F01581" w:rsidR="003E4A7F">
        <w:rPr>
          <w:b/>
          <w:i/>
          <w:sz w:val="24"/>
          <w:szCs w:val="24"/>
        </w:rPr>
        <w:t>V</w:t>
      </w:r>
      <w:r w:rsidRPr="00F01581" w:rsidR="004F75C3">
        <w:rPr>
          <w:b/>
          <w:i/>
          <w:sz w:val="24"/>
          <w:szCs w:val="24"/>
        </w:rPr>
        <w:t>isitor</w:t>
      </w:r>
      <w:r w:rsidRPr="00F01581">
        <w:rPr>
          <w:b/>
          <w:i/>
          <w:sz w:val="24"/>
          <w:szCs w:val="24"/>
        </w:rPr>
        <w:t xml:space="preserve"> </w:t>
      </w:r>
      <w:r w:rsidRPr="00F01581" w:rsidR="003E4A7F">
        <w:rPr>
          <w:b/>
          <w:i/>
          <w:sz w:val="24"/>
          <w:szCs w:val="24"/>
        </w:rPr>
        <w:t>S</w:t>
      </w:r>
      <w:r w:rsidRPr="00F01581">
        <w:rPr>
          <w:b/>
          <w:i/>
          <w:sz w:val="24"/>
          <w:szCs w:val="24"/>
        </w:rPr>
        <w:t>urvey</w:t>
      </w:r>
    </w:p>
    <w:p w:rsidRPr="00F01581" w:rsidR="0080208E" w:rsidP="0080208E" w:rsidRDefault="004F75C3" w14:paraId="733201DA" w14:textId="7E0E67B3">
      <w:pPr>
        <w:rPr>
          <w:sz w:val="24"/>
          <w:szCs w:val="24"/>
        </w:rPr>
      </w:pPr>
      <w:r w:rsidRPr="00F01581">
        <w:rPr>
          <w:sz w:val="24"/>
          <w:szCs w:val="24"/>
        </w:rPr>
        <w:t xml:space="preserve">The respondent universe for this component of the information collection is </w:t>
      </w:r>
      <w:r w:rsidRPr="00F01581" w:rsidR="003944F8">
        <w:rPr>
          <w:sz w:val="24"/>
          <w:szCs w:val="24"/>
        </w:rPr>
        <w:t xml:space="preserve">all </w:t>
      </w:r>
      <w:r w:rsidRPr="00F01581">
        <w:rPr>
          <w:sz w:val="24"/>
          <w:szCs w:val="24"/>
        </w:rPr>
        <w:t xml:space="preserve">visitors 18 years of age or older </w:t>
      </w:r>
      <w:r w:rsidR="00662D04">
        <w:rPr>
          <w:sz w:val="24"/>
          <w:szCs w:val="24"/>
        </w:rPr>
        <w:t>at the</w:t>
      </w:r>
      <w:r w:rsidRPr="00F01581">
        <w:rPr>
          <w:sz w:val="24"/>
          <w:szCs w:val="24"/>
        </w:rPr>
        <w:t xml:space="preserve"> BLM-managed </w:t>
      </w:r>
      <w:r w:rsidR="00320C86">
        <w:rPr>
          <w:sz w:val="24"/>
          <w:szCs w:val="24"/>
        </w:rPr>
        <w:t xml:space="preserve">sites for which the respective field office is gathering data </w:t>
      </w:r>
      <w:r w:rsidR="00320C86">
        <w:rPr>
          <w:sz w:val="24"/>
          <w:szCs w:val="24"/>
        </w:rPr>
        <w:lastRenderedPageBreak/>
        <w:t>in support</w:t>
      </w:r>
      <w:r w:rsidR="00662D04">
        <w:rPr>
          <w:rFonts w:eastAsia="Times New Roman"/>
          <w:sz w:val="24"/>
          <w:szCs w:val="24"/>
        </w:rPr>
        <w:t xml:space="preserve"> </w:t>
      </w:r>
      <w:r w:rsidR="00320C86">
        <w:rPr>
          <w:rFonts w:eastAsia="Times New Roman"/>
          <w:sz w:val="24"/>
          <w:szCs w:val="24"/>
        </w:rPr>
        <w:t>of a Resource Management Plan</w:t>
      </w:r>
      <w:r w:rsidR="00121BDC">
        <w:rPr>
          <w:rFonts w:eastAsia="Times New Roman"/>
          <w:sz w:val="24"/>
          <w:szCs w:val="24"/>
        </w:rPr>
        <w:t xml:space="preserve"> (RMP)</w:t>
      </w:r>
      <w:r w:rsidR="00195905">
        <w:rPr>
          <w:rFonts w:eastAsia="Times New Roman"/>
          <w:sz w:val="24"/>
          <w:szCs w:val="24"/>
        </w:rPr>
        <w:t>.</w:t>
      </w:r>
    </w:p>
    <w:p w:rsidRPr="00F01581" w:rsidR="00943F26" w:rsidP="004E69A7" w:rsidRDefault="00943F26" w14:paraId="3C63CAB2" w14:textId="73C878F3">
      <w:pPr>
        <w:rPr>
          <w:sz w:val="24"/>
          <w:szCs w:val="24"/>
        </w:rPr>
      </w:pPr>
    </w:p>
    <w:p w:rsidRPr="00F01581" w:rsidR="004F75C3" w:rsidP="004E69A7" w:rsidRDefault="004F75C3" w14:paraId="5B63EAD3" w14:textId="77777777">
      <w:pPr>
        <w:rPr>
          <w:sz w:val="24"/>
          <w:szCs w:val="24"/>
        </w:rPr>
      </w:pPr>
    </w:p>
    <w:p w:rsidRPr="00F01581" w:rsidR="00943F26" w:rsidP="004E69A7" w:rsidRDefault="00943F26" w14:paraId="23348A87" w14:textId="2BBF43D1">
      <w:pPr>
        <w:rPr>
          <w:b/>
          <w:i/>
          <w:sz w:val="24"/>
          <w:szCs w:val="24"/>
        </w:rPr>
      </w:pPr>
      <w:r w:rsidRPr="00F01581">
        <w:rPr>
          <w:b/>
          <w:i/>
          <w:sz w:val="24"/>
          <w:szCs w:val="24"/>
        </w:rPr>
        <w:t>Post-</w:t>
      </w:r>
      <w:r w:rsidRPr="00F01581" w:rsidR="003E4A7F">
        <w:rPr>
          <w:b/>
          <w:i/>
          <w:sz w:val="24"/>
          <w:szCs w:val="24"/>
        </w:rPr>
        <w:t>LUP</w:t>
      </w:r>
      <w:r w:rsidRPr="00F01581">
        <w:rPr>
          <w:b/>
          <w:i/>
          <w:sz w:val="24"/>
          <w:szCs w:val="24"/>
        </w:rPr>
        <w:t xml:space="preserve"> </w:t>
      </w:r>
      <w:r w:rsidRPr="00F01581" w:rsidR="003E4A7F">
        <w:rPr>
          <w:b/>
          <w:i/>
          <w:sz w:val="24"/>
          <w:szCs w:val="24"/>
        </w:rPr>
        <w:t>S</w:t>
      </w:r>
      <w:r w:rsidRPr="00F01581">
        <w:rPr>
          <w:b/>
          <w:i/>
          <w:sz w:val="24"/>
          <w:szCs w:val="24"/>
        </w:rPr>
        <w:t>urvey</w:t>
      </w:r>
    </w:p>
    <w:p w:rsidRPr="00F01581" w:rsidR="006D7C50" w:rsidP="006D7C50" w:rsidRDefault="006D7C50" w14:paraId="31B329C5" w14:textId="514AB776">
      <w:pPr>
        <w:rPr>
          <w:sz w:val="24"/>
          <w:szCs w:val="24"/>
        </w:rPr>
      </w:pPr>
      <w:r w:rsidRPr="00F01581">
        <w:rPr>
          <w:sz w:val="24"/>
          <w:szCs w:val="24"/>
        </w:rPr>
        <w:t xml:space="preserve">The respondent universe for this component of the information collection is </w:t>
      </w:r>
      <w:r w:rsidRPr="00F01581" w:rsidR="003944F8">
        <w:rPr>
          <w:sz w:val="24"/>
          <w:szCs w:val="24"/>
        </w:rPr>
        <w:t xml:space="preserve">all </w:t>
      </w:r>
      <w:r w:rsidRPr="00F01581">
        <w:rPr>
          <w:sz w:val="24"/>
          <w:szCs w:val="24"/>
        </w:rPr>
        <w:t xml:space="preserve">visitors 18 years of age or older </w:t>
      </w:r>
      <w:r w:rsidRPr="00F01581" w:rsidR="003944F8">
        <w:rPr>
          <w:sz w:val="24"/>
          <w:szCs w:val="24"/>
        </w:rPr>
        <w:t>to</w:t>
      </w:r>
      <w:r w:rsidRPr="00F01581">
        <w:rPr>
          <w:sz w:val="24"/>
          <w:szCs w:val="24"/>
        </w:rPr>
        <w:t xml:space="preserve"> BLM-managed area</w:t>
      </w:r>
      <w:r w:rsidRPr="00F01581" w:rsidR="003944F8">
        <w:rPr>
          <w:sz w:val="24"/>
          <w:szCs w:val="24"/>
        </w:rPr>
        <w:t>s</w:t>
      </w:r>
      <w:r w:rsidRPr="00F01581">
        <w:rPr>
          <w:sz w:val="24"/>
          <w:szCs w:val="24"/>
        </w:rPr>
        <w:t xml:space="preserve"> with a completed </w:t>
      </w:r>
      <w:r w:rsidRPr="00F01581">
        <w:rPr>
          <w:rFonts w:eastAsia="Times New Roman"/>
          <w:sz w:val="24"/>
          <w:szCs w:val="24"/>
        </w:rPr>
        <w:t>LUP in which</w:t>
      </w:r>
      <w:r w:rsidR="00F604F0">
        <w:rPr>
          <w:rFonts w:eastAsia="Times New Roman"/>
          <w:sz w:val="24"/>
          <w:szCs w:val="24"/>
        </w:rPr>
        <w:t xml:space="preserve"> outcomes-focused objectives were established</w:t>
      </w:r>
      <w:r w:rsidR="00320C86">
        <w:rPr>
          <w:rFonts w:eastAsia="Times New Roman"/>
          <w:sz w:val="24"/>
          <w:szCs w:val="24"/>
        </w:rPr>
        <w:t xml:space="preserve"> and </w:t>
      </w:r>
      <w:r w:rsidR="00320C86">
        <w:rPr>
          <w:sz w:val="24"/>
          <w:szCs w:val="24"/>
        </w:rPr>
        <w:t>the respective field office is gathering data in support</w:t>
      </w:r>
      <w:r w:rsidR="00320C86">
        <w:rPr>
          <w:rFonts w:eastAsia="Times New Roman"/>
          <w:sz w:val="24"/>
          <w:szCs w:val="24"/>
        </w:rPr>
        <w:t xml:space="preserve"> of </w:t>
      </w:r>
      <w:proofErr w:type="gramStart"/>
      <w:r w:rsidR="00320C86">
        <w:rPr>
          <w:rFonts w:eastAsia="Times New Roman"/>
          <w:sz w:val="24"/>
          <w:szCs w:val="24"/>
        </w:rPr>
        <w:t>a</w:t>
      </w:r>
      <w:proofErr w:type="gramEnd"/>
      <w:r w:rsidR="00320C86">
        <w:rPr>
          <w:rFonts w:eastAsia="Times New Roman"/>
          <w:sz w:val="24"/>
          <w:szCs w:val="24"/>
        </w:rPr>
        <w:t xml:space="preserve"> </w:t>
      </w:r>
      <w:r w:rsidR="00121BDC">
        <w:rPr>
          <w:rFonts w:eastAsia="Times New Roman"/>
          <w:sz w:val="24"/>
          <w:szCs w:val="24"/>
        </w:rPr>
        <w:t>RMP</w:t>
      </w:r>
      <w:r w:rsidR="00320C86">
        <w:rPr>
          <w:rFonts w:eastAsia="Times New Roman"/>
          <w:sz w:val="24"/>
          <w:szCs w:val="24"/>
        </w:rPr>
        <w:t>.</w:t>
      </w:r>
    </w:p>
    <w:p w:rsidRPr="00F01581" w:rsidR="006D7C50" w:rsidP="004E69A7" w:rsidRDefault="006D7C50" w14:paraId="41564468" w14:textId="77777777">
      <w:pPr>
        <w:rPr>
          <w:sz w:val="24"/>
          <w:szCs w:val="24"/>
        </w:rPr>
      </w:pPr>
    </w:p>
    <w:p w:rsidR="00006DA6" w:rsidP="004E69A7" w:rsidRDefault="00006DA6" w14:paraId="3C15328B" w14:textId="77777777">
      <w:pPr>
        <w:rPr>
          <w:b/>
          <w:i/>
          <w:sz w:val="24"/>
          <w:szCs w:val="24"/>
        </w:rPr>
      </w:pPr>
    </w:p>
    <w:p w:rsidRPr="00F01581" w:rsidR="008620F1" w:rsidP="004E69A7" w:rsidRDefault="00F47171" w14:paraId="5132D477" w14:textId="73686458">
      <w:pPr>
        <w:rPr>
          <w:b/>
          <w:i/>
          <w:sz w:val="24"/>
          <w:szCs w:val="24"/>
        </w:rPr>
      </w:pPr>
      <w:r w:rsidRPr="00F01581">
        <w:rPr>
          <w:b/>
          <w:i/>
          <w:sz w:val="24"/>
          <w:szCs w:val="24"/>
        </w:rPr>
        <w:t xml:space="preserve">Focus </w:t>
      </w:r>
      <w:r w:rsidRPr="00F01581" w:rsidR="003E4A7F">
        <w:rPr>
          <w:b/>
          <w:i/>
          <w:sz w:val="24"/>
          <w:szCs w:val="24"/>
        </w:rPr>
        <w:t>G</w:t>
      </w:r>
      <w:r w:rsidRPr="00F01581">
        <w:rPr>
          <w:b/>
          <w:i/>
          <w:sz w:val="24"/>
          <w:szCs w:val="24"/>
        </w:rPr>
        <w:t xml:space="preserve">roups in </w:t>
      </w:r>
      <w:r w:rsidRPr="00F01581" w:rsidR="003E4A7F">
        <w:rPr>
          <w:b/>
          <w:i/>
          <w:sz w:val="24"/>
          <w:szCs w:val="24"/>
        </w:rPr>
        <w:t>C</w:t>
      </w:r>
      <w:r w:rsidRPr="00F01581">
        <w:rPr>
          <w:b/>
          <w:i/>
          <w:sz w:val="24"/>
          <w:szCs w:val="24"/>
        </w:rPr>
        <w:t>ommunities</w:t>
      </w:r>
    </w:p>
    <w:p w:rsidRPr="00F01581" w:rsidR="00F47171" w:rsidP="004E69A7" w:rsidRDefault="00F47171" w14:paraId="5ACEBBCE" w14:textId="5BF837D5">
      <w:pPr>
        <w:rPr>
          <w:sz w:val="24"/>
          <w:szCs w:val="24"/>
        </w:rPr>
      </w:pPr>
      <w:r w:rsidRPr="00F01581">
        <w:rPr>
          <w:sz w:val="24"/>
          <w:szCs w:val="24"/>
        </w:rPr>
        <w:t xml:space="preserve">The </w:t>
      </w:r>
      <w:r w:rsidRPr="00F01581" w:rsidR="001E05AB">
        <w:rPr>
          <w:sz w:val="24"/>
          <w:szCs w:val="24"/>
        </w:rPr>
        <w:t>universe for the focus groups are residents, age 18 and older, of communities near BLM-managed area with a forthcoming</w:t>
      </w:r>
      <w:r w:rsidR="009C44BC">
        <w:rPr>
          <w:rFonts w:eastAsia="Times New Roman"/>
          <w:sz w:val="24"/>
          <w:szCs w:val="24"/>
        </w:rPr>
        <w:t xml:space="preserve"> </w:t>
      </w:r>
      <w:r w:rsidRPr="00F01581" w:rsidR="001E05AB">
        <w:rPr>
          <w:rFonts w:eastAsia="Times New Roman"/>
          <w:sz w:val="24"/>
          <w:szCs w:val="24"/>
        </w:rPr>
        <w:t xml:space="preserve">LUP </w:t>
      </w:r>
      <w:r w:rsidR="009331E2">
        <w:rPr>
          <w:sz w:val="24"/>
          <w:szCs w:val="24"/>
        </w:rPr>
        <w:t>sites for which the respective field office is gathering data in support</w:t>
      </w:r>
      <w:r w:rsidR="009331E2">
        <w:rPr>
          <w:rFonts w:eastAsia="Times New Roman"/>
          <w:sz w:val="24"/>
          <w:szCs w:val="24"/>
        </w:rPr>
        <w:t xml:space="preserve"> of </w:t>
      </w:r>
      <w:proofErr w:type="gramStart"/>
      <w:r w:rsidR="009331E2">
        <w:rPr>
          <w:rFonts w:eastAsia="Times New Roman"/>
          <w:sz w:val="24"/>
          <w:szCs w:val="24"/>
        </w:rPr>
        <w:t>a</w:t>
      </w:r>
      <w:proofErr w:type="gramEnd"/>
      <w:r w:rsidR="009331E2">
        <w:rPr>
          <w:rFonts w:eastAsia="Times New Roman"/>
          <w:sz w:val="24"/>
          <w:szCs w:val="24"/>
        </w:rPr>
        <w:t xml:space="preserve"> </w:t>
      </w:r>
      <w:r w:rsidR="009C44BC">
        <w:rPr>
          <w:rFonts w:eastAsia="Times New Roman"/>
          <w:sz w:val="24"/>
          <w:szCs w:val="24"/>
        </w:rPr>
        <w:t>RMP</w:t>
      </w:r>
      <w:r w:rsidRPr="00F01581" w:rsidR="001E05AB">
        <w:rPr>
          <w:rFonts w:eastAsia="Times New Roman"/>
          <w:sz w:val="24"/>
          <w:szCs w:val="24"/>
        </w:rPr>
        <w:t>.</w:t>
      </w:r>
      <w:r w:rsidR="009331E2">
        <w:rPr>
          <w:rFonts w:eastAsia="Times New Roman"/>
          <w:sz w:val="24"/>
          <w:szCs w:val="24"/>
        </w:rPr>
        <w:t xml:space="preserve">  </w:t>
      </w:r>
      <w:r w:rsidRPr="00F01581" w:rsidR="001E05AB">
        <w:rPr>
          <w:rFonts w:eastAsia="Times New Roman"/>
          <w:sz w:val="24"/>
          <w:szCs w:val="24"/>
        </w:rPr>
        <w:t xml:space="preserve">This might include </w:t>
      </w:r>
      <w:r w:rsidRPr="00F01581" w:rsidR="00E51BC1">
        <w:rPr>
          <w:rFonts w:eastAsia="Times New Roman"/>
          <w:sz w:val="24"/>
          <w:szCs w:val="24"/>
        </w:rPr>
        <w:t>elected officials, business owners, representatives of organizations and clubs, and members of the general public</w:t>
      </w:r>
      <w:r w:rsidR="009C44BC">
        <w:rPr>
          <w:rFonts w:eastAsia="Times New Roman"/>
          <w:sz w:val="24"/>
          <w:szCs w:val="24"/>
        </w:rPr>
        <w:t>, including those from underserved communities</w:t>
      </w:r>
      <w:proofErr w:type="gramStart"/>
      <w:r w:rsidRPr="00F01581" w:rsidR="00E51BC1">
        <w:rPr>
          <w:rFonts w:eastAsia="Times New Roman"/>
          <w:sz w:val="24"/>
          <w:szCs w:val="24"/>
        </w:rPr>
        <w:t xml:space="preserve">. </w:t>
      </w:r>
      <w:r w:rsidRPr="00F01581" w:rsidR="001E05AB">
        <w:rPr>
          <w:rFonts w:eastAsia="Times New Roman"/>
          <w:sz w:val="24"/>
          <w:szCs w:val="24"/>
        </w:rPr>
        <w:t xml:space="preserve"> </w:t>
      </w:r>
      <w:proofErr w:type="gramEnd"/>
      <w:r w:rsidR="009331E2">
        <w:rPr>
          <w:rFonts w:eastAsia="Times New Roman"/>
          <w:sz w:val="24"/>
          <w:szCs w:val="24"/>
        </w:rPr>
        <w:t>For some field offices, the visitor population might extend beyond the local community (e.g., non-local visitors, non-locally based guides or outfitters).</w:t>
      </w:r>
    </w:p>
    <w:p w:rsidR="00006DA6" w:rsidP="004E69A7" w:rsidRDefault="00006DA6" w14:paraId="1440D44B" w14:textId="77777777">
      <w:pPr>
        <w:rPr>
          <w:sz w:val="24"/>
          <w:szCs w:val="24"/>
        </w:rPr>
      </w:pPr>
    </w:p>
    <w:p w:rsidRPr="00F01581" w:rsidR="008620F1" w:rsidP="004E69A7" w:rsidRDefault="00F47171" w14:paraId="260DC38E" w14:textId="24631125">
      <w:pPr>
        <w:rPr>
          <w:sz w:val="24"/>
          <w:szCs w:val="24"/>
        </w:rPr>
      </w:pPr>
      <w:r w:rsidRPr="00F01581">
        <w:rPr>
          <w:sz w:val="24"/>
          <w:szCs w:val="24"/>
        </w:rPr>
        <w:t>The table below summarizes the respondent universe and sample for surveys and focus groups.</w:t>
      </w:r>
    </w:p>
    <w:p w:rsidRPr="00F01581" w:rsidR="00F47171" w:rsidP="004E69A7" w:rsidRDefault="00F47171" w14:paraId="3AAD45FF" w14:textId="77777777">
      <w:pPr>
        <w:rPr>
          <w:sz w:val="24"/>
          <w:szCs w:val="24"/>
        </w:rPr>
      </w:pPr>
    </w:p>
    <w:p w:rsidRPr="00A9333F" w:rsidR="003944F8" w:rsidP="003944F8" w:rsidRDefault="003944F8" w14:paraId="07B38905" w14:textId="77777777">
      <w:pPr>
        <w:rPr>
          <w:b/>
          <w:sz w:val="24"/>
          <w:szCs w:val="24"/>
        </w:rPr>
      </w:pPr>
      <w:r w:rsidRPr="00A9333F">
        <w:rPr>
          <w:b/>
          <w:sz w:val="24"/>
          <w:szCs w:val="24"/>
        </w:rPr>
        <w:t>Respondent universe and sample for surveys.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358"/>
        <w:gridCol w:w="2160"/>
        <w:gridCol w:w="2340"/>
        <w:gridCol w:w="2340"/>
      </w:tblGrid>
      <w:tr w:rsidRPr="00F01581" w:rsidR="003944F8" w:rsidTr="008620F1" w14:paraId="086DBB6E" w14:textId="77777777">
        <w:tc>
          <w:tcPr>
            <w:tcW w:w="2358" w:type="dxa"/>
          </w:tcPr>
          <w:p w:rsidRPr="00F01581" w:rsidR="003944F8" w:rsidP="00127BB3" w:rsidRDefault="008620F1" w14:paraId="3A84E54F" w14:textId="19E20351">
            <w:pPr>
              <w:rPr>
                <w:sz w:val="24"/>
                <w:szCs w:val="24"/>
              </w:rPr>
            </w:pPr>
            <w:r w:rsidRPr="00F01581">
              <w:rPr>
                <w:sz w:val="24"/>
                <w:szCs w:val="24"/>
              </w:rPr>
              <w:t xml:space="preserve">BLM </w:t>
            </w:r>
            <w:r w:rsidR="000C76D7">
              <w:rPr>
                <w:sz w:val="24"/>
                <w:szCs w:val="24"/>
              </w:rPr>
              <w:t>field offices conducting surveys</w:t>
            </w:r>
          </w:p>
        </w:tc>
        <w:tc>
          <w:tcPr>
            <w:tcW w:w="2160" w:type="dxa"/>
          </w:tcPr>
          <w:p w:rsidRPr="00F01581" w:rsidR="003944F8" w:rsidP="00127BB3" w:rsidRDefault="008620F1" w14:paraId="175DEA75" w14:textId="671F54CA">
            <w:pPr>
              <w:rPr>
                <w:sz w:val="24"/>
                <w:szCs w:val="24"/>
              </w:rPr>
            </w:pPr>
            <w:r w:rsidRPr="00F01581">
              <w:rPr>
                <w:sz w:val="24"/>
                <w:szCs w:val="24"/>
              </w:rPr>
              <w:t>Approximate # visitors in universe</w:t>
            </w:r>
            <w:r w:rsidRPr="00F01581" w:rsidR="003D6B8F">
              <w:rPr>
                <w:sz w:val="24"/>
                <w:szCs w:val="24"/>
                <w:vertAlign w:val="superscript"/>
              </w:rPr>
              <w:t>1</w:t>
            </w:r>
          </w:p>
        </w:tc>
        <w:tc>
          <w:tcPr>
            <w:tcW w:w="2340" w:type="dxa"/>
          </w:tcPr>
          <w:p w:rsidRPr="00F01581" w:rsidR="003944F8" w:rsidP="008620F1" w:rsidRDefault="008620F1" w14:paraId="08F84D6B" w14:textId="28E1C63F">
            <w:pPr>
              <w:rPr>
                <w:sz w:val="24"/>
                <w:szCs w:val="24"/>
              </w:rPr>
            </w:pPr>
            <w:r w:rsidRPr="00F01581">
              <w:rPr>
                <w:sz w:val="24"/>
                <w:szCs w:val="24"/>
              </w:rPr>
              <w:t>Visitors sampled at each area</w:t>
            </w:r>
            <w:r w:rsidRPr="00F01581" w:rsidR="003D6B8F">
              <w:rPr>
                <w:sz w:val="24"/>
                <w:szCs w:val="24"/>
                <w:vertAlign w:val="superscript"/>
              </w:rPr>
              <w:t>2</w:t>
            </w:r>
          </w:p>
        </w:tc>
        <w:tc>
          <w:tcPr>
            <w:tcW w:w="2340" w:type="dxa"/>
          </w:tcPr>
          <w:p w:rsidRPr="00F01581" w:rsidR="003944F8" w:rsidP="00127BB3" w:rsidRDefault="008620F1" w14:paraId="38BEBD37" w14:textId="74539BBC">
            <w:pPr>
              <w:rPr>
                <w:sz w:val="24"/>
                <w:szCs w:val="24"/>
              </w:rPr>
            </w:pPr>
            <w:r w:rsidRPr="00F01581">
              <w:rPr>
                <w:sz w:val="24"/>
                <w:szCs w:val="24"/>
              </w:rPr>
              <w:t>Total # visitors sampled</w:t>
            </w:r>
          </w:p>
        </w:tc>
      </w:tr>
      <w:tr w:rsidRPr="00F01581" w:rsidR="003944F8" w:rsidTr="008620F1" w14:paraId="36D427EB" w14:textId="77777777">
        <w:tc>
          <w:tcPr>
            <w:tcW w:w="2358" w:type="dxa"/>
          </w:tcPr>
          <w:p w:rsidRPr="00F01581" w:rsidR="003944F8" w:rsidP="00127BB3" w:rsidRDefault="008A5FC2" w14:paraId="74BC1345" w14:textId="20FE31B0">
            <w:pPr>
              <w:rPr>
                <w:sz w:val="24"/>
                <w:szCs w:val="24"/>
              </w:rPr>
            </w:pPr>
            <w:r>
              <w:rPr>
                <w:sz w:val="24"/>
                <w:szCs w:val="24"/>
              </w:rPr>
              <w:t>6</w:t>
            </w:r>
          </w:p>
        </w:tc>
        <w:tc>
          <w:tcPr>
            <w:tcW w:w="2160" w:type="dxa"/>
          </w:tcPr>
          <w:p w:rsidRPr="00F01581" w:rsidR="003944F8" w:rsidP="00DB4F04" w:rsidRDefault="000C76D7" w14:paraId="6E3C33A0" w14:textId="58DA1260">
            <w:pPr>
              <w:rPr>
                <w:sz w:val="24"/>
                <w:szCs w:val="24"/>
              </w:rPr>
            </w:pPr>
            <w:r>
              <w:rPr>
                <w:sz w:val="24"/>
                <w:szCs w:val="24"/>
              </w:rPr>
              <w:t>1</w:t>
            </w:r>
            <w:r w:rsidRPr="00F01581" w:rsidR="008620F1">
              <w:rPr>
                <w:sz w:val="24"/>
                <w:szCs w:val="24"/>
              </w:rPr>
              <w:t>,</w:t>
            </w:r>
            <w:r>
              <w:rPr>
                <w:sz w:val="24"/>
                <w:szCs w:val="24"/>
              </w:rPr>
              <w:t>25</w:t>
            </w:r>
            <w:r w:rsidRPr="00F01581" w:rsidR="008620F1">
              <w:rPr>
                <w:sz w:val="24"/>
                <w:szCs w:val="24"/>
              </w:rPr>
              <w:t>0,000</w:t>
            </w:r>
          </w:p>
        </w:tc>
        <w:tc>
          <w:tcPr>
            <w:tcW w:w="2340" w:type="dxa"/>
          </w:tcPr>
          <w:p w:rsidRPr="00F01581" w:rsidR="003944F8" w:rsidP="003D6B8F" w:rsidRDefault="00FC020D" w14:paraId="1695812E" w14:textId="0C60CE86">
            <w:pPr>
              <w:rPr>
                <w:sz w:val="24"/>
                <w:szCs w:val="24"/>
              </w:rPr>
            </w:pPr>
            <w:r>
              <w:rPr>
                <w:sz w:val="24"/>
                <w:szCs w:val="24"/>
              </w:rPr>
              <w:t>727</w:t>
            </w:r>
          </w:p>
        </w:tc>
        <w:tc>
          <w:tcPr>
            <w:tcW w:w="2340" w:type="dxa"/>
          </w:tcPr>
          <w:p w:rsidRPr="00F01581" w:rsidR="003944F8" w:rsidP="00FC020D" w:rsidRDefault="000C76D7" w14:paraId="00898586" w14:textId="4A68B22B">
            <w:pPr>
              <w:rPr>
                <w:sz w:val="24"/>
                <w:szCs w:val="24"/>
              </w:rPr>
            </w:pPr>
            <w:r>
              <w:rPr>
                <w:sz w:val="24"/>
                <w:szCs w:val="24"/>
              </w:rPr>
              <w:t>3</w:t>
            </w:r>
            <w:r w:rsidR="00FC020D">
              <w:rPr>
                <w:sz w:val="24"/>
                <w:szCs w:val="24"/>
              </w:rPr>
              <w:t>,</w:t>
            </w:r>
            <w:r w:rsidR="008A5FC2">
              <w:rPr>
                <w:sz w:val="24"/>
                <w:szCs w:val="24"/>
              </w:rPr>
              <w:t>6</w:t>
            </w:r>
            <w:r>
              <w:rPr>
                <w:sz w:val="24"/>
                <w:szCs w:val="24"/>
              </w:rPr>
              <w:t>35</w:t>
            </w:r>
          </w:p>
        </w:tc>
      </w:tr>
    </w:tbl>
    <w:p w:rsidRPr="00E0464C" w:rsidR="00DB4F04" w:rsidP="003944F8" w:rsidRDefault="00DB4F04" w14:paraId="1A91D027" w14:textId="06B5D081">
      <w:pPr>
        <w:rPr>
          <w:szCs w:val="24"/>
        </w:rPr>
      </w:pPr>
      <w:r w:rsidRPr="00E0464C">
        <w:rPr>
          <w:szCs w:val="24"/>
          <w:vertAlign w:val="superscript"/>
        </w:rPr>
        <w:t>1</w:t>
      </w:r>
      <w:r w:rsidRPr="00E0464C">
        <w:rPr>
          <w:szCs w:val="24"/>
        </w:rPr>
        <w:t>Visitation varies across the sites</w:t>
      </w:r>
      <w:r w:rsidR="004911C1">
        <w:rPr>
          <w:szCs w:val="24"/>
        </w:rPr>
        <w:t>;</w:t>
      </w:r>
      <w:r w:rsidRPr="00E0464C" w:rsidR="004911C1">
        <w:rPr>
          <w:szCs w:val="24"/>
        </w:rPr>
        <w:t xml:space="preserve"> </w:t>
      </w:r>
      <w:r w:rsidRPr="00E0464C">
        <w:rPr>
          <w:szCs w:val="24"/>
        </w:rPr>
        <w:t xml:space="preserve">an </w:t>
      </w:r>
      <w:r w:rsidR="004911C1">
        <w:rPr>
          <w:szCs w:val="24"/>
        </w:rPr>
        <w:t xml:space="preserve">annual </w:t>
      </w:r>
      <w:r w:rsidRPr="00E0464C">
        <w:rPr>
          <w:szCs w:val="24"/>
        </w:rPr>
        <w:t xml:space="preserve">average of 250,000 was used to calculate the number of visitors in the universe. </w:t>
      </w:r>
    </w:p>
    <w:p w:rsidRPr="00F01581" w:rsidR="00637E07" w:rsidP="003944F8" w:rsidRDefault="003D6B8F" w14:paraId="3A857C1F" w14:textId="671D4930">
      <w:pPr>
        <w:rPr>
          <w:sz w:val="24"/>
          <w:szCs w:val="24"/>
        </w:rPr>
      </w:pPr>
      <w:r w:rsidRPr="00E0464C">
        <w:rPr>
          <w:szCs w:val="24"/>
          <w:vertAlign w:val="superscript"/>
        </w:rPr>
        <w:t>2</w:t>
      </w:r>
      <w:r w:rsidRPr="00E0464C">
        <w:rPr>
          <w:szCs w:val="24"/>
        </w:rPr>
        <w:t xml:space="preserve">This is the </w:t>
      </w:r>
      <w:r w:rsidR="00A30761">
        <w:rPr>
          <w:szCs w:val="24"/>
        </w:rPr>
        <w:t xml:space="preserve">total </w:t>
      </w:r>
      <w:r w:rsidRPr="00E0464C">
        <w:rPr>
          <w:szCs w:val="24"/>
        </w:rPr>
        <w:t xml:space="preserve">number of visitors </w:t>
      </w:r>
      <w:r w:rsidR="00FC020D">
        <w:rPr>
          <w:szCs w:val="24"/>
        </w:rPr>
        <w:t>completing an onsite survey</w:t>
      </w:r>
      <w:r w:rsidRPr="00E0464C">
        <w:rPr>
          <w:szCs w:val="24"/>
        </w:rPr>
        <w:t xml:space="preserve">.  </w:t>
      </w:r>
    </w:p>
    <w:p w:rsidRPr="00F01581" w:rsidR="00943F26" w:rsidP="004E69A7" w:rsidRDefault="00943F26" w14:paraId="258B1B74" w14:textId="77777777">
      <w:pPr>
        <w:rPr>
          <w:sz w:val="24"/>
          <w:szCs w:val="24"/>
        </w:rPr>
      </w:pPr>
    </w:p>
    <w:p w:rsidRPr="00F01581" w:rsidR="008620F1" w:rsidP="00A9333F" w:rsidRDefault="008C00F9" w14:paraId="48C84F22" w14:textId="323AA7C1">
      <w:r w:rsidRPr="00A9333F">
        <w:rPr>
          <w:bCs/>
          <w:sz w:val="24"/>
          <w:szCs w:val="24"/>
        </w:rPr>
        <w:t>Communities</w:t>
      </w:r>
      <w:r w:rsidRPr="00A9333F" w:rsidR="008620F1">
        <w:rPr>
          <w:bCs/>
          <w:sz w:val="24"/>
          <w:szCs w:val="24"/>
        </w:rPr>
        <w:t xml:space="preserve"> and </w:t>
      </w:r>
      <w:r w:rsidRPr="00A9333F" w:rsidR="00DB4F04">
        <w:rPr>
          <w:bCs/>
          <w:sz w:val="24"/>
          <w:szCs w:val="24"/>
        </w:rPr>
        <w:t>participants</w:t>
      </w:r>
      <w:r w:rsidRPr="00A9333F" w:rsidR="008620F1">
        <w:rPr>
          <w:bCs/>
          <w:sz w:val="24"/>
          <w:szCs w:val="24"/>
        </w:rPr>
        <w:t xml:space="preserve"> for focus groups.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425"/>
        <w:gridCol w:w="2453"/>
        <w:gridCol w:w="2070"/>
        <w:gridCol w:w="2340"/>
      </w:tblGrid>
      <w:tr w:rsidRPr="00F01581" w:rsidR="008620F1" w:rsidTr="000C76D7" w14:paraId="52E716CE" w14:textId="77777777">
        <w:tc>
          <w:tcPr>
            <w:tcW w:w="2425" w:type="dxa"/>
          </w:tcPr>
          <w:p w:rsidRPr="00F01581" w:rsidR="008620F1" w:rsidP="00127BB3" w:rsidRDefault="000C76D7" w14:paraId="47909767" w14:textId="16D0F9AB">
            <w:pPr>
              <w:rPr>
                <w:sz w:val="24"/>
                <w:szCs w:val="24"/>
              </w:rPr>
            </w:pPr>
            <w:r w:rsidRPr="00F01581">
              <w:rPr>
                <w:sz w:val="24"/>
                <w:szCs w:val="24"/>
              </w:rPr>
              <w:t xml:space="preserve">BLM </w:t>
            </w:r>
            <w:r>
              <w:rPr>
                <w:sz w:val="24"/>
                <w:szCs w:val="24"/>
              </w:rPr>
              <w:t>field offices conducting focus groups</w:t>
            </w:r>
            <w:r w:rsidRPr="00F01581">
              <w:rPr>
                <w:sz w:val="24"/>
                <w:szCs w:val="24"/>
                <w:vertAlign w:val="superscript"/>
              </w:rPr>
              <w:t xml:space="preserve"> </w:t>
            </w:r>
            <w:r w:rsidRPr="00F01581" w:rsidR="00F66DE2">
              <w:rPr>
                <w:sz w:val="24"/>
                <w:szCs w:val="24"/>
                <w:vertAlign w:val="superscript"/>
              </w:rPr>
              <w:t>1</w:t>
            </w:r>
          </w:p>
        </w:tc>
        <w:tc>
          <w:tcPr>
            <w:tcW w:w="2453" w:type="dxa"/>
          </w:tcPr>
          <w:p w:rsidRPr="00F01581" w:rsidR="008620F1" w:rsidP="00D83296" w:rsidRDefault="00DB4F04" w14:paraId="110D3246" w14:textId="7A659D1D">
            <w:pPr>
              <w:rPr>
                <w:sz w:val="24"/>
                <w:szCs w:val="24"/>
              </w:rPr>
            </w:pPr>
            <w:r w:rsidRPr="00F01581">
              <w:rPr>
                <w:sz w:val="24"/>
                <w:szCs w:val="24"/>
              </w:rPr>
              <w:t xml:space="preserve">Approximate # </w:t>
            </w:r>
            <w:r w:rsidR="00D83296">
              <w:rPr>
                <w:sz w:val="24"/>
                <w:szCs w:val="24"/>
              </w:rPr>
              <w:t>of focus groups across</w:t>
            </w:r>
            <w:r w:rsidRPr="00F01581">
              <w:rPr>
                <w:sz w:val="24"/>
                <w:szCs w:val="24"/>
              </w:rPr>
              <w:t xml:space="preserve"> communities</w:t>
            </w:r>
            <w:r w:rsidRPr="00F01581" w:rsidR="00F66DE2">
              <w:rPr>
                <w:sz w:val="24"/>
                <w:szCs w:val="24"/>
                <w:vertAlign w:val="superscript"/>
              </w:rPr>
              <w:t>2</w:t>
            </w:r>
          </w:p>
        </w:tc>
        <w:tc>
          <w:tcPr>
            <w:tcW w:w="2070" w:type="dxa"/>
          </w:tcPr>
          <w:p w:rsidRPr="00F01581" w:rsidR="008620F1" w:rsidP="00D83296" w:rsidRDefault="00D83296" w14:paraId="424E5177" w14:textId="27494D82">
            <w:pPr>
              <w:rPr>
                <w:sz w:val="24"/>
                <w:szCs w:val="24"/>
              </w:rPr>
            </w:pPr>
            <w:r>
              <w:rPr>
                <w:sz w:val="24"/>
                <w:szCs w:val="24"/>
              </w:rPr>
              <w:t>P</w:t>
            </w:r>
            <w:r w:rsidRPr="00F01581">
              <w:rPr>
                <w:sz w:val="24"/>
                <w:szCs w:val="24"/>
              </w:rPr>
              <w:t>articipa</w:t>
            </w:r>
            <w:r>
              <w:rPr>
                <w:sz w:val="24"/>
                <w:szCs w:val="24"/>
              </w:rPr>
              <w:t>nts</w:t>
            </w:r>
            <w:r w:rsidRPr="00F01581">
              <w:rPr>
                <w:sz w:val="24"/>
                <w:szCs w:val="24"/>
              </w:rPr>
              <w:t xml:space="preserve"> </w:t>
            </w:r>
            <w:r w:rsidRPr="00F01581" w:rsidR="00DB4F04">
              <w:rPr>
                <w:sz w:val="24"/>
                <w:szCs w:val="24"/>
              </w:rPr>
              <w:t xml:space="preserve">in </w:t>
            </w:r>
            <w:r w:rsidRPr="00F01581" w:rsidR="00F66DE2">
              <w:rPr>
                <w:sz w:val="24"/>
                <w:szCs w:val="24"/>
              </w:rPr>
              <w:t xml:space="preserve">each </w:t>
            </w:r>
            <w:r w:rsidRPr="00F01581" w:rsidR="00DB4F04">
              <w:rPr>
                <w:sz w:val="24"/>
                <w:szCs w:val="24"/>
              </w:rPr>
              <w:t>focus group</w:t>
            </w:r>
            <w:r w:rsidRPr="00F01581" w:rsidR="00F66DE2">
              <w:rPr>
                <w:sz w:val="24"/>
                <w:szCs w:val="24"/>
                <w:vertAlign w:val="superscript"/>
              </w:rPr>
              <w:t>3</w:t>
            </w:r>
          </w:p>
        </w:tc>
        <w:tc>
          <w:tcPr>
            <w:tcW w:w="2340" w:type="dxa"/>
          </w:tcPr>
          <w:p w:rsidRPr="00F01581" w:rsidR="008620F1" w:rsidP="00D83296" w:rsidRDefault="00DB4F04" w14:paraId="5198183F" w14:textId="6EE33E65">
            <w:pPr>
              <w:rPr>
                <w:sz w:val="24"/>
                <w:szCs w:val="24"/>
              </w:rPr>
            </w:pPr>
            <w:r w:rsidRPr="00F01581">
              <w:rPr>
                <w:sz w:val="24"/>
                <w:szCs w:val="24"/>
              </w:rPr>
              <w:t xml:space="preserve">Total # </w:t>
            </w:r>
            <w:r w:rsidR="00D83296">
              <w:rPr>
                <w:sz w:val="24"/>
                <w:szCs w:val="24"/>
              </w:rPr>
              <w:t>of</w:t>
            </w:r>
            <w:r w:rsidRPr="00F01581" w:rsidR="00D83296">
              <w:rPr>
                <w:sz w:val="24"/>
                <w:szCs w:val="24"/>
              </w:rPr>
              <w:t xml:space="preserve"> participa</w:t>
            </w:r>
            <w:r w:rsidR="00D83296">
              <w:rPr>
                <w:sz w:val="24"/>
                <w:szCs w:val="24"/>
              </w:rPr>
              <w:t>n</w:t>
            </w:r>
            <w:r w:rsidRPr="00F01581" w:rsidR="00D83296">
              <w:rPr>
                <w:sz w:val="24"/>
                <w:szCs w:val="24"/>
              </w:rPr>
              <w:t>t</w:t>
            </w:r>
            <w:r w:rsidR="00D83296">
              <w:rPr>
                <w:sz w:val="24"/>
                <w:szCs w:val="24"/>
              </w:rPr>
              <w:t>s</w:t>
            </w:r>
          </w:p>
        </w:tc>
      </w:tr>
      <w:tr w:rsidRPr="00F01581" w:rsidR="008620F1" w:rsidTr="000C76D7" w14:paraId="22B41E21" w14:textId="77777777">
        <w:tc>
          <w:tcPr>
            <w:tcW w:w="2425" w:type="dxa"/>
          </w:tcPr>
          <w:p w:rsidRPr="00F01581" w:rsidR="008620F1" w:rsidP="00F66DE2" w:rsidRDefault="000C76D7" w14:paraId="0662C896" w14:textId="65F4AD06">
            <w:pPr>
              <w:rPr>
                <w:sz w:val="24"/>
                <w:szCs w:val="24"/>
              </w:rPr>
            </w:pPr>
            <w:r>
              <w:rPr>
                <w:sz w:val="24"/>
                <w:szCs w:val="24"/>
              </w:rPr>
              <w:t>5</w:t>
            </w:r>
          </w:p>
        </w:tc>
        <w:tc>
          <w:tcPr>
            <w:tcW w:w="2453" w:type="dxa"/>
          </w:tcPr>
          <w:p w:rsidRPr="00F01581" w:rsidR="008620F1" w:rsidP="006A3914" w:rsidRDefault="00D83296" w14:paraId="16B5DD9D" w14:textId="0D594F93">
            <w:pPr>
              <w:rPr>
                <w:sz w:val="24"/>
                <w:szCs w:val="24"/>
              </w:rPr>
            </w:pPr>
            <w:r>
              <w:rPr>
                <w:sz w:val="24"/>
                <w:szCs w:val="24"/>
              </w:rPr>
              <w:t>6</w:t>
            </w:r>
          </w:p>
        </w:tc>
        <w:tc>
          <w:tcPr>
            <w:tcW w:w="2070" w:type="dxa"/>
          </w:tcPr>
          <w:p w:rsidRPr="00F01581" w:rsidR="008620F1" w:rsidP="00127BB3" w:rsidRDefault="00E822E5" w14:paraId="5A038F93" w14:textId="4FD86AD2">
            <w:pPr>
              <w:rPr>
                <w:sz w:val="24"/>
                <w:szCs w:val="24"/>
              </w:rPr>
            </w:pPr>
            <w:r w:rsidRPr="00F01581">
              <w:rPr>
                <w:sz w:val="24"/>
                <w:szCs w:val="24"/>
              </w:rPr>
              <w:t xml:space="preserve"> 25</w:t>
            </w:r>
          </w:p>
        </w:tc>
        <w:tc>
          <w:tcPr>
            <w:tcW w:w="2340" w:type="dxa"/>
          </w:tcPr>
          <w:p w:rsidRPr="00F01581" w:rsidR="008620F1" w:rsidP="00127BB3" w:rsidRDefault="008A5FC2" w14:paraId="55A7D570" w14:textId="41583B69">
            <w:pPr>
              <w:rPr>
                <w:sz w:val="24"/>
                <w:szCs w:val="24"/>
              </w:rPr>
            </w:pPr>
            <w:r>
              <w:rPr>
                <w:sz w:val="24"/>
                <w:szCs w:val="24"/>
              </w:rPr>
              <w:t>750</w:t>
            </w:r>
          </w:p>
        </w:tc>
      </w:tr>
    </w:tbl>
    <w:p w:rsidRPr="00E0464C" w:rsidR="00F66DE2" w:rsidP="008620F1" w:rsidRDefault="00F66DE2" w14:paraId="4FCB4A37" w14:textId="5672EB43">
      <w:pPr>
        <w:pStyle w:val="BodyText"/>
        <w:jc w:val="left"/>
        <w:rPr>
          <w:rFonts w:ascii="Times New Roman" w:hAnsi="Times New Roman"/>
          <w:bCs/>
          <w:sz w:val="20"/>
        </w:rPr>
      </w:pPr>
      <w:r w:rsidRPr="00E0464C">
        <w:rPr>
          <w:rFonts w:ascii="Times New Roman" w:hAnsi="Times New Roman"/>
          <w:bCs/>
          <w:sz w:val="20"/>
          <w:vertAlign w:val="superscript"/>
        </w:rPr>
        <w:t>1</w:t>
      </w:r>
      <w:r w:rsidRPr="00E0464C">
        <w:rPr>
          <w:rFonts w:ascii="Times New Roman" w:hAnsi="Times New Roman"/>
          <w:bCs/>
          <w:sz w:val="20"/>
        </w:rPr>
        <w:t xml:space="preserve">The number of gateway communities near areas with forthcoming LUPs vary across the sites, an average value of 3 was used to calculate the total number of gateway communities. </w:t>
      </w:r>
    </w:p>
    <w:p w:rsidRPr="00E0464C" w:rsidR="008620F1" w:rsidP="008620F1" w:rsidRDefault="00F66DE2" w14:paraId="72F495CD" w14:textId="3E8DE525">
      <w:pPr>
        <w:pStyle w:val="BodyText"/>
        <w:jc w:val="left"/>
        <w:rPr>
          <w:rFonts w:ascii="Times New Roman" w:hAnsi="Times New Roman"/>
          <w:bCs/>
          <w:sz w:val="20"/>
        </w:rPr>
      </w:pPr>
      <w:r w:rsidRPr="00E0464C">
        <w:rPr>
          <w:rFonts w:ascii="Times New Roman" w:hAnsi="Times New Roman"/>
          <w:bCs/>
          <w:sz w:val="20"/>
          <w:vertAlign w:val="superscript"/>
        </w:rPr>
        <w:t>2</w:t>
      </w:r>
      <w:r w:rsidRPr="00E0464C">
        <w:rPr>
          <w:rFonts w:ascii="Times New Roman" w:hAnsi="Times New Roman"/>
          <w:bCs/>
          <w:sz w:val="20"/>
        </w:rPr>
        <w:t>The</w:t>
      </w:r>
      <w:r w:rsidR="00D83296">
        <w:rPr>
          <w:rFonts w:ascii="Times New Roman" w:hAnsi="Times New Roman"/>
          <w:bCs/>
          <w:sz w:val="20"/>
        </w:rPr>
        <w:t xml:space="preserve"> focus groups will target specific audiences; e.g., elected officials/community leaders, business interests, the general public, visitors, </w:t>
      </w:r>
      <w:r w:rsidR="009C44BC">
        <w:rPr>
          <w:rFonts w:ascii="Times New Roman" w:hAnsi="Times New Roman"/>
          <w:bCs/>
          <w:sz w:val="20"/>
        </w:rPr>
        <w:t xml:space="preserve">underserved communities, </w:t>
      </w:r>
      <w:proofErr w:type="gramStart"/>
      <w:r w:rsidR="00D83296">
        <w:rPr>
          <w:rFonts w:ascii="Times New Roman" w:hAnsi="Times New Roman"/>
          <w:bCs/>
          <w:sz w:val="20"/>
        </w:rPr>
        <w:t>etc</w:t>
      </w:r>
      <w:r w:rsidRPr="00E0464C">
        <w:rPr>
          <w:rFonts w:ascii="Times New Roman" w:hAnsi="Times New Roman"/>
          <w:bCs/>
          <w:sz w:val="20"/>
        </w:rPr>
        <w:t xml:space="preserve">.  </w:t>
      </w:r>
      <w:proofErr w:type="gramEnd"/>
      <w:r w:rsidR="008C00F9">
        <w:rPr>
          <w:rFonts w:ascii="Times New Roman" w:hAnsi="Times New Roman"/>
          <w:bCs/>
          <w:sz w:val="20"/>
        </w:rPr>
        <w:t xml:space="preserve">The audiences targeted will vary by field office/community. </w:t>
      </w:r>
      <w:r w:rsidR="000C76D7">
        <w:rPr>
          <w:rFonts w:ascii="Times New Roman" w:hAnsi="Times New Roman"/>
          <w:bCs/>
          <w:sz w:val="20"/>
        </w:rPr>
        <w:t xml:space="preserve"> On average there will be 2 focus groups per community (i.e., 3 communities, with 2 focus groups each</w:t>
      </w:r>
      <w:r w:rsidR="008A5FC2">
        <w:rPr>
          <w:rFonts w:ascii="Times New Roman" w:hAnsi="Times New Roman"/>
          <w:bCs/>
          <w:sz w:val="20"/>
        </w:rPr>
        <w:t xml:space="preserve"> = 6 focus groups</w:t>
      </w:r>
      <w:r w:rsidR="000C76D7">
        <w:rPr>
          <w:rFonts w:ascii="Times New Roman" w:hAnsi="Times New Roman"/>
          <w:bCs/>
          <w:sz w:val="20"/>
        </w:rPr>
        <w:t>)</w:t>
      </w:r>
      <w:r w:rsidR="008A5FC2">
        <w:rPr>
          <w:rFonts w:ascii="Times New Roman" w:hAnsi="Times New Roman"/>
          <w:bCs/>
          <w:sz w:val="20"/>
        </w:rPr>
        <w:t>.</w:t>
      </w:r>
    </w:p>
    <w:p w:rsidRPr="00E0464C" w:rsidR="00E822E5" w:rsidP="008620F1" w:rsidRDefault="00E822E5" w14:paraId="3C86D16E" w14:textId="01534512">
      <w:pPr>
        <w:pStyle w:val="BodyText"/>
        <w:jc w:val="left"/>
        <w:rPr>
          <w:rFonts w:ascii="Times New Roman" w:hAnsi="Times New Roman"/>
          <w:bCs/>
          <w:sz w:val="20"/>
        </w:rPr>
      </w:pPr>
      <w:r w:rsidRPr="00E0464C">
        <w:rPr>
          <w:rFonts w:ascii="Times New Roman" w:hAnsi="Times New Roman"/>
          <w:bCs/>
          <w:sz w:val="20"/>
          <w:vertAlign w:val="superscript"/>
        </w:rPr>
        <w:t>3</w:t>
      </w:r>
      <w:r w:rsidRPr="00E0464C">
        <w:rPr>
          <w:rFonts w:ascii="Times New Roman" w:hAnsi="Times New Roman"/>
          <w:bCs/>
          <w:sz w:val="20"/>
        </w:rPr>
        <w:t xml:space="preserve">As representation is not the goal of the focus groups, residents </w:t>
      </w:r>
      <w:r w:rsidRPr="00E0464C" w:rsidR="003D6B8F">
        <w:rPr>
          <w:rFonts w:ascii="Times New Roman" w:hAnsi="Times New Roman"/>
          <w:bCs/>
          <w:sz w:val="20"/>
        </w:rPr>
        <w:t xml:space="preserve">of the gateway communities </w:t>
      </w:r>
      <w:r w:rsidRPr="00E0464C">
        <w:rPr>
          <w:rFonts w:ascii="Times New Roman" w:hAnsi="Times New Roman"/>
          <w:bCs/>
          <w:sz w:val="20"/>
        </w:rPr>
        <w:t xml:space="preserve">will not be sampled.  Rather, residents will voluntarily participate after </w:t>
      </w:r>
      <w:r w:rsidR="00947F09">
        <w:rPr>
          <w:rFonts w:ascii="Times New Roman" w:hAnsi="Times New Roman"/>
          <w:bCs/>
          <w:sz w:val="20"/>
        </w:rPr>
        <w:t>being exposed to various recruitment efforts</w:t>
      </w:r>
      <w:r w:rsidRPr="00E0464C">
        <w:rPr>
          <w:rFonts w:ascii="Times New Roman" w:hAnsi="Times New Roman"/>
          <w:bCs/>
          <w:sz w:val="20"/>
        </w:rPr>
        <w:t xml:space="preserve"> (see </w:t>
      </w:r>
      <w:r w:rsidRPr="00E0464C" w:rsidR="00002563">
        <w:rPr>
          <w:rFonts w:ascii="Times New Roman" w:hAnsi="Times New Roman"/>
          <w:bCs/>
          <w:sz w:val="20"/>
        </w:rPr>
        <w:t>question 2</w:t>
      </w:r>
      <w:r w:rsidRPr="00E0464C">
        <w:rPr>
          <w:rFonts w:ascii="Times New Roman" w:hAnsi="Times New Roman"/>
          <w:bCs/>
          <w:sz w:val="20"/>
        </w:rPr>
        <w:t>)</w:t>
      </w:r>
      <w:proofErr w:type="gramStart"/>
      <w:r w:rsidRPr="00E0464C">
        <w:rPr>
          <w:rFonts w:ascii="Times New Roman" w:hAnsi="Times New Roman"/>
          <w:bCs/>
          <w:sz w:val="20"/>
        </w:rPr>
        <w:t xml:space="preserve">. </w:t>
      </w:r>
      <w:r w:rsidRPr="00E0464C" w:rsidR="003D6B8F">
        <w:rPr>
          <w:rFonts w:ascii="Times New Roman" w:hAnsi="Times New Roman"/>
          <w:bCs/>
          <w:sz w:val="20"/>
        </w:rPr>
        <w:t xml:space="preserve"> </w:t>
      </w:r>
      <w:proofErr w:type="gramEnd"/>
      <w:r w:rsidRPr="00E0464C">
        <w:rPr>
          <w:rFonts w:ascii="Times New Roman" w:hAnsi="Times New Roman"/>
          <w:bCs/>
          <w:sz w:val="20"/>
        </w:rPr>
        <w:t>The number of participants will vary at each focus group</w:t>
      </w:r>
      <w:r w:rsidR="009C44BC">
        <w:rPr>
          <w:rFonts w:ascii="Times New Roman" w:hAnsi="Times New Roman"/>
          <w:bCs/>
          <w:sz w:val="20"/>
        </w:rPr>
        <w:t>.  B</w:t>
      </w:r>
      <w:r w:rsidRPr="00E0464C">
        <w:rPr>
          <w:rFonts w:ascii="Times New Roman" w:hAnsi="Times New Roman"/>
          <w:bCs/>
          <w:sz w:val="20"/>
        </w:rPr>
        <w:t xml:space="preserve">ased on previous, similar focus groups it is expected participation will average 25. </w:t>
      </w:r>
    </w:p>
    <w:p w:rsidRPr="00E0464C" w:rsidR="00E822E5" w:rsidP="008620F1" w:rsidRDefault="00E822E5" w14:paraId="008F7E2C" w14:textId="4A386823">
      <w:pPr>
        <w:pStyle w:val="BodyText"/>
        <w:jc w:val="left"/>
        <w:rPr>
          <w:rFonts w:ascii="Times New Roman" w:hAnsi="Times New Roman"/>
          <w:bCs/>
          <w:sz w:val="20"/>
        </w:rPr>
      </w:pPr>
      <w:r w:rsidRPr="00E0464C">
        <w:rPr>
          <w:rFonts w:ascii="Times New Roman" w:hAnsi="Times New Roman"/>
          <w:bCs/>
          <w:sz w:val="20"/>
          <w:vertAlign w:val="superscript"/>
        </w:rPr>
        <w:t>4</w:t>
      </w:r>
      <w:r w:rsidRPr="00E0464C">
        <w:rPr>
          <w:rFonts w:ascii="Times New Roman" w:hAnsi="Times New Roman"/>
          <w:bCs/>
          <w:sz w:val="20"/>
        </w:rPr>
        <w:t xml:space="preserve">On average, there will </w:t>
      </w:r>
      <w:r w:rsidR="009C44BC">
        <w:rPr>
          <w:rFonts w:ascii="Times New Roman" w:hAnsi="Times New Roman"/>
          <w:bCs/>
          <w:sz w:val="20"/>
        </w:rPr>
        <w:t xml:space="preserve">be </w:t>
      </w:r>
      <w:r w:rsidRPr="00E0464C">
        <w:rPr>
          <w:rFonts w:ascii="Times New Roman" w:hAnsi="Times New Roman"/>
          <w:bCs/>
          <w:sz w:val="20"/>
        </w:rPr>
        <w:t xml:space="preserve">2 focus groups at each community. </w:t>
      </w:r>
    </w:p>
    <w:p w:rsidRPr="00F01581" w:rsidR="00F47171" w:rsidP="004E69A7" w:rsidRDefault="00F47171" w14:paraId="7ED5E6C7" w14:textId="77777777">
      <w:pPr>
        <w:rPr>
          <w:b/>
          <w:bCs/>
          <w:sz w:val="24"/>
          <w:szCs w:val="24"/>
        </w:rPr>
      </w:pPr>
    </w:p>
    <w:p w:rsidRPr="00F01581" w:rsidR="003944F8" w:rsidP="004E69A7" w:rsidRDefault="008620F1" w14:paraId="6B80CE83" w14:textId="2F26439A">
      <w:pPr>
        <w:rPr>
          <w:sz w:val="24"/>
          <w:szCs w:val="24"/>
        </w:rPr>
      </w:pPr>
      <w:r w:rsidRPr="00F01581">
        <w:rPr>
          <w:b/>
          <w:bCs/>
          <w:i/>
          <w:sz w:val="24"/>
          <w:szCs w:val="24"/>
        </w:rPr>
        <w:t xml:space="preserve">Expected Response Rate for </w:t>
      </w:r>
      <w:r w:rsidRPr="00F01581" w:rsidR="00F47171">
        <w:rPr>
          <w:b/>
          <w:bCs/>
          <w:i/>
          <w:sz w:val="24"/>
          <w:szCs w:val="24"/>
        </w:rPr>
        <w:t>V</w:t>
      </w:r>
      <w:r w:rsidRPr="00F01581">
        <w:rPr>
          <w:b/>
          <w:bCs/>
          <w:i/>
          <w:sz w:val="24"/>
          <w:szCs w:val="24"/>
        </w:rPr>
        <w:t xml:space="preserve">isitor </w:t>
      </w:r>
      <w:r w:rsidRPr="00F01581" w:rsidR="00F47171">
        <w:rPr>
          <w:b/>
          <w:bCs/>
          <w:i/>
          <w:sz w:val="24"/>
          <w:szCs w:val="24"/>
        </w:rPr>
        <w:t>S</w:t>
      </w:r>
      <w:r w:rsidRPr="00F01581">
        <w:rPr>
          <w:b/>
          <w:bCs/>
          <w:i/>
          <w:sz w:val="24"/>
          <w:szCs w:val="24"/>
        </w:rPr>
        <w:t>urvey</w:t>
      </w:r>
    </w:p>
    <w:p w:rsidRPr="00F01581" w:rsidR="00F47171" w:rsidP="00F47171" w:rsidRDefault="00A873AC" w14:paraId="4DAFA6AA" w14:textId="359AA2F7">
      <w:pPr>
        <w:rPr>
          <w:sz w:val="24"/>
          <w:szCs w:val="24"/>
        </w:rPr>
      </w:pPr>
      <w:r>
        <w:rPr>
          <w:sz w:val="24"/>
          <w:szCs w:val="24"/>
        </w:rPr>
        <w:t xml:space="preserve">Projects conducted </w:t>
      </w:r>
      <w:r w:rsidRPr="00F01581" w:rsidR="00F47171">
        <w:rPr>
          <w:sz w:val="24"/>
          <w:szCs w:val="24"/>
        </w:rPr>
        <w:t>in Colorado (</w:t>
      </w:r>
      <w:proofErr w:type="spellStart"/>
      <w:r w:rsidRPr="00F01581" w:rsidR="00F47171">
        <w:rPr>
          <w:sz w:val="24"/>
          <w:szCs w:val="24"/>
        </w:rPr>
        <w:t>Kremmling</w:t>
      </w:r>
      <w:proofErr w:type="spellEnd"/>
      <w:r w:rsidRPr="00F01581" w:rsidR="00F47171">
        <w:rPr>
          <w:sz w:val="24"/>
          <w:szCs w:val="24"/>
        </w:rPr>
        <w:t xml:space="preserve">, Alpine Loop, Glenwood and Gateway Canyons) </w:t>
      </w:r>
      <w:r w:rsidR="00206EE7">
        <w:rPr>
          <w:sz w:val="24"/>
          <w:szCs w:val="24"/>
        </w:rPr>
        <w:t xml:space="preserve">by </w:t>
      </w:r>
      <w:r w:rsidR="00752E73">
        <w:rPr>
          <w:sz w:val="24"/>
          <w:szCs w:val="24"/>
        </w:rPr>
        <w:t xml:space="preserve">independent </w:t>
      </w:r>
      <w:r w:rsidR="00206EE7">
        <w:rPr>
          <w:sz w:val="24"/>
          <w:szCs w:val="24"/>
        </w:rPr>
        <w:t xml:space="preserve">university researchers </w:t>
      </w:r>
      <w:r>
        <w:rPr>
          <w:sz w:val="24"/>
          <w:szCs w:val="24"/>
        </w:rPr>
        <w:t>used a similar approach</w:t>
      </w:r>
      <w:r w:rsidR="00206EE7">
        <w:rPr>
          <w:sz w:val="24"/>
          <w:szCs w:val="24"/>
        </w:rPr>
        <w:t xml:space="preserve"> (i.e., a short onsite survey, with a </w:t>
      </w:r>
      <w:r w:rsidR="00206EE7">
        <w:rPr>
          <w:sz w:val="24"/>
          <w:szCs w:val="24"/>
        </w:rPr>
        <w:lastRenderedPageBreak/>
        <w:t>longer follow-up survey)</w:t>
      </w:r>
      <w:proofErr w:type="gramStart"/>
      <w:r>
        <w:rPr>
          <w:sz w:val="24"/>
          <w:szCs w:val="24"/>
        </w:rPr>
        <w:t xml:space="preserve">.  </w:t>
      </w:r>
      <w:proofErr w:type="gramEnd"/>
      <w:r>
        <w:rPr>
          <w:sz w:val="24"/>
          <w:szCs w:val="24"/>
        </w:rPr>
        <w:t xml:space="preserve">Those </w:t>
      </w:r>
      <w:r w:rsidR="00206EE7">
        <w:rPr>
          <w:sz w:val="24"/>
          <w:szCs w:val="24"/>
        </w:rPr>
        <w:t xml:space="preserve">university-led </w:t>
      </w:r>
      <w:r>
        <w:rPr>
          <w:sz w:val="24"/>
          <w:szCs w:val="24"/>
        </w:rPr>
        <w:t>studies</w:t>
      </w:r>
      <w:r w:rsidR="00206EE7">
        <w:rPr>
          <w:sz w:val="24"/>
          <w:szCs w:val="24"/>
        </w:rPr>
        <w:t>, which formed the template for this BLM research effort,</w:t>
      </w:r>
      <w:r>
        <w:rPr>
          <w:sz w:val="24"/>
          <w:szCs w:val="24"/>
        </w:rPr>
        <w:t xml:space="preserve"> </w:t>
      </w:r>
      <w:r w:rsidRPr="00F01581" w:rsidR="00F47171">
        <w:rPr>
          <w:sz w:val="24"/>
          <w:szCs w:val="24"/>
        </w:rPr>
        <w:t xml:space="preserve">yielded an average onsite visitor survey response of 90 percent.  The subsequent mail survey (with a modified </w:t>
      </w:r>
      <w:proofErr w:type="spellStart"/>
      <w:r w:rsidRPr="00F01581" w:rsidR="00F47171">
        <w:rPr>
          <w:sz w:val="24"/>
          <w:szCs w:val="24"/>
        </w:rPr>
        <w:t>Dillman</w:t>
      </w:r>
      <w:proofErr w:type="spellEnd"/>
      <w:r w:rsidRPr="00F01581" w:rsidR="00F47171">
        <w:rPr>
          <w:sz w:val="24"/>
          <w:szCs w:val="24"/>
        </w:rPr>
        <w:t xml:space="preserve"> methodology with a </w:t>
      </w:r>
      <w:r w:rsidR="00270280">
        <w:rPr>
          <w:sz w:val="24"/>
          <w:szCs w:val="24"/>
        </w:rPr>
        <w:t>1</w:t>
      </w:r>
      <w:r w:rsidR="008A5FC2">
        <w:rPr>
          <w:sz w:val="24"/>
          <w:szCs w:val="24"/>
        </w:rPr>
        <w:t>-</w:t>
      </w:r>
      <w:r w:rsidRPr="00F01581" w:rsidR="00F47171">
        <w:rPr>
          <w:sz w:val="24"/>
          <w:szCs w:val="24"/>
        </w:rPr>
        <w:t xml:space="preserve">week postcard reminder and second mailing) yielded an average response rate of 46 percent. </w:t>
      </w:r>
      <w:r w:rsidR="00FA3C16">
        <w:rPr>
          <w:sz w:val="24"/>
          <w:szCs w:val="24"/>
        </w:rPr>
        <w:t xml:space="preserve"> </w:t>
      </w:r>
      <w:r w:rsidR="00CE079A">
        <w:rPr>
          <w:sz w:val="24"/>
          <w:szCs w:val="24"/>
        </w:rPr>
        <w:t>Likewise, the federal lands Collaborative Visitor</w:t>
      </w:r>
      <w:r>
        <w:rPr>
          <w:sz w:val="24"/>
          <w:szCs w:val="24"/>
        </w:rPr>
        <w:t xml:space="preserve"> Transportation</w:t>
      </w:r>
      <w:r w:rsidR="00CE079A">
        <w:rPr>
          <w:sz w:val="24"/>
          <w:szCs w:val="24"/>
        </w:rPr>
        <w:t xml:space="preserve"> Survey utilized similar methods, but with an 8-page onsite survey, and achieved an</w:t>
      </w:r>
      <w:r w:rsidRPr="00F01581" w:rsidR="00CE079A">
        <w:rPr>
          <w:sz w:val="24"/>
          <w:szCs w:val="24"/>
        </w:rPr>
        <w:t xml:space="preserve"> </w:t>
      </w:r>
      <w:r w:rsidR="00CE079A">
        <w:rPr>
          <w:sz w:val="24"/>
          <w:szCs w:val="24"/>
        </w:rPr>
        <w:t xml:space="preserve">80% </w:t>
      </w:r>
      <w:r>
        <w:rPr>
          <w:sz w:val="24"/>
          <w:szCs w:val="24"/>
        </w:rPr>
        <w:t xml:space="preserve">onsite </w:t>
      </w:r>
      <w:r w:rsidR="00CE079A">
        <w:rPr>
          <w:sz w:val="24"/>
          <w:szCs w:val="24"/>
        </w:rPr>
        <w:t xml:space="preserve">response rate and a 54% and 48% response rate to the email and mail follow-up survey, respectively. </w:t>
      </w:r>
      <w:r w:rsidR="00F54B46">
        <w:rPr>
          <w:sz w:val="24"/>
          <w:szCs w:val="24"/>
        </w:rPr>
        <w:t xml:space="preserve"> </w:t>
      </w:r>
      <w:r>
        <w:rPr>
          <w:sz w:val="24"/>
          <w:szCs w:val="24"/>
        </w:rPr>
        <w:t xml:space="preserve">Based on </w:t>
      </w:r>
      <w:r w:rsidR="00F54B46">
        <w:rPr>
          <w:sz w:val="24"/>
          <w:szCs w:val="24"/>
        </w:rPr>
        <w:t xml:space="preserve">response rates from </w:t>
      </w:r>
      <w:r>
        <w:rPr>
          <w:sz w:val="24"/>
          <w:szCs w:val="24"/>
        </w:rPr>
        <w:t>th</w:t>
      </w:r>
      <w:r w:rsidR="00206EE7">
        <w:rPr>
          <w:sz w:val="24"/>
          <w:szCs w:val="24"/>
        </w:rPr>
        <w:t>o</w:t>
      </w:r>
      <w:r>
        <w:rPr>
          <w:sz w:val="24"/>
          <w:szCs w:val="24"/>
        </w:rPr>
        <w:t xml:space="preserve">se previous studies, </w:t>
      </w:r>
      <w:r w:rsidR="00F54B46">
        <w:rPr>
          <w:sz w:val="24"/>
          <w:szCs w:val="24"/>
        </w:rPr>
        <w:t xml:space="preserve">the fact that </w:t>
      </w:r>
      <w:r>
        <w:rPr>
          <w:sz w:val="24"/>
          <w:szCs w:val="24"/>
        </w:rPr>
        <w:t xml:space="preserve">that the respondents are interested in BLM lands (i.e., they have self-selected to visit BLM lands), </w:t>
      </w:r>
      <w:r w:rsidR="00206EE7">
        <w:rPr>
          <w:sz w:val="24"/>
          <w:szCs w:val="24"/>
        </w:rPr>
        <w:t xml:space="preserve">the utilization of the reminder postcards, </w:t>
      </w:r>
      <w:r>
        <w:rPr>
          <w:sz w:val="24"/>
          <w:szCs w:val="24"/>
        </w:rPr>
        <w:t>and b</w:t>
      </w:r>
      <w:r w:rsidRPr="00F01581" w:rsidR="00F47171">
        <w:rPr>
          <w:sz w:val="24"/>
          <w:szCs w:val="24"/>
        </w:rPr>
        <w:t xml:space="preserve">y allowing visitors the option to complete the survey online (as well as </w:t>
      </w:r>
      <w:r w:rsidR="00F54B46">
        <w:rPr>
          <w:sz w:val="24"/>
          <w:szCs w:val="24"/>
        </w:rPr>
        <w:t xml:space="preserve">by </w:t>
      </w:r>
      <w:r w:rsidRPr="00F01581" w:rsidR="00F47171">
        <w:rPr>
          <w:sz w:val="24"/>
          <w:szCs w:val="24"/>
        </w:rPr>
        <w:t xml:space="preserve">mail) we </w:t>
      </w:r>
      <w:r w:rsidR="00270280">
        <w:rPr>
          <w:sz w:val="24"/>
          <w:szCs w:val="24"/>
        </w:rPr>
        <w:t>estimate</w:t>
      </w:r>
      <w:r w:rsidRPr="00F01581" w:rsidR="00270280">
        <w:rPr>
          <w:sz w:val="24"/>
          <w:szCs w:val="24"/>
        </w:rPr>
        <w:t xml:space="preserve"> </w:t>
      </w:r>
      <w:r w:rsidRPr="00F01581" w:rsidR="00F47171">
        <w:rPr>
          <w:sz w:val="24"/>
          <w:szCs w:val="24"/>
        </w:rPr>
        <w:t>that the final response rate should exceed 50 percent.</w:t>
      </w:r>
    </w:p>
    <w:p w:rsidRPr="00F01581" w:rsidR="00F47171" w:rsidP="00F47171" w:rsidRDefault="00F47171" w14:paraId="6699AAD0" w14:textId="77777777">
      <w:pPr>
        <w:rPr>
          <w:sz w:val="24"/>
          <w:szCs w:val="24"/>
        </w:rPr>
      </w:pPr>
    </w:p>
    <w:p w:rsidR="003944F8" w:rsidP="00B9079F" w:rsidRDefault="003944F8" w14:paraId="6BD02774" w14:textId="77777777">
      <w:pPr>
        <w:rPr>
          <w:sz w:val="24"/>
          <w:szCs w:val="24"/>
        </w:rPr>
      </w:pPr>
    </w:p>
    <w:p w:rsidRPr="00F01581" w:rsidR="00300594" w:rsidP="00526EAC" w:rsidRDefault="00F47171" w14:paraId="0EDC3668" w14:textId="5F7208AB">
      <w:pPr>
        <w:rPr>
          <w:sz w:val="24"/>
          <w:szCs w:val="24"/>
        </w:rPr>
      </w:pPr>
      <w:r w:rsidRPr="00F01581">
        <w:rPr>
          <w:b/>
          <w:bCs/>
          <w:i/>
          <w:sz w:val="24"/>
          <w:szCs w:val="24"/>
        </w:rPr>
        <w:t>Expected Response Rate for Focus Groups</w:t>
      </w:r>
    </w:p>
    <w:p w:rsidRPr="00F01581" w:rsidR="00F47171" w:rsidP="00F47171" w:rsidRDefault="00F47171" w14:paraId="2C248AAC" w14:textId="086AC104">
      <w:pPr>
        <w:rPr>
          <w:sz w:val="24"/>
          <w:szCs w:val="24"/>
        </w:rPr>
      </w:pPr>
      <w:r w:rsidRPr="00F01581">
        <w:rPr>
          <w:sz w:val="24"/>
          <w:szCs w:val="24"/>
        </w:rPr>
        <w:t>The focus group questions, scripts</w:t>
      </w:r>
      <w:r w:rsidR="00F54B46">
        <w:rPr>
          <w:sz w:val="24"/>
          <w:szCs w:val="24"/>
        </w:rPr>
        <w:t>,</w:t>
      </w:r>
      <w:r w:rsidRPr="00F01581">
        <w:rPr>
          <w:sz w:val="24"/>
          <w:szCs w:val="24"/>
        </w:rPr>
        <w:t xml:space="preserve"> and methodology </w:t>
      </w:r>
      <w:r w:rsidR="00131955">
        <w:rPr>
          <w:sz w:val="24"/>
          <w:szCs w:val="24"/>
        </w:rPr>
        <w:t>are</w:t>
      </w:r>
      <w:r w:rsidRPr="00F01581">
        <w:rPr>
          <w:sz w:val="24"/>
          <w:szCs w:val="24"/>
        </w:rPr>
        <w:t xml:space="preserve"> the result of over </w:t>
      </w:r>
      <w:r w:rsidRPr="00F01581" w:rsidR="00F229D5">
        <w:rPr>
          <w:sz w:val="24"/>
          <w:szCs w:val="24"/>
        </w:rPr>
        <w:t>1</w:t>
      </w:r>
      <w:r w:rsidR="00F229D5">
        <w:rPr>
          <w:sz w:val="24"/>
          <w:szCs w:val="24"/>
        </w:rPr>
        <w:t>5</w:t>
      </w:r>
      <w:r w:rsidRPr="00F01581" w:rsidR="00F229D5">
        <w:rPr>
          <w:sz w:val="24"/>
          <w:szCs w:val="24"/>
        </w:rPr>
        <w:t xml:space="preserve"> </w:t>
      </w:r>
      <w:r w:rsidRPr="00F01581">
        <w:rPr>
          <w:sz w:val="24"/>
          <w:szCs w:val="24"/>
        </w:rPr>
        <w:t xml:space="preserve">years of development – the last </w:t>
      </w:r>
      <w:r w:rsidR="00131955">
        <w:rPr>
          <w:sz w:val="24"/>
          <w:szCs w:val="24"/>
        </w:rPr>
        <w:t>3</w:t>
      </w:r>
      <w:r w:rsidRPr="00F01581">
        <w:rPr>
          <w:sz w:val="24"/>
          <w:szCs w:val="24"/>
        </w:rPr>
        <w:t xml:space="preserve"> years incorporate</w:t>
      </w:r>
      <w:r w:rsidR="00E0464C">
        <w:rPr>
          <w:sz w:val="24"/>
          <w:szCs w:val="24"/>
        </w:rPr>
        <w:t>d</w:t>
      </w:r>
      <w:r w:rsidRPr="00F01581">
        <w:rPr>
          <w:sz w:val="24"/>
          <w:szCs w:val="24"/>
        </w:rPr>
        <w:t xml:space="preserve"> the use of electronic clickers by focus group respondents</w:t>
      </w:r>
      <w:proofErr w:type="gramStart"/>
      <w:r w:rsidRPr="00F01581">
        <w:rPr>
          <w:sz w:val="24"/>
          <w:szCs w:val="24"/>
        </w:rPr>
        <w:t>.</w:t>
      </w:r>
      <w:r w:rsidRPr="00F01581" w:rsidR="00C26A65">
        <w:rPr>
          <w:sz w:val="24"/>
          <w:szCs w:val="24"/>
        </w:rPr>
        <w:t xml:space="preserve">  </w:t>
      </w:r>
      <w:proofErr w:type="gramEnd"/>
      <w:r w:rsidRPr="00F01581" w:rsidR="00C26A65">
        <w:rPr>
          <w:sz w:val="24"/>
          <w:szCs w:val="24"/>
        </w:rPr>
        <w:t xml:space="preserve">While response rate is not an applicable concept, focus group methods provide anonymity to respondents which will minimize item nonresponse.  </w:t>
      </w:r>
    </w:p>
    <w:p w:rsidRPr="00F01581" w:rsidR="00300594" w:rsidP="00FE3BA1" w:rsidRDefault="00300594" w14:paraId="311FE1F0" w14:textId="77777777"/>
    <w:p w:rsidRPr="00F01581" w:rsidR="00300594" w:rsidP="00675263" w:rsidRDefault="00300594" w14:paraId="21E47C6B" w14:textId="00886811">
      <w:pPr>
        <w:rPr>
          <w:b/>
          <w:sz w:val="24"/>
          <w:szCs w:val="24"/>
        </w:rPr>
      </w:pPr>
      <w:r w:rsidRPr="00F01581">
        <w:rPr>
          <w:b/>
          <w:sz w:val="24"/>
          <w:szCs w:val="24"/>
        </w:rPr>
        <w:t>2.</w:t>
      </w:r>
      <w:r w:rsidRPr="00F01581">
        <w:rPr>
          <w:b/>
          <w:sz w:val="24"/>
          <w:szCs w:val="24"/>
        </w:rPr>
        <w:tab/>
        <w:t>Describe the procedures for the collection of information including:</w:t>
      </w:r>
    </w:p>
    <w:p w:rsidRPr="00F01581" w:rsidR="00300594" w:rsidP="002E26BF" w:rsidRDefault="00300594" w14:paraId="5585DE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01581">
        <w:rPr>
          <w:b/>
          <w:sz w:val="24"/>
          <w:szCs w:val="24"/>
        </w:rPr>
        <w:tab/>
        <w:t>*</w:t>
      </w:r>
      <w:r w:rsidRPr="00F01581">
        <w:rPr>
          <w:b/>
          <w:sz w:val="24"/>
          <w:szCs w:val="24"/>
        </w:rPr>
        <w:tab/>
        <w:t>Statistical methodology for stratification and sample selection,</w:t>
      </w:r>
    </w:p>
    <w:p w:rsidRPr="00F01581" w:rsidR="00300594" w:rsidP="002E26BF" w:rsidRDefault="00300594" w14:paraId="0BC229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01581">
        <w:rPr>
          <w:b/>
          <w:sz w:val="24"/>
          <w:szCs w:val="24"/>
        </w:rPr>
        <w:tab/>
        <w:t>*</w:t>
      </w:r>
      <w:r w:rsidRPr="00F01581">
        <w:rPr>
          <w:b/>
          <w:sz w:val="24"/>
          <w:szCs w:val="24"/>
        </w:rPr>
        <w:tab/>
        <w:t>Estimation procedure,</w:t>
      </w:r>
    </w:p>
    <w:p w:rsidRPr="00F01581" w:rsidR="00300594" w:rsidP="002E26BF" w:rsidRDefault="00300594" w14:paraId="32B3A6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01581">
        <w:rPr>
          <w:b/>
          <w:sz w:val="24"/>
          <w:szCs w:val="24"/>
        </w:rPr>
        <w:tab/>
        <w:t>*</w:t>
      </w:r>
      <w:r w:rsidRPr="00F01581">
        <w:rPr>
          <w:b/>
          <w:sz w:val="24"/>
          <w:szCs w:val="24"/>
        </w:rPr>
        <w:tab/>
        <w:t>Degree of accuracy needed for the purpose described in the justification</w:t>
      </w:r>
      <w:r w:rsidRPr="00F01581">
        <w:rPr>
          <w:b/>
          <w:sz w:val="24"/>
          <w:szCs w:val="24"/>
        </w:rPr>
        <w:tab/>
      </w:r>
    </w:p>
    <w:p w:rsidRPr="00F01581" w:rsidR="00300594" w:rsidP="002E26BF" w:rsidRDefault="00300594" w14:paraId="3118AA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b/>
          <w:sz w:val="24"/>
          <w:szCs w:val="24"/>
        </w:rPr>
      </w:pPr>
      <w:r w:rsidRPr="00F01581">
        <w:rPr>
          <w:b/>
          <w:sz w:val="24"/>
          <w:szCs w:val="24"/>
        </w:rPr>
        <w:t>*</w:t>
      </w:r>
      <w:r w:rsidRPr="00F01581">
        <w:rPr>
          <w:b/>
          <w:sz w:val="24"/>
          <w:szCs w:val="24"/>
        </w:rPr>
        <w:tab/>
        <w:t>Unusual problems requiring specialized sampling procedures, and</w:t>
      </w:r>
    </w:p>
    <w:p w:rsidRPr="00F01581" w:rsidR="00300594" w:rsidP="002E26BF" w:rsidRDefault="00300594" w14:paraId="1A4511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01581">
        <w:rPr>
          <w:b/>
          <w:sz w:val="24"/>
          <w:szCs w:val="24"/>
        </w:rPr>
        <w:tab/>
        <w:t>*</w:t>
      </w:r>
      <w:r w:rsidRPr="00F01581">
        <w:rPr>
          <w:b/>
          <w:sz w:val="24"/>
          <w:szCs w:val="24"/>
        </w:rPr>
        <w:tab/>
        <w:t>Any use of periodic (less frequent than annual) data collection cycles to reduce burden.</w:t>
      </w:r>
    </w:p>
    <w:p w:rsidRPr="00F01581" w:rsidR="00300594" w:rsidP="002E26BF" w:rsidRDefault="00300594" w14:paraId="66AC33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FF0000"/>
          <w:sz w:val="24"/>
          <w:szCs w:val="24"/>
        </w:rPr>
      </w:pPr>
    </w:p>
    <w:p w:rsidRPr="00F01581" w:rsidR="0022487C" w:rsidP="00170968" w:rsidRDefault="0022487C" w14:paraId="24D0F530" w14:textId="5D8F0F8A">
      <w:pPr>
        <w:rPr>
          <w:b/>
          <w:i/>
          <w:sz w:val="24"/>
          <w:szCs w:val="24"/>
        </w:rPr>
      </w:pPr>
      <w:r w:rsidRPr="00F01581">
        <w:rPr>
          <w:b/>
          <w:i/>
          <w:sz w:val="24"/>
          <w:szCs w:val="24"/>
        </w:rPr>
        <w:t>Visitor Survey</w:t>
      </w:r>
    </w:p>
    <w:p w:rsidRPr="00EE3449" w:rsidR="00170968" w:rsidP="00170968" w:rsidRDefault="00E12C08" w14:paraId="07A71BF1" w14:textId="3CE72566">
      <w:pPr>
        <w:rPr>
          <w:sz w:val="24"/>
          <w:szCs w:val="24"/>
        </w:rPr>
      </w:pPr>
      <w:r w:rsidRPr="00F01581">
        <w:rPr>
          <w:sz w:val="24"/>
          <w:szCs w:val="24"/>
        </w:rPr>
        <w:t>The onsite and</w:t>
      </w:r>
      <w:r w:rsidR="008A33A6">
        <w:rPr>
          <w:sz w:val="24"/>
          <w:szCs w:val="24"/>
        </w:rPr>
        <w:t xml:space="preserve"> </w:t>
      </w:r>
      <w:r w:rsidRPr="00F01581">
        <w:rPr>
          <w:sz w:val="24"/>
          <w:szCs w:val="24"/>
        </w:rPr>
        <w:t>internet</w:t>
      </w:r>
      <w:r w:rsidR="008A33A6">
        <w:rPr>
          <w:sz w:val="24"/>
          <w:szCs w:val="24"/>
        </w:rPr>
        <w:t>/mail</w:t>
      </w:r>
      <w:r w:rsidRPr="00F01581">
        <w:rPr>
          <w:sz w:val="24"/>
          <w:szCs w:val="24"/>
        </w:rPr>
        <w:t xml:space="preserve"> survey methodology will </w:t>
      </w:r>
      <w:r w:rsidR="00EA3C80">
        <w:rPr>
          <w:sz w:val="24"/>
          <w:szCs w:val="24"/>
        </w:rPr>
        <w:t xml:space="preserve">employ </w:t>
      </w:r>
      <w:r w:rsidRPr="00F01581">
        <w:rPr>
          <w:sz w:val="24"/>
          <w:szCs w:val="24"/>
        </w:rPr>
        <w:t>random sampling of visitors to BLM managed areas</w:t>
      </w:r>
      <w:proofErr w:type="gramStart"/>
      <w:r w:rsidRPr="00F01581">
        <w:rPr>
          <w:sz w:val="24"/>
          <w:szCs w:val="24"/>
        </w:rPr>
        <w:t xml:space="preserve">. </w:t>
      </w:r>
      <w:r w:rsidR="00E0464C">
        <w:rPr>
          <w:sz w:val="24"/>
          <w:szCs w:val="24"/>
        </w:rPr>
        <w:t xml:space="preserve"> </w:t>
      </w:r>
      <w:proofErr w:type="gramEnd"/>
      <w:r w:rsidRPr="00EE3449" w:rsidR="009871FC">
        <w:rPr>
          <w:sz w:val="24"/>
          <w:szCs w:val="24"/>
        </w:rPr>
        <w:t>T</w:t>
      </w:r>
      <w:r w:rsidR="009871FC">
        <w:rPr>
          <w:sz w:val="24"/>
          <w:szCs w:val="24"/>
        </w:rPr>
        <w:t xml:space="preserve">wo </w:t>
      </w:r>
      <w:r w:rsidRPr="00EE3449" w:rsidR="009871FC">
        <w:rPr>
          <w:sz w:val="24"/>
          <w:szCs w:val="24"/>
        </w:rPr>
        <w:t>purpose</w:t>
      </w:r>
      <w:r w:rsidR="009871FC">
        <w:rPr>
          <w:sz w:val="24"/>
          <w:szCs w:val="24"/>
        </w:rPr>
        <w:t>s</w:t>
      </w:r>
      <w:r w:rsidRPr="00EE3449" w:rsidR="009871FC">
        <w:rPr>
          <w:sz w:val="24"/>
          <w:szCs w:val="24"/>
        </w:rPr>
        <w:t xml:space="preserve"> of this information collection </w:t>
      </w:r>
      <w:r w:rsidR="009871FC">
        <w:rPr>
          <w:sz w:val="24"/>
          <w:szCs w:val="24"/>
        </w:rPr>
        <w:t>are</w:t>
      </w:r>
      <w:r w:rsidRPr="00EE3449" w:rsidR="009871FC">
        <w:rPr>
          <w:sz w:val="24"/>
          <w:szCs w:val="24"/>
        </w:rPr>
        <w:t xml:space="preserve"> </w:t>
      </w:r>
      <w:r w:rsidR="009871FC">
        <w:rPr>
          <w:sz w:val="24"/>
          <w:szCs w:val="24"/>
        </w:rPr>
        <w:t>1) to document visitor characteristics and preferences for management; and 2) in some areas, assess</w:t>
      </w:r>
      <w:r w:rsidRPr="00EE3449" w:rsidR="009871FC">
        <w:rPr>
          <w:sz w:val="24"/>
          <w:szCs w:val="24"/>
        </w:rPr>
        <w:t xml:space="preserve"> if visitors to potential </w:t>
      </w:r>
      <w:r w:rsidR="008A33A6">
        <w:rPr>
          <w:sz w:val="24"/>
          <w:szCs w:val="24"/>
        </w:rPr>
        <w:t>Recreation Management Zones (</w:t>
      </w:r>
      <w:r w:rsidRPr="00EE3449" w:rsidR="009871FC">
        <w:rPr>
          <w:sz w:val="24"/>
          <w:szCs w:val="24"/>
        </w:rPr>
        <w:t>RMZs</w:t>
      </w:r>
      <w:r w:rsidR="008A33A6">
        <w:rPr>
          <w:sz w:val="24"/>
          <w:szCs w:val="24"/>
        </w:rPr>
        <w:t>)</w:t>
      </w:r>
      <w:r w:rsidRPr="00EE3449" w:rsidR="009871FC">
        <w:rPr>
          <w:sz w:val="24"/>
          <w:szCs w:val="24"/>
        </w:rPr>
        <w:t xml:space="preserve"> differ on key variables included in the survey (</w:t>
      </w:r>
      <w:r w:rsidR="008A33A6">
        <w:rPr>
          <w:sz w:val="24"/>
          <w:szCs w:val="24"/>
        </w:rPr>
        <w:t xml:space="preserve">e.g., </w:t>
      </w:r>
      <w:r w:rsidRPr="00EE3449" w:rsidR="009871FC">
        <w:rPr>
          <w:sz w:val="24"/>
          <w:szCs w:val="24"/>
        </w:rPr>
        <w:t>trip characteristics, preferences for recreation settings, desired onsite experiences, and anticipated longer-term benefits).</w:t>
      </w:r>
      <w:r w:rsidR="009871FC">
        <w:rPr>
          <w:sz w:val="24"/>
          <w:szCs w:val="24"/>
        </w:rPr>
        <w:t xml:space="preserve">  </w:t>
      </w:r>
      <w:r w:rsidRPr="00EE3449" w:rsidR="009871FC">
        <w:rPr>
          <w:sz w:val="24"/>
          <w:szCs w:val="24"/>
        </w:rPr>
        <w:t xml:space="preserve">If the potential RMZs do exhibit </w:t>
      </w:r>
      <w:r w:rsidR="009871FC">
        <w:rPr>
          <w:sz w:val="24"/>
          <w:szCs w:val="24"/>
        </w:rPr>
        <w:t xml:space="preserve">large </w:t>
      </w:r>
      <w:r w:rsidRPr="00EE3449" w:rsidR="009871FC">
        <w:rPr>
          <w:sz w:val="24"/>
          <w:szCs w:val="24"/>
        </w:rPr>
        <w:t>differences, management of the zones can be tailored to accommodate difference in the key variables</w:t>
      </w:r>
      <w:r w:rsidR="009871FC">
        <w:rPr>
          <w:sz w:val="24"/>
          <w:szCs w:val="24"/>
        </w:rPr>
        <w:t>.</w:t>
      </w:r>
      <w:r w:rsidRPr="00EE3449" w:rsidR="009871FC">
        <w:rPr>
          <w:sz w:val="24"/>
          <w:szCs w:val="24"/>
        </w:rPr>
        <w:t xml:space="preserve"> </w:t>
      </w:r>
      <w:r w:rsidR="009871FC">
        <w:rPr>
          <w:sz w:val="24"/>
          <w:szCs w:val="24"/>
        </w:rPr>
        <w:t xml:space="preserve"> </w:t>
      </w:r>
      <w:r w:rsidRPr="00EE3449" w:rsidR="009871FC">
        <w:rPr>
          <w:sz w:val="24"/>
          <w:szCs w:val="24"/>
        </w:rPr>
        <w:t>Thus,</w:t>
      </w:r>
      <w:r w:rsidR="009871FC">
        <w:rPr>
          <w:sz w:val="24"/>
          <w:szCs w:val="24"/>
        </w:rPr>
        <w:t xml:space="preserve"> results need to exhibit a degree of accuracy to assess overall visitor characteristics and sufficient power to</w:t>
      </w:r>
      <w:r w:rsidRPr="00EE3449" w:rsidR="009871FC">
        <w:rPr>
          <w:sz w:val="24"/>
          <w:szCs w:val="24"/>
        </w:rPr>
        <w:t xml:space="preserve"> determine when zones exhibit a moderate effect size of key variables (e.g., a 20% difference in visitors’ preferences for setting characteristics in the different zones, a mean difference in desired onsite experiences of 1 on a </w:t>
      </w:r>
      <w:r w:rsidR="009871FC">
        <w:rPr>
          <w:sz w:val="24"/>
          <w:szCs w:val="24"/>
        </w:rPr>
        <w:t>5</w:t>
      </w:r>
      <w:r w:rsidRPr="00EE3449" w:rsidR="009871FC">
        <w:rPr>
          <w:sz w:val="24"/>
          <w:szCs w:val="24"/>
        </w:rPr>
        <w:t>-point scale, etc.).</w:t>
      </w:r>
      <w:r w:rsidR="009871FC">
        <w:rPr>
          <w:sz w:val="24"/>
          <w:szCs w:val="24"/>
        </w:rPr>
        <w:t xml:space="preserve">  When potential RMZs are being considered, </w:t>
      </w:r>
      <w:r w:rsidR="00923288">
        <w:rPr>
          <w:sz w:val="24"/>
          <w:szCs w:val="24"/>
        </w:rPr>
        <w:t>BLM staff</w:t>
      </w:r>
      <w:r w:rsidRPr="00F01581">
        <w:rPr>
          <w:sz w:val="24"/>
          <w:szCs w:val="24"/>
        </w:rPr>
        <w:t xml:space="preserve"> and </w:t>
      </w:r>
      <w:r w:rsidRPr="00F01581" w:rsidR="00170968">
        <w:rPr>
          <w:sz w:val="24"/>
          <w:szCs w:val="24"/>
        </w:rPr>
        <w:t xml:space="preserve">the </w:t>
      </w:r>
      <w:r w:rsidR="00923288">
        <w:rPr>
          <w:sz w:val="24"/>
          <w:szCs w:val="24"/>
        </w:rPr>
        <w:t>lead institution</w:t>
      </w:r>
      <w:r w:rsidRPr="00F01581" w:rsidR="00170968">
        <w:rPr>
          <w:sz w:val="24"/>
          <w:szCs w:val="24"/>
        </w:rPr>
        <w:t xml:space="preserve"> will</w:t>
      </w:r>
      <w:r w:rsidRPr="00F01581">
        <w:rPr>
          <w:sz w:val="24"/>
          <w:szCs w:val="24"/>
        </w:rPr>
        <w:t xml:space="preserve"> work together to map </w:t>
      </w:r>
      <w:r w:rsidR="0080208E">
        <w:rPr>
          <w:sz w:val="24"/>
          <w:szCs w:val="24"/>
        </w:rPr>
        <w:t>the area or</w:t>
      </w:r>
      <w:r w:rsidRPr="00F01581">
        <w:rPr>
          <w:sz w:val="24"/>
          <w:szCs w:val="24"/>
        </w:rPr>
        <w:t xml:space="preserve"> </w:t>
      </w:r>
      <w:r w:rsidR="0012394A">
        <w:rPr>
          <w:sz w:val="24"/>
          <w:szCs w:val="24"/>
        </w:rPr>
        <w:t>potential</w:t>
      </w:r>
      <w:r w:rsidRPr="00F01581">
        <w:rPr>
          <w:sz w:val="24"/>
          <w:szCs w:val="24"/>
        </w:rPr>
        <w:t xml:space="preserve"> </w:t>
      </w:r>
      <w:r w:rsidRPr="00F01581">
        <w:rPr>
          <w:rFonts w:eastAsia="Times New Roman"/>
          <w:sz w:val="24"/>
          <w:szCs w:val="24"/>
        </w:rPr>
        <w:t xml:space="preserve">Special Recreation Management Area </w:t>
      </w:r>
      <w:r w:rsidR="00E43E43">
        <w:rPr>
          <w:rFonts w:eastAsia="Times New Roman"/>
          <w:sz w:val="24"/>
          <w:szCs w:val="24"/>
        </w:rPr>
        <w:t xml:space="preserve">(SRMA) </w:t>
      </w:r>
      <w:r w:rsidRPr="00EE3449">
        <w:rPr>
          <w:rFonts w:eastAsia="Times New Roman"/>
          <w:sz w:val="24"/>
          <w:szCs w:val="24"/>
        </w:rPr>
        <w:t xml:space="preserve">into smaller geographic zones </w:t>
      </w:r>
      <w:r w:rsidRPr="00EE3449" w:rsidR="00E43E43">
        <w:rPr>
          <w:rFonts w:eastAsia="Times New Roman"/>
          <w:sz w:val="24"/>
          <w:szCs w:val="24"/>
        </w:rPr>
        <w:t xml:space="preserve">that </w:t>
      </w:r>
      <w:r w:rsidRPr="00EE3449" w:rsidR="00A74189">
        <w:rPr>
          <w:rFonts w:eastAsia="Times New Roman"/>
          <w:sz w:val="24"/>
          <w:szCs w:val="24"/>
        </w:rPr>
        <w:t>likely</w:t>
      </w:r>
      <w:r w:rsidRPr="00EE3449" w:rsidR="00E43E43">
        <w:rPr>
          <w:rFonts w:eastAsia="Times New Roman"/>
          <w:sz w:val="24"/>
          <w:szCs w:val="24"/>
        </w:rPr>
        <w:t xml:space="preserve"> contain </w:t>
      </w:r>
      <w:r w:rsidRPr="00EE3449">
        <w:rPr>
          <w:rFonts w:eastAsia="Times New Roman"/>
          <w:sz w:val="24"/>
          <w:szCs w:val="24"/>
        </w:rPr>
        <w:t>unique recreational values and opportunities</w:t>
      </w:r>
      <w:r w:rsidRPr="00EE3449" w:rsidR="00E43E43">
        <w:rPr>
          <w:rFonts w:eastAsia="Times New Roman"/>
          <w:sz w:val="24"/>
          <w:szCs w:val="24"/>
        </w:rPr>
        <w:t xml:space="preserve"> (i.e., areas that have the potential to be managed as </w:t>
      </w:r>
      <w:proofErr w:type="gramStart"/>
      <w:r w:rsidRPr="00EE3449" w:rsidR="00E43E43">
        <w:rPr>
          <w:rFonts w:eastAsia="Times New Roman"/>
          <w:sz w:val="24"/>
          <w:szCs w:val="24"/>
        </w:rPr>
        <w:t>a</w:t>
      </w:r>
      <w:proofErr w:type="gramEnd"/>
      <w:r w:rsidR="008A33A6">
        <w:rPr>
          <w:rFonts w:eastAsia="Times New Roman"/>
          <w:sz w:val="24"/>
          <w:szCs w:val="24"/>
        </w:rPr>
        <w:t xml:space="preserve"> </w:t>
      </w:r>
      <w:r w:rsidRPr="00EE3449" w:rsidR="00E43E43">
        <w:rPr>
          <w:rFonts w:eastAsia="Times New Roman"/>
          <w:sz w:val="24"/>
          <w:szCs w:val="24"/>
        </w:rPr>
        <w:t>RMZ.  Within the</w:t>
      </w:r>
      <w:r w:rsidR="0080208E">
        <w:rPr>
          <w:rFonts w:eastAsia="Times New Roman"/>
          <w:sz w:val="24"/>
          <w:szCs w:val="24"/>
        </w:rPr>
        <w:t xml:space="preserve"> area</w:t>
      </w:r>
      <w:r w:rsidR="008A33A6">
        <w:rPr>
          <w:rFonts w:eastAsia="Times New Roman"/>
          <w:sz w:val="24"/>
          <w:szCs w:val="24"/>
        </w:rPr>
        <w:t>/</w:t>
      </w:r>
      <w:r w:rsidRPr="00EE3449" w:rsidR="00E43E43">
        <w:rPr>
          <w:rFonts w:eastAsia="Times New Roman"/>
          <w:sz w:val="24"/>
          <w:szCs w:val="24"/>
        </w:rPr>
        <w:t>SRMA</w:t>
      </w:r>
      <w:r w:rsidRPr="00EE3449" w:rsidR="00A74189">
        <w:rPr>
          <w:rFonts w:eastAsia="Times New Roman"/>
          <w:sz w:val="24"/>
          <w:szCs w:val="24"/>
        </w:rPr>
        <w:t>,</w:t>
      </w:r>
      <w:r w:rsidRPr="00EE3449" w:rsidR="00E43E43">
        <w:rPr>
          <w:rFonts w:eastAsia="Times New Roman"/>
          <w:sz w:val="24"/>
          <w:szCs w:val="24"/>
        </w:rPr>
        <w:t xml:space="preserve"> no more than </w:t>
      </w:r>
      <w:r w:rsidRPr="00EE3449" w:rsidR="0012394A">
        <w:rPr>
          <w:rFonts w:eastAsia="Times New Roman"/>
          <w:sz w:val="24"/>
          <w:szCs w:val="24"/>
        </w:rPr>
        <w:t xml:space="preserve">6 </w:t>
      </w:r>
      <w:r w:rsidRPr="00EE3449" w:rsidR="00E43E43">
        <w:rPr>
          <w:rFonts w:eastAsia="Times New Roman"/>
          <w:sz w:val="24"/>
          <w:szCs w:val="24"/>
        </w:rPr>
        <w:t>potential RMZs</w:t>
      </w:r>
      <w:r w:rsidRPr="00EE3449" w:rsidR="0012394A">
        <w:rPr>
          <w:rFonts w:eastAsia="Times New Roman"/>
          <w:sz w:val="24"/>
          <w:szCs w:val="24"/>
        </w:rPr>
        <w:t xml:space="preserve"> </w:t>
      </w:r>
      <w:r w:rsidRPr="00EE3449" w:rsidR="0089475D">
        <w:rPr>
          <w:rFonts w:eastAsia="Times New Roman"/>
          <w:sz w:val="24"/>
          <w:szCs w:val="24"/>
        </w:rPr>
        <w:t>will be identified</w:t>
      </w:r>
      <w:proofErr w:type="gramStart"/>
      <w:r w:rsidRPr="00EE3449">
        <w:rPr>
          <w:rFonts w:eastAsia="Times New Roman"/>
          <w:sz w:val="24"/>
          <w:szCs w:val="24"/>
        </w:rPr>
        <w:t>.</w:t>
      </w:r>
      <w:r w:rsidRPr="00EE3449" w:rsidR="00170968">
        <w:rPr>
          <w:rFonts w:eastAsia="Times New Roman"/>
          <w:sz w:val="24"/>
          <w:szCs w:val="24"/>
        </w:rPr>
        <w:t xml:space="preserve"> </w:t>
      </w:r>
      <w:r w:rsidRPr="00EE3449">
        <w:rPr>
          <w:sz w:val="24"/>
          <w:szCs w:val="24"/>
        </w:rPr>
        <w:t xml:space="preserve"> </w:t>
      </w:r>
      <w:proofErr w:type="gramEnd"/>
      <w:r w:rsidRPr="00EE3449" w:rsidR="00170968">
        <w:rPr>
          <w:sz w:val="24"/>
          <w:szCs w:val="24"/>
        </w:rPr>
        <w:t xml:space="preserve"> </w:t>
      </w:r>
      <w:r w:rsidRPr="00EE3449" w:rsidR="0065710A">
        <w:rPr>
          <w:sz w:val="24"/>
          <w:szCs w:val="24"/>
        </w:rPr>
        <w:t xml:space="preserve"> </w:t>
      </w:r>
      <w:r w:rsidRPr="00EE3449" w:rsidR="00A51BEA">
        <w:rPr>
          <w:sz w:val="24"/>
          <w:szCs w:val="24"/>
        </w:rPr>
        <w:t xml:space="preserve">   </w:t>
      </w:r>
    </w:p>
    <w:p w:rsidRPr="00EE3449" w:rsidR="00170968" w:rsidP="00170968" w:rsidRDefault="00170968" w14:paraId="42714D04" w14:textId="77777777">
      <w:pPr>
        <w:rPr>
          <w:sz w:val="24"/>
          <w:szCs w:val="24"/>
        </w:rPr>
      </w:pPr>
    </w:p>
    <w:p w:rsidRPr="00F01581" w:rsidR="00CD5CEB" w:rsidP="00170968" w:rsidRDefault="00AE2CBA" w14:paraId="27F0729B" w14:textId="0A9294F2">
      <w:pPr>
        <w:rPr>
          <w:sz w:val="24"/>
          <w:szCs w:val="24"/>
        </w:rPr>
      </w:pPr>
      <w:r w:rsidRPr="00EE3449">
        <w:rPr>
          <w:sz w:val="24"/>
          <w:szCs w:val="24"/>
        </w:rPr>
        <w:lastRenderedPageBreak/>
        <w:t xml:space="preserve">At each </w:t>
      </w:r>
      <w:r>
        <w:rPr>
          <w:sz w:val="24"/>
          <w:szCs w:val="24"/>
        </w:rPr>
        <w:t>area/</w:t>
      </w:r>
      <w:r w:rsidRPr="00EE3449">
        <w:rPr>
          <w:sz w:val="24"/>
          <w:szCs w:val="24"/>
        </w:rPr>
        <w:t xml:space="preserve">potential SRMA, </w:t>
      </w:r>
      <w:r w:rsidR="001714E7">
        <w:rPr>
          <w:sz w:val="24"/>
          <w:szCs w:val="24"/>
        </w:rPr>
        <w:t>766</w:t>
      </w:r>
      <w:r w:rsidRPr="00EE3449" w:rsidR="001714E7">
        <w:rPr>
          <w:sz w:val="24"/>
          <w:szCs w:val="24"/>
        </w:rPr>
        <w:t xml:space="preserve"> </w:t>
      </w:r>
      <w:r w:rsidRPr="00EE3449">
        <w:rPr>
          <w:sz w:val="24"/>
          <w:szCs w:val="24"/>
        </w:rPr>
        <w:t>visitors will be co</w:t>
      </w:r>
      <w:r w:rsidRPr="00F01581">
        <w:rPr>
          <w:sz w:val="24"/>
          <w:szCs w:val="24"/>
        </w:rPr>
        <w:t>ntacted during the study period</w:t>
      </w:r>
      <w:r w:rsidR="001714E7">
        <w:rPr>
          <w:sz w:val="24"/>
          <w:szCs w:val="24"/>
        </w:rPr>
        <w:t xml:space="preserve"> allow</w:t>
      </w:r>
      <w:r w:rsidR="00127BB3">
        <w:rPr>
          <w:sz w:val="24"/>
          <w:szCs w:val="24"/>
        </w:rPr>
        <w:t>ing</w:t>
      </w:r>
      <w:r w:rsidR="001714E7">
        <w:rPr>
          <w:sz w:val="24"/>
          <w:szCs w:val="24"/>
        </w:rPr>
        <w:t xml:space="preserve"> for </w:t>
      </w:r>
      <w:r w:rsidRPr="00F01581">
        <w:rPr>
          <w:sz w:val="24"/>
          <w:szCs w:val="24"/>
        </w:rPr>
        <w:t xml:space="preserve">the completion of 400 </w:t>
      </w:r>
      <w:r w:rsidR="008A33A6">
        <w:rPr>
          <w:sz w:val="24"/>
          <w:szCs w:val="24"/>
        </w:rPr>
        <w:t>follow-up</w:t>
      </w:r>
      <w:r w:rsidRPr="00F01581" w:rsidR="008A33A6">
        <w:rPr>
          <w:sz w:val="24"/>
          <w:szCs w:val="24"/>
        </w:rPr>
        <w:t xml:space="preserve"> </w:t>
      </w:r>
      <w:r w:rsidRPr="00F01581">
        <w:rPr>
          <w:sz w:val="24"/>
          <w:szCs w:val="24"/>
        </w:rPr>
        <w:t>surveys</w:t>
      </w:r>
      <w:r w:rsidR="001714E7">
        <w:rPr>
          <w:sz w:val="24"/>
          <w:szCs w:val="24"/>
        </w:rPr>
        <w:t xml:space="preserve"> (based on 95% of respondents completing the onsite survey and 55% completing the follow-up survey</w:t>
      </w:r>
      <w:r w:rsidRPr="00F01581">
        <w:rPr>
          <w:sz w:val="24"/>
          <w:szCs w:val="24"/>
        </w:rPr>
        <w:t>)</w:t>
      </w:r>
      <w:proofErr w:type="gramStart"/>
      <w:r w:rsidRPr="00F01581">
        <w:rPr>
          <w:sz w:val="24"/>
          <w:szCs w:val="24"/>
        </w:rPr>
        <w:t>.</w:t>
      </w:r>
      <w:r w:rsidR="001714E7">
        <w:rPr>
          <w:sz w:val="24"/>
          <w:szCs w:val="24"/>
        </w:rPr>
        <w:t xml:space="preserve">  </w:t>
      </w:r>
      <w:proofErr w:type="gramEnd"/>
      <w:r w:rsidR="001714E7">
        <w:rPr>
          <w:sz w:val="24"/>
          <w:szCs w:val="24"/>
        </w:rPr>
        <w:t>Four-hundred completed responses will allow overall estimates to within +/- 5% of the population value.</w:t>
      </w:r>
      <w:r w:rsidRPr="00F01581">
        <w:rPr>
          <w:sz w:val="24"/>
          <w:szCs w:val="24"/>
        </w:rPr>
        <w:t xml:space="preserve">  The typical ingress points to each of the zones will be identified and included in the sample design.  The days during the study period will be divided into late morning and early afternoon time blocks</w:t>
      </w:r>
      <w:r>
        <w:rPr>
          <w:sz w:val="24"/>
          <w:szCs w:val="24"/>
        </w:rPr>
        <w:t xml:space="preserve"> (time period in which surveying occurs)</w:t>
      </w:r>
      <w:proofErr w:type="gramStart"/>
      <w:r w:rsidRPr="00F01581">
        <w:rPr>
          <w:sz w:val="24"/>
          <w:szCs w:val="24"/>
        </w:rPr>
        <w:t xml:space="preserve">. </w:t>
      </w:r>
      <w:r w:rsidR="008A33A6">
        <w:rPr>
          <w:sz w:val="24"/>
          <w:szCs w:val="24"/>
        </w:rPr>
        <w:t xml:space="preserve"> </w:t>
      </w:r>
      <w:proofErr w:type="gramEnd"/>
      <w:r>
        <w:rPr>
          <w:sz w:val="24"/>
          <w:szCs w:val="24"/>
        </w:rPr>
        <w:t>The number of time blocks sampled for each zone will vary based upon estimates of total visitation and weekend vs. weekday visitation (by recreation planners). Sampling targets will then be established for both weekend and weekday visitor contacts in each zone.</w:t>
      </w:r>
      <w:r w:rsidRPr="00F01581" w:rsidR="00CD5CEB">
        <w:rPr>
          <w:sz w:val="24"/>
          <w:szCs w:val="24"/>
        </w:rPr>
        <w:t xml:space="preserve"> </w:t>
      </w:r>
    </w:p>
    <w:p w:rsidRPr="00F01581" w:rsidR="00C46D34" w:rsidP="0065710A" w:rsidRDefault="006D58A5" w14:paraId="01445A7C" w14:textId="26AF9263">
      <w:pPr>
        <w:ind w:firstLine="720"/>
        <w:rPr>
          <w:sz w:val="24"/>
          <w:szCs w:val="24"/>
        </w:rPr>
      </w:pPr>
      <w:r w:rsidRPr="00F01581">
        <w:rPr>
          <w:sz w:val="24"/>
          <w:szCs w:val="24"/>
        </w:rPr>
        <w:t xml:space="preserve">  </w:t>
      </w:r>
      <w:r w:rsidRPr="00F01581" w:rsidR="002F23D0">
        <w:rPr>
          <w:sz w:val="24"/>
          <w:szCs w:val="24"/>
        </w:rPr>
        <w:t xml:space="preserve"> </w:t>
      </w:r>
    </w:p>
    <w:p w:rsidR="00CD5CEB" w:rsidP="00717D82" w:rsidRDefault="00CD5CEB" w14:paraId="63B992DF" w14:textId="1B7E07F7">
      <w:pPr>
        <w:rPr>
          <w:sz w:val="24"/>
          <w:szCs w:val="24"/>
        </w:rPr>
      </w:pPr>
      <w:r w:rsidRPr="00F01581">
        <w:rPr>
          <w:sz w:val="24"/>
          <w:szCs w:val="24"/>
        </w:rPr>
        <w:t xml:space="preserve">For </w:t>
      </w:r>
      <w:r w:rsidR="0080208E">
        <w:rPr>
          <w:sz w:val="24"/>
          <w:szCs w:val="24"/>
        </w:rPr>
        <w:t>areas/</w:t>
      </w:r>
      <w:r w:rsidR="00A74189">
        <w:rPr>
          <w:sz w:val="24"/>
          <w:szCs w:val="24"/>
        </w:rPr>
        <w:t>SRMAs with 6 potential RMZs</w:t>
      </w:r>
      <w:r w:rsidRPr="00F01581">
        <w:rPr>
          <w:sz w:val="24"/>
          <w:szCs w:val="24"/>
        </w:rPr>
        <w:t xml:space="preserve">, </w:t>
      </w:r>
      <w:r w:rsidR="00A74189">
        <w:rPr>
          <w:sz w:val="24"/>
          <w:szCs w:val="24"/>
        </w:rPr>
        <w:t xml:space="preserve">the sample </w:t>
      </w:r>
      <w:r w:rsidRPr="00EE3449" w:rsidR="00A74189">
        <w:rPr>
          <w:sz w:val="24"/>
          <w:szCs w:val="24"/>
        </w:rPr>
        <w:t xml:space="preserve">will be designed </w:t>
      </w:r>
      <w:r w:rsidRPr="00EE3449" w:rsidR="009E2498">
        <w:rPr>
          <w:sz w:val="24"/>
          <w:szCs w:val="24"/>
        </w:rPr>
        <w:t xml:space="preserve">to contact and sample a </w:t>
      </w:r>
      <w:r w:rsidRPr="00EE3449">
        <w:rPr>
          <w:sz w:val="24"/>
          <w:szCs w:val="24"/>
        </w:rPr>
        <w:t xml:space="preserve">minimum of </w:t>
      </w:r>
      <w:r w:rsidRPr="00EE3449" w:rsidR="009E2498">
        <w:rPr>
          <w:sz w:val="24"/>
          <w:szCs w:val="24"/>
        </w:rPr>
        <w:t>106</w:t>
      </w:r>
      <w:r w:rsidRPr="00EE3449">
        <w:rPr>
          <w:sz w:val="24"/>
          <w:szCs w:val="24"/>
        </w:rPr>
        <w:t xml:space="preserve"> </w:t>
      </w:r>
      <w:r w:rsidRPr="00EE3449" w:rsidR="00E0464C">
        <w:rPr>
          <w:sz w:val="24"/>
          <w:szCs w:val="24"/>
        </w:rPr>
        <w:t xml:space="preserve">onsite visitors from each </w:t>
      </w:r>
      <w:r w:rsidRPr="00EE3449" w:rsidR="009E2498">
        <w:rPr>
          <w:sz w:val="24"/>
          <w:szCs w:val="24"/>
        </w:rPr>
        <w:t>potential RMZ</w:t>
      </w:r>
      <w:r w:rsidRPr="00EE3449" w:rsidR="009C43CA">
        <w:rPr>
          <w:sz w:val="24"/>
          <w:szCs w:val="24"/>
        </w:rPr>
        <w:t>,</w:t>
      </w:r>
      <w:r w:rsidRPr="00EE3449">
        <w:rPr>
          <w:sz w:val="24"/>
          <w:szCs w:val="24"/>
        </w:rPr>
        <w:t xml:space="preserve"> result</w:t>
      </w:r>
      <w:r w:rsidRPr="00EE3449" w:rsidR="009C43CA">
        <w:rPr>
          <w:sz w:val="24"/>
          <w:szCs w:val="24"/>
        </w:rPr>
        <w:t>ing</w:t>
      </w:r>
      <w:r w:rsidRPr="00EE3449">
        <w:rPr>
          <w:sz w:val="24"/>
          <w:szCs w:val="24"/>
        </w:rPr>
        <w:t xml:space="preserve"> in </w:t>
      </w:r>
      <w:r w:rsidRPr="00EE3449" w:rsidR="009E2498">
        <w:rPr>
          <w:sz w:val="24"/>
          <w:szCs w:val="24"/>
        </w:rPr>
        <w:t>66</w:t>
      </w:r>
      <w:r w:rsidRPr="00EE3449">
        <w:rPr>
          <w:sz w:val="24"/>
          <w:szCs w:val="24"/>
        </w:rPr>
        <w:t xml:space="preserve"> completed follow up surveys</w:t>
      </w:r>
      <w:r w:rsidRPr="00EE3449" w:rsidR="009C43CA">
        <w:rPr>
          <w:sz w:val="24"/>
          <w:szCs w:val="24"/>
        </w:rPr>
        <w:t xml:space="preserve"> from visitors to that zone</w:t>
      </w:r>
      <w:r w:rsidRPr="00EE3449">
        <w:rPr>
          <w:sz w:val="24"/>
          <w:szCs w:val="24"/>
        </w:rPr>
        <w:t xml:space="preserve">. </w:t>
      </w:r>
      <w:r w:rsidRPr="00EE3449" w:rsidR="00E0464C">
        <w:rPr>
          <w:sz w:val="24"/>
          <w:szCs w:val="24"/>
        </w:rPr>
        <w:t xml:space="preserve"> </w:t>
      </w:r>
      <w:r w:rsidRPr="00EE3449" w:rsidR="00A577E9">
        <w:rPr>
          <w:sz w:val="24"/>
          <w:szCs w:val="24"/>
        </w:rPr>
        <w:t xml:space="preserve">A sample size of </w:t>
      </w:r>
      <w:r w:rsidRPr="00EE3449" w:rsidR="009E2498">
        <w:rPr>
          <w:sz w:val="24"/>
          <w:szCs w:val="24"/>
        </w:rPr>
        <w:t>66</w:t>
      </w:r>
      <w:r w:rsidRPr="00EE3449" w:rsidR="00A577E9">
        <w:rPr>
          <w:sz w:val="24"/>
          <w:szCs w:val="24"/>
        </w:rPr>
        <w:t xml:space="preserve"> for each </w:t>
      </w:r>
      <w:r w:rsidRPr="00EE3449" w:rsidR="0084248B">
        <w:rPr>
          <w:sz w:val="24"/>
          <w:szCs w:val="24"/>
        </w:rPr>
        <w:t>potential RMZ</w:t>
      </w:r>
      <w:r w:rsidRPr="00EE3449" w:rsidR="00A577E9">
        <w:rPr>
          <w:sz w:val="24"/>
          <w:szCs w:val="24"/>
        </w:rPr>
        <w:t xml:space="preserve"> will result in power of .</w:t>
      </w:r>
      <w:r w:rsidRPr="00EE3449" w:rsidR="00B95D36">
        <w:rPr>
          <w:sz w:val="24"/>
          <w:szCs w:val="24"/>
        </w:rPr>
        <w:t>90 (two tailed test)</w:t>
      </w:r>
      <w:r w:rsidRPr="00EE3449" w:rsidR="00A577E9">
        <w:rPr>
          <w:sz w:val="24"/>
          <w:szCs w:val="24"/>
        </w:rPr>
        <w:t xml:space="preserve"> to detect a </w:t>
      </w:r>
      <w:proofErr w:type="gramStart"/>
      <w:r w:rsidRPr="00EE3449" w:rsidR="00A577E9">
        <w:rPr>
          <w:sz w:val="24"/>
          <w:szCs w:val="24"/>
        </w:rPr>
        <w:t>1 point</w:t>
      </w:r>
      <w:proofErr w:type="gramEnd"/>
      <w:r w:rsidRPr="00EE3449" w:rsidR="00A577E9">
        <w:rPr>
          <w:sz w:val="24"/>
          <w:szCs w:val="24"/>
        </w:rPr>
        <w:t xml:space="preserve"> difference if </w:t>
      </w:r>
      <w:r w:rsidR="001714E7">
        <w:rPr>
          <w:sz w:val="24"/>
          <w:szCs w:val="24"/>
        </w:rPr>
        <w:t>data from the RMZs each</w:t>
      </w:r>
      <w:r w:rsidRPr="00EE3449" w:rsidR="00A577E9">
        <w:rPr>
          <w:sz w:val="24"/>
          <w:szCs w:val="24"/>
        </w:rPr>
        <w:t xml:space="preserve"> have a standard deviation of 1.75</w:t>
      </w:r>
      <w:r w:rsidR="00F076AA">
        <w:rPr>
          <w:rStyle w:val="FootnoteReference"/>
          <w:sz w:val="24"/>
          <w:szCs w:val="24"/>
        </w:rPr>
        <w:footnoteReference w:id="1"/>
      </w:r>
      <w:r w:rsidRPr="00EE3449" w:rsidR="00A577E9">
        <w:rPr>
          <w:sz w:val="24"/>
          <w:szCs w:val="24"/>
        </w:rPr>
        <w:t>, a standard deviation consistent with previous research</w:t>
      </w:r>
      <w:r w:rsidRPr="00EE3449" w:rsidR="00A577E9">
        <w:rPr>
          <w:sz w:val="24"/>
          <w:szCs w:val="24"/>
          <w:lang w:val="de-DE"/>
        </w:rPr>
        <w:t>.</w:t>
      </w:r>
      <w:r w:rsidRPr="00EE3449" w:rsidR="00A577E9">
        <w:rPr>
          <w:sz w:val="24"/>
          <w:szCs w:val="24"/>
        </w:rPr>
        <w:t xml:space="preserve"> </w:t>
      </w:r>
    </w:p>
    <w:p w:rsidRPr="00EE3449" w:rsidR="00381FAF" w:rsidP="00717D82" w:rsidRDefault="00381FAF" w14:paraId="387F066E" w14:textId="77777777">
      <w:pPr>
        <w:rPr>
          <w:sz w:val="24"/>
          <w:szCs w:val="24"/>
        </w:rPr>
      </w:pPr>
    </w:p>
    <w:p w:rsidRPr="00EE3449" w:rsidR="00CD5CEB" w:rsidP="00717D82" w:rsidRDefault="009C43CA" w14:paraId="13A56CAF" w14:textId="46555B9B">
      <w:pPr>
        <w:pStyle w:val="ListParagraph"/>
        <w:numPr>
          <w:ilvl w:val="0"/>
          <w:numId w:val="3"/>
        </w:numPr>
        <w:rPr>
          <w:sz w:val="24"/>
          <w:szCs w:val="24"/>
        </w:rPr>
      </w:pPr>
      <w:r w:rsidRPr="00EE3449">
        <w:rPr>
          <w:sz w:val="24"/>
          <w:szCs w:val="24"/>
        </w:rPr>
        <w:t>For h</w:t>
      </w:r>
      <w:r w:rsidRPr="00EE3449" w:rsidR="00CD5CEB">
        <w:rPr>
          <w:sz w:val="24"/>
          <w:szCs w:val="24"/>
        </w:rPr>
        <w:t xml:space="preserve">igh </w:t>
      </w:r>
      <w:r w:rsidRPr="00EE3449" w:rsidR="00221E74">
        <w:rPr>
          <w:sz w:val="24"/>
          <w:szCs w:val="24"/>
        </w:rPr>
        <w:t xml:space="preserve">recreation </w:t>
      </w:r>
      <w:r w:rsidRPr="00EE3449" w:rsidR="00CD5CEB">
        <w:rPr>
          <w:sz w:val="24"/>
          <w:szCs w:val="24"/>
        </w:rPr>
        <w:t xml:space="preserve">use </w:t>
      </w:r>
      <w:r w:rsidRPr="00EE3449" w:rsidR="00675263">
        <w:rPr>
          <w:sz w:val="24"/>
          <w:szCs w:val="24"/>
        </w:rPr>
        <w:t>potential RMZs</w:t>
      </w:r>
      <w:r w:rsidRPr="00EE3449" w:rsidR="00CD5CEB">
        <w:rPr>
          <w:sz w:val="24"/>
          <w:szCs w:val="24"/>
        </w:rPr>
        <w:t xml:space="preserve">, time blocks will be reduced in length so that </w:t>
      </w:r>
      <w:r w:rsidRPr="00EE3449">
        <w:rPr>
          <w:sz w:val="24"/>
          <w:szCs w:val="24"/>
        </w:rPr>
        <w:t xml:space="preserve">a minimum of </w:t>
      </w:r>
      <w:proofErr w:type="gramStart"/>
      <w:r w:rsidRPr="00EE3449">
        <w:rPr>
          <w:sz w:val="24"/>
          <w:szCs w:val="24"/>
        </w:rPr>
        <w:t>five</w:t>
      </w:r>
      <w:r w:rsidRPr="00EE3449" w:rsidR="00CD5CEB">
        <w:rPr>
          <w:sz w:val="24"/>
          <w:szCs w:val="24"/>
        </w:rPr>
        <w:t xml:space="preserve"> time</w:t>
      </w:r>
      <w:proofErr w:type="gramEnd"/>
      <w:r w:rsidRPr="00EE3449" w:rsidR="00CD5CEB">
        <w:rPr>
          <w:sz w:val="24"/>
          <w:szCs w:val="24"/>
        </w:rPr>
        <w:t xml:space="preserve"> blocks </w:t>
      </w:r>
      <w:r w:rsidRPr="00EE3449">
        <w:rPr>
          <w:sz w:val="24"/>
          <w:szCs w:val="24"/>
        </w:rPr>
        <w:t>are</w:t>
      </w:r>
      <w:r w:rsidRPr="00EE3449" w:rsidR="00CD5CEB">
        <w:rPr>
          <w:sz w:val="24"/>
          <w:szCs w:val="24"/>
        </w:rPr>
        <w:t xml:space="preserve"> randomly selected.  Time blocks </w:t>
      </w:r>
      <w:r w:rsidRPr="00EE3449" w:rsidR="00A47C27">
        <w:rPr>
          <w:sz w:val="24"/>
          <w:szCs w:val="24"/>
        </w:rPr>
        <w:t xml:space="preserve">within the zone </w:t>
      </w:r>
      <w:r w:rsidRPr="00EE3449" w:rsidR="00CD5CEB">
        <w:rPr>
          <w:sz w:val="24"/>
          <w:szCs w:val="24"/>
        </w:rPr>
        <w:t xml:space="preserve">will be allocated </w:t>
      </w:r>
      <w:r w:rsidRPr="00EE3449">
        <w:rPr>
          <w:sz w:val="24"/>
          <w:szCs w:val="24"/>
        </w:rPr>
        <w:t>across weekends and weekdays</w:t>
      </w:r>
      <w:r w:rsidR="009F6EF3">
        <w:rPr>
          <w:sz w:val="24"/>
          <w:szCs w:val="24"/>
        </w:rPr>
        <w:t>,</w:t>
      </w:r>
      <w:r w:rsidRPr="00EE3449">
        <w:rPr>
          <w:sz w:val="24"/>
          <w:szCs w:val="24"/>
        </w:rPr>
        <w:t xml:space="preserve"> </w:t>
      </w:r>
      <w:r w:rsidRPr="00EE3449" w:rsidR="00CD5CEB">
        <w:rPr>
          <w:sz w:val="24"/>
          <w:szCs w:val="24"/>
        </w:rPr>
        <w:t>in proportion to use</w:t>
      </w:r>
      <w:r w:rsidR="009F6EF3">
        <w:rPr>
          <w:sz w:val="24"/>
          <w:szCs w:val="24"/>
        </w:rPr>
        <w:t>,</w:t>
      </w:r>
      <w:r w:rsidRPr="00EE3449" w:rsidR="00CD5CEB">
        <w:rPr>
          <w:sz w:val="24"/>
          <w:szCs w:val="24"/>
        </w:rPr>
        <w:t xml:space="preserve"> following methods outlined in </w:t>
      </w:r>
      <w:r w:rsidRPr="003D6F35" w:rsidR="00381FAF">
        <w:rPr>
          <w:i/>
          <w:sz w:val="24"/>
          <w:szCs w:val="24"/>
        </w:rPr>
        <w:t>Survey research and analysis: Applications in parks, recreation and human dimensions</w:t>
      </w:r>
      <w:r w:rsidR="00381FAF">
        <w:rPr>
          <w:rStyle w:val="FootnoteReference"/>
          <w:sz w:val="24"/>
          <w:szCs w:val="24"/>
        </w:rPr>
        <w:footnoteReference w:id="2"/>
      </w:r>
      <w:r w:rsidRPr="003D6F35" w:rsidR="00381FAF">
        <w:rPr>
          <w:sz w:val="24"/>
          <w:szCs w:val="24"/>
        </w:rPr>
        <w:t>.</w:t>
      </w:r>
      <w:r w:rsidRPr="00EE3449" w:rsidR="00381FAF">
        <w:rPr>
          <w:sz w:val="24"/>
          <w:szCs w:val="24"/>
        </w:rPr>
        <w:t xml:space="preserve"> </w:t>
      </w:r>
    </w:p>
    <w:p w:rsidR="00CD5CEB" w:rsidP="00717D82" w:rsidRDefault="00E0464C" w14:paraId="69735E8D" w14:textId="74C395B0">
      <w:pPr>
        <w:pStyle w:val="ListParagraph"/>
        <w:numPr>
          <w:ilvl w:val="0"/>
          <w:numId w:val="3"/>
        </w:numPr>
        <w:rPr>
          <w:sz w:val="24"/>
          <w:szCs w:val="24"/>
        </w:rPr>
      </w:pPr>
      <w:r w:rsidRPr="00EE3449">
        <w:rPr>
          <w:sz w:val="24"/>
          <w:szCs w:val="24"/>
        </w:rPr>
        <w:t>For l</w:t>
      </w:r>
      <w:r w:rsidRPr="00EE3449" w:rsidR="00CD5CEB">
        <w:rPr>
          <w:sz w:val="24"/>
          <w:szCs w:val="24"/>
        </w:rPr>
        <w:t xml:space="preserve">ow </w:t>
      </w:r>
      <w:r w:rsidRPr="00EE3449" w:rsidR="00675263">
        <w:rPr>
          <w:sz w:val="24"/>
          <w:szCs w:val="24"/>
        </w:rPr>
        <w:t>recreation use potential RMZs</w:t>
      </w:r>
      <w:r w:rsidRPr="00EE3449" w:rsidR="00CD5CEB">
        <w:rPr>
          <w:sz w:val="24"/>
          <w:szCs w:val="24"/>
        </w:rPr>
        <w:t>, t</w:t>
      </w:r>
      <w:r w:rsidRPr="00F01581" w:rsidR="00CD5CEB">
        <w:rPr>
          <w:sz w:val="24"/>
          <w:szCs w:val="24"/>
        </w:rPr>
        <w:t xml:space="preserve">he number of </w:t>
      </w:r>
      <w:proofErr w:type="gramStart"/>
      <w:r w:rsidRPr="00F01581" w:rsidR="00CD5CEB">
        <w:rPr>
          <w:sz w:val="24"/>
          <w:szCs w:val="24"/>
        </w:rPr>
        <w:t>time</w:t>
      </w:r>
      <w:proofErr w:type="gramEnd"/>
      <w:r w:rsidRPr="00F01581" w:rsidR="00CD5CEB">
        <w:rPr>
          <w:sz w:val="24"/>
          <w:szCs w:val="24"/>
        </w:rPr>
        <w:t xml:space="preserve"> blocks necessary to </w:t>
      </w:r>
      <w:r w:rsidR="00B95D36">
        <w:rPr>
          <w:sz w:val="24"/>
          <w:szCs w:val="24"/>
        </w:rPr>
        <w:t>sample</w:t>
      </w:r>
      <w:r w:rsidRPr="00F01581" w:rsidR="00CD5CEB">
        <w:rPr>
          <w:sz w:val="24"/>
          <w:szCs w:val="24"/>
        </w:rPr>
        <w:t xml:space="preserve"> </w:t>
      </w:r>
      <w:r w:rsidR="00B95D36">
        <w:rPr>
          <w:sz w:val="24"/>
          <w:szCs w:val="24"/>
        </w:rPr>
        <w:t>106</w:t>
      </w:r>
      <w:r w:rsidRPr="00F01581" w:rsidR="00CD5CEB">
        <w:rPr>
          <w:sz w:val="24"/>
          <w:szCs w:val="24"/>
        </w:rPr>
        <w:t xml:space="preserve"> onsite </w:t>
      </w:r>
      <w:r w:rsidR="00B95D36">
        <w:rPr>
          <w:sz w:val="24"/>
          <w:szCs w:val="24"/>
        </w:rPr>
        <w:t>visitor</w:t>
      </w:r>
      <w:r w:rsidRPr="00F01581" w:rsidR="00CD5CEB">
        <w:rPr>
          <w:sz w:val="24"/>
          <w:szCs w:val="24"/>
        </w:rPr>
        <w:t>s</w:t>
      </w:r>
      <w:r w:rsidRPr="00F01581" w:rsidR="00A47C27">
        <w:rPr>
          <w:sz w:val="24"/>
          <w:szCs w:val="24"/>
        </w:rPr>
        <w:t xml:space="preserve"> will be determined and randomly assigned.  </w:t>
      </w:r>
      <w:r w:rsidRPr="00F01581" w:rsidR="009C43CA">
        <w:rPr>
          <w:sz w:val="24"/>
          <w:szCs w:val="24"/>
        </w:rPr>
        <w:t>Time blocks within the zone will be allocated across weekends and weekdays</w:t>
      </w:r>
      <w:r w:rsidR="009F6EF3">
        <w:rPr>
          <w:sz w:val="24"/>
          <w:szCs w:val="24"/>
        </w:rPr>
        <w:t>,</w:t>
      </w:r>
      <w:r w:rsidRPr="00F01581" w:rsidR="00A47C27">
        <w:rPr>
          <w:sz w:val="24"/>
          <w:szCs w:val="24"/>
        </w:rPr>
        <w:t xml:space="preserve"> in proportion to use</w:t>
      </w:r>
      <w:r w:rsidR="009F6EF3">
        <w:rPr>
          <w:sz w:val="24"/>
          <w:szCs w:val="24"/>
        </w:rPr>
        <w:t>,</w:t>
      </w:r>
      <w:r w:rsidRPr="00F01581" w:rsidR="00A47C27">
        <w:rPr>
          <w:sz w:val="24"/>
          <w:szCs w:val="24"/>
        </w:rPr>
        <w:t xml:space="preserve"> following methods outlined in</w:t>
      </w:r>
      <w:r w:rsidR="00381FAF">
        <w:rPr>
          <w:sz w:val="24"/>
          <w:szCs w:val="24"/>
        </w:rPr>
        <w:t xml:space="preserve"> </w:t>
      </w:r>
      <w:r w:rsidRPr="003D6F35" w:rsidR="00381FAF">
        <w:rPr>
          <w:i/>
          <w:sz w:val="24"/>
          <w:szCs w:val="24"/>
        </w:rPr>
        <w:t>Survey research and analysis: Applications in parks, recreati</w:t>
      </w:r>
      <w:r w:rsidR="00381FAF">
        <w:rPr>
          <w:i/>
          <w:sz w:val="24"/>
          <w:szCs w:val="24"/>
        </w:rPr>
        <w:t>on and human dimension</w:t>
      </w:r>
      <w:r w:rsidR="00381FAF">
        <w:rPr>
          <w:sz w:val="24"/>
          <w:szCs w:val="24"/>
        </w:rPr>
        <w:t>s</w:t>
      </w:r>
      <w:r w:rsidRPr="00381FAF" w:rsidR="00381FAF">
        <w:rPr>
          <w:sz w:val="24"/>
          <w:szCs w:val="24"/>
          <w:vertAlign w:val="superscript"/>
        </w:rPr>
        <w:t>2</w:t>
      </w:r>
      <w:r w:rsidR="00381FAF">
        <w:rPr>
          <w:sz w:val="24"/>
          <w:szCs w:val="24"/>
        </w:rPr>
        <w:t>.</w:t>
      </w:r>
      <w:r w:rsidRPr="00F01581" w:rsidR="00CD5CEB">
        <w:rPr>
          <w:sz w:val="24"/>
          <w:szCs w:val="24"/>
        </w:rPr>
        <w:t xml:space="preserve"> </w:t>
      </w:r>
    </w:p>
    <w:p w:rsidRPr="00F01581" w:rsidR="00F61ABD" w:rsidP="00F604F0" w:rsidRDefault="00F61ABD" w14:paraId="623F5EA4" w14:textId="77777777">
      <w:pPr>
        <w:pStyle w:val="ListParagraph"/>
        <w:rPr>
          <w:sz w:val="24"/>
          <w:szCs w:val="24"/>
        </w:rPr>
      </w:pPr>
    </w:p>
    <w:p w:rsidRPr="00F01581" w:rsidR="009C43CA" w:rsidP="009C43CA" w:rsidRDefault="009C43CA" w14:paraId="313AE7CE" w14:textId="10CF644E">
      <w:pPr>
        <w:rPr>
          <w:sz w:val="24"/>
          <w:szCs w:val="24"/>
        </w:rPr>
      </w:pPr>
      <w:r w:rsidRPr="00F01581">
        <w:rPr>
          <w:sz w:val="24"/>
          <w:szCs w:val="24"/>
        </w:rPr>
        <w:t xml:space="preserve">A completely random sample (e.g., assigning a number to each possible time block at each sample location and randomly selecting numbers) </w:t>
      </w:r>
      <w:r w:rsidRPr="00F01581" w:rsidR="0000248D">
        <w:rPr>
          <w:sz w:val="24"/>
          <w:szCs w:val="24"/>
        </w:rPr>
        <w:t xml:space="preserve">would result in several sample locations being selected at the same time. </w:t>
      </w:r>
      <w:r w:rsidR="00E0464C">
        <w:rPr>
          <w:sz w:val="24"/>
          <w:szCs w:val="24"/>
        </w:rPr>
        <w:t xml:space="preserve"> </w:t>
      </w:r>
      <w:r w:rsidRPr="00F01581" w:rsidR="0000248D">
        <w:rPr>
          <w:sz w:val="24"/>
          <w:szCs w:val="24"/>
        </w:rPr>
        <w:t>Accounting for the unique characteristics of each site, a sampling plan</w:t>
      </w:r>
      <w:r w:rsidR="00515BC7">
        <w:rPr>
          <w:sz w:val="24"/>
          <w:szCs w:val="24"/>
        </w:rPr>
        <w:t xml:space="preserve"> will be designed</w:t>
      </w:r>
      <w:r w:rsidRPr="00F01581" w:rsidR="0000248D">
        <w:rPr>
          <w:sz w:val="24"/>
          <w:szCs w:val="24"/>
        </w:rPr>
        <w:t xml:space="preserve"> that will allow some element of random selection, </w:t>
      </w:r>
      <w:r w:rsidR="00515BC7">
        <w:rPr>
          <w:sz w:val="24"/>
          <w:szCs w:val="24"/>
        </w:rPr>
        <w:t>as well as</w:t>
      </w:r>
      <w:r w:rsidRPr="00F01581" w:rsidR="001C540D">
        <w:rPr>
          <w:sz w:val="24"/>
          <w:szCs w:val="24"/>
        </w:rPr>
        <w:t xml:space="preserve"> </w:t>
      </w:r>
      <w:r w:rsidRPr="00F01581" w:rsidR="0000248D">
        <w:rPr>
          <w:sz w:val="24"/>
          <w:szCs w:val="24"/>
        </w:rPr>
        <w:t>mitigate the excessive staff, time and financial resources that would be required to produce a completely random sample</w:t>
      </w:r>
      <w:r w:rsidRPr="00F01581" w:rsidR="0085789B">
        <w:rPr>
          <w:sz w:val="24"/>
          <w:szCs w:val="24"/>
        </w:rPr>
        <w:t>.</w:t>
      </w:r>
      <w:r w:rsidRPr="00F01581" w:rsidR="0000248D">
        <w:rPr>
          <w:sz w:val="24"/>
          <w:szCs w:val="24"/>
        </w:rPr>
        <w:t xml:space="preserve"> </w:t>
      </w:r>
      <w:r w:rsidRPr="00F01581" w:rsidR="0085789B">
        <w:rPr>
          <w:sz w:val="24"/>
          <w:szCs w:val="24"/>
        </w:rPr>
        <w:t xml:space="preserve"> </w:t>
      </w:r>
      <w:r w:rsidRPr="00F01581" w:rsidR="0000248D">
        <w:rPr>
          <w:sz w:val="24"/>
          <w:szCs w:val="24"/>
        </w:rPr>
        <w:t xml:space="preserve">For example, if sampling locations are nearby the community where the surveyors reside, we would randomly select days to be sampled, then </w:t>
      </w:r>
      <w:r w:rsidRPr="00F01581" w:rsidR="0085789B">
        <w:rPr>
          <w:sz w:val="24"/>
          <w:szCs w:val="24"/>
        </w:rPr>
        <w:t xml:space="preserve">randomly select the locations to be sampled (based on available surveyor resources).  If sampling locations are remote and/or located a long distance from each other, requiring a multi-day trip to sample, trips based on logical travel patterns </w:t>
      </w:r>
      <w:r w:rsidR="009F6EF3">
        <w:rPr>
          <w:sz w:val="24"/>
          <w:szCs w:val="24"/>
        </w:rPr>
        <w:t>would</w:t>
      </w:r>
      <w:r w:rsidRPr="00F01581" w:rsidR="009F6EF3">
        <w:rPr>
          <w:sz w:val="24"/>
          <w:szCs w:val="24"/>
        </w:rPr>
        <w:t xml:space="preserve"> </w:t>
      </w:r>
      <w:r w:rsidRPr="00F01581" w:rsidR="0085789B">
        <w:rPr>
          <w:sz w:val="24"/>
          <w:szCs w:val="24"/>
        </w:rPr>
        <w:t>be developed with order of sampling locations within any trip randomized along with the starting day of the trip</w:t>
      </w:r>
      <w:proofErr w:type="gramStart"/>
      <w:r w:rsidRPr="00F01581" w:rsidR="0085789B">
        <w:rPr>
          <w:sz w:val="24"/>
          <w:szCs w:val="24"/>
        </w:rPr>
        <w:t xml:space="preserve">.  </w:t>
      </w:r>
      <w:proofErr w:type="gramEnd"/>
    </w:p>
    <w:p w:rsidRPr="00F01581" w:rsidR="009C43CA" w:rsidP="009C43CA" w:rsidRDefault="009C43CA" w14:paraId="3BDB8B66" w14:textId="77777777">
      <w:pPr>
        <w:rPr>
          <w:sz w:val="24"/>
          <w:szCs w:val="24"/>
        </w:rPr>
      </w:pPr>
    </w:p>
    <w:p w:rsidR="00E0464C" w:rsidP="00A47C27" w:rsidRDefault="00E0464C" w14:paraId="7AE2048A" w14:textId="365AFBDD">
      <w:pPr>
        <w:rPr>
          <w:sz w:val="24"/>
          <w:szCs w:val="24"/>
        </w:rPr>
      </w:pPr>
      <w:r>
        <w:rPr>
          <w:sz w:val="24"/>
          <w:szCs w:val="24"/>
        </w:rPr>
        <w:lastRenderedPageBreak/>
        <w:t xml:space="preserve">The onsite survey is designed to be completed by visitors entering or exiting the site.  During the onsite sampling, if a group </w:t>
      </w:r>
      <w:r w:rsidR="00B95D36">
        <w:rPr>
          <w:sz w:val="24"/>
          <w:szCs w:val="24"/>
        </w:rPr>
        <w:t xml:space="preserve">(as opposed to a single visitor) </w:t>
      </w:r>
      <w:r>
        <w:rPr>
          <w:sz w:val="24"/>
          <w:szCs w:val="24"/>
        </w:rPr>
        <w:t>is entering/exiting, the interviewer will request the person with most recent birthday complete the survey.  This will allow for randomization within groups.</w:t>
      </w:r>
      <w:r w:rsidR="00B95D36">
        <w:rPr>
          <w:sz w:val="24"/>
          <w:szCs w:val="24"/>
        </w:rPr>
        <w:t xml:space="preserve">  </w:t>
      </w:r>
      <w:r w:rsidRPr="00EE3449" w:rsidR="00B95D36">
        <w:rPr>
          <w:sz w:val="24"/>
          <w:szCs w:val="24"/>
        </w:rPr>
        <w:t xml:space="preserve">For low use zones, each visiting group will be sampled, at high use zones every third visitor (or visiting group) will be sampled, with the first visitor/group determined by a randomly selected number between </w:t>
      </w:r>
      <w:r w:rsidR="00515BC7">
        <w:rPr>
          <w:sz w:val="24"/>
          <w:szCs w:val="24"/>
        </w:rPr>
        <w:t>1</w:t>
      </w:r>
      <w:r w:rsidRPr="00EE3449" w:rsidR="00B95D36">
        <w:rPr>
          <w:sz w:val="24"/>
          <w:szCs w:val="24"/>
        </w:rPr>
        <w:t xml:space="preserve"> and </w:t>
      </w:r>
      <w:r w:rsidR="00515BC7">
        <w:rPr>
          <w:sz w:val="24"/>
          <w:szCs w:val="24"/>
        </w:rPr>
        <w:t>10</w:t>
      </w:r>
      <w:r w:rsidRPr="00EE3449" w:rsidR="00B95D36">
        <w:rPr>
          <w:sz w:val="24"/>
          <w:szCs w:val="24"/>
        </w:rPr>
        <w:t>.</w:t>
      </w:r>
      <w:r>
        <w:rPr>
          <w:sz w:val="24"/>
          <w:szCs w:val="24"/>
        </w:rPr>
        <w:t xml:space="preserve"> </w:t>
      </w:r>
    </w:p>
    <w:p w:rsidRPr="00F01581" w:rsidR="00E0464C" w:rsidP="00A47C27" w:rsidRDefault="00E0464C" w14:paraId="4BD51C0A" w14:textId="77777777">
      <w:pPr>
        <w:rPr>
          <w:sz w:val="24"/>
          <w:szCs w:val="24"/>
        </w:rPr>
      </w:pPr>
    </w:p>
    <w:p w:rsidRPr="00F01581" w:rsidR="00002563" w:rsidP="002E26BF" w:rsidRDefault="0022487C" w14:paraId="7F87AB83" w14:textId="47C7A40D">
      <w:pPr>
        <w:rPr>
          <w:b/>
          <w:i/>
          <w:sz w:val="24"/>
          <w:szCs w:val="24"/>
        </w:rPr>
      </w:pPr>
      <w:r w:rsidRPr="00F01581">
        <w:rPr>
          <w:b/>
          <w:i/>
          <w:sz w:val="24"/>
          <w:szCs w:val="24"/>
        </w:rPr>
        <w:t>F</w:t>
      </w:r>
      <w:r w:rsidRPr="00F01581" w:rsidR="003D6B8F">
        <w:rPr>
          <w:b/>
          <w:i/>
          <w:sz w:val="24"/>
          <w:szCs w:val="24"/>
        </w:rPr>
        <w:t xml:space="preserve">ocus </w:t>
      </w:r>
      <w:r w:rsidRPr="00F01581">
        <w:rPr>
          <w:b/>
          <w:i/>
          <w:sz w:val="24"/>
          <w:szCs w:val="24"/>
        </w:rPr>
        <w:t>G</w:t>
      </w:r>
      <w:r w:rsidRPr="00F01581" w:rsidR="003D6B8F">
        <w:rPr>
          <w:b/>
          <w:i/>
          <w:sz w:val="24"/>
          <w:szCs w:val="24"/>
        </w:rPr>
        <w:t>roups</w:t>
      </w:r>
    </w:p>
    <w:p w:rsidRPr="00F01581" w:rsidR="003D6B8F" w:rsidP="002E26BF" w:rsidRDefault="003D6B8F" w14:paraId="71CB2AE1" w14:textId="7F47CFDC">
      <w:pPr>
        <w:rPr>
          <w:sz w:val="24"/>
          <w:szCs w:val="24"/>
        </w:rPr>
      </w:pPr>
      <w:r w:rsidRPr="00F01581">
        <w:rPr>
          <w:sz w:val="24"/>
          <w:szCs w:val="24"/>
        </w:rPr>
        <w:t>As a random sample is not the goal of the focus groups, participants would be solicited through a variety of methods including agency lists of key stakeholder groups; outreach to BLM partners;</w:t>
      </w:r>
      <w:r w:rsidR="0048703A">
        <w:rPr>
          <w:sz w:val="24"/>
          <w:szCs w:val="24"/>
        </w:rPr>
        <w:t xml:space="preserve"> outreach to leaders or organizations within underserved communities;</w:t>
      </w:r>
      <w:r w:rsidRPr="00F01581">
        <w:rPr>
          <w:sz w:val="24"/>
          <w:szCs w:val="24"/>
        </w:rPr>
        <w:t xml:space="preserve"> BLM field office websites; flyers at visitor centers, information kiosks, BLM offices, public spaces of gateway communities, and local hotels and restaurants; and local newspaper</w:t>
      </w:r>
      <w:r w:rsidR="00515BC7">
        <w:rPr>
          <w:sz w:val="24"/>
          <w:szCs w:val="24"/>
        </w:rPr>
        <w:t>(s)</w:t>
      </w:r>
      <w:r w:rsidRPr="00F01581">
        <w:rPr>
          <w:sz w:val="24"/>
          <w:szCs w:val="24"/>
        </w:rPr>
        <w:t xml:space="preserve">.  While the focus groups are not intended to </w:t>
      </w:r>
      <w:r w:rsidRPr="00F01581" w:rsidR="007016EF">
        <w:rPr>
          <w:sz w:val="24"/>
          <w:szCs w:val="24"/>
        </w:rPr>
        <w:t xml:space="preserve">provide data that represent the population with a specific margin of error (e.g., +/- 5%), a diversity of participants is desired.  </w:t>
      </w:r>
      <w:proofErr w:type="gramStart"/>
      <w:r w:rsidRPr="00F01581" w:rsidR="007016EF">
        <w:rPr>
          <w:sz w:val="24"/>
          <w:szCs w:val="24"/>
        </w:rPr>
        <w:t>Thus</w:t>
      </w:r>
      <w:proofErr w:type="gramEnd"/>
      <w:r w:rsidRPr="00F01581" w:rsidR="007016EF">
        <w:rPr>
          <w:sz w:val="24"/>
          <w:szCs w:val="24"/>
        </w:rPr>
        <w:t xml:space="preserve"> we will ensure the above advertisements reach a diversity of relevant individuals and/or groups.  In addition, the focus </w:t>
      </w:r>
      <w:r w:rsidR="0048703A">
        <w:rPr>
          <w:sz w:val="24"/>
          <w:szCs w:val="24"/>
        </w:rPr>
        <w:t xml:space="preserve">groups </w:t>
      </w:r>
      <w:r w:rsidRPr="00F01581" w:rsidR="007016EF">
        <w:rPr>
          <w:sz w:val="24"/>
          <w:szCs w:val="24"/>
        </w:rPr>
        <w:t>will include question</w:t>
      </w:r>
      <w:r w:rsidR="0048703A">
        <w:rPr>
          <w:sz w:val="24"/>
          <w:szCs w:val="24"/>
        </w:rPr>
        <w:t>s</w:t>
      </w:r>
      <w:r w:rsidRPr="00F01581" w:rsidR="007016EF">
        <w:rPr>
          <w:sz w:val="24"/>
          <w:szCs w:val="24"/>
        </w:rPr>
        <w:t xml:space="preserve"> to measure participant affiliation</w:t>
      </w:r>
      <w:r w:rsidR="0048703A">
        <w:rPr>
          <w:sz w:val="24"/>
          <w:szCs w:val="24"/>
        </w:rPr>
        <w:t xml:space="preserve"> and other characteristics (e.g., demographics), </w:t>
      </w:r>
      <w:r w:rsidRPr="00F01581" w:rsidR="007016EF">
        <w:rPr>
          <w:sz w:val="24"/>
          <w:szCs w:val="24"/>
        </w:rPr>
        <w:t>providing a measure of diversity</w:t>
      </w:r>
      <w:proofErr w:type="gramStart"/>
      <w:r w:rsidRPr="00F01581" w:rsidR="007016EF">
        <w:rPr>
          <w:sz w:val="24"/>
          <w:szCs w:val="24"/>
        </w:rPr>
        <w:t xml:space="preserve">.  </w:t>
      </w:r>
      <w:proofErr w:type="gramEnd"/>
    </w:p>
    <w:p w:rsidRPr="00F01581" w:rsidR="003D6B8F" w:rsidP="002E26BF" w:rsidRDefault="003D6B8F" w14:paraId="1A38F48C" w14:textId="77777777">
      <w:pPr>
        <w:rPr>
          <w:sz w:val="24"/>
          <w:szCs w:val="24"/>
        </w:rPr>
      </w:pPr>
    </w:p>
    <w:p w:rsidRPr="00F01581" w:rsidR="00C26A65" w:rsidP="002E26BF" w:rsidRDefault="00C26A65" w14:paraId="1EEDBE3B" w14:textId="00FE2EBA">
      <w:pPr>
        <w:rPr>
          <w:b/>
          <w:i/>
          <w:sz w:val="24"/>
          <w:szCs w:val="24"/>
        </w:rPr>
      </w:pPr>
      <w:r w:rsidRPr="00F01581">
        <w:rPr>
          <w:b/>
          <w:i/>
          <w:sz w:val="24"/>
          <w:szCs w:val="24"/>
        </w:rPr>
        <w:t xml:space="preserve">Less Frequent </w:t>
      </w:r>
      <w:r w:rsidR="00766971">
        <w:rPr>
          <w:b/>
          <w:i/>
          <w:sz w:val="24"/>
          <w:szCs w:val="24"/>
        </w:rPr>
        <w:t>T</w:t>
      </w:r>
      <w:r w:rsidRPr="00F01581">
        <w:rPr>
          <w:b/>
          <w:i/>
          <w:sz w:val="24"/>
          <w:szCs w:val="24"/>
        </w:rPr>
        <w:t>han Annual Data Collection</w:t>
      </w:r>
    </w:p>
    <w:p w:rsidRPr="00F01581" w:rsidR="00C26A65" w:rsidP="002E26BF" w:rsidRDefault="00515BC7" w14:paraId="37436BBA" w14:textId="3D51C39F">
      <w:pPr>
        <w:rPr>
          <w:sz w:val="24"/>
          <w:szCs w:val="24"/>
        </w:rPr>
      </w:pPr>
      <w:r>
        <w:rPr>
          <w:sz w:val="24"/>
          <w:szCs w:val="24"/>
        </w:rPr>
        <w:t xml:space="preserve">The </w:t>
      </w:r>
      <w:r w:rsidRPr="00F01581" w:rsidR="00C01008">
        <w:rPr>
          <w:sz w:val="24"/>
          <w:szCs w:val="24"/>
        </w:rPr>
        <w:t>information</w:t>
      </w:r>
      <w:r>
        <w:rPr>
          <w:sz w:val="24"/>
          <w:szCs w:val="24"/>
        </w:rPr>
        <w:t xml:space="preserve"> collected</w:t>
      </w:r>
      <w:r w:rsidRPr="00F01581" w:rsidR="00C01008">
        <w:rPr>
          <w:sz w:val="24"/>
          <w:szCs w:val="24"/>
        </w:rPr>
        <w:t xml:space="preserve"> is required as part of the BLM’s land use planning process.  Specifically, information is required prior to the development of a </w:t>
      </w:r>
      <w:r w:rsidR="0048703A">
        <w:rPr>
          <w:sz w:val="24"/>
          <w:szCs w:val="24"/>
        </w:rPr>
        <w:t>Land Use Plan (</w:t>
      </w:r>
      <w:r w:rsidRPr="00F01581" w:rsidR="006204B1">
        <w:rPr>
          <w:sz w:val="24"/>
          <w:szCs w:val="24"/>
        </w:rPr>
        <w:t>LUP</w:t>
      </w:r>
      <w:r w:rsidR="0048703A">
        <w:rPr>
          <w:sz w:val="24"/>
          <w:szCs w:val="24"/>
        </w:rPr>
        <w:t>)</w:t>
      </w:r>
      <w:r w:rsidRPr="00F01581" w:rsidR="00C01008">
        <w:rPr>
          <w:sz w:val="24"/>
          <w:szCs w:val="24"/>
        </w:rPr>
        <w:t xml:space="preserve"> and after the plan is complete to monitor conditions specified in the L</w:t>
      </w:r>
      <w:r w:rsidRPr="00F01581" w:rsidR="006204B1">
        <w:rPr>
          <w:sz w:val="24"/>
          <w:szCs w:val="24"/>
        </w:rPr>
        <w:t>UP</w:t>
      </w:r>
      <w:r w:rsidRPr="00F01581" w:rsidR="00C01008">
        <w:rPr>
          <w:sz w:val="24"/>
          <w:szCs w:val="24"/>
        </w:rPr>
        <w:t xml:space="preserve">.  </w:t>
      </w:r>
      <w:r w:rsidRPr="00F01581" w:rsidR="006204B1">
        <w:rPr>
          <w:sz w:val="24"/>
          <w:szCs w:val="24"/>
        </w:rPr>
        <w:t xml:space="preserve">The post-LUP survey will be conducted with the maximum time interval to monitor </w:t>
      </w:r>
      <w:proofErr w:type="gramStart"/>
      <w:r w:rsidRPr="00F01581" w:rsidR="006204B1">
        <w:rPr>
          <w:sz w:val="24"/>
          <w:szCs w:val="24"/>
        </w:rPr>
        <w:t>condition</w:t>
      </w:r>
      <w:r w:rsidR="00E0464C">
        <w:rPr>
          <w:sz w:val="24"/>
          <w:szCs w:val="24"/>
        </w:rPr>
        <w:t>s</w:t>
      </w:r>
      <w:r w:rsidRPr="00F01581" w:rsidR="006204B1">
        <w:rPr>
          <w:sz w:val="24"/>
          <w:szCs w:val="24"/>
        </w:rPr>
        <w:t>, and</w:t>
      </w:r>
      <w:proofErr w:type="gramEnd"/>
      <w:r w:rsidRPr="00F01581" w:rsidR="006204B1">
        <w:rPr>
          <w:sz w:val="24"/>
          <w:szCs w:val="24"/>
        </w:rPr>
        <w:t xml:space="preserve"> </w:t>
      </w:r>
      <w:r w:rsidR="00F229D5">
        <w:rPr>
          <w:sz w:val="24"/>
          <w:szCs w:val="24"/>
        </w:rPr>
        <w:t>will</w:t>
      </w:r>
      <w:r w:rsidRPr="00F01581" w:rsidR="006204B1">
        <w:rPr>
          <w:sz w:val="24"/>
          <w:szCs w:val="24"/>
        </w:rPr>
        <w:t xml:space="preserve"> include only the questions necessary to monitor conditions specified in the LUP.</w:t>
      </w:r>
    </w:p>
    <w:p w:rsidRPr="00F01581" w:rsidR="00002563" w:rsidP="002E26BF" w:rsidRDefault="00002563" w14:paraId="2FF1C36D" w14:textId="77777777">
      <w:pPr>
        <w:rPr>
          <w:sz w:val="24"/>
          <w:szCs w:val="24"/>
        </w:rPr>
      </w:pPr>
    </w:p>
    <w:p w:rsidRPr="00F01581" w:rsidR="00300594" w:rsidP="002E26BF" w:rsidRDefault="00300594" w14:paraId="1545BC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01581">
        <w:rPr>
          <w:b/>
          <w:sz w:val="24"/>
          <w:szCs w:val="24"/>
        </w:rPr>
        <w:t>3.</w:t>
      </w:r>
      <w:r w:rsidRPr="00F01581">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F01581" w:rsidR="00300594" w:rsidP="002E26BF" w:rsidRDefault="00300594" w14:paraId="2F597D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F01581" w:rsidR="0022487C" w:rsidP="002E26BF" w:rsidRDefault="0022487C" w14:paraId="22631DC5" w14:textId="5C69E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01581">
        <w:rPr>
          <w:sz w:val="24"/>
          <w:szCs w:val="24"/>
        </w:rPr>
        <w:t>To maximize response rates and deal with nonresponse bias, the following steps will be taken.</w:t>
      </w:r>
    </w:p>
    <w:p w:rsidRPr="00F01581" w:rsidR="00F01581" w:rsidP="002E26BF" w:rsidRDefault="00F01581" w14:paraId="408C15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F01581" w:rsidR="008D538A" w:rsidP="008D538A" w:rsidRDefault="008D538A" w14:paraId="6EE5A234" w14:textId="6A5D51EC">
      <w:pPr>
        <w:widowControl/>
        <w:rPr>
          <w:b/>
          <w:i/>
          <w:sz w:val="24"/>
          <w:szCs w:val="24"/>
        </w:rPr>
      </w:pPr>
      <w:r w:rsidRPr="00F01581">
        <w:rPr>
          <w:b/>
          <w:i/>
          <w:sz w:val="24"/>
          <w:szCs w:val="24"/>
        </w:rPr>
        <w:t xml:space="preserve">Training for </w:t>
      </w:r>
      <w:r w:rsidR="00E0464C">
        <w:rPr>
          <w:b/>
          <w:i/>
          <w:sz w:val="24"/>
          <w:szCs w:val="24"/>
        </w:rPr>
        <w:t>P</w:t>
      </w:r>
      <w:r w:rsidRPr="00F01581">
        <w:rPr>
          <w:b/>
          <w:i/>
          <w:sz w:val="24"/>
          <w:szCs w:val="24"/>
        </w:rPr>
        <w:t xml:space="preserve">ersonnel </w:t>
      </w:r>
      <w:r w:rsidR="0061357B">
        <w:rPr>
          <w:b/>
          <w:i/>
          <w:sz w:val="24"/>
          <w:szCs w:val="24"/>
        </w:rPr>
        <w:t>W</w:t>
      </w:r>
      <w:r w:rsidRPr="00F01581">
        <w:rPr>
          <w:b/>
          <w:i/>
          <w:sz w:val="24"/>
          <w:szCs w:val="24"/>
        </w:rPr>
        <w:t xml:space="preserve">ho </w:t>
      </w:r>
      <w:r w:rsidR="0061357B">
        <w:rPr>
          <w:b/>
          <w:i/>
          <w:sz w:val="24"/>
          <w:szCs w:val="24"/>
        </w:rPr>
        <w:t>W</w:t>
      </w:r>
      <w:r w:rsidRPr="00F01581">
        <w:rPr>
          <w:b/>
          <w:i/>
          <w:sz w:val="24"/>
          <w:szCs w:val="24"/>
        </w:rPr>
        <w:t xml:space="preserve">ill </w:t>
      </w:r>
      <w:r w:rsidR="00E0464C">
        <w:rPr>
          <w:b/>
          <w:i/>
          <w:sz w:val="24"/>
          <w:szCs w:val="24"/>
        </w:rPr>
        <w:t>A</w:t>
      </w:r>
      <w:r w:rsidRPr="00F01581">
        <w:rPr>
          <w:b/>
          <w:i/>
          <w:sz w:val="24"/>
          <w:szCs w:val="24"/>
        </w:rPr>
        <w:t xml:space="preserve">dminister </w:t>
      </w:r>
      <w:r w:rsidR="00E0464C">
        <w:rPr>
          <w:b/>
          <w:i/>
          <w:sz w:val="24"/>
          <w:szCs w:val="24"/>
        </w:rPr>
        <w:t>O</w:t>
      </w:r>
      <w:r w:rsidRPr="00F01581">
        <w:rPr>
          <w:b/>
          <w:i/>
          <w:sz w:val="24"/>
          <w:szCs w:val="24"/>
        </w:rPr>
        <w:t xml:space="preserve">nsite </w:t>
      </w:r>
      <w:r w:rsidR="00E0464C">
        <w:rPr>
          <w:b/>
          <w:i/>
          <w:sz w:val="24"/>
          <w:szCs w:val="24"/>
        </w:rPr>
        <w:t>S</w:t>
      </w:r>
      <w:r w:rsidRPr="00F01581">
        <w:rPr>
          <w:b/>
          <w:i/>
          <w:sz w:val="24"/>
          <w:szCs w:val="24"/>
        </w:rPr>
        <w:t>urvey</w:t>
      </w:r>
    </w:p>
    <w:p w:rsidRPr="00F01581" w:rsidR="008D538A" w:rsidP="008D538A" w:rsidRDefault="008D538A" w14:paraId="015B7366" w14:textId="191CB2AA">
      <w:pPr>
        <w:rPr>
          <w:sz w:val="24"/>
          <w:szCs w:val="24"/>
        </w:rPr>
      </w:pPr>
      <w:r w:rsidRPr="00F01581">
        <w:rPr>
          <w:sz w:val="24"/>
          <w:szCs w:val="24"/>
        </w:rPr>
        <w:t>In order to maximize the onsite survey response rate, field researchers will go through extensive training</w:t>
      </w:r>
      <w:proofErr w:type="gramStart"/>
      <w:r w:rsidRPr="00F01581">
        <w:rPr>
          <w:sz w:val="24"/>
          <w:szCs w:val="24"/>
        </w:rPr>
        <w:t xml:space="preserve">. </w:t>
      </w:r>
      <w:r w:rsidR="0061357B">
        <w:rPr>
          <w:sz w:val="24"/>
          <w:szCs w:val="24"/>
        </w:rPr>
        <w:t xml:space="preserve"> </w:t>
      </w:r>
      <w:proofErr w:type="gramEnd"/>
      <w:r w:rsidRPr="00F01581">
        <w:rPr>
          <w:sz w:val="24"/>
          <w:szCs w:val="24"/>
        </w:rPr>
        <w:t>The survey personnel who administer the onsite survey will be trained prior to working in the field by the lead researcher</w:t>
      </w:r>
      <w:proofErr w:type="gramStart"/>
      <w:r w:rsidRPr="00F01581">
        <w:rPr>
          <w:sz w:val="24"/>
          <w:szCs w:val="24"/>
        </w:rPr>
        <w:t>.</w:t>
      </w:r>
      <w:r w:rsidRPr="00F01581" w:rsidR="0022487C">
        <w:rPr>
          <w:sz w:val="24"/>
          <w:szCs w:val="24"/>
        </w:rPr>
        <w:t xml:space="preserve"> </w:t>
      </w:r>
      <w:r w:rsidRPr="00F01581">
        <w:rPr>
          <w:sz w:val="24"/>
          <w:szCs w:val="24"/>
        </w:rPr>
        <w:t xml:space="preserve"> </w:t>
      </w:r>
      <w:proofErr w:type="gramEnd"/>
      <w:r w:rsidRPr="00F01581">
        <w:rPr>
          <w:sz w:val="24"/>
          <w:szCs w:val="24"/>
        </w:rPr>
        <w:t xml:space="preserve">The training </w:t>
      </w:r>
      <w:r w:rsidRPr="00F01581" w:rsidR="0022487C">
        <w:rPr>
          <w:sz w:val="24"/>
          <w:szCs w:val="24"/>
        </w:rPr>
        <w:t xml:space="preserve">will </w:t>
      </w:r>
      <w:r w:rsidRPr="00F01581">
        <w:rPr>
          <w:sz w:val="24"/>
          <w:szCs w:val="24"/>
        </w:rPr>
        <w:t>address the following topics and exercises:</w:t>
      </w:r>
    </w:p>
    <w:p w:rsidRPr="00F01581" w:rsidR="008D538A" w:rsidP="001C540D" w:rsidRDefault="008D538A" w14:paraId="7B06A57E" w14:textId="2374C9D4">
      <w:pPr>
        <w:pStyle w:val="BodyTextIndent"/>
        <w:widowControl/>
        <w:numPr>
          <w:ilvl w:val="0"/>
          <w:numId w:val="2"/>
        </w:numPr>
        <w:autoSpaceDE/>
        <w:autoSpaceDN/>
        <w:adjustRightInd/>
        <w:spacing w:after="0"/>
        <w:ind w:left="720"/>
        <w:rPr>
          <w:sz w:val="24"/>
          <w:szCs w:val="24"/>
        </w:rPr>
      </w:pPr>
      <w:r w:rsidRPr="00F01581">
        <w:rPr>
          <w:sz w:val="24"/>
          <w:szCs w:val="24"/>
        </w:rPr>
        <w:t>A basic orientation to the study purpose including the unique study objectives from the planning, marketing</w:t>
      </w:r>
      <w:r w:rsidR="0061357B">
        <w:rPr>
          <w:sz w:val="24"/>
          <w:szCs w:val="24"/>
        </w:rPr>
        <w:t>,</w:t>
      </w:r>
      <w:r w:rsidRPr="00F01581">
        <w:rPr>
          <w:sz w:val="24"/>
          <w:szCs w:val="24"/>
        </w:rPr>
        <w:t xml:space="preserve"> and operations perspectives;</w:t>
      </w:r>
    </w:p>
    <w:p w:rsidRPr="00F01581" w:rsidR="008D538A" w:rsidP="001C540D" w:rsidRDefault="008D538A" w14:paraId="4C901E88" w14:textId="77777777">
      <w:pPr>
        <w:widowControl/>
        <w:numPr>
          <w:ilvl w:val="0"/>
          <w:numId w:val="2"/>
        </w:numPr>
        <w:autoSpaceDE/>
        <w:autoSpaceDN/>
        <w:adjustRightInd/>
        <w:ind w:left="720"/>
        <w:rPr>
          <w:sz w:val="24"/>
          <w:szCs w:val="24"/>
        </w:rPr>
      </w:pPr>
      <w:r w:rsidRPr="00F01581">
        <w:rPr>
          <w:sz w:val="24"/>
          <w:szCs w:val="24"/>
        </w:rPr>
        <w:t>A basic orientation to sampling theory and the need for randomness;</w:t>
      </w:r>
    </w:p>
    <w:p w:rsidRPr="00F01581" w:rsidR="008D538A" w:rsidP="001C540D" w:rsidRDefault="008D538A" w14:paraId="498327B5" w14:textId="595E8CEB">
      <w:pPr>
        <w:widowControl/>
        <w:numPr>
          <w:ilvl w:val="0"/>
          <w:numId w:val="2"/>
        </w:numPr>
        <w:autoSpaceDE/>
        <w:autoSpaceDN/>
        <w:adjustRightInd/>
        <w:ind w:left="720"/>
        <w:rPr>
          <w:sz w:val="24"/>
          <w:szCs w:val="24"/>
        </w:rPr>
      </w:pPr>
      <w:r w:rsidRPr="00F01581">
        <w:rPr>
          <w:sz w:val="24"/>
          <w:szCs w:val="24"/>
        </w:rPr>
        <w:t>An overall review of the study methodology and sampling strategy.  Discussion of the weekend and weekday sampling strategy, sample times, and respondent selection process;</w:t>
      </w:r>
    </w:p>
    <w:p w:rsidRPr="00F01581" w:rsidR="008D538A" w:rsidP="001C540D" w:rsidRDefault="008D538A" w14:paraId="0AFC5D0F" w14:textId="7CFED4C2">
      <w:pPr>
        <w:widowControl/>
        <w:numPr>
          <w:ilvl w:val="0"/>
          <w:numId w:val="2"/>
        </w:numPr>
        <w:autoSpaceDE/>
        <w:autoSpaceDN/>
        <w:adjustRightInd/>
        <w:ind w:left="720"/>
        <w:rPr>
          <w:sz w:val="24"/>
          <w:szCs w:val="24"/>
        </w:rPr>
      </w:pPr>
      <w:r w:rsidRPr="00F01581">
        <w:rPr>
          <w:sz w:val="24"/>
          <w:szCs w:val="24"/>
        </w:rPr>
        <w:lastRenderedPageBreak/>
        <w:t xml:space="preserve">An orientation to the onsite survey instrument, proper administration and completion procedures, and the subsequent </w:t>
      </w:r>
      <w:r w:rsidR="0061357B">
        <w:rPr>
          <w:sz w:val="24"/>
          <w:szCs w:val="24"/>
        </w:rPr>
        <w:t>follow-up</w:t>
      </w:r>
      <w:r w:rsidRPr="00F01581" w:rsidR="0061357B">
        <w:rPr>
          <w:sz w:val="24"/>
          <w:szCs w:val="24"/>
        </w:rPr>
        <w:t xml:space="preserve"> </w:t>
      </w:r>
      <w:r w:rsidRPr="00F01581">
        <w:rPr>
          <w:sz w:val="24"/>
          <w:szCs w:val="24"/>
        </w:rPr>
        <w:t>survey;</w:t>
      </w:r>
    </w:p>
    <w:p w:rsidRPr="00F01581" w:rsidR="008D538A" w:rsidP="001C540D" w:rsidRDefault="008D538A" w14:paraId="7DBC8938" w14:textId="77777777">
      <w:pPr>
        <w:widowControl/>
        <w:numPr>
          <w:ilvl w:val="0"/>
          <w:numId w:val="2"/>
        </w:numPr>
        <w:autoSpaceDE/>
        <w:autoSpaceDN/>
        <w:adjustRightInd/>
        <w:ind w:left="720"/>
        <w:rPr>
          <w:sz w:val="24"/>
          <w:szCs w:val="24"/>
        </w:rPr>
      </w:pPr>
      <w:r w:rsidRPr="00F01581">
        <w:rPr>
          <w:sz w:val="24"/>
          <w:szCs w:val="24"/>
        </w:rPr>
        <w:t>An orientation to interviewing techniques and the role of an interviewer; and</w:t>
      </w:r>
      <w:r w:rsidRPr="00F01581">
        <w:rPr>
          <w:sz w:val="24"/>
          <w:szCs w:val="24"/>
        </w:rPr>
        <w:tab/>
      </w:r>
    </w:p>
    <w:p w:rsidRPr="00F01581" w:rsidR="008D538A" w:rsidP="001C540D" w:rsidRDefault="008D538A" w14:paraId="4089CA92" w14:textId="57350EBC">
      <w:pPr>
        <w:widowControl/>
        <w:numPr>
          <w:ilvl w:val="0"/>
          <w:numId w:val="2"/>
        </w:numPr>
        <w:autoSpaceDE/>
        <w:autoSpaceDN/>
        <w:adjustRightInd/>
        <w:ind w:left="720"/>
        <w:rPr>
          <w:sz w:val="24"/>
          <w:szCs w:val="24"/>
        </w:rPr>
      </w:pPr>
      <w:r w:rsidRPr="00F01581">
        <w:rPr>
          <w:sz w:val="24"/>
          <w:szCs w:val="24"/>
        </w:rPr>
        <w:t xml:space="preserve">Actual practice in administering the onsite and </w:t>
      </w:r>
      <w:r w:rsidR="0061357B">
        <w:rPr>
          <w:sz w:val="24"/>
          <w:szCs w:val="24"/>
        </w:rPr>
        <w:t>follow-up</w:t>
      </w:r>
      <w:r w:rsidRPr="00F01581" w:rsidR="0061357B">
        <w:rPr>
          <w:sz w:val="24"/>
          <w:szCs w:val="24"/>
        </w:rPr>
        <w:t xml:space="preserve"> </w:t>
      </w:r>
      <w:r w:rsidRPr="00F01581">
        <w:rPr>
          <w:sz w:val="24"/>
          <w:szCs w:val="24"/>
        </w:rPr>
        <w:t>surveys, both in the training session and onsite.</w:t>
      </w:r>
    </w:p>
    <w:p w:rsidRPr="00F01581" w:rsidR="008D538A" w:rsidP="002E26BF" w:rsidRDefault="008D538A" w14:paraId="09687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F01581" w:rsidR="008D538A" w:rsidP="002E26BF" w:rsidRDefault="006F4B71" w14:paraId="0C026534" w14:textId="28EED8F4">
      <w:pPr>
        <w:rPr>
          <w:sz w:val="24"/>
          <w:szCs w:val="24"/>
        </w:rPr>
      </w:pPr>
      <w:r w:rsidRPr="00F01581">
        <w:rPr>
          <w:sz w:val="24"/>
          <w:szCs w:val="24"/>
        </w:rPr>
        <w:t xml:space="preserve">Visitors will be contacted at trailheads and entrances to </w:t>
      </w:r>
      <w:r w:rsidR="00A01411">
        <w:rPr>
          <w:sz w:val="24"/>
          <w:szCs w:val="24"/>
        </w:rPr>
        <w:t>the</w:t>
      </w:r>
      <w:r w:rsidRPr="00F01581" w:rsidR="00A01411">
        <w:rPr>
          <w:sz w:val="24"/>
          <w:szCs w:val="24"/>
        </w:rPr>
        <w:t xml:space="preserve"> </w:t>
      </w:r>
      <w:r w:rsidRPr="00F01581">
        <w:rPr>
          <w:sz w:val="24"/>
          <w:szCs w:val="24"/>
        </w:rPr>
        <w:t>recreation areas</w:t>
      </w:r>
      <w:proofErr w:type="gramStart"/>
      <w:r w:rsidRPr="00F01581">
        <w:rPr>
          <w:sz w:val="24"/>
          <w:szCs w:val="24"/>
        </w:rPr>
        <w:t xml:space="preserve">. </w:t>
      </w:r>
      <w:r w:rsidRPr="00F01581" w:rsidR="007016EF">
        <w:rPr>
          <w:sz w:val="24"/>
          <w:szCs w:val="24"/>
        </w:rPr>
        <w:t xml:space="preserve"> </w:t>
      </w:r>
      <w:proofErr w:type="gramEnd"/>
      <w:r w:rsidRPr="00F01581">
        <w:rPr>
          <w:sz w:val="24"/>
          <w:szCs w:val="24"/>
        </w:rPr>
        <w:t xml:space="preserve">The onsite survey will be brief (respondent burden about </w:t>
      </w:r>
      <w:r w:rsidR="004D103F">
        <w:rPr>
          <w:sz w:val="24"/>
          <w:szCs w:val="24"/>
        </w:rPr>
        <w:t>5</w:t>
      </w:r>
      <w:r w:rsidRPr="00F01581">
        <w:rPr>
          <w:sz w:val="24"/>
          <w:szCs w:val="24"/>
        </w:rPr>
        <w:t xml:space="preserve"> minutes). </w:t>
      </w:r>
      <w:r w:rsidRPr="00F01581" w:rsidR="007016EF">
        <w:rPr>
          <w:sz w:val="24"/>
          <w:szCs w:val="24"/>
        </w:rPr>
        <w:t xml:space="preserve"> </w:t>
      </w:r>
      <w:r w:rsidRPr="00F01581">
        <w:rPr>
          <w:sz w:val="24"/>
          <w:szCs w:val="24"/>
        </w:rPr>
        <w:t>If visitors show a reluctance to participate, field surveyors will reinforce the importance of visitor feedback and their particular input, followed by a final request to participate in the onsite survey again</w:t>
      </w:r>
      <w:proofErr w:type="gramStart"/>
      <w:r w:rsidRPr="00F01581">
        <w:rPr>
          <w:sz w:val="24"/>
          <w:szCs w:val="24"/>
        </w:rPr>
        <w:t xml:space="preserve">. </w:t>
      </w:r>
      <w:r w:rsidRPr="00F01581" w:rsidR="007016EF">
        <w:rPr>
          <w:sz w:val="24"/>
          <w:szCs w:val="24"/>
        </w:rPr>
        <w:t xml:space="preserve"> </w:t>
      </w:r>
      <w:proofErr w:type="gramEnd"/>
    </w:p>
    <w:p w:rsidRPr="00F01581" w:rsidR="008D538A" w:rsidP="002E26BF" w:rsidRDefault="008D538A" w14:paraId="0B1A4AA8" w14:textId="77777777">
      <w:pPr>
        <w:rPr>
          <w:sz w:val="24"/>
          <w:szCs w:val="24"/>
        </w:rPr>
      </w:pPr>
    </w:p>
    <w:p w:rsidRPr="00F01581" w:rsidR="0022487C" w:rsidP="0022487C" w:rsidRDefault="0022487C" w14:paraId="2A764536" w14:textId="6399DE69">
      <w:pPr>
        <w:widowControl/>
        <w:rPr>
          <w:b/>
          <w:i/>
          <w:sz w:val="24"/>
          <w:szCs w:val="24"/>
        </w:rPr>
      </w:pPr>
      <w:r w:rsidRPr="00F01581">
        <w:rPr>
          <w:b/>
          <w:i/>
          <w:sz w:val="24"/>
          <w:szCs w:val="24"/>
        </w:rPr>
        <w:t xml:space="preserve">The Tailored Design Method </w:t>
      </w:r>
    </w:p>
    <w:p w:rsidRPr="00F01581" w:rsidR="0022487C" w:rsidP="00375A7C" w:rsidRDefault="00A96A1F" w14:paraId="22B6B5A7" w14:textId="5F471135">
      <w:pPr>
        <w:rPr>
          <w:sz w:val="24"/>
          <w:szCs w:val="24"/>
        </w:rPr>
      </w:pPr>
      <w:r w:rsidRPr="00F01581">
        <w:rPr>
          <w:sz w:val="24"/>
          <w:szCs w:val="24"/>
        </w:rPr>
        <w:t>To maximize response rates, t</w:t>
      </w:r>
      <w:r w:rsidRPr="00F01581" w:rsidR="008F72D1">
        <w:rPr>
          <w:sz w:val="24"/>
          <w:szCs w:val="24"/>
        </w:rPr>
        <w:t xml:space="preserve">he </w:t>
      </w:r>
      <w:r w:rsidRPr="00F01581" w:rsidR="0022487C">
        <w:rPr>
          <w:sz w:val="24"/>
          <w:szCs w:val="24"/>
        </w:rPr>
        <w:t xml:space="preserve">internet </w:t>
      </w:r>
      <w:r w:rsidR="0061357B">
        <w:rPr>
          <w:sz w:val="24"/>
          <w:szCs w:val="24"/>
        </w:rPr>
        <w:t>or</w:t>
      </w:r>
      <w:r w:rsidRPr="00F01581" w:rsidR="0061357B">
        <w:rPr>
          <w:sz w:val="24"/>
          <w:szCs w:val="24"/>
        </w:rPr>
        <w:t xml:space="preserve"> mail </w:t>
      </w:r>
      <w:r w:rsidR="0061357B">
        <w:rPr>
          <w:sz w:val="24"/>
          <w:szCs w:val="24"/>
        </w:rPr>
        <w:t xml:space="preserve">follow-up </w:t>
      </w:r>
      <w:r w:rsidRPr="00F01581" w:rsidR="008F72D1">
        <w:rPr>
          <w:sz w:val="24"/>
          <w:szCs w:val="24"/>
        </w:rPr>
        <w:t xml:space="preserve">survey will utilize </w:t>
      </w:r>
      <w:r w:rsidRPr="00F01581" w:rsidR="0022487C">
        <w:rPr>
          <w:sz w:val="24"/>
          <w:szCs w:val="24"/>
        </w:rPr>
        <w:t xml:space="preserve">the </w:t>
      </w:r>
      <w:proofErr w:type="spellStart"/>
      <w:r w:rsidRPr="00F01581" w:rsidR="008F72D1">
        <w:rPr>
          <w:sz w:val="24"/>
          <w:szCs w:val="24"/>
        </w:rPr>
        <w:t>Dillman</w:t>
      </w:r>
      <w:proofErr w:type="spellEnd"/>
      <w:r w:rsidRPr="00F01581" w:rsidR="008F72D1">
        <w:rPr>
          <w:sz w:val="24"/>
          <w:szCs w:val="24"/>
        </w:rPr>
        <w:t xml:space="preserve"> Tailored Design Method</w:t>
      </w:r>
      <w:r w:rsidR="00F076AA">
        <w:rPr>
          <w:rStyle w:val="FootnoteReference"/>
          <w:sz w:val="24"/>
          <w:szCs w:val="24"/>
        </w:rPr>
        <w:footnoteReference w:id="3"/>
      </w:r>
      <w:proofErr w:type="gramStart"/>
      <w:r w:rsidRPr="00F01581" w:rsidR="0022487C">
        <w:rPr>
          <w:sz w:val="24"/>
          <w:szCs w:val="24"/>
        </w:rPr>
        <w:t xml:space="preserve">.  </w:t>
      </w:r>
      <w:proofErr w:type="gramEnd"/>
      <w:r w:rsidRPr="00F01581" w:rsidR="0022487C">
        <w:rPr>
          <w:sz w:val="24"/>
          <w:szCs w:val="24"/>
        </w:rPr>
        <w:t>T</w:t>
      </w:r>
      <w:r w:rsidRPr="00F01581" w:rsidR="008F72D1">
        <w:rPr>
          <w:sz w:val="24"/>
          <w:szCs w:val="24"/>
        </w:rPr>
        <w:t xml:space="preserve">he initial contact </w:t>
      </w:r>
      <w:r w:rsidRPr="00F01581" w:rsidR="0022487C">
        <w:rPr>
          <w:sz w:val="24"/>
          <w:szCs w:val="24"/>
        </w:rPr>
        <w:t>will be</w:t>
      </w:r>
      <w:r w:rsidRPr="00F01581" w:rsidR="008F72D1">
        <w:rPr>
          <w:sz w:val="24"/>
          <w:szCs w:val="24"/>
        </w:rPr>
        <w:t xml:space="preserve"> followed up </w:t>
      </w:r>
      <w:r w:rsidR="0061357B">
        <w:rPr>
          <w:sz w:val="24"/>
          <w:szCs w:val="24"/>
        </w:rPr>
        <w:t>with</w:t>
      </w:r>
      <w:r w:rsidRPr="00F01581" w:rsidR="008F72D1">
        <w:rPr>
          <w:sz w:val="24"/>
          <w:szCs w:val="24"/>
        </w:rPr>
        <w:t xml:space="preserve"> a </w:t>
      </w:r>
      <w:r w:rsidRPr="00F01581" w:rsidR="0022487C">
        <w:rPr>
          <w:sz w:val="24"/>
          <w:szCs w:val="24"/>
        </w:rPr>
        <w:t xml:space="preserve">thank you/reminder </w:t>
      </w:r>
      <w:r w:rsidRPr="00F01581" w:rsidR="0061357B">
        <w:rPr>
          <w:sz w:val="24"/>
          <w:szCs w:val="24"/>
        </w:rPr>
        <w:t xml:space="preserve">email </w:t>
      </w:r>
      <w:r w:rsidRPr="00F01581" w:rsidR="0022487C">
        <w:rPr>
          <w:sz w:val="24"/>
          <w:szCs w:val="24"/>
        </w:rPr>
        <w:t>[</w:t>
      </w:r>
      <w:r w:rsidRPr="00F01581" w:rsidR="0061357B">
        <w:rPr>
          <w:sz w:val="24"/>
          <w:szCs w:val="24"/>
        </w:rPr>
        <w:t>post card</w:t>
      </w:r>
      <w:r w:rsidRPr="00F01581" w:rsidR="0022487C">
        <w:rPr>
          <w:sz w:val="24"/>
          <w:szCs w:val="24"/>
        </w:rPr>
        <w:t xml:space="preserve">] </w:t>
      </w:r>
      <w:r w:rsidRPr="00F01581" w:rsidR="008F72D1">
        <w:rPr>
          <w:sz w:val="24"/>
          <w:szCs w:val="24"/>
        </w:rPr>
        <w:t xml:space="preserve">at </w:t>
      </w:r>
      <w:r w:rsidR="004D103F">
        <w:rPr>
          <w:sz w:val="24"/>
          <w:szCs w:val="24"/>
        </w:rPr>
        <w:t>1</w:t>
      </w:r>
      <w:r w:rsidRPr="00F01581" w:rsidR="008F72D1">
        <w:rPr>
          <w:sz w:val="24"/>
          <w:szCs w:val="24"/>
        </w:rPr>
        <w:t xml:space="preserve"> w</w:t>
      </w:r>
      <w:r w:rsidRPr="00F01581">
        <w:rPr>
          <w:sz w:val="24"/>
          <w:szCs w:val="24"/>
        </w:rPr>
        <w:t xml:space="preserve">eek and a second </w:t>
      </w:r>
      <w:r w:rsidRPr="00F01581" w:rsidR="00B64CE9">
        <w:rPr>
          <w:sz w:val="24"/>
          <w:szCs w:val="24"/>
        </w:rPr>
        <w:t xml:space="preserve">email </w:t>
      </w:r>
      <w:r w:rsidRPr="00F01581" w:rsidR="0022487C">
        <w:rPr>
          <w:sz w:val="24"/>
          <w:szCs w:val="24"/>
        </w:rPr>
        <w:t>[</w:t>
      </w:r>
      <w:r w:rsidRPr="00F01581" w:rsidR="00B64CE9">
        <w:rPr>
          <w:sz w:val="24"/>
          <w:szCs w:val="24"/>
        </w:rPr>
        <w:t>mailing</w:t>
      </w:r>
      <w:r w:rsidRPr="00F01581" w:rsidR="0022487C">
        <w:rPr>
          <w:sz w:val="24"/>
          <w:szCs w:val="24"/>
        </w:rPr>
        <w:t xml:space="preserve">] </w:t>
      </w:r>
      <w:r w:rsidRPr="00F01581">
        <w:rPr>
          <w:sz w:val="24"/>
          <w:szCs w:val="24"/>
        </w:rPr>
        <w:t>of the</w:t>
      </w:r>
      <w:r w:rsidRPr="00F01581" w:rsidR="008F72D1">
        <w:rPr>
          <w:sz w:val="24"/>
          <w:szCs w:val="24"/>
        </w:rPr>
        <w:t xml:space="preserve"> survey to no</w:t>
      </w:r>
      <w:r w:rsidRPr="00F01581" w:rsidR="0022487C">
        <w:rPr>
          <w:sz w:val="24"/>
          <w:szCs w:val="24"/>
        </w:rPr>
        <w:t>n-</w:t>
      </w:r>
      <w:r w:rsidRPr="00F01581" w:rsidR="008F72D1">
        <w:rPr>
          <w:sz w:val="24"/>
          <w:szCs w:val="24"/>
        </w:rPr>
        <w:t>responde</w:t>
      </w:r>
      <w:r w:rsidRPr="00F01581" w:rsidR="0022487C">
        <w:rPr>
          <w:sz w:val="24"/>
          <w:szCs w:val="24"/>
        </w:rPr>
        <w:t>nts</w:t>
      </w:r>
      <w:r w:rsidRPr="00F01581" w:rsidR="008F72D1">
        <w:rPr>
          <w:sz w:val="24"/>
          <w:szCs w:val="24"/>
        </w:rPr>
        <w:t xml:space="preserve"> after </w:t>
      </w:r>
      <w:r w:rsidR="004D103F">
        <w:rPr>
          <w:sz w:val="24"/>
          <w:szCs w:val="24"/>
        </w:rPr>
        <w:t>2</w:t>
      </w:r>
      <w:r w:rsidRPr="00F01581" w:rsidR="008F72D1">
        <w:rPr>
          <w:sz w:val="24"/>
          <w:szCs w:val="24"/>
        </w:rPr>
        <w:t xml:space="preserve"> weeks</w:t>
      </w:r>
      <w:proofErr w:type="gramStart"/>
      <w:r w:rsidRPr="00F01581" w:rsidR="008F72D1">
        <w:rPr>
          <w:sz w:val="24"/>
          <w:szCs w:val="24"/>
        </w:rPr>
        <w:t xml:space="preserve">. </w:t>
      </w:r>
      <w:r w:rsidRPr="00F01581" w:rsidR="0089475D">
        <w:rPr>
          <w:sz w:val="24"/>
          <w:szCs w:val="24"/>
        </w:rPr>
        <w:t xml:space="preserve"> </w:t>
      </w:r>
      <w:proofErr w:type="gramEnd"/>
    </w:p>
    <w:p w:rsidRPr="00F01581" w:rsidR="0022487C" w:rsidP="00375A7C" w:rsidRDefault="0022487C" w14:paraId="4543A067" w14:textId="77777777">
      <w:pPr>
        <w:rPr>
          <w:sz w:val="24"/>
          <w:szCs w:val="24"/>
        </w:rPr>
      </w:pPr>
    </w:p>
    <w:p w:rsidRPr="00F01581" w:rsidR="00300594" w:rsidP="002E26BF" w:rsidRDefault="0022487C" w14:paraId="2AA14895" w14:textId="52636468">
      <w:pPr>
        <w:widowControl/>
        <w:rPr>
          <w:b/>
          <w:i/>
          <w:sz w:val="24"/>
          <w:szCs w:val="24"/>
        </w:rPr>
      </w:pPr>
      <w:r w:rsidRPr="00F01581">
        <w:rPr>
          <w:b/>
          <w:i/>
          <w:sz w:val="24"/>
          <w:szCs w:val="24"/>
        </w:rPr>
        <w:t>M</w:t>
      </w:r>
      <w:r w:rsidRPr="00F01581" w:rsidR="00300594">
        <w:rPr>
          <w:b/>
          <w:i/>
          <w:sz w:val="24"/>
          <w:szCs w:val="24"/>
        </w:rPr>
        <w:t>ultiple Options for Completing the Survey</w:t>
      </w:r>
    </w:p>
    <w:p w:rsidRPr="00F01581" w:rsidR="00300594" w:rsidP="002E26BF" w:rsidRDefault="0089475D" w14:paraId="086A4809" w14:textId="5F50DFAD">
      <w:pPr>
        <w:rPr>
          <w:sz w:val="24"/>
          <w:szCs w:val="24"/>
        </w:rPr>
      </w:pPr>
      <w:r w:rsidRPr="00F01581">
        <w:rPr>
          <w:sz w:val="24"/>
          <w:szCs w:val="24"/>
        </w:rPr>
        <w:t>We will provide respondents with two options to complete the follow-up survey</w:t>
      </w:r>
      <w:r w:rsidR="00B64CE9">
        <w:rPr>
          <w:sz w:val="24"/>
          <w:szCs w:val="24"/>
        </w:rPr>
        <w:t>:</w:t>
      </w:r>
      <w:r w:rsidRPr="00B64CE9" w:rsidR="00B64CE9">
        <w:rPr>
          <w:sz w:val="24"/>
          <w:szCs w:val="24"/>
        </w:rPr>
        <w:t xml:space="preserve"> </w:t>
      </w:r>
      <w:r w:rsidRPr="00F01581" w:rsidR="00B64CE9">
        <w:rPr>
          <w:sz w:val="24"/>
          <w:szCs w:val="24"/>
        </w:rPr>
        <w:t xml:space="preserve">an </w:t>
      </w:r>
      <w:r w:rsidR="00B64CE9">
        <w:rPr>
          <w:sz w:val="24"/>
          <w:szCs w:val="24"/>
        </w:rPr>
        <w:t>online</w:t>
      </w:r>
      <w:r w:rsidRPr="00F01581" w:rsidR="00B64CE9">
        <w:rPr>
          <w:sz w:val="24"/>
          <w:szCs w:val="24"/>
        </w:rPr>
        <w:t xml:space="preserve"> version </w:t>
      </w:r>
      <w:r w:rsidR="00B64CE9">
        <w:rPr>
          <w:sz w:val="24"/>
          <w:szCs w:val="24"/>
        </w:rPr>
        <w:t xml:space="preserve">that is completed </w:t>
      </w:r>
      <w:r w:rsidRPr="00F01581" w:rsidR="00B64CE9">
        <w:rPr>
          <w:sz w:val="24"/>
          <w:szCs w:val="24"/>
        </w:rPr>
        <w:t>through a web</w:t>
      </w:r>
      <w:r w:rsidR="00B64CE9">
        <w:rPr>
          <w:sz w:val="24"/>
          <w:szCs w:val="24"/>
        </w:rPr>
        <w:t xml:space="preserve">site, or </w:t>
      </w:r>
      <w:r w:rsidRPr="00F01581" w:rsidR="00B64CE9">
        <w:rPr>
          <w:sz w:val="24"/>
          <w:szCs w:val="24"/>
        </w:rPr>
        <w:t>a paper version</w:t>
      </w:r>
      <w:r w:rsidR="00B64CE9">
        <w:rPr>
          <w:sz w:val="24"/>
          <w:szCs w:val="24"/>
        </w:rPr>
        <w:t xml:space="preserve"> that is completed and returned by mail</w:t>
      </w:r>
      <w:proofErr w:type="gramStart"/>
      <w:r w:rsidRPr="00F01581">
        <w:rPr>
          <w:sz w:val="24"/>
          <w:szCs w:val="24"/>
        </w:rPr>
        <w:t xml:space="preserve">.  </w:t>
      </w:r>
      <w:proofErr w:type="gramEnd"/>
      <w:r w:rsidRPr="00F01581">
        <w:rPr>
          <w:sz w:val="24"/>
          <w:szCs w:val="24"/>
        </w:rPr>
        <w:t>This should increase response rate</w:t>
      </w:r>
      <w:r w:rsidR="00B64CE9">
        <w:rPr>
          <w:sz w:val="24"/>
          <w:szCs w:val="24"/>
        </w:rPr>
        <w:t>s</w:t>
      </w:r>
      <w:r w:rsidRPr="00F01581">
        <w:rPr>
          <w:sz w:val="24"/>
          <w:szCs w:val="24"/>
        </w:rPr>
        <w:t xml:space="preserve"> by allowing respondents to select the option they prefer to complete.   </w:t>
      </w:r>
    </w:p>
    <w:p w:rsidRPr="00F01581" w:rsidR="00300594" w:rsidP="002E26BF" w:rsidRDefault="00300594" w14:paraId="705A34D1" w14:textId="77777777">
      <w:pPr>
        <w:widowControl/>
        <w:ind w:left="360"/>
        <w:rPr>
          <w:sz w:val="24"/>
          <w:szCs w:val="24"/>
        </w:rPr>
      </w:pPr>
    </w:p>
    <w:p w:rsidRPr="00F01581" w:rsidR="00300594" w:rsidP="002E26BF" w:rsidRDefault="00300594" w14:paraId="5CD2D610" w14:textId="77777777">
      <w:pPr>
        <w:widowControl/>
        <w:rPr>
          <w:b/>
          <w:i/>
          <w:sz w:val="24"/>
          <w:szCs w:val="24"/>
        </w:rPr>
      </w:pPr>
      <w:r w:rsidRPr="00F01581">
        <w:rPr>
          <w:b/>
          <w:i/>
          <w:sz w:val="24"/>
          <w:szCs w:val="24"/>
        </w:rPr>
        <w:t>Addressing Potential Nonresponse Bias</w:t>
      </w:r>
    </w:p>
    <w:p w:rsidRPr="00F01581" w:rsidR="0022487C" w:rsidP="002E26BF" w:rsidRDefault="0022487C" w14:paraId="2FEDB039" w14:textId="3CA1C75D">
      <w:pPr>
        <w:rPr>
          <w:sz w:val="24"/>
          <w:szCs w:val="24"/>
        </w:rPr>
      </w:pPr>
      <w:r w:rsidRPr="00F01581">
        <w:rPr>
          <w:sz w:val="24"/>
          <w:szCs w:val="24"/>
        </w:rPr>
        <w:t xml:space="preserve">Nonresponse bias will be assessed for both the onsite and </w:t>
      </w:r>
      <w:r w:rsidRPr="00F01581" w:rsidR="00B64CE9">
        <w:rPr>
          <w:sz w:val="24"/>
          <w:szCs w:val="24"/>
        </w:rPr>
        <w:t>internet</w:t>
      </w:r>
      <w:r w:rsidR="00B64CE9">
        <w:rPr>
          <w:sz w:val="24"/>
          <w:szCs w:val="24"/>
        </w:rPr>
        <w:t>/</w:t>
      </w:r>
      <w:r w:rsidRPr="00F01581">
        <w:rPr>
          <w:sz w:val="24"/>
          <w:szCs w:val="24"/>
        </w:rPr>
        <w:t>mail</w:t>
      </w:r>
      <w:r w:rsidR="00B64CE9">
        <w:rPr>
          <w:sz w:val="24"/>
          <w:szCs w:val="24"/>
        </w:rPr>
        <w:t xml:space="preserve"> </w:t>
      </w:r>
      <w:r w:rsidRPr="00F01581">
        <w:rPr>
          <w:sz w:val="24"/>
          <w:szCs w:val="24"/>
        </w:rPr>
        <w:t xml:space="preserve">follow-up survey. </w:t>
      </w:r>
    </w:p>
    <w:p w:rsidRPr="00F01581" w:rsidR="0022487C" w:rsidP="002E26BF" w:rsidRDefault="0022487C" w14:paraId="4C8E3E38" w14:textId="77777777">
      <w:pPr>
        <w:rPr>
          <w:sz w:val="24"/>
          <w:szCs w:val="24"/>
        </w:rPr>
      </w:pPr>
    </w:p>
    <w:p w:rsidRPr="00F01581" w:rsidR="0022487C" w:rsidP="002E26BF" w:rsidRDefault="003E4A7F" w14:paraId="522A70FE" w14:textId="69E3D2E8">
      <w:pPr>
        <w:rPr>
          <w:sz w:val="24"/>
          <w:szCs w:val="24"/>
        </w:rPr>
      </w:pPr>
      <w:r w:rsidRPr="00F01581">
        <w:rPr>
          <w:sz w:val="24"/>
          <w:szCs w:val="24"/>
        </w:rPr>
        <w:t>For the pre-</w:t>
      </w:r>
      <w:r w:rsidR="00927C67">
        <w:rPr>
          <w:sz w:val="24"/>
          <w:szCs w:val="24"/>
        </w:rPr>
        <w:t>Land Use Plan (</w:t>
      </w:r>
      <w:r w:rsidRPr="00F01581">
        <w:rPr>
          <w:sz w:val="24"/>
          <w:szCs w:val="24"/>
        </w:rPr>
        <w:t>LUP</w:t>
      </w:r>
      <w:r w:rsidR="00927C67">
        <w:rPr>
          <w:sz w:val="24"/>
          <w:szCs w:val="24"/>
        </w:rPr>
        <w:t>)</w:t>
      </w:r>
      <w:r w:rsidRPr="00F01581">
        <w:rPr>
          <w:sz w:val="24"/>
          <w:szCs w:val="24"/>
        </w:rPr>
        <w:t xml:space="preserve"> onsite survey, i</w:t>
      </w:r>
      <w:r w:rsidRPr="00F01581" w:rsidR="0022487C">
        <w:rPr>
          <w:sz w:val="24"/>
          <w:szCs w:val="24"/>
        </w:rPr>
        <w:t xml:space="preserve">f a visitor refuses to participate, they will be </w:t>
      </w:r>
      <w:r w:rsidRPr="00947F09" w:rsidR="00947F09">
        <w:rPr>
          <w:sz w:val="24"/>
          <w:szCs w:val="24"/>
        </w:rPr>
        <w:t xml:space="preserve">thanked for their time and non-respondent data will be collected through brief consultation with </w:t>
      </w:r>
      <w:r w:rsidR="00947F09">
        <w:rPr>
          <w:sz w:val="24"/>
          <w:szCs w:val="24"/>
        </w:rPr>
        <w:t xml:space="preserve">the </w:t>
      </w:r>
      <w:r w:rsidRPr="00947F09" w:rsidR="00947F09">
        <w:rPr>
          <w:sz w:val="24"/>
          <w:szCs w:val="24"/>
        </w:rPr>
        <w:t>non-respondent, if willing, or observation, if not</w:t>
      </w:r>
      <w:r w:rsidRPr="00947F09" w:rsidDel="00947F09" w:rsidR="00947F09">
        <w:rPr>
          <w:sz w:val="32"/>
          <w:szCs w:val="32"/>
        </w:rPr>
        <w:t xml:space="preserve"> </w:t>
      </w:r>
      <w:r w:rsidRPr="00F01581" w:rsidR="0022487C">
        <w:rPr>
          <w:sz w:val="24"/>
          <w:szCs w:val="24"/>
        </w:rPr>
        <w:t>(e.g.</w:t>
      </w:r>
      <w:r w:rsidRPr="00F01581">
        <w:rPr>
          <w:sz w:val="24"/>
          <w:szCs w:val="24"/>
        </w:rPr>
        <w:t>,</w:t>
      </w:r>
      <w:r w:rsidRPr="00F01581" w:rsidR="0022487C">
        <w:rPr>
          <w:sz w:val="24"/>
          <w:szCs w:val="24"/>
        </w:rPr>
        <w:t xml:space="preserve"> </w:t>
      </w:r>
      <w:r w:rsidR="00947F09">
        <w:rPr>
          <w:sz w:val="24"/>
          <w:szCs w:val="24"/>
        </w:rPr>
        <w:t xml:space="preserve">the </w:t>
      </w:r>
      <w:proofErr w:type="gramStart"/>
      <w:r w:rsidR="00947F09">
        <w:rPr>
          <w:sz w:val="24"/>
          <w:szCs w:val="24"/>
        </w:rPr>
        <w:t>surveyors</w:t>
      </w:r>
      <w:proofErr w:type="gramEnd"/>
      <w:r w:rsidR="00947F09">
        <w:rPr>
          <w:sz w:val="24"/>
          <w:szCs w:val="24"/>
        </w:rPr>
        <w:t xml:space="preserve"> best assessment of </w:t>
      </w:r>
      <w:r w:rsidRPr="00F01581" w:rsidR="0022487C">
        <w:rPr>
          <w:sz w:val="24"/>
          <w:szCs w:val="24"/>
        </w:rPr>
        <w:t xml:space="preserve">gender, </w:t>
      </w:r>
      <w:r w:rsidRPr="00F01581">
        <w:rPr>
          <w:sz w:val="24"/>
          <w:szCs w:val="24"/>
        </w:rPr>
        <w:t xml:space="preserve">group size, </w:t>
      </w:r>
      <w:r w:rsidRPr="00F01581" w:rsidR="0022487C">
        <w:rPr>
          <w:sz w:val="24"/>
          <w:szCs w:val="24"/>
        </w:rPr>
        <w:t>type of recreation activity, state of vehi</w:t>
      </w:r>
      <w:r w:rsidRPr="00F01581">
        <w:rPr>
          <w:sz w:val="24"/>
          <w:szCs w:val="24"/>
        </w:rPr>
        <w:t>cle license</w:t>
      </w:r>
      <w:r w:rsidR="00947F09">
        <w:rPr>
          <w:sz w:val="24"/>
          <w:szCs w:val="24"/>
        </w:rPr>
        <w:t xml:space="preserve">).  The non-response </w:t>
      </w:r>
      <w:r w:rsidRPr="00F01581">
        <w:rPr>
          <w:sz w:val="24"/>
          <w:szCs w:val="24"/>
        </w:rPr>
        <w:t xml:space="preserve">variables </w:t>
      </w:r>
      <w:r w:rsidR="00947F09">
        <w:rPr>
          <w:sz w:val="24"/>
          <w:szCs w:val="24"/>
        </w:rPr>
        <w:t>will allow comparison to characteristics of respondents</w:t>
      </w:r>
      <w:proofErr w:type="gramStart"/>
      <w:r w:rsidRPr="00F01581">
        <w:rPr>
          <w:sz w:val="24"/>
          <w:szCs w:val="24"/>
        </w:rPr>
        <w:t xml:space="preserve">.  </w:t>
      </w:r>
      <w:proofErr w:type="gramEnd"/>
      <w:r w:rsidRPr="00F01581">
        <w:rPr>
          <w:sz w:val="24"/>
          <w:szCs w:val="24"/>
        </w:rPr>
        <w:t>The day of week and time of contact will be recorded for refusals and completed surveys.  This will allow</w:t>
      </w:r>
      <w:r w:rsidRPr="00F01581" w:rsidR="0022487C">
        <w:rPr>
          <w:sz w:val="24"/>
          <w:szCs w:val="24"/>
        </w:rPr>
        <w:t xml:space="preserve"> a statistical check for non-response bias.</w:t>
      </w:r>
      <w:r w:rsidRPr="00F01581">
        <w:rPr>
          <w:sz w:val="24"/>
          <w:szCs w:val="24"/>
        </w:rPr>
        <w:t xml:space="preserve">  The post-LUP onsite survey </w:t>
      </w:r>
      <w:r w:rsidRPr="00F01581" w:rsidR="006204B1">
        <w:rPr>
          <w:sz w:val="24"/>
          <w:szCs w:val="24"/>
        </w:rPr>
        <w:t>will follow similar methods; as it does not contain the activity question</w:t>
      </w:r>
      <w:r w:rsidR="00324A8A">
        <w:rPr>
          <w:sz w:val="24"/>
          <w:szCs w:val="24"/>
        </w:rPr>
        <w:t>,</w:t>
      </w:r>
      <w:r w:rsidRPr="00F01581" w:rsidR="006204B1">
        <w:rPr>
          <w:sz w:val="24"/>
          <w:szCs w:val="24"/>
        </w:rPr>
        <w:t xml:space="preserve"> the type of recreation activity will be </w:t>
      </w:r>
      <w:r w:rsidR="00F229D5">
        <w:rPr>
          <w:sz w:val="24"/>
          <w:szCs w:val="24"/>
        </w:rPr>
        <w:t xml:space="preserve">observed and </w:t>
      </w:r>
      <w:r w:rsidRPr="00F01581" w:rsidR="006204B1">
        <w:rPr>
          <w:sz w:val="24"/>
          <w:szCs w:val="24"/>
        </w:rPr>
        <w:t>recorded for all contacts.</w:t>
      </w:r>
      <w:r w:rsidRPr="00F01581">
        <w:rPr>
          <w:sz w:val="24"/>
          <w:szCs w:val="24"/>
        </w:rPr>
        <w:t xml:space="preserve"> </w:t>
      </w:r>
      <w:r w:rsidR="006F79A5">
        <w:rPr>
          <w:sz w:val="24"/>
          <w:szCs w:val="24"/>
        </w:rPr>
        <w:t xml:space="preserve"> In addition, the data from the onsite survey serves as a baseline to assess, and correct through weighting if needed, the representation of the follow-up surveys.</w:t>
      </w:r>
    </w:p>
    <w:p w:rsidRPr="00F01581" w:rsidR="0022487C" w:rsidP="002E26BF" w:rsidRDefault="0022487C" w14:paraId="413DA19B" w14:textId="77777777">
      <w:pPr>
        <w:rPr>
          <w:sz w:val="24"/>
          <w:szCs w:val="24"/>
        </w:rPr>
      </w:pPr>
    </w:p>
    <w:p w:rsidRPr="00F01581" w:rsidR="006204B1" w:rsidP="002E26BF" w:rsidRDefault="006204B1" w14:paraId="5DC0BCA0" w14:textId="641F0F02">
      <w:pPr>
        <w:rPr>
          <w:sz w:val="24"/>
          <w:szCs w:val="24"/>
        </w:rPr>
      </w:pPr>
      <w:r w:rsidRPr="00F01581">
        <w:rPr>
          <w:sz w:val="24"/>
          <w:szCs w:val="24"/>
        </w:rPr>
        <w:t xml:space="preserve">The sampling frame for the follow-up </w:t>
      </w:r>
      <w:r w:rsidRPr="00F01581" w:rsidR="00927C67">
        <w:rPr>
          <w:sz w:val="24"/>
          <w:szCs w:val="24"/>
        </w:rPr>
        <w:t>internet</w:t>
      </w:r>
      <w:r w:rsidR="00927C67">
        <w:rPr>
          <w:sz w:val="24"/>
          <w:szCs w:val="24"/>
        </w:rPr>
        <w:t>/</w:t>
      </w:r>
      <w:r w:rsidRPr="00F01581">
        <w:rPr>
          <w:sz w:val="24"/>
          <w:szCs w:val="24"/>
        </w:rPr>
        <w:t>mail</w:t>
      </w:r>
      <w:r w:rsidR="00927C67">
        <w:rPr>
          <w:sz w:val="24"/>
          <w:szCs w:val="24"/>
        </w:rPr>
        <w:t xml:space="preserve"> </w:t>
      </w:r>
      <w:r w:rsidRPr="00F01581">
        <w:rPr>
          <w:sz w:val="24"/>
          <w:szCs w:val="24"/>
        </w:rPr>
        <w:t>survey will be derived from the onsite survey, thus the onsite survey will provide several variables to statistically compare follow-up survey respondents to nonrespondents</w:t>
      </w:r>
      <w:proofErr w:type="gramStart"/>
      <w:r w:rsidRPr="00F01581">
        <w:rPr>
          <w:sz w:val="24"/>
          <w:szCs w:val="24"/>
        </w:rPr>
        <w:t xml:space="preserve">.  </w:t>
      </w:r>
      <w:proofErr w:type="gramEnd"/>
    </w:p>
    <w:p w:rsidRPr="00F01581" w:rsidR="006204B1" w:rsidP="002E26BF" w:rsidRDefault="006204B1" w14:paraId="46113997" w14:textId="77777777">
      <w:pPr>
        <w:rPr>
          <w:sz w:val="24"/>
          <w:szCs w:val="24"/>
        </w:rPr>
      </w:pPr>
    </w:p>
    <w:p w:rsidRPr="00F01581" w:rsidR="0022487C" w:rsidP="002E26BF" w:rsidRDefault="0022487C" w14:paraId="5C73FE0A" w14:textId="43812D90">
      <w:pPr>
        <w:rPr>
          <w:sz w:val="24"/>
          <w:szCs w:val="24"/>
        </w:rPr>
      </w:pPr>
      <w:r w:rsidRPr="00F01581">
        <w:rPr>
          <w:sz w:val="24"/>
          <w:szCs w:val="24"/>
        </w:rPr>
        <w:t xml:space="preserve">If the non-response bias test suggests results might not represent the population, the data can be </w:t>
      </w:r>
      <w:r w:rsidRPr="00F01581">
        <w:rPr>
          <w:sz w:val="24"/>
          <w:szCs w:val="24"/>
        </w:rPr>
        <w:lastRenderedPageBreak/>
        <w:t>weighted prior to reporting.</w:t>
      </w:r>
    </w:p>
    <w:p w:rsidRPr="00F01581" w:rsidR="00300594" w:rsidP="002E26BF" w:rsidRDefault="00300594" w14:paraId="6A93F32B" w14:textId="77777777">
      <w:pPr>
        <w:rPr>
          <w:sz w:val="24"/>
          <w:szCs w:val="24"/>
        </w:rPr>
      </w:pPr>
    </w:p>
    <w:p w:rsidRPr="00F01581" w:rsidR="00300594" w:rsidP="002E26BF" w:rsidRDefault="00300594" w14:paraId="077F80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01581">
        <w:rPr>
          <w:b/>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F01581" w:rsidR="00300594" w:rsidP="002E26BF" w:rsidRDefault="00300594" w14:paraId="4167EB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FF0000"/>
          <w:sz w:val="24"/>
          <w:szCs w:val="24"/>
        </w:rPr>
      </w:pPr>
    </w:p>
    <w:p w:rsidRPr="00F01581" w:rsidR="0085789B" w:rsidP="005419A0" w:rsidRDefault="0085789B" w14:paraId="1048C978" w14:textId="168F9BD1">
      <w:pPr>
        <w:rPr>
          <w:sz w:val="24"/>
          <w:szCs w:val="24"/>
        </w:rPr>
      </w:pPr>
      <w:r w:rsidRPr="00F01581">
        <w:rPr>
          <w:sz w:val="24"/>
          <w:szCs w:val="24"/>
        </w:rPr>
        <w:t xml:space="preserve">Many of the questions </w:t>
      </w:r>
      <w:r w:rsidRPr="00F01581" w:rsidR="00767910">
        <w:rPr>
          <w:sz w:val="24"/>
          <w:szCs w:val="24"/>
        </w:rPr>
        <w:t>included in this information collection have a long history of testing for reliability and validity.  For example, a key set of questions to measure desired onsite experiences uses the Recreation Experience Preferences Scales, which has been subject to extensive testing</w:t>
      </w:r>
      <w:r w:rsidR="00F076AA">
        <w:rPr>
          <w:rStyle w:val="FootnoteReference"/>
          <w:sz w:val="24"/>
          <w:szCs w:val="24"/>
        </w:rPr>
        <w:footnoteReference w:id="4"/>
      </w:r>
      <w:r w:rsidRPr="00F01581" w:rsidR="00767910">
        <w:rPr>
          <w:sz w:val="24"/>
          <w:szCs w:val="24"/>
        </w:rPr>
        <w:t xml:space="preserve"> .  In addition, many of the questions included in this survey have been used in previous studies.  Many questions in this survey are included in the </w:t>
      </w:r>
      <w:r w:rsidRPr="00F01581" w:rsidR="00FD425D">
        <w:rPr>
          <w:sz w:val="24"/>
          <w:szCs w:val="24"/>
        </w:rPr>
        <w:t>National Park Service’s Pool of K</w:t>
      </w:r>
      <w:r w:rsidRPr="00F01581" w:rsidR="004125CC">
        <w:rPr>
          <w:sz w:val="24"/>
          <w:szCs w:val="24"/>
        </w:rPr>
        <w:t xml:space="preserve">nown Questions, </w:t>
      </w:r>
      <w:r w:rsidRPr="00F01581" w:rsidR="00FD425D">
        <w:rPr>
          <w:sz w:val="24"/>
          <w:szCs w:val="24"/>
        </w:rPr>
        <w:t>the Federal Land Management Agencies Compendium of Questions (</w:t>
      </w:r>
      <w:r w:rsidRPr="00F01581" w:rsidR="004125CC">
        <w:rPr>
          <w:sz w:val="24"/>
          <w:szCs w:val="24"/>
        </w:rPr>
        <w:t xml:space="preserve">OMB </w:t>
      </w:r>
      <w:r w:rsidR="00853F46">
        <w:rPr>
          <w:sz w:val="24"/>
          <w:szCs w:val="24"/>
        </w:rPr>
        <w:t xml:space="preserve">control no. </w:t>
      </w:r>
      <w:r w:rsidRPr="00F01581" w:rsidR="004125CC">
        <w:rPr>
          <w:sz w:val="24"/>
          <w:szCs w:val="24"/>
        </w:rPr>
        <w:t>0596-</w:t>
      </w:r>
      <w:r w:rsidRPr="00F229D5" w:rsidR="00067586">
        <w:rPr>
          <w:sz w:val="22"/>
        </w:rPr>
        <w:t>0236</w:t>
      </w:r>
      <w:r w:rsidRPr="00F01581" w:rsidR="004125CC">
        <w:rPr>
          <w:sz w:val="24"/>
          <w:szCs w:val="24"/>
        </w:rPr>
        <w:t xml:space="preserve">), and the Fish and Wildlife Service’s Survey of National Wildlife Refuge Visitors </w:t>
      </w:r>
      <w:r w:rsidRPr="00221E74" w:rsidR="004125CC">
        <w:rPr>
          <w:sz w:val="24"/>
          <w:szCs w:val="24"/>
        </w:rPr>
        <w:t>(OMB</w:t>
      </w:r>
      <w:r w:rsidR="00853F46">
        <w:rPr>
          <w:sz w:val="24"/>
          <w:szCs w:val="24"/>
        </w:rPr>
        <w:t xml:space="preserve"> control no. </w:t>
      </w:r>
      <w:r w:rsidRPr="00221E74" w:rsidR="00221E74">
        <w:rPr>
          <w:sz w:val="24"/>
          <w:szCs w:val="24"/>
        </w:rPr>
        <w:t>1018-0145</w:t>
      </w:r>
      <w:r w:rsidRPr="00221E74" w:rsidR="004125CC">
        <w:rPr>
          <w:sz w:val="24"/>
          <w:szCs w:val="24"/>
        </w:rPr>
        <w:t>)</w:t>
      </w:r>
      <w:proofErr w:type="gramStart"/>
      <w:r w:rsidRPr="00221E74" w:rsidR="004125CC">
        <w:rPr>
          <w:sz w:val="24"/>
          <w:szCs w:val="24"/>
        </w:rPr>
        <w:t>.</w:t>
      </w:r>
      <w:r w:rsidRPr="00F01581" w:rsidR="004125CC">
        <w:rPr>
          <w:sz w:val="24"/>
          <w:szCs w:val="24"/>
        </w:rPr>
        <w:t xml:space="preserve">  </w:t>
      </w:r>
      <w:proofErr w:type="gramEnd"/>
    </w:p>
    <w:p w:rsidRPr="00F01581" w:rsidR="0085789B" w:rsidP="005419A0" w:rsidRDefault="0085789B" w14:paraId="7FE93389" w14:textId="77777777">
      <w:pPr>
        <w:rPr>
          <w:sz w:val="24"/>
          <w:szCs w:val="24"/>
        </w:rPr>
      </w:pPr>
    </w:p>
    <w:p w:rsidRPr="00F01581" w:rsidR="0085789B" w:rsidP="005419A0" w:rsidRDefault="004125CC" w14:paraId="36BBAE99" w14:textId="1E595D78">
      <w:pPr>
        <w:rPr>
          <w:sz w:val="24"/>
          <w:szCs w:val="24"/>
        </w:rPr>
      </w:pPr>
      <w:r w:rsidRPr="00F01581">
        <w:rPr>
          <w:sz w:val="24"/>
          <w:szCs w:val="24"/>
        </w:rPr>
        <w:t>The proposed p</w:t>
      </w:r>
      <w:r w:rsidRPr="00F01581" w:rsidR="0085789B">
        <w:rPr>
          <w:sz w:val="24"/>
          <w:szCs w:val="24"/>
        </w:rPr>
        <w:t xml:space="preserve">rocedures </w:t>
      </w:r>
      <w:r w:rsidRPr="00F01581">
        <w:rPr>
          <w:sz w:val="24"/>
          <w:szCs w:val="24"/>
        </w:rPr>
        <w:t xml:space="preserve">are </w:t>
      </w:r>
      <w:r w:rsidRPr="00F01581" w:rsidR="0085789B">
        <w:rPr>
          <w:sz w:val="24"/>
          <w:szCs w:val="24"/>
        </w:rPr>
        <w:t>very similar to other studies</w:t>
      </w:r>
      <w:r w:rsidRPr="00F01581">
        <w:rPr>
          <w:sz w:val="24"/>
          <w:szCs w:val="24"/>
        </w:rPr>
        <w:t>.  F</w:t>
      </w:r>
      <w:r w:rsidRPr="00F01581" w:rsidR="0085789B">
        <w:rPr>
          <w:sz w:val="24"/>
          <w:szCs w:val="24"/>
        </w:rPr>
        <w:t>or example</w:t>
      </w:r>
      <w:r w:rsidRPr="00F01581">
        <w:rPr>
          <w:sz w:val="24"/>
          <w:szCs w:val="24"/>
        </w:rPr>
        <w:t>,</w:t>
      </w:r>
      <w:r w:rsidRPr="00F01581" w:rsidR="0085789B">
        <w:rPr>
          <w:sz w:val="24"/>
          <w:szCs w:val="24"/>
        </w:rPr>
        <w:t xml:space="preserve"> the OMB approved National Park Service Visitor Services Project conducts </w:t>
      </w:r>
      <w:r w:rsidRPr="00F01581" w:rsidR="00EA6E13">
        <w:rPr>
          <w:sz w:val="24"/>
          <w:szCs w:val="24"/>
        </w:rPr>
        <w:t>an on</w:t>
      </w:r>
      <w:r w:rsidR="00F604F0">
        <w:rPr>
          <w:sz w:val="24"/>
          <w:szCs w:val="24"/>
        </w:rPr>
        <w:t>-</w:t>
      </w:r>
      <w:r w:rsidRPr="00F01581" w:rsidR="00EA6E13">
        <w:rPr>
          <w:sz w:val="24"/>
          <w:szCs w:val="24"/>
        </w:rPr>
        <w:t>site</w:t>
      </w:r>
      <w:r w:rsidRPr="00F01581" w:rsidR="0085789B">
        <w:rPr>
          <w:sz w:val="24"/>
          <w:szCs w:val="24"/>
        </w:rPr>
        <w:t xml:space="preserve"> survey and follow-up mail</w:t>
      </w:r>
      <w:r w:rsidR="00F229D5">
        <w:rPr>
          <w:sz w:val="24"/>
          <w:szCs w:val="24"/>
        </w:rPr>
        <w:t>/online</w:t>
      </w:r>
      <w:r w:rsidRPr="00F01581" w:rsidR="0085789B">
        <w:rPr>
          <w:sz w:val="24"/>
          <w:szCs w:val="24"/>
        </w:rPr>
        <w:t xml:space="preserve"> survey</w:t>
      </w:r>
      <w:r w:rsidR="00F229D5">
        <w:rPr>
          <w:sz w:val="24"/>
          <w:szCs w:val="24"/>
        </w:rPr>
        <w:t>s</w:t>
      </w:r>
      <w:r w:rsidRPr="00F01581" w:rsidR="0085789B">
        <w:rPr>
          <w:sz w:val="24"/>
          <w:szCs w:val="24"/>
        </w:rPr>
        <w:t>.</w:t>
      </w:r>
      <w:r w:rsidRPr="00F01581">
        <w:rPr>
          <w:sz w:val="24"/>
          <w:szCs w:val="24"/>
        </w:rPr>
        <w:t xml:space="preserve">  The Fish and Wildlife Service’s Survey of National Wildlife Refuge Visitors contacted visitors onsite and participants completed </w:t>
      </w:r>
      <w:r w:rsidR="004D103F">
        <w:rPr>
          <w:sz w:val="24"/>
          <w:szCs w:val="24"/>
        </w:rPr>
        <w:t>a</w:t>
      </w:r>
      <w:r w:rsidRPr="00F01581">
        <w:rPr>
          <w:sz w:val="24"/>
          <w:szCs w:val="24"/>
        </w:rPr>
        <w:t xml:space="preserve"> survey as either </w:t>
      </w:r>
      <w:r w:rsidR="004D103F">
        <w:rPr>
          <w:sz w:val="24"/>
          <w:szCs w:val="24"/>
        </w:rPr>
        <w:t xml:space="preserve">an </w:t>
      </w:r>
      <w:r w:rsidRPr="00F01581">
        <w:rPr>
          <w:sz w:val="24"/>
          <w:szCs w:val="24"/>
        </w:rPr>
        <w:t xml:space="preserve">online or a mail survey. </w:t>
      </w:r>
    </w:p>
    <w:p w:rsidRPr="00F01581" w:rsidR="0085789B" w:rsidP="005419A0" w:rsidRDefault="0085789B" w14:paraId="20CDF587" w14:textId="77777777">
      <w:pPr>
        <w:rPr>
          <w:sz w:val="24"/>
          <w:szCs w:val="24"/>
        </w:rPr>
      </w:pPr>
    </w:p>
    <w:p w:rsidRPr="00F01581" w:rsidR="0085789B" w:rsidP="005419A0" w:rsidRDefault="004125CC" w14:paraId="12149A40" w14:textId="65639570">
      <w:pPr>
        <w:rPr>
          <w:sz w:val="24"/>
          <w:szCs w:val="24"/>
        </w:rPr>
      </w:pPr>
      <w:r w:rsidRPr="00F01581">
        <w:rPr>
          <w:sz w:val="24"/>
          <w:szCs w:val="24"/>
        </w:rPr>
        <w:t xml:space="preserve">As highlighted in the response to question 1, </w:t>
      </w:r>
      <w:r w:rsidR="005C01F0">
        <w:rPr>
          <w:sz w:val="24"/>
          <w:szCs w:val="24"/>
        </w:rPr>
        <w:t xml:space="preserve">Supporting Statement B, </w:t>
      </w:r>
      <w:r w:rsidRPr="00F01581">
        <w:rPr>
          <w:sz w:val="24"/>
          <w:szCs w:val="24"/>
        </w:rPr>
        <w:t>u</w:t>
      </w:r>
      <w:r w:rsidRPr="00F01581" w:rsidR="0085789B">
        <w:rPr>
          <w:sz w:val="24"/>
          <w:szCs w:val="24"/>
        </w:rPr>
        <w:t xml:space="preserve">niversity researchers have conducted studies specific to BLM lands using methods </w:t>
      </w:r>
      <w:r w:rsidRPr="00F01581">
        <w:rPr>
          <w:sz w:val="24"/>
          <w:szCs w:val="24"/>
        </w:rPr>
        <w:t xml:space="preserve">and questions </w:t>
      </w:r>
      <w:r w:rsidRPr="00F01581" w:rsidR="0085789B">
        <w:rPr>
          <w:sz w:val="24"/>
          <w:szCs w:val="24"/>
        </w:rPr>
        <w:t>proposed in this information collection</w:t>
      </w:r>
      <w:proofErr w:type="gramStart"/>
      <w:r w:rsidRPr="00F01581" w:rsidR="0085789B">
        <w:rPr>
          <w:sz w:val="24"/>
          <w:szCs w:val="24"/>
        </w:rPr>
        <w:t xml:space="preserve">.  </w:t>
      </w:r>
      <w:proofErr w:type="gramEnd"/>
    </w:p>
    <w:p w:rsidRPr="00F01581" w:rsidR="0085789B" w:rsidP="005419A0" w:rsidRDefault="0085789B" w14:paraId="5365C53A" w14:textId="77777777">
      <w:pPr>
        <w:rPr>
          <w:sz w:val="24"/>
          <w:szCs w:val="24"/>
        </w:rPr>
      </w:pPr>
    </w:p>
    <w:p w:rsidR="00F01581" w:rsidP="005419A0" w:rsidRDefault="0085789B" w14:paraId="3234BE8F" w14:textId="2F277422">
      <w:pPr>
        <w:rPr>
          <w:sz w:val="24"/>
          <w:szCs w:val="24"/>
        </w:rPr>
      </w:pPr>
      <w:r w:rsidRPr="00F01581">
        <w:rPr>
          <w:sz w:val="24"/>
          <w:szCs w:val="24"/>
        </w:rPr>
        <w:t>All of the above have proven successful</w:t>
      </w:r>
      <w:proofErr w:type="gramStart"/>
      <w:r w:rsidRPr="00F01581">
        <w:rPr>
          <w:sz w:val="24"/>
          <w:szCs w:val="24"/>
        </w:rPr>
        <w:t xml:space="preserve">.  </w:t>
      </w:r>
      <w:proofErr w:type="gramEnd"/>
    </w:p>
    <w:p w:rsidR="00575499" w:rsidP="005419A0" w:rsidRDefault="00575499" w14:paraId="495E973E" w14:textId="77777777">
      <w:pPr>
        <w:rPr>
          <w:sz w:val="24"/>
          <w:szCs w:val="24"/>
        </w:rPr>
      </w:pPr>
    </w:p>
    <w:p w:rsidRPr="00F01581" w:rsidR="00300594" w:rsidP="002E26BF" w:rsidRDefault="00300594" w14:paraId="44E47E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01581">
        <w:rPr>
          <w:b/>
          <w:sz w:val="24"/>
          <w:szCs w:val="24"/>
        </w:rPr>
        <w:t>5.</w:t>
      </w:r>
      <w:r w:rsidRPr="00F01581">
        <w:rPr>
          <w:b/>
          <w:sz w:val="24"/>
          <w:szCs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300594" w:rsidP="002E26BF" w:rsidRDefault="00300594" w14:paraId="0CE632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C7A4E" w:rsidP="000C7A4E" w:rsidRDefault="000C7A4E" w14:paraId="055EC141" w14:textId="3868E984">
      <w:pPr>
        <w:rPr>
          <w:sz w:val="24"/>
          <w:szCs w:val="24"/>
        </w:rPr>
      </w:pPr>
      <w:r>
        <w:rPr>
          <w:sz w:val="24"/>
          <w:szCs w:val="24"/>
        </w:rPr>
        <w:t>The survey and focus group materials have been developed by Dr. Randy Virden,</w:t>
      </w:r>
      <w:r w:rsidR="00407F01">
        <w:rPr>
          <w:sz w:val="24"/>
          <w:szCs w:val="24"/>
        </w:rPr>
        <w:t xml:space="preserve"> Professor Emeritus, School of Community Resources and Development, Arizona State University; </w:t>
      </w:r>
      <w:r>
        <w:rPr>
          <w:sz w:val="24"/>
          <w:szCs w:val="24"/>
        </w:rPr>
        <w:t>Dr. T. Timothy Casey,</w:t>
      </w:r>
      <w:r w:rsidR="00407F01">
        <w:rPr>
          <w:sz w:val="24"/>
          <w:szCs w:val="24"/>
        </w:rPr>
        <w:t xml:space="preserve"> Professor of Political Science, Colorado Mesa University and Director of CMU Natural Resources Center;</w:t>
      </w:r>
      <w:r>
        <w:rPr>
          <w:sz w:val="24"/>
          <w:szCs w:val="24"/>
        </w:rPr>
        <w:t xml:space="preserve"> and Dr. Peter Fix</w:t>
      </w:r>
      <w:r w:rsidR="00407F01">
        <w:rPr>
          <w:sz w:val="24"/>
          <w:szCs w:val="24"/>
        </w:rPr>
        <w:t>, Professor of Outdoor Recreation and Chair, Department of Natural Resource Management, University of Alaska Fairbanks</w:t>
      </w:r>
      <w:proofErr w:type="gramStart"/>
      <w:r>
        <w:rPr>
          <w:sz w:val="24"/>
          <w:szCs w:val="24"/>
        </w:rPr>
        <w:t xml:space="preserve">.  </w:t>
      </w:r>
      <w:proofErr w:type="gramEnd"/>
      <w:r>
        <w:rPr>
          <w:sz w:val="24"/>
          <w:szCs w:val="24"/>
        </w:rPr>
        <w:t>These three individuals have extensive experience in conducting either recreational visitor surveys or focus groups related to public lands management.</w:t>
      </w:r>
    </w:p>
    <w:p w:rsidR="00407F01" w:rsidP="000C7A4E" w:rsidRDefault="00407F01" w14:paraId="6B966144" w14:textId="77777777">
      <w:pPr>
        <w:rPr>
          <w:b/>
          <w:i/>
          <w:sz w:val="24"/>
          <w:szCs w:val="24"/>
        </w:rPr>
      </w:pPr>
    </w:p>
    <w:p w:rsidRPr="00F01581" w:rsidR="000C7A4E" w:rsidP="000C7A4E" w:rsidRDefault="000C7A4E" w14:paraId="4EBF3312" w14:textId="77777777">
      <w:pPr>
        <w:rPr>
          <w:b/>
          <w:i/>
          <w:sz w:val="24"/>
          <w:szCs w:val="24"/>
        </w:rPr>
      </w:pPr>
      <w:r w:rsidRPr="00F01581">
        <w:rPr>
          <w:b/>
          <w:i/>
          <w:sz w:val="24"/>
          <w:szCs w:val="24"/>
        </w:rPr>
        <w:t>Collection and analysis agency:</w:t>
      </w:r>
    </w:p>
    <w:p w:rsidRPr="00F01581" w:rsidR="000C7A4E" w:rsidP="000C7A4E" w:rsidRDefault="000C7A4E" w14:paraId="1817230A" w14:textId="2BD34226">
      <w:pPr>
        <w:rPr>
          <w:sz w:val="24"/>
          <w:szCs w:val="24"/>
        </w:rPr>
      </w:pPr>
      <w:r w:rsidRPr="00F01581">
        <w:rPr>
          <w:sz w:val="24"/>
          <w:szCs w:val="24"/>
        </w:rPr>
        <w:lastRenderedPageBreak/>
        <w:t xml:space="preserve">The Bureau of Land Management will be the lead </w:t>
      </w:r>
      <w:r w:rsidR="005C01F0">
        <w:rPr>
          <w:sz w:val="24"/>
          <w:szCs w:val="24"/>
        </w:rPr>
        <w:t>f</w:t>
      </w:r>
      <w:r>
        <w:rPr>
          <w:sz w:val="24"/>
          <w:szCs w:val="24"/>
        </w:rPr>
        <w:t>ederal agency for data collection and will work with the lead institution, as outlined in Supporting Statement A, to gather and analyze the data.</w:t>
      </w:r>
    </w:p>
    <w:p w:rsidRPr="00F01581" w:rsidR="000C7A4E" w:rsidP="002E26BF" w:rsidRDefault="000C7A4E" w14:paraId="0E1C0A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F01581" w:rsidR="00300594" w:rsidP="002E26BF" w:rsidRDefault="00300594" w14:paraId="7630E682" w14:textId="0C584D6A">
      <w:pPr>
        <w:rPr>
          <w:b/>
          <w:i/>
          <w:sz w:val="24"/>
          <w:szCs w:val="24"/>
        </w:rPr>
      </w:pPr>
      <w:r w:rsidRPr="00F01581">
        <w:rPr>
          <w:b/>
          <w:i/>
          <w:sz w:val="24"/>
          <w:szCs w:val="24"/>
        </w:rPr>
        <w:t>Statistical consultants:</w:t>
      </w:r>
    </w:p>
    <w:p w:rsidRPr="00F01581" w:rsidR="005903A6" w:rsidP="00BE7CF1" w:rsidRDefault="009E719A" w14:paraId="47FCD71B" w14:textId="4D625C0A">
      <w:pPr>
        <w:rPr>
          <w:sz w:val="24"/>
          <w:szCs w:val="24"/>
        </w:rPr>
      </w:pPr>
      <w:r>
        <w:rPr>
          <w:sz w:val="24"/>
          <w:szCs w:val="24"/>
        </w:rPr>
        <w:t xml:space="preserve">Dr. Joseph Little, Associate Professor and Director of the Master of Science in Resource and Applied Economics Program at the University of Alaska Fairbanks </w:t>
      </w:r>
      <w:r w:rsidR="00225B4E">
        <w:rPr>
          <w:sz w:val="24"/>
          <w:szCs w:val="24"/>
        </w:rPr>
        <w:t xml:space="preserve"> Current affiliation: W.A. Franke College of Business, Northern Arizona University (928) 523-7409.</w:t>
      </w:r>
    </w:p>
    <w:p w:rsidR="00F013B3" w:rsidP="00650E79" w:rsidRDefault="00F013B3" w14:paraId="7E81AE32" w14:textId="2BB1E372">
      <w:pPr>
        <w:rPr>
          <w:sz w:val="24"/>
          <w:szCs w:val="24"/>
        </w:rPr>
      </w:pPr>
    </w:p>
    <w:p w:rsidR="005F7E68" w:rsidP="00650E79" w:rsidRDefault="005F7E68" w14:paraId="626F47AE" w14:textId="621DD20C">
      <w:pPr>
        <w:rPr>
          <w:sz w:val="24"/>
          <w:szCs w:val="24"/>
        </w:rPr>
      </w:pPr>
    </w:p>
    <w:p w:rsidR="005F7E68" w:rsidP="00650E79" w:rsidRDefault="005F7E68" w14:paraId="2D100F85" w14:textId="5C303024">
      <w:pPr>
        <w:rPr>
          <w:sz w:val="24"/>
          <w:szCs w:val="24"/>
        </w:rPr>
      </w:pPr>
    </w:p>
    <w:p w:rsidR="005F7E68" w:rsidP="005F7E68" w:rsidRDefault="005F7E68" w14:paraId="3FB3B237" w14:textId="36260730">
      <w:pPr>
        <w:jc w:val="center"/>
        <w:rPr>
          <w:sz w:val="24"/>
          <w:szCs w:val="24"/>
        </w:rPr>
      </w:pPr>
      <w:r>
        <w:rPr>
          <w:sz w:val="24"/>
          <w:szCs w:val="24"/>
        </w:rPr>
        <w:t>###</w:t>
      </w:r>
    </w:p>
    <w:p w:rsidR="00E0464C" w:rsidP="00650E79" w:rsidRDefault="00E0464C" w14:paraId="6040E334" w14:textId="77777777">
      <w:pPr>
        <w:rPr>
          <w:sz w:val="24"/>
          <w:szCs w:val="24"/>
        </w:rPr>
      </w:pPr>
    </w:p>
    <w:p w:rsidR="00F80AB1" w:rsidP="00F80AB1" w:rsidRDefault="00F80AB1" w14:paraId="395456C0" w14:textId="4B7C9A7C">
      <w:pPr>
        <w:ind w:left="450" w:hanging="450"/>
        <w:rPr>
          <w:sz w:val="24"/>
        </w:rPr>
      </w:pPr>
    </w:p>
    <w:p w:rsidRPr="00F01581" w:rsidR="00E0464C" w:rsidP="004A3116" w:rsidRDefault="00E0464C" w14:paraId="7F992E3F" w14:textId="03851120">
      <w:pPr>
        <w:rPr>
          <w:sz w:val="24"/>
          <w:szCs w:val="24"/>
        </w:rPr>
      </w:pPr>
    </w:p>
    <w:sectPr w:rsidRPr="00F01581" w:rsidR="00E0464C" w:rsidSect="00974AE9">
      <w:footerReference w:type="even" r:id="rId12"/>
      <w:footerReference w:type="default" r:id="rId13"/>
      <w:headerReference w:type="first" r:id="rId14"/>
      <w:footerReference w:type="first" r:id="rId15"/>
      <w:pgSz w:w="12240" w:h="15840"/>
      <w:pgMar w:top="1440" w:right="1440" w:bottom="1440" w:left="1440" w:header="144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8EFD4" w14:textId="77777777" w:rsidR="00E42851" w:rsidRDefault="00E42851" w:rsidP="00AB0CE0">
      <w:r>
        <w:separator/>
      </w:r>
    </w:p>
  </w:endnote>
  <w:endnote w:type="continuationSeparator" w:id="0">
    <w:p w14:paraId="46AB979B" w14:textId="77777777" w:rsidR="00E42851" w:rsidRDefault="00E42851" w:rsidP="00AB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E42B" w14:textId="77777777" w:rsidR="00127BB3" w:rsidRDefault="00127BB3" w:rsidP="001543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E11725" w14:textId="77777777" w:rsidR="00127BB3" w:rsidRDefault="00127BB3" w:rsidP="001543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74A8" w14:textId="77777777" w:rsidR="00127BB3" w:rsidRDefault="00127BB3" w:rsidP="00062E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17C6">
      <w:rPr>
        <w:rStyle w:val="PageNumber"/>
        <w:noProof/>
      </w:rPr>
      <w:t>8</w:t>
    </w:r>
    <w:r>
      <w:rPr>
        <w:rStyle w:val="PageNumber"/>
      </w:rPr>
      <w:fldChar w:fldCharType="end"/>
    </w:r>
  </w:p>
  <w:p w14:paraId="1D524266" w14:textId="77777777" w:rsidR="00127BB3" w:rsidRDefault="00127BB3" w:rsidP="001543F3">
    <w:pPr>
      <w:pStyle w:val="Footer"/>
      <w:ind w:right="360"/>
      <w:jc w:val="center"/>
    </w:pPr>
  </w:p>
  <w:p w14:paraId="77CA1612" w14:textId="77777777" w:rsidR="00127BB3" w:rsidRDefault="00127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25946"/>
      <w:docPartObj>
        <w:docPartGallery w:val="Page Numbers (Bottom of Page)"/>
        <w:docPartUnique/>
      </w:docPartObj>
    </w:sdtPr>
    <w:sdtEndPr>
      <w:rPr>
        <w:noProof/>
      </w:rPr>
    </w:sdtEndPr>
    <w:sdtContent>
      <w:p w14:paraId="4A31CC48" w14:textId="2FC71341" w:rsidR="005F7E68" w:rsidRDefault="005F7E68">
        <w:pPr>
          <w:pStyle w:val="Footer"/>
          <w:jc w:val="right"/>
        </w:pPr>
        <w:r>
          <w:fldChar w:fldCharType="begin"/>
        </w:r>
        <w:r>
          <w:instrText xml:space="preserve"> PAGE   \* MERGEFORMAT </w:instrText>
        </w:r>
        <w:r>
          <w:fldChar w:fldCharType="separate"/>
        </w:r>
        <w:r w:rsidR="00226B69">
          <w:rPr>
            <w:noProof/>
          </w:rPr>
          <w:t>1</w:t>
        </w:r>
        <w:r>
          <w:rPr>
            <w:noProof/>
          </w:rPr>
          <w:fldChar w:fldCharType="end"/>
        </w:r>
      </w:p>
    </w:sdtContent>
  </w:sdt>
  <w:p w14:paraId="66FD89B5" w14:textId="77777777" w:rsidR="005F7E68" w:rsidRDefault="005F7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81775" w14:textId="77777777" w:rsidR="00E42851" w:rsidRDefault="00E42851" w:rsidP="00AB0CE0">
      <w:r>
        <w:separator/>
      </w:r>
    </w:p>
  </w:footnote>
  <w:footnote w:type="continuationSeparator" w:id="0">
    <w:p w14:paraId="770800BC" w14:textId="77777777" w:rsidR="00E42851" w:rsidRDefault="00E42851" w:rsidP="00AB0CE0">
      <w:r>
        <w:continuationSeparator/>
      </w:r>
    </w:p>
  </w:footnote>
  <w:footnote w:id="1">
    <w:p w14:paraId="405D262E" w14:textId="77777777" w:rsidR="009F6EF3" w:rsidRDefault="00127BB3">
      <w:pPr>
        <w:pStyle w:val="FootnoteText"/>
        <w:rPr>
          <w:lang w:val="de-DE"/>
        </w:rPr>
      </w:pPr>
      <w:r>
        <w:rPr>
          <w:rStyle w:val="FootnoteReference"/>
        </w:rPr>
        <w:footnoteRef/>
      </w:r>
      <w:r>
        <w:t xml:space="preserve"> </w:t>
      </w:r>
      <w:r w:rsidRPr="00F229D5">
        <w:rPr>
          <w:lang w:val="de-DE"/>
        </w:rPr>
        <w:t xml:space="preserve">Faul, F., Erdfelder, E., Lang, A.-G., &amp; Buchner, A. (2007). G*Power 3: A flexible statistical power analysis program for the social, behavioral, and biomedical sciences. </w:t>
      </w:r>
      <w:r w:rsidRPr="00F229D5">
        <w:rPr>
          <w:i/>
          <w:iCs/>
          <w:lang w:val="de-DE"/>
        </w:rPr>
        <w:t>Behavior Research Methods</w:t>
      </w:r>
      <w:r w:rsidRPr="00F229D5">
        <w:rPr>
          <w:lang w:val="de-DE"/>
        </w:rPr>
        <w:t xml:space="preserve">, </w:t>
      </w:r>
      <w:r w:rsidRPr="00F229D5">
        <w:rPr>
          <w:i/>
          <w:iCs/>
          <w:lang w:val="de-DE"/>
        </w:rPr>
        <w:t>39</w:t>
      </w:r>
      <w:r w:rsidRPr="00F229D5">
        <w:rPr>
          <w:lang w:val="de-DE"/>
        </w:rPr>
        <w:t>, 175-191.</w:t>
      </w:r>
      <w:r w:rsidR="00FB248E" w:rsidRPr="00F229D5">
        <w:rPr>
          <w:lang w:val="de-DE"/>
        </w:rPr>
        <w:t xml:space="preserve">  </w:t>
      </w:r>
    </w:p>
    <w:p w14:paraId="502E68B2" w14:textId="0F11FE80" w:rsidR="00127BB3" w:rsidRPr="009F6EF3" w:rsidRDefault="00FB248E">
      <w:pPr>
        <w:pStyle w:val="FootnoteText"/>
      </w:pPr>
      <w:r w:rsidRPr="009F6EF3">
        <w:t xml:space="preserve">Glass, G. V &amp; Hopkins, K. D. (1996). </w:t>
      </w:r>
      <w:r w:rsidRPr="00F229D5">
        <w:rPr>
          <w:i/>
          <w:iCs/>
        </w:rPr>
        <w:t>Statistical tests in education and psychology</w:t>
      </w:r>
      <w:r w:rsidRPr="009F6EF3">
        <w:t>. New York, NY: Pearson.</w:t>
      </w:r>
    </w:p>
  </w:footnote>
  <w:footnote w:id="2">
    <w:p w14:paraId="56261C21" w14:textId="77777777" w:rsidR="009F6EF3" w:rsidRPr="00F229D5" w:rsidRDefault="00127BB3" w:rsidP="00381FAF">
      <w:pPr>
        <w:ind w:left="450" w:hanging="450"/>
        <w:rPr>
          <w:i/>
        </w:rPr>
      </w:pPr>
      <w:r w:rsidRPr="009F6EF3">
        <w:rPr>
          <w:rStyle w:val="FootnoteReference"/>
        </w:rPr>
        <w:footnoteRef/>
      </w:r>
      <w:r w:rsidRPr="009F6EF3">
        <w:t xml:space="preserve"> </w:t>
      </w:r>
      <w:r w:rsidRPr="00F229D5">
        <w:t xml:space="preserve">Vaske, J. J. (2008). </w:t>
      </w:r>
      <w:r w:rsidRPr="00F229D5">
        <w:rPr>
          <w:i/>
        </w:rPr>
        <w:t>Survey research and analysis: Applications in parks, recreation and human</w:t>
      </w:r>
      <w:r w:rsidR="009F6EF3" w:rsidRPr="00F229D5">
        <w:rPr>
          <w:i/>
        </w:rPr>
        <w:t xml:space="preserve"> </w:t>
      </w:r>
    </w:p>
    <w:p w14:paraId="0B5C7397" w14:textId="596A587E" w:rsidR="00127BB3" w:rsidRPr="009F6EF3" w:rsidRDefault="00127BB3" w:rsidP="00F229D5">
      <w:pPr>
        <w:ind w:left="450" w:hanging="450"/>
      </w:pPr>
      <w:r w:rsidRPr="00F229D5">
        <w:rPr>
          <w:i/>
        </w:rPr>
        <w:t>dimensions</w:t>
      </w:r>
      <w:proofErr w:type="gramStart"/>
      <w:r w:rsidRPr="00F229D5">
        <w:t xml:space="preserve">.  </w:t>
      </w:r>
      <w:proofErr w:type="gramEnd"/>
      <w:r w:rsidRPr="00F229D5">
        <w:t>State College, PA: Venture Publishing.</w:t>
      </w:r>
    </w:p>
  </w:footnote>
  <w:footnote w:id="3">
    <w:p w14:paraId="02C4BBD8" w14:textId="64F021F7" w:rsidR="00127BB3" w:rsidRDefault="00127BB3">
      <w:pPr>
        <w:pStyle w:val="FootnoteText"/>
      </w:pPr>
      <w:r>
        <w:rPr>
          <w:rStyle w:val="FootnoteReference"/>
        </w:rPr>
        <w:footnoteRef/>
      </w:r>
      <w:r>
        <w:t xml:space="preserve"> </w:t>
      </w:r>
      <w:r w:rsidRPr="00F229D5">
        <w:t xml:space="preserve">Dillman, D. A., Smyth, J. D., &amp; Melani Christian, L. (2014). </w:t>
      </w:r>
      <w:r w:rsidRPr="00F229D5">
        <w:rPr>
          <w:i/>
        </w:rPr>
        <w:t>Internet, Phone, Mail, and Mixed-Mode Surveys: The Tailored Design Method</w:t>
      </w:r>
      <w:r w:rsidRPr="00F229D5">
        <w:t>, 4</w:t>
      </w:r>
      <w:r w:rsidRPr="00F229D5">
        <w:rPr>
          <w:vertAlign w:val="superscript"/>
        </w:rPr>
        <w:t>th</w:t>
      </w:r>
      <w:r w:rsidRPr="00F229D5">
        <w:t xml:space="preserve"> ed.  Hoboken, NJ: John Wiley &amp; Sons.</w:t>
      </w:r>
    </w:p>
  </w:footnote>
  <w:footnote w:id="4">
    <w:p w14:paraId="6881F32B" w14:textId="742564D3" w:rsidR="00127BB3" w:rsidRPr="00927C67" w:rsidRDefault="00127BB3">
      <w:pPr>
        <w:pStyle w:val="FootnoteText"/>
      </w:pPr>
      <w:r w:rsidRPr="00927C67">
        <w:rPr>
          <w:rStyle w:val="FootnoteReference"/>
        </w:rPr>
        <w:footnoteRef/>
      </w:r>
      <w:r w:rsidRPr="00927C67">
        <w:t xml:space="preserve"> </w:t>
      </w:r>
      <w:r w:rsidRPr="00F229D5">
        <w:t xml:space="preserve">Manfredo, M. J., Driver, B. L., &amp; Tarrant, M. A. (1996). Measuring leisure motivation: A meta-analysis of the recreation experience preference scales. </w:t>
      </w:r>
      <w:r w:rsidRPr="00F229D5">
        <w:rPr>
          <w:i/>
          <w:iCs/>
        </w:rPr>
        <w:t>Journal of Leisure Research 28</w:t>
      </w:r>
      <w:r w:rsidRPr="00F229D5">
        <w:t>(3), 188-213.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5610" w14:textId="13AE809B" w:rsidR="003E360A" w:rsidRDefault="007C6712" w:rsidP="00425592">
    <w:pPr>
      <w:pStyle w:val="Header"/>
      <w:jc w:val="right"/>
    </w:pPr>
    <w:r>
      <w:t>3</w:t>
    </w:r>
    <w:r w:rsidR="003E360A">
      <w:t>0-day Federal Register Versio</w:t>
    </w:r>
    <w:r w:rsidR="00F229D5">
      <w:t>n</w:t>
    </w:r>
  </w:p>
  <w:p w14:paraId="5D73DEB1" w14:textId="77777777" w:rsidR="003E360A" w:rsidRDefault="003E3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8434F"/>
    <w:multiLevelType w:val="hybridMultilevel"/>
    <w:tmpl w:val="D1D8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E6B30"/>
    <w:multiLevelType w:val="hybridMultilevel"/>
    <w:tmpl w:val="A6022D7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65A65DE8"/>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6BF"/>
    <w:rsid w:val="0000248D"/>
    <w:rsid w:val="00002563"/>
    <w:rsid w:val="00006DA4"/>
    <w:rsid w:val="00006DA6"/>
    <w:rsid w:val="00007ADC"/>
    <w:rsid w:val="00015AF3"/>
    <w:rsid w:val="00022C92"/>
    <w:rsid w:val="00031A9A"/>
    <w:rsid w:val="000457FA"/>
    <w:rsid w:val="00045DDF"/>
    <w:rsid w:val="00057195"/>
    <w:rsid w:val="000617C6"/>
    <w:rsid w:val="00062E33"/>
    <w:rsid w:val="00064FAA"/>
    <w:rsid w:val="00065A61"/>
    <w:rsid w:val="00067586"/>
    <w:rsid w:val="00072EE4"/>
    <w:rsid w:val="000734CC"/>
    <w:rsid w:val="00087679"/>
    <w:rsid w:val="0009302D"/>
    <w:rsid w:val="000A65C6"/>
    <w:rsid w:val="000A7F15"/>
    <w:rsid w:val="000C76D7"/>
    <w:rsid w:val="000C7A4E"/>
    <w:rsid w:val="000D0D6C"/>
    <w:rsid w:val="000D78B7"/>
    <w:rsid w:val="000E4CA7"/>
    <w:rsid w:val="001069A9"/>
    <w:rsid w:val="001077B1"/>
    <w:rsid w:val="00110D45"/>
    <w:rsid w:val="00115FC0"/>
    <w:rsid w:val="00121BDC"/>
    <w:rsid w:val="0012394A"/>
    <w:rsid w:val="0012465B"/>
    <w:rsid w:val="00125A83"/>
    <w:rsid w:val="00127BB3"/>
    <w:rsid w:val="00131955"/>
    <w:rsid w:val="00132FB5"/>
    <w:rsid w:val="00140758"/>
    <w:rsid w:val="00141579"/>
    <w:rsid w:val="001543F3"/>
    <w:rsid w:val="00156412"/>
    <w:rsid w:val="00157BE4"/>
    <w:rsid w:val="00163EDC"/>
    <w:rsid w:val="00170968"/>
    <w:rsid w:val="001714E7"/>
    <w:rsid w:val="00172FC0"/>
    <w:rsid w:val="00192489"/>
    <w:rsid w:val="001927E7"/>
    <w:rsid w:val="00195905"/>
    <w:rsid w:val="001B1195"/>
    <w:rsid w:val="001C309B"/>
    <w:rsid w:val="001C408E"/>
    <w:rsid w:val="001C540D"/>
    <w:rsid w:val="001C576E"/>
    <w:rsid w:val="001D3F5D"/>
    <w:rsid w:val="001E05AB"/>
    <w:rsid w:val="001F0EA2"/>
    <w:rsid w:val="001F7C9A"/>
    <w:rsid w:val="00201CEC"/>
    <w:rsid w:val="00203B14"/>
    <w:rsid w:val="00206EE7"/>
    <w:rsid w:val="00215539"/>
    <w:rsid w:val="0021560E"/>
    <w:rsid w:val="00221E74"/>
    <w:rsid w:val="0022487C"/>
    <w:rsid w:val="0022587D"/>
    <w:rsid w:val="00225B4E"/>
    <w:rsid w:val="00226B69"/>
    <w:rsid w:val="00230F0A"/>
    <w:rsid w:val="00236935"/>
    <w:rsid w:val="00252634"/>
    <w:rsid w:val="00253C17"/>
    <w:rsid w:val="00256477"/>
    <w:rsid w:val="002665FF"/>
    <w:rsid w:val="00270280"/>
    <w:rsid w:val="002A03AC"/>
    <w:rsid w:val="002A06B5"/>
    <w:rsid w:val="002A15A0"/>
    <w:rsid w:val="002A6FE7"/>
    <w:rsid w:val="002B0CE3"/>
    <w:rsid w:val="002E26BF"/>
    <w:rsid w:val="002E5E3B"/>
    <w:rsid w:val="002E5F41"/>
    <w:rsid w:val="002F23D0"/>
    <w:rsid w:val="00300594"/>
    <w:rsid w:val="0030150B"/>
    <w:rsid w:val="00302E11"/>
    <w:rsid w:val="0030755D"/>
    <w:rsid w:val="003133A1"/>
    <w:rsid w:val="00314CC0"/>
    <w:rsid w:val="00320C86"/>
    <w:rsid w:val="00324A8A"/>
    <w:rsid w:val="00326330"/>
    <w:rsid w:val="00341AD9"/>
    <w:rsid w:val="00352FCF"/>
    <w:rsid w:val="00355FEC"/>
    <w:rsid w:val="00361850"/>
    <w:rsid w:val="003629D8"/>
    <w:rsid w:val="0037194A"/>
    <w:rsid w:val="0037292A"/>
    <w:rsid w:val="00372E8E"/>
    <w:rsid w:val="00375A7C"/>
    <w:rsid w:val="00381FAF"/>
    <w:rsid w:val="003937C0"/>
    <w:rsid w:val="003944F8"/>
    <w:rsid w:val="003A2A01"/>
    <w:rsid w:val="003A4561"/>
    <w:rsid w:val="003B3785"/>
    <w:rsid w:val="003C0D33"/>
    <w:rsid w:val="003C5D9B"/>
    <w:rsid w:val="003C6764"/>
    <w:rsid w:val="003D6B8F"/>
    <w:rsid w:val="003D7249"/>
    <w:rsid w:val="003E3150"/>
    <w:rsid w:val="003E360A"/>
    <w:rsid w:val="003E4A7F"/>
    <w:rsid w:val="003E6A48"/>
    <w:rsid w:val="004006DB"/>
    <w:rsid w:val="0040477A"/>
    <w:rsid w:val="00407F01"/>
    <w:rsid w:val="004109C1"/>
    <w:rsid w:val="004125CC"/>
    <w:rsid w:val="004205EE"/>
    <w:rsid w:val="00420D81"/>
    <w:rsid w:val="00424045"/>
    <w:rsid w:val="00425592"/>
    <w:rsid w:val="004269DC"/>
    <w:rsid w:val="00433935"/>
    <w:rsid w:val="00434516"/>
    <w:rsid w:val="0044315B"/>
    <w:rsid w:val="00445C96"/>
    <w:rsid w:val="00446A9D"/>
    <w:rsid w:val="00457F7C"/>
    <w:rsid w:val="00463017"/>
    <w:rsid w:val="00466A73"/>
    <w:rsid w:val="00483C73"/>
    <w:rsid w:val="00485ADD"/>
    <w:rsid w:val="0048703A"/>
    <w:rsid w:val="004911C1"/>
    <w:rsid w:val="00491AE1"/>
    <w:rsid w:val="0049297A"/>
    <w:rsid w:val="00496B24"/>
    <w:rsid w:val="004A3116"/>
    <w:rsid w:val="004A3707"/>
    <w:rsid w:val="004B4397"/>
    <w:rsid w:val="004C3A75"/>
    <w:rsid w:val="004D103F"/>
    <w:rsid w:val="004E4614"/>
    <w:rsid w:val="004E69A7"/>
    <w:rsid w:val="004F1F58"/>
    <w:rsid w:val="004F3105"/>
    <w:rsid w:val="004F75C3"/>
    <w:rsid w:val="00503BBE"/>
    <w:rsid w:val="005114DB"/>
    <w:rsid w:val="00514836"/>
    <w:rsid w:val="00515172"/>
    <w:rsid w:val="00515BC7"/>
    <w:rsid w:val="00516152"/>
    <w:rsid w:val="00526EAC"/>
    <w:rsid w:val="00535329"/>
    <w:rsid w:val="00537B34"/>
    <w:rsid w:val="005419A0"/>
    <w:rsid w:val="00547A8A"/>
    <w:rsid w:val="00563006"/>
    <w:rsid w:val="0057247D"/>
    <w:rsid w:val="00575499"/>
    <w:rsid w:val="00585EA8"/>
    <w:rsid w:val="005863F0"/>
    <w:rsid w:val="005903A6"/>
    <w:rsid w:val="005B745A"/>
    <w:rsid w:val="005C01F0"/>
    <w:rsid w:val="005C09A5"/>
    <w:rsid w:val="005C5606"/>
    <w:rsid w:val="005D5D1C"/>
    <w:rsid w:val="005E016D"/>
    <w:rsid w:val="005E169C"/>
    <w:rsid w:val="005F7E68"/>
    <w:rsid w:val="0060112D"/>
    <w:rsid w:val="00602905"/>
    <w:rsid w:val="00605AA1"/>
    <w:rsid w:val="0061357B"/>
    <w:rsid w:val="00613C1B"/>
    <w:rsid w:val="00615807"/>
    <w:rsid w:val="006204B1"/>
    <w:rsid w:val="00620E26"/>
    <w:rsid w:val="00637E07"/>
    <w:rsid w:val="00650E79"/>
    <w:rsid w:val="0065710A"/>
    <w:rsid w:val="00662D04"/>
    <w:rsid w:val="0066545E"/>
    <w:rsid w:val="006702FB"/>
    <w:rsid w:val="00675263"/>
    <w:rsid w:val="00680947"/>
    <w:rsid w:val="0069235A"/>
    <w:rsid w:val="006A184C"/>
    <w:rsid w:val="006A3914"/>
    <w:rsid w:val="006A71E7"/>
    <w:rsid w:val="006B1043"/>
    <w:rsid w:val="006C47DF"/>
    <w:rsid w:val="006C7F03"/>
    <w:rsid w:val="006D1A69"/>
    <w:rsid w:val="006D58A5"/>
    <w:rsid w:val="006D7C50"/>
    <w:rsid w:val="006E1AE0"/>
    <w:rsid w:val="006F4B71"/>
    <w:rsid w:val="006F79A5"/>
    <w:rsid w:val="006F7C24"/>
    <w:rsid w:val="007016EF"/>
    <w:rsid w:val="007032EB"/>
    <w:rsid w:val="00712FFC"/>
    <w:rsid w:val="00717D82"/>
    <w:rsid w:val="00720C7D"/>
    <w:rsid w:val="00721750"/>
    <w:rsid w:val="0073266A"/>
    <w:rsid w:val="00733BE1"/>
    <w:rsid w:val="007375CA"/>
    <w:rsid w:val="00740D6F"/>
    <w:rsid w:val="007436A4"/>
    <w:rsid w:val="00744A99"/>
    <w:rsid w:val="00752E73"/>
    <w:rsid w:val="00753497"/>
    <w:rsid w:val="00762716"/>
    <w:rsid w:val="00766971"/>
    <w:rsid w:val="00767910"/>
    <w:rsid w:val="00780547"/>
    <w:rsid w:val="00787214"/>
    <w:rsid w:val="007A4386"/>
    <w:rsid w:val="007B5DD6"/>
    <w:rsid w:val="007B6E38"/>
    <w:rsid w:val="007C0348"/>
    <w:rsid w:val="007C1030"/>
    <w:rsid w:val="007C187D"/>
    <w:rsid w:val="007C6712"/>
    <w:rsid w:val="008008AE"/>
    <w:rsid w:val="0080208E"/>
    <w:rsid w:val="00811CF8"/>
    <w:rsid w:val="00826A03"/>
    <w:rsid w:val="00832745"/>
    <w:rsid w:val="00837999"/>
    <w:rsid w:val="00837FDF"/>
    <w:rsid w:val="0084248B"/>
    <w:rsid w:val="00851E3B"/>
    <w:rsid w:val="00852147"/>
    <w:rsid w:val="00853F46"/>
    <w:rsid w:val="0085789B"/>
    <w:rsid w:val="00861BC1"/>
    <w:rsid w:val="008620F1"/>
    <w:rsid w:val="008663EC"/>
    <w:rsid w:val="008804F0"/>
    <w:rsid w:val="00887ACB"/>
    <w:rsid w:val="0089475D"/>
    <w:rsid w:val="008954DC"/>
    <w:rsid w:val="00897210"/>
    <w:rsid w:val="008A2691"/>
    <w:rsid w:val="008A33A6"/>
    <w:rsid w:val="008A49C0"/>
    <w:rsid w:val="008A5F68"/>
    <w:rsid w:val="008A5FC2"/>
    <w:rsid w:val="008B0E4F"/>
    <w:rsid w:val="008B21C2"/>
    <w:rsid w:val="008C00F9"/>
    <w:rsid w:val="008C072B"/>
    <w:rsid w:val="008D538A"/>
    <w:rsid w:val="008E17D1"/>
    <w:rsid w:val="008E3EA6"/>
    <w:rsid w:val="008F5114"/>
    <w:rsid w:val="008F537C"/>
    <w:rsid w:val="008F72D1"/>
    <w:rsid w:val="00902ED9"/>
    <w:rsid w:val="00916444"/>
    <w:rsid w:val="00923288"/>
    <w:rsid w:val="00927C67"/>
    <w:rsid w:val="00931D57"/>
    <w:rsid w:val="009331E2"/>
    <w:rsid w:val="00935BB8"/>
    <w:rsid w:val="00936008"/>
    <w:rsid w:val="009375CF"/>
    <w:rsid w:val="00943F26"/>
    <w:rsid w:val="0094505D"/>
    <w:rsid w:val="0094640A"/>
    <w:rsid w:val="00946A91"/>
    <w:rsid w:val="00947F09"/>
    <w:rsid w:val="009709A7"/>
    <w:rsid w:val="00974AE9"/>
    <w:rsid w:val="009832FB"/>
    <w:rsid w:val="00984372"/>
    <w:rsid w:val="009871FC"/>
    <w:rsid w:val="00991352"/>
    <w:rsid w:val="00993AC6"/>
    <w:rsid w:val="009B62A3"/>
    <w:rsid w:val="009B79B7"/>
    <w:rsid w:val="009C43CA"/>
    <w:rsid w:val="009C44BC"/>
    <w:rsid w:val="009D1455"/>
    <w:rsid w:val="009D29C7"/>
    <w:rsid w:val="009D4FE3"/>
    <w:rsid w:val="009D6B7D"/>
    <w:rsid w:val="009E2498"/>
    <w:rsid w:val="009E57B0"/>
    <w:rsid w:val="009E719A"/>
    <w:rsid w:val="009F3042"/>
    <w:rsid w:val="009F4E9A"/>
    <w:rsid w:val="009F6EF3"/>
    <w:rsid w:val="00A01411"/>
    <w:rsid w:val="00A0242E"/>
    <w:rsid w:val="00A025E0"/>
    <w:rsid w:val="00A2476B"/>
    <w:rsid w:val="00A2762B"/>
    <w:rsid w:val="00A30761"/>
    <w:rsid w:val="00A35589"/>
    <w:rsid w:val="00A47C27"/>
    <w:rsid w:val="00A51BEA"/>
    <w:rsid w:val="00A577E9"/>
    <w:rsid w:val="00A73841"/>
    <w:rsid w:val="00A74189"/>
    <w:rsid w:val="00A75C67"/>
    <w:rsid w:val="00A75E87"/>
    <w:rsid w:val="00A80FD6"/>
    <w:rsid w:val="00A873AC"/>
    <w:rsid w:val="00A87B86"/>
    <w:rsid w:val="00A9333F"/>
    <w:rsid w:val="00A9395B"/>
    <w:rsid w:val="00A96A1F"/>
    <w:rsid w:val="00A9767B"/>
    <w:rsid w:val="00AB0735"/>
    <w:rsid w:val="00AB0CE0"/>
    <w:rsid w:val="00AE2CBA"/>
    <w:rsid w:val="00AE6C17"/>
    <w:rsid w:val="00B02C7B"/>
    <w:rsid w:val="00B0626B"/>
    <w:rsid w:val="00B136C4"/>
    <w:rsid w:val="00B21585"/>
    <w:rsid w:val="00B238BD"/>
    <w:rsid w:val="00B30335"/>
    <w:rsid w:val="00B3795F"/>
    <w:rsid w:val="00B37B4B"/>
    <w:rsid w:val="00B52396"/>
    <w:rsid w:val="00B535AE"/>
    <w:rsid w:val="00B63F47"/>
    <w:rsid w:val="00B64CE9"/>
    <w:rsid w:val="00B71279"/>
    <w:rsid w:val="00B77B8B"/>
    <w:rsid w:val="00B84754"/>
    <w:rsid w:val="00B9079F"/>
    <w:rsid w:val="00B9328E"/>
    <w:rsid w:val="00B95D36"/>
    <w:rsid w:val="00BA0D43"/>
    <w:rsid w:val="00BA5758"/>
    <w:rsid w:val="00BA6D3F"/>
    <w:rsid w:val="00BA7DB5"/>
    <w:rsid w:val="00BE1D01"/>
    <w:rsid w:val="00BE7CF1"/>
    <w:rsid w:val="00BF0B48"/>
    <w:rsid w:val="00BF4E38"/>
    <w:rsid w:val="00BF5222"/>
    <w:rsid w:val="00C01008"/>
    <w:rsid w:val="00C14233"/>
    <w:rsid w:val="00C20F0F"/>
    <w:rsid w:val="00C249AC"/>
    <w:rsid w:val="00C260BF"/>
    <w:rsid w:val="00C26A65"/>
    <w:rsid w:val="00C32315"/>
    <w:rsid w:val="00C3310E"/>
    <w:rsid w:val="00C3681A"/>
    <w:rsid w:val="00C46D34"/>
    <w:rsid w:val="00C50742"/>
    <w:rsid w:val="00C549B3"/>
    <w:rsid w:val="00C626FD"/>
    <w:rsid w:val="00C76C5B"/>
    <w:rsid w:val="00C9200A"/>
    <w:rsid w:val="00C956CE"/>
    <w:rsid w:val="00CA59CE"/>
    <w:rsid w:val="00CA7AF9"/>
    <w:rsid w:val="00CB77A0"/>
    <w:rsid w:val="00CD5CEB"/>
    <w:rsid w:val="00CE079A"/>
    <w:rsid w:val="00CF273B"/>
    <w:rsid w:val="00CF36B1"/>
    <w:rsid w:val="00D06340"/>
    <w:rsid w:val="00D15F35"/>
    <w:rsid w:val="00D20D93"/>
    <w:rsid w:val="00D36707"/>
    <w:rsid w:val="00D44F40"/>
    <w:rsid w:val="00D526DA"/>
    <w:rsid w:val="00D565E7"/>
    <w:rsid w:val="00D574AA"/>
    <w:rsid w:val="00D660C8"/>
    <w:rsid w:val="00D77C22"/>
    <w:rsid w:val="00D83296"/>
    <w:rsid w:val="00D83453"/>
    <w:rsid w:val="00D8493B"/>
    <w:rsid w:val="00D86FEC"/>
    <w:rsid w:val="00D94FB3"/>
    <w:rsid w:val="00D9681B"/>
    <w:rsid w:val="00D96930"/>
    <w:rsid w:val="00DA64E3"/>
    <w:rsid w:val="00DB4F04"/>
    <w:rsid w:val="00DD21CF"/>
    <w:rsid w:val="00DE1816"/>
    <w:rsid w:val="00DE279A"/>
    <w:rsid w:val="00DE42D3"/>
    <w:rsid w:val="00E0464C"/>
    <w:rsid w:val="00E12C08"/>
    <w:rsid w:val="00E13030"/>
    <w:rsid w:val="00E23A95"/>
    <w:rsid w:val="00E42851"/>
    <w:rsid w:val="00E43E43"/>
    <w:rsid w:val="00E44140"/>
    <w:rsid w:val="00E51BC1"/>
    <w:rsid w:val="00E56FCB"/>
    <w:rsid w:val="00E745AA"/>
    <w:rsid w:val="00E76AEE"/>
    <w:rsid w:val="00E822E5"/>
    <w:rsid w:val="00E85BE3"/>
    <w:rsid w:val="00EA253E"/>
    <w:rsid w:val="00EA3C80"/>
    <w:rsid w:val="00EA5F3F"/>
    <w:rsid w:val="00EA6E13"/>
    <w:rsid w:val="00EC1B42"/>
    <w:rsid w:val="00EC5ED5"/>
    <w:rsid w:val="00EC7E91"/>
    <w:rsid w:val="00ED316E"/>
    <w:rsid w:val="00ED3261"/>
    <w:rsid w:val="00EE3449"/>
    <w:rsid w:val="00EE5937"/>
    <w:rsid w:val="00F013B3"/>
    <w:rsid w:val="00F01581"/>
    <w:rsid w:val="00F04FE2"/>
    <w:rsid w:val="00F076AA"/>
    <w:rsid w:val="00F07B05"/>
    <w:rsid w:val="00F229D5"/>
    <w:rsid w:val="00F26639"/>
    <w:rsid w:val="00F47171"/>
    <w:rsid w:val="00F54B46"/>
    <w:rsid w:val="00F604F0"/>
    <w:rsid w:val="00F61ABD"/>
    <w:rsid w:val="00F66936"/>
    <w:rsid w:val="00F66DE2"/>
    <w:rsid w:val="00F679C8"/>
    <w:rsid w:val="00F72488"/>
    <w:rsid w:val="00F80AB1"/>
    <w:rsid w:val="00F93A0D"/>
    <w:rsid w:val="00F97E88"/>
    <w:rsid w:val="00FA1CC0"/>
    <w:rsid w:val="00FA380C"/>
    <w:rsid w:val="00FA3C16"/>
    <w:rsid w:val="00FA5469"/>
    <w:rsid w:val="00FB248E"/>
    <w:rsid w:val="00FB38DD"/>
    <w:rsid w:val="00FC020D"/>
    <w:rsid w:val="00FD40E4"/>
    <w:rsid w:val="00FD425D"/>
    <w:rsid w:val="00FE3BA1"/>
    <w:rsid w:val="00FF51CF"/>
    <w:rsid w:val="00F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2FE41E"/>
  <w15:docId w15:val="{32BF22AE-0753-462C-B8A4-2228A201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6BF"/>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26BF"/>
    <w:pPr>
      <w:widowControl/>
      <w:autoSpaceDE/>
      <w:autoSpaceDN/>
      <w:adjustRightInd/>
      <w:jc w:val="both"/>
    </w:pPr>
    <w:rPr>
      <w:rFonts w:ascii="Arial" w:hAnsi="Arial"/>
      <w:sz w:val="22"/>
      <w:szCs w:val="24"/>
    </w:rPr>
  </w:style>
  <w:style w:type="character" w:customStyle="1" w:styleId="BodyTextChar">
    <w:name w:val="Body Text Char"/>
    <w:basedOn w:val="DefaultParagraphFont"/>
    <w:link w:val="BodyText"/>
    <w:locked/>
    <w:rsid w:val="002E26BF"/>
    <w:rPr>
      <w:rFonts w:eastAsia="Times New Roman" w:cs="Times New Roman"/>
      <w:sz w:val="24"/>
      <w:szCs w:val="24"/>
    </w:rPr>
  </w:style>
  <w:style w:type="paragraph" w:styleId="Footer">
    <w:name w:val="footer"/>
    <w:basedOn w:val="Normal"/>
    <w:link w:val="FooterChar"/>
    <w:uiPriority w:val="99"/>
    <w:rsid w:val="002E26BF"/>
    <w:pPr>
      <w:tabs>
        <w:tab w:val="center" w:pos="4320"/>
        <w:tab w:val="right" w:pos="8640"/>
      </w:tabs>
    </w:pPr>
  </w:style>
  <w:style w:type="character" w:customStyle="1" w:styleId="FooterChar">
    <w:name w:val="Footer Char"/>
    <w:basedOn w:val="DefaultParagraphFont"/>
    <w:link w:val="Footer"/>
    <w:uiPriority w:val="99"/>
    <w:locked/>
    <w:rsid w:val="002E26BF"/>
    <w:rPr>
      <w:rFonts w:ascii="Times New Roman" w:hAnsi="Times New Roman" w:cs="Times New Roman"/>
      <w:sz w:val="20"/>
    </w:rPr>
  </w:style>
  <w:style w:type="character" w:styleId="PageNumber">
    <w:name w:val="page number"/>
    <w:basedOn w:val="DefaultParagraphFont"/>
    <w:rsid w:val="002E26BF"/>
    <w:rPr>
      <w:rFonts w:cs="Times New Roman"/>
    </w:rPr>
  </w:style>
  <w:style w:type="character" w:styleId="CommentReference">
    <w:name w:val="annotation reference"/>
    <w:basedOn w:val="DefaultParagraphFont"/>
    <w:uiPriority w:val="99"/>
    <w:semiHidden/>
    <w:rsid w:val="002E26BF"/>
    <w:rPr>
      <w:rFonts w:cs="Times New Roman"/>
      <w:sz w:val="16"/>
      <w:szCs w:val="16"/>
    </w:rPr>
  </w:style>
  <w:style w:type="paragraph" w:styleId="CommentText">
    <w:name w:val="annotation text"/>
    <w:basedOn w:val="Normal"/>
    <w:link w:val="CommentTextChar"/>
    <w:uiPriority w:val="99"/>
    <w:semiHidden/>
    <w:rsid w:val="002E26BF"/>
  </w:style>
  <w:style w:type="character" w:customStyle="1" w:styleId="CommentTextChar">
    <w:name w:val="Comment Text Char"/>
    <w:basedOn w:val="DefaultParagraphFont"/>
    <w:link w:val="CommentText"/>
    <w:uiPriority w:val="99"/>
    <w:semiHidden/>
    <w:locked/>
    <w:rsid w:val="002E26BF"/>
    <w:rPr>
      <w:rFonts w:ascii="Times New Roman" w:hAnsi="Times New Roman" w:cs="Times New Roman"/>
      <w:sz w:val="20"/>
    </w:rPr>
  </w:style>
  <w:style w:type="paragraph" w:styleId="BalloonText">
    <w:name w:val="Balloon Text"/>
    <w:basedOn w:val="Normal"/>
    <w:link w:val="BalloonTextChar"/>
    <w:semiHidden/>
    <w:rsid w:val="002E26BF"/>
    <w:rPr>
      <w:rFonts w:ascii="Tahoma" w:hAnsi="Tahoma" w:cs="Tahoma"/>
      <w:sz w:val="16"/>
      <w:szCs w:val="16"/>
    </w:rPr>
  </w:style>
  <w:style w:type="character" w:customStyle="1" w:styleId="BalloonTextChar">
    <w:name w:val="Balloon Text Char"/>
    <w:basedOn w:val="DefaultParagraphFont"/>
    <w:link w:val="BalloonText"/>
    <w:semiHidden/>
    <w:locked/>
    <w:rsid w:val="002E26BF"/>
    <w:rPr>
      <w:rFonts w:ascii="Tahoma" w:hAnsi="Tahoma" w:cs="Tahoma"/>
      <w:sz w:val="16"/>
      <w:szCs w:val="16"/>
    </w:rPr>
  </w:style>
  <w:style w:type="paragraph" w:styleId="CommentSubject">
    <w:name w:val="annotation subject"/>
    <w:basedOn w:val="CommentText"/>
    <w:next w:val="CommentText"/>
    <w:link w:val="CommentSubjectChar"/>
    <w:semiHidden/>
    <w:rsid w:val="008C072B"/>
    <w:rPr>
      <w:b/>
      <w:bCs/>
    </w:rPr>
  </w:style>
  <w:style w:type="character" w:customStyle="1" w:styleId="CommentSubjectChar">
    <w:name w:val="Comment Subject Char"/>
    <w:basedOn w:val="CommentTextChar"/>
    <w:link w:val="CommentSubject"/>
    <w:semiHidden/>
    <w:locked/>
    <w:rsid w:val="008C072B"/>
    <w:rPr>
      <w:rFonts w:ascii="Times New Roman" w:hAnsi="Times New Roman" w:cs="Times New Roman"/>
      <w:b/>
      <w:bCs/>
      <w:sz w:val="20"/>
    </w:rPr>
  </w:style>
  <w:style w:type="paragraph" w:styleId="Revision">
    <w:name w:val="Revision"/>
    <w:hidden/>
    <w:semiHidden/>
    <w:rsid w:val="0057247D"/>
    <w:rPr>
      <w:rFonts w:ascii="Times New Roman" w:hAnsi="Times New Roman"/>
    </w:rPr>
  </w:style>
  <w:style w:type="table" w:styleId="TableGrid">
    <w:name w:val="Table Grid"/>
    <w:basedOn w:val="TableNormal"/>
    <w:rsid w:val="00712FF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762716"/>
    <w:pPr>
      <w:tabs>
        <w:tab w:val="center" w:pos="4680"/>
        <w:tab w:val="right" w:pos="9360"/>
      </w:tabs>
    </w:pPr>
  </w:style>
  <w:style w:type="character" w:customStyle="1" w:styleId="HeaderChar">
    <w:name w:val="Header Char"/>
    <w:basedOn w:val="DefaultParagraphFont"/>
    <w:link w:val="Header"/>
    <w:uiPriority w:val="99"/>
    <w:rsid w:val="00762716"/>
    <w:rPr>
      <w:rFonts w:ascii="Times New Roman" w:hAnsi="Times New Roman"/>
    </w:rPr>
  </w:style>
  <w:style w:type="paragraph" w:styleId="FootnoteText">
    <w:name w:val="footnote text"/>
    <w:basedOn w:val="Normal"/>
    <w:link w:val="FootnoteTextChar"/>
    <w:rsid w:val="00BE1D01"/>
  </w:style>
  <w:style w:type="character" w:customStyle="1" w:styleId="FootnoteTextChar">
    <w:name w:val="Footnote Text Char"/>
    <w:basedOn w:val="DefaultParagraphFont"/>
    <w:link w:val="FootnoteText"/>
    <w:rsid w:val="00BE1D01"/>
    <w:rPr>
      <w:rFonts w:ascii="Times New Roman" w:hAnsi="Times New Roman"/>
    </w:rPr>
  </w:style>
  <w:style w:type="character" w:styleId="FootnoteReference">
    <w:name w:val="footnote reference"/>
    <w:basedOn w:val="DefaultParagraphFont"/>
    <w:rsid w:val="00BE1D01"/>
    <w:rPr>
      <w:vertAlign w:val="superscript"/>
    </w:rPr>
  </w:style>
  <w:style w:type="paragraph" w:customStyle="1" w:styleId="reference">
    <w:name w:val="reference"/>
    <w:basedOn w:val="Normal"/>
    <w:rsid w:val="00BE1D01"/>
    <w:pPr>
      <w:widowControl/>
      <w:autoSpaceDE/>
      <w:autoSpaceDN/>
      <w:adjustRightInd/>
      <w:spacing w:before="100" w:beforeAutospacing="1" w:after="100" w:afterAutospacing="1"/>
    </w:pPr>
    <w:rPr>
      <w:rFonts w:eastAsia="Times New Roman"/>
      <w:sz w:val="24"/>
      <w:szCs w:val="24"/>
    </w:rPr>
  </w:style>
  <w:style w:type="paragraph" w:styleId="BodyTextIndent">
    <w:name w:val="Body Text Indent"/>
    <w:basedOn w:val="Normal"/>
    <w:link w:val="BodyTextIndentChar"/>
    <w:rsid w:val="00375A7C"/>
    <w:pPr>
      <w:spacing w:after="120"/>
      <w:ind w:left="360"/>
    </w:pPr>
  </w:style>
  <w:style w:type="character" w:customStyle="1" w:styleId="BodyTextIndentChar">
    <w:name w:val="Body Text Indent Char"/>
    <w:basedOn w:val="DefaultParagraphFont"/>
    <w:link w:val="BodyTextIndent"/>
    <w:rsid w:val="00375A7C"/>
    <w:rPr>
      <w:rFonts w:ascii="Times New Roman" w:hAnsi="Times New Roman"/>
    </w:rPr>
  </w:style>
  <w:style w:type="paragraph" w:styleId="ListParagraph">
    <w:name w:val="List Paragraph"/>
    <w:basedOn w:val="Normal"/>
    <w:uiPriority w:val="34"/>
    <w:qFormat/>
    <w:rsid w:val="00717D82"/>
    <w:pPr>
      <w:ind w:left="720"/>
      <w:contextualSpacing/>
    </w:pPr>
  </w:style>
  <w:style w:type="character" w:styleId="Hyperlink">
    <w:name w:val="Hyperlink"/>
    <w:basedOn w:val="DefaultParagraphFont"/>
    <w:uiPriority w:val="99"/>
    <w:unhideWhenUsed/>
    <w:rsid w:val="00FF77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838147e9-2390-42f4-9c5f-3510b4644a9f">75TY2XRQUNK4-1265109405-205092</_dlc_DocId>
    <_dlc_DocIdUrl xmlns="838147e9-2390-42f4-9c5f-3510b4644a9f">
      <Url>https://doimspp.sharepoint.com/sites/blm-wo-400/430/_layouts/15/DocIdRedir.aspx?ID=75TY2XRQUNK4-1265109405-205092</Url>
      <Description>75TY2XRQUNK4-1265109405-205092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FBAE55269CF1D4B80879E2DD8C204C8" ma:contentTypeVersion="3645" ma:contentTypeDescription="Create a new document." ma:contentTypeScope="" ma:versionID="c919b5a0ddb9fbbd3d02d18e867c81c6">
  <xsd:schema xmlns:xsd="http://www.w3.org/2001/XMLSchema" xmlns:xs="http://www.w3.org/2001/XMLSchema" xmlns:p="http://schemas.microsoft.com/office/2006/metadata/properties" xmlns:ns1="http://schemas.microsoft.com/sharepoint/v3" xmlns:ns2="838147e9-2390-42f4-9c5f-3510b4644a9f" xmlns:ns3="8d5f800a-6309-4655-bf7a-60142ede486c" xmlns:ns4="ee880fb9-8175-4670-8a13-709da5ce4130" targetNamespace="http://schemas.microsoft.com/office/2006/metadata/properties" ma:root="true" ma:fieldsID="b901f71ed031753904a3cd9b5901d0d7" ns1:_="" ns2:_="" ns3:_="" ns4:_="">
    <xsd:import namespace="http://schemas.microsoft.com/sharepoint/v3"/>
    <xsd:import namespace="838147e9-2390-42f4-9c5f-3510b4644a9f"/>
    <xsd:import namespace="8d5f800a-6309-4655-bf7a-60142ede486c"/>
    <xsd:import namespace="ee880fb9-8175-4670-8a13-709da5ce413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147e9-2390-42f4-9c5f-3510b4644a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5f800a-6309-4655-bf7a-60142ede48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80fb9-8175-4670-8a13-709da5ce413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46456-EFC1-413F-85EE-285E1FC7A07E}">
  <ds:schemaRefs>
    <ds:schemaRef ds:uri="http://schemas.microsoft.com/office/2006/metadata/properties"/>
    <ds:schemaRef ds:uri="http://schemas.microsoft.com/office/infopath/2007/PartnerControls"/>
    <ds:schemaRef ds:uri="http://schemas.microsoft.com/sharepoint/v3"/>
    <ds:schemaRef ds:uri="838147e9-2390-42f4-9c5f-3510b4644a9f"/>
  </ds:schemaRefs>
</ds:datastoreItem>
</file>

<file path=customXml/itemProps2.xml><?xml version="1.0" encoding="utf-8"?>
<ds:datastoreItem xmlns:ds="http://schemas.openxmlformats.org/officeDocument/2006/customXml" ds:itemID="{CE0FCC6B-DF96-438E-9EEF-BDF2B7B08D69}">
  <ds:schemaRefs>
    <ds:schemaRef ds:uri="http://schemas.microsoft.com/sharepoint/v3/contenttype/forms"/>
  </ds:schemaRefs>
</ds:datastoreItem>
</file>

<file path=customXml/itemProps3.xml><?xml version="1.0" encoding="utf-8"?>
<ds:datastoreItem xmlns:ds="http://schemas.openxmlformats.org/officeDocument/2006/customXml" ds:itemID="{9598F257-FE18-4D12-A30A-E248F0D76FB7}">
  <ds:schemaRefs>
    <ds:schemaRef ds:uri="http://schemas.microsoft.com/sharepoint/events"/>
  </ds:schemaRefs>
</ds:datastoreItem>
</file>

<file path=customXml/itemProps4.xml><?xml version="1.0" encoding="utf-8"?>
<ds:datastoreItem xmlns:ds="http://schemas.openxmlformats.org/officeDocument/2006/customXml" ds:itemID="{B20295E7-325B-4311-A3C8-87CF07E9C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8147e9-2390-42f4-9c5f-3510b4644a9f"/>
    <ds:schemaRef ds:uri="8d5f800a-6309-4655-bf7a-60142ede486c"/>
    <ds:schemaRef ds:uri="ee880fb9-8175-4670-8a13-709da5ce4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61AF5D-C682-4388-829B-F9FFD3FC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3069</Words>
  <Characters>17265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B for</vt:lpstr>
    </vt:vector>
  </TitlesOfParts>
  <Company>United States Geological Survey</Company>
  <LinksUpToDate>false</LinksUpToDate>
  <CharactersWithSpaces>20294</CharactersWithSpaces>
  <SharedDoc>false</SharedDoc>
  <HLinks>
    <vt:vector size="6" baseType="variant">
      <vt:variant>
        <vt:i4>5701675</vt:i4>
      </vt:variant>
      <vt:variant>
        <vt:i4>2</vt:i4>
      </vt:variant>
      <vt:variant>
        <vt:i4>0</vt:i4>
      </vt:variant>
      <vt:variant>
        <vt:i4>5</vt:i4>
      </vt:variant>
      <vt:variant>
        <vt:lpwstr>mailto:John.Loomis@Colostate.edu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for</dc:title>
  <dc:creator>swanne</dc:creator>
  <cp:lastModifiedBy>King, Darrin A</cp:lastModifiedBy>
  <cp:revision>3</cp:revision>
  <cp:lastPrinted>2010-01-20T01:26:00Z</cp:lastPrinted>
  <dcterms:created xsi:type="dcterms:W3CDTF">2021-10-12T19:17:00Z</dcterms:created>
  <dcterms:modified xsi:type="dcterms:W3CDTF">2021-10-12T19:18:00Z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0x0101005FBAE55269CF1D4B80879E2DD8C204C8</vt:lpwstr>
  </property>
  <property fmtid="{D5CDD505-2E9C-101B-9397-08002B2CF9AE}" pid="3" name="_dlc_DocIdItemGuid">
    <vt:lpwstr>ee0f944f-ee0f-4052-8d0b-65a026e2bcbd</vt:lpwstr>
  </property>
</Properties>
</file>