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1499D" w:rsidR="00295103" w:rsidRDefault="00A55186" w14:paraId="51F71D5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6"/>
          <w:szCs w:val="26"/>
        </w:rPr>
      </w:pPr>
      <w:r w:rsidRPr="0051499D">
        <w:rPr>
          <w:sz w:val="26"/>
          <w:szCs w:val="26"/>
          <w:lang w:val="en-CA"/>
        </w:rPr>
        <w:fldChar w:fldCharType="begin"/>
      </w:r>
      <w:r w:rsidRPr="0051499D" w:rsidR="00295103">
        <w:rPr>
          <w:sz w:val="26"/>
          <w:szCs w:val="26"/>
          <w:lang w:val="en-CA"/>
        </w:rPr>
        <w:instrText xml:space="preserve"> SEQ CHAPTER \h \r 1</w:instrText>
      </w:r>
      <w:r w:rsidRPr="0051499D">
        <w:rPr>
          <w:sz w:val="26"/>
          <w:szCs w:val="26"/>
          <w:lang w:val="en-CA"/>
        </w:rPr>
        <w:fldChar w:fldCharType="end"/>
      </w:r>
      <w:r w:rsidRPr="0051499D" w:rsidR="00295103">
        <w:rPr>
          <w:b/>
          <w:bCs/>
          <w:sz w:val="26"/>
          <w:szCs w:val="26"/>
        </w:rPr>
        <w:t xml:space="preserve">Supporting </w:t>
      </w:r>
      <w:proofErr w:type="gramStart"/>
      <w:r w:rsidRPr="0051499D" w:rsidR="00295103">
        <w:rPr>
          <w:b/>
          <w:bCs/>
          <w:sz w:val="26"/>
          <w:szCs w:val="26"/>
        </w:rPr>
        <w:t>Statement</w:t>
      </w:r>
      <w:proofErr w:type="gramEnd"/>
      <w:r w:rsidRPr="0051499D" w:rsidR="00295103">
        <w:rPr>
          <w:b/>
          <w:bCs/>
          <w:sz w:val="26"/>
          <w:szCs w:val="26"/>
        </w:rPr>
        <w:t xml:space="preserve"> </w:t>
      </w:r>
      <w:r w:rsidRPr="0051499D" w:rsidR="007851E9">
        <w:rPr>
          <w:b/>
          <w:bCs/>
          <w:sz w:val="26"/>
          <w:szCs w:val="26"/>
        </w:rPr>
        <w:t>A</w:t>
      </w:r>
    </w:p>
    <w:p w:rsidRPr="0051499D" w:rsidR="009B359F" w:rsidRDefault="009B359F" w14:paraId="102C6E4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6"/>
          <w:szCs w:val="26"/>
        </w:rPr>
      </w:pPr>
    </w:p>
    <w:p w:rsidRPr="0051499D" w:rsidR="009B359F" w:rsidP="004453DA" w:rsidRDefault="00775691" w14:paraId="138FD9C3" w14:textId="442EC01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6"/>
          <w:szCs w:val="26"/>
        </w:rPr>
      </w:pPr>
      <w:r w:rsidRPr="0051499D">
        <w:rPr>
          <w:b/>
          <w:bCs/>
          <w:sz w:val="26"/>
          <w:szCs w:val="26"/>
        </w:rPr>
        <w:t>Federal Acknowledgment as an Indian Tribe</w:t>
      </w:r>
      <w:r w:rsidRPr="0051499D" w:rsidR="00E25850">
        <w:rPr>
          <w:b/>
          <w:bCs/>
          <w:sz w:val="26"/>
          <w:szCs w:val="26"/>
        </w:rPr>
        <w:t>, 25 CFR 83</w:t>
      </w:r>
    </w:p>
    <w:p w:rsidRPr="0051499D" w:rsidR="00295103" w:rsidRDefault="00295103" w14:paraId="10A1CF4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6"/>
          <w:szCs w:val="26"/>
        </w:rPr>
      </w:pPr>
    </w:p>
    <w:p w:rsidRPr="0051499D" w:rsidR="00295103" w:rsidP="009B359F" w:rsidRDefault="00295103" w14:paraId="2A98BA0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6"/>
          <w:szCs w:val="26"/>
        </w:rPr>
      </w:pPr>
      <w:r w:rsidRPr="0051499D">
        <w:rPr>
          <w:b/>
          <w:bCs/>
          <w:sz w:val="26"/>
          <w:szCs w:val="26"/>
        </w:rPr>
        <w:t xml:space="preserve">OMB Control Number </w:t>
      </w:r>
      <w:r w:rsidRPr="0051499D" w:rsidR="00775691">
        <w:rPr>
          <w:b/>
          <w:bCs/>
          <w:sz w:val="26"/>
          <w:szCs w:val="26"/>
        </w:rPr>
        <w:t>1076-0104</w:t>
      </w:r>
    </w:p>
    <w:p w:rsidRPr="0051499D" w:rsidR="009B359F" w:rsidP="009B359F" w:rsidRDefault="00C14FFB" w14:paraId="40261223" w14:textId="0A625FD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6"/>
          <w:szCs w:val="26"/>
        </w:rPr>
      </w:pPr>
      <w:r w:rsidRPr="0051499D">
        <w:rPr>
          <w:sz w:val="26"/>
          <w:szCs w:val="26"/>
        </w:rPr>
        <w:t>Revision</w:t>
      </w:r>
    </w:p>
    <w:p w:rsidRPr="0051499D" w:rsidR="00E7714C" w:rsidP="009B359F" w:rsidRDefault="00E7714C" w14:paraId="0F928FE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szCs w:val="22"/>
        </w:rPr>
      </w:pPr>
    </w:p>
    <w:p w:rsidRPr="0051499D" w:rsidR="004F466F" w:rsidP="000C18D8" w:rsidRDefault="000F3AF1" w14:paraId="0919523A" w14:textId="686FF4A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51499D">
        <w:rPr>
          <w:b/>
          <w:sz w:val="22"/>
          <w:szCs w:val="22"/>
        </w:rPr>
        <w:t>Terms of Clearance:</w:t>
      </w:r>
      <w:r w:rsidRPr="0051499D">
        <w:rPr>
          <w:sz w:val="22"/>
          <w:szCs w:val="22"/>
        </w:rPr>
        <w:t xml:space="preserve"> </w:t>
      </w:r>
      <w:r w:rsidRPr="0051499D" w:rsidR="003F6C51">
        <w:rPr>
          <w:sz w:val="22"/>
          <w:szCs w:val="22"/>
        </w:rPr>
        <w:t>None.</w:t>
      </w:r>
    </w:p>
    <w:p w:rsidRPr="0051499D" w:rsidR="00295103" w:rsidRDefault="00295103" w14:paraId="756D4C1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Pr="0051499D" w:rsidR="00295103" w:rsidRDefault="00295103" w14:paraId="7D0C21A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r w:rsidRPr="0051499D">
        <w:rPr>
          <w:b/>
          <w:bCs/>
          <w:sz w:val="22"/>
          <w:szCs w:val="22"/>
        </w:rPr>
        <w:t>Justification</w:t>
      </w:r>
    </w:p>
    <w:p w:rsidRPr="0051499D" w:rsidR="00295103" w:rsidRDefault="00295103" w14:paraId="55732EA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Pr="0051499D" w:rsidR="00295103" w:rsidRDefault="00295103" w14:paraId="3ED083D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szCs w:val="22"/>
        </w:rPr>
      </w:pPr>
      <w:r w:rsidRPr="0051499D">
        <w:rPr>
          <w:b/>
          <w:sz w:val="22"/>
          <w:szCs w:val="22"/>
        </w:rPr>
        <w:t>1.</w:t>
      </w:r>
      <w:r w:rsidRPr="0051499D">
        <w:rPr>
          <w:b/>
          <w:sz w:val="22"/>
          <w:szCs w:val="22"/>
        </w:rPr>
        <w:tab/>
        <w:t>Explain the circumstances that make the collection of information necessary.  Identify any legal or administrative requirements that necessitate the collection</w:t>
      </w:r>
      <w:r w:rsidRPr="0051499D" w:rsidR="000F3AF1">
        <w:rPr>
          <w:b/>
          <w:sz w:val="22"/>
          <w:szCs w:val="22"/>
        </w:rPr>
        <w:t>.</w:t>
      </w:r>
    </w:p>
    <w:p w:rsidRPr="0051499D" w:rsidR="00295103" w:rsidRDefault="00295103" w14:paraId="605DE50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Pr="0051499D" w:rsidR="00775691" w:rsidP="00775691" w:rsidRDefault="00775691" w14:paraId="0D274FC7" w14:textId="70A6DB8E">
      <w:pPr>
        <w:rPr>
          <w:sz w:val="22"/>
          <w:szCs w:val="22"/>
        </w:rPr>
      </w:pPr>
      <w:r w:rsidRPr="0051499D">
        <w:rPr>
          <w:sz w:val="22"/>
          <w:szCs w:val="22"/>
        </w:rPr>
        <w:t xml:space="preserve">The U.S. Government has a government-to-government relationship with </w:t>
      </w:r>
      <w:r w:rsidRPr="0051499D" w:rsidR="009E78BC">
        <w:rPr>
          <w:sz w:val="22"/>
          <w:szCs w:val="22"/>
        </w:rPr>
        <w:t>f</w:t>
      </w:r>
      <w:r w:rsidRPr="0051499D">
        <w:rPr>
          <w:sz w:val="22"/>
          <w:szCs w:val="22"/>
        </w:rPr>
        <w:t xml:space="preserve">ederally acknowledged Indian </w:t>
      </w:r>
      <w:r w:rsidR="009E6E6C">
        <w:rPr>
          <w:sz w:val="22"/>
          <w:szCs w:val="22"/>
        </w:rPr>
        <w:t>Tribes</w:t>
      </w:r>
      <w:r w:rsidRPr="0051499D">
        <w:rPr>
          <w:sz w:val="22"/>
          <w:szCs w:val="22"/>
        </w:rPr>
        <w:t>.  Currently, there are 5</w:t>
      </w:r>
      <w:r w:rsidRPr="0051499D" w:rsidR="00154652">
        <w:rPr>
          <w:sz w:val="22"/>
          <w:szCs w:val="22"/>
        </w:rPr>
        <w:t>7</w:t>
      </w:r>
      <w:r w:rsidRPr="0051499D" w:rsidR="0097749E">
        <w:rPr>
          <w:sz w:val="22"/>
          <w:szCs w:val="22"/>
        </w:rPr>
        <w:t>4</w:t>
      </w:r>
      <w:r w:rsidRPr="0051499D">
        <w:rPr>
          <w:sz w:val="22"/>
          <w:szCs w:val="22"/>
        </w:rPr>
        <w:t xml:space="preserve"> </w:t>
      </w:r>
      <w:r w:rsidRPr="0051499D" w:rsidR="009E78BC">
        <w:rPr>
          <w:sz w:val="22"/>
          <w:szCs w:val="22"/>
        </w:rPr>
        <w:t>f</w:t>
      </w:r>
      <w:r w:rsidRPr="0051499D">
        <w:rPr>
          <w:sz w:val="22"/>
          <w:szCs w:val="22"/>
        </w:rPr>
        <w:t xml:space="preserve">ederally acknowledged Indian </w:t>
      </w:r>
      <w:r w:rsidR="009E6E6C">
        <w:rPr>
          <w:sz w:val="22"/>
          <w:szCs w:val="22"/>
        </w:rPr>
        <w:t>Tribes</w:t>
      </w:r>
      <w:r w:rsidRPr="0051499D">
        <w:rPr>
          <w:sz w:val="22"/>
          <w:szCs w:val="22"/>
        </w:rPr>
        <w:t xml:space="preserve">.  These </w:t>
      </w:r>
      <w:r w:rsidR="009E6E6C">
        <w:rPr>
          <w:sz w:val="22"/>
          <w:szCs w:val="22"/>
        </w:rPr>
        <w:t>Tribes</w:t>
      </w:r>
      <w:r w:rsidRPr="0051499D">
        <w:rPr>
          <w:sz w:val="22"/>
          <w:szCs w:val="22"/>
        </w:rPr>
        <w:t xml:space="preserve"> have been acknowledged by treaty, by Congress, or administratively by </w:t>
      </w:r>
      <w:r w:rsidRPr="0051499D" w:rsidR="007C0C00">
        <w:rPr>
          <w:sz w:val="22"/>
          <w:szCs w:val="22"/>
        </w:rPr>
        <w:t xml:space="preserve">the </w:t>
      </w:r>
      <w:r w:rsidRPr="0051499D">
        <w:rPr>
          <w:sz w:val="22"/>
          <w:szCs w:val="22"/>
        </w:rPr>
        <w:t>Executive Branch, specifically the U.S. Department of the Interior (Department).  Beginning in the early 1970’s, the Department received an increasing number of requests for acknowledgment.  In 1978, the Department established the present administrative process for an Indian group to be acknowledged as an Indian tribe (25 CFR 83,</w:t>
      </w:r>
      <w:r w:rsidRPr="0051499D">
        <w:rPr>
          <w:i/>
          <w:iCs/>
          <w:sz w:val="22"/>
          <w:szCs w:val="22"/>
        </w:rPr>
        <w:t xml:space="preserve"> Procedures for</w:t>
      </w:r>
      <w:r w:rsidRPr="0051499D" w:rsidR="009B41A8">
        <w:rPr>
          <w:i/>
          <w:iCs/>
          <w:sz w:val="22"/>
          <w:szCs w:val="22"/>
        </w:rPr>
        <w:t xml:space="preserve"> Federal Acknowledgment of Indian </w:t>
      </w:r>
      <w:r w:rsidR="009E6E6C">
        <w:rPr>
          <w:i/>
          <w:iCs/>
          <w:sz w:val="22"/>
          <w:szCs w:val="22"/>
        </w:rPr>
        <w:t>Tribes</w:t>
      </w:r>
      <w:r w:rsidRPr="0051499D">
        <w:rPr>
          <w:sz w:val="22"/>
          <w:szCs w:val="22"/>
        </w:rPr>
        <w:t xml:space="preserve">).  The acknowledgment process established by these regulations is the Department’s administrative process by which petitioning groups that meet the criteria are given Federal "acknowledgment" as Indian </w:t>
      </w:r>
      <w:r w:rsidR="009E6E6C">
        <w:rPr>
          <w:sz w:val="22"/>
          <w:szCs w:val="22"/>
        </w:rPr>
        <w:t>Tribes</w:t>
      </w:r>
      <w:r w:rsidRPr="0051499D">
        <w:rPr>
          <w:sz w:val="22"/>
          <w:szCs w:val="22"/>
        </w:rPr>
        <w:t xml:space="preserve"> and by which they become eligible to receive services provided to members of Indian </w:t>
      </w:r>
      <w:r w:rsidR="009E6E6C">
        <w:rPr>
          <w:sz w:val="22"/>
          <w:szCs w:val="22"/>
        </w:rPr>
        <w:t>Tribes</w:t>
      </w:r>
      <w:r w:rsidRPr="0051499D">
        <w:rPr>
          <w:sz w:val="22"/>
          <w:szCs w:val="22"/>
        </w:rPr>
        <w:t xml:space="preserve">. </w:t>
      </w:r>
    </w:p>
    <w:p w:rsidRPr="0051499D" w:rsidR="00E7714C" w:rsidP="00775691" w:rsidRDefault="00E7714C" w14:paraId="382C34CC" w14:textId="77777777">
      <w:pPr>
        <w:rPr>
          <w:sz w:val="22"/>
          <w:szCs w:val="22"/>
        </w:rPr>
      </w:pPr>
    </w:p>
    <w:p w:rsidRPr="0051499D" w:rsidR="00E7714C" w:rsidP="00775691" w:rsidRDefault="009B41A8" w14:paraId="75DDA457" w14:textId="32ECCE9F">
      <w:pPr>
        <w:rPr>
          <w:sz w:val="22"/>
          <w:szCs w:val="22"/>
        </w:rPr>
      </w:pPr>
      <w:r w:rsidRPr="0051499D">
        <w:rPr>
          <w:sz w:val="22"/>
          <w:szCs w:val="22"/>
        </w:rPr>
        <w:t xml:space="preserve">The Department revised the Part 83 regulations which became final and effective on July 31, 2015 (2015 regulations).  To </w:t>
      </w:r>
      <w:r w:rsidRPr="0051499D" w:rsidR="000D0D24">
        <w:rPr>
          <w:sz w:val="22"/>
          <w:szCs w:val="22"/>
        </w:rPr>
        <w:t>begin</w:t>
      </w:r>
      <w:r w:rsidRPr="0051499D">
        <w:rPr>
          <w:sz w:val="22"/>
          <w:szCs w:val="22"/>
        </w:rPr>
        <w:t xml:space="preserve"> the process, a group must submit a “documented petition” as required under the 2015 regulations.</w:t>
      </w:r>
    </w:p>
    <w:p w:rsidRPr="0051499D" w:rsidR="009B41A8" w:rsidP="00775691" w:rsidRDefault="009B41A8" w14:paraId="1264141C" w14:textId="77777777">
      <w:pPr>
        <w:rPr>
          <w:sz w:val="22"/>
          <w:szCs w:val="22"/>
        </w:rPr>
      </w:pPr>
    </w:p>
    <w:p w:rsidRPr="0051499D" w:rsidR="00E7714C" w:rsidP="00E7714C" w:rsidRDefault="00E7714C" w14:paraId="52F6A4B3" w14:textId="716CFA7B">
      <w:pPr>
        <w:rPr>
          <w:sz w:val="22"/>
          <w:szCs w:val="22"/>
        </w:rPr>
      </w:pPr>
      <w:r w:rsidRPr="0051499D">
        <w:rPr>
          <w:sz w:val="22"/>
          <w:szCs w:val="22"/>
        </w:rPr>
        <w:t>The Office of Federal Acknowledgment (OFA) within the Office of the Assistant Secretary - Indian Affairs of the Department (AS-IA) implement</w:t>
      </w:r>
      <w:r w:rsidRPr="0051499D" w:rsidR="007C0C00">
        <w:rPr>
          <w:sz w:val="22"/>
          <w:szCs w:val="22"/>
        </w:rPr>
        <w:t>s</w:t>
      </w:r>
      <w:r w:rsidRPr="0051499D">
        <w:rPr>
          <w:sz w:val="22"/>
          <w:szCs w:val="22"/>
        </w:rPr>
        <w:t xml:space="preserve"> 25 CFR 83.  OFA processes the </w:t>
      </w:r>
      <w:r w:rsidRPr="0051499D" w:rsidR="009B41A8">
        <w:rPr>
          <w:sz w:val="22"/>
          <w:szCs w:val="22"/>
        </w:rPr>
        <w:t xml:space="preserve">documented </w:t>
      </w:r>
      <w:r w:rsidRPr="0051499D">
        <w:rPr>
          <w:sz w:val="22"/>
          <w:szCs w:val="22"/>
        </w:rPr>
        <w:t xml:space="preserve">petition, and the AS-IA has the ultimate decision-making authority whether to acknowledge </w:t>
      </w:r>
      <w:r w:rsidRPr="0051499D" w:rsidR="0097749E">
        <w:rPr>
          <w:sz w:val="22"/>
          <w:szCs w:val="22"/>
        </w:rPr>
        <w:t xml:space="preserve">continuous </w:t>
      </w:r>
      <w:r w:rsidRPr="0051499D">
        <w:rPr>
          <w:sz w:val="22"/>
          <w:szCs w:val="22"/>
        </w:rPr>
        <w:t xml:space="preserve">tribal existence and establish a government-to-government relationship or to deny acknowledging a petitioning group as </w:t>
      </w:r>
      <w:r w:rsidRPr="0051499D" w:rsidR="009E78BC">
        <w:rPr>
          <w:sz w:val="22"/>
          <w:szCs w:val="22"/>
        </w:rPr>
        <w:t>a f</w:t>
      </w:r>
      <w:r w:rsidRPr="0051499D" w:rsidR="007C0C00">
        <w:rPr>
          <w:sz w:val="22"/>
          <w:szCs w:val="22"/>
        </w:rPr>
        <w:t xml:space="preserve">ederally recognized </w:t>
      </w:r>
      <w:r w:rsidRPr="0051499D">
        <w:rPr>
          <w:sz w:val="22"/>
          <w:szCs w:val="22"/>
        </w:rPr>
        <w:t>Indian tribe.</w:t>
      </w:r>
    </w:p>
    <w:p w:rsidRPr="0051499D" w:rsidR="00775691" w:rsidP="00775691" w:rsidRDefault="00775691" w14:paraId="5B19540C" w14:textId="77777777">
      <w:pPr>
        <w:rPr>
          <w:sz w:val="22"/>
          <w:szCs w:val="22"/>
        </w:rPr>
      </w:pPr>
    </w:p>
    <w:p w:rsidRPr="0051499D" w:rsidR="00775691" w:rsidP="00775691" w:rsidRDefault="00775691" w14:paraId="75BA3536" w14:textId="13CBA14A">
      <w:pPr>
        <w:rPr>
          <w:sz w:val="22"/>
          <w:szCs w:val="22"/>
        </w:rPr>
      </w:pPr>
      <w:r w:rsidRPr="0051499D">
        <w:rPr>
          <w:sz w:val="22"/>
          <w:szCs w:val="22"/>
        </w:rPr>
        <w:t xml:space="preserve">By applying anthropological, genealogical, and historical research methods, OFA reviews, verifies, and evaluates groups’ petitions for Federal acknowledgment as Indian </w:t>
      </w:r>
      <w:r w:rsidR="009E6E6C">
        <w:rPr>
          <w:sz w:val="22"/>
          <w:szCs w:val="22"/>
        </w:rPr>
        <w:t>Tribes</w:t>
      </w:r>
      <w:r w:rsidRPr="0051499D">
        <w:rPr>
          <w:sz w:val="22"/>
          <w:szCs w:val="22"/>
        </w:rPr>
        <w:t xml:space="preserve">.  The petitions contain information and evidence that pertain to the criteria that the petitioner must meet.  The collection of this information is necessary for the Department to </w:t>
      </w:r>
      <w:r w:rsidRPr="0051499D" w:rsidR="007C0C00">
        <w:rPr>
          <w:sz w:val="22"/>
          <w:szCs w:val="22"/>
        </w:rPr>
        <w:t xml:space="preserve">conduct </w:t>
      </w:r>
      <w:r w:rsidRPr="0051499D">
        <w:rPr>
          <w:sz w:val="22"/>
          <w:szCs w:val="22"/>
        </w:rPr>
        <w:t>these reviews, verifications, and evaluations.</w:t>
      </w:r>
    </w:p>
    <w:p w:rsidRPr="0051499D" w:rsidR="00775691" w:rsidP="00775691" w:rsidRDefault="00775691" w14:paraId="03984531" w14:textId="77777777">
      <w:pPr>
        <w:rPr>
          <w:sz w:val="22"/>
          <w:szCs w:val="22"/>
        </w:rPr>
      </w:pPr>
    </w:p>
    <w:p w:rsidRPr="0051499D" w:rsidR="00775691" w:rsidP="00775691" w:rsidRDefault="00E7714C" w14:paraId="03A323EC" w14:textId="0279F230">
      <w:pPr>
        <w:rPr>
          <w:sz w:val="22"/>
          <w:szCs w:val="22"/>
        </w:rPr>
      </w:pPr>
      <w:r w:rsidRPr="0051499D">
        <w:rPr>
          <w:sz w:val="22"/>
          <w:szCs w:val="22"/>
        </w:rPr>
        <w:t xml:space="preserve">Under the </w:t>
      </w:r>
      <w:r w:rsidRPr="0051499D" w:rsidR="000528DC">
        <w:rPr>
          <w:sz w:val="22"/>
          <w:szCs w:val="22"/>
        </w:rPr>
        <w:t>regulations</w:t>
      </w:r>
      <w:r w:rsidRPr="0051499D">
        <w:rPr>
          <w:sz w:val="22"/>
          <w:szCs w:val="22"/>
        </w:rPr>
        <w:t xml:space="preserve">, </w:t>
      </w:r>
      <w:r w:rsidRPr="0051499D" w:rsidR="00775691">
        <w:rPr>
          <w:sz w:val="22"/>
          <w:szCs w:val="22"/>
        </w:rPr>
        <w:t xml:space="preserve">OFA </w:t>
      </w:r>
      <w:r w:rsidRPr="0051499D" w:rsidR="000528DC">
        <w:rPr>
          <w:sz w:val="22"/>
          <w:szCs w:val="22"/>
        </w:rPr>
        <w:t>issues the proposed finding,</w:t>
      </w:r>
      <w:r w:rsidRPr="0051499D" w:rsidR="00775691">
        <w:rPr>
          <w:sz w:val="22"/>
          <w:szCs w:val="22"/>
        </w:rPr>
        <w:t xml:space="preserve"> </w:t>
      </w:r>
      <w:r w:rsidRPr="0051499D">
        <w:rPr>
          <w:sz w:val="22"/>
          <w:szCs w:val="22"/>
        </w:rPr>
        <w:t>consults with petitioners and third parties, provides copies of 25 CFR 83 and its guidelines, prepares technical assistance review letters, maintains petitions and administrative correspondence files, and conducts special research projects for the Department.</w:t>
      </w:r>
      <w:r w:rsidRPr="0051499D" w:rsidR="00775691">
        <w:rPr>
          <w:sz w:val="22"/>
          <w:szCs w:val="22"/>
        </w:rPr>
        <w:t xml:space="preserve"> </w:t>
      </w:r>
      <w:r w:rsidRPr="0051499D">
        <w:rPr>
          <w:sz w:val="22"/>
          <w:szCs w:val="22"/>
        </w:rPr>
        <w:t xml:space="preserve">AS-IA issues the </w:t>
      </w:r>
      <w:r w:rsidRPr="0051499D" w:rsidR="00775691">
        <w:rPr>
          <w:sz w:val="22"/>
          <w:szCs w:val="22"/>
        </w:rPr>
        <w:t>final determination.</w:t>
      </w:r>
    </w:p>
    <w:p w:rsidRPr="0051499D" w:rsidR="00775691" w:rsidP="00775691" w:rsidRDefault="00775691" w14:paraId="24A5D447" w14:textId="77777777">
      <w:pPr>
        <w:rPr>
          <w:sz w:val="22"/>
          <w:szCs w:val="22"/>
        </w:rPr>
      </w:pPr>
    </w:p>
    <w:p w:rsidRPr="0051499D" w:rsidR="00775691" w:rsidP="00775691" w:rsidRDefault="00775691" w14:paraId="08CD5C79" w14:textId="05F751A1">
      <w:pPr>
        <w:rPr>
          <w:sz w:val="22"/>
          <w:szCs w:val="22"/>
        </w:rPr>
      </w:pPr>
      <w:r w:rsidRPr="0051499D">
        <w:rPr>
          <w:sz w:val="22"/>
          <w:szCs w:val="22"/>
        </w:rPr>
        <w:t xml:space="preserve">The authority for acknowledging Indian </w:t>
      </w:r>
      <w:r w:rsidR="009E6E6C">
        <w:rPr>
          <w:sz w:val="22"/>
          <w:szCs w:val="22"/>
        </w:rPr>
        <w:t>Tribes</w:t>
      </w:r>
      <w:r w:rsidRPr="0051499D">
        <w:rPr>
          <w:sz w:val="22"/>
          <w:szCs w:val="22"/>
        </w:rPr>
        <w:t xml:space="preserve"> rests with the Secretary’s general authority to deal with Indian </w:t>
      </w:r>
      <w:r w:rsidRPr="0051499D" w:rsidR="007C0C00">
        <w:rPr>
          <w:sz w:val="22"/>
          <w:szCs w:val="22"/>
        </w:rPr>
        <w:t xml:space="preserve">Affairs </w:t>
      </w:r>
      <w:r w:rsidRPr="0051499D" w:rsidR="00196A59">
        <w:rPr>
          <w:sz w:val="22"/>
          <w:szCs w:val="22"/>
        </w:rPr>
        <w:t xml:space="preserve">and </w:t>
      </w:r>
      <w:r w:rsidRPr="0051499D" w:rsidR="009E78BC">
        <w:rPr>
          <w:sz w:val="22"/>
          <w:szCs w:val="22"/>
        </w:rPr>
        <w:t>the Secretary’s</w:t>
      </w:r>
      <w:r w:rsidRPr="0051499D" w:rsidR="00196A59">
        <w:rPr>
          <w:sz w:val="22"/>
          <w:szCs w:val="22"/>
        </w:rPr>
        <w:t xml:space="preserve"> specific authority to adopt regulations governing Indian </w:t>
      </w:r>
      <w:r w:rsidRPr="0051499D" w:rsidR="007C0C00">
        <w:rPr>
          <w:sz w:val="22"/>
          <w:szCs w:val="22"/>
        </w:rPr>
        <w:t>A</w:t>
      </w:r>
      <w:r w:rsidRPr="0051499D" w:rsidR="00196A59">
        <w:rPr>
          <w:sz w:val="22"/>
          <w:szCs w:val="22"/>
        </w:rPr>
        <w:t>ffairs</w:t>
      </w:r>
      <w:r w:rsidRPr="0051499D" w:rsidR="001209DD">
        <w:rPr>
          <w:sz w:val="22"/>
          <w:szCs w:val="22"/>
        </w:rPr>
        <w:t xml:space="preserve"> (43 </w:t>
      </w:r>
      <w:r w:rsidRPr="0051499D" w:rsidR="001209DD">
        <w:rPr>
          <w:sz w:val="22"/>
          <w:szCs w:val="22"/>
        </w:rPr>
        <w:lastRenderedPageBreak/>
        <w:t>U.S.C. 1457</w:t>
      </w:r>
      <w:r w:rsidRPr="0051499D" w:rsidR="007E7186">
        <w:rPr>
          <w:sz w:val="22"/>
          <w:szCs w:val="22"/>
        </w:rPr>
        <w:t>,</w:t>
      </w:r>
      <w:r w:rsidRPr="0051499D" w:rsidR="001209DD">
        <w:rPr>
          <w:sz w:val="22"/>
          <w:szCs w:val="22"/>
        </w:rPr>
        <w:t xml:space="preserve"> 25 U.S.C. 2</w:t>
      </w:r>
      <w:r w:rsidRPr="0051499D" w:rsidR="007E7186">
        <w:rPr>
          <w:sz w:val="22"/>
          <w:szCs w:val="22"/>
        </w:rPr>
        <w:t>, and</w:t>
      </w:r>
      <w:r w:rsidRPr="0051499D" w:rsidR="001209DD">
        <w:rPr>
          <w:sz w:val="22"/>
          <w:szCs w:val="22"/>
        </w:rPr>
        <w:t xml:space="preserve"> </w:t>
      </w:r>
      <w:r w:rsidRPr="0051499D" w:rsidR="007E7186">
        <w:rPr>
          <w:sz w:val="22"/>
          <w:szCs w:val="22"/>
        </w:rPr>
        <w:t>25 U.S.C.</w:t>
      </w:r>
      <w:r w:rsidRPr="0051499D" w:rsidR="001209DD">
        <w:rPr>
          <w:sz w:val="22"/>
          <w:szCs w:val="22"/>
        </w:rPr>
        <w:t xml:space="preserve"> 9)</w:t>
      </w:r>
      <w:r w:rsidRPr="0051499D">
        <w:rPr>
          <w:sz w:val="22"/>
          <w:szCs w:val="22"/>
        </w:rPr>
        <w:t xml:space="preserve">.  </w:t>
      </w:r>
    </w:p>
    <w:p w:rsidRPr="0051499D" w:rsidR="002C2DA0" w:rsidRDefault="002C2DA0" w14:paraId="496135AB" w14:textId="01F816D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Pr="00B06F7F" w:rsidR="00C5032C" w:rsidP="00C5032C" w:rsidRDefault="00C5032C" w14:paraId="65D510BB" w14:textId="21FD2B2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51499D">
        <w:rPr>
          <w:sz w:val="22"/>
          <w:szCs w:val="22"/>
        </w:rPr>
        <w:t>Because so few petitions are received each year, we rely on the following historical outreach to inform the information collection estimates.</w:t>
      </w:r>
    </w:p>
    <w:p w:rsidRPr="008A1933" w:rsidR="00C5032C" w:rsidRDefault="00C5032C" w14:paraId="39149641" w14:textId="55721B4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tbl>
      <w:tblPr>
        <w:tblW w:w="8288" w:type="dxa"/>
        <w:tblInd w:w="712" w:type="dxa"/>
        <w:tblBorders>
          <w:top w:val="single" w:color="CCCCCC" w:sz="6" w:space="0"/>
          <w:left w:val="single" w:color="CCCCCC" w:sz="6" w:space="0"/>
          <w:bottom w:val="single" w:color="CCCCCC" w:sz="6" w:space="0"/>
          <w:right w:val="single" w:color="CCCCCC" w:sz="6" w:space="0"/>
        </w:tblBorders>
        <w:shd w:val="clear" w:color="auto" w:fill="FFFFFF"/>
        <w:tblCellMar>
          <w:top w:w="15" w:type="dxa"/>
          <w:left w:w="15" w:type="dxa"/>
          <w:bottom w:w="15" w:type="dxa"/>
          <w:right w:w="15" w:type="dxa"/>
        </w:tblCellMar>
        <w:tblLook w:val="04A0" w:firstRow="1" w:lastRow="0" w:firstColumn="1" w:lastColumn="0" w:noHBand="0" w:noVBand="1"/>
      </w:tblPr>
      <w:tblGrid>
        <w:gridCol w:w="8288"/>
      </w:tblGrid>
      <w:tr w:rsidRPr="008A1933" w:rsidR="00C5032C" w:rsidTr="00C5032C" w14:paraId="3BB824CA" w14:textId="77777777">
        <w:tc>
          <w:tcPr>
            <w:tcW w:w="8288" w:type="dxa"/>
            <w:shd w:val="clear" w:color="auto" w:fill="auto"/>
            <w:tcMar>
              <w:top w:w="60" w:type="dxa"/>
              <w:left w:w="120" w:type="dxa"/>
              <w:bottom w:w="60" w:type="dxa"/>
              <w:right w:w="120" w:type="dxa"/>
            </w:tcMar>
            <w:vAlign w:val="center"/>
            <w:hideMark/>
          </w:tcPr>
          <w:p w:rsidRPr="0051499D" w:rsidR="00C5032C" w:rsidP="00C5032C" w:rsidRDefault="00C5032C" w14:paraId="642A096A" w14:textId="2929FC75">
            <w:pPr>
              <w:shd w:val="clear" w:color="auto" w:fill="FFFFFF" w:themeFill="background1"/>
              <w:jc w:val="center"/>
              <w:rPr>
                <w:color w:val="333333"/>
                <w:sz w:val="22"/>
                <w:szCs w:val="22"/>
                <w:u w:val="single"/>
              </w:rPr>
            </w:pPr>
            <w:r w:rsidRPr="0051499D">
              <w:rPr>
                <w:b/>
                <w:bCs/>
                <w:color w:val="333333"/>
                <w:sz w:val="22"/>
                <w:szCs w:val="22"/>
                <w:u w:val="single"/>
              </w:rPr>
              <w:t>Petitioners for Federal Acknowledgment as of 2021</w:t>
            </w:r>
          </w:p>
        </w:tc>
      </w:tr>
      <w:tr w:rsidRPr="008A1933" w:rsidR="00C5032C" w:rsidTr="00C5032C" w14:paraId="2F156BBE" w14:textId="77777777">
        <w:tc>
          <w:tcPr>
            <w:tcW w:w="8288" w:type="dxa"/>
            <w:shd w:val="clear" w:color="auto" w:fill="auto"/>
            <w:tcMar>
              <w:top w:w="60" w:type="dxa"/>
              <w:left w:w="120" w:type="dxa"/>
              <w:bottom w:w="60" w:type="dxa"/>
              <w:right w:w="120" w:type="dxa"/>
            </w:tcMar>
            <w:vAlign w:val="center"/>
            <w:hideMark/>
          </w:tcPr>
          <w:tbl>
            <w:tblPr>
              <w:tblW w:w="7872" w:type="dxa"/>
              <w:tblBorders>
                <w:top w:val="single" w:color="CCCCCC" w:sz="6" w:space="0"/>
                <w:left w:val="single" w:color="CCCCCC" w:sz="6" w:space="0"/>
                <w:bottom w:val="single" w:color="CCCCCC" w:sz="6" w:space="0"/>
                <w:right w:val="single" w:color="CCCCCC" w:sz="6" w:space="0"/>
              </w:tblBorders>
              <w:tblCellMar>
                <w:top w:w="15" w:type="dxa"/>
                <w:left w:w="15" w:type="dxa"/>
                <w:bottom w:w="15" w:type="dxa"/>
                <w:right w:w="15" w:type="dxa"/>
              </w:tblCellMar>
              <w:tblLook w:val="04A0" w:firstRow="1" w:lastRow="0" w:firstColumn="1" w:lastColumn="0" w:noHBand="0" w:noVBand="1"/>
            </w:tblPr>
            <w:tblGrid>
              <w:gridCol w:w="7872"/>
            </w:tblGrid>
            <w:tr w:rsidRPr="008A1933" w:rsidR="00C5032C" w:rsidTr="0051499D" w14:paraId="6C2CB08A" w14:textId="77777777">
              <w:tc>
                <w:tcPr>
                  <w:tcW w:w="7872" w:type="dxa"/>
                  <w:shd w:val="clear" w:color="auto" w:fill="auto"/>
                  <w:tcMar>
                    <w:top w:w="60" w:type="dxa"/>
                    <w:left w:w="120" w:type="dxa"/>
                    <w:bottom w:w="60" w:type="dxa"/>
                    <w:right w:w="120" w:type="dxa"/>
                  </w:tcMar>
                  <w:vAlign w:val="center"/>
                  <w:hideMark/>
                </w:tcPr>
                <w:tbl>
                  <w:tblPr>
                    <w:tblW w:w="7284" w:type="dxa"/>
                    <w:tblInd w:w="1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440"/>
                    <w:gridCol w:w="990"/>
                    <w:gridCol w:w="1405"/>
                    <w:gridCol w:w="3449"/>
                  </w:tblGrid>
                  <w:tr w:rsidRPr="008A1933" w:rsidR="00C5032C" w:rsidTr="0051499D" w14:paraId="10222F26" w14:textId="77777777">
                    <w:tc>
                      <w:tcPr>
                        <w:tcW w:w="1440" w:type="dxa"/>
                        <w:shd w:val="clear" w:color="auto" w:fill="auto"/>
                        <w:tcMar>
                          <w:top w:w="60" w:type="dxa"/>
                          <w:left w:w="120" w:type="dxa"/>
                          <w:bottom w:w="60" w:type="dxa"/>
                          <w:right w:w="120" w:type="dxa"/>
                        </w:tcMar>
                        <w:vAlign w:val="center"/>
                        <w:hideMark/>
                      </w:tcPr>
                      <w:p w:rsidRPr="0051499D" w:rsidR="00C5032C" w:rsidP="00C5032C" w:rsidRDefault="00C5032C" w14:paraId="226827D6" w14:textId="77777777">
                        <w:pPr>
                          <w:shd w:val="clear" w:color="auto" w:fill="FFFFFF" w:themeFill="background1"/>
                          <w:rPr>
                            <w:sz w:val="22"/>
                            <w:szCs w:val="22"/>
                          </w:rPr>
                        </w:pPr>
                        <w:r w:rsidRPr="0051499D">
                          <w:rPr>
                            <w:b/>
                            <w:bCs/>
                            <w:color w:val="000000"/>
                            <w:sz w:val="22"/>
                            <w:szCs w:val="22"/>
                          </w:rPr>
                          <w:t>Regulation Revision</w:t>
                        </w:r>
                      </w:p>
                    </w:tc>
                    <w:tc>
                      <w:tcPr>
                        <w:tcW w:w="990" w:type="dxa"/>
                        <w:shd w:val="clear" w:color="auto" w:fill="auto"/>
                        <w:tcMar>
                          <w:top w:w="60" w:type="dxa"/>
                          <w:left w:w="120" w:type="dxa"/>
                          <w:bottom w:w="60" w:type="dxa"/>
                          <w:right w:w="120" w:type="dxa"/>
                        </w:tcMar>
                        <w:vAlign w:val="center"/>
                        <w:hideMark/>
                      </w:tcPr>
                      <w:p w:rsidRPr="0051499D" w:rsidR="00C5032C" w:rsidP="00C5032C" w:rsidRDefault="00C5032C" w14:paraId="10CCF70A" w14:textId="77777777">
                        <w:pPr>
                          <w:shd w:val="clear" w:color="auto" w:fill="FFFFFF" w:themeFill="background1"/>
                          <w:rPr>
                            <w:sz w:val="22"/>
                            <w:szCs w:val="22"/>
                          </w:rPr>
                        </w:pPr>
                        <w:r w:rsidRPr="0051499D">
                          <w:rPr>
                            <w:b/>
                            <w:bCs/>
                            <w:color w:val="000000"/>
                            <w:sz w:val="22"/>
                            <w:szCs w:val="22"/>
                          </w:rPr>
                          <w:t>State</w:t>
                        </w:r>
                      </w:p>
                    </w:tc>
                    <w:tc>
                      <w:tcPr>
                        <w:tcW w:w="1405" w:type="dxa"/>
                        <w:shd w:val="clear" w:color="auto" w:fill="auto"/>
                        <w:tcMar>
                          <w:top w:w="60" w:type="dxa"/>
                          <w:left w:w="120" w:type="dxa"/>
                          <w:bottom w:w="60" w:type="dxa"/>
                          <w:right w:w="120" w:type="dxa"/>
                        </w:tcMar>
                        <w:vAlign w:val="center"/>
                        <w:hideMark/>
                      </w:tcPr>
                      <w:p w:rsidRPr="0051499D" w:rsidR="00C5032C" w:rsidP="00C5032C" w:rsidRDefault="00C5032C" w14:paraId="222DFA40" w14:textId="77777777">
                        <w:pPr>
                          <w:shd w:val="clear" w:color="auto" w:fill="FFFFFF" w:themeFill="background1"/>
                          <w:rPr>
                            <w:sz w:val="22"/>
                            <w:szCs w:val="22"/>
                          </w:rPr>
                        </w:pPr>
                        <w:r w:rsidRPr="0051499D">
                          <w:rPr>
                            <w:b/>
                            <w:bCs/>
                            <w:color w:val="000000"/>
                            <w:sz w:val="22"/>
                            <w:szCs w:val="22"/>
                          </w:rPr>
                          <w:t>Petition</w:t>
                        </w:r>
                        <w:r w:rsidRPr="0051499D">
                          <w:rPr>
                            <w:b/>
                            <w:bCs/>
                            <w:color w:val="000000"/>
                            <w:sz w:val="22"/>
                            <w:szCs w:val="22"/>
                          </w:rPr>
                          <w:br/>
                          <w:t>Number</w:t>
                        </w:r>
                      </w:p>
                    </w:tc>
                    <w:tc>
                      <w:tcPr>
                        <w:tcW w:w="0" w:type="auto"/>
                        <w:shd w:val="clear" w:color="auto" w:fill="auto"/>
                        <w:tcMar>
                          <w:top w:w="60" w:type="dxa"/>
                          <w:left w:w="120" w:type="dxa"/>
                          <w:bottom w:w="60" w:type="dxa"/>
                          <w:right w:w="120" w:type="dxa"/>
                        </w:tcMar>
                        <w:vAlign w:val="center"/>
                        <w:hideMark/>
                      </w:tcPr>
                      <w:p w:rsidRPr="0051499D" w:rsidR="00C5032C" w:rsidP="00C5032C" w:rsidRDefault="00C5032C" w14:paraId="58E624E4" w14:textId="77777777">
                        <w:pPr>
                          <w:shd w:val="clear" w:color="auto" w:fill="FFFFFF" w:themeFill="background1"/>
                          <w:rPr>
                            <w:color w:val="000000" w:themeColor="text1"/>
                            <w:sz w:val="22"/>
                            <w:szCs w:val="22"/>
                          </w:rPr>
                        </w:pPr>
                        <w:r w:rsidRPr="0051499D">
                          <w:rPr>
                            <w:b/>
                            <w:bCs/>
                            <w:color w:val="000000" w:themeColor="text1"/>
                            <w:sz w:val="22"/>
                            <w:szCs w:val="22"/>
                          </w:rPr>
                          <w:t>Petitioning Group Name</w:t>
                        </w:r>
                      </w:p>
                    </w:tc>
                  </w:tr>
                  <w:tr w:rsidRPr="008A1933" w:rsidR="00C5032C" w:rsidTr="0051499D" w14:paraId="5E1AC73F" w14:textId="77777777">
                    <w:tc>
                      <w:tcPr>
                        <w:tcW w:w="1440" w:type="dxa"/>
                        <w:shd w:val="clear" w:color="auto" w:fill="auto"/>
                        <w:tcMar>
                          <w:top w:w="60" w:type="dxa"/>
                          <w:left w:w="120" w:type="dxa"/>
                          <w:bottom w:w="60" w:type="dxa"/>
                          <w:right w:w="120" w:type="dxa"/>
                        </w:tcMar>
                        <w:hideMark/>
                      </w:tcPr>
                      <w:p w:rsidRPr="0051499D" w:rsidR="00C5032C" w:rsidP="00C5032C" w:rsidRDefault="00C5032C" w14:paraId="0A778300" w14:textId="77777777">
                        <w:pPr>
                          <w:shd w:val="clear" w:color="auto" w:fill="FFFFFF" w:themeFill="background1"/>
                          <w:rPr>
                            <w:sz w:val="22"/>
                            <w:szCs w:val="22"/>
                          </w:rPr>
                        </w:pPr>
                        <w:r w:rsidRPr="0051499D">
                          <w:rPr>
                            <w:sz w:val="22"/>
                            <w:szCs w:val="22"/>
                          </w:rPr>
                          <w:t>1994</w:t>
                        </w:r>
                      </w:p>
                    </w:tc>
                    <w:tc>
                      <w:tcPr>
                        <w:tcW w:w="990" w:type="dxa"/>
                        <w:shd w:val="clear" w:color="auto" w:fill="auto"/>
                        <w:tcMar>
                          <w:top w:w="60" w:type="dxa"/>
                          <w:left w:w="120" w:type="dxa"/>
                          <w:bottom w:w="60" w:type="dxa"/>
                          <w:right w:w="120" w:type="dxa"/>
                        </w:tcMar>
                        <w:hideMark/>
                      </w:tcPr>
                      <w:p w:rsidRPr="0051499D" w:rsidR="00C5032C" w:rsidP="00C5032C" w:rsidRDefault="00C5032C" w14:paraId="25E94156" w14:textId="77777777">
                        <w:pPr>
                          <w:shd w:val="clear" w:color="auto" w:fill="FFFFFF" w:themeFill="background1"/>
                          <w:rPr>
                            <w:sz w:val="22"/>
                            <w:szCs w:val="22"/>
                          </w:rPr>
                        </w:pPr>
                        <w:r w:rsidRPr="0051499D">
                          <w:rPr>
                            <w:sz w:val="22"/>
                            <w:szCs w:val="22"/>
                          </w:rPr>
                          <w:t>CA</w:t>
                        </w:r>
                      </w:p>
                    </w:tc>
                    <w:tc>
                      <w:tcPr>
                        <w:tcW w:w="1405" w:type="dxa"/>
                        <w:shd w:val="clear" w:color="auto" w:fill="auto"/>
                        <w:tcMar>
                          <w:top w:w="60" w:type="dxa"/>
                          <w:left w:w="120" w:type="dxa"/>
                          <w:bottom w:w="60" w:type="dxa"/>
                          <w:right w:w="120" w:type="dxa"/>
                        </w:tcMar>
                        <w:hideMark/>
                      </w:tcPr>
                      <w:p w:rsidRPr="0051499D" w:rsidR="00C5032C" w:rsidP="00C5032C" w:rsidRDefault="00C5032C" w14:paraId="007C4BC6" w14:textId="77777777">
                        <w:pPr>
                          <w:shd w:val="clear" w:color="auto" w:fill="FFFFFF" w:themeFill="background1"/>
                          <w:rPr>
                            <w:sz w:val="22"/>
                            <w:szCs w:val="22"/>
                          </w:rPr>
                        </w:pPr>
                        <w:r w:rsidRPr="0051499D">
                          <w:rPr>
                            <w:sz w:val="22"/>
                            <w:szCs w:val="22"/>
                          </w:rPr>
                          <w:t>082</w:t>
                        </w:r>
                      </w:p>
                    </w:tc>
                    <w:tc>
                      <w:tcPr>
                        <w:tcW w:w="0" w:type="auto"/>
                        <w:shd w:val="clear" w:color="auto" w:fill="auto"/>
                        <w:tcMar>
                          <w:top w:w="60" w:type="dxa"/>
                          <w:left w:w="120" w:type="dxa"/>
                          <w:bottom w:w="60" w:type="dxa"/>
                          <w:right w:w="120" w:type="dxa"/>
                        </w:tcMar>
                        <w:hideMark/>
                      </w:tcPr>
                      <w:p w:rsidRPr="0051499D" w:rsidR="00C5032C" w:rsidP="00C5032C" w:rsidRDefault="00FD3FBE" w14:paraId="3B73A201" w14:textId="77777777">
                        <w:pPr>
                          <w:shd w:val="clear" w:color="auto" w:fill="FFFFFF" w:themeFill="background1"/>
                          <w:rPr>
                            <w:color w:val="000000" w:themeColor="text1"/>
                            <w:sz w:val="22"/>
                            <w:szCs w:val="22"/>
                          </w:rPr>
                        </w:pPr>
                        <w:hyperlink w:history="1" r:id="rId8">
                          <w:r w:rsidRPr="0051499D" w:rsidR="00C5032C">
                            <w:rPr>
                              <w:b/>
                              <w:bCs/>
                              <w:color w:val="000000" w:themeColor="text1"/>
                              <w:sz w:val="22"/>
                              <w:szCs w:val="22"/>
                              <w:u w:val="single"/>
                            </w:rPr>
                            <w:t>Southern Sierra Miwuk Nation</w:t>
                          </w:r>
                        </w:hyperlink>
                      </w:p>
                    </w:tc>
                  </w:tr>
                  <w:tr w:rsidRPr="008A1933" w:rsidR="00C5032C" w:rsidTr="0051499D" w14:paraId="20DEBF46" w14:textId="77777777">
                    <w:tc>
                      <w:tcPr>
                        <w:tcW w:w="1440" w:type="dxa"/>
                        <w:shd w:val="clear" w:color="auto" w:fill="auto"/>
                        <w:tcMar>
                          <w:top w:w="60" w:type="dxa"/>
                          <w:left w:w="120" w:type="dxa"/>
                          <w:bottom w:w="60" w:type="dxa"/>
                          <w:right w:w="120" w:type="dxa"/>
                        </w:tcMar>
                        <w:hideMark/>
                      </w:tcPr>
                      <w:p w:rsidRPr="0051499D" w:rsidR="00C5032C" w:rsidP="00C5032C" w:rsidRDefault="00C5032C" w14:paraId="445A9ABF" w14:textId="77777777">
                        <w:pPr>
                          <w:shd w:val="clear" w:color="auto" w:fill="FFFFFF" w:themeFill="background1"/>
                          <w:rPr>
                            <w:sz w:val="22"/>
                            <w:szCs w:val="22"/>
                          </w:rPr>
                        </w:pPr>
                        <w:r w:rsidRPr="0051499D">
                          <w:rPr>
                            <w:sz w:val="22"/>
                            <w:szCs w:val="22"/>
                          </w:rPr>
                          <w:t>1994</w:t>
                        </w:r>
                      </w:p>
                    </w:tc>
                    <w:tc>
                      <w:tcPr>
                        <w:tcW w:w="990" w:type="dxa"/>
                        <w:shd w:val="clear" w:color="auto" w:fill="auto"/>
                        <w:tcMar>
                          <w:top w:w="60" w:type="dxa"/>
                          <w:left w:w="120" w:type="dxa"/>
                          <w:bottom w:w="60" w:type="dxa"/>
                          <w:right w:w="120" w:type="dxa"/>
                        </w:tcMar>
                        <w:hideMark/>
                      </w:tcPr>
                      <w:p w:rsidRPr="0051499D" w:rsidR="00C5032C" w:rsidP="00C5032C" w:rsidRDefault="00C5032C" w14:paraId="62EF6993" w14:textId="77777777">
                        <w:pPr>
                          <w:shd w:val="clear" w:color="auto" w:fill="FFFFFF" w:themeFill="background1"/>
                          <w:rPr>
                            <w:sz w:val="22"/>
                            <w:szCs w:val="22"/>
                          </w:rPr>
                        </w:pPr>
                        <w:r w:rsidRPr="0051499D">
                          <w:rPr>
                            <w:sz w:val="22"/>
                            <w:szCs w:val="22"/>
                          </w:rPr>
                          <w:t>CA</w:t>
                        </w:r>
                      </w:p>
                    </w:tc>
                    <w:tc>
                      <w:tcPr>
                        <w:tcW w:w="1405" w:type="dxa"/>
                        <w:shd w:val="clear" w:color="auto" w:fill="auto"/>
                        <w:tcMar>
                          <w:top w:w="60" w:type="dxa"/>
                          <w:left w:w="120" w:type="dxa"/>
                          <w:bottom w:w="60" w:type="dxa"/>
                          <w:right w:w="120" w:type="dxa"/>
                        </w:tcMar>
                        <w:hideMark/>
                      </w:tcPr>
                      <w:p w:rsidRPr="0051499D" w:rsidR="00C5032C" w:rsidP="00C5032C" w:rsidRDefault="00C5032C" w14:paraId="15B22497" w14:textId="77777777">
                        <w:pPr>
                          <w:shd w:val="clear" w:color="auto" w:fill="FFFFFF" w:themeFill="background1"/>
                          <w:rPr>
                            <w:sz w:val="22"/>
                            <w:szCs w:val="22"/>
                          </w:rPr>
                        </w:pPr>
                        <w:r w:rsidRPr="0051499D">
                          <w:rPr>
                            <w:sz w:val="22"/>
                            <w:szCs w:val="22"/>
                          </w:rPr>
                          <w:t>120</w:t>
                        </w:r>
                      </w:p>
                    </w:tc>
                    <w:tc>
                      <w:tcPr>
                        <w:tcW w:w="0" w:type="auto"/>
                        <w:shd w:val="clear" w:color="auto" w:fill="auto"/>
                        <w:tcMar>
                          <w:top w:w="60" w:type="dxa"/>
                          <w:left w:w="120" w:type="dxa"/>
                          <w:bottom w:w="60" w:type="dxa"/>
                          <w:right w:w="120" w:type="dxa"/>
                        </w:tcMar>
                        <w:hideMark/>
                      </w:tcPr>
                      <w:p w:rsidRPr="0051499D" w:rsidR="00C5032C" w:rsidP="00C5032C" w:rsidRDefault="00FD3FBE" w14:paraId="6E3275D1" w14:textId="77777777">
                        <w:pPr>
                          <w:shd w:val="clear" w:color="auto" w:fill="FFFFFF" w:themeFill="background1"/>
                          <w:rPr>
                            <w:color w:val="000000" w:themeColor="text1"/>
                            <w:sz w:val="22"/>
                            <w:szCs w:val="22"/>
                          </w:rPr>
                        </w:pPr>
                        <w:hyperlink w:history="1" r:id="rId9">
                          <w:r w:rsidRPr="0051499D" w:rsidR="00C5032C">
                            <w:rPr>
                              <w:b/>
                              <w:bCs/>
                              <w:color w:val="000000" w:themeColor="text1"/>
                              <w:sz w:val="22"/>
                              <w:szCs w:val="22"/>
                              <w:u w:val="single"/>
                            </w:rPr>
                            <w:t xml:space="preserve">Amah </w:t>
                          </w:r>
                          <w:proofErr w:type="spellStart"/>
                          <w:r w:rsidRPr="0051499D" w:rsidR="00C5032C">
                            <w:rPr>
                              <w:b/>
                              <w:bCs/>
                              <w:color w:val="000000" w:themeColor="text1"/>
                              <w:sz w:val="22"/>
                              <w:szCs w:val="22"/>
                              <w:u w:val="single"/>
                            </w:rPr>
                            <w:t>Mutsun</w:t>
                          </w:r>
                          <w:proofErr w:type="spellEnd"/>
                          <w:r w:rsidRPr="0051499D" w:rsidR="00C5032C">
                            <w:rPr>
                              <w:b/>
                              <w:bCs/>
                              <w:color w:val="000000" w:themeColor="text1"/>
                              <w:sz w:val="22"/>
                              <w:szCs w:val="22"/>
                              <w:u w:val="single"/>
                            </w:rPr>
                            <w:t xml:space="preserve"> Band of Ohlone/Costanoan Indians</w:t>
                          </w:r>
                        </w:hyperlink>
                      </w:p>
                    </w:tc>
                  </w:tr>
                  <w:tr w:rsidRPr="008A1933" w:rsidR="00C5032C" w:rsidTr="0051499D" w14:paraId="6B861316" w14:textId="77777777">
                    <w:tc>
                      <w:tcPr>
                        <w:tcW w:w="1440" w:type="dxa"/>
                        <w:shd w:val="clear" w:color="auto" w:fill="auto"/>
                        <w:tcMar>
                          <w:top w:w="60" w:type="dxa"/>
                          <w:left w:w="120" w:type="dxa"/>
                          <w:bottom w:w="60" w:type="dxa"/>
                          <w:right w:w="120" w:type="dxa"/>
                        </w:tcMar>
                        <w:hideMark/>
                      </w:tcPr>
                      <w:p w:rsidRPr="0051499D" w:rsidR="00C5032C" w:rsidP="00C5032C" w:rsidRDefault="00C5032C" w14:paraId="1C5CAD15" w14:textId="77777777">
                        <w:pPr>
                          <w:shd w:val="clear" w:color="auto" w:fill="FFFFFF" w:themeFill="background1"/>
                          <w:rPr>
                            <w:sz w:val="22"/>
                            <w:szCs w:val="22"/>
                          </w:rPr>
                        </w:pPr>
                        <w:r w:rsidRPr="0051499D">
                          <w:rPr>
                            <w:sz w:val="22"/>
                            <w:szCs w:val="22"/>
                          </w:rPr>
                          <w:t>1994</w:t>
                        </w:r>
                      </w:p>
                    </w:tc>
                    <w:tc>
                      <w:tcPr>
                        <w:tcW w:w="990" w:type="dxa"/>
                        <w:shd w:val="clear" w:color="auto" w:fill="auto"/>
                        <w:tcMar>
                          <w:top w:w="60" w:type="dxa"/>
                          <w:left w:w="120" w:type="dxa"/>
                          <w:bottom w:w="60" w:type="dxa"/>
                          <w:right w:w="120" w:type="dxa"/>
                        </w:tcMar>
                        <w:hideMark/>
                      </w:tcPr>
                      <w:p w:rsidRPr="0051499D" w:rsidR="00C5032C" w:rsidP="00C5032C" w:rsidRDefault="00C5032C" w14:paraId="2A68D180" w14:textId="77777777">
                        <w:pPr>
                          <w:shd w:val="clear" w:color="auto" w:fill="FFFFFF" w:themeFill="background1"/>
                          <w:rPr>
                            <w:sz w:val="22"/>
                            <w:szCs w:val="22"/>
                          </w:rPr>
                        </w:pPr>
                        <w:r w:rsidRPr="0051499D">
                          <w:rPr>
                            <w:sz w:val="22"/>
                            <w:szCs w:val="22"/>
                          </w:rPr>
                          <w:t>MI</w:t>
                        </w:r>
                      </w:p>
                    </w:tc>
                    <w:tc>
                      <w:tcPr>
                        <w:tcW w:w="1405" w:type="dxa"/>
                        <w:shd w:val="clear" w:color="auto" w:fill="auto"/>
                        <w:tcMar>
                          <w:top w:w="60" w:type="dxa"/>
                          <w:left w:w="120" w:type="dxa"/>
                          <w:bottom w:w="60" w:type="dxa"/>
                          <w:right w:w="120" w:type="dxa"/>
                        </w:tcMar>
                        <w:hideMark/>
                      </w:tcPr>
                      <w:p w:rsidRPr="0051499D" w:rsidR="00C5032C" w:rsidP="00C5032C" w:rsidRDefault="00C5032C" w14:paraId="1239F14C" w14:textId="77777777">
                        <w:pPr>
                          <w:shd w:val="clear" w:color="auto" w:fill="FFFFFF" w:themeFill="background1"/>
                          <w:rPr>
                            <w:sz w:val="22"/>
                            <w:szCs w:val="22"/>
                          </w:rPr>
                        </w:pPr>
                        <w:r w:rsidRPr="0051499D">
                          <w:rPr>
                            <w:sz w:val="22"/>
                            <w:szCs w:val="22"/>
                          </w:rPr>
                          <w:t>146</w:t>
                        </w:r>
                      </w:p>
                    </w:tc>
                    <w:tc>
                      <w:tcPr>
                        <w:tcW w:w="0" w:type="auto"/>
                        <w:shd w:val="clear" w:color="auto" w:fill="auto"/>
                        <w:tcMar>
                          <w:top w:w="60" w:type="dxa"/>
                          <w:left w:w="120" w:type="dxa"/>
                          <w:bottom w:w="60" w:type="dxa"/>
                          <w:right w:w="120" w:type="dxa"/>
                        </w:tcMar>
                        <w:hideMark/>
                      </w:tcPr>
                      <w:p w:rsidRPr="0051499D" w:rsidR="00C5032C" w:rsidP="00C5032C" w:rsidRDefault="00FD3FBE" w14:paraId="53EAA343" w14:textId="77777777">
                        <w:pPr>
                          <w:shd w:val="clear" w:color="auto" w:fill="FFFFFF" w:themeFill="background1"/>
                          <w:rPr>
                            <w:color w:val="000000" w:themeColor="text1"/>
                            <w:sz w:val="22"/>
                            <w:szCs w:val="22"/>
                          </w:rPr>
                        </w:pPr>
                        <w:hyperlink w:history="1" r:id="rId10">
                          <w:r w:rsidRPr="0051499D" w:rsidR="00C5032C">
                            <w:rPr>
                              <w:b/>
                              <w:bCs/>
                              <w:color w:val="000000" w:themeColor="text1"/>
                              <w:sz w:val="22"/>
                              <w:szCs w:val="22"/>
                              <w:u w:val="single"/>
                            </w:rPr>
                            <w:t>Grand River Bands of Ottawa Indians</w:t>
                          </w:r>
                        </w:hyperlink>
                      </w:p>
                    </w:tc>
                  </w:tr>
                  <w:tr w:rsidRPr="008A1933" w:rsidR="00C5032C" w:rsidTr="0051499D" w14:paraId="07370CD8" w14:textId="77777777">
                    <w:tc>
                      <w:tcPr>
                        <w:tcW w:w="1440" w:type="dxa"/>
                        <w:shd w:val="clear" w:color="auto" w:fill="auto"/>
                        <w:tcMar>
                          <w:top w:w="60" w:type="dxa"/>
                          <w:left w:w="120" w:type="dxa"/>
                          <w:bottom w:w="60" w:type="dxa"/>
                          <w:right w:w="120" w:type="dxa"/>
                        </w:tcMar>
                        <w:hideMark/>
                      </w:tcPr>
                      <w:p w:rsidRPr="0051499D" w:rsidR="00C5032C" w:rsidP="00C5032C" w:rsidRDefault="00C5032C" w14:paraId="1197135A" w14:textId="77777777">
                        <w:pPr>
                          <w:shd w:val="clear" w:color="auto" w:fill="FFFFFF" w:themeFill="background1"/>
                          <w:rPr>
                            <w:sz w:val="22"/>
                            <w:szCs w:val="22"/>
                          </w:rPr>
                        </w:pPr>
                        <w:r w:rsidRPr="0051499D">
                          <w:rPr>
                            <w:sz w:val="22"/>
                            <w:szCs w:val="22"/>
                          </w:rPr>
                          <w:t>2015</w:t>
                        </w:r>
                      </w:p>
                    </w:tc>
                    <w:tc>
                      <w:tcPr>
                        <w:tcW w:w="990" w:type="dxa"/>
                        <w:shd w:val="clear" w:color="auto" w:fill="auto"/>
                        <w:tcMar>
                          <w:top w:w="60" w:type="dxa"/>
                          <w:left w:w="120" w:type="dxa"/>
                          <w:bottom w:w="60" w:type="dxa"/>
                          <w:right w:w="120" w:type="dxa"/>
                        </w:tcMar>
                        <w:hideMark/>
                      </w:tcPr>
                      <w:p w:rsidRPr="0051499D" w:rsidR="00C5032C" w:rsidP="00C5032C" w:rsidRDefault="00C5032C" w14:paraId="6BCE2DF2" w14:textId="77777777">
                        <w:pPr>
                          <w:shd w:val="clear" w:color="auto" w:fill="FFFFFF" w:themeFill="background1"/>
                          <w:rPr>
                            <w:sz w:val="22"/>
                            <w:szCs w:val="22"/>
                          </w:rPr>
                        </w:pPr>
                        <w:r w:rsidRPr="0051499D">
                          <w:rPr>
                            <w:sz w:val="22"/>
                            <w:szCs w:val="22"/>
                          </w:rPr>
                          <w:t>FL</w:t>
                        </w:r>
                      </w:p>
                    </w:tc>
                    <w:tc>
                      <w:tcPr>
                        <w:tcW w:w="1405" w:type="dxa"/>
                        <w:shd w:val="clear" w:color="auto" w:fill="auto"/>
                        <w:tcMar>
                          <w:top w:w="60" w:type="dxa"/>
                          <w:left w:w="120" w:type="dxa"/>
                          <w:bottom w:w="60" w:type="dxa"/>
                          <w:right w:w="120" w:type="dxa"/>
                        </w:tcMar>
                        <w:hideMark/>
                      </w:tcPr>
                      <w:p w:rsidRPr="0051499D" w:rsidR="00C5032C" w:rsidP="00C5032C" w:rsidRDefault="00C5032C" w14:paraId="5FC59D57" w14:textId="77777777">
                        <w:pPr>
                          <w:shd w:val="clear" w:color="auto" w:fill="FFFFFF" w:themeFill="background1"/>
                          <w:rPr>
                            <w:sz w:val="22"/>
                            <w:szCs w:val="22"/>
                          </w:rPr>
                        </w:pPr>
                        <w:r w:rsidRPr="0051499D">
                          <w:rPr>
                            <w:sz w:val="22"/>
                            <w:szCs w:val="22"/>
                          </w:rPr>
                          <w:t>032</w:t>
                        </w:r>
                      </w:p>
                    </w:tc>
                    <w:tc>
                      <w:tcPr>
                        <w:tcW w:w="0" w:type="auto"/>
                        <w:shd w:val="clear" w:color="auto" w:fill="auto"/>
                        <w:tcMar>
                          <w:top w:w="60" w:type="dxa"/>
                          <w:left w:w="120" w:type="dxa"/>
                          <w:bottom w:w="60" w:type="dxa"/>
                          <w:right w:w="120" w:type="dxa"/>
                        </w:tcMar>
                        <w:hideMark/>
                      </w:tcPr>
                      <w:p w:rsidRPr="0051499D" w:rsidR="00C5032C" w:rsidP="00C5032C" w:rsidRDefault="00FD3FBE" w14:paraId="3B31F955" w14:textId="77777777">
                        <w:pPr>
                          <w:shd w:val="clear" w:color="auto" w:fill="FFFFFF" w:themeFill="background1"/>
                          <w:rPr>
                            <w:color w:val="000000" w:themeColor="text1"/>
                            <w:sz w:val="22"/>
                            <w:szCs w:val="22"/>
                          </w:rPr>
                        </w:pPr>
                        <w:hyperlink w:history="1" r:id="rId11">
                          <w:r w:rsidRPr="0051499D" w:rsidR="00C5032C">
                            <w:rPr>
                              <w:b/>
                              <w:bCs/>
                              <w:color w:val="000000" w:themeColor="text1"/>
                              <w:sz w:val="22"/>
                              <w:szCs w:val="22"/>
                              <w:u w:val="single"/>
                            </w:rPr>
                            <w:t>Muscogee Nation of Florida</w:t>
                          </w:r>
                        </w:hyperlink>
                      </w:p>
                    </w:tc>
                  </w:tr>
                  <w:tr w:rsidRPr="008A1933" w:rsidR="00C5032C" w:rsidTr="0051499D" w14:paraId="64FDB9E3" w14:textId="77777777">
                    <w:tc>
                      <w:tcPr>
                        <w:tcW w:w="1440" w:type="dxa"/>
                        <w:shd w:val="clear" w:color="auto" w:fill="auto"/>
                        <w:tcMar>
                          <w:top w:w="60" w:type="dxa"/>
                          <w:left w:w="120" w:type="dxa"/>
                          <w:bottom w:w="60" w:type="dxa"/>
                          <w:right w:w="120" w:type="dxa"/>
                        </w:tcMar>
                        <w:hideMark/>
                      </w:tcPr>
                      <w:p w:rsidRPr="0051499D" w:rsidR="00C5032C" w:rsidP="00C5032C" w:rsidRDefault="00C5032C" w14:paraId="65F48193" w14:textId="77777777">
                        <w:pPr>
                          <w:shd w:val="clear" w:color="auto" w:fill="FFFFFF" w:themeFill="background1"/>
                          <w:rPr>
                            <w:sz w:val="22"/>
                            <w:szCs w:val="22"/>
                          </w:rPr>
                        </w:pPr>
                        <w:r w:rsidRPr="0051499D">
                          <w:rPr>
                            <w:sz w:val="22"/>
                            <w:szCs w:val="22"/>
                          </w:rPr>
                          <w:t>2015</w:t>
                        </w:r>
                      </w:p>
                    </w:tc>
                    <w:tc>
                      <w:tcPr>
                        <w:tcW w:w="990" w:type="dxa"/>
                        <w:shd w:val="clear" w:color="auto" w:fill="auto"/>
                        <w:tcMar>
                          <w:top w:w="60" w:type="dxa"/>
                          <w:left w:w="120" w:type="dxa"/>
                          <w:bottom w:w="60" w:type="dxa"/>
                          <w:right w:w="120" w:type="dxa"/>
                        </w:tcMar>
                        <w:hideMark/>
                      </w:tcPr>
                      <w:p w:rsidRPr="0051499D" w:rsidR="00C5032C" w:rsidP="00C5032C" w:rsidRDefault="00C5032C" w14:paraId="701BCCB3" w14:textId="77777777">
                        <w:pPr>
                          <w:shd w:val="clear" w:color="auto" w:fill="FFFFFF" w:themeFill="background1"/>
                          <w:rPr>
                            <w:sz w:val="22"/>
                            <w:szCs w:val="22"/>
                          </w:rPr>
                        </w:pPr>
                        <w:r w:rsidRPr="0051499D">
                          <w:rPr>
                            <w:sz w:val="22"/>
                            <w:szCs w:val="22"/>
                          </w:rPr>
                          <w:t>NM</w:t>
                        </w:r>
                      </w:p>
                    </w:tc>
                    <w:tc>
                      <w:tcPr>
                        <w:tcW w:w="1405" w:type="dxa"/>
                        <w:shd w:val="clear" w:color="auto" w:fill="auto"/>
                        <w:tcMar>
                          <w:top w:w="60" w:type="dxa"/>
                          <w:left w:w="120" w:type="dxa"/>
                          <w:bottom w:w="60" w:type="dxa"/>
                          <w:right w:w="120" w:type="dxa"/>
                        </w:tcMar>
                        <w:hideMark/>
                      </w:tcPr>
                      <w:p w:rsidRPr="0051499D" w:rsidR="00C5032C" w:rsidP="00C5032C" w:rsidRDefault="00C5032C" w14:paraId="7588E93C" w14:textId="77777777">
                        <w:pPr>
                          <w:shd w:val="clear" w:color="auto" w:fill="FFFFFF" w:themeFill="background1"/>
                          <w:rPr>
                            <w:sz w:val="22"/>
                            <w:szCs w:val="22"/>
                          </w:rPr>
                        </w:pPr>
                        <w:r w:rsidRPr="0051499D">
                          <w:rPr>
                            <w:sz w:val="22"/>
                            <w:szCs w:val="22"/>
                          </w:rPr>
                          <w:t>005</w:t>
                        </w:r>
                      </w:p>
                    </w:tc>
                    <w:tc>
                      <w:tcPr>
                        <w:tcW w:w="0" w:type="auto"/>
                        <w:shd w:val="clear" w:color="auto" w:fill="auto"/>
                        <w:tcMar>
                          <w:top w:w="60" w:type="dxa"/>
                          <w:left w:w="120" w:type="dxa"/>
                          <w:bottom w:w="60" w:type="dxa"/>
                          <w:right w:w="120" w:type="dxa"/>
                        </w:tcMar>
                        <w:hideMark/>
                      </w:tcPr>
                      <w:p w:rsidRPr="0051499D" w:rsidR="00C5032C" w:rsidP="00C5032C" w:rsidRDefault="00FD3FBE" w14:paraId="20688687" w14:textId="77777777">
                        <w:pPr>
                          <w:shd w:val="clear" w:color="auto" w:fill="FFFFFF" w:themeFill="background1"/>
                          <w:rPr>
                            <w:color w:val="000000" w:themeColor="text1"/>
                            <w:sz w:val="22"/>
                            <w:szCs w:val="22"/>
                          </w:rPr>
                        </w:pPr>
                        <w:hyperlink w:history="1" r:id="rId12">
                          <w:proofErr w:type="spellStart"/>
                          <w:r w:rsidRPr="0051499D" w:rsidR="00C5032C">
                            <w:rPr>
                              <w:b/>
                              <w:bCs/>
                              <w:color w:val="000000" w:themeColor="text1"/>
                              <w:sz w:val="22"/>
                              <w:szCs w:val="22"/>
                              <w:u w:val="single"/>
                            </w:rPr>
                            <w:t>Piro</w:t>
                          </w:r>
                          <w:proofErr w:type="spellEnd"/>
                          <w:r w:rsidRPr="0051499D" w:rsidR="00C5032C">
                            <w:rPr>
                              <w:b/>
                              <w:bCs/>
                              <w:color w:val="000000" w:themeColor="text1"/>
                              <w:sz w:val="22"/>
                              <w:szCs w:val="22"/>
                              <w:u w:val="single"/>
                            </w:rPr>
                            <w:t>/</w:t>
                          </w:r>
                          <w:proofErr w:type="spellStart"/>
                          <w:r w:rsidRPr="0051499D" w:rsidR="00C5032C">
                            <w:rPr>
                              <w:b/>
                              <w:bCs/>
                              <w:color w:val="000000" w:themeColor="text1"/>
                              <w:sz w:val="22"/>
                              <w:szCs w:val="22"/>
                              <w:u w:val="single"/>
                            </w:rPr>
                            <w:t>Manso</w:t>
                          </w:r>
                          <w:proofErr w:type="spellEnd"/>
                          <w:r w:rsidRPr="0051499D" w:rsidR="00C5032C">
                            <w:rPr>
                              <w:b/>
                              <w:bCs/>
                              <w:color w:val="000000" w:themeColor="text1"/>
                              <w:sz w:val="22"/>
                              <w:szCs w:val="22"/>
                              <w:u w:val="single"/>
                            </w:rPr>
                            <w:t>/</w:t>
                          </w:r>
                          <w:proofErr w:type="spellStart"/>
                          <w:r w:rsidRPr="0051499D" w:rsidR="00C5032C">
                            <w:rPr>
                              <w:b/>
                              <w:bCs/>
                              <w:color w:val="000000" w:themeColor="text1"/>
                              <w:sz w:val="22"/>
                              <w:szCs w:val="22"/>
                              <w:u w:val="single"/>
                            </w:rPr>
                            <w:t>Tiwa</w:t>
                          </w:r>
                          <w:proofErr w:type="spellEnd"/>
                          <w:r w:rsidRPr="0051499D" w:rsidR="00C5032C">
                            <w:rPr>
                              <w:b/>
                              <w:bCs/>
                              <w:color w:val="000000" w:themeColor="text1"/>
                              <w:sz w:val="22"/>
                              <w:szCs w:val="22"/>
                              <w:u w:val="single"/>
                            </w:rPr>
                            <w:t xml:space="preserve"> Indian Tribe of the Pueblo of San Juan Guadalupe</w:t>
                          </w:r>
                        </w:hyperlink>
                      </w:p>
                    </w:tc>
                  </w:tr>
                  <w:tr w:rsidRPr="008A1933" w:rsidR="00C5032C" w:rsidTr="0051499D" w14:paraId="0D5A655A" w14:textId="77777777">
                    <w:tc>
                      <w:tcPr>
                        <w:tcW w:w="1440" w:type="dxa"/>
                        <w:shd w:val="clear" w:color="auto" w:fill="auto"/>
                        <w:tcMar>
                          <w:top w:w="60" w:type="dxa"/>
                          <w:left w:w="120" w:type="dxa"/>
                          <w:bottom w:w="60" w:type="dxa"/>
                          <w:right w:w="120" w:type="dxa"/>
                        </w:tcMar>
                        <w:hideMark/>
                      </w:tcPr>
                      <w:p w:rsidRPr="0051499D" w:rsidR="00C5032C" w:rsidP="00C5032C" w:rsidRDefault="00C5032C" w14:paraId="74D1394A" w14:textId="77777777">
                        <w:pPr>
                          <w:shd w:val="clear" w:color="auto" w:fill="FFFFFF" w:themeFill="background1"/>
                          <w:rPr>
                            <w:sz w:val="22"/>
                            <w:szCs w:val="22"/>
                          </w:rPr>
                        </w:pPr>
                        <w:r w:rsidRPr="0051499D">
                          <w:rPr>
                            <w:sz w:val="22"/>
                            <w:szCs w:val="22"/>
                          </w:rPr>
                          <w:t>2015</w:t>
                        </w:r>
                      </w:p>
                    </w:tc>
                    <w:tc>
                      <w:tcPr>
                        <w:tcW w:w="990" w:type="dxa"/>
                        <w:shd w:val="clear" w:color="auto" w:fill="auto"/>
                        <w:tcMar>
                          <w:top w:w="60" w:type="dxa"/>
                          <w:left w:w="120" w:type="dxa"/>
                          <w:bottom w:w="60" w:type="dxa"/>
                          <w:right w:w="120" w:type="dxa"/>
                        </w:tcMar>
                        <w:hideMark/>
                      </w:tcPr>
                      <w:p w:rsidRPr="0051499D" w:rsidR="00C5032C" w:rsidP="00C5032C" w:rsidRDefault="00C5032C" w14:paraId="198FC771" w14:textId="77777777">
                        <w:pPr>
                          <w:shd w:val="clear" w:color="auto" w:fill="FFFFFF" w:themeFill="background1"/>
                          <w:rPr>
                            <w:sz w:val="22"/>
                            <w:szCs w:val="22"/>
                          </w:rPr>
                        </w:pPr>
                        <w:r w:rsidRPr="0051499D">
                          <w:rPr>
                            <w:sz w:val="22"/>
                            <w:szCs w:val="22"/>
                          </w:rPr>
                          <w:t>CA</w:t>
                        </w:r>
                      </w:p>
                    </w:tc>
                    <w:tc>
                      <w:tcPr>
                        <w:tcW w:w="1405" w:type="dxa"/>
                        <w:shd w:val="clear" w:color="auto" w:fill="auto"/>
                        <w:tcMar>
                          <w:top w:w="60" w:type="dxa"/>
                          <w:left w:w="120" w:type="dxa"/>
                          <w:bottom w:w="60" w:type="dxa"/>
                          <w:right w:w="120" w:type="dxa"/>
                        </w:tcMar>
                        <w:hideMark/>
                      </w:tcPr>
                      <w:p w:rsidRPr="0051499D" w:rsidR="00C5032C" w:rsidP="00C5032C" w:rsidRDefault="00C5032C" w14:paraId="3BE301C2" w14:textId="77777777">
                        <w:pPr>
                          <w:shd w:val="clear" w:color="auto" w:fill="FFFFFF" w:themeFill="background1"/>
                          <w:rPr>
                            <w:sz w:val="22"/>
                            <w:szCs w:val="22"/>
                          </w:rPr>
                        </w:pPr>
                        <w:r w:rsidRPr="0051499D">
                          <w:rPr>
                            <w:sz w:val="22"/>
                            <w:szCs w:val="22"/>
                          </w:rPr>
                          <w:t>158</w:t>
                        </w:r>
                      </w:p>
                    </w:tc>
                    <w:tc>
                      <w:tcPr>
                        <w:tcW w:w="0" w:type="auto"/>
                        <w:shd w:val="clear" w:color="auto" w:fill="auto"/>
                        <w:tcMar>
                          <w:top w:w="60" w:type="dxa"/>
                          <w:left w:w="120" w:type="dxa"/>
                          <w:bottom w:w="60" w:type="dxa"/>
                          <w:right w:w="120" w:type="dxa"/>
                        </w:tcMar>
                        <w:hideMark/>
                      </w:tcPr>
                      <w:p w:rsidRPr="0051499D" w:rsidR="00C5032C" w:rsidP="00C5032C" w:rsidRDefault="00FD3FBE" w14:paraId="0EC742CD" w14:textId="77777777">
                        <w:pPr>
                          <w:shd w:val="clear" w:color="auto" w:fill="FFFFFF" w:themeFill="background1"/>
                          <w:rPr>
                            <w:color w:val="000000" w:themeColor="text1"/>
                            <w:sz w:val="22"/>
                            <w:szCs w:val="22"/>
                          </w:rPr>
                        </w:pPr>
                        <w:hyperlink w:history="1" r:id="rId13">
                          <w:proofErr w:type="spellStart"/>
                          <w:r w:rsidRPr="0051499D" w:rsidR="00C5032C">
                            <w:rPr>
                              <w:b/>
                              <w:bCs/>
                              <w:color w:val="000000" w:themeColor="text1"/>
                              <w:sz w:val="22"/>
                              <w:szCs w:val="22"/>
                              <w:u w:val="single"/>
                            </w:rPr>
                            <w:t>Fernandeno</w:t>
                          </w:r>
                          <w:proofErr w:type="spellEnd"/>
                          <w:r w:rsidRPr="0051499D" w:rsidR="00C5032C">
                            <w:rPr>
                              <w:b/>
                              <w:bCs/>
                              <w:color w:val="000000" w:themeColor="text1"/>
                              <w:sz w:val="22"/>
                              <w:szCs w:val="22"/>
                              <w:u w:val="single"/>
                            </w:rPr>
                            <w:t xml:space="preserve"> </w:t>
                          </w:r>
                          <w:proofErr w:type="spellStart"/>
                          <w:r w:rsidRPr="0051499D" w:rsidR="00C5032C">
                            <w:rPr>
                              <w:b/>
                              <w:bCs/>
                              <w:color w:val="000000" w:themeColor="text1"/>
                              <w:sz w:val="22"/>
                              <w:szCs w:val="22"/>
                              <w:u w:val="single"/>
                            </w:rPr>
                            <w:t>Tataviam</w:t>
                          </w:r>
                          <w:proofErr w:type="spellEnd"/>
                          <w:r w:rsidRPr="0051499D" w:rsidR="00C5032C">
                            <w:rPr>
                              <w:b/>
                              <w:bCs/>
                              <w:color w:val="000000" w:themeColor="text1"/>
                              <w:sz w:val="22"/>
                              <w:szCs w:val="22"/>
                              <w:u w:val="single"/>
                            </w:rPr>
                            <w:t xml:space="preserve"> Band of Mission Indians</w:t>
                          </w:r>
                        </w:hyperlink>
                      </w:p>
                    </w:tc>
                  </w:tr>
                </w:tbl>
                <w:p w:rsidRPr="0051499D" w:rsidR="00C5032C" w:rsidP="00C5032C" w:rsidRDefault="00C5032C" w14:paraId="5FEEEDFB" w14:textId="77777777">
                  <w:pPr>
                    <w:shd w:val="clear" w:color="auto" w:fill="FFFFFF" w:themeFill="background1"/>
                    <w:rPr>
                      <w:sz w:val="22"/>
                      <w:szCs w:val="22"/>
                    </w:rPr>
                  </w:pPr>
                </w:p>
              </w:tc>
            </w:tr>
            <w:tr w:rsidRPr="008A1933" w:rsidR="00C5032C" w:rsidTr="0051499D" w14:paraId="30FF9422" w14:textId="77777777">
              <w:tc>
                <w:tcPr>
                  <w:tcW w:w="7872" w:type="dxa"/>
                  <w:shd w:val="clear" w:color="auto" w:fill="auto"/>
                  <w:tcMar>
                    <w:top w:w="60" w:type="dxa"/>
                    <w:left w:w="120" w:type="dxa"/>
                    <w:bottom w:w="60" w:type="dxa"/>
                    <w:right w:w="120" w:type="dxa"/>
                  </w:tcMar>
                  <w:vAlign w:val="center"/>
                </w:tcPr>
                <w:p w:rsidRPr="0051499D" w:rsidR="00C5032C" w:rsidP="00C5032C" w:rsidRDefault="00C5032C" w14:paraId="097D8FBA" w14:textId="77777777">
                  <w:pPr>
                    <w:shd w:val="clear" w:color="auto" w:fill="FFFFFF" w:themeFill="background1"/>
                    <w:rPr>
                      <w:b/>
                      <w:bCs/>
                      <w:color w:val="000000"/>
                      <w:sz w:val="22"/>
                      <w:szCs w:val="22"/>
                    </w:rPr>
                  </w:pPr>
                  <w:r w:rsidRPr="008A1933">
                    <w:rPr>
                      <w:sz w:val="22"/>
                      <w:szCs w:val="22"/>
                    </w:rPr>
                    <w:t xml:space="preserve">This information is also included on the OFA home page at:  </w:t>
                  </w:r>
                  <w:hyperlink w:history="1" r:id="rId14">
                    <w:r w:rsidRPr="008A1933">
                      <w:rPr>
                        <w:rStyle w:val="Hyperlink"/>
                        <w:sz w:val="22"/>
                        <w:szCs w:val="22"/>
                      </w:rPr>
                      <w:t>https://www.bia.gov/as-ia/ofa</w:t>
                    </w:r>
                  </w:hyperlink>
                  <w:r w:rsidRPr="008A1933">
                    <w:rPr>
                      <w:sz w:val="22"/>
                      <w:szCs w:val="22"/>
                    </w:rPr>
                    <w:t xml:space="preserve">.  </w:t>
                  </w:r>
                </w:p>
              </w:tc>
            </w:tr>
          </w:tbl>
          <w:p w:rsidRPr="0051499D" w:rsidR="00C5032C" w:rsidP="00C5032C" w:rsidRDefault="00C5032C" w14:paraId="57E2B3B8" w14:textId="77777777">
            <w:pPr>
              <w:shd w:val="clear" w:color="auto" w:fill="FFFFFF" w:themeFill="background1"/>
              <w:rPr>
                <w:color w:val="333333"/>
                <w:sz w:val="22"/>
                <w:szCs w:val="22"/>
              </w:rPr>
            </w:pPr>
          </w:p>
        </w:tc>
      </w:tr>
    </w:tbl>
    <w:p w:rsidRPr="0051499D" w:rsidR="00C5032C" w:rsidRDefault="00C5032C" w14:paraId="158D2DF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Pr="0051499D" w:rsidR="00672EB1" w:rsidRDefault="00672EB1" w14:paraId="06D3598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Pr="0051499D" w:rsidR="00295103" w:rsidRDefault="00295103" w14:paraId="3154C54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szCs w:val="22"/>
        </w:rPr>
      </w:pPr>
      <w:r w:rsidRPr="0051499D">
        <w:rPr>
          <w:b/>
          <w:sz w:val="22"/>
          <w:szCs w:val="22"/>
        </w:rPr>
        <w:t>2.</w:t>
      </w:r>
      <w:r w:rsidRPr="0051499D">
        <w:rPr>
          <w:b/>
          <w:sz w:val="22"/>
          <w:szCs w:val="22"/>
        </w:rPr>
        <w:tab/>
        <w:t xml:space="preserve">Indicate how, by whom, and for what purpose the information is to be used.  Except for a new collection, indicate the actual use the agency has made of the information received from the current collection. </w:t>
      </w:r>
      <w:r w:rsidRPr="0051499D" w:rsidR="00DE1FFE">
        <w:rPr>
          <w:b/>
          <w:sz w:val="22"/>
          <w:szCs w:val="22"/>
        </w:rPr>
        <w:t xml:space="preserve"> </w:t>
      </w:r>
      <w:r w:rsidRPr="0051499D">
        <w:rPr>
          <w:b/>
          <w:sz w:val="22"/>
          <w:szCs w:val="22"/>
        </w:rPr>
        <w:t xml:space="preserve">Be specific.  If this collection is a form or a questionnaire, every </w:t>
      </w:r>
      <w:r w:rsidRPr="0051499D" w:rsidR="00DE1FFE">
        <w:rPr>
          <w:b/>
          <w:sz w:val="22"/>
          <w:szCs w:val="22"/>
        </w:rPr>
        <w:t>question needs to be justified.</w:t>
      </w:r>
    </w:p>
    <w:p w:rsidRPr="0051499D" w:rsidR="00295103" w:rsidRDefault="00295103" w14:paraId="1C21EF3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Pr="0051499D" w:rsidR="00025DEB" w:rsidP="003B0A10" w:rsidRDefault="003B0A10" w14:paraId="5CE20AEF" w14:textId="77777777">
      <w:pPr>
        <w:rPr>
          <w:sz w:val="22"/>
          <w:szCs w:val="22"/>
        </w:rPr>
      </w:pPr>
      <w:r w:rsidRPr="0051499D">
        <w:rPr>
          <w:sz w:val="22"/>
          <w:szCs w:val="22"/>
        </w:rPr>
        <w:t xml:space="preserve">The information gathered by petitioners under these regulations is used by the AS-IA to establish whether a petitioning group has the </w:t>
      </w:r>
      <w:r w:rsidRPr="0051499D" w:rsidR="003C4FF1">
        <w:rPr>
          <w:sz w:val="22"/>
          <w:szCs w:val="22"/>
        </w:rPr>
        <w:t xml:space="preserve">qualifications </w:t>
      </w:r>
      <w:r w:rsidRPr="0051499D">
        <w:rPr>
          <w:sz w:val="22"/>
          <w:szCs w:val="22"/>
        </w:rPr>
        <w:t>necessary to be acknowledged as an Indian tribe and to establish a government-to-government relationship with the United State</w:t>
      </w:r>
      <w:r w:rsidRPr="0051499D" w:rsidR="00753E22">
        <w:rPr>
          <w:sz w:val="22"/>
          <w:szCs w:val="22"/>
        </w:rPr>
        <w:t xml:space="preserve">s.  The OFA professional experts (including anthropologists, genealogists, and historians) </w:t>
      </w:r>
      <w:r w:rsidRPr="0051499D">
        <w:rPr>
          <w:sz w:val="22"/>
          <w:szCs w:val="22"/>
        </w:rPr>
        <w:t>use the information to prepare an evaluation of a petitioner under the regulations and</w:t>
      </w:r>
      <w:r w:rsidRPr="0051499D" w:rsidR="00753E22">
        <w:rPr>
          <w:sz w:val="22"/>
          <w:szCs w:val="22"/>
        </w:rPr>
        <w:t xml:space="preserve"> issue a proposed finding.</w:t>
      </w:r>
      <w:r w:rsidRPr="0051499D">
        <w:rPr>
          <w:sz w:val="22"/>
          <w:szCs w:val="22"/>
        </w:rPr>
        <w:t xml:space="preserve"> </w:t>
      </w:r>
      <w:r w:rsidRPr="0051499D" w:rsidR="00753E22">
        <w:rPr>
          <w:sz w:val="22"/>
          <w:szCs w:val="22"/>
        </w:rPr>
        <w:t xml:space="preserve"> </w:t>
      </w:r>
      <w:r w:rsidRPr="0051499D" w:rsidR="00025DEB">
        <w:rPr>
          <w:sz w:val="22"/>
          <w:szCs w:val="22"/>
        </w:rPr>
        <w:t xml:space="preserve">If the proposed finding is negative, the petitioner would have the option of seeking a hearing before an </w:t>
      </w:r>
      <w:r w:rsidRPr="0051499D" w:rsidR="00893302">
        <w:rPr>
          <w:sz w:val="22"/>
          <w:szCs w:val="22"/>
        </w:rPr>
        <w:t>administrative law</w:t>
      </w:r>
      <w:r w:rsidRPr="0051499D" w:rsidR="00597FF9">
        <w:rPr>
          <w:sz w:val="22"/>
          <w:szCs w:val="22"/>
        </w:rPr>
        <w:t xml:space="preserve"> judge</w:t>
      </w:r>
      <w:r w:rsidRPr="0051499D" w:rsidR="00893302">
        <w:rPr>
          <w:sz w:val="22"/>
          <w:szCs w:val="22"/>
        </w:rPr>
        <w:t xml:space="preserve"> (ALJ) within the Office of Hearings and Appeals</w:t>
      </w:r>
      <w:r w:rsidRPr="0051499D" w:rsidR="00025DEB">
        <w:rPr>
          <w:sz w:val="22"/>
          <w:szCs w:val="22"/>
        </w:rPr>
        <w:t xml:space="preserve">.  The </w:t>
      </w:r>
      <w:r w:rsidRPr="0051499D" w:rsidR="00893302">
        <w:rPr>
          <w:sz w:val="22"/>
          <w:szCs w:val="22"/>
        </w:rPr>
        <w:t>ALJ</w:t>
      </w:r>
      <w:r w:rsidRPr="0051499D" w:rsidR="00025DEB">
        <w:rPr>
          <w:sz w:val="22"/>
          <w:szCs w:val="22"/>
        </w:rPr>
        <w:t xml:space="preserve"> would review the record, and any input received </w:t>
      </w:r>
      <w:proofErr w:type="gramStart"/>
      <w:r w:rsidRPr="0051499D" w:rsidR="00025DEB">
        <w:rPr>
          <w:sz w:val="22"/>
          <w:szCs w:val="22"/>
        </w:rPr>
        <w:t>during the course of</w:t>
      </w:r>
      <w:proofErr w:type="gramEnd"/>
      <w:r w:rsidRPr="0051499D" w:rsidR="00025DEB">
        <w:rPr>
          <w:sz w:val="22"/>
          <w:szCs w:val="22"/>
        </w:rPr>
        <w:t xml:space="preserve"> a hearing, and issue a recommended decision to the AS-IA.  </w:t>
      </w:r>
      <w:r w:rsidRPr="0051499D" w:rsidR="00753E22">
        <w:rPr>
          <w:sz w:val="22"/>
          <w:szCs w:val="22"/>
        </w:rPr>
        <w:t xml:space="preserve">The </w:t>
      </w:r>
      <w:r w:rsidRPr="0051499D" w:rsidR="00025DEB">
        <w:rPr>
          <w:sz w:val="22"/>
          <w:szCs w:val="22"/>
        </w:rPr>
        <w:t xml:space="preserve">AS-IA reviews the </w:t>
      </w:r>
      <w:r w:rsidRPr="0051499D" w:rsidR="00753E22">
        <w:rPr>
          <w:sz w:val="22"/>
          <w:szCs w:val="22"/>
        </w:rPr>
        <w:t>proposed finding and other input</w:t>
      </w:r>
      <w:r w:rsidRPr="0051499D" w:rsidR="00025DEB">
        <w:rPr>
          <w:sz w:val="22"/>
          <w:szCs w:val="22"/>
        </w:rPr>
        <w:t xml:space="preserve">, including any recommended decision by the </w:t>
      </w:r>
      <w:r w:rsidRPr="0051499D" w:rsidR="00893302">
        <w:rPr>
          <w:sz w:val="22"/>
          <w:szCs w:val="22"/>
        </w:rPr>
        <w:t>ALJ</w:t>
      </w:r>
      <w:r w:rsidRPr="0051499D" w:rsidR="00025DEB">
        <w:rPr>
          <w:sz w:val="22"/>
          <w:szCs w:val="22"/>
        </w:rPr>
        <w:t>,</w:t>
      </w:r>
      <w:r w:rsidRPr="0051499D" w:rsidR="00753E22">
        <w:rPr>
          <w:sz w:val="22"/>
          <w:szCs w:val="22"/>
        </w:rPr>
        <w:t xml:space="preserve"> </w:t>
      </w:r>
      <w:r w:rsidRPr="0051499D" w:rsidR="00025DEB">
        <w:rPr>
          <w:sz w:val="22"/>
          <w:szCs w:val="22"/>
        </w:rPr>
        <w:t xml:space="preserve">and </w:t>
      </w:r>
      <w:r w:rsidRPr="0051499D" w:rsidR="00753E22">
        <w:rPr>
          <w:sz w:val="22"/>
          <w:szCs w:val="22"/>
        </w:rPr>
        <w:t xml:space="preserve">then issues a final determination.  </w:t>
      </w:r>
    </w:p>
    <w:p w:rsidRPr="0051499D" w:rsidR="00025DEB" w:rsidP="003B0A10" w:rsidRDefault="00025DEB" w14:paraId="66CA4E62" w14:textId="77777777">
      <w:pPr>
        <w:rPr>
          <w:sz w:val="22"/>
          <w:szCs w:val="22"/>
        </w:rPr>
      </w:pPr>
    </w:p>
    <w:p w:rsidRPr="0051499D" w:rsidR="003B0A10" w:rsidP="003B0A10" w:rsidRDefault="003B0A10" w14:paraId="7A2E0474" w14:textId="086C6C54">
      <w:pPr>
        <w:rPr>
          <w:sz w:val="22"/>
          <w:szCs w:val="22"/>
        </w:rPr>
      </w:pPr>
      <w:r w:rsidRPr="0051499D">
        <w:rPr>
          <w:sz w:val="22"/>
          <w:szCs w:val="22"/>
        </w:rPr>
        <w:t xml:space="preserve">Petitioners requesting acknowledgment as an Indian </w:t>
      </w:r>
      <w:r w:rsidR="00AC497E">
        <w:rPr>
          <w:sz w:val="22"/>
          <w:szCs w:val="22"/>
        </w:rPr>
        <w:t>T</w:t>
      </w:r>
      <w:r w:rsidRPr="0051499D">
        <w:rPr>
          <w:sz w:val="22"/>
          <w:szCs w:val="22"/>
        </w:rPr>
        <w:t>ribe must address criteria which are stated in 25 CFR §</w:t>
      </w:r>
      <w:r w:rsidRPr="0051499D" w:rsidR="00672EB1">
        <w:rPr>
          <w:sz w:val="22"/>
          <w:szCs w:val="22"/>
        </w:rPr>
        <w:t xml:space="preserve"> </w:t>
      </w:r>
      <w:r w:rsidRPr="0051499D">
        <w:rPr>
          <w:sz w:val="22"/>
          <w:szCs w:val="22"/>
        </w:rPr>
        <w:t>83.</w:t>
      </w:r>
      <w:r w:rsidRPr="0051499D" w:rsidR="00E15EE0">
        <w:rPr>
          <w:sz w:val="22"/>
          <w:szCs w:val="22"/>
        </w:rPr>
        <w:t>11</w:t>
      </w:r>
      <w:r w:rsidRPr="0051499D" w:rsidR="00753E22">
        <w:rPr>
          <w:sz w:val="22"/>
          <w:szCs w:val="22"/>
        </w:rPr>
        <w:t>, with certain exceptions explained below</w:t>
      </w:r>
      <w:r w:rsidRPr="0051499D">
        <w:rPr>
          <w:sz w:val="22"/>
          <w:szCs w:val="22"/>
        </w:rPr>
        <w:t>.</w:t>
      </w:r>
    </w:p>
    <w:p w:rsidRPr="0051499D" w:rsidR="003B0A10" w:rsidP="003B0A10" w:rsidRDefault="003B0A10" w14:paraId="526DC3D6" w14:textId="77777777">
      <w:pPr>
        <w:rPr>
          <w:sz w:val="22"/>
          <w:szCs w:val="22"/>
        </w:rPr>
      </w:pPr>
      <w:r w:rsidRPr="0051499D">
        <w:rPr>
          <w:sz w:val="22"/>
          <w:szCs w:val="22"/>
        </w:rPr>
        <w:t xml:space="preserve">  </w:t>
      </w:r>
    </w:p>
    <w:p w:rsidRPr="0051499D" w:rsidR="00662EDB" w:rsidP="00672EB1" w:rsidRDefault="00662EDB" w14:paraId="57FEBF95" w14:textId="4284961A">
      <w:pPr>
        <w:numPr>
          <w:ilvl w:val="0"/>
          <w:numId w:val="4"/>
        </w:numPr>
        <w:rPr>
          <w:sz w:val="22"/>
          <w:szCs w:val="22"/>
        </w:rPr>
      </w:pPr>
      <w:r w:rsidRPr="0051499D">
        <w:rPr>
          <w:b/>
          <w:bCs/>
          <w:sz w:val="22"/>
          <w:szCs w:val="22"/>
          <w:u w:val="single"/>
        </w:rPr>
        <w:lastRenderedPageBreak/>
        <w:t>83.11(a)</w:t>
      </w:r>
      <w:r w:rsidRPr="0051499D">
        <w:rPr>
          <w:bCs/>
          <w:sz w:val="22"/>
          <w:szCs w:val="22"/>
        </w:rPr>
        <w:t xml:space="preserve"> requires </w:t>
      </w:r>
      <w:r w:rsidRPr="0051499D" w:rsidR="00510FF8">
        <w:rPr>
          <w:bCs/>
          <w:sz w:val="22"/>
          <w:szCs w:val="22"/>
        </w:rPr>
        <w:t xml:space="preserve">that </w:t>
      </w:r>
      <w:r w:rsidRPr="0051499D">
        <w:rPr>
          <w:bCs/>
          <w:sz w:val="22"/>
          <w:szCs w:val="22"/>
        </w:rPr>
        <w:t xml:space="preserve">parties external to </w:t>
      </w:r>
      <w:r w:rsidRPr="0051499D" w:rsidR="003F6C51">
        <w:rPr>
          <w:bCs/>
          <w:sz w:val="22"/>
          <w:szCs w:val="22"/>
        </w:rPr>
        <w:t>the petitioner</w:t>
      </w:r>
      <w:r w:rsidRPr="0051499D">
        <w:rPr>
          <w:bCs/>
          <w:sz w:val="22"/>
          <w:szCs w:val="22"/>
        </w:rPr>
        <w:t xml:space="preserve"> identified it as an Indian </w:t>
      </w:r>
      <w:r w:rsidR="00AC497E">
        <w:rPr>
          <w:bCs/>
          <w:sz w:val="22"/>
          <w:szCs w:val="22"/>
        </w:rPr>
        <w:t>T</w:t>
      </w:r>
      <w:r w:rsidRPr="0051499D">
        <w:rPr>
          <w:bCs/>
          <w:sz w:val="22"/>
          <w:szCs w:val="22"/>
        </w:rPr>
        <w:t>ribe from 1900 to the present</w:t>
      </w:r>
      <w:r w:rsidRPr="0051499D" w:rsidR="00C37F22">
        <w:rPr>
          <w:bCs/>
          <w:sz w:val="22"/>
          <w:szCs w:val="22"/>
        </w:rPr>
        <w:t xml:space="preserve"> (and has been applied to require such identifications at 10-year intervals)</w:t>
      </w:r>
      <w:r w:rsidRPr="0051499D">
        <w:rPr>
          <w:bCs/>
          <w:sz w:val="22"/>
          <w:szCs w:val="22"/>
        </w:rPr>
        <w:t xml:space="preserve">.  The </w:t>
      </w:r>
      <w:r w:rsidRPr="0051499D" w:rsidR="00C046A2">
        <w:rPr>
          <w:bCs/>
          <w:sz w:val="22"/>
          <w:szCs w:val="22"/>
        </w:rPr>
        <w:t>2015 regulations allow</w:t>
      </w:r>
      <w:r w:rsidRPr="0051499D" w:rsidR="00707BCC">
        <w:rPr>
          <w:bCs/>
          <w:sz w:val="22"/>
          <w:szCs w:val="22"/>
        </w:rPr>
        <w:t xml:space="preserve"> for evidence that the petitioner identified itself as an Indian entity throughout history.  </w:t>
      </w:r>
    </w:p>
    <w:p w:rsidRPr="0051499D" w:rsidR="00662EDB" w:rsidP="00662EDB" w:rsidRDefault="00662EDB" w14:paraId="6308A4F9" w14:textId="77777777">
      <w:pPr>
        <w:ind w:left="720"/>
        <w:rPr>
          <w:sz w:val="22"/>
          <w:szCs w:val="22"/>
        </w:rPr>
      </w:pPr>
    </w:p>
    <w:p w:rsidRPr="0051499D" w:rsidR="00753E22" w:rsidP="00753E22" w:rsidRDefault="003B0A10" w14:paraId="5DADC93C" w14:textId="57B9686C">
      <w:pPr>
        <w:numPr>
          <w:ilvl w:val="0"/>
          <w:numId w:val="4"/>
        </w:numPr>
        <w:rPr>
          <w:sz w:val="22"/>
          <w:szCs w:val="22"/>
        </w:rPr>
      </w:pPr>
      <w:r w:rsidRPr="0051499D">
        <w:rPr>
          <w:b/>
          <w:bCs/>
          <w:sz w:val="22"/>
          <w:szCs w:val="22"/>
          <w:u w:val="single"/>
        </w:rPr>
        <w:t>83.</w:t>
      </w:r>
      <w:r w:rsidRPr="0051499D" w:rsidR="00E15EE0">
        <w:rPr>
          <w:b/>
          <w:bCs/>
          <w:sz w:val="22"/>
          <w:szCs w:val="22"/>
          <w:u w:val="single"/>
        </w:rPr>
        <w:t>11</w:t>
      </w:r>
      <w:r w:rsidRPr="0051499D">
        <w:rPr>
          <w:b/>
          <w:bCs/>
          <w:sz w:val="22"/>
          <w:szCs w:val="22"/>
          <w:u w:val="single"/>
        </w:rPr>
        <w:t>(</w:t>
      </w:r>
      <w:r w:rsidRPr="0051499D" w:rsidR="00753E22">
        <w:rPr>
          <w:b/>
          <w:bCs/>
          <w:sz w:val="22"/>
          <w:szCs w:val="22"/>
          <w:u w:val="single"/>
        </w:rPr>
        <w:t>b</w:t>
      </w:r>
      <w:r w:rsidRPr="0051499D">
        <w:rPr>
          <w:b/>
          <w:bCs/>
          <w:sz w:val="22"/>
          <w:szCs w:val="22"/>
          <w:u w:val="single"/>
        </w:rPr>
        <w:t>)</w:t>
      </w:r>
      <w:r w:rsidRPr="0051499D">
        <w:rPr>
          <w:sz w:val="22"/>
          <w:szCs w:val="22"/>
        </w:rPr>
        <w:t xml:space="preserve"> requires the petitioner to demonstrate that the </w:t>
      </w:r>
      <w:r w:rsidRPr="0051499D" w:rsidR="00025DEB">
        <w:rPr>
          <w:sz w:val="22"/>
          <w:szCs w:val="22"/>
        </w:rPr>
        <w:t>entity</w:t>
      </w:r>
      <w:r w:rsidRPr="0051499D">
        <w:rPr>
          <w:sz w:val="22"/>
          <w:szCs w:val="22"/>
        </w:rPr>
        <w:t xml:space="preserve"> </w:t>
      </w:r>
      <w:r w:rsidRPr="0051499D" w:rsidR="00025DEB">
        <w:rPr>
          <w:sz w:val="22"/>
          <w:szCs w:val="22"/>
        </w:rPr>
        <w:t>has been a</w:t>
      </w:r>
      <w:r w:rsidRPr="0051499D">
        <w:rPr>
          <w:sz w:val="22"/>
          <w:szCs w:val="22"/>
        </w:rPr>
        <w:t xml:space="preserve"> distinct </w:t>
      </w:r>
      <w:r w:rsidRPr="0051499D" w:rsidR="00025DEB">
        <w:rPr>
          <w:sz w:val="22"/>
          <w:szCs w:val="22"/>
        </w:rPr>
        <w:t>community from 19</w:t>
      </w:r>
      <w:r w:rsidRPr="0051499D" w:rsidR="00707BCC">
        <w:rPr>
          <w:sz w:val="22"/>
          <w:szCs w:val="22"/>
        </w:rPr>
        <w:t>00</w:t>
      </w:r>
      <w:r w:rsidRPr="0051499D" w:rsidR="00025DEB">
        <w:rPr>
          <w:sz w:val="22"/>
          <w:szCs w:val="22"/>
        </w:rPr>
        <w:t xml:space="preserve"> to the present</w:t>
      </w:r>
      <w:r w:rsidRPr="0051499D">
        <w:rPr>
          <w:sz w:val="22"/>
          <w:szCs w:val="22"/>
        </w:rPr>
        <w:t xml:space="preserve">.  </w:t>
      </w:r>
      <w:r w:rsidRPr="0051499D" w:rsidR="00025DEB">
        <w:rPr>
          <w:sz w:val="22"/>
          <w:szCs w:val="22"/>
        </w:rPr>
        <w:t xml:space="preserve">This section provides examples of evidence that may support the criterion.  </w:t>
      </w:r>
    </w:p>
    <w:p w:rsidRPr="0051499D" w:rsidR="00753E22" w:rsidP="00753E22" w:rsidRDefault="00753E22" w14:paraId="6F0DE866" w14:textId="77777777">
      <w:pPr>
        <w:ind w:left="720"/>
        <w:rPr>
          <w:sz w:val="22"/>
          <w:szCs w:val="22"/>
        </w:rPr>
      </w:pPr>
    </w:p>
    <w:p w:rsidRPr="0051499D" w:rsidR="00834723" w:rsidP="00753E22" w:rsidRDefault="003B0A10" w14:paraId="03997696" w14:textId="2E7378BC">
      <w:pPr>
        <w:numPr>
          <w:ilvl w:val="0"/>
          <w:numId w:val="4"/>
        </w:numPr>
        <w:rPr>
          <w:sz w:val="22"/>
          <w:szCs w:val="22"/>
        </w:rPr>
      </w:pPr>
      <w:r w:rsidRPr="0051499D">
        <w:rPr>
          <w:b/>
          <w:bCs/>
          <w:sz w:val="22"/>
          <w:szCs w:val="22"/>
          <w:u w:val="single"/>
        </w:rPr>
        <w:t>83.</w:t>
      </w:r>
      <w:r w:rsidRPr="0051499D" w:rsidR="00E15EE0">
        <w:rPr>
          <w:b/>
          <w:bCs/>
          <w:sz w:val="22"/>
          <w:szCs w:val="22"/>
          <w:u w:val="single"/>
        </w:rPr>
        <w:t>11</w:t>
      </w:r>
      <w:r w:rsidRPr="0051499D">
        <w:rPr>
          <w:b/>
          <w:bCs/>
          <w:sz w:val="22"/>
          <w:szCs w:val="22"/>
          <w:u w:val="single"/>
        </w:rPr>
        <w:t>(c)</w:t>
      </w:r>
      <w:r w:rsidRPr="0051499D">
        <w:rPr>
          <w:sz w:val="22"/>
          <w:szCs w:val="22"/>
        </w:rPr>
        <w:t xml:space="preserve"> requires the petitioner to demonstrate that it has maintained </w:t>
      </w:r>
      <w:r w:rsidRPr="0051499D" w:rsidR="00025DEB">
        <w:rPr>
          <w:sz w:val="22"/>
          <w:szCs w:val="22"/>
        </w:rPr>
        <w:t xml:space="preserve">political autonomy from </w:t>
      </w:r>
      <w:r w:rsidRPr="0051499D" w:rsidR="00510FF8">
        <w:rPr>
          <w:sz w:val="22"/>
          <w:szCs w:val="22"/>
        </w:rPr>
        <w:t>1900 to the present</w:t>
      </w:r>
      <w:r w:rsidRPr="0051499D" w:rsidR="00025DEB">
        <w:rPr>
          <w:sz w:val="22"/>
          <w:szCs w:val="22"/>
        </w:rPr>
        <w:t xml:space="preserve">. </w:t>
      </w:r>
      <w:r w:rsidRPr="0051499D">
        <w:rPr>
          <w:sz w:val="22"/>
          <w:szCs w:val="22"/>
        </w:rPr>
        <w:t xml:space="preserve">  </w:t>
      </w:r>
      <w:r w:rsidRPr="0051499D" w:rsidR="00025DEB">
        <w:rPr>
          <w:sz w:val="22"/>
          <w:szCs w:val="22"/>
        </w:rPr>
        <w:t xml:space="preserve">This section provides examples of evidence that may support the criterion.  </w:t>
      </w:r>
    </w:p>
    <w:p w:rsidRPr="0051499D" w:rsidR="00DE7B22" w:rsidP="00834723" w:rsidRDefault="00DE7B22" w14:paraId="316710C4" w14:textId="77777777">
      <w:pPr>
        <w:ind w:left="720"/>
        <w:rPr>
          <w:sz w:val="22"/>
          <w:szCs w:val="22"/>
        </w:rPr>
      </w:pPr>
    </w:p>
    <w:p w:rsidRPr="0051499D" w:rsidR="003B0A10" w:rsidP="003B0A10" w:rsidRDefault="003B0A10" w14:paraId="59FAF27D" w14:textId="1EEB87CF">
      <w:pPr>
        <w:numPr>
          <w:ilvl w:val="0"/>
          <w:numId w:val="4"/>
        </w:numPr>
        <w:rPr>
          <w:sz w:val="22"/>
          <w:szCs w:val="22"/>
        </w:rPr>
      </w:pPr>
      <w:r w:rsidRPr="0051499D">
        <w:rPr>
          <w:b/>
          <w:bCs/>
          <w:sz w:val="22"/>
          <w:szCs w:val="22"/>
          <w:u w:val="single"/>
        </w:rPr>
        <w:t>83.</w:t>
      </w:r>
      <w:r w:rsidRPr="0051499D" w:rsidR="00E15EE0">
        <w:rPr>
          <w:b/>
          <w:bCs/>
          <w:sz w:val="22"/>
          <w:szCs w:val="22"/>
          <w:u w:val="single"/>
        </w:rPr>
        <w:t>11</w:t>
      </w:r>
      <w:r w:rsidRPr="0051499D">
        <w:rPr>
          <w:b/>
          <w:bCs/>
          <w:sz w:val="22"/>
          <w:szCs w:val="22"/>
          <w:u w:val="single"/>
        </w:rPr>
        <w:t>(d)</w:t>
      </w:r>
      <w:r w:rsidRPr="0051499D">
        <w:rPr>
          <w:sz w:val="22"/>
          <w:szCs w:val="22"/>
        </w:rPr>
        <w:t xml:space="preserve"> requires the petitioner to provide important technical information concerning how the group defines membership and the basic rules by which the group is governed.  This information is essential to the evaluations made under criteria found in </w:t>
      </w:r>
      <w:r w:rsidRPr="0051499D">
        <w:rPr>
          <w:sz w:val="22"/>
          <w:szCs w:val="22"/>
          <w:u w:val="single"/>
        </w:rPr>
        <w:t>(c)</w:t>
      </w:r>
      <w:r w:rsidRPr="0051499D">
        <w:rPr>
          <w:sz w:val="22"/>
          <w:szCs w:val="22"/>
        </w:rPr>
        <w:t xml:space="preserve"> and </w:t>
      </w:r>
      <w:r w:rsidRPr="0051499D">
        <w:rPr>
          <w:sz w:val="22"/>
          <w:szCs w:val="22"/>
          <w:u w:val="single"/>
        </w:rPr>
        <w:t>(e)</w:t>
      </w:r>
      <w:r w:rsidRPr="0051499D">
        <w:rPr>
          <w:sz w:val="22"/>
          <w:szCs w:val="22"/>
        </w:rPr>
        <w:t>.</w:t>
      </w:r>
    </w:p>
    <w:p w:rsidRPr="0051499D" w:rsidR="003B0A10" w:rsidP="003B0A10" w:rsidRDefault="003B0A10" w14:paraId="0B358399" w14:textId="77777777">
      <w:pPr>
        <w:rPr>
          <w:sz w:val="22"/>
          <w:szCs w:val="22"/>
        </w:rPr>
      </w:pPr>
    </w:p>
    <w:p w:rsidRPr="0051499D" w:rsidR="00237225" w:rsidP="003B0A10" w:rsidRDefault="003B0A10" w14:paraId="238B305B" w14:textId="48E3A528">
      <w:pPr>
        <w:numPr>
          <w:ilvl w:val="0"/>
          <w:numId w:val="4"/>
        </w:numPr>
        <w:rPr>
          <w:sz w:val="22"/>
          <w:szCs w:val="22"/>
        </w:rPr>
      </w:pPr>
      <w:r w:rsidRPr="0051499D">
        <w:rPr>
          <w:b/>
          <w:bCs/>
          <w:sz w:val="22"/>
          <w:szCs w:val="22"/>
          <w:u w:val="single"/>
        </w:rPr>
        <w:t>83.</w:t>
      </w:r>
      <w:r w:rsidRPr="0051499D" w:rsidR="00E15EE0">
        <w:rPr>
          <w:b/>
          <w:bCs/>
          <w:sz w:val="22"/>
          <w:szCs w:val="22"/>
          <w:u w:val="single"/>
        </w:rPr>
        <w:t>11</w:t>
      </w:r>
      <w:r w:rsidRPr="0051499D">
        <w:rPr>
          <w:b/>
          <w:bCs/>
          <w:sz w:val="22"/>
          <w:szCs w:val="22"/>
          <w:u w:val="single"/>
        </w:rPr>
        <w:t>(e)</w:t>
      </w:r>
      <w:r w:rsidRPr="0051499D">
        <w:rPr>
          <w:sz w:val="22"/>
          <w:szCs w:val="22"/>
        </w:rPr>
        <w:t xml:space="preserve"> requires the petitioner to demonstrate </w:t>
      </w:r>
      <w:r w:rsidRPr="0051499D" w:rsidR="0097749E">
        <w:rPr>
          <w:sz w:val="22"/>
          <w:szCs w:val="22"/>
        </w:rPr>
        <w:t xml:space="preserve">descent from the historical Indian </w:t>
      </w:r>
      <w:r w:rsidR="00AC497E">
        <w:rPr>
          <w:sz w:val="22"/>
          <w:szCs w:val="22"/>
        </w:rPr>
        <w:t>T</w:t>
      </w:r>
      <w:r w:rsidRPr="0051499D" w:rsidR="0097749E">
        <w:rPr>
          <w:sz w:val="22"/>
          <w:szCs w:val="22"/>
        </w:rPr>
        <w:t>ribe</w:t>
      </w:r>
      <w:r w:rsidRPr="0051499D">
        <w:rPr>
          <w:sz w:val="22"/>
          <w:szCs w:val="22"/>
        </w:rPr>
        <w:t xml:space="preserve">.  It defines a variety of alternative </w:t>
      </w:r>
      <w:r w:rsidRPr="0051499D" w:rsidR="003C4FF1">
        <w:rPr>
          <w:sz w:val="22"/>
          <w:szCs w:val="22"/>
        </w:rPr>
        <w:t xml:space="preserve">forms of </w:t>
      </w:r>
      <w:r w:rsidRPr="0051499D">
        <w:rPr>
          <w:sz w:val="22"/>
          <w:szCs w:val="22"/>
        </w:rPr>
        <w:t xml:space="preserve">evidence that can be used.  BIA forms 8304 (Individual History Chart), 8305 (Ancestry Chart) and 8306 (Membership Roll) are optional in providing a complete list of members of the group seeking </w:t>
      </w:r>
      <w:r w:rsidRPr="0051499D" w:rsidR="0097749E">
        <w:rPr>
          <w:sz w:val="22"/>
          <w:szCs w:val="22"/>
        </w:rPr>
        <w:t>acknowledgment</w:t>
      </w:r>
      <w:r w:rsidRPr="0051499D">
        <w:rPr>
          <w:sz w:val="22"/>
          <w:szCs w:val="22"/>
        </w:rPr>
        <w:t>.  Groups may submit the information on their own forms, and routinely do so.</w:t>
      </w:r>
      <w:r w:rsidRPr="0051499D" w:rsidR="00237225">
        <w:rPr>
          <w:sz w:val="22"/>
          <w:szCs w:val="22"/>
        </w:rPr>
        <w:t xml:space="preserve"> Each of these forms is provided as </w:t>
      </w:r>
      <w:r w:rsidRPr="0051499D" w:rsidR="00DD3B7C">
        <w:rPr>
          <w:sz w:val="22"/>
          <w:szCs w:val="22"/>
        </w:rPr>
        <w:t xml:space="preserve">an optional template to assist petitioners in understanding the information that is required. Most petitioners choose to submit this information in their own formats, often in Excel spreadsheets or using family tree software. </w:t>
      </w:r>
      <w:r w:rsidRPr="0051499D" w:rsidR="00573963">
        <w:rPr>
          <w:sz w:val="22"/>
          <w:szCs w:val="22"/>
        </w:rPr>
        <w:t xml:space="preserve">Petitioners may choose to use none, all, or only one or two of these forms. </w:t>
      </w:r>
      <w:r w:rsidRPr="0051499D" w:rsidR="00DD3B7C">
        <w:rPr>
          <w:sz w:val="22"/>
          <w:szCs w:val="22"/>
        </w:rPr>
        <w:t xml:space="preserve">With this revision, OFA has added “Optional Template” at the title of each form to clarify that these formats are not required. The data elements on these forms are described below. </w:t>
      </w:r>
    </w:p>
    <w:p w:rsidRPr="0051499D" w:rsidR="00AB74EB" w:rsidP="00820148" w:rsidRDefault="00820148" w14:paraId="2EE4A82F" w14:textId="0462FB54">
      <w:pPr>
        <w:numPr>
          <w:ilvl w:val="1"/>
          <w:numId w:val="4"/>
        </w:numPr>
        <w:rPr>
          <w:b/>
          <w:bCs/>
          <w:sz w:val="22"/>
          <w:szCs w:val="22"/>
        </w:rPr>
      </w:pPr>
      <w:bookmarkStart w:name="_Hlk83648120" w:id="0"/>
      <w:r w:rsidRPr="0051499D">
        <w:rPr>
          <w:b/>
          <w:bCs/>
          <w:sz w:val="22"/>
          <w:szCs w:val="22"/>
        </w:rPr>
        <w:t>8304 (Individual History Chart)</w:t>
      </w:r>
      <w:r w:rsidRPr="0051499D" w:rsidR="00F34A53">
        <w:rPr>
          <w:b/>
          <w:bCs/>
          <w:sz w:val="22"/>
          <w:szCs w:val="22"/>
        </w:rPr>
        <w:t xml:space="preserve"> </w:t>
      </w:r>
    </w:p>
    <w:bookmarkEnd w:id="0"/>
    <w:p w:rsidRPr="0051499D" w:rsidR="00802A7F" w:rsidP="00802A7F" w:rsidRDefault="00802A7F" w14:paraId="1AF5F558" w14:textId="6AF29147">
      <w:pPr>
        <w:numPr>
          <w:ilvl w:val="2"/>
          <w:numId w:val="4"/>
        </w:numPr>
        <w:rPr>
          <w:sz w:val="22"/>
          <w:szCs w:val="22"/>
        </w:rPr>
      </w:pPr>
      <w:r w:rsidRPr="0051499D">
        <w:rPr>
          <w:i/>
          <w:sz w:val="22"/>
          <w:szCs w:val="22"/>
        </w:rPr>
        <w:t xml:space="preserve">Use of Form: </w:t>
      </w:r>
      <w:r w:rsidRPr="0051499D" w:rsidR="00D5664D">
        <w:rPr>
          <w:sz w:val="22"/>
          <w:szCs w:val="22"/>
        </w:rPr>
        <w:t>OFA uses information on this</w:t>
      </w:r>
      <w:r w:rsidRPr="0051499D">
        <w:rPr>
          <w:sz w:val="22"/>
          <w:szCs w:val="22"/>
        </w:rPr>
        <w:t xml:space="preserve"> </w:t>
      </w:r>
      <w:r w:rsidRPr="0051499D" w:rsidR="00D5664D">
        <w:rPr>
          <w:sz w:val="22"/>
          <w:szCs w:val="22"/>
        </w:rPr>
        <w:t xml:space="preserve">optional </w:t>
      </w:r>
      <w:r w:rsidRPr="0051499D">
        <w:rPr>
          <w:sz w:val="22"/>
          <w:szCs w:val="22"/>
        </w:rPr>
        <w:t xml:space="preserve">form </w:t>
      </w:r>
      <w:r w:rsidRPr="0051499D" w:rsidR="00D5664D">
        <w:rPr>
          <w:sz w:val="22"/>
          <w:szCs w:val="22"/>
        </w:rPr>
        <w:t xml:space="preserve">to identify </w:t>
      </w:r>
      <w:r w:rsidRPr="0051499D">
        <w:rPr>
          <w:sz w:val="22"/>
          <w:szCs w:val="22"/>
        </w:rPr>
        <w:t>each member’</w:t>
      </w:r>
      <w:r w:rsidRPr="0051499D" w:rsidR="00573963">
        <w:rPr>
          <w:sz w:val="22"/>
          <w:szCs w:val="22"/>
        </w:rPr>
        <w:t xml:space="preserve">s immediate family, which assists </w:t>
      </w:r>
      <w:r w:rsidRPr="0051499D" w:rsidR="00D5664D">
        <w:rPr>
          <w:sz w:val="22"/>
          <w:szCs w:val="22"/>
        </w:rPr>
        <w:t xml:space="preserve">in determining </w:t>
      </w:r>
      <w:r w:rsidRPr="0051499D">
        <w:rPr>
          <w:sz w:val="22"/>
          <w:szCs w:val="22"/>
        </w:rPr>
        <w:t xml:space="preserve">whether criterion (b) of the regulations has been met. Criterion (b) requires that the petitioner demonstrate that it comprises a distinct community by including first-degree relatives in calculating participation in community activities. The information on this form is also used to assist in determining descendancy from a historical Indian Tribe, which is criterion (e) of the regulations. </w:t>
      </w:r>
      <w:r w:rsidRPr="0051499D" w:rsidR="000D03AB">
        <w:rPr>
          <w:i/>
          <w:sz w:val="22"/>
          <w:szCs w:val="22"/>
        </w:rPr>
        <w:t xml:space="preserve">See </w:t>
      </w:r>
      <w:r w:rsidRPr="0051499D" w:rsidR="000D03AB">
        <w:rPr>
          <w:sz w:val="22"/>
          <w:szCs w:val="22"/>
        </w:rPr>
        <w:t>25 CFR 83.11(a), (b), and (e).</w:t>
      </w:r>
    </w:p>
    <w:p w:rsidRPr="0051499D" w:rsidR="00AB74EB" w:rsidP="00802A7F" w:rsidRDefault="00802A7F" w14:paraId="64507E16" w14:textId="5E1B8482">
      <w:pPr>
        <w:numPr>
          <w:ilvl w:val="2"/>
          <w:numId w:val="4"/>
        </w:numPr>
        <w:rPr>
          <w:sz w:val="22"/>
          <w:szCs w:val="22"/>
        </w:rPr>
      </w:pPr>
      <w:r w:rsidRPr="0051499D">
        <w:rPr>
          <w:i/>
          <w:sz w:val="22"/>
          <w:szCs w:val="22"/>
        </w:rPr>
        <w:t xml:space="preserve">Need for </w:t>
      </w:r>
      <w:r w:rsidRPr="0051499D" w:rsidR="00AB74EB">
        <w:rPr>
          <w:i/>
          <w:sz w:val="22"/>
          <w:szCs w:val="22"/>
        </w:rPr>
        <w:t>Data Elements:</w:t>
      </w:r>
    </w:p>
    <w:p w:rsidRPr="0051499D" w:rsidR="00802A7F" w:rsidP="00802A7F" w:rsidRDefault="00802A7F" w14:paraId="17A2EDBD" w14:textId="7F466F7F">
      <w:pPr>
        <w:numPr>
          <w:ilvl w:val="3"/>
          <w:numId w:val="4"/>
        </w:numPr>
        <w:rPr>
          <w:sz w:val="22"/>
          <w:szCs w:val="22"/>
        </w:rPr>
      </w:pPr>
      <w:r w:rsidRPr="0051499D">
        <w:rPr>
          <w:sz w:val="22"/>
          <w:szCs w:val="22"/>
        </w:rPr>
        <w:t xml:space="preserve">Names of spouse, children, parents, siblings:  </w:t>
      </w:r>
      <w:r w:rsidRPr="0051499D" w:rsidR="00573963">
        <w:rPr>
          <w:sz w:val="22"/>
          <w:szCs w:val="22"/>
        </w:rPr>
        <w:t>Necessary to identify</w:t>
      </w:r>
      <w:r w:rsidRPr="0051499D">
        <w:rPr>
          <w:sz w:val="22"/>
          <w:szCs w:val="22"/>
        </w:rPr>
        <w:t xml:space="preserve"> who is part of a family unit and how the family unit interrelates to other family units, if at all, within the petitioning group.</w:t>
      </w:r>
    </w:p>
    <w:p w:rsidRPr="0051499D" w:rsidR="00AB74EB" w:rsidP="00802A7F" w:rsidRDefault="0097749E" w14:paraId="2B5A1D58" w14:textId="6E9F17E9">
      <w:pPr>
        <w:numPr>
          <w:ilvl w:val="3"/>
          <w:numId w:val="4"/>
        </w:numPr>
        <w:rPr>
          <w:sz w:val="22"/>
          <w:szCs w:val="22"/>
        </w:rPr>
      </w:pPr>
      <w:r w:rsidRPr="0051499D">
        <w:rPr>
          <w:sz w:val="22"/>
          <w:szCs w:val="22"/>
        </w:rPr>
        <w:t>Gender</w:t>
      </w:r>
      <w:r w:rsidRPr="0051499D" w:rsidR="00802A7F">
        <w:rPr>
          <w:sz w:val="22"/>
          <w:szCs w:val="22"/>
        </w:rPr>
        <w:t xml:space="preserve"> of children, parents, siblings:  </w:t>
      </w:r>
      <w:r w:rsidRPr="0051499D" w:rsidR="00573963">
        <w:rPr>
          <w:sz w:val="22"/>
          <w:szCs w:val="22"/>
        </w:rPr>
        <w:t xml:space="preserve">Necessary for genealogical practices and software to </w:t>
      </w:r>
      <w:r w:rsidRPr="0051499D" w:rsidR="00802A7F">
        <w:rPr>
          <w:sz w:val="22"/>
          <w:szCs w:val="22"/>
        </w:rPr>
        <w:t xml:space="preserve">track </w:t>
      </w:r>
      <w:r w:rsidRPr="0051499D" w:rsidR="00573963">
        <w:rPr>
          <w:sz w:val="22"/>
          <w:szCs w:val="22"/>
        </w:rPr>
        <w:t xml:space="preserve">biological </w:t>
      </w:r>
      <w:r w:rsidRPr="0051499D" w:rsidR="00802A7F">
        <w:rPr>
          <w:sz w:val="22"/>
          <w:szCs w:val="22"/>
        </w:rPr>
        <w:t xml:space="preserve">descendancy through maternal and paternal lines, which necessarily require indication of </w:t>
      </w:r>
      <w:r w:rsidRPr="0051499D">
        <w:rPr>
          <w:sz w:val="22"/>
          <w:szCs w:val="22"/>
        </w:rPr>
        <w:t>gender</w:t>
      </w:r>
      <w:r w:rsidRPr="0051499D" w:rsidR="00802A7F">
        <w:rPr>
          <w:sz w:val="22"/>
          <w:szCs w:val="22"/>
        </w:rPr>
        <w:t>.</w:t>
      </w:r>
    </w:p>
    <w:p w:rsidRPr="0051499D" w:rsidR="00802A7F" w:rsidP="00820148" w:rsidRDefault="00237225" w14:paraId="29C5B524" w14:textId="04A0BC3C">
      <w:pPr>
        <w:numPr>
          <w:ilvl w:val="1"/>
          <w:numId w:val="4"/>
        </w:numPr>
        <w:rPr>
          <w:b/>
          <w:bCs/>
          <w:sz w:val="22"/>
          <w:szCs w:val="22"/>
        </w:rPr>
      </w:pPr>
      <w:r w:rsidRPr="0051499D">
        <w:rPr>
          <w:b/>
          <w:bCs/>
          <w:sz w:val="22"/>
          <w:szCs w:val="22"/>
        </w:rPr>
        <w:t>8305 (Ancestry Chart)</w:t>
      </w:r>
    </w:p>
    <w:p w:rsidRPr="0051499D" w:rsidR="00802A7F" w:rsidP="00573963" w:rsidRDefault="00802A7F" w14:paraId="72155C74" w14:textId="76BC5231">
      <w:pPr>
        <w:numPr>
          <w:ilvl w:val="2"/>
          <w:numId w:val="4"/>
        </w:numPr>
        <w:rPr>
          <w:sz w:val="22"/>
          <w:szCs w:val="22"/>
        </w:rPr>
      </w:pPr>
      <w:r w:rsidRPr="0051499D">
        <w:rPr>
          <w:i/>
          <w:sz w:val="22"/>
          <w:szCs w:val="22"/>
        </w:rPr>
        <w:t>Use of Form:</w:t>
      </w:r>
      <w:r w:rsidRPr="0051499D" w:rsidR="007D3453">
        <w:rPr>
          <w:i/>
          <w:sz w:val="22"/>
          <w:szCs w:val="22"/>
        </w:rPr>
        <w:t xml:space="preserve">  </w:t>
      </w:r>
      <w:r w:rsidRPr="0051499D" w:rsidR="00D5664D">
        <w:rPr>
          <w:sz w:val="22"/>
          <w:szCs w:val="22"/>
        </w:rPr>
        <w:t>OFA uses information on t</w:t>
      </w:r>
      <w:r w:rsidRPr="0051499D" w:rsidR="007D3453">
        <w:rPr>
          <w:sz w:val="22"/>
          <w:szCs w:val="22"/>
        </w:rPr>
        <w:t>his</w:t>
      </w:r>
      <w:r w:rsidRPr="0051499D" w:rsidR="00D5664D">
        <w:rPr>
          <w:sz w:val="22"/>
          <w:szCs w:val="22"/>
        </w:rPr>
        <w:t xml:space="preserve"> optional</w:t>
      </w:r>
      <w:r w:rsidRPr="0051499D" w:rsidR="007D3453">
        <w:rPr>
          <w:sz w:val="22"/>
          <w:szCs w:val="22"/>
        </w:rPr>
        <w:t xml:space="preserve"> form </w:t>
      </w:r>
      <w:r w:rsidRPr="0051499D" w:rsidR="00D5664D">
        <w:rPr>
          <w:sz w:val="22"/>
          <w:szCs w:val="22"/>
        </w:rPr>
        <w:t>to identify the</w:t>
      </w:r>
      <w:r w:rsidRPr="0051499D" w:rsidR="007D3453">
        <w:rPr>
          <w:sz w:val="22"/>
          <w:szCs w:val="22"/>
        </w:rPr>
        <w:t xml:space="preserve"> member’s ancestors so that OFA genealogists can verify that ancestry traces back to members of a historical Indian Tribe, as required by criterion (e) of</w:t>
      </w:r>
      <w:r w:rsidRPr="0051499D" w:rsidR="00C23106">
        <w:rPr>
          <w:sz w:val="22"/>
          <w:szCs w:val="22"/>
        </w:rPr>
        <w:t xml:space="preserve"> Part 83 of</w:t>
      </w:r>
      <w:r w:rsidRPr="0051499D" w:rsidR="007D3453">
        <w:rPr>
          <w:sz w:val="22"/>
          <w:szCs w:val="22"/>
        </w:rPr>
        <w:t xml:space="preserve"> the regulations.</w:t>
      </w:r>
      <w:r w:rsidRPr="0051499D" w:rsidR="00D5664D">
        <w:rPr>
          <w:sz w:val="22"/>
          <w:szCs w:val="22"/>
        </w:rPr>
        <w:t xml:space="preserve"> Members need only provide information related to the branch (maternal or paternal) through which they claim descent from members of the historical Indian Tribe. </w:t>
      </w:r>
    </w:p>
    <w:p w:rsidRPr="0051499D" w:rsidR="00D90A46" w:rsidP="00573963" w:rsidRDefault="00802A7F" w14:paraId="704CCD37" w14:textId="77777777">
      <w:pPr>
        <w:numPr>
          <w:ilvl w:val="2"/>
          <w:numId w:val="4"/>
        </w:numPr>
        <w:rPr>
          <w:sz w:val="22"/>
          <w:szCs w:val="22"/>
        </w:rPr>
      </w:pPr>
      <w:r w:rsidRPr="0051499D">
        <w:rPr>
          <w:i/>
          <w:sz w:val="22"/>
          <w:szCs w:val="22"/>
        </w:rPr>
        <w:lastRenderedPageBreak/>
        <w:t xml:space="preserve">Need for Data Elements:  </w:t>
      </w:r>
      <w:r w:rsidRPr="0051499D" w:rsidR="00237225">
        <w:rPr>
          <w:sz w:val="22"/>
          <w:szCs w:val="22"/>
        </w:rPr>
        <w:t xml:space="preserve"> </w:t>
      </w:r>
    </w:p>
    <w:p w:rsidRPr="0051499D" w:rsidR="00820148" w:rsidP="00573963" w:rsidRDefault="00DD1EEB" w14:paraId="04CA23B9" w14:textId="68652F11">
      <w:pPr>
        <w:numPr>
          <w:ilvl w:val="3"/>
          <w:numId w:val="4"/>
        </w:numPr>
        <w:rPr>
          <w:sz w:val="22"/>
          <w:szCs w:val="22"/>
        </w:rPr>
      </w:pPr>
      <w:r w:rsidRPr="0051499D">
        <w:rPr>
          <w:sz w:val="22"/>
          <w:szCs w:val="22"/>
        </w:rPr>
        <w:t>Names, dates and places of birth, dates and places of marriage, and dates and places of death</w:t>
      </w:r>
      <w:r w:rsidRPr="0051499D" w:rsidR="00C23106">
        <w:rPr>
          <w:sz w:val="22"/>
          <w:szCs w:val="22"/>
        </w:rPr>
        <w:t xml:space="preserve"> are n</w:t>
      </w:r>
      <w:r w:rsidRPr="0051499D" w:rsidR="00573963">
        <w:rPr>
          <w:sz w:val="22"/>
          <w:szCs w:val="22"/>
        </w:rPr>
        <w:t>ecessary for</w:t>
      </w:r>
      <w:r w:rsidRPr="0051499D" w:rsidR="00D5664D">
        <w:rPr>
          <w:sz w:val="22"/>
          <w:szCs w:val="22"/>
        </w:rPr>
        <w:t xml:space="preserve"> </w:t>
      </w:r>
      <w:r w:rsidRPr="0051499D" w:rsidR="00573963">
        <w:rPr>
          <w:sz w:val="22"/>
          <w:szCs w:val="22"/>
        </w:rPr>
        <w:t>genealogists to sufficiently identify</w:t>
      </w:r>
      <w:r w:rsidRPr="0051499D">
        <w:rPr>
          <w:sz w:val="22"/>
          <w:szCs w:val="22"/>
        </w:rPr>
        <w:t xml:space="preserve"> individuals and their biological and familial relationships. This information is especially useful to distinguish individuals in the past who have the same or similar names</w:t>
      </w:r>
      <w:r w:rsidRPr="0051499D" w:rsidR="00D5664D">
        <w:rPr>
          <w:sz w:val="22"/>
          <w:szCs w:val="22"/>
        </w:rPr>
        <w:t>.</w:t>
      </w:r>
      <w:r w:rsidRPr="0051499D">
        <w:rPr>
          <w:sz w:val="22"/>
          <w:szCs w:val="22"/>
        </w:rPr>
        <w:t xml:space="preserve"> </w:t>
      </w:r>
      <w:r w:rsidRPr="0051499D" w:rsidR="00C23106">
        <w:rPr>
          <w:sz w:val="22"/>
          <w:szCs w:val="22"/>
        </w:rPr>
        <w:t xml:space="preserve">This information is needed for OFA genealogists to verify that ancestry traces back to members of a historical Indian </w:t>
      </w:r>
      <w:r w:rsidR="00AC497E">
        <w:rPr>
          <w:sz w:val="22"/>
          <w:szCs w:val="22"/>
        </w:rPr>
        <w:t>T</w:t>
      </w:r>
      <w:r w:rsidRPr="0051499D" w:rsidR="00C23106">
        <w:rPr>
          <w:sz w:val="22"/>
          <w:szCs w:val="22"/>
        </w:rPr>
        <w:t>ribe, as required by the regulations at 25 CFR 83.11(e).</w:t>
      </w:r>
    </w:p>
    <w:p w:rsidRPr="0051499D" w:rsidR="00D5664D" w:rsidP="00820148" w:rsidRDefault="00F34A53" w14:paraId="2DB57DDA" w14:textId="52FC2E16">
      <w:pPr>
        <w:numPr>
          <w:ilvl w:val="1"/>
          <w:numId w:val="4"/>
        </w:numPr>
        <w:rPr>
          <w:b/>
          <w:bCs/>
          <w:sz w:val="22"/>
          <w:szCs w:val="22"/>
        </w:rPr>
      </w:pPr>
      <w:r w:rsidRPr="0051499D">
        <w:rPr>
          <w:b/>
          <w:bCs/>
          <w:sz w:val="22"/>
          <w:szCs w:val="22"/>
        </w:rPr>
        <w:t xml:space="preserve">8306 (Membership </w:t>
      </w:r>
      <w:r w:rsidRPr="0051499D" w:rsidR="005410FD">
        <w:rPr>
          <w:b/>
          <w:bCs/>
          <w:sz w:val="22"/>
          <w:szCs w:val="22"/>
        </w:rPr>
        <w:t>List</w:t>
      </w:r>
      <w:r w:rsidRPr="0051499D">
        <w:rPr>
          <w:b/>
          <w:bCs/>
          <w:sz w:val="22"/>
          <w:szCs w:val="22"/>
        </w:rPr>
        <w:t>)</w:t>
      </w:r>
    </w:p>
    <w:p w:rsidRPr="0051499D" w:rsidR="00D5664D" w:rsidP="00573963" w:rsidRDefault="00D5664D" w14:paraId="192D593F" w14:textId="7F92655E">
      <w:pPr>
        <w:numPr>
          <w:ilvl w:val="2"/>
          <w:numId w:val="4"/>
        </w:numPr>
        <w:rPr>
          <w:sz w:val="22"/>
          <w:szCs w:val="22"/>
        </w:rPr>
      </w:pPr>
      <w:r w:rsidRPr="0051499D">
        <w:rPr>
          <w:i/>
          <w:sz w:val="22"/>
          <w:szCs w:val="22"/>
        </w:rPr>
        <w:t xml:space="preserve">Use of Form:  </w:t>
      </w:r>
      <w:r w:rsidRPr="0051499D">
        <w:rPr>
          <w:sz w:val="22"/>
          <w:szCs w:val="22"/>
        </w:rPr>
        <w:t>OFA uses information on this optional form to establish who members of the peti</w:t>
      </w:r>
      <w:r w:rsidRPr="0051499D" w:rsidR="00EB0DEB">
        <w:rPr>
          <w:sz w:val="22"/>
          <w:szCs w:val="22"/>
        </w:rPr>
        <w:t xml:space="preserve">tioning group are, so that it is clear whose ancestry needs to trace back to members of the historical Indian Tribe for criterion (e), but also for other criteria, to determine what proportion of members are participating in as a distinct community under criterion (b) and are subject to the petitioner’s political authority under criterion (c). </w:t>
      </w:r>
      <w:r w:rsidRPr="0051499D">
        <w:rPr>
          <w:sz w:val="22"/>
          <w:szCs w:val="22"/>
        </w:rPr>
        <w:t xml:space="preserve"> </w:t>
      </w:r>
    </w:p>
    <w:p w:rsidRPr="0051499D" w:rsidR="00EB0DEB" w:rsidP="00573963" w:rsidRDefault="00D5664D" w14:paraId="4CB87F65" w14:textId="77777777">
      <w:pPr>
        <w:numPr>
          <w:ilvl w:val="2"/>
          <w:numId w:val="4"/>
        </w:numPr>
        <w:rPr>
          <w:sz w:val="22"/>
          <w:szCs w:val="22"/>
        </w:rPr>
      </w:pPr>
      <w:r w:rsidRPr="0051499D">
        <w:rPr>
          <w:i/>
          <w:sz w:val="22"/>
          <w:szCs w:val="22"/>
        </w:rPr>
        <w:t xml:space="preserve">Need for Data Elements: </w:t>
      </w:r>
      <w:r w:rsidRPr="0051499D" w:rsidR="00F34A53">
        <w:rPr>
          <w:sz w:val="22"/>
          <w:szCs w:val="22"/>
        </w:rPr>
        <w:t xml:space="preserve"> </w:t>
      </w:r>
    </w:p>
    <w:p w:rsidRPr="0051499D" w:rsidR="00EB0DEB" w:rsidP="005410FD" w:rsidRDefault="00EB0DEB" w14:paraId="19B76559" w14:textId="3CE7B5D0">
      <w:pPr>
        <w:numPr>
          <w:ilvl w:val="3"/>
          <w:numId w:val="4"/>
        </w:numPr>
        <w:rPr>
          <w:sz w:val="22"/>
          <w:szCs w:val="22"/>
        </w:rPr>
      </w:pPr>
      <w:r w:rsidRPr="0051499D">
        <w:rPr>
          <w:sz w:val="22"/>
          <w:szCs w:val="22"/>
        </w:rPr>
        <w:t xml:space="preserve">Name, address, and birth date of each member </w:t>
      </w:r>
      <w:r w:rsidRPr="0051499D" w:rsidR="005410FD">
        <w:rPr>
          <w:sz w:val="22"/>
          <w:szCs w:val="22"/>
        </w:rPr>
        <w:t xml:space="preserve">are required by 25 CFR 83.21 and </w:t>
      </w:r>
      <w:r w:rsidRPr="0051499D">
        <w:rPr>
          <w:sz w:val="22"/>
          <w:szCs w:val="22"/>
        </w:rPr>
        <w:t xml:space="preserve">allows OFA to sufficiently identify each individual and verify </w:t>
      </w:r>
      <w:r w:rsidRPr="0051499D" w:rsidR="00573963">
        <w:rPr>
          <w:sz w:val="22"/>
          <w:szCs w:val="22"/>
        </w:rPr>
        <w:t>identitie</w:t>
      </w:r>
      <w:r w:rsidRPr="0051499D">
        <w:rPr>
          <w:sz w:val="22"/>
          <w:szCs w:val="22"/>
        </w:rPr>
        <w:t>s</w:t>
      </w:r>
      <w:r w:rsidRPr="0051499D" w:rsidR="005410FD">
        <w:rPr>
          <w:sz w:val="22"/>
          <w:szCs w:val="22"/>
        </w:rPr>
        <w:t xml:space="preserve"> by the combination of name and birthdate, and to show that the petitioning group maintains current contact information for </w:t>
      </w:r>
      <w:proofErr w:type="gramStart"/>
      <w:r w:rsidRPr="0051499D" w:rsidR="005410FD">
        <w:rPr>
          <w:sz w:val="22"/>
          <w:szCs w:val="22"/>
        </w:rPr>
        <w:t>each individual</w:t>
      </w:r>
      <w:proofErr w:type="gramEnd"/>
      <w:r w:rsidRPr="0051499D" w:rsidR="005410FD">
        <w:rPr>
          <w:sz w:val="22"/>
          <w:szCs w:val="22"/>
        </w:rPr>
        <w:t>.</w:t>
      </w:r>
    </w:p>
    <w:p w:rsidRPr="0051499D" w:rsidR="00820148" w:rsidP="00EB0DEB" w:rsidRDefault="0097749E" w14:paraId="6B3A1CB5" w14:textId="403B4D17">
      <w:pPr>
        <w:numPr>
          <w:ilvl w:val="3"/>
          <w:numId w:val="4"/>
        </w:numPr>
        <w:rPr>
          <w:sz w:val="22"/>
          <w:szCs w:val="22"/>
        </w:rPr>
      </w:pPr>
      <w:r w:rsidRPr="0051499D">
        <w:rPr>
          <w:sz w:val="22"/>
          <w:szCs w:val="22"/>
        </w:rPr>
        <w:t>Gender</w:t>
      </w:r>
      <w:r w:rsidRPr="0051499D" w:rsidR="00263E04">
        <w:rPr>
          <w:sz w:val="22"/>
          <w:szCs w:val="22"/>
        </w:rPr>
        <w:t xml:space="preserve"> and </w:t>
      </w:r>
      <w:r w:rsidRPr="001E723D" w:rsidR="00262319">
        <w:rPr>
          <w:sz w:val="22"/>
          <w:szCs w:val="22"/>
        </w:rPr>
        <w:t>birthplace</w:t>
      </w:r>
      <w:r w:rsidRPr="0051499D" w:rsidR="00263E04">
        <w:rPr>
          <w:sz w:val="22"/>
          <w:szCs w:val="22"/>
        </w:rPr>
        <w:t xml:space="preserve"> of each member as well as n</w:t>
      </w:r>
      <w:r w:rsidRPr="0051499D" w:rsidR="00EB0DEB">
        <w:rPr>
          <w:sz w:val="22"/>
          <w:szCs w:val="22"/>
        </w:rPr>
        <w:t xml:space="preserve">ame, </w:t>
      </w:r>
      <w:r w:rsidRPr="001E723D" w:rsidR="00262319">
        <w:rPr>
          <w:sz w:val="22"/>
          <w:szCs w:val="22"/>
        </w:rPr>
        <w:t>birthplace</w:t>
      </w:r>
      <w:r w:rsidRPr="0051499D" w:rsidR="00EB0DEB">
        <w:rPr>
          <w:sz w:val="22"/>
          <w:szCs w:val="22"/>
        </w:rPr>
        <w:t>, and birth date of parents are included in a shaded portion as optional on this form because while this information may not be necessary to identify the individual member, this information can assist OFA in cross-referencing with other information (such as genealogical information) to confirm identities</w:t>
      </w:r>
      <w:r w:rsidRPr="0051499D" w:rsidR="00F34A53">
        <w:rPr>
          <w:sz w:val="22"/>
          <w:szCs w:val="22"/>
        </w:rPr>
        <w:t xml:space="preserve">. </w:t>
      </w:r>
    </w:p>
    <w:p w:rsidRPr="0051499D" w:rsidR="003B0A10" w:rsidP="003B0A10" w:rsidRDefault="003B0A10" w14:paraId="4E7BB3C8" w14:textId="77777777">
      <w:pPr>
        <w:rPr>
          <w:sz w:val="22"/>
          <w:szCs w:val="22"/>
        </w:rPr>
      </w:pPr>
    </w:p>
    <w:p w:rsidRPr="0051499D" w:rsidR="003B0A10" w:rsidP="003B0A10" w:rsidRDefault="003B0A10" w14:paraId="7AACE39B" w14:textId="3E0933F6">
      <w:pPr>
        <w:numPr>
          <w:ilvl w:val="0"/>
          <w:numId w:val="4"/>
        </w:numPr>
        <w:rPr>
          <w:sz w:val="22"/>
          <w:szCs w:val="22"/>
        </w:rPr>
      </w:pPr>
      <w:r w:rsidRPr="0051499D">
        <w:rPr>
          <w:b/>
          <w:bCs/>
          <w:sz w:val="22"/>
          <w:szCs w:val="22"/>
          <w:u w:val="single"/>
        </w:rPr>
        <w:t>83.</w:t>
      </w:r>
      <w:r w:rsidRPr="0051499D" w:rsidR="00E15EE0">
        <w:rPr>
          <w:b/>
          <w:bCs/>
          <w:sz w:val="22"/>
          <w:szCs w:val="22"/>
          <w:u w:val="single"/>
        </w:rPr>
        <w:t>11</w:t>
      </w:r>
      <w:r w:rsidRPr="0051499D">
        <w:rPr>
          <w:b/>
          <w:bCs/>
          <w:sz w:val="22"/>
          <w:szCs w:val="22"/>
          <w:u w:val="single"/>
        </w:rPr>
        <w:t>(f)</w:t>
      </w:r>
      <w:r w:rsidRPr="0051499D">
        <w:rPr>
          <w:sz w:val="22"/>
          <w:szCs w:val="22"/>
        </w:rPr>
        <w:t xml:space="preserve"> requires the petitioner to demonstrate that </w:t>
      </w:r>
      <w:r w:rsidRPr="0051499D" w:rsidR="00707BCC">
        <w:rPr>
          <w:sz w:val="22"/>
          <w:szCs w:val="22"/>
        </w:rPr>
        <w:t xml:space="preserve">it not principally composed of </w:t>
      </w:r>
      <w:r w:rsidRPr="0051499D">
        <w:rPr>
          <w:sz w:val="22"/>
          <w:szCs w:val="22"/>
        </w:rPr>
        <w:t xml:space="preserve">members of an already recognized tribe.  This requirement helps support the validity that the petitioner is a distinct group and avoids the potential of dividing already recognized Indian </w:t>
      </w:r>
      <w:r w:rsidR="009E6E6C">
        <w:rPr>
          <w:sz w:val="22"/>
          <w:szCs w:val="22"/>
        </w:rPr>
        <w:t>Tribes</w:t>
      </w:r>
      <w:r w:rsidRPr="0051499D">
        <w:rPr>
          <w:sz w:val="22"/>
          <w:szCs w:val="22"/>
        </w:rPr>
        <w:t>.</w:t>
      </w:r>
    </w:p>
    <w:p w:rsidRPr="0051499D" w:rsidR="003B0A10" w:rsidP="003B0A10" w:rsidRDefault="003B0A10" w14:paraId="55A4BD59" w14:textId="77777777">
      <w:pPr>
        <w:rPr>
          <w:sz w:val="22"/>
          <w:szCs w:val="22"/>
        </w:rPr>
      </w:pPr>
    </w:p>
    <w:p w:rsidRPr="0051499D" w:rsidR="003B0A10" w:rsidP="003B0A10" w:rsidRDefault="000473C6" w14:paraId="23A62C27" w14:textId="6A3CA847">
      <w:pPr>
        <w:rPr>
          <w:sz w:val="22"/>
          <w:szCs w:val="22"/>
        </w:rPr>
      </w:pPr>
      <w:r w:rsidRPr="0051499D">
        <w:rPr>
          <w:sz w:val="22"/>
          <w:szCs w:val="22"/>
        </w:rPr>
        <w:t>It has been long established that “[i]n reference to</w:t>
      </w:r>
      <w:r w:rsidRPr="0051499D" w:rsidR="00CC044B">
        <w:rPr>
          <w:sz w:val="22"/>
          <w:szCs w:val="22"/>
        </w:rPr>
        <w:t xml:space="preserve"> all matters of [</w:t>
      </w:r>
      <w:r w:rsidR="00AC497E">
        <w:rPr>
          <w:sz w:val="22"/>
          <w:szCs w:val="22"/>
        </w:rPr>
        <w:t>T</w:t>
      </w:r>
      <w:r w:rsidRPr="0051499D" w:rsidR="00AC497E">
        <w:rPr>
          <w:sz w:val="22"/>
          <w:szCs w:val="22"/>
        </w:rPr>
        <w:t xml:space="preserve">ribal </w:t>
      </w:r>
      <w:r w:rsidRPr="0051499D" w:rsidR="00CC044B">
        <w:rPr>
          <w:sz w:val="22"/>
          <w:szCs w:val="22"/>
        </w:rPr>
        <w:t>status]</w:t>
      </w:r>
      <w:r w:rsidRPr="0051499D">
        <w:rPr>
          <w:sz w:val="22"/>
          <w:szCs w:val="22"/>
        </w:rPr>
        <w:t>, it is the rule of this court to follow the action of the executive and other political departments of the government, whose more special duty it is to determine such affairs.</w:t>
      </w:r>
      <w:r w:rsidRPr="0051499D" w:rsidR="007E7186">
        <w:rPr>
          <w:sz w:val="22"/>
          <w:szCs w:val="22"/>
        </w:rPr>
        <w:t>”</w:t>
      </w:r>
      <w:r w:rsidRPr="0051499D">
        <w:rPr>
          <w:sz w:val="22"/>
          <w:szCs w:val="22"/>
        </w:rPr>
        <w:t xml:space="preserve"> </w:t>
      </w:r>
      <w:r w:rsidRPr="0051499D" w:rsidR="00A55186">
        <w:rPr>
          <w:i/>
          <w:sz w:val="22"/>
          <w:szCs w:val="22"/>
        </w:rPr>
        <w:t>United States v. Holliday</w:t>
      </w:r>
      <w:r w:rsidRPr="0051499D">
        <w:rPr>
          <w:sz w:val="22"/>
          <w:szCs w:val="22"/>
        </w:rPr>
        <w:t xml:space="preserve">, 70 U.S. 407, 419 (1865).   </w:t>
      </w:r>
      <w:proofErr w:type="gramStart"/>
      <w:r w:rsidRPr="0051499D" w:rsidR="008564E4">
        <w:rPr>
          <w:sz w:val="22"/>
          <w:szCs w:val="22"/>
        </w:rPr>
        <w:t>In order to</w:t>
      </w:r>
      <w:proofErr w:type="gramEnd"/>
      <w:r w:rsidRPr="0051499D" w:rsidR="008564E4">
        <w:rPr>
          <w:sz w:val="22"/>
          <w:szCs w:val="22"/>
        </w:rPr>
        <w:t xml:space="preserve"> carry out his treaty and </w:t>
      </w:r>
      <w:r w:rsidRPr="0051499D" w:rsidR="001209DD">
        <w:rPr>
          <w:sz w:val="22"/>
          <w:szCs w:val="22"/>
        </w:rPr>
        <w:t>statutory</w:t>
      </w:r>
      <w:r w:rsidRPr="0051499D" w:rsidR="008564E4">
        <w:rPr>
          <w:sz w:val="22"/>
          <w:szCs w:val="22"/>
        </w:rPr>
        <w:t xml:space="preserve"> obligations to Indian </w:t>
      </w:r>
      <w:r w:rsidR="009E6E6C">
        <w:rPr>
          <w:sz w:val="22"/>
          <w:szCs w:val="22"/>
        </w:rPr>
        <w:t>Tribes</w:t>
      </w:r>
      <w:r w:rsidRPr="0051499D" w:rsidR="008564E4">
        <w:rPr>
          <w:sz w:val="22"/>
          <w:szCs w:val="22"/>
        </w:rPr>
        <w:t xml:space="preserve">, the Secretary must </w:t>
      </w:r>
      <w:r w:rsidRPr="0051499D" w:rsidR="00EB7A5D">
        <w:rPr>
          <w:sz w:val="22"/>
          <w:szCs w:val="22"/>
        </w:rPr>
        <w:t xml:space="preserve">be able to acknowledge to whom he </w:t>
      </w:r>
      <w:r w:rsidRPr="0051499D" w:rsidR="008E43DB">
        <w:rPr>
          <w:sz w:val="22"/>
          <w:szCs w:val="22"/>
        </w:rPr>
        <w:t xml:space="preserve">or she </w:t>
      </w:r>
      <w:r w:rsidRPr="0051499D" w:rsidR="00EB7A5D">
        <w:rPr>
          <w:sz w:val="22"/>
          <w:szCs w:val="22"/>
        </w:rPr>
        <w:t xml:space="preserve">owes those obligations.  </w:t>
      </w:r>
      <w:r w:rsidRPr="0051499D" w:rsidR="008C5CDD">
        <w:rPr>
          <w:sz w:val="22"/>
          <w:szCs w:val="22"/>
        </w:rPr>
        <w:t xml:space="preserve">The current acknowledgment process was developed in response to the </w:t>
      </w:r>
      <w:r w:rsidRPr="0051499D" w:rsidR="001209DD">
        <w:rPr>
          <w:sz w:val="22"/>
          <w:szCs w:val="22"/>
        </w:rPr>
        <w:t>Department’s</w:t>
      </w:r>
      <w:r w:rsidRPr="0051499D" w:rsidR="008C5CDD">
        <w:rPr>
          <w:sz w:val="22"/>
          <w:szCs w:val="22"/>
        </w:rPr>
        <w:t xml:space="preserve"> need to have a fair, </w:t>
      </w:r>
      <w:proofErr w:type="gramStart"/>
      <w:r w:rsidRPr="0051499D" w:rsidR="008C5CDD">
        <w:rPr>
          <w:sz w:val="22"/>
          <w:szCs w:val="22"/>
        </w:rPr>
        <w:t>open</w:t>
      </w:r>
      <w:proofErr w:type="gramEnd"/>
      <w:r w:rsidRPr="0051499D" w:rsidR="008C5CDD">
        <w:rPr>
          <w:sz w:val="22"/>
          <w:szCs w:val="22"/>
        </w:rPr>
        <w:t xml:space="preserve"> and uniform process for determining claims of entitlement to tribal treaty and statutory benefits.  </w:t>
      </w:r>
      <w:r w:rsidRPr="0051499D" w:rsidR="003B0A10">
        <w:rPr>
          <w:sz w:val="22"/>
          <w:szCs w:val="22"/>
        </w:rPr>
        <w:t>The Department, in establishing the current process, considered that an administrative determination rather than a judicial one provided the best forum to resolve the complex technical issues that arise in making an acknowledgment determination.  The Federal court</w:t>
      </w:r>
      <w:r w:rsidRPr="0051499D" w:rsidR="008C5CDD">
        <w:rPr>
          <w:sz w:val="22"/>
          <w:szCs w:val="22"/>
        </w:rPr>
        <w:t>s</w:t>
      </w:r>
      <w:r w:rsidRPr="0051499D" w:rsidR="003B0A10">
        <w:rPr>
          <w:sz w:val="22"/>
          <w:szCs w:val="22"/>
        </w:rPr>
        <w:t xml:space="preserve"> ha</w:t>
      </w:r>
      <w:r w:rsidRPr="0051499D" w:rsidR="008C5CDD">
        <w:rPr>
          <w:sz w:val="22"/>
          <w:szCs w:val="22"/>
        </w:rPr>
        <w:t>ve</w:t>
      </w:r>
      <w:r w:rsidRPr="0051499D" w:rsidR="003B0A10">
        <w:rPr>
          <w:sz w:val="22"/>
          <w:szCs w:val="22"/>
        </w:rPr>
        <w:t xml:space="preserve"> affirmed the preference for an administrative process</w:t>
      </w:r>
      <w:r w:rsidRPr="0051499D" w:rsidR="008C5CDD">
        <w:rPr>
          <w:sz w:val="22"/>
          <w:szCs w:val="22"/>
        </w:rPr>
        <w:t>.</w:t>
      </w:r>
      <w:r w:rsidRPr="0051499D" w:rsidR="00420C3A">
        <w:rPr>
          <w:sz w:val="22"/>
          <w:szCs w:val="22"/>
        </w:rPr>
        <w:t xml:space="preserve">  </w:t>
      </w:r>
      <w:r w:rsidRPr="0051499D" w:rsidR="00420C3A">
        <w:rPr>
          <w:i/>
          <w:sz w:val="22"/>
          <w:szCs w:val="22"/>
        </w:rPr>
        <w:t>James v. U.S. Dept. of Health and Human Services,</w:t>
      </w:r>
      <w:r w:rsidRPr="0051499D" w:rsidR="00420C3A">
        <w:rPr>
          <w:sz w:val="22"/>
          <w:szCs w:val="22"/>
        </w:rPr>
        <w:t xml:space="preserve"> 824 F.2d 1132, 1138 (D.C. Cir. 1987). </w:t>
      </w:r>
      <w:r w:rsidRPr="0051499D" w:rsidR="003B0A10">
        <w:rPr>
          <w:sz w:val="22"/>
          <w:szCs w:val="22"/>
        </w:rPr>
        <w:t xml:space="preserve"> </w:t>
      </w:r>
    </w:p>
    <w:p w:rsidRPr="0051499D" w:rsidR="002C2DA0" w:rsidRDefault="002C2DA0" w14:paraId="38F8A1D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Pr="0051499D" w:rsidR="00295103" w:rsidRDefault="00295103" w14:paraId="3566A95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szCs w:val="22"/>
        </w:rPr>
      </w:pPr>
      <w:r w:rsidRPr="0051499D">
        <w:rPr>
          <w:b/>
          <w:sz w:val="22"/>
          <w:szCs w:val="22"/>
        </w:rPr>
        <w:t>3.</w:t>
      </w:r>
      <w:r w:rsidRPr="0051499D">
        <w:rPr>
          <w:b/>
          <w:sz w:val="22"/>
          <w:szCs w:val="22"/>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w:t>
      </w:r>
      <w:r w:rsidRPr="0051499D">
        <w:rPr>
          <w:b/>
          <w:sz w:val="22"/>
          <w:szCs w:val="22"/>
        </w:rPr>
        <w:lastRenderedPageBreak/>
        <w:t>information technology to reduce burden and specifically how this collection meets GPEA requirements.</w:t>
      </w:r>
    </w:p>
    <w:p w:rsidRPr="0051499D" w:rsidR="003B5CB7" w:rsidRDefault="003B5CB7" w14:paraId="3E7BA42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Pr="0051499D" w:rsidR="00EB0DEB" w:rsidP="00EB0DEB" w:rsidRDefault="00EB0DEB" w14:paraId="5CCA75F1" w14:textId="3E39E47C">
      <w:pPr>
        <w:rPr>
          <w:sz w:val="22"/>
          <w:szCs w:val="22"/>
        </w:rPr>
      </w:pPr>
      <w:r w:rsidRPr="0051499D">
        <w:rPr>
          <w:sz w:val="22"/>
          <w:szCs w:val="22"/>
        </w:rPr>
        <w:t>Section 83.20 provide</w:t>
      </w:r>
      <w:r w:rsidRPr="0051499D" w:rsidR="00FF5A8E">
        <w:rPr>
          <w:sz w:val="22"/>
          <w:szCs w:val="22"/>
        </w:rPr>
        <w:t>s</w:t>
      </w:r>
      <w:r w:rsidRPr="0051499D">
        <w:rPr>
          <w:sz w:val="22"/>
          <w:szCs w:val="22"/>
        </w:rPr>
        <w:t xml:space="preserve"> directions to petitions to submit their documented petitions to: Department of the Interior, Office of the Assistant Secretary—Indian Affairs, Attention: Office of Federal Acknowledgment, Mail Stop 4071 MIB, 1849 C Street NW, Washington, DC 20240</w:t>
      </w:r>
      <w:r w:rsidRPr="0051499D" w:rsidR="00BE2A22">
        <w:rPr>
          <w:sz w:val="22"/>
          <w:szCs w:val="22"/>
        </w:rPr>
        <w:t xml:space="preserve"> (80 FR 33825)</w:t>
      </w:r>
      <w:r w:rsidRPr="0051499D">
        <w:rPr>
          <w:sz w:val="22"/>
          <w:szCs w:val="22"/>
        </w:rPr>
        <w:t xml:space="preserve">. This information is also included on the OFA home page at:  </w:t>
      </w:r>
      <w:hyperlink w:history="1" r:id="rId15">
        <w:r w:rsidRPr="0051499D">
          <w:rPr>
            <w:rStyle w:val="Hyperlink"/>
            <w:sz w:val="22"/>
            <w:szCs w:val="22"/>
          </w:rPr>
          <w:t>https://www.bia.gov/as-ia/ofa</w:t>
        </w:r>
      </w:hyperlink>
      <w:r w:rsidRPr="0051499D">
        <w:rPr>
          <w:sz w:val="22"/>
          <w:szCs w:val="22"/>
        </w:rPr>
        <w:t xml:space="preserve">.  </w:t>
      </w:r>
    </w:p>
    <w:p w:rsidR="00AC497E" w:rsidP="003B0A10" w:rsidRDefault="00AC497E" w14:paraId="1802665F" w14:textId="77777777">
      <w:pPr>
        <w:rPr>
          <w:sz w:val="22"/>
          <w:szCs w:val="22"/>
        </w:rPr>
      </w:pPr>
    </w:p>
    <w:p w:rsidRPr="0051499D" w:rsidR="003B0A10" w:rsidP="003B0A10" w:rsidRDefault="003B0A10" w14:paraId="285570CB" w14:textId="4C50181C">
      <w:pPr>
        <w:rPr>
          <w:sz w:val="22"/>
          <w:szCs w:val="22"/>
        </w:rPr>
      </w:pPr>
      <w:r w:rsidRPr="0051499D">
        <w:rPr>
          <w:sz w:val="22"/>
          <w:szCs w:val="22"/>
        </w:rPr>
        <w:t>Petitioners are given technical assistance in the use of computers to organize and prepare membership lists and related genealogical information; therefore, petitioners may submit this portion of their petition electronically via email or on a compact disc or thumb drive.  There are no legal obstacles to reducing the burden through means of information technology.</w:t>
      </w:r>
      <w:r w:rsidRPr="0051499D" w:rsidR="00EB0DEB">
        <w:rPr>
          <w:sz w:val="22"/>
          <w:szCs w:val="22"/>
        </w:rPr>
        <w:t xml:space="preserve"> OFA </w:t>
      </w:r>
      <w:r w:rsidR="00FE7D15">
        <w:rPr>
          <w:sz w:val="22"/>
          <w:szCs w:val="22"/>
        </w:rPr>
        <w:t>provides</w:t>
      </w:r>
      <w:r w:rsidRPr="0051499D" w:rsidR="00EB0DEB">
        <w:rPr>
          <w:sz w:val="22"/>
          <w:szCs w:val="22"/>
        </w:rPr>
        <w:t xml:space="preserve"> electronically fillable </w:t>
      </w:r>
      <w:r w:rsidR="00FE7D15">
        <w:rPr>
          <w:sz w:val="22"/>
          <w:szCs w:val="22"/>
        </w:rPr>
        <w:t xml:space="preserve">MS-Word </w:t>
      </w:r>
      <w:r w:rsidRPr="0051499D" w:rsidR="00EB0DEB">
        <w:rPr>
          <w:sz w:val="22"/>
          <w:szCs w:val="22"/>
        </w:rPr>
        <w:t>versions of its optional template forms 8304 (</w:t>
      </w:r>
      <w:r w:rsidRPr="0051499D" w:rsidR="00EB0DEB">
        <w:rPr>
          <w:i/>
          <w:iCs/>
          <w:sz w:val="22"/>
          <w:szCs w:val="22"/>
        </w:rPr>
        <w:t>Individual History Chart</w:t>
      </w:r>
      <w:r w:rsidRPr="0051499D" w:rsidR="00EB0DEB">
        <w:rPr>
          <w:sz w:val="22"/>
          <w:szCs w:val="22"/>
        </w:rPr>
        <w:t>), 8305 (</w:t>
      </w:r>
      <w:r w:rsidRPr="0051499D" w:rsidR="00EB0DEB">
        <w:rPr>
          <w:i/>
          <w:iCs/>
          <w:sz w:val="22"/>
          <w:szCs w:val="22"/>
        </w:rPr>
        <w:t>Ancestry Chart</w:t>
      </w:r>
      <w:r w:rsidRPr="0051499D" w:rsidR="00EB0DEB">
        <w:rPr>
          <w:sz w:val="22"/>
          <w:szCs w:val="22"/>
        </w:rPr>
        <w:t>), and 8306 (</w:t>
      </w:r>
      <w:r w:rsidRPr="0051499D" w:rsidR="00EB0DEB">
        <w:rPr>
          <w:i/>
          <w:iCs/>
          <w:sz w:val="22"/>
          <w:szCs w:val="22"/>
        </w:rPr>
        <w:t>Membership List</w:t>
      </w:r>
      <w:r w:rsidRPr="0051499D" w:rsidR="00EB0DEB">
        <w:rPr>
          <w:sz w:val="22"/>
          <w:szCs w:val="22"/>
        </w:rPr>
        <w:t xml:space="preserve">), to further assist in electronic submission </w:t>
      </w:r>
      <w:r w:rsidR="00FE7D15">
        <w:rPr>
          <w:sz w:val="22"/>
          <w:szCs w:val="22"/>
        </w:rPr>
        <w:t>(</w:t>
      </w:r>
      <w:r w:rsidRPr="00FE7D15" w:rsidR="00FE7D15">
        <w:rPr>
          <w:sz w:val="22"/>
          <w:szCs w:val="22"/>
        </w:rPr>
        <w:t>https://www.bia.gov/as-ia/ofa/sample-formats-petitioner-submissions</w:t>
      </w:r>
      <w:r w:rsidR="00FE7D15">
        <w:rPr>
          <w:sz w:val="22"/>
          <w:szCs w:val="22"/>
        </w:rPr>
        <w:t>).</w:t>
      </w:r>
    </w:p>
    <w:p w:rsidRPr="0051499D" w:rsidR="002C2DA0" w:rsidRDefault="002C2DA0" w14:paraId="70D4E28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Pr="0051499D" w:rsidR="00295103" w:rsidRDefault="00295103" w14:paraId="32042E0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szCs w:val="22"/>
        </w:rPr>
      </w:pPr>
      <w:r w:rsidRPr="0051499D">
        <w:rPr>
          <w:b/>
          <w:sz w:val="22"/>
          <w:szCs w:val="22"/>
        </w:rPr>
        <w:t>4.</w:t>
      </w:r>
      <w:r w:rsidRPr="0051499D">
        <w:rPr>
          <w:b/>
          <w:sz w:val="22"/>
          <w:szCs w:val="22"/>
        </w:rPr>
        <w:tab/>
        <w:t>Describe efforts to identify duplication.  Show specifically why any similar information already available cannot be used or modified for use for the purposes described in Item 2 above.</w:t>
      </w:r>
    </w:p>
    <w:p w:rsidRPr="0051499D" w:rsidR="003B0A10" w:rsidP="003B0A10" w:rsidRDefault="003B0A10" w14:paraId="65660D6B" w14:textId="77777777">
      <w:pPr>
        <w:rPr>
          <w:sz w:val="22"/>
          <w:szCs w:val="22"/>
        </w:rPr>
      </w:pPr>
    </w:p>
    <w:p w:rsidRPr="0051499D" w:rsidR="003B0A10" w:rsidP="003B0A10" w:rsidRDefault="003B0A10" w14:paraId="171DA408" w14:textId="76CA1CF3">
      <w:pPr>
        <w:rPr>
          <w:sz w:val="22"/>
          <w:szCs w:val="22"/>
        </w:rPr>
      </w:pPr>
      <w:r w:rsidRPr="0051499D">
        <w:rPr>
          <w:sz w:val="22"/>
          <w:szCs w:val="22"/>
        </w:rPr>
        <w:t xml:space="preserve">Each information collection is unique to the </w:t>
      </w:r>
      <w:r w:rsidRPr="0051499D" w:rsidR="00D76393">
        <w:rPr>
          <w:sz w:val="22"/>
          <w:szCs w:val="22"/>
        </w:rPr>
        <w:t>petitioner</w:t>
      </w:r>
      <w:r w:rsidRPr="0051499D">
        <w:rPr>
          <w:sz w:val="22"/>
          <w:szCs w:val="22"/>
        </w:rPr>
        <w:t xml:space="preserve"> involved.  No similar information collection is made by the Federal government.  OFA, in giving technical assistance, attempts to make petitioners aware of existing sources and scholars who may have done work which can be adapted in part to the preparation of a petition.  However, unrecognized </w:t>
      </w:r>
      <w:r w:rsidRPr="0051499D" w:rsidR="00D76393">
        <w:rPr>
          <w:sz w:val="22"/>
          <w:szCs w:val="22"/>
        </w:rPr>
        <w:t>tribal entities</w:t>
      </w:r>
      <w:r w:rsidRPr="0051499D">
        <w:rPr>
          <w:sz w:val="22"/>
          <w:szCs w:val="22"/>
        </w:rPr>
        <w:t xml:space="preserve"> are inherently poorly known and little-studied; hence, there are usually few ready-made sources to build upon.  </w:t>
      </w:r>
    </w:p>
    <w:p w:rsidRPr="0051499D" w:rsidR="003B0A10" w:rsidP="003B0A10" w:rsidRDefault="003B0A10" w14:paraId="672A786F" w14:textId="77777777">
      <w:pPr>
        <w:rPr>
          <w:sz w:val="22"/>
          <w:szCs w:val="22"/>
        </w:rPr>
      </w:pPr>
    </w:p>
    <w:p w:rsidRPr="0051499D" w:rsidR="003B0A10" w:rsidP="003B0A10" w:rsidRDefault="003B0A10" w14:paraId="635B16A2" w14:textId="77777777">
      <w:pPr>
        <w:rPr>
          <w:sz w:val="22"/>
          <w:szCs w:val="22"/>
        </w:rPr>
      </w:pPr>
      <w:r w:rsidRPr="0051499D">
        <w:rPr>
          <w:sz w:val="22"/>
          <w:szCs w:val="22"/>
        </w:rPr>
        <w:t xml:space="preserve">Where studies or judicial proceedings already exist </w:t>
      </w:r>
      <w:r w:rsidRPr="0051499D" w:rsidR="00AE04D4">
        <w:rPr>
          <w:sz w:val="22"/>
          <w:szCs w:val="22"/>
        </w:rPr>
        <w:t>that</w:t>
      </w:r>
      <w:r w:rsidRPr="0051499D">
        <w:rPr>
          <w:sz w:val="22"/>
          <w:szCs w:val="22"/>
        </w:rPr>
        <w:t xml:space="preserve"> can provide part of the required information, petitioners utilize them in preparing petitions.  </w:t>
      </w:r>
      <w:r w:rsidRPr="0051499D" w:rsidR="00D76393">
        <w:rPr>
          <w:sz w:val="22"/>
          <w:szCs w:val="22"/>
        </w:rPr>
        <w:t>Petitioners</w:t>
      </w:r>
      <w:r w:rsidRPr="0051499D">
        <w:rPr>
          <w:sz w:val="22"/>
          <w:szCs w:val="22"/>
        </w:rPr>
        <w:t xml:space="preserve"> are awa</w:t>
      </w:r>
      <w:r w:rsidRPr="0051499D" w:rsidR="00D76393">
        <w:rPr>
          <w:sz w:val="22"/>
          <w:szCs w:val="22"/>
        </w:rPr>
        <w:t xml:space="preserve">re of research efforts by others </w:t>
      </w:r>
      <w:r w:rsidRPr="0051499D">
        <w:rPr>
          <w:sz w:val="22"/>
          <w:szCs w:val="22"/>
        </w:rPr>
        <w:t xml:space="preserve">in the same area and sometimes may be able to utilize documents that pertain to the history of more than one </w:t>
      </w:r>
      <w:r w:rsidRPr="0051499D" w:rsidR="00D76393">
        <w:rPr>
          <w:sz w:val="22"/>
          <w:szCs w:val="22"/>
        </w:rPr>
        <w:t>tribal entity</w:t>
      </w:r>
      <w:r w:rsidRPr="0051499D">
        <w:rPr>
          <w:sz w:val="22"/>
          <w:szCs w:val="22"/>
        </w:rPr>
        <w:t xml:space="preserve">.  During technical assistance letters and meetings, the </w:t>
      </w:r>
      <w:r w:rsidRPr="0051499D" w:rsidR="00936AB8">
        <w:rPr>
          <w:sz w:val="22"/>
          <w:szCs w:val="22"/>
        </w:rPr>
        <w:t xml:space="preserve">OFA </w:t>
      </w:r>
      <w:r w:rsidRPr="0051499D">
        <w:rPr>
          <w:sz w:val="22"/>
          <w:szCs w:val="22"/>
        </w:rPr>
        <w:t xml:space="preserve">staff directs the petitioner to </w:t>
      </w:r>
      <w:r w:rsidRPr="0051499D" w:rsidR="00AE04D4">
        <w:rPr>
          <w:sz w:val="22"/>
          <w:szCs w:val="22"/>
        </w:rPr>
        <w:t xml:space="preserve">such </w:t>
      </w:r>
      <w:r w:rsidRPr="0051499D">
        <w:rPr>
          <w:sz w:val="22"/>
          <w:szCs w:val="22"/>
        </w:rPr>
        <w:t>sources.</w:t>
      </w:r>
    </w:p>
    <w:p w:rsidRPr="0051499D" w:rsidR="002C2DA0" w:rsidRDefault="002C2DA0" w14:paraId="38803CA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Pr="0051499D" w:rsidR="00295103" w:rsidRDefault="00295103" w14:paraId="2AA40A3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szCs w:val="22"/>
        </w:rPr>
      </w:pPr>
      <w:r w:rsidRPr="0051499D">
        <w:rPr>
          <w:b/>
          <w:sz w:val="22"/>
          <w:szCs w:val="22"/>
        </w:rPr>
        <w:t>5.</w:t>
      </w:r>
      <w:r w:rsidRPr="0051499D">
        <w:rPr>
          <w:b/>
          <w:sz w:val="22"/>
          <w:szCs w:val="22"/>
        </w:rPr>
        <w:tab/>
        <w:t>If the collection of information impacts small bus</w:t>
      </w:r>
      <w:r w:rsidRPr="0051499D" w:rsidR="006E339F">
        <w:rPr>
          <w:b/>
          <w:sz w:val="22"/>
          <w:szCs w:val="22"/>
        </w:rPr>
        <w:t>inesses or other small entities</w:t>
      </w:r>
      <w:r w:rsidRPr="0051499D">
        <w:rPr>
          <w:b/>
          <w:sz w:val="22"/>
          <w:szCs w:val="22"/>
        </w:rPr>
        <w:t>, describe any methods used to minimize burden.</w:t>
      </w:r>
    </w:p>
    <w:p w:rsidRPr="0051499D" w:rsidR="00295103" w:rsidRDefault="00295103" w14:paraId="7229C71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840951" w:rsidP="0054272B" w:rsidRDefault="0054272B" w14:paraId="2C508119" w14:textId="77777777">
      <w:pPr>
        <w:rPr>
          <w:sz w:val="22"/>
          <w:szCs w:val="22"/>
        </w:rPr>
      </w:pPr>
      <w:r w:rsidRPr="0051499D">
        <w:rPr>
          <w:sz w:val="22"/>
          <w:szCs w:val="22"/>
        </w:rPr>
        <w:t>Some of the petitio</w:t>
      </w:r>
      <w:r w:rsidRPr="0051499D" w:rsidR="00D76393">
        <w:rPr>
          <w:sz w:val="22"/>
          <w:szCs w:val="22"/>
        </w:rPr>
        <w:t>ning groups are small entities</w:t>
      </w:r>
      <w:r w:rsidRPr="0051499D" w:rsidR="0025546F">
        <w:rPr>
          <w:sz w:val="22"/>
          <w:szCs w:val="22"/>
        </w:rPr>
        <w:t xml:space="preserve">.  </w:t>
      </w:r>
    </w:p>
    <w:p w:rsidR="00840951" w:rsidP="0054272B" w:rsidRDefault="00840951" w14:paraId="604AEFA1" w14:textId="77777777">
      <w:pPr>
        <w:rPr>
          <w:sz w:val="22"/>
          <w:szCs w:val="22"/>
        </w:rPr>
      </w:pPr>
    </w:p>
    <w:p w:rsidRPr="0051499D" w:rsidR="00840951" w:rsidP="0051499D" w:rsidRDefault="00840951" w14:paraId="38870B93" w14:textId="18D5A54E">
      <w:pPr>
        <w:pStyle w:val="ListParagraph"/>
        <w:numPr>
          <w:ilvl w:val="0"/>
          <w:numId w:val="19"/>
        </w:numPr>
        <w:rPr>
          <w:sz w:val="22"/>
          <w:szCs w:val="22"/>
        </w:rPr>
      </w:pPr>
      <w:r>
        <w:rPr>
          <w:sz w:val="22"/>
          <w:szCs w:val="22"/>
        </w:rPr>
        <w:t>In 2015, OFA</w:t>
      </w:r>
      <w:r w:rsidRPr="0051499D" w:rsidR="0025546F">
        <w:rPr>
          <w:sz w:val="22"/>
          <w:szCs w:val="22"/>
        </w:rPr>
        <w:t xml:space="preserve"> </w:t>
      </w:r>
      <w:r>
        <w:rPr>
          <w:sz w:val="22"/>
          <w:szCs w:val="22"/>
        </w:rPr>
        <w:t>revised the collection to</w:t>
      </w:r>
      <w:r w:rsidRPr="0051499D" w:rsidR="0025546F">
        <w:rPr>
          <w:sz w:val="22"/>
          <w:szCs w:val="22"/>
        </w:rPr>
        <w:t xml:space="preserve"> </w:t>
      </w:r>
      <w:r w:rsidRPr="0051499D" w:rsidR="00D76393">
        <w:rPr>
          <w:sz w:val="22"/>
          <w:szCs w:val="22"/>
        </w:rPr>
        <w:t xml:space="preserve">minimize burden by reducing the </w:t>
      </w:r>
      <w:proofErr w:type="gramStart"/>
      <w:r w:rsidRPr="0051499D" w:rsidR="00D76393">
        <w:rPr>
          <w:sz w:val="22"/>
          <w:szCs w:val="22"/>
        </w:rPr>
        <w:t>time period</w:t>
      </w:r>
      <w:proofErr w:type="gramEnd"/>
      <w:r w:rsidRPr="0051499D" w:rsidR="00D76393">
        <w:rPr>
          <w:sz w:val="22"/>
          <w:szCs w:val="22"/>
        </w:rPr>
        <w:t xml:space="preserve"> for which</w:t>
      </w:r>
      <w:r w:rsidRPr="0051499D" w:rsidR="00707BCC">
        <w:rPr>
          <w:sz w:val="22"/>
          <w:szCs w:val="22"/>
        </w:rPr>
        <w:t xml:space="preserve"> certain criteria must be shown and</w:t>
      </w:r>
      <w:r w:rsidRPr="0051499D" w:rsidR="00D76393">
        <w:rPr>
          <w:sz w:val="22"/>
          <w:szCs w:val="22"/>
        </w:rPr>
        <w:t xml:space="preserve"> </w:t>
      </w:r>
      <w:r w:rsidRPr="0051499D" w:rsidR="00707BCC">
        <w:rPr>
          <w:sz w:val="22"/>
          <w:szCs w:val="22"/>
        </w:rPr>
        <w:t xml:space="preserve">allowing additional types of evidence for the criteria.  </w:t>
      </w:r>
    </w:p>
    <w:p w:rsidRPr="0051499D" w:rsidR="0054272B" w:rsidP="0051499D" w:rsidRDefault="00D76393" w14:paraId="2F98E572" w14:textId="57335197">
      <w:pPr>
        <w:pStyle w:val="ListParagraph"/>
        <w:numPr>
          <w:ilvl w:val="0"/>
          <w:numId w:val="19"/>
        </w:numPr>
        <w:rPr>
          <w:sz w:val="22"/>
          <w:szCs w:val="22"/>
        </w:rPr>
      </w:pPr>
      <w:proofErr w:type="gramStart"/>
      <w:r w:rsidRPr="0051499D">
        <w:rPr>
          <w:sz w:val="22"/>
          <w:szCs w:val="22"/>
        </w:rPr>
        <w:t>With regard to</w:t>
      </w:r>
      <w:proofErr w:type="gramEnd"/>
      <w:r w:rsidRPr="0051499D">
        <w:rPr>
          <w:sz w:val="22"/>
          <w:szCs w:val="22"/>
        </w:rPr>
        <w:t xml:space="preserve"> showing descent (criterion (e)), s</w:t>
      </w:r>
      <w:r w:rsidRPr="0051499D" w:rsidR="0054272B">
        <w:rPr>
          <w:sz w:val="22"/>
          <w:szCs w:val="22"/>
        </w:rPr>
        <w:t>maller petitioners have a somewhat smaller burden than larger ones that are otherwise similar in historical character</w:t>
      </w:r>
      <w:r w:rsidRPr="0051499D">
        <w:rPr>
          <w:sz w:val="22"/>
          <w:szCs w:val="22"/>
        </w:rPr>
        <w:t xml:space="preserve"> </w:t>
      </w:r>
      <w:r w:rsidRPr="0051499D" w:rsidR="0054272B">
        <w:rPr>
          <w:sz w:val="22"/>
          <w:szCs w:val="22"/>
        </w:rPr>
        <w:t>because the smaller the number of members, the smaller the amount of genealogical information it is necessary to collect.</w:t>
      </w:r>
      <w:r w:rsidRPr="0051499D">
        <w:rPr>
          <w:sz w:val="22"/>
          <w:szCs w:val="22"/>
        </w:rPr>
        <w:t xml:space="preserve"> However, the Department minimizes this burden to the extent it can by allowing the petitioner to link a later membership list of </w:t>
      </w:r>
      <w:r w:rsidRPr="0051499D" w:rsidR="00AE04D4">
        <w:rPr>
          <w:sz w:val="22"/>
          <w:szCs w:val="22"/>
        </w:rPr>
        <w:t xml:space="preserve">a </w:t>
      </w:r>
      <w:r w:rsidRPr="0051499D">
        <w:rPr>
          <w:sz w:val="22"/>
          <w:szCs w:val="22"/>
        </w:rPr>
        <w:t>historical tribe back to a historical list</w:t>
      </w:r>
      <w:r w:rsidRPr="0051499D" w:rsidR="00840951">
        <w:rPr>
          <w:sz w:val="22"/>
          <w:szCs w:val="22"/>
        </w:rPr>
        <w:t xml:space="preserve">; </w:t>
      </w:r>
      <w:r w:rsidRPr="0051499D">
        <w:rPr>
          <w:sz w:val="22"/>
          <w:szCs w:val="22"/>
        </w:rPr>
        <w:t xml:space="preserve">and prove generation-by-generation descent from the later membership list.  </w:t>
      </w:r>
    </w:p>
    <w:p w:rsidRPr="0051499D" w:rsidR="002C2DA0" w:rsidRDefault="002C2DA0" w14:paraId="17A7157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Pr="0051499D" w:rsidR="00295103" w:rsidRDefault="00295103" w14:paraId="7FEF41E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szCs w:val="22"/>
        </w:rPr>
      </w:pPr>
      <w:r w:rsidRPr="0051499D">
        <w:rPr>
          <w:b/>
          <w:sz w:val="22"/>
          <w:szCs w:val="22"/>
        </w:rPr>
        <w:t>6.</w:t>
      </w:r>
      <w:r w:rsidRPr="0051499D">
        <w:rPr>
          <w:b/>
          <w:sz w:val="22"/>
          <w:szCs w:val="22"/>
        </w:rPr>
        <w:tab/>
        <w:t>Describe the consequence to Federal program or policy activities if the collection is not conducted or is conducted less frequently, as well as any technical or legal obstacles to reducing burden.</w:t>
      </w:r>
    </w:p>
    <w:p w:rsidRPr="0051499D" w:rsidR="00295103" w:rsidRDefault="00295103" w14:paraId="18C04CA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Pr="0051499D" w:rsidR="0054272B" w:rsidP="0054272B" w:rsidRDefault="00936AB8" w14:paraId="244987C0" w14:textId="3E0EEAF2">
      <w:pPr>
        <w:rPr>
          <w:sz w:val="22"/>
          <w:szCs w:val="22"/>
        </w:rPr>
      </w:pPr>
      <w:r w:rsidRPr="0051499D">
        <w:rPr>
          <w:sz w:val="22"/>
          <w:szCs w:val="22"/>
        </w:rPr>
        <w:t xml:space="preserve">OFA’s collection </w:t>
      </w:r>
      <w:r w:rsidRPr="0051499D" w:rsidR="0054272B">
        <w:rPr>
          <w:sz w:val="22"/>
          <w:szCs w:val="22"/>
        </w:rPr>
        <w:t xml:space="preserve">is a one-time only collection of data </w:t>
      </w:r>
      <w:r w:rsidRPr="0051499D" w:rsidR="009B4254">
        <w:rPr>
          <w:sz w:val="22"/>
          <w:szCs w:val="22"/>
        </w:rPr>
        <w:t xml:space="preserve">per petitioner </w:t>
      </w:r>
      <w:r w:rsidRPr="0051499D" w:rsidR="0054272B">
        <w:rPr>
          <w:sz w:val="22"/>
          <w:szCs w:val="22"/>
        </w:rPr>
        <w:t xml:space="preserve">and as such cannot be collected less frequently.  The Secretary has the responsibility and the authority to determine which unrecognized </w:t>
      </w:r>
      <w:r w:rsidR="009E6E6C">
        <w:rPr>
          <w:sz w:val="22"/>
          <w:szCs w:val="22"/>
        </w:rPr>
        <w:t>Tribes</w:t>
      </w:r>
      <w:r w:rsidRPr="0051499D" w:rsidR="009B4254">
        <w:rPr>
          <w:sz w:val="22"/>
          <w:szCs w:val="22"/>
        </w:rPr>
        <w:t xml:space="preserve"> should be acknowledged as federally recognized</w:t>
      </w:r>
      <w:r w:rsidRPr="0051499D" w:rsidR="0054272B">
        <w:rPr>
          <w:sz w:val="22"/>
          <w:szCs w:val="22"/>
        </w:rPr>
        <w:t xml:space="preserve"> Indian </w:t>
      </w:r>
      <w:r w:rsidR="009E6E6C">
        <w:rPr>
          <w:sz w:val="22"/>
          <w:szCs w:val="22"/>
        </w:rPr>
        <w:t>Tribes</w:t>
      </w:r>
      <w:r w:rsidRPr="0051499D" w:rsidR="0054272B">
        <w:rPr>
          <w:sz w:val="22"/>
          <w:szCs w:val="22"/>
        </w:rPr>
        <w:t xml:space="preserve">.  If the information </w:t>
      </w:r>
      <w:r w:rsidRPr="0051499D" w:rsidR="00F97391">
        <w:rPr>
          <w:sz w:val="22"/>
          <w:szCs w:val="22"/>
        </w:rPr>
        <w:t>i</w:t>
      </w:r>
      <w:r w:rsidRPr="0051499D" w:rsidR="0054272B">
        <w:rPr>
          <w:sz w:val="22"/>
          <w:szCs w:val="22"/>
        </w:rPr>
        <w:t xml:space="preserve">s not collected, the Department </w:t>
      </w:r>
      <w:r w:rsidRPr="0051499D" w:rsidR="00DE7B22">
        <w:rPr>
          <w:sz w:val="22"/>
          <w:szCs w:val="22"/>
        </w:rPr>
        <w:t>cannot</w:t>
      </w:r>
      <w:r w:rsidRPr="0051499D" w:rsidR="0054272B">
        <w:rPr>
          <w:sz w:val="22"/>
          <w:szCs w:val="22"/>
        </w:rPr>
        <w:t xml:space="preserve"> carry out its responsibility to</w:t>
      </w:r>
      <w:r w:rsidRPr="0051499D" w:rsidR="00F97391">
        <w:rPr>
          <w:sz w:val="22"/>
          <w:szCs w:val="22"/>
        </w:rPr>
        <w:t xml:space="preserve"> provide treaty and statutory benefits and protections </w:t>
      </w:r>
      <w:r w:rsidRPr="0051499D" w:rsidR="00DE7B22">
        <w:rPr>
          <w:sz w:val="22"/>
          <w:szCs w:val="22"/>
        </w:rPr>
        <w:t>to Indian</w:t>
      </w:r>
      <w:r w:rsidRPr="0051499D" w:rsidR="0054272B">
        <w:rPr>
          <w:sz w:val="22"/>
          <w:szCs w:val="22"/>
        </w:rPr>
        <w:t xml:space="preserve"> </w:t>
      </w:r>
      <w:r w:rsidR="009E6E6C">
        <w:rPr>
          <w:sz w:val="22"/>
          <w:szCs w:val="22"/>
        </w:rPr>
        <w:t>Tribes</w:t>
      </w:r>
      <w:r w:rsidRPr="0051499D" w:rsidR="0054272B">
        <w:rPr>
          <w:sz w:val="22"/>
          <w:szCs w:val="22"/>
        </w:rPr>
        <w:t>.</w:t>
      </w:r>
    </w:p>
    <w:p w:rsidRPr="0051499D" w:rsidR="0054272B" w:rsidP="0054272B" w:rsidRDefault="0054272B" w14:paraId="33E98580" w14:textId="77777777">
      <w:pPr>
        <w:rPr>
          <w:sz w:val="22"/>
          <w:szCs w:val="22"/>
        </w:rPr>
      </w:pPr>
    </w:p>
    <w:p w:rsidRPr="0051499D" w:rsidR="0054272B" w:rsidP="0054272B" w:rsidRDefault="0054272B" w14:paraId="20B3548C" w14:textId="77777777">
      <w:pPr>
        <w:rPr>
          <w:sz w:val="22"/>
          <w:szCs w:val="22"/>
        </w:rPr>
      </w:pPr>
      <w:r w:rsidRPr="0051499D">
        <w:rPr>
          <w:sz w:val="22"/>
          <w:szCs w:val="22"/>
        </w:rPr>
        <w:t xml:space="preserve">Petitioning groups </w:t>
      </w:r>
      <w:proofErr w:type="gramStart"/>
      <w:r w:rsidRPr="0051499D">
        <w:rPr>
          <w:sz w:val="22"/>
          <w:szCs w:val="22"/>
        </w:rPr>
        <w:t>are able to</w:t>
      </w:r>
      <w:proofErr w:type="gramEnd"/>
      <w:r w:rsidRPr="0051499D">
        <w:rPr>
          <w:sz w:val="22"/>
          <w:szCs w:val="22"/>
        </w:rPr>
        <w:t xml:space="preserve"> obtain most of the information more easily than OFA staff, at less expense and time.  Important portions of the information could not be reasonably obtained at all by government researchers.  While many documentary sources are public ones, key documentary sources for petitions are held by the </w:t>
      </w:r>
      <w:r w:rsidRPr="0051499D" w:rsidR="009B4254">
        <w:rPr>
          <w:sz w:val="22"/>
          <w:szCs w:val="22"/>
        </w:rPr>
        <w:t>petitioners</w:t>
      </w:r>
      <w:r w:rsidRPr="0051499D">
        <w:rPr>
          <w:sz w:val="22"/>
          <w:szCs w:val="22"/>
        </w:rPr>
        <w:t xml:space="preserve">, or by individual members who are unlikely to give full access </w:t>
      </w:r>
      <w:r w:rsidRPr="0051499D" w:rsidR="00AE04D4">
        <w:rPr>
          <w:sz w:val="22"/>
          <w:szCs w:val="22"/>
        </w:rPr>
        <w:t xml:space="preserve">to their personal family information </w:t>
      </w:r>
      <w:r w:rsidRPr="0051499D">
        <w:rPr>
          <w:sz w:val="22"/>
          <w:szCs w:val="22"/>
        </w:rPr>
        <w:t xml:space="preserve">to government researchers.  </w:t>
      </w:r>
      <w:r w:rsidRPr="0051499D" w:rsidR="00E077E0">
        <w:rPr>
          <w:sz w:val="22"/>
          <w:szCs w:val="22"/>
        </w:rPr>
        <w:t>Even if full access were given, it would commonly require significant travel expense</w:t>
      </w:r>
      <w:r w:rsidRPr="0051499D" w:rsidR="00893D9B">
        <w:rPr>
          <w:sz w:val="22"/>
          <w:szCs w:val="22"/>
        </w:rPr>
        <w:t>s</w:t>
      </w:r>
      <w:r w:rsidRPr="0051499D" w:rsidR="00E077E0">
        <w:rPr>
          <w:sz w:val="22"/>
          <w:szCs w:val="22"/>
        </w:rPr>
        <w:t xml:space="preserve"> since the unrecognized </w:t>
      </w:r>
      <w:r w:rsidRPr="0051499D" w:rsidR="009B4254">
        <w:rPr>
          <w:sz w:val="22"/>
          <w:szCs w:val="22"/>
        </w:rPr>
        <w:t>entities</w:t>
      </w:r>
      <w:r w:rsidRPr="0051499D" w:rsidR="00E077E0">
        <w:rPr>
          <w:sz w:val="22"/>
          <w:szCs w:val="22"/>
        </w:rPr>
        <w:t xml:space="preserve"> are typically not close to any existing Indian Affairs agency.  Moreover, p</w:t>
      </w:r>
      <w:r w:rsidRPr="0051499D">
        <w:rPr>
          <w:sz w:val="22"/>
          <w:szCs w:val="22"/>
        </w:rPr>
        <w:t xml:space="preserve">etitions also require careful field investigation to gather oral history and testimony and to determine the social and political character of the present membership.  Because many sensitive issues are involved in conducting such field research, it is best carried out by researchers working for the </w:t>
      </w:r>
      <w:r w:rsidRPr="0051499D" w:rsidR="009B4254">
        <w:rPr>
          <w:sz w:val="22"/>
          <w:szCs w:val="22"/>
        </w:rPr>
        <w:t>petitioner</w:t>
      </w:r>
      <w:r w:rsidRPr="0051499D">
        <w:rPr>
          <w:sz w:val="22"/>
          <w:szCs w:val="22"/>
        </w:rPr>
        <w:t xml:space="preserve">, together with the </w:t>
      </w:r>
      <w:r w:rsidRPr="0051499D" w:rsidR="009B4254">
        <w:rPr>
          <w:sz w:val="22"/>
          <w:szCs w:val="22"/>
        </w:rPr>
        <w:t xml:space="preserve">petitioner’s </w:t>
      </w:r>
      <w:r w:rsidRPr="0051499D">
        <w:rPr>
          <w:sz w:val="22"/>
          <w:szCs w:val="22"/>
        </w:rPr>
        <w:t xml:space="preserve">members.  </w:t>
      </w:r>
    </w:p>
    <w:p w:rsidRPr="0051499D" w:rsidR="0054272B" w:rsidP="0054272B" w:rsidRDefault="0054272B" w14:paraId="1ABF388F" w14:textId="77777777">
      <w:pPr>
        <w:rPr>
          <w:sz w:val="22"/>
          <w:szCs w:val="22"/>
        </w:rPr>
      </w:pPr>
    </w:p>
    <w:p w:rsidRPr="0051499D" w:rsidR="0054272B" w:rsidP="0054272B" w:rsidRDefault="0054272B" w14:paraId="34E9742E" w14:textId="77777777">
      <w:pPr>
        <w:rPr>
          <w:sz w:val="22"/>
          <w:szCs w:val="22"/>
        </w:rPr>
      </w:pPr>
      <w:r w:rsidRPr="0051499D">
        <w:rPr>
          <w:sz w:val="22"/>
          <w:szCs w:val="22"/>
        </w:rPr>
        <w:t xml:space="preserve">Finally, the compilation of the membership list and the genealogical information used by the </w:t>
      </w:r>
      <w:r w:rsidRPr="0051499D" w:rsidR="00C012A9">
        <w:rPr>
          <w:sz w:val="22"/>
          <w:szCs w:val="22"/>
        </w:rPr>
        <w:t xml:space="preserve">petitioner </w:t>
      </w:r>
      <w:r w:rsidRPr="0051499D">
        <w:rPr>
          <w:sz w:val="22"/>
          <w:szCs w:val="22"/>
        </w:rPr>
        <w:t xml:space="preserve">to determine eligibility for membership is a central function of the </w:t>
      </w:r>
      <w:r w:rsidRPr="0051499D" w:rsidR="00C012A9">
        <w:rPr>
          <w:sz w:val="22"/>
          <w:szCs w:val="22"/>
        </w:rPr>
        <w:t>petitioner</w:t>
      </w:r>
      <w:r w:rsidRPr="0051499D" w:rsidR="00591C5E">
        <w:rPr>
          <w:sz w:val="22"/>
          <w:szCs w:val="22"/>
        </w:rPr>
        <w:t>’s own organization</w:t>
      </w:r>
      <w:r w:rsidRPr="0051499D">
        <w:rPr>
          <w:sz w:val="22"/>
          <w:szCs w:val="22"/>
        </w:rPr>
        <w:t xml:space="preserve">.  It is information </w:t>
      </w:r>
      <w:r w:rsidRPr="0051499D" w:rsidR="00C012A9">
        <w:rPr>
          <w:sz w:val="22"/>
          <w:szCs w:val="22"/>
        </w:rPr>
        <w:t>that</w:t>
      </w:r>
      <w:r w:rsidRPr="0051499D">
        <w:rPr>
          <w:sz w:val="22"/>
          <w:szCs w:val="22"/>
        </w:rPr>
        <w:t xml:space="preserve"> is</w:t>
      </w:r>
      <w:r w:rsidRPr="0051499D" w:rsidR="00C012A9">
        <w:rPr>
          <w:sz w:val="22"/>
          <w:szCs w:val="22"/>
        </w:rPr>
        <w:t>,</w:t>
      </w:r>
      <w:r w:rsidRPr="0051499D">
        <w:rPr>
          <w:sz w:val="22"/>
          <w:szCs w:val="22"/>
        </w:rPr>
        <w:t xml:space="preserve"> by and large</w:t>
      </w:r>
      <w:r w:rsidRPr="0051499D" w:rsidR="00C012A9">
        <w:rPr>
          <w:sz w:val="22"/>
          <w:szCs w:val="22"/>
        </w:rPr>
        <w:t>,</w:t>
      </w:r>
      <w:r w:rsidRPr="0051499D">
        <w:rPr>
          <w:sz w:val="22"/>
          <w:szCs w:val="22"/>
        </w:rPr>
        <w:t xml:space="preserve"> already compiled by </w:t>
      </w:r>
      <w:r w:rsidRPr="0051499D" w:rsidR="00C012A9">
        <w:rPr>
          <w:sz w:val="22"/>
          <w:szCs w:val="22"/>
        </w:rPr>
        <w:t xml:space="preserve">the petitioners </w:t>
      </w:r>
      <w:r w:rsidRPr="0051499D">
        <w:rPr>
          <w:sz w:val="22"/>
          <w:szCs w:val="22"/>
        </w:rPr>
        <w:t xml:space="preserve">and involves sources which are only available to the </w:t>
      </w:r>
      <w:r w:rsidRPr="0051499D" w:rsidR="00C012A9">
        <w:rPr>
          <w:sz w:val="22"/>
          <w:szCs w:val="22"/>
        </w:rPr>
        <w:t>petitioner</w:t>
      </w:r>
      <w:r w:rsidRPr="0051499D">
        <w:rPr>
          <w:sz w:val="22"/>
          <w:szCs w:val="22"/>
        </w:rPr>
        <w:t xml:space="preserve"> itself.</w:t>
      </w:r>
    </w:p>
    <w:p w:rsidRPr="0051499D" w:rsidR="002C2DA0" w:rsidRDefault="002C2DA0" w14:paraId="7B1AE55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Pr="0051499D" w:rsidR="00295103" w:rsidRDefault="00295103" w14:paraId="51DC681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szCs w:val="22"/>
        </w:rPr>
      </w:pPr>
      <w:r w:rsidRPr="0051499D">
        <w:rPr>
          <w:b/>
          <w:sz w:val="22"/>
          <w:szCs w:val="22"/>
        </w:rPr>
        <w:t>7.</w:t>
      </w:r>
      <w:r w:rsidRPr="0051499D">
        <w:rPr>
          <w:b/>
          <w:sz w:val="22"/>
          <w:szCs w:val="22"/>
        </w:rPr>
        <w:tab/>
        <w:t>Explain any special circumstances that would cause an information collection to be conducted in a manner:</w:t>
      </w:r>
    </w:p>
    <w:p w:rsidRPr="0051499D" w:rsidR="00295103" w:rsidRDefault="00295103" w14:paraId="0F92D49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2"/>
          <w:szCs w:val="22"/>
        </w:rPr>
      </w:pPr>
      <w:r w:rsidRPr="0051499D">
        <w:rPr>
          <w:b/>
          <w:sz w:val="22"/>
          <w:szCs w:val="22"/>
        </w:rPr>
        <w:tab/>
        <w:t>*</w:t>
      </w:r>
      <w:r w:rsidRPr="0051499D">
        <w:rPr>
          <w:b/>
          <w:sz w:val="22"/>
          <w:szCs w:val="22"/>
        </w:rPr>
        <w:tab/>
        <w:t xml:space="preserve">requiring respondents to report information to the agency more often than </w:t>
      </w:r>
      <w:proofErr w:type="gramStart"/>
      <w:r w:rsidRPr="0051499D">
        <w:rPr>
          <w:b/>
          <w:sz w:val="22"/>
          <w:szCs w:val="22"/>
        </w:rPr>
        <w:t>quarterly;</w:t>
      </w:r>
      <w:proofErr w:type="gramEnd"/>
    </w:p>
    <w:p w:rsidRPr="0051499D" w:rsidR="00295103" w:rsidRDefault="007A471F" w14:paraId="0EF347B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2"/>
          <w:szCs w:val="22"/>
        </w:rPr>
      </w:pPr>
      <w:r w:rsidRPr="0051499D">
        <w:rPr>
          <w:sz w:val="22"/>
          <w:szCs w:val="22"/>
        </w:rPr>
        <w:tab/>
      </w:r>
      <w:r w:rsidRPr="0051499D" w:rsidR="00295103">
        <w:rPr>
          <w:b/>
          <w:sz w:val="22"/>
          <w:szCs w:val="22"/>
        </w:rPr>
        <w:t>*</w:t>
      </w:r>
      <w:r w:rsidRPr="0051499D" w:rsidR="00295103">
        <w:rPr>
          <w:b/>
          <w:sz w:val="22"/>
          <w:szCs w:val="22"/>
        </w:rPr>
        <w:tab/>
        <w:t xml:space="preserve">requiring respondents to prepare a written response to a collection of information in fewer than 30 days after receipt of </w:t>
      </w:r>
      <w:proofErr w:type="gramStart"/>
      <w:r w:rsidRPr="0051499D" w:rsidR="00295103">
        <w:rPr>
          <w:b/>
          <w:sz w:val="22"/>
          <w:szCs w:val="22"/>
        </w:rPr>
        <w:t>it;</w:t>
      </w:r>
      <w:proofErr w:type="gramEnd"/>
    </w:p>
    <w:p w:rsidRPr="0051499D" w:rsidR="00295103" w:rsidP="00C012A9" w:rsidRDefault="00295103" w14:paraId="2613895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2"/>
          <w:szCs w:val="22"/>
        </w:rPr>
      </w:pPr>
      <w:r w:rsidRPr="0051499D">
        <w:rPr>
          <w:b/>
          <w:sz w:val="22"/>
          <w:szCs w:val="22"/>
        </w:rPr>
        <w:t>*</w:t>
      </w:r>
      <w:r w:rsidRPr="0051499D">
        <w:rPr>
          <w:b/>
          <w:sz w:val="22"/>
          <w:szCs w:val="22"/>
        </w:rPr>
        <w:tab/>
        <w:t xml:space="preserve">requiring respondents to submit more than an original and two copies of any </w:t>
      </w:r>
      <w:proofErr w:type="gramStart"/>
      <w:r w:rsidRPr="0051499D">
        <w:rPr>
          <w:b/>
          <w:sz w:val="22"/>
          <w:szCs w:val="22"/>
        </w:rPr>
        <w:t>document;</w:t>
      </w:r>
      <w:proofErr w:type="gramEnd"/>
    </w:p>
    <w:p w:rsidRPr="0051499D" w:rsidR="00295103" w:rsidP="00C012A9" w:rsidRDefault="00295103" w14:paraId="5689394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2"/>
          <w:szCs w:val="22"/>
        </w:rPr>
      </w:pPr>
      <w:r w:rsidRPr="0051499D">
        <w:rPr>
          <w:b/>
          <w:sz w:val="22"/>
          <w:szCs w:val="22"/>
        </w:rPr>
        <w:t>*</w:t>
      </w:r>
      <w:r w:rsidRPr="0051499D">
        <w:rPr>
          <w:b/>
          <w:sz w:val="22"/>
          <w:szCs w:val="22"/>
        </w:rPr>
        <w:tab/>
        <w:t xml:space="preserve">requiring respondents to retain records, other than health, medical, government contract, grant-in-aid, or tax records, for more than three </w:t>
      </w:r>
      <w:proofErr w:type="gramStart"/>
      <w:r w:rsidRPr="0051499D">
        <w:rPr>
          <w:b/>
          <w:sz w:val="22"/>
          <w:szCs w:val="22"/>
        </w:rPr>
        <w:t>years;</w:t>
      </w:r>
      <w:proofErr w:type="gramEnd"/>
    </w:p>
    <w:p w:rsidRPr="0051499D" w:rsidR="00295103" w:rsidP="00C012A9" w:rsidRDefault="00295103" w14:paraId="6967551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2"/>
          <w:szCs w:val="22"/>
        </w:rPr>
      </w:pPr>
      <w:r w:rsidRPr="0051499D">
        <w:rPr>
          <w:b/>
          <w:sz w:val="22"/>
          <w:szCs w:val="22"/>
        </w:rPr>
        <w:t>*</w:t>
      </w:r>
      <w:r w:rsidRPr="0051499D">
        <w:rPr>
          <w:b/>
          <w:sz w:val="22"/>
          <w:szCs w:val="22"/>
        </w:rPr>
        <w:tab/>
        <w:t>in conne</w:t>
      </w:r>
      <w:r w:rsidRPr="0051499D" w:rsidR="00352210">
        <w:rPr>
          <w:b/>
          <w:sz w:val="22"/>
          <w:szCs w:val="22"/>
        </w:rPr>
        <w:t>ction with a statistical survey</w:t>
      </w:r>
      <w:r w:rsidRPr="0051499D">
        <w:rPr>
          <w:b/>
          <w:sz w:val="22"/>
          <w:szCs w:val="22"/>
        </w:rPr>
        <w:t xml:space="preserve"> that is not designed to produce valid and reliable results that can be generalized to the universe of </w:t>
      </w:r>
      <w:proofErr w:type="gramStart"/>
      <w:r w:rsidRPr="0051499D">
        <w:rPr>
          <w:b/>
          <w:sz w:val="22"/>
          <w:szCs w:val="22"/>
        </w:rPr>
        <w:t>study;</w:t>
      </w:r>
      <w:proofErr w:type="gramEnd"/>
    </w:p>
    <w:p w:rsidRPr="0051499D" w:rsidR="00295103" w:rsidP="00C012A9" w:rsidRDefault="00295103" w14:paraId="3C38870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2"/>
          <w:szCs w:val="22"/>
        </w:rPr>
      </w:pPr>
      <w:r w:rsidRPr="0051499D">
        <w:rPr>
          <w:b/>
          <w:sz w:val="22"/>
          <w:szCs w:val="22"/>
        </w:rPr>
        <w:t>*</w:t>
      </w:r>
      <w:r w:rsidRPr="0051499D">
        <w:rPr>
          <w:b/>
          <w:sz w:val="22"/>
          <w:szCs w:val="22"/>
        </w:rPr>
        <w:tab/>
        <w:t xml:space="preserve">requiring the use of a statistical data classification that has not been reviewed and approved by </w:t>
      </w:r>
      <w:proofErr w:type="gramStart"/>
      <w:r w:rsidRPr="0051499D">
        <w:rPr>
          <w:b/>
          <w:sz w:val="22"/>
          <w:szCs w:val="22"/>
        </w:rPr>
        <w:t>OMB;</w:t>
      </w:r>
      <w:proofErr w:type="gramEnd"/>
    </w:p>
    <w:p w:rsidRPr="0051499D" w:rsidR="00295103" w:rsidP="00C012A9" w:rsidRDefault="00295103" w14:paraId="5FA12DC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2"/>
          <w:szCs w:val="22"/>
        </w:rPr>
      </w:pPr>
      <w:r w:rsidRPr="0051499D">
        <w:rPr>
          <w:b/>
          <w:sz w:val="22"/>
          <w:szCs w:val="22"/>
        </w:rPr>
        <w:t>*</w:t>
      </w:r>
      <w:r w:rsidRPr="0051499D">
        <w:rPr>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51499D" w:rsidR="00295103" w:rsidP="00C012A9" w:rsidRDefault="00295103" w14:paraId="4565E60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2"/>
          <w:szCs w:val="22"/>
        </w:rPr>
      </w:pPr>
      <w:r w:rsidRPr="0051499D">
        <w:rPr>
          <w:b/>
          <w:sz w:val="22"/>
          <w:szCs w:val="22"/>
        </w:rPr>
        <w:t>*</w:t>
      </w:r>
      <w:r w:rsidRPr="0051499D">
        <w:rPr>
          <w:b/>
          <w:sz w:val="22"/>
          <w:szCs w:val="22"/>
        </w:rPr>
        <w:tab/>
        <w:t>requiring respondents to submit proprietary trade secrets, or other confidential information</w:t>
      </w:r>
      <w:r w:rsidRPr="0051499D" w:rsidR="00352210">
        <w:rPr>
          <w:b/>
          <w:sz w:val="22"/>
          <w:szCs w:val="22"/>
        </w:rPr>
        <w:t>,</w:t>
      </w:r>
      <w:r w:rsidRPr="0051499D">
        <w:rPr>
          <w:b/>
          <w:sz w:val="22"/>
          <w:szCs w:val="22"/>
        </w:rPr>
        <w:t xml:space="preserve"> unless the agency can demonstrate that it has instituted procedures to protect the information's confidentiality to the extent permitted by law.</w:t>
      </w:r>
    </w:p>
    <w:p w:rsidRPr="0051499D" w:rsidR="002C2DA0" w:rsidRDefault="002C2DA0" w14:paraId="7136D0B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szCs w:val="22"/>
        </w:rPr>
      </w:pPr>
    </w:p>
    <w:p w:rsidRPr="0051499D" w:rsidR="00DA3736" w:rsidP="00DA3736" w:rsidRDefault="00DA3736" w14:paraId="5EF105F1"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51499D">
        <w:rPr>
          <w:sz w:val="22"/>
          <w:szCs w:val="22"/>
        </w:rPr>
        <w:t xml:space="preserve">There are no special circumstances that would cause an information collection to be conducted in any manner listed above.  </w:t>
      </w:r>
    </w:p>
    <w:p w:rsidRPr="0051499D" w:rsidR="002C2DA0" w:rsidP="002C2DA0" w:rsidRDefault="002C2DA0" w14:paraId="5F7DE14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szCs w:val="22"/>
        </w:rPr>
      </w:pPr>
    </w:p>
    <w:p w:rsidRPr="0051499D" w:rsidR="00295103" w:rsidRDefault="00295103" w14:paraId="7B37CB0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szCs w:val="22"/>
        </w:rPr>
      </w:pPr>
      <w:r w:rsidRPr="0051499D">
        <w:rPr>
          <w:b/>
          <w:sz w:val="22"/>
          <w:szCs w:val="22"/>
        </w:rPr>
        <w:t>8.</w:t>
      </w:r>
      <w:r w:rsidRPr="0051499D">
        <w:rPr>
          <w:b/>
          <w:sz w:val="22"/>
          <w:szCs w:val="22"/>
        </w:rPr>
        <w:tab/>
        <w:t xml:space="preserve">If applicable, provide a copy and identify the date and page number of </w:t>
      </w:r>
      <w:proofErr w:type="gramStart"/>
      <w:r w:rsidRPr="0051499D">
        <w:rPr>
          <w:b/>
          <w:sz w:val="22"/>
          <w:szCs w:val="22"/>
        </w:rPr>
        <w:t>publication</w:t>
      </w:r>
      <w:proofErr w:type="gramEnd"/>
      <w:r w:rsidRPr="0051499D">
        <w:rPr>
          <w:b/>
          <w:sz w:val="22"/>
          <w:szCs w:val="22"/>
        </w:rPr>
        <w:t xml:space="preserve"> in the Federal Register of the agency's notice, required by 5 CFR 1320.8(d), soliciting comments on </w:t>
      </w:r>
      <w:r w:rsidRPr="0051499D">
        <w:rPr>
          <w:b/>
          <w:sz w:val="22"/>
          <w:szCs w:val="22"/>
        </w:rPr>
        <w:lastRenderedPageBreak/>
        <w:t>the information collection prior to submission to OMB.  Summarize public comments recei</w:t>
      </w:r>
      <w:r w:rsidRPr="0051499D" w:rsidR="00DE1FFE">
        <w:rPr>
          <w:b/>
          <w:sz w:val="22"/>
          <w:szCs w:val="22"/>
        </w:rPr>
        <w:t xml:space="preserve">ved in response to that notice </w:t>
      </w:r>
      <w:r w:rsidRPr="0051499D">
        <w:rPr>
          <w:b/>
          <w:sz w:val="22"/>
          <w:szCs w:val="22"/>
        </w:rPr>
        <w:t>and in response to the PRA statement associated with the collec</w:t>
      </w:r>
      <w:r w:rsidRPr="0051499D" w:rsidR="00DE1FFE">
        <w:rPr>
          <w:b/>
          <w:sz w:val="22"/>
          <w:szCs w:val="22"/>
        </w:rPr>
        <w:t xml:space="preserve">tion over the past three years, </w:t>
      </w:r>
      <w:r w:rsidRPr="0051499D">
        <w:rPr>
          <w:b/>
          <w:sz w:val="22"/>
          <w:szCs w:val="22"/>
        </w:rPr>
        <w:t>and describe actions taken by the agency in response to these comments.  Specifically address comments received on cost and hour burden.</w:t>
      </w:r>
    </w:p>
    <w:p w:rsidRPr="0051499D" w:rsidR="002C2DA0" w:rsidP="002C2DA0" w:rsidRDefault="002C2DA0" w14:paraId="26760B17" w14:textId="71CDFC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2"/>
        </w:rPr>
      </w:pPr>
    </w:p>
    <w:p w:rsidRPr="0051499D" w:rsidR="00E106FB" w:rsidP="002C2DA0" w:rsidRDefault="00E106FB" w14:paraId="1D52A49F" w14:textId="5D580FA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2"/>
        </w:rPr>
      </w:pPr>
      <w:r w:rsidRPr="0051499D">
        <w:rPr>
          <w:bCs/>
          <w:sz w:val="22"/>
          <w:szCs w:val="22"/>
        </w:rPr>
        <w:t>A</w:t>
      </w:r>
      <w:r w:rsidRPr="0051499D" w:rsidR="000528DC">
        <w:rPr>
          <w:bCs/>
          <w:sz w:val="22"/>
          <w:szCs w:val="22"/>
        </w:rPr>
        <w:t xml:space="preserve"> 60-day </w:t>
      </w:r>
      <w:r w:rsidRPr="0051499D">
        <w:rPr>
          <w:bCs/>
          <w:sz w:val="22"/>
          <w:szCs w:val="22"/>
        </w:rPr>
        <w:t>request</w:t>
      </w:r>
      <w:r w:rsidRPr="0051499D" w:rsidR="000528DC">
        <w:rPr>
          <w:bCs/>
          <w:sz w:val="22"/>
          <w:szCs w:val="22"/>
        </w:rPr>
        <w:t xml:space="preserve"> for public comments </w:t>
      </w:r>
      <w:r w:rsidRPr="0051499D" w:rsidR="004F466F">
        <w:rPr>
          <w:bCs/>
          <w:sz w:val="22"/>
          <w:szCs w:val="22"/>
        </w:rPr>
        <w:t>was</w:t>
      </w:r>
      <w:r w:rsidRPr="0051499D">
        <w:rPr>
          <w:bCs/>
          <w:sz w:val="22"/>
          <w:szCs w:val="22"/>
        </w:rPr>
        <w:t xml:space="preserve"> published</w:t>
      </w:r>
      <w:r w:rsidRPr="0051499D" w:rsidR="009D4A6C">
        <w:rPr>
          <w:bCs/>
          <w:sz w:val="22"/>
          <w:szCs w:val="22"/>
        </w:rPr>
        <w:t xml:space="preserve"> May 5, 2021 (86 FR 27464).  No comments were received.</w:t>
      </w:r>
    </w:p>
    <w:p w:rsidRPr="0051499D" w:rsidR="009C610D" w:rsidRDefault="009C610D" w14:paraId="1F78F55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2"/>
          <w:szCs w:val="22"/>
        </w:rPr>
      </w:pPr>
      <w:r w:rsidRPr="0051499D">
        <w:rPr>
          <w:i/>
          <w:sz w:val="22"/>
          <w:szCs w:val="22"/>
        </w:rPr>
        <w:t xml:space="preserve">  </w:t>
      </w:r>
    </w:p>
    <w:p w:rsidRPr="0051499D" w:rsidR="00295103" w:rsidRDefault="00295103" w14:paraId="7E67DEF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2"/>
          <w:szCs w:val="22"/>
        </w:rPr>
      </w:pPr>
      <w:r w:rsidRPr="0051499D">
        <w:rPr>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51499D" w:rsidR="00352210">
        <w:rPr>
          <w:b/>
          <w:sz w:val="22"/>
          <w:szCs w:val="22"/>
        </w:rPr>
        <w:t>.</w:t>
      </w:r>
    </w:p>
    <w:p w:rsidRPr="0051499D" w:rsidR="003B5CB7" w:rsidP="002C2DA0" w:rsidRDefault="003B5CB7" w14:paraId="71E0BE6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Pr="0051499D" w:rsidR="00295103" w:rsidRDefault="00295103" w14:paraId="55F67DF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2"/>
          <w:szCs w:val="22"/>
        </w:rPr>
      </w:pPr>
      <w:r w:rsidRPr="0051499D">
        <w:rPr>
          <w:b/>
          <w:sz w:val="22"/>
          <w:szCs w:val="22"/>
        </w:rPr>
        <w:t xml:space="preserve">Consultation with representatives of those from whom information is to be obtained or those who must compile records should occur at least once every </w:t>
      </w:r>
      <w:r w:rsidRPr="0051499D" w:rsidR="00352210">
        <w:rPr>
          <w:b/>
          <w:sz w:val="22"/>
          <w:szCs w:val="22"/>
        </w:rPr>
        <w:t>three</w:t>
      </w:r>
      <w:r w:rsidRPr="0051499D">
        <w:rPr>
          <w:b/>
          <w:sz w:val="22"/>
          <w:szCs w:val="22"/>
        </w:rPr>
        <w:t xml:space="preserve"> years — even if the collection of information activity is the same as in prior periods.  There may be circumstances that may preclude consultation in a specific situation.  These circumstances should be explained.</w:t>
      </w:r>
    </w:p>
    <w:p w:rsidRPr="0051499D" w:rsidR="00295103" w:rsidRDefault="00295103" w14:paraId="6C4B5E3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p>
    <w:p w:rsidRPr="0051499D" w:rsidR="006A7423" w:rsidP="0054272B" w:rsidRDefault="006F45E7" w14:paraId="1CCA6AE6" w14:textId="7A03FC8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51499D">
        <w:rPr>
          <w:sz w:val="22"/>
          <w:szCs w:val="22"/>
        </w:rPr>
        <w:t>The Part 83 regulations were recently revised in 2015</w:t>
      </w:r>
      <w:r w:rsidRPr="0051499D" w:rsidR="002B447B">
        <w:rPr>
          <w:sz w:val="22"/>
          <w:szCs w:val="22"/>
        </w:rPr>
        <w:t xml:space="preserve"> and </w:t>
      </w:r>
      <w:proofErr w:type="gramStart"/>
      <w:r w:rsidRPr="0051499D" w:rsidR="002B447B">
        <w:rPr>
          <w:sz w:val="22"/>
          <w:szCs w:val="22"/>
        </w:rPr>
        <w:t>as a result of</w:t>
      </w:r>
      <w:proofErr w:type="gramEnd"/>
      <w:r w:rsidRPr="0051499D" w:rsidR="002B447B">
        <w:rPr>
          <w:sz w:val="22"/>
          <w:szCs w:val="22"/>
        </w:rPr>
        <w:t xml:space="preserve"> input received during the rulemaking process, the final rule included several changes to the criteria for Federal acknowledgment that were aimed at reducing the burden on petitioners (establishing that petitioners need to prove criteria (b) and (c) only from 1934 to the present, rather than beginning at the period of first sustained contact with non-Indians).  </w:t>
      </w:r>
      <w:r w:rsidRPr="0051499D" w:rsidR="000528DC">
        <w:rPr>
          <w:sz w:val="22"/>
          <w:szCs w:val="22"/>
        </w:rPr>
        <w:t>OFA has not received any new documented petitions</w:t>
      </w:r>
      <w:r w:rsidRPr="0051499D" w:rsidR="006A7423">
        <w:rPr>
          <w:sz w:val="22"/>
          <w:szCs w:val="22"/>
        </w:rPr>
        <w:t xml:space="preserve"> (i.e., complete petitions)</w:t>
      </w:r>
      <w:r w:rsidRPr="0051499D" w:rsidR="000528DC">
        <w:rPr>
          <w:sz w:val="22"/>
          <w:szCs w:val="22"/>
        </w:rPr>
        <w:t xml:space="preserve"> thus far under the 2015 regulations</w:t>
      </w:r>
      <w:r w:rsidRPr="0051499D">
        <w:rPr>
          <w:sz w:val="22"/>
          <w:szCs w:val="22"/>
        </w:rPr>
        <w:t xml:space="preserve">; however, </w:t>
      </w:r>
      <w:r w:rsidRPr="0051499D" w:rsidR="006A7423">
        <w:rPr>
          <w:sz w:val="22"/>
          <w:szCs w:val="22"/>
        </w:rPr>
        <w:t>OFA is aware of two petitioners that are preparing documented petitions under the 2015 regulations.</w:t>
      </w:r>
    </w:p>
    <w:p w:rsidRPr="0051499D" w:rsidR="000905E3" w:rsidP="0054272B" w:rsidRDefault="000905E3" w14:paraId="706ED7E4" w14:textId="6469DBD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Pr="0051499D" w:rsidR="000905E3" w:rsidP="0054272B" w:rsidRDefault="000905E3" w14:paraId="4C22F68F" w14:textId="2F81BF4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sidRPr="0051499D">
        <w:rPr>
          <w:b/>
          <w:sz w:val="22"/>
          <w:szCs w:val="22"/>
        </w:rPr>
        <w:t>Potential Petitioners</w:t>
      </w:r>
    </w:p>
    <w:p w:rsidRPr="0051499D" w:rsidR="006A7423" w:rsidP="0054272B" w:rsidRDefault="006A7423" w14:paraId="45007FB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Pr="0051499D" w:rsidR="008E4A22" w:rsidP="0054272B" w:rsidRDefault="000B6819" w14:paraId="628569B8" w14:textId="3A79FFD1">
      <w:pPr>
        <w:pStyle w:val="ListParagraph"/>
        <w:numPr>
          <w:ilvl w:val="0"/>
          <w:numId w:val="1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51499D">
        <w:rPr>
          <w:b/>
          <w:bCs/>
          <w:sz w:val="22"/>
          <w:szCs w:val="22"/>
        </w:rPr>
        <w:t>Schaghticoke Indian Tribe</w:t>
      </w:r>
      <w:r w:rsidRPr="0051499D" w:rsidR="006A7423">
        <w:rPr>
          <w:sz w:val="22"/>
          <w:szCs w:val="22"/>
        </w:rPr>
        <w:t xml:space="preserve"> </w:t>
      </w:r>
      <w:r w:rsidRPr="0051499D" w:rsidR="005045FB">
        <w:rPr>
          <w:sz w:val="22"/>
          <w:szCs w:val="22"/>
        </w:rPr>
        <w:t>has attempted to petition under the 2015 regulations, but OFA determined their documented petition was incomplete</w:t>
      </w:r>
      <w:r w:rsidRPr="0051499D" w:rsidR="00EF449B">
        <w:rPr>
          <w:sz w:val="22"/>
          <w:szCs w:val="22"/>
        </w:rPr>
        <w:t>.</w:t>
      </w:r>
      <w:r w:rsidRPr="0051499D" w:rsidR="006A7423">
        <w:rPr>
          <w:sz w:val="22"/>
          <w:szCs w:val="22"/>
        </w:rPr>
        <w:t xml:space="preserve"> </w:t>
      </w:r>
      <w:r w:rsidRPr="0051499D" w:rsidR="005045FB">
        <w:rPr>
          <w:sz w:val="22"/>
          <w:szCs w:val="22"/>
        </w:rPr>
        <w:t>A representative of the Schaghticoke Indian Tribe</w:t>
      </w:r>
      <w:r w:rsidRPr="0051499D">
        <w:rPr>
          <w:sz w:val="22"/>
          <w:szCs w:val="22"/>
        </w:rPr>
        <w:t xml:space="preserve"> </w:t>
      </w:r>
      <w:r w:rsidRPr="0051499D" w:rsidR="005045FB">
        <w:rPr>
          <w:sz w:val="22"/>
          <w:szCs w:val="22"/>
        </w:rPr>
        <w:t xml:space="preserve">provided input stating that access to information was timely, and </w:t>
      </w:r>
      <w:r w:rsidRPr="0051499D" w:rsidR="008E4A22">
        <w:rPr>
          <w:sz w:val="22"/>
          <w:szCs w:val="22"/>
        </w:rPr>
        <w:t>stated the following:</w:t>
      </w:r>
    </w:p>
    <w:p w:rsidRPr="0051499D" w:rsidR="006A7423" w:rsidP="000905E3" w:rsidRDefault="008E4A22" w14:paraId="44A30FF6" w14:textId="0EA58907">
      <w:pPr>
        <w:pStyle w:val="ListParagraph"/>
        <w:numPr>
          <w:ilvl w:val="1"/>
          <w:numId w:val="1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51499D">
        <w:rPr>
          <w:sz w:val="22"/>
          <w:szCs w:val="22"/>
        </w:rPr>
        <w:t>Schaghticoke has</w:t>
      </w:r>
      <w:r w:rsidRPr="0051499D" w:rsidR="005045FB">
        <w:rPr>
          <w:sz w:val="22"/>
          <w:szCs w:val="22"/>
        </w:rPr>
        <w:t xml:space="preserve"> so far spent at least 2,500 hours gathering and compiling documents.  </w:t>
      </w:r>
    </w:p>
    <w:p w:rsidRPr="0051499D" w:rsidR="00E5397B" w:rsidP="000905E3" w:rsidRDefault="00E5397B" w14:paraId="707BED95" w14:textId="75A110BE">
      <w:pPr>
        <w:pStyle w:val="ListParagraph"/>
        <w:numPr>
          <w:ilvl w:val="2"/>
          <w:numId w:val="1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51499D">
        <w:rPr>
          <w:i/>
          <w:sz w:val="22"/>
          <w:szCs w:val="22"/>
        </w:rPr>
        <w:t xml:space="preserve">Response:  </w:t>
      </w:r>
      <w:r w:rsidRPr="0051499D" w:rsidR="008E4A22">
        <w:rPr>
          <w:sz w:val="22"/>
          <w:szCs w:val="22"/>
        </w:rPr>
        <w:t xml:space="preserve">The Schaghticoke’s estimate of 2,500 hours is approximately 1,000 hours more than our estimate, but Schaghticoke claims it has been pulling its petition together since approximately 2004, when OFA denied the petition of what they refer to as a splinter group. Given this unique circumstance and the fact that the other group who responded with input estimated </w:t>
      </w:r>
      <w:proofErr w:type="gramStart"/>
      <w:r w:rsidRPr="0051499D" w:rsidR="008E4A22">
        <w:rPr>
          <w:sz w:val="22"/>
          <w:szCs w:val="22"/>
        </w:rPr>
        <w:t>a number of</w:t>
      </w:r>
      <w:proofErr w:type="gramEnd"/>
      <w:r w:rsidRPr="0051499D" w:rsidR="008E4A22">
        <w:rPr>
          <w:sz w:val="22"/>
          <w:szCs w:val="22"/>
        </w:rPr>
        <w:t xml:space="preserve"> hours less than our estimate, we determined that an increase to our estimate is not appropriate at this point. </w:t>
      </w:r>
    </w:p>
    <w:p w:rsidRPr="0051499D" w:rsidR="008E4A22" w:rsidP="008E4A22" w:rsidRDefault="008E4A22" w14:paraId="2A6EDBC9" w14:textId="7557B7D5">
      <w:pPr>
        <w:pStyle w:val="ListParagraph"/>
        <w:numPr>
          <w:ilvl w:val="1"/>
          <w:numId w:val="1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51499D">
        <w:rPr>
          <w:sz w:val="22"/>
          <w:szCs w:val="22"/>
        </w:rPr>
        <w:t xml:space="preserve">Schaghticoke’s main concern was that they have had to resubmit the entire documented petition each time OFA discovered an item of information was missing, rather than OFA allowing them to supplement the petition.  </w:t>
      </w:r>
    </w:p>
    <w:p w:rsidR="008E4A22" w:rsidP="00FD19A0" w:rsidRDefault="008E4A22" w14:paraId="3F0C2DBA" w14:textId="411C17CB">
      <w:pPr>
        <w:pStyle w:val="ListParagraph"/>
        <w:numPr>
          <w:ilvl w:val="2"/>
          <w:numId w:val="1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51499D">
        <w:rPr>
          <w:i/>
          <w:sz w:val="22"/>
          <w:szCs w:val="22"/>
        </w:rPr>
        <w:t xml:space="preserve">Response:  </w:t>
      </w:r>
      <w:r w:rsidRPr="0051499D">
        <w:rPr>
          <w:sz w:val="22"/>
          <w:szCs w:val="22"/>
        </w:rPr>
        <w:t>OFA has been advised by legal counsel that once a petition is submitted, it becomes a Federal record, and cannot be returned to the petitioner.</w:t>
      </w:r>
      <w:r w:rsidRPr="0051499D" w:rsidR="00FD19A0">
        <w:rPr>
          <w:sz w:val="22"/>
          <w:szCs w:val="22"/>
        </w:rPr>
        <w:t xml:space="preserve"> OFA does not allow petitioners to submit their petitions in a piecemeal fashion because the requirement for OFA to receive a single, co</w:t>
      </w:r>
      <w:r w:rsidRPr="0051499D" w:rsidR="00C97BE5">
        <w:rPr>
          <w:sz w:val="22"/>
          <w:szCs w:val="22"/>
        </w:rPr>
        <w:t xml:space="preserve">mplete petition is </w:t>
      </w:r>
      <w:r w:rsidRPr="0051499D" w:rsidR="00FD19A0">
        <w:rPr>
          <w:sz w:val="22"/>
          <w:szCs w:val="22"/>
        </w:rPr>
        <w:t xml:space="preserve">required to treat all petitioners fairly and require everyone to meet the same </w:t>
      </w:r>
      <w:r w:rsidRPr="0051499D" w:rsidR="00FD19A0">
        <w:rPr>
          <w:sz w:val="22"/>
          <w:szCs w:val="22"/>
        </w:rPr>
        <w:lastRenderedPageBreak/>
        <w:t>expectation of submitting a single documented petition, with a certification, signed and dated by the petitioner’s governing body, stating that it is the petitioner’s official documented petition, as required by § 83.21. Section 83.21 of the regulations requires that a petitioner submit "[a] concise written narrative, with citations to supporting documentation, thoroughly explaining how the petitioner meets each of the criteria in § 83.11, except the Congressional Termination Criterion (§ 83.11 (g))," along with "[s]</w:t>
      </w:r>
      <w:proofErr w:type="spellStart"/>
      <w:r w:rsidRPr="0051499D" w:rsidR="00FD19A0">
        <w:rPr>
          <w:sz w:val="22"/>
          <w:szCs w:val="22"/>
        </w:rPr>
        <w:t>upporting</w:t>
      </w:r>
      <w:proofErr w:type="spellEnd"/>
      <w:r w:rsidRPr="0051499D" w:rsidR="00FD19A0">
        <w:rPr>
          <w:sz w:val="22"/>
          <w:szCs w:val="22"/>
        </w:rPr>
        <w:t xml:space="preserve"> documentation cited in the written narrative and containing specific, detailed evidence that the petitioner meets each of the criteria in § 83.11."  For a submission to qualify as a “documented petition” under the regulations, the submission must contain </w:t>
      </w:r>
      <w:proofErr w:type="gramStart"/>
      <w:r w:rsidRPr="0051499D" w:rsidR="00FD19A0">
        <w:rPr>
          <w:sz w:val="22"/>
          <w:szCs w:val="22"/>
        </w:rPr>
        <w:t>all of</w:t>
      </w:r>
      <w:proofErr w:type="gramEnd"/>
      <w:r w:rsidRPr="0051499D" w:rsidR="00FD19A0">
        <w:rPr>
          <w:sz w:val="22"/>
          <w:szCs w:val="22"/>
        </w:rPr>
        <w:t xml:space="preserve"> these elements. If petitioners instead were to submit their materials in piecemeal fashion, the "concise written narrative," which is a key document for the evaluation, falls out of sync with the new materials and claims being submitted. The new, piecemeal submissions are sometimes different, mutually exclusive, or contradictory. It can become unclear to OFA's researchers which </w:t>
      </w:r>
      <w:proofErr w:type="gramStart"/>
      <w:r w:rsidRPr="0051499D" w:rsidR="00FD19A0">
        <w:rPr>
          <w:sz w:val="22"/>
          <w:szCs w:val="22"/>
        </w:rPr>
        <w:t>claim</w:t>
      </w:r>
      <w:proofErr w:type="gramEnd"/>
      <w:r w:rsidRPr="0051499D" w:rsidR="00FD19A0">
        <w:rPr>
          <w:sz w:val="22"/>
          <w:szCs w:val="22"/>
        </w:rPr>
        <w:t xml:space="preserve"> or evidentiary documents should be evaluated for a finding.  </w:t>
      </w:r>
    </w:p>
    <w:p w:rsidRPr="0051499D" w:rsidR="004C6DBD" w:rsidP="004C6DBD" w:rsidRDefault="004C6DBD" w14:paraId="6DC992A5"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rPr>
          <w:sz w:val="22"/>
          <w:szCs w:val="22"/>
        </w:rPr>
      </w:pPr>
    </w:p>
    <w:p w:rsidRPr="0051499D" w:rsidR="000B6819" w:rsidP="0054272B" w:rsidRDefault="006A7423" w14:paraId="3D2E0030" w14:textId="5E1DDE56">
      <w:pPr>
        <w:pStyle w:val="ListParagraph"/>
        <w:numPr>
          <w:ilvl w:val="0"/>
          <w:numId w:val="1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roofErr w:type="spellStart"/>
      <w:r w:rsidRPr="0051499D">
        <w:rPr>
          <w:b/>
          <w:bCs/>
          <w:sz w:val="22"/>
          <w:szCs w:val="22"/>
        </w:rPr>
        <w:t>Fernandeno</w:t>
      </w:r>
      <w:proofErr w:type="spellEnd"/>
      <w:r w:rsidRPr="0051499D">
        <w:rPr>
          <w:b/>
          <w:bCs/>
          <w:sz w:val="22"/>
          <w:szCs w:val="22"/>
        </w:rPr>
        <w:t xml:space="preserve"> </w:t>
      </w:r>
      <w:proofErr w:type="spellStart"/>
      <w:r w:rsidRPr="0051499D">
        <w:rPr>
          <w:b/>
          <w:bCs/>
          <w:sz w:val="22"/>
          <w:szCs w:val="22"/>
        </w:rPr>
        <w:t>Tataviam</w:t>
      </w:r>
      <w:proofErr w:type="spellEnd"/>
      <w:r w:rsidRPr="0051499D">
        <w:rPr>
          <w:b/>
          <w:bCs/>
          <w:sz w:val="22"/>
          <w:szCs w:val="22"/>
        </w:rPr>
        <w:t xml:space="preserve"> Band of Mission Indians</w:t>
      </w:r>
      <w:r w:rsidRPr="0051499D">
        <w:rPr>
          <w:sz w:val="22"/>
          <w:szCs w:val="22"/>
        </w:rPr>
        <w:t xml:space="preserve"> had petitioned</w:t>
      </w:r>
      <w:r w:rsidRPr="0051499D" w:rsidR="000B6819">
        <w:rPr>
          <w:sz w:val="22"/>
          <w:szCs w:val="22"/>
        </w:rPr>
        <w:t xml:space="preserve"> under </w:t>
      </w:r>
      <w:r w:rsidRPr="0051499D">
        <w:rPr>
          <w:sz w:val="22"/>
          <w:szCs w:val="22"/>
        </w:rPr>
        <w:t>t</w:t>
      </w:r>
      <w:r w:rsidRPr="0051499D" w:rsidR="000B6819">
        <w:rPr>
          <w:sz w:val="22"/>
          <w:szCs w:val="22"/>
        </w:rPr>
        <w:t xml:space="preserve">he 1994 version of the regulations and </w:t>
      </w:r>
      <w:r w:rsidRPr="0051499D">
        <w:rPr>
          <w:sz w:val="22"/>
          <w:szCs w:val="22"/>
        </w:rPr>
        <w:t xml:space="preserve">elected to withdraw the petition to prepare a petition under </w:t>
      </w:r>
      <w:r w:rsidRPr="0051499D" w:rsidR="000B6819">
        <w:rPr>
          <w:sz w:val="22"/>
          <w:szCs w:val="22"/>
        </w:rPr>
        <w:t xml:space="preserve">the new 2015 version of the regulations.  A representative of the petitioner provided </w:t>
      </w:r>
      <w:r w:rsidRPr="0051499D">
        <w:rPr>
          <w:sz w:val="22"/>
          <w:szCs w:val="22"/>
        </w:rPr>
        <w:t>input on</w:t>
      </w:r>
      <w:r w:rsidRPr="0051499D" w:rsidR="000B6819">
        <w:rPr>
          <w:sz w:val="22"/>
          <w:szCs w:val="22"/>
        </w:rPr>
        <w:t xml:space="preserve"> the information collection</w:t>
      </w:r>
      <w:r w:rsidRPr="0051499D">
        <w:rPr>
          <w:sz w:val="22"/>
          <w:szCs w:val="22"/>
        </w:rPr>
        <w:t>, which</w:t>
      </w:r>
      <w:r w:rsidRPr="0051499D" w:rsidR="000B6819">
        <w:rPr>
          <w:sz w:val="22"/>
          <w:szCs w:val="22"/>
        </w:rPr>
        <w:t xml:space="preserve"> is summarized as follows:</w:t>
      </w:r>
    </w:p>
    <w:p w:rsidRPr="0051499D" w:rsidR="006A7423" w:rsidP="005F7C73" w:rsidRDefault="000B6819" w14:paraId="7F0BC85B" w14:textId="3FDADA1C">
      <w:pPr>
        <w:pStyle w:val="ListParagraph"/>
        <w:numPr>
          <w:ilvl w:val="0"/>
          <w:numId w:val="1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51499D">
        <w:rPr>
          <w:sz w:val="22"/>
          <w:szCs w:val="22"/>
        </w:rPr>
        <w:t xml:space="preserve">Availability of data required for a petition:  While the 2015 regulations eliminated the need for some data before 1934 and 1900, the documenting of a centralized </w:t>
      </w:r>
      <w:r w:rsidR="00C17E6F">
        <w:rPr>
          <w:sz w:val="22"/>
          <w:szCs w:val="22"/>
        </w:rPr>
        <w:t>T</w:t>
      </w:r>
      <w:r w:rsidRPr="0051499D">
        <w:rPr>
          <w:sz w:val="22"/>
          <w:szCs w:val="22"/>
        </w:rPr>
        <w:t xml:space="preserve">ribal government before 1900 and the extraction of a tribal roll from sometime in the pre-1900 period is a major and necessary step in the present acknowledgement process.  </w:t>
      </w:r>
      <w:r w:rsidRPr="0051499D" w:rsidR="00E5397B">
        <w:rPr>
          <w:sz w:val="22"/>
          <w:szCs w:val="22"/>
        </w:rPr>
        <w:t>D</w:t>
      </w:r>
      <w:r w:rsidRPr="0051499D">
        <w:rPr>
          <w:sz w:val="22"/>
          <w:szCs w:val="22"/>
        </w:rPr>
        <w:t xml:space="preserve">ocumenting a centralized tribal government requires primary research sources and interpretations by individuals witnessing directly during the historical period.  Many of the source materials are observations by non-Indian witnesses who very often have limited grasp of the history or government of a particular tribe.  Many </w:t>
      </w:r>
      <w:r w:rsidRPr="0051499D" w:rsidR="00E5397B">
        <w:rPr>
          <w:sz w:val="22"/>
          <w:szCs w:val="22"/>
        </w:rPr>
        <w:t xml:space="preserve">anthropologists and historians </w:t>
      </w:r>
      <w:r w:rsidRPr="0051499D">
        <w:rPr>
          <w:sz w:val="22"/>
          <w:szCs w:val="22"/>
        </w:rPr>
        <w:t>have written and analyzed social and political order in southern California utilizing primary data. The data before 1934 is often scarce</w:t>
      </w:r>
      <w:r w:rsidRPr="0051499D" w:rsidR="00E5397B">
        <w:rPr>
          <w:sz w:val="22"/>
          <w:szCs w:val="22"/>
        </w:rPr>
        <w:t>. If OFA broadened its interpretation of centralized tribal governments to better address the diversity of Indian social and political organizations, then the availability of data would expand.</w:t>
      </w:r>
      <w:r w:rsidRPr="0051499D">
        <w:rPr>
          <w:sz w:val="22"/>
          <w:szCs w:val="22"/>
        </w:rPr>
        <w:t xml:space="preserve"> </w:t>
      </w:r>
    </w:p>
    <w:p w:rsidRPr="0051499D" w:rsidR="00E5397B" w:rsidP="005F7C73" w:rsidRDefault="00E5397B" w14:paraId="381CC885" w14:textId="3235B294">
      <w:pPr>
        <w:pStyle w:val="ListParagraph"/>
        <w:numPr>
          <w:ilvl w:val="1"/>
          <w:numId w:val="1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51499D">
        <w:rPr>
          <w:i/>
          <w:sz w:val="22"/>
          <w:szCs w:val="22"/>
        </w:rPr>
        <w:t xml:space="preserve">Response:  </w:t>
      </w:r>
      <w:r w:rsidRPr="0051499D">
        <w:rPr>
          <w:sz w:val="22"/>
          <w:szCs w:val="22"/>
        </w:rPr>
        <w:t xml:space="preserve">The need to establish the historical Indian tribe from which the petitioner and petitioner’s members descend is a central part of the acknowledgment process to establish that a sovereign body is being acknowledged. Unfortunately, OFA is unable to </w:t>
      </w:r>
      <w:r w:rsidRPr="0051499D" w:rsidR="00DC08CC">
        <w:rPr>
          <w:sz w:val="22"/>
          <w:szCs w:val="22"/>
        </w:rPr>
        <w:t xml:space="preserve">loosen the requirements to address a scarcity of data, as this data is necessarily integral to the solemn act of acknowledging a sovereign Tribe. </w:t>
      </w:r>
    </w:p>
    <w:p w:rsidRPr="0051499D" w:rsidR="006A7423" w:rsidP="005F7C73" w:rsidRDefault="006A7423" w14:paraId="2C3A7A31" w14:textId="39BED322">
      <w:pPr>
        <w:pStyle w:val="ListParagraph"/>
        <w:numPr>
          <w:ilvl w:val="0"/>
          <w:numId w:val="1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51499D">
        <w:rPr>
          <w:sz w:val="22"/>
          <w:szCs w:val="22"/>
        </w:rPr>
        <w:t>C</w:t>
      </w:r>
      <w:r w:rsidRPr="0051499D" w:rsidR="000B6819">
        <w:rPr>
          <w:sz w:val="22"/>
          <w:szCs w:val="22"/>
        </w:rPr>
        <w:t>larity of instructions or</w:t>
      </w:r>
      <w:r w:rsidRPr="0051499D">
        <w:rPr>
          <w:sz w:val="22"/>
          <w:szCs w:val="22"/>
        </w:rPr>
        <w:t xml:space="preserve"> formats for the data requested:  </w:t>
      </w:r>
      <w:r w:rsidRPr="0051499D" w:rsidR="000B6819">
        <w:rPr>
          <w:sz w:val="22"/>
          <w:szCs w:val="22"/>
        </w:rPr>
        <w:t xml:space="preserve">The instructions as now written can be challenging to follow. More in-person discussion between OFA staff members and tribal positions may have been helpful to avoid misunderstandings. Additional informal technical assistance may have benefited the Tribe’s understanding of what constituted acceptable evidence and fostered a better understanding of terms and concepts.   </w:t>
      </w:r>
    </w:p>
    <w:p w:rsidRPr="0051499D" w:rsidR="00DC08CC" w:rsidP="005F7C73" w:rsidRDefault="00DC08CC" w14:paraId="68B680FD" w14:textId="394E85AD">
      <w:pPr>
        <w:pStyle w:val="ListParagraph"/>
        <w:numPr>
          <w:ilvl w:val="1"/>
          <w:numId w:val="1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51499D">
        <w:rPr>
          <w:i/>
          <w:sz w:val="22"/>
          <w:szCs w:val="22"/>
        </w:rPr>
        <w:t xml:space="preserve">Response:  </w:t>
      </w:r>
      <w:r w:rsidRPr="0051499D">
        <w:rPr>
          <w:sz w:val="22"/>
          <w:szCs w:val="22"/>
        </w:rPr>
        <w:t xml:space="preserve">The instructions as written were established by regulation, and technical assistance is provided by regulation. OFA is unable to provide an informal back-and-forth as to what individual items of evidence may be sufficient because each item of evidence is interrelated to other items of evidence in the petition and OFA ultimately must review the </w:t>
      </w:r>
      <w:proofErr w:type="gramStart"/>
      <w:r w:rsidRPr="0051499D">
        <w:rPr>
          <w:sz w:val="22"/>
          <w:szCs w:val="22"/>
        </w:rPr>
        <w:t>petition as a whole</w:t>
      </w:r>
      <w:proofErr w:type="gramEnd"/>
      <w:r w:rsidRPr="0051499D">
        <w:rPr>
          <w:sz w:val="22"/>
          <w:szCs w:val="22"/>
        </w:rPr>
        <w:t>.</w:t>
      </w:r>
    </w:p>
    <w:p w:rsidRPr="0051499D" w:rsidR="000B6819" w:rsidP="005F7C73" w:rsidRDefault="000B6819" w14:paraId="4B9501BB" w14:textId="1EA2E38F">
      <w:pPr>
        <w:pStyle w:val="ListParagraph"/>
        <w:numPr>
          <w:ilvl w:val="0"/>
          <w:numId w:val="1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51499D">
        <w:rPr>
          <w:sz w:val="22"/>
          <w:szCs w:val="22"/>
        </w:rPr>
        <w:lastRenderedPageBreak/>
        <w:t>Data e</w:t>
      </w:r>
      <w:r w:rsidRPr="0051499D" w:rsidR="006A7423">
        <w:rPr>
          <w:sz w:val="22"/>
          <w:szCs w:val="22"/>
        </w:rPr>
        <w:t xml:space="preserve">lements required for a petition: </w:t>
      </w:r>
      <w:r w:rsidRPr="0051499D">
        <w:rPr>
          <w:sz w:val="22"/>
          <w:szCs w:val="22"/>
        </w:rPr>
        <w:t>Obtaining data, particularly primary source data can be particularly challenging. Some repositories, such as those that are privately owned, as is the case with many California mission records, can be inaccessible. For example, the Tribe attempted to access records at the Archdiocese of Los Angeles Archival Center that the Mission San Fernando and failed for many years</w:t>
      </w:r>
      <w:r w:rsidR="00FD3FBE">
        <w:rPr>
          <w:sz w:val="22"/>
          <w:szCs w:val="22"/>
        </w:rPr>
        <w:t>,</w:t>
      </w:r>
      <w:r w:rsidRPr="0051499D">
        <w:rPr>
          <w:sz w:val="22"/>
          <w:szCs w:val="22"/>
        </w:rPr>
        <w:t xml:space="preserve"> so the Tribe moved to other mission sources. Other repositories were closed for several years as well. In many instances, the record remains sparse and non-specific.</w:t>
      </w:r>
    </w:p>
    <w:p w:rsidRPr="0051499D" w:rsidR="00DC08CC" w:rsidP="005F7C73" w:rsidRDefault="00DC08CC" w14:paraId="208A9846" w14:textId="0C7FE41C">
      <w:pPr>
        <w:pStyle w:val="ListParagraph"/>
        <w:numPr>
          <w:ilvl w:val="1"/>
          <w:numId w:val="1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51499D">
        <w:rPr>
          <w:i/>
          <w:sz w:val="22"/>
          <w:szCs w:val="22"/>
        </w:rPr>
        <w:t xml:space="preserve">Response:  </w:t>
      </w:r>
      <w:r w:rsidRPr="0051499D">
        <w:rPr>
          <w:sz w:val="22"/>
          <w:szCs w:val="22"/>
        </w:rPr>
        <w:t xml:space="preserve">The data elements are established by regulation </w:t>
      </w:r>
      <w:proofErr w:type="gramStart"/>
      <w:r w:rsidRPr="0051499D">
        <w:rPr>
          <w:sz w:val="22"/>
          <w:szCs w:val="22"/>
        </w:rPr>
        <w:t>and,</w:t>
      </w:r>
      <w:proofErr w:type="gramEnd"/>
      <w:r w:rsidRPr="0051499D">
        <w:rPr>
          <w:sz w:val="22"/>
          <w:szCs w:val="22"/>
        </w:rPr>
        <w:t xml:space="preserve"> as noted above, OFA is unable to loosen the requirements to address a lack of data availability, as this data is necessarily integral to the solemn act of acknowledging a sovereign Tribe.</w:t>
      </w:r>
    </w:p>
    <w:p w:rsidRPr="0051499D" w:rsidR="006A7423" w:rsidP="00C57248" w:rsidRDefault="006A7423" w14:paraId="2A2D2CCA" w14:textId="6F7389CC">
      <w:pPr>
        <w:pStyle w:val="ListParagraph"/>
        <w:numPr>
          <w:ilvl w:val="0"/>
          <w:numId w:val="1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51499D">
        <w:rPr>
          <w:sz w:val="22"/>
          <w:szCs w:val="22"/>
        </w:rPr>
        <w:t>Burden hours:  C</w:t>
      </w:r>
      <w:r w:rsidRPr="0051499D" w:rsidR="000B6819">
        <w:rPr>
          <w:sz w:val="22"/>
          <w:szCs w:val="22"/>
        </w:rPr>
        <w:t xml:space="preserve">ontractual personnel worked about 910 hours on Acknowledgment in any given year. Tribal leadership and staff have worked about 450 hours on Acknowledgment any given year. </w:t>
      </w:r>
      <w:r w:rsidRPr="0051499D">
        <w:rPr>
          <w:sz w:val="22"/>
          <w:szCs w:val="22"/>
        </w:rPr>
        <w:t xml:space="preserve"> </w:t>
      </w:r>
      <w:r w:rsidRPr="0051499D" w:rsidR="000B6819">
        <w:rPr>
          <w:sz w:val="22"/>
          <w:szCs w:val="22"/>
        </w:rPr>
        <w:t>Average total: 1,360 hours per year.</w:t>
      </w:r>
    </w:p>
    <w:p w:rsidRPr="0051499D" w:rsidR="000528DC" w:rsidP="0054272B" w:rsidRDefault="00DC08CC" w14:paraId="40B36134" w14:textId="41A9AD17">
      <w:pPr>
        <w:pStyle w:val="ListParagraph"/>
        <w:numPr>
          <w:ilvl w:val="1"/>
          <w:numId w:val="1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51499D">
        <w:rPr>
          <w:i/>
          <w:sz w:val="22"/>
          <w:szCs w:val="22"/>
        </w:rPr>
        <w:t xml:space="preserve">Response:  </w:t>
      </w:r>
      <w:r w:rsidRPr="0051499D">
        <w:rPr>
          <w:sz w:val="22"/>
          <w:szCs w:val="22"/>
        </w:rPr>
        <w:t xml:space="preserve">This estimate is in line with our </w:t>
      </w:r>
      <w:r w:rsidRPr="0051499D" w:rsidR="005F7C73">
        <w:rPr>
          <w:sz w:val="22"/>
          <w:szCs w:val="22"/>
        </w:rPr>
        <w:t xml:space="preserve">original </w:t>
      </w:r>
      <w:r w:rsidRPr="0051499D">
        <w:rPr>
          <w:sz w:val="22"/>
          <w:szCs w:val="22"/>
        </w:rPr>
        <w:t xml:space="preserve">estimated average annual burden estimate of </w:t>
      </w:r>
      <w:r w:rsidRPr="0051499D" w:rsidR="005F7C73">
        <w:rPr>
          <w:sz w:val="22"/>
          <w:szCs w:val="22"/>
        </w:rPr>
        <w:t>1,516</w:t>
      </w:r>
      <w:r w:rsidRPr="0051499D">
        <w:rPr>
          <w:sz w:val="22"/>
          <w:szCs w:val="22"/>
        </w:rPr>
        <w:t xml:space="preserve"> hours</w:t>
      </w:r>
      <w:r w:rsidRPr="0051499D" w:rsidR="005F7C73">
        <w:rPr>
          <w:sz w:val="22"/>
          <w:szCs w:val="22"/>
        </w:rPr>
        <w:t xml:space="preserve">, which we increased to account for two </w:t>
      </w:r>
      <w:proofErr w:type="gramStart"/>
      <w:r w:rsidRPr="0051499D" w:rsidR="005F7C73">
        <w:rPr>
          <w:sz w:val="22"/>
          <w:szCs w:val="22"/>
        </w:rPr>
        <w:t>work-weeks</w:t>
      </w:r>
      <w:proofErr w:type="gramEnd"/>
      <w:r w:rsidRPr="0051499D" w:rsidR="005F7C73">
        <w:rPr>
          <w:sz w:val="22"/>
          <w:szCs w:val="22"/>
        </w:rPr>
        <w:t xml:space="preserve"> of technical assistance based on the group’s request that additional technical assistance be provided</w:t>
      </w:r>
      <w:r w:rsidRPr="0051499D">
        <w:rPr>
          <w:sz w:val="22"/>
          <w:szCs w:val="22"/>
        </w:rPr>
        <w:t>.</w:t>
      </w:r>
    </w:p>
    <w:p w:rsidRPr="0051499D" w:rsidR="000905E3" w:rsidP="00C57248" w:rsidRDefault="000905E3" w14:paraId="25622EB6"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rPr>
          <w:sz w:val="22"/>
          <w:szCs w:val="22"/>
        </w:rPr>
      </w:pPr>
    </w:p>
    <w:p w:rsidRPr="0051499D" w:rsidR="00426DA0" w:rsidP="0054272B" w:rsidRDefault="00177385" w14:paraId="226B77D9" w14:textId="3E7A571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51499D">
        <w:rPr>
          <w:sz w:val="22"/>
          <w:szCs w:val="22"/>
        </w:rPr>
        <w:t xml:space="preserve">During the drafting of the 2015 </w:t>
      </w:r>
      <w:r w:rsidRPr="0051499D" w:rsidR="006F45E7">
        <w:rPr>
          <w:sz w:val="22"/>
          <w:szCs w:val="22"/>
        </w:rPr>
        <w:t xml:space="preserve">Part 83 </w:t>
      </w:r>
      <w:r w:rsidRPr="0051499D">
        <w:rPr>
          <w:sz w:val="22"/>
          <w:szCs w:val="22"/>
        </w:rPr>
        <w:t>regulations, the</w:t>
      </w:r>
      <w:r w:rsidRPr="0051499D" w:rsidR="00C012A9">
        <w:rPr>
          <w:sz w:val="22"/>
          <w:szCs w:val="22"/>
        </w:rPr>
        <w:t xml:space="preserve"> Department solicited input on the rule, including several provisions that would reduce documentary burden.  Input was strongly supportive of these and any changes that could relieve information collection burdens on petitioners.  </w:t>
      </w:r>
    </w:p>
    <w:p w:rsidRPr="0051499D" w:rsidR="000905E3" w:rsidP="0054272B" w:rsidRDefault="000905E3" w14:paraId="0E09CFDE" w14:textId="5326C63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Pr="0051499D" w:rsidR="000905E3" w:rsidP="0054272B" w:rsidRDefault="000905E3" w14:paraId="118F58FE" w14:textId="08E1F2D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sidRPr="0051499D">
        <w:rPr>
          <w:b/>
          <w:sz w:val="22"/>
          <w:szCs w:val="22"/>
        </w:rPr>
        <w:t xml:space="preserve">Historical Input from Past Petitioners </w:t>
      </w:r>
    </w:p>
    <w:p w:rsidRPr="0051499D" w:rsidR="00C012A9" w:rsidP="0054272B" w:rsidRDefault="00C012A9" w14:paraId="0FE1751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Pr="000D0071" w:rsidR="00CB4CAD" w:rsidP="00CB4CAD" w:rsidRDefault="00687A08" w14:paraId="2A7B2CDB" w14:textId="74B046C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C17E6F">
        <w:rPr>
          <w:sz w:val="22"/>
          <w:szCs w:val="22"/>
        </w:rPr>
        <w:t>Because so few petitions are received each year and they may vary widely, we rely on this historical outreach to inform how the estimates were developed</w:t>
      </w:r>
      <w:r w:rsidRPr="00C17E6F" w:rsidR="00CB4CAD">
        <w:rPr>
          <w:sz w:val="22"/>
          <w:szCs w:val="22"/>
        </w:rPr>
        <w:t>.  Input provided in 2014-2015 outreach indicated that petitioners routinely purchase outside expert services to</w:t>
      </w:r>
      <w:r w:rsidRPr="000D0071" w:rsidR="00CB4CAD">
        <w:rPr>
          <w:sz w:val="22"/>
          <w:szCs w:val="22"/>
        </w:rPr>
        <w:t xml:space="preserve"> assist in preparation of their petitions and provide the foundation for the estimates. The Department obtained updated input in 2020 that confirms that the Department’s estimates continue to be accurate.  </w:t>
      </w:r>
    </w:p>
    <w:p w:rsidRPr="0051499D" w:rsidR="00895BEC" w:rsidP="0054272B" w:rsidRDefault="00895BEC" w14:paraId="57566C44" w14:textId="299801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Pr="0051499D" w:rsidR="00895BEC" w:rsidP="0054272B" w:rsidRDefault="00895BEC" w14:paraId="2984564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Pr="0051499D" w:rsidR="00895BEC" w:rsidP="00895BEC" w:rsidRDefault="00895BEC" w14:paraId="54EEB902" w14:textId="679E62F6">
      <w:pPr>
        <w:pStyle w:val="ListParagraph"/>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51499D">
        <w:rPr>
          <w:b/>
          <w:bCs/>
          <w:sz w:val="22"/>
          <w:szCs w:val="22"/>
        </w:rPr>
        <w:t>Burt Lake Band of Ottawa and Chippewa</w:t>
      </w:r>
      <w:r w:rsidRPr="0051499D">
        <w:rPr>
          <w:sz w:val="22"/>
          <w:szCs w:val="22"/>
        </w:rPr>
        <w:t xml:space="preserve"> – Petitioner #101 (</w:t>
      </w:r>
      <w:r w:rsidRPr="0051499D" w:rsidR="000B7F90">
        <w:rPr>
          <w:sz w:val="22"/>
          <w:szCs w:val="22"/>
        </w:rPr>
        <w:t xml:space="preserve">former, </w:t>
      </w:r>
      <w:r w:rsidRPr="0051499D">
        <w:rPr>
          <w:sz w:val="22"/>
          <w:szCs w:val="22"/>
        </w:rPr>
        <w:t>denied acknowledgment)</w:t>
      </w:r>
    </w:p>
    <w:p w:rsidRPr="0051499D" w:rsidR="00895BEC" w:rsidP="00895BEC" w:rsidRDefault="00895BEC" w14:paraId="653C6C0C" w14:textId="77777777">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51499D">
        <w:rPr>
          <w:sz w:val="22"/>
          <w:szCs w:val="22"/>
        </w:rPr>
        <w:t xml:space="preserve">Worked on petition for </w:t>
      </w:r>
      <w:r w:rsidRPr="0051499D" w:rsidR="00442A17">
        <w:rPr>
          <w:sz w:val="22"/>
          <w:szCs w:val="22"/>
        </w:rPr>
        <w:t xml:space="preserve">approximately </w:t>
      </w:r>
      <w:r w:rsidRPr="0051499D">
        <w:rPr>
          <w:sz w:val="22"/>
          <w:szCs w:val="22"/>
        </w:rPr>
        <w:t>30 years</w:t>
      </w:r>
    </w:p>
    <w:p w:rsidRPr="0051499D" w:rsidR="00895BEC" w:rsidP="00895BEC" w:rsidRDefault="00895BEC" w14:paraId="5A09FEE5" w14:textId="77777777">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51499D">
        <w:rPr>
          <w:sz w:val="22"/>
          <w:szCs w:val="22"/>
        </w:rPr>
        <w:t xml:space="preserve">Criterion (e) requirements took 400 hours </w:t>
      </w:r>
      <w:r w:rsidRPr="0051499D" w:rsidR="00BA38C1">
        <w:rPr>
          <w:sz w:val="22"/>
          <w:szCs w:val="22"/>
        </w:rPr>
        <w:t xml:space="preserve">in contracted services </w:t>
      </w:r>
      <w:r w:rsidRPr="0051499D">
        <w:rPr>
          <w:sz w:val="22"/>
          <w:szCs w:val="22"/>
        </w:rPr>
        <w:t>each year</w:t>
      </w:r>
    </w:p>
    <w:p w:rsidRPr="0051499D" w:rsidR="00895BEC" w:rsidP="00426DA0" w:rsidRDefault="00895BEC" w14:paraId="4C847EAB"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p>
    <w:p w:rsidRPr="0051499D" w:rsidR="00895BEC" w:rsidP="000B7F90" w:rsidRDefault="00895BEC" w14:paraId="11FC3A0B" w14:textId="40A36A40">
      <w:pPr>
        <w:pStyle w:val="ListParagraph"/>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51499D">
        <w:rPr>
          <w:b/>
          <w:bCs/>
          <w:sz w:val="22"/>
          <w:szCs w:val="22"/>
        </w:rPr>
        <w:t>Pamunkey Indian Tribe</w:t>
      </w:r>
      <w:r w:rsidRPr="0051499D">
        <w:rPr>
          <w:sz w:val="22"/>
          <w:szCs w:val="22"/>
        </w:rPr>
        <w:t xml:space="preserve"> – Petitioner #323 (</w:t>
      </w:r>
      <w:r w:rsidRPr="0051499D" w:rsidR="000B7F90">
        <w:rPr>
          <w:sz w:val="22"/>
          <w:szCs w:val="22"/>
        </w:rPr>
        <w:t>former, received positive final determination</w:t>
      </w:r>
      <w:r w:rsidRPr="0051499D">
        <w:rPr>
          <w:sz w:val="22"/>
          <w:szCs w:val="22"/>
        </w:rPr>
        <w:t>)</w:t>
      </w:r>
    </w:p>
    <w:p w:rsidRPr="0051499D" w:rsidR="00895BEC" w:rsidP="00895BEC" w:rsidRDefault="00442A17" w14:paraId="144B7C42" w14:textId="49EE49C6">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51499D">
        <w:rPr>
          <w:sz w:val="22"/>
          <w:szCs w:val="22"/>
        </w:rPr>
        <w:t xml:space="preserve">The </w:t>
      </w:r>
      <w:r w:rsidR="00AC497E">
        <w:rPr>
          <w:sz w:val="22"/>
          <w:szCs w:val="22"/>
        </w:rPr>
        <w:t>T</w:t>
      </w:r>
      <w:r w:rsidRPr="0051499D">
        <w:rPr>
          <w:sz w:val="22"/>
          <w:szCs w:val="22"/>
        </w:rPr>
        <w:t xml:space="preserve">ribe </w:t>
      </w:r>
      <w:r w:rsidRPr="0051499D" w:rsidR="002E5F22">
        <w:rPr>
          <w:sz w:val="22"/>
          <w:szCs w:val="22"/>
        </w:rPr>
        <w:t>has</w:t>
      </w:r>
      <w:r w:rsidRPr="0051499D">
        <w:rPr>
          <w:sz w:val="22"/>
          <w:szCs w:val="22"/>
        </w:rPr>
        <w:t xml:space="preserve"> about </w:t>
      </w:r>
      <w:r w:rsidRPr="0051499D" w:rsidR="00895BEC">
        <w:rPr>
          <w:sz w:val="22"/>
          <w:szCs w:val="22"/>
        </w:rPr>
        <w:t>200 members</w:t>
      </w:r>
    </w:p>
    <w:p w:rsidRPr="0051499D" w:rsidR="00895BEC" w:rsidP="00895BEC" w:rsidRDefault="00BA38C1" w14:paraId="2EEAB5A9" w14:textId="77777777">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51499D">
        <w:rPr>
          <w:sz w:val="22"/>
          <w:szCs w:val="22"/>
        </w:rPr>
        <w:t xml:space="preserve">Worked on the petition for approximately </w:t>
      </w:r>
      <w:r w:rsidRPr="0051499D" w:rsidR="00267A68">
        <w:rPr>
          <w:sz w:val="22"/>
          <w:szCs w:val="22"/>
        </w:rPr>
        <w:t>25</w:t>
      </w:r>
      <w:r w:rsidRPr="0051499D" w:rsidR="00895BEC">
        <w:rPr>
          <w:sz w:val="22"/>
          <w:szCs w:val="22"/>
        </w:rPr>
        <w:t xml:space="preserve"> years</w:t>
      </w:r>
    </w:p>
    <w:p w:rsidRPr="0051499D" w:rsidR="00BA38C1" w:rsidP="00895BEC" w:rsidRDefault="00BA38C1" w14:paraId="7D47EB62" w14:textId="501290E2">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51499D">
        <w:rPr>
          <w:sz w:val="22"/>
          <w:szCs w:val="22"/>
        </w:rPr>
        <w:t xml:space="preserve">During that time, </w:t>
      </w:r>
      <w:r w:rsidRPr="0051499D" w:rsidR="00A11504">
        <w:rPr>
          <w:sz w:val="22"/>
          <w:szCs w:val="22"/>
        </w:rPr>
        <w:t xml:space="preserve">the </w:t>
      </w:r>
      <w:r w:rsidR="00AC497E">
        <w:rPr>
          <w:sz w:val="22"/>
          <w:szCs w:val="22"/>
        </w:rPr>
        <w:t>T</w:t>
      </w:r>
      <w:r w:rsidRPr="0051499D" w:rsidR="00A11504">
        <w:rPr>
          <w:sz w:val="22"/>
          <w:szCs w:val="22"/>
        </w:rPr>
        <w:t xml:space="preserve">ribe </w:t>
      </w:r>
      <w:r w:rsidRPr="0051499D">
        <w:rPr>
          <w:sz w:val="22"/>
          <w:szCs w:val="22"/>
        </w:rPr>
        <w:t>spent:</w:t>
      </w:r>
    </w:p>
    <w:p w:rsidRPr="0051499D" w:rsidR="00895BEC" w:rsidRDefault="00A11504" w14:paraId="4B1E0A62" w14:textId="77777777">
      <w:pPr>
        <w:pStyle w:val="ListParagraph"/>
        <w:numPr>
          <w:ilvl w:val="2"/>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51499D">
        <w:rPr>
          <w:sz w:val="22"/>
          <w:szCs w:val="22"/>
        </w:rPr>
        <w:t xml:space="preserve">Hundreds of </w:t>
      </w:r>
      <w:r w:rsidRPr="0051499D" w:rsidR="00895BEC">
        <w:rPr>
          <w:sz w:val="22"/>
          <w:szCs w:val="22"/>
        </w:rPr>
        <w:t>billable hours for attorneys ($300/</w:t>
      </w:r>
      <w:proofErr w:type="spellStart"/>
      <w:r w:rsidRPr="0051499D" w:rsidR="00895BEC">
        <w:rPr>
          <w:sz w:val="22"/>
          <w:szCs w:val="22"/>
        </w:rPr>
        <w:t>hr</w:t>
      </w:r>
      <w:proofErr w:type="spellEnd"/>
      <w:r w:rsidRPr="0051499D" w:rsidR="00895BEC">
        <w:rPr>
          <w:sz w:val="22"/>
          <w:szCs w:val="22"/>
        </w:rPr>
        <w:t>) each year</w:t>
      </w:r>
      <w:r w:rsidRPr="0051499D">
        <w:rPr>
          <w:sz w:val="22"/>
          <w:szCs w:val="22"/>
        </w:rPr>
        <w:t>; in 2001 for example 800 billable hours were spent on attorneys and another 100 hours on law clerks.</w:t>
      </w:r>
    </w:p>
    <w:p w:rsidRPr="0051499D" w:rsidR="00895BEC" w:rsidP="00BA38C1" w:rsidRDefault="00895BEC" w14:paraId="5A812E23" w14:textId="77777777">
      <w:pPr>
        <w:pStyle w:val="ListParagraph"/>
        <w:numPr>
          <w:ilvl w:val="2"/>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51499D">
        <w:rPr>
          <w:sz w:val="22"/>
          <w:szCs w:val="22"/>
        </w:rPr>
        <w:t>Hundreds of hours for historians and anthropologists (</w:t>
      </w:r>
      <w:r w:rsidRPr="0051499D" w:rsidR="00A11504">
        <w:rPr>
          <w:sz w:val="22"/>
          <w:szCs w:val="22"/>
        </w:rPr>
        <w:t xml:space="preserve">charging about </w:t>
      </w:r>
      <w:r w:rsidRPr="0051499D">
        <w:rPr>
          <w:sz w:val="22"/>
          <w:szCs w:val="22"/>
        </w:rPr>
        <w:t>$100/</w:t>
      </w:r>
      <w:proofErr w:type="spellStart"/>
      <w:r w:rsidRPr="0051499D">
        <w:rPr>
          <w:sz w:val="22"/>
          <w:szCs w:val="22"/>
        </w:rPr>
        <w:t>hr</w:t>
      </w:r>
      <w:proofErr w:type="spellEnd"/>
      <w:r w:rsidRPr="0051499D">
        <w:rPr>
          <w:sz w:val="22"/>
          <w:szCs w:val="22"/>
        </w:rPr>
        <w:t>) each year</w:t>
      </w:r>
    </w:p>
    <w:p w:rsidRPr="0051499D" w:rsidR="00895BEC" w:rsidP="00BA38C1" w:rsidRDefault="00895BEC" w14:paraId="28D3DB12" w14:textId="77777777">
      <w:pPr>
        <w:pStyle w:val="ListParagraph"/>
        <w:numPr>
          <w:ilvl w:val="2"/>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51499D">
        <w:rPr>
          <w:sz w:val="22"/>
          <w:szCs w:val="22"/>
        </w:rPr>
        <w:t xml:space="preserve">Hundreds </w:t>
      </w:r>
      <w:r w:rsidRPr="0051499D" w:rsidR="00A11504">
        <w:rPr>
          <w:sz w:val="22"/>
          <w:szCs w:val="22"/>
        </w:rPr>
        <w:t xml:space="preserve">or thousands </w:t>
      </w:r>
      <w:r w:rsidRPr="0051499D">
        <w:rPr>
          <w:sz w:val="22"/>
          <w:szCs w:val="22"/>
        </w:rPr>
        <w:t>of hours for genealogists (a little less than $100/</w:t>
      </w:r>
      <w:proofErr w:type="spellStart"/>
      <w:r w:rsidRPr="0051499D">
        <w:rPr>
          <w:sz w:val="22"/>
          <w:szCs w:val="22"/>
        </w:rPr>
        <w:t>hr</w:t>
      </w:r>
      <w:proofErr w:type="spellEnd"/>
      <w:r w:rsidRPr="0051499D">
        <w:rPr>
          <w:sz w:val="22"/>
          <w:szCs w:val="22"/>
        </w:rPr>
        <w:t>) each year</w:t>
      </w:r>
    </w:p>
    <w:p w:rsidRPr="0051499D" w:rsidR="00895BEC" w:rsidP="00895BEC" w:rsidRDefault="00895BEC" w14:paraId="6287F9A9" w14:textId="77777777">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51499D">
        <w:rPr>
          <w:sz w:val="22"/>
          <w:szCs w:val="22"/>
        </w:rPr>
        <w:t>Criterion (e) takes about 50% of the time</w:t>
      </w:r>
    </w:p>
    <w:p w:rsidRPr="0051499D" w:rsidR="00426DA0" w:rsidP="00426DA0" w:rsidRDefault="00426DA0" w14:paraId="1581A41C"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p>
    <w:p w:rsidRPr="0051499D" w:rsidR="00895BEC" w:rsidP="000B7F90" w:rsidRDefault="00895BEC" w14:paraId="2981863D" w14:textId="74F15D44">
      <w:pPr>
        <w:pStyle w:val="ListParagraph"/>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51499D">
        <w:rPr>
          <w:b/>
          <w:bCs/>
          <w:sz w:val="22"/>
          <w:szCs w:val="22"/>
        </w:rPr>
        <w:t>Salinan Tribe of Monterey and San Luis Obispo Counties</w:t>
      </w:r>
      <w:r w:rsidRPr="0051499D">
        <w:rPr>
          <w:sz w:val="22"/>
          <w:szCs w:val="22"/>
        </w:rPr>
        <w:t xml:space="preserve"> – Petitioner # 139</w:t>
      </w:r>
      <w:r w:rsidRPr="0051499D" w:rsidR="00996FFF">
        <w:rPr>
          <w:sz w:val="22"/>
          <w:szCs w:val="22"/>
        </w:rPr>
        <w:t xml:space="preserve"> (</w:t>
      </w:r>
      <w:r w:rsidRPr="0051499D" w:rsidR="000B7F90">
        <w:rPr>
          <w:sz w:val="22"/>
          <w:szCs w:val="22"/>
        </w:rPr>
        <w:t xml:space="preserve">former, never </w:t>
      </w:r>
      <w:r w:rsidRPr="0051499D" w:rsidR="000B7F90">
        <w:rPr>
          <w:sz w:val="22"/>
          <w:szCs w:val="22"/>
        </w:rPr>
        <w:lastRenderedPageBreak/>
        <w:t>submitted a complete petition under previous regulations</w:t>
      </w:r>
      <w:r w:rsidRPr="0051499D" w:rsidR="00996FFF">
        <w:rPr>
          <w:sz w:val="22"/>
          <w:szCs w:val="22"/>
        </w:rPr>
        <w:t>)</w:t>
      </w:r>
    </w:p>
    <w:p w:rsidRPr="0051499D" w:rsidR="00895BEC" w:rsidP="00895BEC" w:rsidRDefault="00426DA0" w14:paraId="6907913F" w14:textId="77777777">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51499D">
        <w:rPr>
          <w:sz w:val="22"/>
          <w:szCs w:val="22"/>
        </w:rPr>
        <w:t xml:space="preserve">About </w:t>
      </w:r>
      <w:r w:rsidRPr="0051499D" w:rsidR="00895BEC">
        <w:rPr>
          <w:sz w:val="22"/>
          <w:szCs w:val="22"/>
        </w:rPr>
        <w:t>400 members</w:t>
      </w:r>
    </w:p>
    <w:p w:rsidRPr="0051499D" w:rsidR="00895BEC" w:rsidP="00895BEC" w:rsidRDefault="00895BEC" w14:paraId="625C1BD7" w14:textId="77777777">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51499D">
        <w:rPr>
          <w:sz w:val="22"/>
          <w:szCs w:val="22"/>
        </w:rPr>
        <w:t xml:space="preserve">Work started 18 years ago but was intensive for a </w:t>
      </w:r>
      <w:proofErr w:type="gramStart"/>
      <w:r w:rsidRPr="0051499D">
        <w:rPr>
          <w:sz w:val="22"/>
          <w:szCs w:val="22"/>
        </w:rPr>
        <w:t>6-8 year</w:t>
      </w:r>
      <w:proofErr w:type="gramEnd"/>
      <w:r w:rsidRPr="0051499D">
        <w:rPr>
          <w:sz w:val="22"/>
          <w:szCs w:val="22"/>
        </w:rPr>
        <w:t xml:space="preserve"> period</w:t>
      </w:r>
    </w:p>
    <w:p w:rsidRPr="0051499D" w:rsidR="00895BEC" w:rsidP="00895BEC" w:rsidRDefault="00895BEC" w14:paraId="02A4EDE9" w14:textId="77777777">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51499D">
        <w:rPr>
          <w:sz w:val="22"/>
          <w:szCs w:val="22"/>
        </w:rPr>
        <w:t xml:space="preserve">2 </w:t>
      </w:r>
      <w:r w:rsidRPr="0051499D" w:rsidR="00426DA0">
        <w:rPr>
          <w:sz w:val="22"/>
          <w:szCs w:val="22"/>
        </w:rPr>
        <w:t>genealogists</w:t>
      </w:r>
      <w:r w:rsidRPr="0051499D">
        <w:rPr>
          <w:sz w:val="22"/>
          <w:szCs w:val="22"/>
        </w:rPr>
        <w:t xml:space="preserve"> for 2 years at $65/</w:t>
      </w:r>
      <w:proofErr w:type="spellStart"/>
      <w:r w:rsidRPr="0051499D">
        <w:rPr>
          <w:sz w:val="22"/>
          <w:szCs w:val="22"/>
        </w:rPr>
        <w:t>hr</w:t>
      </w:r>
      <w:proofErr w:type="spellEnd"/>
    </w:p>
    <w:p w:rsidRPr="0051499D" w:rsidR="00895BEC" w:rsidP="00895BEC" w:rsidRDefault="00895BEC" w14:paraId="0C47BF37" w14:textId="77777777">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51499D">
        <w:rPr>
          <w:sz w:val="22"/>
          <w:szCs w:val="22"/>
        </w:rPr>
        <w:t>3 full time staff ($25/</w:t>
      </w:r>
      <w:proofErr w:type="spellStart"/>
      <w:r w:rsidRPr="0051499D">
        <w:rPr>
          <w:sz w:val="22"/>
          <w:szCs w:val="22"/>
        </w:rPr>
        <w:t>hr</w:t>
      </w:r>
      <w:proofErr w:type="spellEnd"/>
      <w:r w:rsidRPr="0051499D">
        <w:rPr>
          <w:sz w:val="22"/>
          <w:szCs w:val="22"/>
        </w:rPr>
        <w:t>)</w:t>
      </w:r>
    </w:p>
    <w:p w:rsidRPr="0051499D" w:rsidR="00895BEC" w:rsidP="00895BEC" w:rsidRDefault="00895BEC" w14:paraId="377F63F8" w14:textId="77777777">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51499D">
        <w:rPr>
          <w:sz w:val="22"/>
          <w:szCs w:val="22"/>
        </w:rPr>
        <w:t>Legal fees</w:t>
      </w:r>
    </w:p>
    <w:p w:rsidRPr="0051499D" w:rsidR="00A11504" w:rsidP="00895BEC" w:rsidRDefault="00A11504" w14:paraId="2D2AFA66" w14:textId="77777777">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51499D">
        <w:rPr>
          <w:sz w:val="22"/>
          <w:szCs w:val="22"/>
        </w:rPr>
        <w:t>The total cost of the application ranged from $800,000 to $1 million, not including the value of a great deal of volunteer work provided by tribal members, and not adjusting for inflation of these historical costs.</w:t>
      </w:r>
    </w:p>
    <w:p w:rsidRPr="0051499D" w:rsidR="00426DA0" w:rsidP="00426DA0" w:rsidRDefault="00426DA0" w14:paraId="64D4F963"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p>
    <w:p w:rsidRPr="0051499D" w:rsidR="00895BEC" w:rsidP="00895BEC" w:rsidRDefault="00895BEC" w14:paraId="59703F1A" w14:textId="7510A673">
      <w:pPr>
        <w:pStyle w:val="ListParagraph"/>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51499D">
        <w:rPr>
          <w:b/>
          <w:bCs/>
          <w:sz w:val="22"/>
          <w:szCs w:val="22"/>
        </w:rPr>
        <w:t>St. Francis/</w:t>
      </w:r>
      <w:proofErr w:type="spellStart"/>
      <w:r w:rsidRPr="0051499D">
        <w:rPr>
          <w:b/>
          <w:bCs/>
          <w:sz w:val="22"/>
          <w:szCs w:val="22"/>
        </w:rPr>
        <w:t>Sokoki</w:t>
      </w:r>
      <w:proofErr w:type="spellEnd"/>
      <w:r w:rsidRPr="0051499D">
        <w:rPr>
          <w:b/>
          <w:bCs/>
          <w:sz w:val="22"/>
          <w:szCs w:val="22"/>
        </w:rPr>
        <w:t xml:space="preserve"> Band of Abenakis of Vermont</w:t>
      </w:r>
      <w:r w:rsidRPr="0051499D">
        <w:rPr>
          <w:sz w:val="22"/>
          <w:szCs w:val="22"/>
        </w:rPr>
        <w:t xml:space="preserve"> – Petitioner #68</w:t>
      </w:r>
      <w:r w:rsidRPr="0051499D" w:rsidR="00426DA0">
        <w:rPr>
          <w:sz w:val="22"/>
          <w:szCs w:val="22"/>
        </w:rPr>
        <w:t xml:space="preserve"> (</w:t>
      </w:r>
      <w:r w:rsidRPr="0051499D" w:rsidR="000B7F90">
        <w:rPr>
          <w:sz w:val="22"/>
          <w:szCs w:val="22"/>
        </w:rPr>
        <w:t xml:space="preserve">former, </w:t>
      </w:r>
      <w:r w:rsidRPr="0051499D" w:rsidR="00426DA0">
        <w:rPr>
          <w:sz w:val="22"/>
          <w:szCs w:val="22"/>
        </w:rPr>
        <w:t>denied acknowledgment)</w:t>
      </w:r>
    </w:p>
    <w:p w:rsidRPr="0051499D" w:rsidR="00426DA0" w:rsidP="00426DA0" w:rsidRDefault="00426DA0" w14:paraId="4231B71D" w14:textId="77777777">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51499D">
        <w:rPr>
          <w:sz w:val="22"/>
          <w:szCs w:val="22"/>
        </w:rPr>
        <w:t>About 400 members</w:t>
      </w:r>
    </w:p>
    <w:p w:rsidRPr="0051499D" w:rsidR="00426DA0" w:rsidP="00426DA0" w:rsidRDefault="00A11504" w14:paraId="084AB83E" w14:textId="77777777">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51499D">
        <w:rPr>
          <w:sz w:val="22"/>
          <w:szCs w:val="22"/>
        </w:rPr>
        <w:t xml:space="preserve">At least </w:t>
      </w:r>
      <w:r w:rsidRPr="0051499D" w:rsidR="00426DA0">
        <w:rPr>
          <w:sz w:val="22"/>
          <w:szCs w:val="22"/>
        </w:rPr>
        <w:t xml:space="preserve">3 genealogists </w:t>
      </w:r>
      <w:r w:rsidRPr="0051499D">
        <w:rPr>
          <w:sz w:val="22"/>
          <w:szCs w:val="22"/>
        </w:rPr>
        <w:t xml:space="preserve">working </w:t>
      </w:r>
      <w:r w:rsidRPr="0051499D" w:rsidR="00426DA0">
        <w:rPr>
          <w:sz w:val="22"/>
          <w:szCs w:val="22"/>
        </w:rPr>
        <w:t>full time for 2-3 years</w:t>
      </w:r>
    </w:p>
    <w:p w:rsidRPr="0051499D" w:rsidR="00426DA0" w:rsidP="00426DA0" w:rsidRDefault="00426DA0" w14:paraId="358ADACC" w14:textId="77777777">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51499D">
        <w:rPr>
          <w:sz w:val="22"/>
          <w:szCs w:val="22"/>
        </w:rPr>
        <w:t>2 attorneys (not full time), one for 10 years, one for 7 years</w:t>
      </w:r>
    </w:p>
    <w:p w:rsidRPr="0051499D" w:rsidR="00426DA0" w:rsidP="00426DA0" w:rsidRDefault="00426DA0" w14:paraId="2AF88766" w14:textId="77777777">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51499D">
        <w:rPr>
          <w:sz w:val="22"/>
          <w:szCs w:val="22"/>
        </w:rPr>
        <w:t>Anthropologists and historians</w:t>
      </w:r>
    </w:p>
    <w:p w:rsidRPr="0051499D" w:rsidR="00426DA0" w:rsidP="00426DA0" w:rsidRDefault="00426DA0" w14:paraId="1B6F0BE1" w14:textId="77777777">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51499D">
        <w:rPr>
          <w:sz w:val="22"/>
          <w:szCs w:val="22"/>
        </w:rPr>
        <w:t>Volunteer work by community members</w:t>
      </w:r>
    </w:p>
    <w:p w:rsidRPr="0051499D" w:rsidR="00A11504" w:rsidP="00426DA0" w:rsidRDefault="00A11504" w14:paraId="0E277695" w14:textId="77777777">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51499D">
        <w:rPr>
          <w:sz w:val="22"/>
          <w:szCs w:val="22"/>
        </w:rPr>
        <w:t>Total cost of over $1 million, not including the value of thousands of hours of volunteer time or adjusting for inflation</w:t>
      </w:r>
    </w:p>
    <w:p w:rsidRPr="0051499D" w:rsidR="0054272B" w:rsidRDefault="0054272B" w14:paraId="1AFCDC5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Pr="0051499D" w:rsidR="000905E3" w:rsidRDefault="000905E3" w14:paraId="2AC362CA" w14:textId="766BCA1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sidRPr="0051499D">
        <w:rPr>
          <w:b/>
          <w:sz w:val="22"/>
          <w:szCs w:val="22"/>
        </w:rPr>
        <w:t>Conclusion</w:t>
      </w:r>
    </w:p>
    <w:p w:rsidRPr="0051499D" w:rsidR="00774793" w:rsidRDefault="000905E3" w14:paraId="719CCD04" w14:textId="4FD27F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51499D">
        <w:rPr>
          <w:sz w:val="22"/>
          <w:szCs w:val="22"/>
        </w:rPr>
        <w:t xml:space="preserve">Using the base input from past petitioners, adjusted based on changes to the regulations in 2015, and </w:t>
      </w:r>
      <w:proofErr w:type="gramStart"/>
      <w:r w:rsidRPr="0051499D">
        <w:rPr>
          <w:sz w:val="22"/>
          <w:szCs w:val="22"/>
        </w:rPr>
        <w:t>taking into account</w:t>
      </w:r>
      <w:proofErr w:type="gramEnd"/>
      <w:r w:rsidRPr="0051499D">
        <w:rPr>
          <w:sz w:val="22"/>
          <w:szCs w:val="22"/>
        </w:rPr>
        <w:t xml:space="preserve"> input in 2020 from potential petitioners, we determined</w:t>
      </w:r>
      <w:r w:rsidRPr="0051499D" w:rsidR="00036BA0">
        <w:rPr>
          <w:sz w:val="22"/>
          <w:szCs w:val="22"/>
        </w:rPr>
        <w:t xml:space="preserve"> our estimates of burden hours and non</w:t>
      </w:r>
      <w:r w:rsidRPr="0051499D" w:rsidR="009761E5">
        <w:rPr>
          <w:sz w:val="22"/>
          <w:szCs w:val="22"/>
        </w:rPr>
        <w:t>-</w:t>
      </w:r>
      <w:r w:rsidRPr="0051499D" w:rsidR="00036BA0">
        <w:rPr>
          <w:sz w:val="22"/>
          <w:szCs w:val="22"/>
        </w:rPr>
        <w:t>hour cost burden</w:t>
      </w:r>
      <w:r w:rsidRPr="0051499D" w:rsidR="00177385">
        <w:rPr>
          <w:sz w:val="22"/>
          <w:szCs w:val="22"/>
        </w:rPr>
        <w:t>.</w:t>
      </w:r>
      <w:r w:rsidRPr="0051499D" w:rsidR="00036BA0">
        <w:rPr>
          <w:sz w:val="22"/>
          <w:szCs w:val="22"/>
        </w:rPr>
        <w:t xml:space="preserve">  </w:t>
      </w:r>
    </w:p>
    <w:p w:rsidRPr="0051499D" w:rsidR="00036BA0" w:rsidRDefault="00036BA0" w14:paraId="2771F82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p>
    <w:p w:rsidRPr="0051499D" w:rsidR="00295103" w:rsidRDefault="00295103" w14:paraId="5A48F68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szCs w:val="22"/>
        </w:rPr>
      </w:pPr>
      <w:r w:rsidRPr="0051499D">
        <w:rPr>
          <w:b/>
          <w:sz w:val="22"/>
          <w:szCs w:val="22"/>
        </w:rPr>
        <w:t>9.</w:t>
      </w:r>
      <w:r w:rsidRPr="0051499D">
        <w:rPr>
          <w:b/>
          <w:sz w:val="22"/>
          <w:szCs w:val="22"/>
        </w:rPr>
        <w:tab/>
        <w:t>Explain any decision to provide any payment or gift to respondents, other than remuneration of contractors or grantees.</w:t>
      </w:r>
    </w:p>
    <w:p w:rsidRPr="0051499D" w:rsidR="00D7712F" w:rsidP="002C2DA0" w:rsidRDefault="00D7712F" w14:paraId="3C27AD5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p>
    <w:p w:rsidRPr="0051499D" w:rsidR="00DA3736" w:rsidP="00DA3736" w:rsidRDefault="00DA3736" w14:paraId="59325AF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51499D">
        <w:rPr>
          <w:sz w:val="22"/>
          <w:szCs w:val="22"/>
        </w:rPr>
        <w:t>No payments or gifts are provided to r</w:t>
      </w:r>
      <w:r w:rsidRPr="0051499D" w:rsidR="0054272B">
        <w:rPr>
          <w:sz w:val="22"/>
          <w:szCs w:val="22"/>
        </w:rPr>
        <w:t>espondents.</w:t>
      </w:r>
    </w:p>
    <w:p w:rsidRPr="0051499D" w:rsidR="00295103" w:rsidRDefault="00295103" w14:paraId="7BD9A16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p>
    <w:p w:rsidRPr="0051499D" w:rsidR="004A6DFA" w:rsidRDefault="00295103" w14:paraId="6712ED0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szCs w:val="22"/>
        </w:rPr>
      </w:pPr>
      <w:r w:rsidRPr="0051499D">
        <w:rPr>
          <w:b/>
          <w:sz w:val="22"/>
          <w:szCs w:val="22"/>
        </w:rPr>
        <w:t>10.</w:t>
      </w:r>
      <w:r w:rsidRPr="0051499D">
        <w:rPr>
          <w:b/>
          <w:sz w:val="22"/>
          <w:szCs w:val="22"/>
        </w:rPr>
        <w:tab/>
        <w:t>Describe any assurance of confidentiality provided to respondents and the basis for the assurance in statute, regulation, or agency policy.</w:t>
      </w:r>
    </w:p>
    <w:p w:rsidRPr="0051499D" w:rsidR="002C2DA0" w:rsidP="002C2DA0" w:rsidRDefault="002C2DA0" w14:paraId="5C1BE6F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Pr="0051499D" w:rsidR="0054272B" w:rsidP="0054272B" w:rsidRDefault="0092136B" w14:paraId="35780E6F" w14:textId="5CCCFD5A">
      <w:pPr>
        <w:rPr>
          <w:color w:val="000000"/>
          <w:sz w:val="22"/>
          <w:szCs w:val="22"/>
        </w:rPr>
      </w:pPr>
      <w:r w:rsidRPr="0051499D">
        <w:rPr>
          <w:color w:val="000000"/>
          <w:sz w:val="22"/>
          <w:szCs w:val="22"/>
        </w:rPr>
        <w:t>Records</w:t>
      </w:r>
      <w:r w:rsidRPr="0051499D" w:rsidR="0054272B">
        <w:rPr>
          <w:color w:val="000000"/>
          <w:sz w:val="22"/>
          <w:szCs w:val="22"/>
        </w:rPr>
        <w:t xml:space="preserve"> provided to the OFA are available for review by the public and interested parties to acknowledgment decisions</w:t>
      </w:r>
      <w:r w:rsidRPr="0051499D">
        <w:rPr>
          <w:color w:val="000000"/>
          <w:sz w:val="22"/>
          <w:szCs w:val="22"/>
        </w:rPr>
        <w:t xml:space="preserve"> and will be posted on the Internet </w:t>
      </w:r>
      <w:r w:rsidRPr="0051499D" w:rsidR="006F45E7">
        <w:rPr>
          <w:color w:val="000000"/>
          <w:sz w:val="22"/>
          <w:szCs w:val="22"/>
        </w:rPr>
        <w:t xml:space="preserve">at </w:t>
      </w:r>
      <w:hyperlink w:history="1" r:id="rId16">
        <w:r w:rsidRPr="0051499D" w:rsidR="006F45E7">
          <w:rPr>
            <w:rStyle w:val="Hyperlink"/>
            <w:sz w:val="22"/>
            <w:szCs w:val="22"/>
          </w:rPr>
          <w:t>https://www.bia.gov/as-ia/ofa/opportunities-for-comment</w:t>
        </w:r>
      </w:hyperlink>
      <w:r w:rsidRPr="0051499D" w:rsidR="006F45E7">
        <w:rPr>
          <w:color w:val="000000"/>
          <w:sz w:val="22"/>
          <w:szCs w:val="22"/>
        </w:rPr>
        <w:t xml:space="preserve"> </w:t>
      </w:r>
      <w:r w:rsidRPr="0051499D">
        <w:rPr>
          <w:color w:val="000000"/>
          <w:sz w:val="22"/>
          <w:szCs w:val="22"/>
        </w:rPr>
        <w:t xml:space="preserve">for transparency; however, the Department will not post genealogical materials and, if the petitioner provides a version with redactions of confidential information, the Department will post only the redacted version for public viewing.  </w:t>
      </w:r>
      <w:r w:rsidRPr="0051499D" w:rsidR="0054272B">
        <w:rPr>
          <w:color w:val="000000"/>
          <w:sz w:val="22"/>
          <w:szCs w:val="22"/>
        </w:rPr>
        <w:t xml:space="preserve"> </w:t>
      </w:r>
      <w:r w:rsidRPr="0051499D" w:rsidR="00514FB3">
        <w:rPr>
          <w:color w:val="000000"/>
          <w:sz w:val="22"/>
          <w:szCs w:val="22"/>
        </w:rPr>
        <w:t xml:space="preserve">Many of the </w:t>
      </w:r>
      <w:r w:rsidRPr="0051499D" w:rsidR="002F4290">
        <w:rPr>
          <w:color w:val="000000"/>
          <w:sz w:val="22"/>
          <w:szCs w:val="22"/>
        </w:rPr>
        <w:t xml:space="preserve">petition </w:t>
      </w:r>
      <w:r w:rsidRPr="0051499D" w:rsidR="00514FB3">
        <w:rPr>
          <w:color w:val="000000"/>
          <w:sz w:val="22"/>
          <w:szCs w:val="22"/>
        </w:rPr>
        <w:t>materials that are provided are</w:t>
      </w:r>
      <w:r w:rsidRPr="0051499D" w:rsidR="0054272B">
        <w:rPr>
          <w:color w:val="000000"/>
          <w:sz w:val="22"/>
          <w:szCs w:val="22"/>
        </w:rPr>
        <w:t>,</w:t>
      </w:r>
      <w:r w:rsidRPr="0051499D" w:rsidR="00514FB3">
        <w:rPr>
          <w:color w:val="000000"/>
          <w:sz w:val="22"/>
          <w:szCs w:val="22"/>
        </w:rPr>
        <w:t xml:space="preserve"> </w:t>
      </w:r>
      <w:r w:rsidRPr="0051499D" w:rsidR="00DE7B22">
        <w:rPr>
          <w:color w:val="000000"/>
          <w:sz w:val="22"/>
          <w:szCs w:val="22"/>
        </w:rPr>
        <w:t>genealogical</w:t>
      </w:r>
      <w:r w:rsidRPr="0051499D" w:rsidR="0054272B">
        <w:rPr>
          <w:color w:val="000000"/>
          <w:sz w:val="22"/>
          <w:szCs w:val="22"/>
        </w:rPr>
        <w:t xml:space="preserve"> materials</w:t>
      </w:r>
      <w:r w:rsidRPr="0051499D" w:rsidR="00514FB3">
        <w:rPr>
          <w:color w:val="000000"/>
          <w:sz w:val="22"/>
          <w:szCs w:val="22"/>
        </w:rPr>
        <w:t xml:space="preserve"> that</w:t>
      </w:r>
      <w:r w:rsidRPr="0051499D" w:rsidR="0054272B">
        <w:rPr>
          <w:color w:val="000000"/>
          <w:sz w:val="22"/>
          <w:szCs w:val="22"/>
        </w:rPr>
        <w:t xml:space="preserve"> are, in part</w:t>
      </w:r>
      <w:r w:rsidRPr="0051499D" w:rsidR="00514FB3">
        <w:rPr>
          <w:color w:val="000000"/>
          <w:sz w:val="22"/>
          <w:szCs w:val="22"/>
        </w:rPr>
        <w:t xml:space="preserve"> or in whole</w:t>
      </w:r>
      <w:r w:rsidRPr="0051499D" w:rsidR="0054272B">
        <w:rPr>
          <w:color w:val="000000"/>
          <w:sz w:val="22"/>
          <w:szCs w:val="22"/>
        </w:rPr>
        <w:t>, protected in the Privacy Act (5 U</w:t>
      </w:r>
      <w:r w:rsidRPr="0051499D" w:rsidR="00177385">
        <w:rPr>
          <w:color w:val="000000"/>
          <w:sz w:val="22"/>
          <w:szCs w:val="22"/>
        </w:rPr>
        <w:t>.</w:t>
      </w:r>
      <w:r w:rsidRPr="0051499D" w:rsidR="0054272B">
        <w:rPr>
          <w:color w:val="000000"/>
          <w:sz w:val="22"/>
          <w:szCs w:val="22"/>
        </w:rPr>
        <w:t>S</w:t>
      </w:r>
      <w:r w:rsidRPr="0051499D" w:rsidR="00177385">
        <w:rPr>
          <w:color w:val="000000"/>
          <w:sz w:val="22"/>
          <w:szCs w:val="22"/>
        </w:rPr>
        <w:t>.</w:t>
      </w:r>
      <w:r w:rsidRPr="0051499D" w:rsidR="0054272B">
        <w:rPr>
          <w:color w:val="000000"/>
          <w:sz w:val="22"/>
          <w:szCs w:val="22"/>
        </w:rPr>
        <w:t>C</w:t>
      </w:r>
      <w:r w:rsidRPr="0051499D" w:rsidR="00177385">
        <w:rPr>
          <w:color w:val="000000"/>
          <w:sz w:val="22"/>
          <w:szCs w:val="22"/>
        </w:rPr>
        <w:t>.</w:t>
      </w:r>
      <w:r w:rsidRPr="0051499D" w:rsidR="0054272B">
        <w:rPr>
          <w:color w:val="000000"/>
          <w:sz w:val="22"/>
          <w:szCs w:val="22"/>
        </w:rPr>
        <w:t xml:space="preserve"> 522a) System of Records </w:t>
      </w:r>
      <w:r w:rsidRPr="00333CD4" w:rsidR="00333CD4">
        <w:rPr>
          <w:i/>
          <w:iCs/>
          <w:color w:val="000000"/>
          <w:sz w:val="22"/>
          <w:szCs w:val="22"/>
        </w:rPr>
        <w:t>Tribal Enrollment Reporting and Payment System, Interior/BIA–7</w:t>
      </w:r>
      <w:r w:rsidRPr="0051499D" w:rsidR="0054272B">
        <w:rPr>
          <w:color w:val="000000"/>
          <w:sz w:val="22"/>
          <w:szCs w:val="22"/>
        </w:rPr>
        <w:t xml:space="preserve">.  Other genealogical materials whose release would constitute an unwarranted invasion of privacy are withheld under Exemption 6 of the Freedom of Information Act unless a requestor can clearly establish a public interest in access to these records which outweighs the degree of invasion of privacy involved.  </w:t>
      </w:r>
      <w:r w:rsidRPr="0051499D" w:rsidR="00514FB3">
        <w:rPr>
          <w:color w:val="000000"/>
          <w:sz w:val="22"/>
          <w:szCs w:val="22"/>
        </w:rPr>
        <w:t xml:space="preserve">Withholding </w:t>
      </w:r>
      <w:r w:rsidRPr="0051499D" w:rsidR="00DE7B22">
        <w:rPr>
          <w:color w:val="000000"/>
          <w:sz w:val="22"/>
          <w:szCs w:val="22"/>
        </w:rPr>
        <w:t>genealogical</w:t>
      </w:r>
      <w:r w:rsidRPr="0051499D" w:rsidR="00514FB3">
        <w:rPr>
          <w:color w:val="000000"/>
          <w:sz w:val="22"/>
          <w:szCs w:val="22"/>
        </w:rPr>
        <w:t xml:space="preserve"> materials</w:t>
      </w:r>
      <w:r w:rsidRPr="0051499D" w:rsidR="0054272B">
        <w:rPr>
          <w:color w:val="000000"/>
          <w:sz w:val="22"/>
          <w:szCs w:val="22"/>
        </w:rPr>
        <w:t xml:space="preserve"> is consistent with well-established Departmental policies that tribal rolls and related privacy materials should not be released unless there are legal or other compelling grounds to do so.</w:t>
      </w:r>
    </w:p>
    <w:p w:rsidRPr="0051499D" w:rsidR="00D7712F" w:rsidRDefault="00D7712F" w14:paraId="59CE927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szCs w:val="22"/>
        </w:rPr>
      </w:pPr>
    </w:p>
    <w:p w:rsidRPr="0051499D" w:rsidR="00295103" w:rsidRDefault="00295103" w14:paraId="64D5A66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szCs w:val="22"/>
        </w:rPr>
      </w:pPr>
      <w:r w:rsidRPr="0051499D">
        <w:rPr>
          <w:b/>
          <w:sz w:val="22"/>
          <w:szCs w:val="22"/>
        </w:rPr>
        <w:t>11.</w:t>
      </w:r>
      <w:r w:rsidRPr="0051499D">
        <w:rPr>
          <w:b/>
          <w:sz w:val="22"/>
          <w:szCs w:val="22"/>
        </w:rPr>
        <w:tab/>
        <w:t xml:space="preserve">Provide additional justification for any questions of a sensitive nature, such as sexual behavior </w:t>
      </w:r>
      <w:r w:rsidRPr="0051499D">
        <w:rPr>
          <w:b/>
          <w:sz w:val="22"/>
          <w:szCs w:val="22"/>
        </w:rPr>
        <w:lastRenderedPageBreak/>
        <w:t>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51499D" w:rsidR="00D7712F" w:rsidP="002C2DA0" w:rsidRDefault="00D7712F" w14:paraId="735DF969" w14:textId="77777777">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Pr="0051499D" w:rsidR="0054272B" w:rsidP="0054272B" w:rsidRDefault="0054272B" w14:paraId="7736273A" w14:textId="77777777">
      <w:pPr>
        <w:rPr>
          <w:color w:val="000000"/>
          <w:sz w:val="22"/>
          <w:szCs w:val="22"/>
        </w:rPr>
      </w:pPr>
      <w:r w:rsidRPr="0051499D">
        <w:rPr>
          <w:color w:val="000000"/>
          <w:sz w:val="22"/>
          <w:szCs w:val="22"/>
        </w:rPr>
        <w:t xml:space="preserve">The only materials of a sensitive nature are the genealogical portions </w:t>
      </w:r>
      <w:r w:rsidRPr="0051499D" w:rsidR="00514FB3">
        <w:rPr>
          <w:color w:val="000000"/>
          <w:sz w:val="22"/>
          <w:szCs w:val="22"/>
        </w:rPr>
        <w:t xml:space="preserve">and </w:t>
      </w:r>
      <w:r w:rsidRPr="0051499D">
        <w:rPr>
          <w:color w:val="000000"/>
          <w:sz w:val="22"/>
          <w:szCs w:val="22"/>
        </w:rPr>
        <w:t>membership lists of the petition.  Th</w:t>
      </w:r>
      <w:r w:rsidRPr="0051499D" w:rsidR="00514FB3">
        <w:rPr>
          <w:color w:val="000000"/>
          <w:sz w:val="22"/>
          <w:szCs w:val="22"/>
        </w:rPr>
        <w:t>ese</w:t>
      </w:r>
      <w:r w:rsidRPr="0051499D">
        <w:rPr>
          <w:color w:val="000000"/>
          <w:sz w:val="22"/>
          <w:szCs w:val="22"/>
        </w:rPr>
        <w:t xml:space="preserve"> material</w:t>
      </w:r>
      <w:r w:rsidRPr="0051499D" w:rsidR="00514FB3">
        <w:rPr>
          <w:color w:val="000000"/>
          <w:sz w:val="22"/>
          <w:szCs w:val="22"/>
        </w:rPr>
        <w:t>s are</w:t>
      </w:r>
      <w:r w:rsidRPr="0051499D">
        <w:rPr>
          <w:color w:val="000000"/>
          <w:sz w:val="22"/>
          <w:szCs w:val="22"/>
        </w:rPr>
        <w:t xml:space="preserve"> necessary to establish that the members of the group are of Indian ancestry and that th</w:t>
      </w:r>
      <w:r w:rsidRPr="0051499D" w:rsidR="00514FB3">
        <w:rPr>
          <w:color w:val="000000"/>
          <w:sz w:val="22"/>
          <w:szCs w:val="22"/>
        </w:rPr>
        <w:t>at</w:t>
      </w:r>
      <w:r w:rsidRPr="0051499D">
        <w:rPr>
          <w:color w:val="000000"/>
          <w:sz w:val="22"/>
          <w:szCs w:val="22"/>
        </w:rPr>
        <w:t xml:space="preserve"> ancestry is derived from the historic tribe from which the petitioning group is claiming to have </w:t>
      </w:r>
      <w:r w:rsidRPr="0051499D" w:rsidR="00CA51A7">
        <w:rPr>
          <w:color w:val="000000"/>
          <w:sz w:val="22"/>
          <w:szCs w:val="22"/>
        </w:rPr>
        <w:t>originated</w:t>
      </w:r>
      <w:r w:rsidRPr="0051499D">
        <w:rPr>
          <w:color w:val="000000"/>
          <w:sz w:val="22"/>
          <w:szCs w:val="22"/>
        </w:rPr>
        <w:t>.  Verification of th</w:t>
      </w:r>
      <w:r w:rsidRPr="0051499D" w:rsidR="00514FB3">
        <w:rPr>
          <w:color w:val="000000"/>
          <w:sz w:val="22"/>
          <w:szCs w:val="22"/>
        </w:rPr>
        <w:t>at</w:t>
      </w:r>
      <w:r w:rsidRPr="0051499D">
        <w:rPr>
          <w:color w:val="000000"/>
          <w:sz w:val="22"/>
          <w:szCs w:val="22"/>
        </w:rPr>
        <w:t xml:space="preserve"> ancestry is essential to the basic goal of the acknowledgment criteria to establish that the </w:t>
      </w:r>
      <w:r w:rsidRPr="0051499D" w:rsidR="002F4290">
        <w:rPr>
          <w:color w:val="000000"/>
          <w:sz w:val="22"/>
          <w:szCs w:val="22"/>
        </w:rPr>
        <w:t>petitioner descends from a historical</w:t>
      </w:r>
      <w:r w:rsidRPr="0051499D">
        <w:rPr>
          <w:color w:val="000000"/>
          <w:sz w:val="22"/>
          <w:szCs w:val="22"/>
        </w:rPr>
        <w:t xml:space="preserve"> Indian tribe.  The criteria also require that the list of members be complete </w:t>
      </w:r>
      <w:proofErr w:type="gramStart"/>
      <w:r w:rsidRPr="0051499D">
        <w:rPr>
          <w:color w:val="000000"/>
          <w:sz w:val="22"/>
          <w:szCs w:val="22"/>
        </w:rPr>
        <w:t>in order to</w:t>
      </w:r>
      <w:proofErr w:type="gramEnd"/>
      <w:r w:rsidRPr="0051499D">
        <w:rPr>
          <w:color w:val="000000"/>
          <w:sz w:val="22"/>
          <w:szCs w:val="22"/>
        </w:rPr>
        <w:t xml:space="preserve"> give the Department a clear definition of who is being acknowledged.  The ancestry of the tribe cannot be adequately verified without a complete membership list.  The list of members submitted with the petition normally becomes the group’s base tribal roll if it is acknowledged.  Petitioners are given detailed explanations of the acknowledgment criteria and the rationale for their use.  Members of the group provide the information to the group on a voluntary basis, in the process of applying for membership that would provide them </w:t>
      </w:r>
      <w:r w:rsidRPr="0051499D" w:rsidR="00DC20B7">
        <w:rPr>
          <w:color w:val="000000"/>
          <w:sz w:val="22"/>
          <w:szCs w:val="22"/>
        </w:rPr>
        <w:t xml:space="preserve">with </w:t>
      </w:r>
      <w:r w:rsidRPr="0051499D">
        <w:rPr>
          <w:color w:val="000000"/>
          <w:sz w:val="22"/>
          <w:szCs w:val="22"/>
        </w:rPr>
        <w:t xml:space="preserve">benefits.  </w:t>
      </w:r>
    </w:p>
    <w:p w:rsidRPr="0051499D" w:rsidR="00295103" w:rsidRDefault="00295103" w14:paraId="738BE67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p>
    <w:p w:rsidRPr="0051499D" w:rsidR="00295103" w:rsidRDefault="00295103" w14:paraId="5915299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szCs w:val="22"/>
        </w:rPr>
      </w:pPr>
      <w:r w:rsidRPr="0051499D">
        <w:rPr>
          <w:b/>
          <w:sz w:val="22"/>
          <w:szCs w:val="22"/>
        </w:rPr>
        <w:t>12.</w:t>
      </w:r>
      <w:r w:rsidRPr="0051499D">
        <w:rPr>
          <w:b/>
          <w:sz w:val="22"/>
          <w:szCs w:val="22"/>
        </w:rPr>
        <w:tab/>
        <w:t>Provide estimates of the hour burden of the collection of information.  The statement should:</w:t>
      </w:r>
    </w:p>
    <w:p w:rsidRPr="0051499D" w:rsidR="00295103" w:rsidRDefault="00295103" w14:paraId="1BE94EE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2"/>
          <w:szCs w:val="22"/>
        </w:rPr>
      </w:pPr>
      <w:r w:rsidRPr="0051499D">
        <w:rPr>
          <w:b/>
          <w:sz w:val="22"/>
          <w:szCs w:val="22"/>
        </w:rPr>
        <w:tab/>
        <w:t>*</w:t>
      </w:r>
      <w:r w:rsidRPr="0051499D">
        <w:rPr>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51499D" w:rsidR="00295103" w:rsidRDefault="00295103" w14:paraId="60851E4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2"/>
          <w:szCs w:val="22"/>
        </w:rPr>
      </w:pPr>
      <w:r w:rsidRPr="0051499D">
        <w:rPr>
          <w:b/>
          <w:sz w:val="22"/>
          <w:szCs w:val="22"/>
        </w:rPr>
        <w:tab/>
        <w:t>*</w:t>
      </w:r>
      <w:r w:rsidRPr="0051499D">
        <w:rPr>
          <w:b/>
          <w:sz w:val="22"/>
          <w:szCs w:val="22"/>
        </w:rPr>
        <w:tab/>
        <w:t xml:space="preserve">If this request for approval covers more than one form, provide separate hour burden estimates for each </w:t>
      </w:r>
      <w:proofErr w:type="gramStart"/>
      <w:r w:rsidRPr="0051499D">
        <w:rPr>
          <w:b/>
          <w:sz w:val="22"/>
          <w:szCs w:val="22"/>
        </w:rPr>
        <w:t>form</w:t>
      </w:r>
      <w:proofErr w:type="gramEnd"/>
      <w:r w:rsidRPr="0051499D">
        <w:rPr>
          <w:b/>
          <w:sz w:val="22"/>
          <w:szCs w:val="22"/>
        </w:rPr>
        <w:t xml:space="preserve"> and aggregate the hour burdens.</w:t>
      </w:r>
    </w:p>
    <w:p w:rsidRPr="0051499D" w:rsidR="00295103" w:rsidRDefault="00295103" w14:paraId="6DE8721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2"/>
          <w:szCs w:val="22"/>
        </w:rPr>
      </w:pPr>
      <w:r w:rsidRPr="0051499D">
        <w:rPr>
          <w:b/>
          <w:sz w:val="22"/>
          <w:szCs w:val="22"/>
        </w:rPr>
        <w:tab/>
        <w:t>*</w:t>
      </w:r>
      <w:r w:rsidRPr="0051499D">
        <w:rPr>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Pr="0051499D" w:rsidR="00DE7630">
        <w:rPr>
          <w:b/>
          <w:sz w:val="22"/>
          <w:szCs w:val="22"/>
        </w:rPr>
        <w:t>.</w:t>
      </w:r>
    </w:p>
    <w:p w:rsidRPr="0051499D" w:rsidR="00D7712F" w:rsidP="002C2DA0" w:rsidRDefault="00D7712F" w14:paraId="096EFCA9" w14:textId="77777777">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Pr="0051499D" w:rsidR="0054272B" w:rsidP="0054272B" w:rsidRDefault="0054272B" w14:paraId="01DF9A5E" w14:textId="77777777">
      <w:pPr>
        <w:rPr>
          <w:color w:val="000000"/>
          <w:sz w:val="22"/>
          <w:szCs w:val="22"/>
        </w:rPr>
      </w:pPr>
      <w:r w:rsidRPr="0051499D">
        <w:rPr>
          <w:color w:val="000000"/>
          <w:sz w:val="22"/>
          <w:szCs w:val="22"/>
        </w:rPr>
        <w:t>The burden on petitioning groups is only a one-time occurrence, but it has a perpetual effect on the Federal government and on the respondent</w:t>
      </w:r>
      <w:r w:rsidRPr="0051499D" w:rsidR="00514FB3">
        <w:rPr>
          <w:color w:val="000000"/>
          <w:sz w:val="22"/>
          <w:szCs w:val="22"/>
        </w:rPr>
        <w:t xml:space="preserve"> petitioning group</w:t>
      </w:r>
      <w:r w:rsidRPr="0051499D">
        <w:rPr>
          <w:color w:val="000000"/>
          <w:sz w:val="22"/>
          <w:szCs w:val="22"/>
        </w:rPr>
        <w:t xml:space="preserve">.  Acknowledgment establishes a permanent government-to-government relationship.  The burden hours differ significantly from group to group.  The differences result from differences in </w:t>
      </w:r>
      <w:r w:rsidRPr="0051499D" w:rsidR="00774793">
        <w:rPr>
          <w:color w:val="000000"/>
          <w:sz w:val="22"/>
          <w:szCs w:val="22"/>
        </w:rPr>
        <w:t xml:space="preserve">a number of factors, including but not limited </w:t>
      </w:r>
      <w:proofErr w:type="gramStart"/>
      <w:r w:rsidRPr="0051499D" w:rsidR="00774793">
        <w:rPr>
          <w:color w:val="000000"/>
          <w:sz w:val="22"/>
          <w:szCs w:val="22"/>
        </w:rPr>
        <w:t>to:</w:t>
      </w:r>
      <w:proofErr w:type="gramEnd"/>
      <w:r w:rsidRPr="0051499D" w:rsidR="00774793">
        <w:rPr>
          <w:color w:val="000000"/>
          <w:sz w:val="22"/>
          <w:szCs w:val="22"/>
        </w:rPr>
        <w:t xml:space="preserve">  </w:t>
      </w:r>
      <w:r w:rsidRPr="0051499D">
        <w:rPr>
          <w:i/>
          <w:iCs/>
          <w:color w:val="000000"/>
          <w:sz w:val="22"/>
          <w:szCs w:val="22"/>
        </w:rPr>
        <w:t>the size of the group’s membership, the amount of information that may already have been collected by the group or by scholars for other purposes, the length of the group’s history since first sustained contact</w:t>
      </w:r>
      <w:r w:rsidRPr="0051499D" w:rsidR="00774793">
        <w:rPr>
          <w:i/>
          <w:iCs/>
          <w:color w:val="000000"/>
          <w:sz w:val="22"/>
          <w:szCs w:val="22"/>
        </w:rPr>
        <w:t>,</w:t>
      </w:r>
      <w:r w:rsidRPr="0051499D">
        <w:rPr>
          <w:i/>
          <w:iCs/>
          <w:color w:val="000000"/>
          <w:sz w:val="22"/>
          <w:szCs w:val="22"/>
        </w:rPr>
        <w:t xml:space="preserve"> and the difficulty in locating </w:t>
      </w:r>
      <w:r w:rsidRPr="0051499D" w:rsidR="00CA51A7">
        <w:rPr>
          <w:i/>
          <w:iCs/>
          <w:color w:val="000000"/>
          <w:sz w:val="22"/>
          <w:szCs w:val="22"/>
        </w:rPr>
        <w:t xml:space="preserve">historical </w:t>
      </w:r>
      <w:r w:rsidRPr="0051499D">
        <w:rPr>
          <w:i/>
          <w:iCs/>
          <w:color w:val="000000"/>
          <w:sz w:val="22"/>
          <w:szCs w:val="22"/>
        </w:rPr>
        <w:t>documentation</w:t>
      </w:r>
      <w:r w:rsidRPr="0051499D">
        <w:rPr>
          <w:color w:val="000000"/>
          <w:sz w:val="22"/>
          <w:szCs w:val="22"/>
        </w:rPr>
        <w:t>.</w:t>
      </w:r>
    </w:p>
    <w:p w:rsidRPr="0051499D" w:rsidR="00557B32" w:rsidP="0054272B" w:rsidRDefault="00557B32" w14:paraId="7A31B9BF" w14:textId="77777777">
      <w:pPr>
        <w:rPr>
          <w:color w:val="000000"/>
          <w:sz w:val="22"/>
          <w:szCs w:val="22"/>
        </w:rPr>
      </w:pPr>
    </w:p>
    <w:p w:rsidRPr="0051499D" w:rsidR="0054272B" w:rsidP="0054272B" w:rsidRDefault="0054272B" w14:paraId="60AFDE08" w14:textId="55911675">
      <w:pPr>
        <w:rPr>
          <w:color w:val="000000"/>
          <w:sz w:val="22"/>
          <w:szCs w:val="22"/>
        </w:rPr>
      </w:pPr>
      <w:r w:rsidRPr="0051499D">
        <w:rPr>
          <w:color w:val="000000"/>
          <w:sz w:val="22"/>
          <w:szCs w:val="22"/>
        </w:rPr>
        <w:t xml:space="preserve">The average burden hours </w:t>
      </w:r>
      <w:r w:rsidRPr="0051499D" w:rsidR="002245FA">
        <w:rPr>
          <w:color w:val="000000"/>
          <w:sz w:val="22"/>
          <w:szCs w:val="22"/>
        </w:rPr>
        <w:t xml:space="preserve">for the petitioning group </w:t>
      </w:r>
      <w:r w:rsidRPr="0051499D">
        <w:rPr>
          <w:color w:val="000000"/>
          <w:sz w:val="22"/>
          <w:szCs w:val="22"/>
        </w:rPr>
        <w:t xml:space="preserve">to prepare a petition are </w:t>
      </w:r>
      <w:r w:rsidRPr="0051499D" w:rsidR="005F7C73">
        <w:rPr>
          <w:color w:val="000000"/>
          <w:sz w:val="22"/>
          <w:szCs w:val="22"/>
        </w:rPr>
        <w:t>1,516</w:t>
      </w:r>
      <w:r w:rsidRPr="0051499D">
        <w:rPr>
          <w:color w:val="000000"/>
          <w:sz w:val="22"/>
          <w:szCs w:val="22"/>
        </w:rPr>
        <w:t xml:space="preserve"> hours.</w:t>
      </w:r>
      <w:r w:rsidRPr="0051499D" w:rsidR="002245FA">
        <w:rPr>
          <w:rStyle w:val="FootnoteReference"/>
          <w:color w:val="000000"/>
          <w:sz w:val="22"/>
          <w:szCs w:val="22"/>
        </w:rPr>
        <w:footnoteReference w:id="2"/>
      </w:r>
      <w:r w:rsidRPr="0051499D">
        <w:rPr>
          <w:color w:val="000000"/>
          <w:sz w:val="22"/>
          <w:szCs w:val="22"/>
        </w:rPr>
        <w:t xml:space="preserve">  </w:t>
      </w:r>
      <w:r w:rsidRPr="0051499D" w:rsidR="00774793">
        <w:rPr>
          <w:color w:val="000000"/>
          <w:sz w:val="22"/>
          <w:szCs w:val="22"/>
        </w:rPr>
        <w:t>The Departme</w:t>
      </w:r>
      <w:r w:rsidRPr="0051499D" w:rsidR="00C14FFB">
        <w:rPr>
          <w:color w:val="000000"/>
          <w:sz w:val="22"/>
          <w:szCs w:val="22"/>
        </w:rPr>
        <w:t xml:space="preserve">nt estimates that approximately </w:t>
      </w:r>
      <w:r w:rsidRPr="0051499D" w:rsidR="00191B11">
        <w:rPr>
          <w:color w:val="000000"/>
          <w:sz w:val="22"/>
          <w:szCs w:val="22"/>
        </w:rPr>
        <w:t>one</w:t>
      </w:r>
      <w:r w:rsidRPr="0051499D" w:rsidR="00C14FFB">
        <w:rPr>
          <w:color w:val="000000"/>
          <w:sz w:val="22"/>
          <w:szCs w:val="22"/>
        </w:rPr>
        <w:t xml:space="preserve"> petitioner </w:t>
      </w:r>
      <w:r w:rsidRPr="0051499D" w:rsidR="00191B11">
        <w:rPr>
          <w:color w:val="000000"/>
          <w:sz w:val="22"/>
          <w:szCs w:val="22"/>
        </w:rPr>
        <w:t>is</w:t>
      </w:r>
      <w:r w:rsidRPr="0051499D" w:rsidR="00774793">
        <w:rPr>
          <w:color w:val="000000"/>
          <w:sz w:val="22"/>
          <w:szCs w:val="22"/>
        </w:rPr>
        <w:t xml:space="preserve"> actively working on preparation of a petition</w:t>
      </w:r>
      <w:r w:rsidRPr="0051499D" w:rsidR="00191B11">
        <w:rPr>
          <w:color w:val="000000"/>
          <w:sz w:val="22"/>
          <w:szCs w:val="22"/>
        </w:rPr>
        <w:t>,</w:t>
      </w:r>
      <w:r w:rsidRPr="0051499D" w:rsidR="00774793">
        <w:rPr>
          <w:color w:val="000000"/>
          <w:sz w:val="22"/>
          <w:szCs w:val="22"/>
        </w:rPr>
        <w:t xml:space="preserve"> </w:t>
      </w:r>
      <w:r w:rsidRPr="0051499D" w:rsidR="00191B11">
        <w:rPr>
          <w:color w:val="000000"/>
          <w:sz w:val="22"/>
          <w:szCs w:val="22"/>
        </w:rPr>
        <w:t>totaling</w:t>
      </w:r>
      <w:r w:rsidRPr="0051499D">
        <w:rPr>
          <w:color w:val="000000"/>
          <w:sz w:val="22"/>
          <w:szCs w:val="22"/>
        </w:rPr>
        <w:t xml:space="preserve"> </w:t>
      </w:r>
      <w:r w:rsidRPr="0051499D" w:rsidR="005F7C73">
        <w:rPr>
          <w:b/>
          <w:color w:val="000000"/>
          <w:sz w:val="22"/>
          <w:szCs w:val="22"/>
        </w:rPr>
        <w:t>1,516</w:t>
      </w:r>
      <w:r w:rsidRPr="0051499D">
        <w:rPr>
          <w:b/>
          <w:sz w:val="22"/>
          <w:szCs w:val="22"/>
        </w:rPr>
        <w:t xml:space="preserve"> hours</w:t>
      </w:r>
      <w:r w:rsidRPr="0051499D">
        <w:rPr>
          <w:color w:val="000000"/>
          <w:sz w:val="22"/>
          <w:szCs w:val="22"/>
        </w:rPr>
        <w:t xml:space="preserve"> per year</w:t>
      </w:r>
      <w:r w:rsidRPr="0051499D" w:rsidR="00557B32">
        <w:rPr>
          <w:color w:val="000000"/>
          <w:sz w:val="22"/>
          <w:szCs w:val="22"/>
        </w:rPr>
        <w:t xml:space="preserve"> or the amount equivalent to </w:t>
      </w:r>
      <w:r w:rsidRPr="0051499D" w:rsidR="00946A09">
        <w:rPr>
          <w:b/>
          <w:color w:val="000000"/>
          <w:sz w:val="22"/>
          <w:szCs w:val="22"/>
        </w:rPr>
        <w:t>$</w:t>
      </w:r>
      <w:r w:rsidRPr="0051499D" w:rsidR="001E723D">
        <w:rPr>
          <w:b/>
          <w:color w:val="000000"/>
          <w:sz w:val="22"/>
          <w:szCs w:val="22"/>
        </w:rPr>
        <w:t>58,988</w:t>
      </w:r>
      <w:r w:rsidR="00C17E6F">
        <w:rPr>
          <w:b/>
          <w:color w:val="000000"/>
          <w:sz w:val="22"/>
          <w:szCs w:val="22"/>
        </w:rPr>
        <w:t xml:space="preserve"> </w:t>
      </w:r>
      <w:r w:rsidRPr="0051499D" w:rsidR="00774793">
        <w:rPr>
          <w:color w:val="000000"/>
          <w:sz w:val="22"/>
          <w:szCs w:val="22"/>
        </w:rPr>
        <w:t xml:space="preserve">in burden hour cost </w:t>
      </w:r>
      <w:r w:rsidRPr="0051499D" w:rsidR="00557B32">
        <w:rPr>
          <w:color w:val="000000"/>
          <w:sz w:val="22"/>
          <w:szCs w:val="22"/>
        </w:rPr>
        <w:t>per year</w:t>
      </w:r>
      <w:r w:rsidRPr="0051499D">
        <w:rPr>
          <w:color w:val="000000"/>
          <w:sz w:val="22"/>
          <w:szCs w:val="22"/>
        </w:rPr>
        <w:t>.  These annual burden hours are broken down as follows:</w:t>
      </w:r>
    </w:p>
    <w:p w:rsidRPr="0051499D" w:rsidR="0054272B" w:rsidP="0054272B" w:rsidRDefault="0054272B" w14:paraId="55E5BD3C" w14:textId="77777777">
      <w:pPr>
        <w:rPr>
          <w:color w:val="000000"/>
          <w:sz w:val="22"/>
          <w:szCs w:val="22"/>
        </w:rPr>
      </w:pPr>
    </w:p>
    <w:tbl>
      <w:tblPr>
        <w:tblW w:w="93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498"/>
        <w:gridCol w:w="2609"/>
        <w:gridCol w:w="1610"/>
        <w:gridCol w:w="1195"/>
        <w:gridCol w:w="1133"/>
        <w:gridCol w:w="1265"/>
      </w:tblGrid>
      <w:tr w:rsidRPr="001E723D" w:rsidR="00C57248" w:rsidTr="001E723D" w14:paraId="3712D606" w14:textId="77777777">
        <w:tc>
          <w:tcPr>
            <w:tcW w:w="1498" w:type="dxa"/>
          </w:tcPr>
          <w:p w:rsidRPr="0051499D" w:rsidR="000B5F98" w:rsidP="000B5F98" w:rsidRDefault="000B5F98" w14:paraId="699988F3" w14:textId="35C7F885">
            <w:pPr>
              <w:rPr>
                <w:b/>
                <w:color w:val="000000"/>
                <w:sz w:val="22"/>
                <w:szCs w:val="22"/>
              </w:rPr>
            </w:pPr>
            <w:r w:rsidRPr="0051499D">
              <w:rPr>
                <w:b/>
                <w:color w:val="000000"/>
                <w:sz w:val="22"/>
                <w:szCs w:val="22"/>
              </w:rPr>
              <w:t>CFR Citation</w:t>
            </w:r>
            <w:r w:rsidRPr="0051499D" w:rsidR="00C14FFB">
              <w:rPr>
                <w:b/>
                <w:color w:val="000000"/>
                <w:sz w:val="22"/>
                <w:szCs w:val="22"/>
              </w:rPr>
              <w:t>s</w:t>
            </w:r>
          </w:p>
        </w:tc>
        <w:tc>
          <w:tcPr>
            <w:tcW w:w="2609" w:type="dxa"/>
          </w:tcPr>
          <w:p w:rsidRPr="0051499D" w:rsidR="000B5F98" w:rsidP="00917918" w:rsidRDefault="000B5F98" w14:paraId="4227D088" w14:textId="77777777">
            <w:pPr>
              <w:rPr>
                <w:b/>
                <w:sz w:val="22"/>
                <w:szCs w:val="22"/>
              </w:rPr>
            </w:pPr>
            <w:r w:rsidRPr="0051499D">
              <w:rPr>
                <w:b/>
                <w:sz w:val="22"/>
                <w:szCs w:val="22"/>
              </w:rPr>
              <w:t>Description of Requirement</w:t>
            </w:r>
          </w:p>
        </w:tc>
        <w:tc>
          <w:tcPr>
            <w:tcW w:w="1610" w:type="dxa"/>
          </w:tcPr>
          <w:p w:rsidRPr="0051499D" w:rsidR="000B5F98" w:rsidP="00917918" w:rsidRDefault="000B5F98" w14:paraId="0C77CDB9" w14:textId="77777777">
            <w:pPr>
              <w:rPr>
                <w:b/>
                <w:sz w:val="22"/>
                <w:szCs w:val="22"/>
              </w:rPr>
            </w:pPr>
            <w:r w:rsidRPr="0051499D">
              <w:rPr>
                <w:b/>
                <w:sz w:val="22"/>
                <w:szCs w:val="22"/>
              </w:rPr>
              <w:t>Respondents</w:t>
            </w:r>
          </w:p>
          <w:p w:rsidRPr="0051499D" w:rsidR="000B5F98" w:rsidP="00917918" w:rsidRDefault="000B5F98" w14:paraId="6B1BDD4A" w14:textId="77777777">
            <w:pPr>
              <w:rPr>
                <w:b/>
                <w:color w:val="000000"/>
                <w:sz w:val="22"/>
                <w:szCs w:val="22"/>
              </w:rPr>
            </w:pPr>
          </w:p>
        </w:tc>
        <w:tc>
          <w:tcPr>
            <w:tcW w:w="1195" w:type="dxa"/>
          </w:tcPr>
          <w:p w:rsidRPr="0051499D" w:rsidR="000B5F98" w:rsidP="00917918" w:rsidRDefault="000B5F98" w14:paraId="27054ABB" w14:textId="77777777">
            <w:pPr>
              <w:rPr>
                <w:b/>
                <w:sz w:val="22"/>
                <w:szCs w:val="22"/>
              </w:rPr>
            </w:pPr>
            <w:r w:rsidRPr="0051499D">
              <w:rPr>
                <w:b/>
                <w:sz w:val="22"/>
                <w:szCs w:val="22"/>
              </w:rPr>
              <w:t>Burden hours per response</w:t>
            </w:r>
          </w:p>
        </w:tc>
        <w:tc>
          <w:tcPr>
            <w:tcW w:w="1133" w:type="dxa"/>
          </w:tcPr>
          <w:p w:rsidRPr="0051499D" w:rsidR="000B5F98" w:rsidP="00917918" w:rsidRDefault="000B5F98" w14:paraId="1110C2AD" w14:textId="77777777">
            <w:pPr>
              <w:rPr>
                <w:b/>
                <w:sz w:val="22"/>
                <w:szCs w:val="22"/>
              </w:rPr>
            </w:pPr>
            <w:r w:rsidRPr="0051499D">
              <w:rPr>
                <w:b/>
                <w:sz w:val="22"/>
                <w:szCs w:val="22"/>
              </w:rPr>
              <w:t>Annual burden hours</w:t>
            </w:r>
          </w:p>
        </w:tc>
        <w:tc>
          <w:tcPr>
            <w:tcW w:w="1265" w:type="dxa"/>
          </w:tcPr>
          <w:p w:rsidRPr="0051499D" w:rsidR="000B5F98" w:rsidP="000B5F98" w:rsidRDefault="000B5F98" w14:paraId="4B09190D" w14:textId="2351DF76">
            <w:pPr>
              <w:rPr>
                <w:b/>
                <w:sz w:val="22"/>
                <w:szCs w:val="22"/>
              </w:rPr>
            </w:pPr>
            <w:r w:rsidRPr="0051499D">
              <w:rPr>
                <w:b/>
                <w:sz w:val="22"/>
                <w:szCs w:val="22"/>
              </w:rPr>
              <w:t>Salary cost</w:t>
            </w:r>
            <w:r w:rsidRPr="0051499D" w:rsidR="00177385">
              <w:rPr>
                <w:b/>
                <w:sz w:val="22"/>
                <w:szCs w:val="22"/>
              </w:rPr>
              <w:t>*</w:t>
            </w:r>
            <w:r w:rsidRPr="0051499D">
              <w:rPr>
                <w:b/>
                <w:sz w:val="22"/>
                <w:szCs w:val="22"/>
              </w:rPr>
              <w:t xml:space="preserve"> </w:t>
            </w:r>
          </w:p>
        </w:tc>
      </w:tr>
      <w:tr w:rsidRPr="001E723D" w:rsidR="001E723D" w:rsidTr="00F67300" w14:paraId="3269E31F" w14:textId="77777777">
        <w:trPr>
          <w:trHeight w:val="818"/>
        </w:trPr>
        <w:tc>
          <w:tcPr>
            <w:tcW w:w="1498" w:type="dxa"/>
            <w:shd w:val="clear" w:color="auto" w:fill="F2F2F2" w:themeFill="background1" w:themeFillShade="F2"/>
          </w:tcPr>
          <w:p w:rsidRPr="0051499D" w:rsidR="001E723D" w:rsidP="001E723D" w:rsidRDefault="001E723D" w14:paraId="68A976E6" w14:textId="511CCB81">
            <w:pPr>
              <w:rPr>
                <w:color w:val="000000"/>
                <w:sz w:val="22"/>
                <w:szCs w:val="22"/>
              </w:rPr>
            </w:pPr>
            <w:r w:rsidRPr="0051499D">
              <w:rPr>
                <w:sz w:val="22"/>
                <w:szCs w:val="22"/>
              </w:rPr>
              <w:t xml:space="preserve">83.11(a)-(d), (f) </w:t>
            </w:r>
          </w:p>
          <w:p w:rsidRPr="0051499D" w:rsidR="001E723D" w:rsidP="001E723D" w:rsidRDefault="001E723D" w14:paraId="484343C6" w14:textId="632A6DF8">
            <w:pPr>
              <w:rPr>
                <w:color w:val="000000"/>
                <w:sz w:val="22"/>
                <w:szCs w:val="22"/>
              </w:rPr>
            </w:pPr>
          </w:p>
        </w:tc>
        <w:tc>
          <w:tcPr>
            <w:tcW w:w="2609" w:type="dxa"/>
            <w:shd w:val="clear" w:color="auto" w:fill="F2F2F2" w:themeFill="background1" w:themeFillShade="F2"/>
          </w:tcPr>
          <w:p w:rsidRPr="0051499D" w:rsidR="001E723D" w:rsidP="001E723D" w:rsidRDefault="001E723D" w14:paraId="578BE42F" w14:textId="05FB4061">
            <w:pPr>
              <w:rPr>
                <w:color w:val="000000"/>
                <w:sz w:val="22"/>
                <w:szCs w:val="22"/>
              </w:rPr>
            </w:pPr>
            <w:r w:rsidRPr="0051499D">
              <w:rPr>
                <w:sz w:val="22"/>
                <w:szCs w:val="22"/>
              </w:rPr>
              <w:t>Conduct the anthropological and historical research relating to the criteria (a)-(d) and (f); Conduct the genealogical work to demonstrate tribal descent for criterion (e)</w:t>
            </w:r>
          </w:p>
        </w:tc>
        <w:tc>
          <w:tcPr>
            <w:tcW w:w="1610" w:type="dxa"/>
            <w:shd w:val="clear" w:color="auto" w:fill="F2F2F2" w:themeFill="background1" w:themeFillShade="F2"/>
            <w:vAlign w:val="center"/>
          </w:tcPr>
          <w:p w:rsidRPr="0051499D" w:rsidR="001E723D" w:rsidP="001E723D" w:rsidRDefault="001E723D" w14:paraId="2CBDD670" w14:textId="579ABCAC">
            <w:pPr>
              <w:jc w:val="center"/>
              <w:rPr>
                <w:color w:val="000000"/>
                <w:sz w:val="22"/>
                <w:szCs w:val="22"/>
              </w:rPr>
            </w:pPr>
            <w:r w:rsidRPr="0051499D">
              <w:rPr>
                <w:color w:val="000000"/>
                <w:sz w:val="22"/>
                <w:szCs w:val="22"/>
              </w:rPr>
              <w:t>1</w:t>
            </w:r>
          </w:p>
        </w:tc>
        <w:tc>
          <w:tcPr>
            <w:tcW w:w="1195" w:type="dxa"/>
            <w:shd w:val="clear" w:color="auto" w:fill="F2F2F2" w:themeFill="background1" w:themeFillShade="F2"/>
            <w:vAlign w:val="center"/>
          </w:tcPr>
          <w:p w:rsidRPr="0051499D" w:rsidR="001E723D" w:rsidP="001E723D" w:rsidRDefault="001E723D" w14:paraId="09D847BB" w14:textId="77777777">
            <w:pPr>
              <w:jc w:val="center"/>
              <w:rPr>
                <w:color w:val="000000"/>
                <w:sz w:val="22"/>
                <w:szCs w:val="22"/>
              </w:rPr>
            </w:pPr>
            <w:r w:rsidRPr="0051499D">
              <w:rPr>
                <w:sz w:val="22"/>
                <w:szCs w:val="22"/>
              </w:rPr>
              <w:t>1,221</w:t>
            </w:r>
          </w:p>
        </w:tc>
        <w:tc>
          <w:tcPr>
            <w:tcW w:w="1133" w:type="dxa"/>
            <w:shd w:val="clear" w:color="auto" w:fill="F2F2F2" w:themeFill="background1" w:themeFillShade="F2"/>
            <w:vAlign w:val="center"/>
          </w:tcPr>
          <w:p w:rsidRPr="0051499D" w:rsidR="001E723D" w:rsidP="001E723D" w:rsidRDefault="001E723D" w14:paraId="49447785" w14:textId="664509C5">
            <w:pPr>
              <w:jc w:val="center"/>
              <w:rPr>
                <w:color w:val="000000"/>
                <w:sz w:val="22"/>
                <w:szCs w:val="22"/>
              </w:rPr>
            </w:pPr>
            <w:r w:rsidRPr="0051499D">
              <w:rPr>
                <w:sz w:val="22"/>
                <w:szCs w:val="22"/>
              </w:rPr>
              <w:t>1,221</w:t>
            </w:r>
          </w:p>
        </w:tc>
        <w:tc>
          <w:tcPr>
            <w:tcW w:w="1265" w:type="dxa"/>
            <w:shd w:val="clear" w:color="auto" w:fill="F2F2F2" w:themeFill="background1" w:themeFillShade="F2"/>
            <w:vAlign w:val="center"/>
          </w:tcPr>
          <w:p w:rsidRPr="00F67300" w:rsidR="001E723D" w:rsidP="00F67300" w:rsidRDefault="001E723D" w14:paraId="62AA180F" w14:textId="070DCDEA">
            <w:pPr>
              <w:jc w:val="center"/>
              <w:rPr>
                <w:color w:val="000000"/>
                <w:sz w:val="22"/>
                <w:szCs w:val="22"/>
              </w:rPr>
            </w:pPr>
            <w:r w:rsidRPr="00F67300">
              <w:rPr>
                <w:sz w:val="22"/>
                <w:szCs w:val="22"/>
              </w:rPr>
              <w:t>$47,509</w:t>
            </w:r>
          </w:p>
        </w:tc>
      </w:tr>
      <w:tr w:rsidRPr="001E723D" w:rsidR="001E723D" w:rsidTr="00F67300" w14:paraId="6BC6F22C" w14:textId="77777777">
        <w:trPr>
          <w:trHeight w:val="548"/>
        </w:trPr>
        <w:tc>
          <w:tcPr>
            <w:tcW w:w="1498" w:type="dxa"/>
          </w:tcPr>
          <w:p w:rsidRPr="0051499D" w:rsidR="001E723D" w:rsidP="001E723D" w:rsidRDefault="001E723D" w14:paraId="233AF6C7" w14:textId="44B787C8">
            <w:pPr>
              <w:rPr>
                <w:color w:val="000000"/>
                <w:sz w:val="22"/>
                <w:szCs w:val="22"/>
              </w:rPr>
            </w:pPr>
            <w:r w:rsidRPr="0051499D">
              <w:rPr>
                <w:color w:val="000000"/>
                <w:sz w:val="22"/>
                <w:szCs w:val="22"/>
              </w:rPr>
              <w:t>83.11</w:t>
            </w:r>
          </w:p>
        </w:tc>
        <w:tc>
          <w:tcPr>
            <w:tcW w:w="2609" w:type="dxa"/>
          </w:tcPr>
          <w:p w:rsidRPr="0051499D" w:rsidR="001E723D" w:rsidP="001E723D" w:rsidRDefault="001E723D" w14:paraId="2819F3F4" w14:textId="77777777">
            <w:pPr>
              <w:rPr>
                <w:color w:val="000000"/>
                <w:sz w:val="22"/>
                <w:szCs w:val="22"/>
              </w:rPr>
            </w:pPr>
            <w:r w:rsidRPr="0051499D">
              <w:rPr>
                <w:sz w:val="22"/>
                <w:szCs w:val="22"/>
              </w:rPr>
              <w:t>Provide past membership rolls and complete a membership roll of about 333** members (BIA Form 8306)</w:t>
            </w:r>
          </w:p>
        </w:tc>
        <w:tc>
          <w:tcPr>
            <w:tcW w:w="1610" w:type="dxa"/>
            <w:vAlign w:val="center"/>
          </w:tcPr>
          <w:p w:rsidRPr="0051499D" w:rsidR="001E723D" w:rsidP="001E723D" w:rsidRDefault="001E723D" w14:paraId="06B0B24F" w14:textId="3F70F013">
            <w:pPr>
              <w:jc w:val="center"/>
              <w:rPr>
                <w:color w:val="000000"/>
                <w:sz w:val="22"/>
                <w:szCs w:val="22"/>
              </w:rPr>
            </w:pPr>
            <w:r w:rsidRPr="0051499D">
              <w:rPr>
                <w:color w:val="000000"/>
                <w:sz w:val="22"/>
                <w:szCs w:val="22"/>
              </w:rPr>
              <w:t>1</w:t>
            </w:r>
          </w:p>
        </w:tc>
        <w:tc>
          <w:tcPr>
            <w:tcW w:w="1195" w:type="dxa"/>
            <w:vAlign w:val="center"/>
          </w:tcPr>
          <w:p w:rsidRPr="0051499D" w:rsidR="001E723D" w:rsidP="001E723D" w:rsidRDefault="001E723D" w14:paraId="43B52BEF" w14:textId="77777777">
            <w:pPr>
              <w:jc w:val="center"/>
              <w:rPr>
                <w:color w:val="000000"/>
                <w:sz w:val="22"/>
                <w:szCs w:val="22"/>
              </w:rPr>
            </w:pPr>
            <w:r w:rsidRPr="0051499D">
              <w:rPr>
                <w:color w:val="000000"/>
                <w:sz w:val="22"/>
                <w:szCs w:val="22"/>
              </w:rPr>
              <w:t>38</w:t>
            </w:r>
          </w:p>
        </w:tc>
        <w:tc>
          <w:tcPr>
            <w:tcW w:w="1133" w:type="dxa"/>
            <w:vAlign w:val="center"/>
          </w:tcPr>
          <w:p w:rsidRPr="0051499D" w:rsidR="001E723D" w:rsidP="001E723D" w:rsidRDefault="001E723D" w14:paraId="18634240" w14:textId="6AB6D0E8">
            <w:pPr>
              <w:jc w:val="center"/>
              <w:rPr>
                <w:color w:val="000000"/>
                <w:sz w:val="22"/>
                <w:szCs w:val="22"/>
              </w:rPr>
            </w:pPr>
            <w:r w:rsidRPr="0051499D">
              <w:rPr>
                <w:color w:val="000000"/>
                <w:sz w:val="22"/>
                <w:szCs w:val="22"/>
              </w:rPr>
              <w:t>38</w:t>
            </w:r>
          </w:p>
        </w:tc>
        <w:tc>
          <w:tcPr>
            <w:tcW w:w="1265" w:type="dxa"/>
            <w:vAlign w:val="center"/>
          </w:tcPr>
          <w:p w:rsidRPr="00F67300" w:rsidR="001E723D" w:rsidP="00F67300" w:rsidRDefault="001E723D" w14:paraId="32F13D3C" w14:textId="37A13804">
            <w:pPr>
              <w:jc w:val="center"/>
              <w:rPr>
                <w:color w:val="000000"/>
                <w:sz w:val="22"/>
                <w:szCs w:val="22"/>
              </w:rPr>
            </w:pPr>
            <w:r w:rsidRPr="00F67300">
              <w:rPr>
                <w:sz w:val="22"/>
                <w:szCs w:val="22"/>
              </w:rPr>
              <w:t>$1,479</w:t>
            </w:r>
          </w:p>
        </w:tc>
      </w:tr>
      <w:tr w:rsidRPr="001E723D" w:rsidR="001E723D" w:rsidTr="00F67300" w14:paraId="3172341C" w14:textId="77777777">
        <w:trPr>
          <w:trHeight w:val="773"/>
        </w:trPr>
        <w:tc>
          <w:tcPr>
            <w:tcW w:w="1498" w:type="dxa"/>
          </w:tcPr>
          <w:p w:rsidRPr="0051499D" w:rsidR="001E723D" w:rsidP="001E723D" w:rsidRDefault="001E723D" w14:paraId="4A4577D9" w14:textId="0107885F">
            <w:pPr>
              <w:rPr>
                <w:color w:val="000000"/>
                <w:sz w:val="22"/>
                <w:szCs w:val="22"/>
              </w:rPr>
            </w:pPr>
            <w:r w:rsidRPr="0051499D">
              <w:rPr>
                <w:sz w:val="22"/>
                <w:szCs w:val="22"/>
              </w:rPr>
              <w:t>83.11 (e)</w:t>
            </w:r>
          </w:p>
        </w:tc>
        <w:tc>
          <w:tcPr>
            <w:tcW w:w="2609" w:type="dxa"/>
          </w:tcPr>
          <w:p w:rsidRPr="0051499D" w:rsidR="001E723D" w:rsidP="001E723D" w:rsidRDefault="001E723D" w14:paraId="66138F07" w14:textId="77777777">
            <w:pPr>
              <w:rPr>
                <w:sz w:val="22"/>
                <w:szCs w:val="22"/>
              </w:rPr>
            </w:pPr>
            <w:r w:rsidRPr="0051499D">
              <w:rPr>
                <w:sz w:val="22"/>
                <w:szCs w:val="22"/>
              </w:rPr>
              <w:t>Complete Individual History Chart (BIA Form 8304).  On average, it takes 2 minutes per chart X 333** charts.</w:t>
            </w:r>
          </w:p>
          <w:p w:rsidRPr="0051499D" w:rsidR="001E723D" w:rsidP="001E723D" w:rsidRDefault="001E723D" w14:paraId="1762FF86" w14:textId="77777777">
            <w:pPr>
              <w:rPr>
                <w:color w:val="000000"/>
                <w:sz w:val="22"/>
                <w:szCs w:val="22"/>
              </w:rPr>
            </w:pPr>
          </w:p>
        </w:tc>
        <w:tc>
          <w:tcPr>
            <w:tcW w:w="1610" w:type="dxa"/>
            <w:vAlign w:val="center"/>
          </w:tcPr>
          <w:p w:rsidRPr="0051499D" w:rsidR="001E723D" w:rsidP="001E723D" w:rsidRDefault="001E723D" w14:paraId="4BF17472" w14:textId="02D6344B">
            <w:pPr>
              <w:jc w:val="center"/>
              <w:rPr>
                <w:color w:val="000000"/>
                <w:sz w:val="22"/>
                <w:szCs w:val="22"/>
              </w:rPr>
            </w:pPr>
            <w:r w:rsidRPr="0051499D">
              <w:rPr>
                <w:color w:val="000000"/>
                <w:sz w:val="22"/>
                <w:szCs w:val="22"/>
              </w:rPr>
              <w:t>1</w:t>
            </w:r>
          </w:p>
        </w:tc>
        <w:tc>
          <w:tcPr>
            <w:tcW w:w="1195" w:type="dxa"/>
            <w:vAlign w:val="center"/>
          </w:tcPr>
          <w:p w:rsidRPr="0051499D" w:rsidR="001E723D" w:rsidP="001E723D" w:rsidRDefault="001E723D" w14:paraId="090D1F2C" w14:textId="77777777">
            <w:pPr>
              <w:jc w:val="center"/>
              <w:rPr>
                <w:color w:val="000000"/>
                <w:sz w:val="22"/>
                <w:szCs w:val="22"/>
              </w:rPr>
            </w:pPr>
            <w:r w:rsidRPr="0051499D">
              <w:rPr>
                <w:color w:val="000000"/>
                <w:sz w:val="22"/>
                <w:szCs w:val="22"/>
              </w:rPr>
              <w:t>11</w:t>
            </w:r>
          </w:p>
        </w:tc>
        <w:tc>
          <w:tcPr>
            <w:tcW w:w="1133" w:type="dxa"/>
            <w:vAlign w:val="center"/>
          </w:tcPr>
          <w:p w:rsidRPr="0051499D" w:rsidR="001E723D" w:rsidP="001E723D" w:rsidRDefault="001E723D" w14:paraId="577181B9" w14:textId="6EA0D253">
            <w:pPr>
              <w:jc w:val="center"/>
              <w:rPr>
                <w:color w:val="000000"/>
                <w:sz w:val="22"/>
                <w:szCs w:val="22"/>
              </w:rPr>
            </w:pPr>
            <w:r w:rsidRPr="0051499D">
              <w:rPr>
                <w:color w:val="000000"/>
                <w:sz w:val="22"/>
                <w:szCs w:val="22"/>
              </w:rPr>
              <w:t>11</w:t>
            </w:r>
          </w:p>
        </w:tc>
        <w:tc>
          <w:tcPr>
            <w:tcW w:w="1265" w:type="dxa"/>
            <w:vAlign w:val="center"/>
          </w:tcPr>
          <w:p w:rsidRPr="00F67300" w:rsidR="001E723D" w:rsidP="00F67300" w:rsidRDefault="001E723D" w14:paraId="388A6C86" w14:textId="3EEEB929">
            <w:pPr>
              <w:jc w:val="center"/>
              <w:rPr>
                <w:color w:val="000000"/>
                <w:sz w:val="22"/>
                <w:szCs w:val="22"/>
              </w:rPr>
            </w:pPr>
            <w:r w:rsidRPr="00F67300">
              <w:rPr>
                <w:sz w:val="22"/>
                <w:szCs w:val="22"/>
              </w:rPr>
              <w:t>$428</w:t>
            </w:r>
          </w:p>
        </w:tc>
      </w:tr>
      <w:tr w:rsidRPr="001E723D" w:rsidR="001E723D" w:rsidTr="00F67300" w14:paraId="2909955E" w14:textId="77777777">
        <w:trPr>
          <w:trHeight w:val="800"/>
        </w:trPr>
        <w:tc>
          <w:tcPr>
            <w:tcW w:w="1498" w:type="dxa"/>
          </w:tcPr>
          <w:p w:rsidRPr="0051499D" w:rsidR="001E723D" w:rsidP="001E723D" w:rsidRDefault="001E723D" w14:paraId="0545F170" w14:textId="4DEAB580">
            <w:pPr>
              <w:rPr>
                <w:color w:val="000000"/>
                <w:sz w:val="22"/>
                <w:szCs w:val="22"/>
              </w:rPr>
            </w:pPr>
            <w:r w:rsidRPr="0051499D">
              <w:rPr>
                <w:sz w:val="22"/>
                <w:szCs w:val="22"/>
              </w:rPr>
              <w:t>83.11 (e)</w:t>
            </w:r>
          </w:p>
        </w:tc>
        <w:tc>
          <w:tcPr>
            <w:tcW w:w="2609" w:type="dxa"/>
          </w:tcPr>
          <w:p w:rsidRPr="0051499D" w:rsidR="001E723D" w:rsidP="001E723D" w:rsidRDefault="001E723D" w14:paraId="674C124D" w14:textId="6F552F6C">
            <w:pPr>
              <w:rPr>
                <w:color w:val="000000"/>
                <w:sz w:val="22"/>
                <w:szCs w:val="22"/>
              </w:rPr>
            </w:pPr>
            <w:r w:rsidRPr="0051499D">
              <w:rPr>
                <w:sz w:val="22"/>
                <w:szCs w:val="22"/>
              </w:rPr>
              <w:t>Complete the Ancestry Chart (BIA Form 8305).  On average, it takes about 30 minutes per chart X 333** charts.</w:t>
            </w:r>
          </w:p>
        </w:tc>
        <w:tc>
          <w:tcPr>
            <w:tcW w:w="1610" w:type="dxa"/>
            <w:vAlign w:val="center"/>
          </w:tcPr>
          <w:p w:rsidRPr="0051499D" w:rsidR="001E723D" w:rsidP="001E723D" w:rsidRDefault="001E723D" w14:paraId="6C671226" w14:textId="7CD434FD">
            <w:pPr>
              <w:jc w:val="center"/>
              <w:rPr>
                <w:color w:val="000000"/>
                <w:sz w:val="22"/>
                <w:szCs w:val="22"/>
              </w:rPr>
            </w:pPr>
            <w:r w:rsidRPr="0051499D">
              <w:rPr>
                <w:color w:val="000000"/>
                <w:sz w:val="22"/>
                <w:szCs w:val="22"/>
              </w:rPr>
              <w:t>1</w:t>
            </w:r>
          </w:p>
        </w:tc>
        <w:tc>
          <w:tcPr>
            <w:tcW w:w="1195" w:type="dxa"/>
            <w:vAlign w:val="center"/>
          </w:tcPr>
          <w:p w:rsidRPr="0051499D" w:rsidR="001E723D" w:rsidP="001E723D" w:rsidRDefault="001E723D" w14:paraId="49303783" w14:textId="77777777">
            <w:pPr>
              <w:jc w:val="center"/>
              <w:rPr>
                <w:color w:val="000000"/>
                <w:sz w:val="22"/>
                <w:szCs w:val="22"/>
              </w:rPr>
            </w:pPr>
            <w:r w:rsidRPr="0051499D">
              <w:rPr>
                <w:color w:val="000000"/>
                <w:sz w:val="22"/>
                <w:szCs w:val="22"/>
              </w:rPr>
              <w:t>166</w:t>
            </w:r>
          </w:p>
        </w:tc>
        <w:tc>
          <w:tcPr>
            <w:tcW w:w="1133" w:type="dxa"/>
            <w:vAlign w:val="center"/>
          </w:tcPr>
          <w:p w:rsidRPr="0051499D" w:rsidR="001E723D" w:rsidP="001E723D" w:rsidRDefault="001E723D" w14:paraId="59CE723B" w14:textId="7401D06F">
            <w:pPr>
              <w:jc w:val="center"/>
              <w:rPr>
                <w:color w:val="000000"/>
                <w:sz w:val="22"/>
                <w:szCs w:val="22"/>
              </w:rPr>
            </w:pPr>
            <w:r w:rsidRPr="0051499D">
              <w:rPr>
                <w:color w:val="000000"/>
                <w:sz w:val="22"/>
                <w:szCs w:val="22"/>
              </w:rPr>
              <w:t>166</w:t>
            </w:r>
          </w:p>
        </w:tc>
        <w:tc>
          <w:tcPr>
            <w:tcW w:w="1265" w:type="dxa"/>
            <w:vAlign w:val="center"/>
          </w:tcPr>
          <w:p w:rsidRPr="00F67300" w:rsidR="001E723D" w:rsidP="00F67300" w:rsidRDefault="001E723D" w14:paraId="600132E0" w14:textId="67422D36">
            <w:pPr>
              <w:jc w:val="center"/>
              <w:rPr>
                <w:color w:val="000000"/>
                <w:sz w:val="22"/>
                <w:szCs w:val="22"/>
              </w:rPr>
            </w:pPr>
            <w:r w:rsidRPr="00F67300">
              <w:rPr>
                <w:sz w:val="22"/>
                <w:szCs w:val="22"/>
              </w:rPr>
              <w:t>$6,459</w:t>
            </w:r>
          </w:p>
        </w:tc>
      </w:tr>
      <w:tr w:rsidRPr="001E723D" w:rsidR="001E723D" w:rsidTr="00F67300" w14:paraId="34087501" w14:textId="77777777">
        <w:trPr>
          <w:trHeight w:val="800"/>
        </w:trPr>
        <w:tc>
          <w:tcPr>
            <w:tcW w:w="1498" w:type="dxa"/>
          </w:tcPr>
          <w:p w:rsidRPr="0051499D" w:rsidR="001E723D" w:rsidP="001E723D" w:rsidRDefault="001E723D" w14:paraId="6FB3F064" w14:textId="08123E50">
            <w:pPr>
              <w:rPr>
                <w:sz w:val="22"/>
                <w:szCs w:val="22"/>
              </w:rPr>
            </w:pPr>
            <w:r w:rsidRPr="0051499D">
              <w:rPr>
                <w:sz w:val="22"/>
                <w:szCs w:val="22"/>
              </w:rPr>
              <w:t>83.11</w:t>
            </w:r>
          </w:p>
        </w:tc>
        <w:tc>
          <w:tcPr>
            <w:tcW w:w="2609" w:type="dxa"/>
          </w:tcPr>
          <w:p w:rsidRPr="0051499D" w:rsidR="001E723D" w:rsidP="001E723D" w:rsidRDefault="001E723D" w14:paraId="651A23D6" w14:textId="03F1541C">
            <w:pPr>
              <w:rPr>
                <w:sz w:val="22"/>
                <w:szCs w:val="22"/>
              </w:rPr>
            </w:pPr>
            <w:r w:rsidRPr="0051499D">
              <w:rPr>
                <w:sz w:val="22"/>
                <w:szCs w:val="22"/>
              </w:rPr>
              <w:t xml:space="preserve">Technical assistance </w:t>
            </w:r>
          </w:p>
        </w:tc>
        <w:tc>
          <w:tcPr>
            <w:tcW w:w="1610" w:type="dxa"/>
            <w:vAlign w:val="center"/>
          </w:tcPr>
          <w:p w:rsidRPr="0051499D" w:rsidR="001E723D" w:rsidP="001E723D" w:rsidRDefault="001E723D" w14:paraId="36DDBE28" w14:textId="5C345E42">
            <w:pPr>
              <w:jc w:val="center"/>
              <w:rPr>
                <w:color w:val="000000"/>
                <w:sz w:val="22"/>
                <w:szCs w:val="22"/>
              </w:rPr>
            </w:pPr>
            <w:r w:rsidRPr="0051499D">
              <w:rPr>
                <w:color w:val="000000"/>
                <w:sz w:val="22"/>
                <w:szCs w:val="22"/>
              </w:rPr>
              <w:t>1</w:t>
            </w:r>
          </w:p>
        </w:tc>
        <w:tc>
          <w:tcPr>
            <w:tcW w:w="1195" w:type="dxa"/>
            <w:tcBorders>
              <w:bottom w:val="single" w:color="000000" w:sz="4" w:space="0"/>
            </w:tcBorders>
            <w:vAlign w:val="center"/>
          </w:tcPr>
          <w:p w:rsidRPr="0051499D" w:rsidR="001E723D" w:rsidP="001E723D" w:rsidRDefault="001E723D" w14:paraId="73D4D035" w14:textId="6010EAA2">
            <w:pPr>
              <w:jc w:val="center"/>
              <w:rPr>
                <w:color w:val="000000"/>
                <w:sz w:val="22"/>
                <w:szCs w:val="22"/>
              </w:rPr>
            </w:pPr>
            <w:r w:rsidRPr="0051499D">
              <w:rPr>
                <w:color w:val="000000"/>
                <w:sz w:val="22"/>
                <w:szCs w:val="22"/>
              </w:rPr>
              <w:t>80</w:t>
            </w:r>
          </w:p>
        </w:tc>
        <w:tc>
          <w:tcPr>
            <w:tcW w:w="1133" w:type="dxa"/>
            <w:vAlign w:val="center"/>
          </w:tcPr>
          <w:p w:rsidRPr="0051499D" w:rsidR="001E723D" w:rsidP="001E723D" w:rsidRDefault="001E723D" w14:paraId="46446CA0" w14:textId="04062ED5">
            <w:pPr>
              <w:jc w:val="center"/>
              <w:rPr>
                <w:color w:val="000000"/>
                <w:sz w:val="22"/>
                <w:szCs w:val="22"/>
              </w:rPr>
            </w:pPr>
            <w:r w:rsidRPr="0051499D">
              <w:rPr>
                <w:color w:val="000000"/>
                <w:sz w:val="22"/>
                <w:szCs w:val="22"/>
              </w:rPr>
              <w:t>80</w:t>
            </w:r>
          </w:p>
        </w:tc>
        <w:tc>
          <w:tcPr>
            <w:tcW w:w="1265" w:type="dxa"/>
            <w:vAlign w:val="center"/>
          </w:tcPr>
          <w:p w:rsidRPr="00F67300" w:rsidR="001E723D" w:rsidP="00F67300" w:rsidRDefault="001E723D" w14:paraId="4A081B34" w14:textId="70CD7038">
            <w:pPr>
              <w:jc w:val="center"/>
              <w:rPr>
                <w:color w:val="000000"/>
                <w:sz w:val="22"/>
                <w:szCs w:val="22"/>
              </w:rPr>
            </w:pPr>
            <w:r w:rsidRPr="00F67300">
              <w:rPr>
                <w:sz w:val="22"/>
                <w:szCs w:val="22"/>
              </w:rPr>
              <w:t>$3,113</w:t>
            </w:r>
          </w:p>
        </w:tc>
      </w:tr>
      <w:tr w:rsidRPr="001E723D" w:rsidR="00C57248" w:rsidTr="001E723D" w14:paraId="06E2DC71" w14:textId="77777777">
        <w:trPr>
          <w:trHeight w:val="440"/>
        </w:trPr>
        <w:tc>
          <w:tcPr>
            <w:tcW w:w="1498" w:type="dxa"/>
            <w:vAlign w:val="center"/>
          </w:tcPr>
          <w:p w:rsidRPr="0051499D" w:rsidR="000B5F98" w:rsidP="00917918" w:rsidRDefault="000B5F98" w14:paraId="437D7C68" w14:textId="77777777">
            <w:pPr>
              <w:jc w:val="center"/>
              <w:rPr>
                <w:b/>
                <w:sz w:val="22"/>
                <w:szCs w:val="22"/>
              </w:rPr>
            </w:pPr>
            <w:r w:rsidRPr="0051499D">
              <w:rPr>
                <w:b/>
                <w:sz w:val="22"/>
                <w:szCs w:val="22"/>
              </w:rPr>
              <w:t>Total</w:t>
            </w:r>
          </w:p>
        </w:tc>
        <w:tc>
          <w:tcPr>
            <w:tcW w:w="2609" w:type="dxa"/>
          </w:tcPr>
          <w:p w:rsidRPr="0051499D" w:rsidR="000B5F98" w:rsidP="00917918" w:rsidRDefault="000B5F98" w14:paraId="401A81D7" w14:textId="77777777">
            <w:pPr>
              <w:jc w:val="center"/>
              <w:rPr>
                <w:b/>
                <w:color w:val="000000"/>
                <w:sz w:val="22"/>
                <w:szCs w:val="22"/>
              </w:rPr>
            </w:pPr>
          </w:p>
        </w:tc>
        <w:tc>
          <w:tcPr>
            <w:tcW w:w="1610" w:type="dxa"/>
            <w:vAlign w:val="center"/>
          </w:tcPr>
          <w:p w:rsidRPr="0051499D" w:rsidR="000B5F98" w:rsidP="00191B11" w:rsidRDefault="00191B11" w14:paraId="53F3E9B3" w14:textId="25E07923">
            <w:pPr>
              <w:jc w:val="center"/>
              <w:rPr>
                <w:b/>
                <w:color w:val="000000"/>
                <w:sz w:val="22"/>
                <w:szCs w:val="22"/>
              </w:rPr>
            </w:pPr>
            <w:r w:rsidRPr="0051499D">
              <w:rPr>
                <w:b/>
                <w:color w:val="000000"/>
                <w:sz w:val="22"/>
                <w:szCs w:val="22"/>
              </w:rPr>
              <w:t>1</w:t>
            </w:r>
          </w:p>
        </w:tc>
        <w:tc>
          <w:tcPr>
            <w:tcW w:w="1195" w:type="dxa"/>
            <w:shd w:val="clear" w:color="auto" w:fill="F2F2F2" w:themeFill="background1" w:themeFillShade="F2"/>
            <w:vAlign w:val="center"/>
          </w:tcPr>
          <w:p w:rsidRPr="0051499D" w:rsidR="000B5F98" w:rsidP="00917918" w:rsidRDefault="005F7C73" w14:paraId="4F5954A3" w14:textId="2F93F1FB">
            <w:pPr>
              <w:jc w:val="center"/>
              <w:rPr>
                <w:b/>
                <w:color w:val="000000"/>
                <w:sz w:val="22"/>
                <w:szCs w:val="22"/>
              </w:rPr>
            </w:pPr>
            <w:r w:rsidRPr="0051499D">
              <w:rPr>
                <w:b/>
                <w:color w:val="000000"/>
                <w:sz w:val="22"/>
                <w:szCs w:val="22"/>
              </w:rPr>
              <w:t>1,516</w:t>
            </w:r>
          </w:p>
        </w:tc>
        <w:tc>
          <w:tcPr>
            <w:tcW w:w="1133" w:type="dxa"/>
            <w:vAlign w:val="center"/>
          </w:tcPr>
          <w:p w:rsidRPr="0051499D" w:rsidR="000B5F98" w:rsidP="00191B11" w:rsidRDefault="005F7C73" w14:paraId="3110DE89" w14:textId="59B701D9">
            <w:pPr>
              <w:jc w:val="center"/>
              <w:rPr>
                <w:b/>
                <w:color w:val="000000"/>
                <w:sz w:val="22"/>
                <w:szCs w:val="22"/>
              </w:rPr>
            </w:pPr>
            <w:r w:rsidRPr="0051499D">
              <w:rPr>
                <w:b/>
                <w:color w:val="000000"/>
                <w:sz w:val="22"/>
                <w:szCs w:val="22"/>
              </w:rPr>
              <w:t>1,516</w:t>
            </w:r>
          </w:p>
        </w:tc>
        <w:tc>
          <w:tcPr>
            <w:tcW w:w="1265" w:type="dxa"/>
            <w:vAlign w:val="center"/>
          </w:tcPr>
          <w:p w:rsidRPr="0051499D" w:rsidR="000B5F98" w:rsidP="005F7C73" w:rsidRDefault="000B5F98" w14:paraId="6F360821" w14:textId="67E7DCC7">
            <w:pPr>
              <w:jc w:val="center"/>
              <w:rPr>
                <w:b/>
                <w:color w:val="000000"/>
                <w:sz w:val="22"/>
                <w:szCs w:val="22"/>
              </w:rPr>
            </w:pPr>
            <w:r w:rsidRPr="0051499D">
              <w:rPr>
                <w:b/>
                <w:color w:val="000000"/>
                <w:sz w:val="22"/>
                <w:szCs w:val="22"/>
              </w:rPr>
              <w:t>$</w:t>
            </w:r>
            <w:r w:rsidRPr="0051499D" w:rsidR="001E723D">
              <w:rPr>
                <w:b/>
                <w:color w:val="000000"/>
                <w:sz w:val="22"/>
                <w:szCs w:val="22"/>
              </w:rPr>
              <w:t>58,988</w:t>
            </w:r>
          </w:p>
        </w:tc>
      </w:tr>
    </w:tbl>
    <w:p w:rsidRPr="0051499D" w:rsidR="0054272B" w:rsidP="0054272B" w:rsidRDefault="0054272B" w14:paraId="482F97AB" w14:textId="77777777">
      <w:pPr>
        <w:rPr>
          <w:sz w:val="22"/>
          <w:szCs w:val="22"/>
        </w:rPr>
      </w:pPr>
    </w:p>
    <w:p w:rsidRPr="0051499D" w:rsidR="0054272B" w:rsidP="00717D3F" w:rsidRDefault="0054272B" w14:paraId="64DA52EF" w14:textId="704D2415">
      <w:pPr>
        <w:widowControl/>
        <w:rPr>
          <w:i/>
          <w:sz w:val="22"/>
          <w:szCs w:val="22"/>
        </w:rPr>
      </w:pPr>
      <w:r w:rsidRPr="0051499D">
        <w:rPr>
          <w:sz w:val="22"/>
          <w:szCs w:val="22"/>
        </w:rPr>
        <w:t>*</w:t>
      </w:r>
      <w:r w:rsidRPr="0051499D">
        <w:rPr>
          <w:i/>
          <w:sz w:val="22"/>
          <w:szCs w:val="22"/>
        </w:rPr>
        <w:t xml:space="preserve"> </w:t>
      </w:r>
      <w:r w:rsidRPr="0051499D" w:rsidR="00717D3F">
        <w:rPr>
          <w:sz w:val="22"/>
          <w:szCs w:val="22"/>
        </w:rPr>
        <w:t>To obtain the hourly rate, the BIA used $</w:t>
      </w:r>
      <w:r w:rsidRPr="007970D3" w:rsidR="007970D3">
        <w:rPr>
          <w:sz w:val="22"/>
          <w:szCs w:val="22"/>
        </w:rPr>
        <w:t>38.91</w:t>
      </w:r>
      <w:r w:rsidRPr="0051499D" w:rsidR="00717D3F">
        <w:rPr>
          <w:sz w:val="22"/>
          <w:szCs w:val="22"/>
        </w:rPr>
        <w:t xml:space="preserve">, the wages and salaries figure for civilian workers from BLS Release </w:t>
      </w:r>
      <w:bookmarkStart w:name="_Hlk84448605" w:id="1"/>
      <w:r w:rsidRPr="0051499D" w:rsidR="00BC1497">
        <w:rPr>
          <w:sz w:val="22"/>
          <w:szCs w:val="22"/>
        </w:rPr>
        <w:t>USDL-21-1647</w:t>
      </w:r>
      <w:bookmarkEnd w:id="1"/>
      <w:r w:rsidRPr="0051499D" w:rsidR="00717D3F">
        <w:rPr>
          <w:sz w:val="22"/>
          <w:szCs w:val="22"/>
        </w:rPr>
        <w:t>, Employer Costs for Employee Compensation—</w:t>
      </w:r>
      <w:r w:rsidRPr="0051499D" w:rsidR="00BF494C">
        <w:rPr>
          <w:sz w:val="22"/>
          <w:szCs w:val="22"/>
        </w:rPr>
        <w:t xml:space="preserve">June </w:t>
      </w:r>
      <w:r w:rsidRPr="0051499D" w:rsidR="007970D3">
        <w:rPr>
          <w:sz w:val="22"/>
          <w:szCs w:val="22"/>
        </w:rPr>
        <w:t>20</w:t>
      </w:r>
      <w:r w:rsidR="007970D3">
        <w:rPr>
          <w:sz w:val="22"/>
          <w:szCs w:val="22"/>
        </w:rPr>
        <w:t>21</w:t>
      </w:r>
      <w:r w:rsidRPr="0051499D" w:rsidR="00717D3F">
        <w:rPr>
          <w:sz w:val="22"/>
          <w:szCs w:val="22"/>
        </w:rPr>
        <w:t xml:space="preserve">, Table 1, Employer costs per hour worked for employee compensation and costs as a percent of total compensation: Civilian workers, by major occupational and industry group, at </w:t>
      </w:r>
      <w:hyperlink w:history="1" r:id="rId17">
        <w:r w:rsidRPr="004720F1" w:rsidR="00C17E6F">
          <w:rPr>
            <w:rStyle w:val="Hyperlink"/>
            <w:sz w:val="22"/>
            <w:szCs w:val="22"/>
          </w:rPr>
          <w:t>https://www.bls.gov/news.release/pdf/ecec.pdf</w:t>
        </w:r>
      </w:hyperlink>
      <w:r w:rsidR="00C17E6F">
        <w:rPr>
          <w:sz w:val="22"/>
          <w:szCs w:val="22"/>
        </w:rPr>
        <w:t>.</w:t>
      </w:r>
      <w:r w:rsidRPr="0051499D" w:rsidR="00717D3F">
        <w:rPr>
          <w:sz w:val="22"/>
          <w:szCs w:val="22"/>
        </w:rPr>
        <w:t xml:space="preserve">  This wage includes a multiplier for benefits.  </w:t>
      </w:r>
    </w:p>
    <w:p w:rsidRPr="0051499D" w:rsidR="00717D3F" w:rsidP="000B5F98" w:rsidRDefault="00717D3F" w14:paraId="2C8C8627" w14:textId="77777777">
      <w:pPr>
        <w:widowControl/>
        <w:rPr>
          <w:sz w:val="22"/>
          <w:szCs w:val="22"/>
        </w:rPr>
      </w:pPr>
    </w:p>
    <w:p w:rsidRPr="0051499D" w:rsidR="002245FA" w:rsidP="0054272B" w:rsidRDefault="00717D3F" w14:paraId="26AC9688" w14:textId="38193AB8">
      <w:pPr>
        <w:widowControl/>
        <w:rPr>
          <w:sz w:val="22"/>
          <w:szCs w:val="22"/>
        </w:rPr>
      </w:pPr>
      <w:r w:rsidRPr="0051499D">
        <w:rPr>
          <w:sz w:val="22"/>
          <w:szCs w:val="22"/>
        </w:rPr>
        <w:t xml:space="preserve">** Each </w:t>
      </w:r>
      <w:r w:rsidR="00AC497E">
        <w:rPr>
          <w:sz w:val="22"/>
          <w:szCs w:val="22"/>
        </w:rPr>
        <w:t>T</w:t>
      </w:r>
      <w:r w:rsidRPr="0051499D">
        <w:rPr>
          <w:sz w:val="22"/>
          <w:szCs w:val="22"/>
        </w:rPr>
        <w:t>ribe that submits a petition has an average of 333 members.</w:t>
      </w:r>
    </w:p>
    <w:p w:rsidRPr="0051499D" w:rsidR="00717D3F" w:rsidP="0054272B" w:rsidRDefault="00717D3F" w14:paraId="38D12AD9" w14:textId="77777777">
      <w:pPr>
        <w:widowControl/>
        <w:rPr>
          <w:sz w:val="22"/>
          <w:szCs w:val="22"/>
        </w:rPr>
      </w:pPr>
    </w:p>
    <w:p w:rsidRPr="0051499D" w:rsidR="0001779A" w:rsidP="002C2DA0" w:rsidRDefault="0001779A" w14:paraId="16869EEF" w14:textId="77777777">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Pr="0051499D" w:rsidR="00295103" w:rsidRDefault="00295103" w14:paraId="458BEE9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szCs w:val="22"/>
        </w:rPr>
      </w:pPr>
      <w:r w:rsidRPr="0051499D">
        <w:rPr>
          <w:b/>
          <w:sz w:val="22"/>
          <w:szCs w:val="22"/>
        </w:rPr>
        <w:t>13.</w:t>
      </w:r>
      <w:r w:rsidRPr="0051499D">
        <w:rPr>
          <w:b/>
          <w:sz w:val="22"/>
          <w:szCs w:val="22"/>
        </w:rPr>
        <w:tab/>
        <w:t xml:space="preserve">Provide an estimate of the total annual </w:t>
      </w:r>
      <w:r w:rsidRPr="0051499D" w:rsidR="00DE1FFE">
        <w:rPr>
          <w:b/>
          <w:sz w:val="22"/>
          <w:szCs w:val="22"/>
        </w:rPr>
        <w:t>non-hour</w:t>
      </w:r>
      <w:r w:rsidRPr="0051499D">
        <w:rPr>
          <w:b/>
          <w:sz w:val="22"/>
          <w:szCs w:val="22"/>
        </w:rPr>
        <w:t xml:space="preserve"> cost burden to respondents or recordkeepers resulting from the collection of information.  (Do not include the cost of any hour burden </w:t>
      </w:r>
      <w:r w:rsidRPr="0051499D" w:rsidR="004A6DFA">
        <w:rPr>
          <w:b/>
          <w:sz w:val="22"/>
          <w:szCs w:val="22"/>
        </w:rPr>
        <w:t xml:space="preserve">already reflected </w:t>
      </w:r>
      <w:r w:rsidRPr="0051499D" w:rsidR="00F73931">
        <w:rPr>
          <w:b/>
          <w:sz w:val="22"/>
          <w:szCs w:val="22"/>
        </w:rPr>
        <w:t>in item 12</w:t>
      </w:r>
      <w:r w:rsidRPr="0051499D" w:rsidR="004A6DFA">
        <w:rPr>
          <w:b/>
          <w:sz w:val="22"/>
          <w:szCs w:val="22"/>
        </w:rPr>
        <w:t>.)</w:t>
      </w:r>
    </w:p>
    <w:p w:rsidRPr="0051499D" w:rsidR="00295103" w:rsidRDefault="00295103" w14:paraId="244C364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2"/>
          <w:szCs w:val="22"/>
        </w:rPr>
      </w:pPr>
      <w:r w:rsidRPr="0051499D">
        <w:rPr>
          <w:b/>
          <w:sz w:val="22"/>
          <w:szCs w:val="22"/>
        </w:rPr>
        <w:t>*</w:t>
      </w:r>
      <w:r w:rsidRPr="0051499D">
        <w:rPr>
          <w:b/>
          <w:sz w:val="22"/>
          <w:szCs w:val="22"/>
        </w:rPr>
        <w:tab/>
        <w:t xml:space="preserve">The cost estimate should be split into two components: (a) a total capital and start-up cost component (annualized over its expected useful life) and (b) a total operation and </w:t>
      </w:r>
      <w:r w:rsidRPr="0051499D">
        <w:rPr>
          <w:b/>
          <w:sz w:val="22"/>
          <w:szCs w:val="22"/>
        </w:rPr>
        <w:lastRenderedPageBreak/>
        <w:t xml:space="preserve">maintenance and purchase of services component.  The estimates should </w:t>
      </w:r>
      <w:proofErr w:type="gramStart"/>
      <w:r w:rsidRPr="0051499D">
        <w:rPr>
          <w:b/>
          <w:sz w:val="22"/>
          <w:szCs w:val="22"/>
        </w:rPr>
        <w:t>take into account</w:t>
      </w:r>
      <w:proofErr w:type="gramEnd"/>
      <w:r w:rsidRPr="0051499D">
        <w:rPr>
          <w:b/>
          <w:sz w:val="22"/>
          <w:szCs w:val="22"/>
        </w:rPr>
        <w:t xml:space="preserve"> costs associated with generating, maintaining, and disclosing or providing the information </w:t>
      </w:r>
      <w:r w:rsidRPr="0051499D" w:rsidR="000257C8">
        <w:rPr>
          <w:b/>
          <w:sz w:val="22"/>
          <w:szCs w:val="22"/>
        </w:rPr>
        <w:t>(</w:t>
      </w:r>
      <w:r w:rsidRPr="0051499D">
        <w:rPr>
          <w:b/>
          <w:sz w:val="22"/>
          <w:szCs w:val="22"/>
        </w:rPr>
        <w:t>including filing fees paid</w:t>
      </w:r>
      <w:r w:rsidRPr="0051499D" w:rsidR="000257C8">
        <w:rPr>
          <w:b/>
          <w:sz w:val="22"/>
          <w:szCs w:val="22"/>
        </w:rPr>
        <w:t xml:space="preserve"> for form processing)</w:t>
      </w:r>
      <w:r w:rsidRPr="0051499D">
        <w:rPr>
          <w:b/>
          <w:sz w:val="22"/>
          <w:szCs w:val="22"/>
        </w:rPr>
        <w:t xml:space="preserve">.  Include descriptions of methods used to estimate major cost factors including system and technology acquisition, expected useful life of capital equipment, the discount rate(s), and the </w:t>
      </w:r>
      <w:proofErr w:type="gramStart"/>
      <w:r w:rsidRPr="0051499D">
        <w:rPr>
          <w:b/>
          <w:sz w:val="22"/>
          <w:szCs w:val="22"/>
        </w:rPr>
        <w:t>time period</w:t>
      </w:r>
      <w:proofErr w:type="gramEnd"/>
      <w:r w:rsidRPr="0051499D">
        <w:rPr>
          <w:b/>
          <w:sz w:val="22"/>
          <w:szCs w:val="22"/>
        </w:rPr>
        <w:t xml:space="preserve"> over which costs will be incurred.  Capital and start-up costs include, among other items, preparations for collecting information such as purchasing computers and software; monitoring, sampling, </w:t>
      </w:r>
      <w:proofErr w:type="gramStart"/>
      <w:r w:rsidRPr="0051499D">
        <w:rPr>
          <w:b/>
          <w:sz w:val="22"/>
          <w:szCs w:val="22"/>
        </w:rPr>
        <w:t>drilling</w:t>
      </w:r>
      <w:proofErr w:type="gramEnd"/>
      <w:r w:rsidRPr="0051499D">
        <w:rPr>
          <w:b/>
          <w:sz w:val="22"/>
          <w:szCs w:val="22"/>
        </w:rPr>
        <w:t xml:space="preserve"> and testing equipment; and record storage facilities.</w:t>
      </w:r>
    </w:p>
    <w:p w:rsidRPr="0051499D" w:rsidR="00295103" w:rsidRDefault="00295103" w14:paraId="1ACAF01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2"/>
          <w:szCs w:val="22"/>
        </w:rPr>
      </w:pPr>
      <w:r w:rsidRPr="0051499D">
        <w:rPr>
          <w:b/>
          <w:sz w:val="22"/>
          <w:szCs w:val="22"/>
        </w:rPr>
        <w:t>*</w:t>
      </w:r>
      <w:r w:rsidRPr="0051499D">
        <w:rPr>
          <w:b/>
          <w:sz w:val="22"/>
          <w:szCs w:val="22"/>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proofErr w:type="gramStart"/>
      <w:r w:rsidRPr="0051499D">
        <w:rPr>
          <w:b/>
          <w:sz w:val="22"/>
          <w:szCs w:val="22"/>
        </w:rPr>
        <w:t>process</w:t>
      </w:r>
      <w:proofErr w:type="gramEnd"/>
      <w:r w:rsidRPr="0051499D">
        <w:rPr>
          <w:b/>
          <w:sz w:val="22"/>
          <w:szCs w:val="22"/>
        </w:rPr>
        <w:t xml:space="preserve"> and use existing economic or regulatory impact analysis associated with the rulemaking containing the information collection, as appropriate.</w:t>
      </w:r>
    </w:p>
    <w:p w:rsidRPr="0051499D" w:rsidR="00295103" w:rsidRDefault="00295103" w14:paraId="7669D2A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2"/>
          <w:szCs w:val="22"/>
        </w:rPr>
      </w:pPr>
      <w:r w:rsidRPr="0051499D">
        <w:rPr>
          <w:b/>
          <w:sz w:val="22"/>
          <w:szCs w:val="22"/>
        </w:rPr>
        <w:tab/>
        <w:t>*</w:t>
      </w:r>
      <w:r w:rsidRPr="0051499D">
        <w:rPr>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51499D" w:rsidR="00D7712F" w:rsidP="002C2DA0" w:rsidRDefault="00D7712F" w14:paraId="54C3869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Pr="0051499D" w:rsidR="000117E9" w:rsidP="002C2DA0" w:rsidRDefault="00CE2485" w14:paraId="6C0F4FF4" w14:textId="4D46149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51499D">
        <w:rPr>
          <w:sz w:val="22"/>
          <w:szCs w:val="22"/>
        </w:rPr>
        <w:t>Input provided</w:t>
      </w:r>
      <w:r w:rsidRPr="0051499D" w:rsidR="00EF449B">
        <w:rPr>
          <w:sz w:val="22"/>
          <w:szCs w:val="22"/>
        </w:rPr>
        <w:t xml:space="preserve"> in 2014 and 2015</w:t>
      </w:r>
      <w:r w:rsidRPr="0051499D" w:rsidR="000B7B1D">
        <w:rPr>
          <w:sz w:val="22"/>
          <w:szCs w:val="22"/>
        </w:rPr>
        <w:t xml:space="preserve"> on the burden hours in response to outreach under number 8 of this supporting statement indicate</w:t>
      </w:r>
      <w:r w:rsidRPr="0051499D" w:rsidR="00CE19C1">
        <w:rPr>
          <w:sz w:val="22"/>
          <w:szCs w:val="22"/>
        </w:rPr>
        <w:t>d</w:t>
      </w:r>
      <w:r w:rsidRPr="0051499D" w:rsidR="000B7B1D">
        <w:rPr>
          <w:sz w:val="22"/>
          <w:szCs w:val="22"/>
        </w:rPr>
        <w:t xml:space="preserve"> that petitioners routinely purchase outside expert services to assist in preparation of their petitions</w:t>
      </w:r>
      <w:r w:rsidRPr="0051499D" w:rsidR="00CE19C1">
        <w:rPr>
          <w:sz w:val="22"/>
          <w:szCs w:val="22"/>
        </w:rPr>
        <w:t xml:space="preserve"> and provide the foundation for the estimates. The Department </w:t>
      </w:r>
      <w:r w:rsidRPr="0051499D" w:rsidR="001F1126">
        <w:rPr>
          <w:sz w:val="22"/>
          <w:szCs w:val="22"/>
        </w:rPr>
        <w:t>obtained</w:t>
      </w:r>
      <w:r w:rsidRPr="0051499D" w:rsidR="00CE19C1">
        <w:rPr>
          <w:sz w:val="22"/>
          <w:szCs w:val="22"/>
        </w:rPr>
        <w:t xml:space="preserve"> updated input</w:t>
      </w:r>
      <w:r w:rsidRPr="0051499D" w:rsidR="001F1126">
        <w:rPr>
          <w:sz w:val="22"/>
          <w:szCs w:val="22"/>
        </w:rPr>
        <w:t xml:space="preserve"> in 2020 that confirms that the Department’s estimates continue to be accurate</w:t>
      </w:r>
      <w:r w:rsidRPr="0051499D" w:rsidR="00CE19C1">
        <w:rPr>
          <w:sz w:val="22"/>
          <w:szCs w:val="22"/>
        </w:rPr>
        <w:t>.</w:t>
      </w:r>
      <w:r w:rsidRPr="0051499D" w:rsidR="000B7B1D">
        <w:rPr>
          <w:sz w:val="22"/>
          <w:szCs w:val="22"/>
        </w:rPr>
        <w:t xml:space="preserve">  </w:t>
      </w:r>
    </w:p>
    <w:p w:rsidRPr="0051499D" w:rsidR="00BA38C1" w:rsidP="002C2DA0" w:rsidRDefault="00BA38C1" w14:paraId="227B429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Pr="0051499D" w:rsidR="0016100C" w:rsidP="00BA38C1" w:rsidRDefault="00BA38C1" w14:paraId="6DB5A97D" w14:textId="67F288A9">
      <w:pPr>
        <w:pStyle w:val="ListParagraph"/>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51499D">
        <w:rPr>
          <w:sz w:val="22"/>
          <w:szCs w:val="22"/>
        </w:rPr>
        <w:t>Burt Lake Band of Ottawa and Chippewa – Petitioner #101 (</w:t>
      </w:r>
      <w:r w:rsidRPr="0051499D" w:rsidR="000B7F90">
        <w:rPr>
          <w:sz w:val="22"/>
          <w:szCs w:val="22"/>
        </w:rPr>
        <w:t xml:space="preserve">former, </w:t>
      </w:r>
      <w:r w:rsidRPr="0051499D">
        <w:rPr>
          <w:sz w:val="22"/>
          <w:szCs w:val="22"/>
        </w:rPr>
        <w:t>denied acknowledgment)</w:t>
      </w:r>
      <w:r w:rsidRPr="0051499D" w:rsidR="007D6C4F">
        <w:rPr>
          <w:sz w:val="22"/>
          <w:szCs w:val="22"/>
        </w:rPr>
        <w:t>, which has approximately 300 members according to the final determination,</w:t>
      </w:r>
      <w:r w:rsidRPr="0051499D" w:rsidR="0016100C">
        <w:rPr>
          <w:sz w:val="22"/>
          <w:szCs w:val="22"/>
        </w:rPr>
        <w:t xml:space="preserve"> stated that criterion (e) took 400 hours in contracted services a year, </w:t>
      </w:r>
      <w:r w:rsidRPr="0051499D" w:rsidR="009108AA">
        <w:rPr>
          <w:sz w:val="22"/>
          <w:szCs w:val="22"/>
        </w:rPr>
        <w:t xml:space="preserve">and that it took about 30 years to prepare the petition (12,000 hours).  </w:t>
      </w:r>
      <w:r w:rsidRPr="0051499D" w:rsidR="00DD0FEB">
        <w:rPr>
          <w:sz w:val="22"/>
          <w:szCs w:val="22"/>
        </w:rPr>
        <w:t xml:space="preserve">This petitioner stated that it took “several million dollars” to prepare the petition and other input stated that meeting the requirements for criterion (e) is about half of the burden.  </w:t>
      </w:r>
      <w:r w:rsidRPr="0051499D" w:rsidR="009108AA">
        <w:rPr>
          <w:sz w:val="22"/>
          <w:szCs w:val="22"/>
        </w:rPr>
        <w:t xml:space="preserve">Based on this input, we </w:t>
      </w:r>
      <w:r w:rsidRPr="0051499D" w:rsidR="00DD0FEB">
        <w:rPr>
          <w:sz w:val="22"/>
          <w:szCs w:val="22"/>
        </w:rPr>
        <w:t xml:space="preserve">doubled the </w:t>
      </w:r>
      <w:r w:rsidRPr="0051499D" w:rsidR="009108AA">
        <w:rPr>
          <w:sz w:val="22"/>
          <w:szCs w:val="22"/>
        </w:rPr>
        <w:t xml:space="preserve">estimate the total non-hour cost to be </w:t>
      </w:r>
      <w:r w:rsidRPr="0051499D" w:rsidR="0016100C">
        <w:rPr>
          <w:sz w:val="22"/>
          <w:szCs w:val="22"/>
        </w:rPr>
        <w:t>$</w:t>
      </w:r>
      <w:proofErr w:type="gramStart"/>
      <w:r w:rsidRPr="00F67300" w:rsidR="00F67300">
        <w:rPr>
          <w:sz w:val="22"/>
          <w:szCs w:val="22"/>
        </w:rPr>
        <w:t>1,556,696</w:t>
      </w:r>
      <w:r w:rsidRPr="0051499D" w:rsidR="007D6C4F">
        <w:rPr>
          <w:sz w:val="22"/>
          <w:szCs w:val="22"/>
        </w:rPr>
        <w:t>.</w:t>
      </w:r>
      <w:r w:rsidRPr="0051499D" w:rsidR="0016100C">
        <w:rPr>
          <w:sz w:val="22"/>
          <w:szCs w:val="22"/>
        </w:rPr>
        <w:t>*</w:t>
      </w:r>
      <w:proofErr w:type="gramEnd"/>
      <w:r w:rsidRPr="0051499D" w:rsidR="007D6C4F">
        <w:rPr>
          <w:sz w:val="22"/>
          <w:szCs w:val="22"/>
        </w:rPr>
        <w:t xml:space="preserve"> </w:t>
      </w:r>
      <w:r w:rsidRPr="0051499D" w:rsidR="0016100C">
        <w:rPr>
          <w:sz w:val="22"/>
          <w:szCs w:val="22"/>
        </w:rPr>
        <w:t xml:space="preserve"> </w:t>
      </w:r>
    </w:p>
    <w:p w:rsidRPr="00F32673" w:rsidR="00F32673" w:rsidP="00DA6F93" w:rsidRDefault="00F32673" w14:paraId="16B9B81D" w14:textId="46E13326">
      <w:pPr>
        <w:pStyle w:val="ListParagraph"/>
        <w:widowControl/>
        <w:numPr>
          <w:ilvl w:val="1"/>
          <w:numId w:val="6"/>
        </w:numPr>
        <w:rPr>
          <w:sz w:val="22"/>
          <w:szCs w:val="22"/>
        </w:rPr>
      </w:pPr>
      <w:r w:rsidRPr="00F32673">
        <w:rPr>
          <w:sz w:val="22"/>
          <w:szCs w:val="22"/>
        </w:rPr>
        <w:t>*To obtain the hourly rate for contracted experts, we used $</w:t>
      </w:r>
      <w:r w:rsidR="00F67300">
        <w:rPr>
          <w:sz w:val="22"/>
          <w:szCs w:val="22"/>
        </w:rPr>
        <w:t>62.77</w:t>
      </w:r>
      <w:r w:rsidRPr="00F32673">
        <w:rPr>
          <w:b/>
          <w:sz w:val="22"/>
          <w:szCs w:val="22"/>
        </w:rPr>
        <w:t xml:space="preserve">, </w:t>
      </w:r>
      <w:r w:rsidRPr="00F32673">
        <w:rPr>
          <w:sz w:val="22"/>
          <w:szCs w:val="22"/>
        </w:rPr>
        <w:t xml:space="preserve">the wages and salaries figure for Management, profession, and related workers from BLS Release </w:t>
      </w:r>
      <w:r w:rsidRPr="00F67300" w:rsidR="00F67300">
        <w:rPr>
          <w:sz w:val="22"/>
          <w:szCs w:val="22"/>
        </w:rPr>
        <w:t>USDL-21-1647</w:t>
      </w:r>
      <w:r w:rsidRPr="00F32673">
        <w:rPr>
          <w:sz w:val="22"/>
          <w:szCs w:val="22"/>
        </w:rPr>
        <w:t>, Employer Costs for Employee Compensation—</w:t>
      </w:r>
      <w:r w:rsidRPr="00F67300" w:rsidR="00F67300">
        <w:t xml:space="preserve"> </w:t>
      </w:r>
      <w:r w:rsidRPr="00F67300" w:rsidR="00F67300">
        <w:rPr>
          <w:sz w:val="22"/>
          <w:szCs w:val="22"/>
        </w:rPr>
        <w:t>June 2021</w:t>
      </w:r>
      <w:r w:rsidRPr="00F32673">
        <w:rPr>
          <w:sz w:val="22"/>
          <w:szCs w:val="22"/>
        </w:rPr>
        <w:t xml:space="preserve">, Table 1, Employer costs per hour worked for employee compensation and costs as a percent of total compensation: Civilian workers, by major occupational and industry group, at </w:t>
      </w:r>
      <w:hyperlink w:history="1" r:id="rId18">
        <w:r w:rsidRPr="00F32673">
          <w:rPr>
            <w:rStyle w:val="Hyperlink"/>
            <w:sz w:val="22"/>
            <w:szCs w:val="22"/>
          </w:rPr>
          <w:t>https://www.bls.gov/news.release/pdf/ecec.pdf</w:t>
        </w:r>
      </w:hyperlink>
      <w:r w:rsidRPr="00F32673">
        <w:rPr>
          <w:sz w:val="22"/>
          <w:szCs w:val="22"/>
        </w:rPr>
        <w:t xml:space="preserve">.  This wage includes a multiplier for benefits.  </w:t>
      </w:r>
    </w:p>
    <w:p w:rsidRPr="0051499D" w:rsidR="00BA38C1" w:rsidP="0016100C" w:rsidRDefault="00BA38C1" w14:paraId="6D34011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Pr="0051499D" w:rsidR="00BA38C1" w:rsidP="000B7F90" w:rsidRDefault="00BA38C1" w14:paraId="7F19CF4D" w14:textId="3A176510">
      <w:pPr>
        <w:pStyle w:val="ListParagraph"/>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51499D">
        <w:rPr>
          <w:sz w:val="22"/>
          <w:szCs w:val="22"/>
        </w:rPr>
        <w:t>Pamunkey Indian Tribe – Petitioner #323 (</w:t>
      </w:r>
      <w:r w:rsidRPr="0051499D" w:rsidR="000B7F90">
        <w:rPr>
          <w:sz w:val="22"/>
          <w:szCs w:val="22"/>
        </w:rPr>
        <w:t>former, received positive final determination</w:t>
      </w:r>
      <w:r w:rsidRPr="0051499D">
        <w:rPr>
          <w:sz w:val="22"/>
          <w:szCs w:val="22"/>
        </w:rPr>
        <w:t>)</w:t>
      </w:r>
      <w:r w:rsidRPr="0051499D" w:rsidR="000B7B1D">
        <w:rPr>
          <w:sz w:val="22"/>
          <w:szCs w:val="22"/>
        </w:rPr>
        <w:t>, which has approximately 200 members,</w:t>
      </w:r>
      <w:r w:rsidRPr="0051499D" w:rsidR="00935286">
        <w:rPr>
          <w:sz w:val="22"/>
          <w:szCs w:val="22"/>
        </w:rPr>
        <w:t xml:space="preserve"> </w:t>
      </w:r>
      <w:r w:rsidRPr="0051499D" w:rsidR="002E0350">
        <w:rPr>
          <w:color w:val="222222"/>
          <w:sz w:val="22"/>
          <w:szCs w:val="22"/>
        </w:rPr>
        <w:t>looked at an invoice for the year 2001 alone in which there were 800 billable hours for attorneys alone (at $300 / hour at that time), and another 100 hour</w:t>
      </w:r>
      <w:r w:rsidR="00C17E6F">
        <w:rPr>
          <w:color w:val="222222"/>
          <w:sz w:val="22"/>
          <w:szCs w:val="22"/>
        </w:rPr>
        <w:t>s</w:t>
      </w:r>
      <w:r w:rsidRPr="0051499D" w:rsidR="002E0350">
        <w:rPr>
          <w:color w:val="222222"/>
          <w:sz w:val="22"/>
          <w:szCs w:val="22"/>
        </w:rPr>
        <w:t xml:space="preserve"> for law clerks; there were hundreds of other hours for historians, for genealogists, anthropologists, etc. which billed for about $100 per hour (or a bit less)</w:t>
      </w:r>
      <w:r w:rsidRPr="0051499D" w:rsidR="00DB327A">
        <w:rPr>
          <w:color w:val="222222"/>
          <w:sz w:val="22"/>
          <w:szCs w:val="22"/>
        </w:rPr>
        <w:t xml:space="preserve">.  OFA </w:t>
      </w:r>
      <w:r w:rsidRPr="0051499D" w:rsidR="002E0350">
        <w:rPr>
          <w:sz w:val="22"/>
          <w:szCs w:val="22"/>
        </w:rPr>
        <w:t>looked at an invoice for year 2001 as an example and stated that there were</w:t>
      </w:r>
      <w:r w:rsidRPr="0051499D" w:rsidR="00935286">
        <w:rPr>
          <w:sz w:val="22"/>
          <w:szCs w:val="22"/>
        </w:rPr>
        <w:t xml:space="preserve"> approximately 800 billable hours for attorneys each year, 100 hours for law clerks, and hundreds of hours for historians, </w:t>
      </w:r>
      <w:proofErr w:type="gramStart"/>
      <w:r w:rsidRPr="0051499D" w:rsidR="00935286">
        <w:rPr>
          <w:sz w:val="22"/>
          <w:szCs w:val="22"/>
        </w:rPr>
        <w:t>anthropologists</w:t>
      </w:r>
      <w:proofErr w:type="gramEnd"/>
      <w:r w:rsidRPr="0051499D" w:rsidR="00935286">
        <w:rPr>
          <w:sz w:val="22"/>
          <w:szCs w:val="22"/>
        </w:rPr>
        <w:t xml:space="preserve"> and genealogists.  </w:t>
      </w:r>
      <w:r w:rsidRPr="0051499D" w:rsidR="002E0350">
        <w:rPr>
          <w:sz w:val="22"/>
          <w:szCs w:val="22"/>
        </w:rPr>
        <w:t>Based on this input</w:t>
      </w:r>
      <w:r w:rsidRPr="0051499D" w:rsidR="00935286">
        <w:rPr>
          <w:sz w:val="22"/>
          <w:szCs w:val="22"/>
        </w:rPr>
        <w:t xml:space="preserve">, we estimate $350,000 each year in contracted services:  </w:t>
      </w:r>
    </w:p>
    <w:p w:rsidRPr="0051499D" w:rsidR="00BA38C1" w:rsidP="009E78BC" w:rsidRDefault="00BA38C1" w14:paraId="1C32ACFE" w14:textId="77777777">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51499D">
        <w:rPr>
          <w:sz w:val="22"/>
          <w:szCs w:val="22"/>
        </w:rPr>
        <w:lastRenderedPageBreak/>
        <w:t>$240</w:t>
      </w:r>
      <w:r w:rsidRPr="0051499D" w:rsidR="00935286">
        <w:rPr>
          <w:sz w:val="22"/>
          <w:szCs w:val="22"/>
        </w:rPr>
        <w:t xml:space="preserve">,000 – </w:t>
      </w:r>
      <w:r w:rsidRPr="0051499D">
        <w:rPr>
          <w:sz w:val="22"/>
          <w:szCs w:val="22"/>
        </w:rPr>
        <w:t>800 billable hours for attorneys ($300/</w:t>
      </w:r>
      <w:proofErr w:type="spellStart"/>
      <w:r w:rsidRPr="0051499D">
        <w:rPr>
          <w:sz w:val="22"/>
          <w:szCs w:val="22"/>
        </w:rPr>
        <w:t>hr</w:t>
      </w:r>
      <w:proofErr w:type="spellEnd"/>
      <w:r w:rsidRPr="0051499D">
        <w:rPr>
          <w:sz w:val="22"/>
          <w:szCs w:val="22"/>
        </w:rPr>
        <w:t xml:space="preserve">) </w:t>
      </w:r>
    </w:p>
    <w:p w:rsidRPr="0051499D" w:rsidR="00BA38C1" w:rsidP="009E78BC" w:rsidRDefault="00BA38C1" w14:paraId="5F235507" w14:textId="77777777">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51499D">
        <w:rPr>
          <w:sz w:val="22"/>
          <w:szCs w:val="22"/>
        </w:rPr>
        <w:t>$</w:t>
      </w:r>
      <w:proofErr w:type="gramStart"/>
      <w:r w:rsidRPr="0051499D" w:rsidR="00935286">
        <w:rPr>
          <w:sz w:val="22"/>
          <w:szCs w:val="22"/>
        </w:rPr>
        <w:t>1</w:t>
      </w:r>
      <w:r w:rsidRPr="0051499D">
        <w:rPr>
          <w:sz w:val="22"/>
          <w:szCs w:val="22"/>
        </w:rPr>
        <w:t>0</w:t>
      </w:r>
      <w:r w:rsidRPr="0051499D" w:rsidR="00935286">
        <w:rPr>
          <w:sz w:val="22"/>
          <w:szCs w:val="22"/>
        </w:rPr>
        <w:t xml:space="preserve">,000 </w:t>
      </w:r>
      <w:r w:rsidRPr="0051499D">
        <w:rPr>
          <w:sz w:val="22"/>
          <w:szCs w:val="22"/>
        </w:rPr>
        <w:t xml:space="preserve"> </w:t>
      </w:r>
      <w:r w:rsidRPr="0051499D" w:rsidR="00935286">
        <w:rPr>
          <w:sz w:val="22"/>
          <w:szCs w:val="22"/>
        </w:rPr>
        <w:t>–</w:t>
      </w:r>
      <w:proofErr w:type="gramEnd"/>
      <w:r w:rsidRPr="0051499D" w:rsidR="00935286">
        <w:rPr>
          <w:sz w:val="22"/>
          <w:szCs w:val="22"/>
        </w:rPr>
        <w:t xml:space="preserve"> </w:t>
      </w:r>
      <w:r w:rsidRPr="0051499D">
        <w:rPr>
          <w:sz w:val="22"/>
          <w:szCs w:val="22"/>
        </w:rPr>
        <w:t xml:space="preserve">100 hours for law clerks </w:t>
      </w:r>
      <w:r w:rsidRPr="0051499D" w:rsidR="00935286">
        <w:rPr>
          <w:sz w:val="22"/>
          <w:szCs w:val="22"/>
        </w:rPr>
        <w:t>(at an estimated $100/</w:t>
      </w:r>
      <w:proofErr w:type="spellStart"/>
      <w:r w:rsidRPr="0051499D" w:rsidR="00935286">
        <w:rPr>
          <w:sz w:val="22"/>
          <w:szCs w:val="22"/>
        </w:rPr>
        <w:t>hr</w:t>
      </w:r>
      <w:proofErr w:type="spellEnd"/>
      <w:r w:rsidRPr="0051499D" w:rsidR="00935286">
        <w:rPr>
          <w:sz w:val="22"/>
          <w:szCs w:val="22"/>
        </w:rPr>
        <w:t xml:space="preserve">) </w:t>
      </w:r>
    </w:p>
    <w:p w:rsidRPr="0051499D" w:rsidR="00BA38C1" w:rsidP="009E78BC" w:rsidRDefault="00BA38C1" w14:paraId="6981D5B1" w14:textId="77777777">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51499D">
        <w:rPr>
          <w:sz w:val="22"/>
          <w:szCs w:val="22"/>
        </w:rPr>
        <w:t>$</w:t>
      </w:r>
      <w:proofErr w:type="gramStart"/>
      <w:r w:rsidRPr="0051499D">
        <w:rPr>
          <w:sz w:val="22"/>
          <w:szCs w:val="22"/>
        </w:rPr>
        <w:t>50</w:t>
      </w:r>
      <w:r w:rsidRPr="0051499D" w:rsidR="00935286">
        <w:rPr>
          <w:sz w:val="22"/>
          <w:szCs w:val="22"/>
        </w:rPr>
        <w:t xml:space="preserve">,000 </w:t>
      </w:r>
      <w:r w:rsidRPr="0051499D">
        <w:rPr>
          <w:sz w:val="22"/>
          <w:szCs w:val="22"/>
        </w:rPr>
        <w:t xml:space="preserve"> –</w:t>
      </w:r>
      <w:proofErr w:type="gramEnd"/>
      <w:r w:rsidRPr="0051499D">
        <w:rPr>
          <w:sz w:val="22"/>
          <w:szCs w:val="22"/>
        </w:rPr>
        <w:t xml:space="preserve"> Hundreds </w:t>
      </w:r>
      <w:r w:rsidRPr="0051499D" w:rsidR="00935286">
        <w:rPr>
          <w:sz w:val="22"/>
          <w:szCs w:val="22"/>
        </w:rPr>
        <w:t xml:space="preserve">of hours (estimate 500 hours) </w:t>
      </w:r>
      <w:r w:rsidRPr="0051499D" w:rsidR="00DD0FEB">
        <w:rPr>
          <w:sz w:val="22"/>
          <w:szCs w:val="22"/>
        </w:rPr>
        <w:t>for historians</w:t>
      </w:r>
      <w:r w:rsidRPr="0051499D">
        <w:rPr>
          <w:sz w:val="22"/>
          <w:szCs w:val="22"/>
        </w:rPr>
        <w:t xml:space="preserve"> and anthropologists ($100/</w:t>
      </w:r>
      <w:proofErr w:type="spellStart"/>
      <w:r w:rsidRPr="0051499D">
        <w:rPr>
          <w:sz w:val="22"/>
          <w:szCs w:val="22"/>
        </w:rPr>
        <w:t>hr</w:t>
      </w:r>
      <w:proofErr w:type="spellEnd"/>
      <w:r w:rsidRPr="0051499D">
        <w:rPr>
          <w:sz w:val="22"/>
          <w:szCs w:val="22"/>
        </w:rPr>
        <w:t xml:space="preserve">) </w:t>
      </w:r>
    </w:p>
    <w:p w:rsidRPr="0051499D" w:rsidR="00BA38C1" w:rsidP="009E78BC" w:rsidRDefault="00BA38C1" w14:paraId="34EFD393" w14:textId="77777777">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51499D">
        <w:rPr>
          <w:sz w:val="22"/>
          <w:szCs w:val="22"/>
        </w:rPr>
        <w:t>$</w:t>
      </w:r>
      <w:proofErr w:type="gramStart"/>
      <w:r w:rsidRPr="0051499D">
        <w:rPr>
          <w:sz w:val="22"/>
          <w:szCs w:val="22"/>
        </w:rPr>
        <w:t>50</w:t>
      </w:r>
      <w:r w:rsidRPr="0051499D" w:rsidR="00935286">
        <w:rPr>
          <w:sz w:val="22"/>
          <w:szCs w:val="22"/>
        </w:rPr>
        <w:t xml:space="preserve">,000 </w:t>
      </w:r>
      <w:r w:rsidRPr="0051499D">
        <w:rPr>
          <w:sz w:val="22"/>
          <w:szCs w:val="22"/>
        </w:rPr>
        <w:t xml:space="preserve"> –</w:t>
      </w:r>
      <w:proofErr w:type="gramEnd"/>
      <w:r w:rsidRPr="0051499D">
        <w:rPr>
          <w:sz w:val="22"/>
          <w:szCs w:val="22"/>
        </w:rPr>
        <w:t xml:space="preserve"> Hundreds of hours </w:t>
      </w:r>
      <w:r w:rsidRPr="0051499D" w:rsidR="00935286">
        <w:rPr>
          <w:sz w:val="22"/>
          <w:szCs w:val="22"/>
        </w:rPr>
        <w:t xml:space="preserve">(estimate 500 hours) </w:t>
      </w:r>
      <w:r w:rsidRPr="0051499D">
        <w:rPr>
          <w:sz w:val="22"/>
          <w:szCs w:val="22"/>
        </w:rPr>
        <w:t xml:space="preserve">for genealogists </w:t>
      </w:r>
    </w:p>
    <w:p w:rsidRPr="0051499D" w:rsidR="00935286" w:rsidP="009108AA" w:rsidRDefault="009108AA" w14:paraId="6F9473EF"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szCs w:val="22"/>
        </w:rPr>
      </w:pPr>
      <w:r w:rsidRPr="0051499D">
        <w:rPr>
          <w:sz w:val="22"/>
          <w:szCs w:val="22"/>
        </w:rPr>
        <w:tab/>
      </w:r>
      <w:r w:rsidRPr="0051499D" w:rsidR="00A46600">
        <w:rPr>
          <w:sz w:val="22"/>
          <w:szCs w:val="22"/>
        </w:rPr>
        <w:t>Pamunkey</w:t>
      </w:r>
      <w:r w:rsidRPr="0051499D">
        <w:rPr>
          <w:sz w:val="22"/>
          <w:szCs w:val="22"/>
        </w:rPr>
        <w:t xml:space="preserve"> further indicated that it took about 25 years to prepare the petition</w:t>
      </w:r>
      <w:r w:rsidRPr="0051499D" w:rsidR="00A46600">
        <w:rPr>
          <w:sz w:val="22"/>
          <w:szCs w:val="22"/>
        </w:rPr>
        <w:t xml:space="preserve"> and that the total cost was “several million</w:t>
      </w:r>
      <w:r w:rsidRPr="0051499D">
        <w:rPr>
          <w:sz w:val="22"/>
          <w:szCs w:val="22"/>
        </w:rPr>
        <w:t>.</w:t>
      </w:r>
      <w:r w:rsidRPr="0051499D" w:rsidR="00A46600">
        <w:rPr>
          <w:sz w:val="22"/>
          <w:szCs w:val="22"/>
        </w:rPr>
        <w:t>”</w:t>
      </w:r>
      <w:r w:rsidRPr="0051499D">
        <w:rPr>
          <w:sz w:val="22"/>
          <w:szCs w:val="22"/>
        </w:rPr>
        <w:t xml:space="preserve">  </w:t>
      </w:r>
      <w:r w:rsidRPr="0051499D" w:rsidR="00DD0FEB">
        <w:rPr>
          <w:sz w:val="22"/>
          <w:szCs w:val="22"/>
        </w:rPr>
        <w:t>Assuming 2001 is representative of each of the 25 years</w:t>
      </w:r>
      <w:r w:rsidRPr="0051499D">
        <w:rPr>
          <w:sz w:val="22"/>
          <w:szCs w:val="22"/>
        </w:rPr>
        <w:t xml:space="preserve">, we estimate the total non-hour cost to be </w:t>
      </w:r>
      <w:r w:rsidRPr="0051499D" w:rsidR="00A46600">
        <w:rPr>
          <w:sz w:val="22"/>
          <w:szCs w:val="22"/>
        </w:rPr>
        <w:t xml:space="preserve">$8,750,000.  </w:t>
      </w:r>
    </w:p>
    <w:p w:rsidRPr="0051499D" w:rsidR="009108AA" w:rsidP="009108AA" w:rsidRDefault="009108AA" w14:paraId="2D30873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Pr="0051499D" w:rsidR="00A46600" w:rsidP="000B7F90" w:rsidRDefault="00BA38C1" w14:paraId="39C13342" w14:textId="06C965BC">
      <w:pPr>
        <w:pStyle w:val="ListParagraph"/>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51499D">
        <w:rPr>
          <w:sz w:val="22"/>
          <w:szCs w:val="22"/>
        </w:rPr>
        <w:t>Salinan Tribe of Monterey and San Luis Obispo Counties – Petitioner # 139</w:t>
      </w:r>
      <w:r w:rsidRPr="0051499D" w:rsidR="00996FFF">
        <w:rPr>
          <w:sz w:val="22"/>
          <w:szCs w:val="22"/>
        </w:rPr>
        <w:t xml:space="preserve"> (</w:t>
      </w:r>
      <w:r w:rsidRPr="0051499D" w:rsidR="000B7F90">
        <w:rPr>
          <w:sz w:val="22"/>
          <w:szCs w:val="22"/>
        </w:rPr>
        <w:t>former, never submitted a complete petition under previous regulations</w:t>
      </w:r>
      <w:r w:rsidRPr="0051499D" w:rsidR="00996FFF">
        <w:rPr>
          <w:sz w:val="22"/>
          <w:szCs w:val="22"/>
        </w:rPr>
        <w:t>)</w:t>
      </w:r>
      <w:r w:rsidRPr="0051499D" w:rsidR="000B7B1D">
        <w:rPr>
          <w:sz w:val="22"/>
          <w:szCs w:val="22"/>
        </w:rPr>
        <w:t>, which has approximately 400 members,</w:t>
      </w:r>
      <w:r w:rsidRPr="0051499D" w:rsidR="00996FFF">
        <w:rPr>
          <w:sz w:val="22"/>
          <w:szCs w:val="22"/>
        </w:rPr>
        <w:t xml:space="preserve"> stated that </w:t>
      </w:r>
      <w:r w:rsidRPr="0051499D" w:rsidR="00A46600">
        <w:rPr>
          <w:sz w:val="22"/>
          <w:szCs w:val="22"/>
        </w:rPr>
        <w:t xml:space="preserve">two </w:t>
      </w:r>
      <w:r w:rsidRPr="0051499D" w:rsidR="00996FFF">
        <w:rPr>
          <w:sz w:val="22"/>
          <w:szCs w:val="22"/>
        </w:rPr>
        <w:t xml:space="preserve">outside genealogists, </w:t>
      </w:r>
      <w:r w:rsidRPr="0051499D" w:rsidR="00A46600">
        <w:rPr>
          <w:sz w:val="22"/>
          <w:szCs w:val="22"/>
        </w:rPr>
        <w:t xml:space="preserve">three </w:t>
      </w:r>
      <w:r w:rsidRPr="0051499D" w:rsidR="00996FFF">
        <w:rPr>
          <w:sz w:val="22"/>
          <w:szCs w:val="22"/>
        </w:rPr>
        <w:t>full time staff, and attorneys are required to pr</w:t>
      </w:r>
      <w:r w:rsidRPr="0051499D" w:rsidR="00A46600">
        <w:rPr>
          <w:sz w:val="22"/>
          <w:szCs w:val="22"/>
        </w:rPr>
        <w:t xml:space="preserve">epare the documented petition and that it expended approximately </w:t>
      </w:r>
      <w:r w:rsidRPr="0051499D" w:rsidR="00E940E4">
        <w:rPr>
          <w:sz w:val="22"/>
          <w:szCs w:val="22"/>
        </w:rPr>
        <w:t>$800,000 to $1,000,00</w:t>
      </w:r>
      <w:r w:rsidRPr="0051499D" w:rsidR="00A46600">
        <w:rPr>
          <w:sz w:val="22"/>
          <w:szCs w:val="22"/>
        </w:rPr>
        <w:t xml:space="preserve">0 in preparing the petition.  </w:t>
      </w:r>
    </w:p>
    <w:p w:rsidRPr="0051499D" w:rsidR="00A46600" w:rsidP="00A46600" w:rsidRDefault="00A46600" w14:paraId="43D84DBB"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Pr="0051499D" w:rsidR="00BA38C1" w:rsidP="00A46600" w:rsidRDefault="00BA38C1" w14:paraId="5C2AE835" w14:textId="1C43956C">
      <w:pPr>
        <w:pStyle w:val="ListParagraph"/>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51499D">
        <w:rPr>
          <w:sz w:val="22"/>
          <w:szCs w:val="22"/>
        </w:rPr>
        <w:t>St. Francis/</w:t>
      </w:r>
      <w:proofErr w:type="spellStart"/>
      <w:r w:rsidRPr="0051499D">
        <w:rPr>
          <w:sz w:val="22"/>
          <w:szCs w:val="22"/>
        </w:rPr>
        <w:t>Sokoki</w:t>
      </w:r>
      <w:proofErr w:type="spellEnd"/>
      <w:r w:rsidRPr="0051499D">
        <w:rPr>
          <w:sz w:val="22"/>
          <w:szCs w:val="22"/>
        </w:rPr>
        <w:t xml:space="preserve"> Band of Abenakis of Vermont – Petitioner #68 (</w:t>
      </w:r>
      <w:r w:rsidRPr="0051499D" w:rsidR="000B7F90">
        <w:rPr>
          <w:sz w:val="22"/>
          <w:szCs w:val="22"/>
        </w:rPr>
        <w:t xml:space="preserve">former, </w:t>
      </w:r>
      <w:r w:rsidRPr="0051499D">
        <w:rPr>
          <w:sz w:val="22"/>
          <w:szCs w:val="22"/>
        </w:rPr>
        <w:t>denied acknowledgment)</w:t>
      </w:r>
      <w:r w:rsidRPr="0051499D" w:rsidR="000B7B1D">
        <w:rPr>
          <w:sz w:val="22"/>
          <w:szCs w:val="22"/>
        </w:rPr>
        <w:t xml:space="preserve">, which has approximately 400 members, </w:t>
      </w:r>
      <w:r w:rsidRPr="0051499D" w:rsidR="007D6C4F">
        <w:rPr>
          <w:sz w:val="22"/>
          <w:szCs w:val="22"/>
        </w:rPr>
        <w:t xml:space="preserve">stated that contracts were necessary for </w:t>
      </w:r>
      <w:r w:rsidRPr="0051499D" w:rsidR="00A46600">
        <w:rPr>
          <w:sz w:val="22"/>
          <w:szCs w:val="22"/>
        </w:rPr>
        <w:t xml:space="preserve">three or more </w:t>
      </w:r>
      <w:r w:rsidRPr="0051499D" w:rsidR="007D6C4F">
        <w:rPr>
          <w:sz w:val="22"/>
          <w:szCs w:val="22"/>
        </w:rPr>
        <w:t>genealogists, attorneys, anthropologists, and historians</w:t>
      </w:r>
      <w:r w:rsidRPr="0051499D" w:rsidR="00A46600">
        <w:rPr>
          <w:sz w:val="22"/>
          <w:szCs w:val="22"/>
        </w:rPr>
        <w:t xml:space="preserve"> and that they expended “well over” $1,000,000 to prepare the petition</w:t>
      </w:r>
      <w:r w:rsidRPr="0051499D" w:rsidR="007D6C4F">
        <w:rPr>
          <w:sz w:val="22"/>
          <w:szCs w:val="22"/>
        </w:rPr>
        <w:t xml:space="preserve">.  </w:t>
      </w:r>
    </w:p>
    <w:p w:rsidRPr="0051499D" w:rsidR="00A46600" w:rsidP="00A46600" w:rsidRDefault="00A46600" w14:paraId="751B1AF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Pr="0051499D" w:rsidR="000B7B1D" w:rsidRDefault="00DD0FEB" w14:paraId="7DB7203A" w14:textId="60D3BDA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51499D">
        <w:rPr>
          <w:sz w:val="22"/>
          <w:szCs w:val="22"/>
        </w:rPr>
        <w:t>While petitioners prepare their petitions over several years, the annual non-hour cost is counted as of the year the petition is submitted, and includes all costs incurred in all prior years preparing the petition.  The</w:t>
      </w:r>
      <w:r w:rsidRPr="0051499D" w:rsidR="000B7B1D">
        <w:rPr>
          <w:sz w:val="22"/>
          <w:szCs w:val="22"/>
        </w:rPr>
        <w:t xml:space="preserve"> estimates for the cost of contracted services vary, with </w:t>
      </w:r>
      <w:r w:rsidRPr="0051499D">
        <w:rPr>
          <w:sz w:val="22"/>
          <w:szCs w:val="22"/>
        </w:rPr>
        <w:t xml:space="preserve">most of these example estimates in the $1 million range, and one at almost $9 million.  </w:t>
      </w:r>
      <w:r w:rsidRPr="0051499D" w:rsidR="000B7B1D">
        <w:rPr>
          <w:sz w:val="22"/>
          <w:szCs w:val="22"/>
        </w:rPr>
        <w:t xml:space="preserve">For this reason, we </w:t>
      </w:r>
      <w:r w:rsidRPr="0051499D" w:rsidR="001B21DE">
        <w:rPr>
          <w:sz w:val="22"/>
          <w:szCs w:val="22"/>
        </w:rPr>
        <w:t>took</w:t>
      </w:r>
      <w:r w:rsidRPr="0051499D" w:rsidR="000B7B1D">
        <w:rPr>
          <w:sz w:val="22"/>
          <w:szCs w:val="22"/>
        </w:rPr>
        <w:t xml:space="preserve"> the average – $</w:t>
      </w:r>
      <w:r w:rsidRPr="004F2392" w:rsidR="004F2392">
        <w:rPr>
          <w:sz w:val="22"/>
          <w:szCs w:val="22"/>
        </w:rPr>
        <w:t xml:space="preserve">3,051,674 </w:t>
      </w:r>
      <w:r w:rsidRPr="0051499D" w:rsidR="00535EDE">
        <w:rPr>
          <w:sz w:val="22"/>
          <w:szCs w:val="22"/>
        </w:rPr>
        <w:t>–</w:t>
      </w:r>
      <w:r w:rsidRPr="0051499D" w:rsidR="000B7B1D">
        <w:rPr>
          <w:sz w:val="22"/>
          <w:szCs w:val="22"/>
        </w:rPr>
        <w:t xml:space="preserve"> as a representative cost for cont</w:t>
      </w:r>
      <w:r w:rsidRPr="0051499D" w:rsidR="00BB51B6">
        <w:rPr>
          <w:sz w:val="22"/>
          <w:szCs w:val="22"/>
        </w:rPr>
        <w:t>r</w:t>
      </w:r>
      <w:r w:rsidRPr="0051499D" w:rsidR="000B7B1D">
        <w:rPr>
          <w:sz w:val="22"/>
          <w:szCs w:val="22"/>
        </w:rPr>
        <w:t>acted services</w:t>
      </w:r>
      <w:r w:rsidRPr="0051499D" w:rsidR="001B21DE">
        <w:rPr>
          <w:sz w:val="22"/>
          <w:szCs w:val="22"/>
        </w:rPr>
        <w:t xml:space="preserve"> plus approximately $30,000 in copying costs</w:t>
      </w:r>
      <w:r w:rsidRPr="0051499D" w:rsidR="000B7B1D">
        <w:rPr>
          <w:sz w:val="22"/>
          <w:szCs w:val="22"/>
        </w:rPr>
        <w:t>.  Together, the annual non</w:t>
      </w:r>
      <w:r w:rsidRPr="0051499D" w:rsidR="00A426C2">
        <w:rPr>
          <w:sz w:val="22"/>
          <w:szCs w:val="22"/>
        </w:rPr>
        <w:t>-</w:t>
      </w:r>
      <w:r w:rsidRPr="0051499D" w:rsidR="000B7B1D">
        <w:rPr>
          <w:sz w:val="22"/>
          <w:szCs w:val="22"/>
        </w:rPr>
        <w:t xml:space="preserve">hour cost burden </w:t>
      </w:r>
      <w:r w:rsidRPr="0051499D" w:rsidR="001B21DE">
        <w:rPr>
          <w:sz w:val="22"/>
          <w:szCs w:val="22"/>
        </w:rPr>
        <w:t>under the pre-2015 regulations was</w:t>
      </w:r>
      <w:r w:rsidRPr="0051499D" w:rsidR="000B7B1D">
        <w:rPr>
          <w:sz w:val="22"/>
          <w:szCs w:val="22"/>
        </w:rPr>
        <w:t xml:space="preserve"> estimated at $</w:t>
      </w:r>
      <w:r w:rsidRPr="004F2392" w:rsidR="004F2392">
        <w:rPr>
          <w:sz w:val="22"/>
          <w:szCs w:val="22"/>
        </w:rPr>
        <w:t>3,081,674</w:t>
      </w:r>
      <w:r w:rsidR="006C6D20">
        <w:rPr>
          <w:sz w:val="22"/>
          <w:szCs w:val="22"/>
        </w:rPr>
        <w:t xml:space="preserve"> </w:t>
      </w:r>
      <w:r w:rsidRPr="0051499D" w:rsidR="00A426C2">
        <w:rPr>
          <w:sz w:val="22"/>
          <w:szCs w:val="22"/>
        </w:rPr>
        <w:t xml:space="preserve">rounded </w:t>
      </w:r>
      <w:r w:rsidR="006C6D20">
        <w:rPr>
          <w:sz w:val="22"/>
          <w:szCs w:val="22"/>
        </w:rPr>
        <w:t>to</w:t>
      </w:r>
      <w:r w:rsidRPr="0051499D" w:rsidR="00A426C2">
        <w:rPr>
          <w:sz w:val="22"/>
          <w:szCs w:val="22"/>
        </w:rPr>
        <w:t xml:space="preserve"> $3,000,000</w:t>
      </w:r>
      <w:r w:rsidRPr="0051499D" w:rsidR="0073559E">
        <w:rPr>
          <w:sz w:val="22"/>
          <w:szCs w:val="22"/>
        </w:rPr>
        <w:t xml:space="preserve"> per petitioner. </w:t>
      </w:r>
      <w:r w:rsidRPr="0051499D" w:rsidR="001B21DE">
        <w:rPr>
          <w:sz w:val="22"/>
          <w:szCs w:val="22"/>
        </w:rPr>
        <w:t xml:space="preserve">We estimated that the </w:t>
      </w:r>
      <w:r w:rsidRPr="0051499D" w:rsidR="00DB327A">
        <w:rPr>
          <w:sz w:val="22"/>
          <w:szCs w:val="22"/>
        </w:rPr>
        <w:t xml:space="preserve">2015 </w:t>
      </w:r>
      <w:r w:rsidRPr="0051499D" w:rsidR="001E4096">
        <w:rPr>
          <w:sz w:val="22"/>
          <w:szCs w:val="22"/>
        </w:rPr>
        <w:t>rule revisions decrease</w:t>
      </w:r>
      <w:r w:rsidRPr="0051499D" w:rsidR="001B21DE">
        <w:rPr>
          <w:sz w:val="22"/>
          <w:szCs w:val="22"/>
        </w:rPr>
        <w:t>d</w:t>
      </w:r>
      <w:r w:rsidRPr="0051499D" w:rsidR="001E4096">
        <w:rPr>
          <w:sz w:val="22"/>
          <w:szCs w:val="22"/>
        </w:rPr>
        <w:t xml:space="preserve"> the necessity for approximately </w:t>
      </w:r>
      <w:r w:rsidRPr="0051499D" w:rsidR="008C2E2E">
        <w:rPr>
          <w:sz w:val="22"/>
          <w:szCs w:val="22"/>
        </w:rPr>
        <w:t>30</w:t>
      </w:r>
      <w:r w:rsidRPr="0051499D" w:rsidR="001E4096">
        <w:rPr>
          <w:sz w:val="22"/>
          <w:szCs w:val="22"/>
        </w:rPr>
        <w:t>% of these costs.  This estimate is based on the reductions of evidence needed for certain criteria</w:t>
      </w:r>
      <w:r w:rsidRPr="0051499D" w:rsidR="008C2E2E">
        <w:rPr>
          <w:sz w:val="22"/>
          <w:szCs w:val="22"/>
        </w:rPr>
        <w:t xml:space="preserve"> plus revisions that would obviate the need to research the historical tribe roll prior to a roll prepared by a Secretary</w:t>
      </w:r>
      <w:r w:rsidRPr="0051499D" w:rsidR="00232985">
        <w:rPr>
          <w:sz w:val="22"/>
          <w:szCs w:val="22"/>
        </w:rPr>
        <w:t xml:space="preserve"> of </w:t>
      </w:r>
      <w:r w:rsidRPr="0051499D" w:rsidR="00F60AE5">
        <w:rPr>
          <w:sz w:val="22"/>
          <w:szCs w:val="22"/>
        </w:rPr>
        <w:t xml:space="preserve">the </w:t>
      </w:r>
      <w:r w:rsidRPr="0051499D" w:rsidR="00232985">
        <w:rPr>
          <w:sz w:val="22"/>
          <w:szCs w:val="22"/>
        </w:rPr>
        <w:t>Interior</w:t>
      </w:r>
      <w:r w:rsidRPr="0051499D" w:rsidR="007C1298">
        <w:rPr>
          <w:sz w:val="22"/>
          <w:szCs w:val="22"/>
        </w:rPr>
        <w:t xml:space="preserve"> or a roll prepared prior to 1900</w:t>
      </w:r>
      <w:r w:rsidRPr="0051499D" w:rsidR="001E4096">
        <w:rPr>
          <w:sz w:val="22"/>
          <w:szCs w:val="22"/>
        </w:rPr>
        <w:t>.  As such, we estimate</w:t>
      </w:r>
      <w:r w:rsidRPr="0051499D" w:rsidR="001B21DE">
        <w:rPr>
          <w:sz w:val="22"/>
          <w:szCs w:val="22"/>
        </w:rPr>
        <w:t>d</w:t>
      </w:r>
      <w:r w:rsidRPr="0051499D" w:rsidR="001E4096">
        <w:rPr>
          <w:sz w:val="22"/>
          <w:szCs w:val="22"/>
        </w:rPr>
        <w:t xml:space="preserve"> the non-hour cost burden will be approximately </w:t>
      </w:r>
      <w:r w:rsidRPr="0051499D" w:rsidR="001E4096">
        <w:rPr>
          <w:b/>
          <w:sz w:val="22"/>
          <w:szCs w:val="22"/>
        </w:rPr>
        <w:t>$2,</w:t>
      </w:r>
      <w:r w:rsidRPr="0051499D" w:rsidR="008C2E2E">
        <w:rPr>
          <w:b/>
          <w:sz w:val="22"/>
          <w:szCs w:val="22"/>
        </w:rPr>
        <w:t>100</w:t>
      </w:r>
      <w:r w:rsidRPr="0051499D" w:rsidR="001E4096">
        <w:rPr>
          <w:b/>
          <w:sz w:val="22"/>
          <w:szCs w:val="22"/>
        </w:rPr>
        <w:t>,000</w:t>
      </w:r>
      <w:r w:rsidRPr="0051499D" w:rsidR="003B4290">
        <w:rPr>
          <w:sz w:val="22"/>
          <w:szCs w:val="22"/>
        </w:rPr>
        <w:t xml:space="preserve"> per response</w:t>
      </w:r>
      <w:r w:rsidRPr="0051499D" w:rsidR="00F67B1C">
        <w:rPr>
          <w:sz w:val="22"/>
          <w:szCs w:val="22"/>
        </w:rPr>
        <w:t>.</w:t>
      </w:r>
    </w:p>
    <w:p w:rsidRPr="0051499D" w:rsidR="00CE19C1" w:rsidRDefault="00CE19C1" w14:paraId="61F14668" w14:textId="35CBC37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Pr="0051499D" w:rsidR="00B145C9" w:rsidP="001B21DE" w:rsidRDefault="00CE19C1" w14:paraId="7790EDD4" w14:textId="3C7CA47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51499D">
        <w:rPr>
          <w:sz w:val="22"/>
          <w:szCs w:val="22"/>
        </w:rPr>
        <w:t xml:space="preserve">We reached out to </w:t>
      </w:r>
      <w:r w:rsidRPr="0051499D" w:rsidR="00B145C9">
        <w:rPr>
          <w:sz w:val="22"/>
          <w:szCs w:val="22"/>
        </w:rPr>
        <w:t>potential</w:t>
      </w:r>
      <w:r w:rsidRPr="0051499D">
        <w:rPr>
          <w:sz w:val="22"/>
          <w:szCs w:val="22"/>
        </w:rPr>
        <w:t xml:space="preserve"> petitioners in 2020 for input on these updates</w:t>
      </w:r>
      <w:r w:rsidR="00C17E6F">
        <w:rPr>
          <w:sz w:val="22"/>
          <w:szCs w:val="22"/>
        </w:rPr>
        <w:t>;</w:t>
      </w:r>
      <w:r w:rsidRPr="0051499D">
        <w:rPr>
          <w:sz w:val="22"/>
          <w:szCs w:val="22"/>
        </w:rPr>
        <w:t xml:space="preserve"> </w:t>
      </w:r>
      <w:r w:rsidRPr="0051499D" w:rsidR="00DC08CC">
        <w:rPr>
          <w:sz w:val="22"/>
          <w:szCs w:val="22"/>
        </w:rPr>
        <w:t xml:space="preserve">and received a response from </w:t>
      </w:r>
      <w:proofErr w:type="spellStart"/>
      <w:r w:rsidRPr="0051499D" w:rsidR="00DC08CC">
        <w:rPr>
          <w:sz w:val="22"/>
          <w:szCs w:val="22"/>
        </w:rPr>
        <w:t>Fernandeno</w:t>
      </w:r>
      <w:proofErr w:type="spellEnd"/>
      <w:r w:rsidRPr="0051499D" w:rsidR="00DC08CC">
        <w:rPr>
          <w:sz w:val="22"/>
          <w:szCs w:val="22"/>
        </w:rPr>
        <w:t xml:space="preserve"> </w:t>
      </w:r>
      <w:proofErr w:type="spellStart"/>
      <w:r w:rsidRPr="0051499D" w:rsidR="00DC08CC">
        <w:rPr>
          <w:sz w:val="22"/>
          <w:szCs w:val="22"/>
        </w:rPr>
        <w:t>Tataviam</w:t>
      </w:r>
      <w:proofErr w:type="spellEnd"/>
      <w:r w:rsidRPr="0051499D" w:rsidR="00DC08CC">
        <w:rPr>
          <w:sz w:val="22"/>
          <w:szCs w:val="22"/>
        </w:rPr>
        <w:t xml:space="preserve"> Band of Mission Indians, who stated</w:t>
      </w:r>
      <w:r w:rsidRPr="0051499D" w:rsidR="00B145C9">
        <w:rPr>
          <w:sz w:val="22"/>
          <w:szCs w:val="22"/>
        </w:rPr>
        <w:t xml:space="preserve"> that they have spent</w:t>
      </w:r>
      <w:r w:rsidRPr="0051499D" w:rsidR="001F1126">
        <w:rPr>
          <w:sz w:val="22"/>
          <w:szCs w:val="22"/>
        </w:rPr>
        <w:t xml:space="preserve"> about $2.2 m</w:t>
      </w:r>
      <w:r w:rsidRPr="0051499D" w:rsidR="00B145C9">
        <w:rPr>
          <w:sz w:val="22"/>
          <w:szCs w:val="22"/>
        </w:rPr>
        <w:t>illion in Acknowledgement expenses since they submitted their letter of intent in 1994 under the prior version of the regulations, not including in-kind and/or pro bono contributions to the Tribe by various community members, students, professionals, and committed volunteers.</w:t>
      </w:r>
      <w:r w:rsidRPr="0051499D" w:rsidR="001F1126">
        <w:rPr>
          <w:sz w:val="22"/>
          <w:szCs w:val="22"/>
        </w:rPr>
        <w:t xml:space="preserve">  </w:t>
      </w:r>
      <w:r w:rsidRPr="0051499D" w:rsidR="00B145C9">
        <w:rPr>
          <w:sz w:val="22"/>
          <w:szCs w:val="22"/>
        </w:rPr>
        <w:t xml:space="preserve">The group’s estimate of $2.2M </w:t>
      </w:r>
      <w:r w:rsidRPr="0051499D" w:rsidR="001F1126">
        <w:rPr>
          <w:sz w:val="22"/>
          <w:szCs w:val="22"/>
        </w:rPr>
        <w:t>is roughly equivalent to our estimate of $2.1 million per response</w:t>
      </w:r>
      <w:r w:rsidRPr="0051499D" w:rsidR="00B145C9">
        <w:rPr>
          <w:sz w:val="22"/>
          <w:szCs w:val="22"/>
        </w:rPr>
        <w:t>.</w:t>
      </w:r>
      <w:r w:rsidRPr="0051499D" w:rsidR="001F1126">
        <w:rPr>
          <w:sz w:val="22"/>
          <w:szCs w:val="22"/>
        </w:rPr>
        <w:t xml:space="preserve"> </w:t>
      </w:r>
      <w:r w:rsidRPr="0051499D" w:rsidR="001B21DE">
        <w:rPr>
          <w:sz w:val="22"/>
          <w:szCs w:val="22"/>
        </w:rPr>
        <w:t xml:space="preserve">While this is slightly higher than our estimate of $2.1 million per response and does not include in-kind and pro-bono contributions, this </w:t>
      </w:r>
      <w:proofErr w:type="gramStart"/>
      <w:r w:rsidRPr="0051499D" w:rsidR="001B21DE">
        <w:rPr>
          <w:sz w:val="22"/>
          <w:szCs w:val="22"/>
        </w:rPr>
        <w:t>particular group</w:t>
      </w:r>
      <w:proofErr w:type="gramEnd"/>
      <w:r w:rsidRPr="0051499D" w:rsidR="001B21DE">
        <w:rPr>
          <w:sz w:val="22"/>
          <w:szCs w:val="22"/>
        </w:rPr>
        <w:t xml:space="preserve"> began compiling its petition under the pre-2015 regulations and therefore includes information beyond what is required under the new 2015 regulations. Any adjustments up, to account for in-kind and pro-bono contributions, would be offset by adjustments down to account for the decreased documentation requirements required as of 2015.  </w:t>
      </w:r>
    </w:p>
    <w:p w:rsidRPr="0051499D" w:rsidR="007D6C4F" w:rsidRDefault="007D6C4F" w14:paraId="755C4CED" w14:textId="130A971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Pr="0051499D" w:rsidR="000B7B1D" w:rsidRDefault="000B7B1D" w14:paraId="2899ED2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Pr="0051499D" w:rsidR="0060758B" w:rsidRDefault="00295103" w14:paraId="342AA00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szCs w:val="22"/>
        </w:rPr>
      </w:pPr>
      <w:r w:rsidRPr="0051499D">
        <w:rPr>
          <w:b/>
          <w:sz w:val="22"/>
          <w:szCs w:val="22"/>
        </w:rPr>
        <w:t>14.</w:t>
      </w:r>
      <w:r w:rsidRPr="0051499D">
        <w:rPr>
          <w:b/>
          <w:sz w:val="22"/>
          <w:szCs w:val="22"/>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t>
      </w:r>
      <w:r w:rsidRPr="0051499D">
        <w:rPr>
          <w:b/>
          <w:sz w:val="22"/>
          <w:szCs w:val="22"/>
        </w:rPr>
        <w:lastRenderedPageBreak/>
        <w:t>would not have been incurred without t</w:t>
      </w:r>
      <w:r w:rsidRPr="0051499D" w:rsidR="0060758B">
        <w:rPr>
          <w:b/>
          <w:sz w:val="22"/>
          <w:szCs w:val="22"/>
        </w:rPr>
        <w:t xml:space="preserve">his collection of information. </w:t>
      </w:r>
    </w:p>
    <w:p w:rsidRPr="0051499D" w:rsidR="00D7712F" w:rsidP="002C2DA0" w:rsidRDefault="00D7712F" w14:paraId="624AA16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p>
    <w:p w:rsidRPr="0051499D" w:rsidR="00917918" w:rsidP="00917918" w:rsidRDefault="0054272B" w14:paraId="641F03B2" w14:textId="3C0A9B0B">
      <w:pPr>
        <w:rPr>
          <w:sz w:val="22"/>
          <w:szCs w:val="22"/>
        </w:rPr>
      </w:pPr>
      <w:r w:rsidRPr="0051499D">
        <w:rPr>
          <w:sz w:val="22"/>
          <w:szCs w:val="22"/>
        </w:rPr>
        <w:t>The annual cost of the program in the OFA is approximately $</w:t>
      </w:r>
      <w:r w:rsidRPr="0030607A" w:rsidR="0030607A">
        <w:rPr>
          <w:sz w:val="22"/>
          <w:szCs w:val="22"/>
        </w:rPr>
        <w:t xml:space="preserve"> $438,698</w:t>
      </w:r>
      <w:r w:rsidRPr="0051499D">
        <w:rPr>
          <w:sz w:val="22"/>
          <w:szCs w:val="22"/>
        </w:rPr>
        <w:t xml:space="preserve">.  This </w:t>
      </w:r>
      <w:r w:rsidRPr="0051499D" w:rsidR="00D378E2">
        <w:rPr>
          <w:sz w:val="22"/>
          <w:szCs w:val="22"/>
        </w:rPr>
        <w:t xml:space="preserve">annual cost </w:t>
      </w:r>
      <w:r w:rsidRPr="0051499D">
        <w:rPr>
          <w:sz w:val="22"/>
          <w:szCs w:val="22"/>
        </w:rPr>
        <w:t>is primarily salary, contract, and office expenses.  The anthropologists, genealogists, historians</w:t>
      </w:r>
      <w:r w:rsidRPr="0051499D" w:rsidR="00232985">
        <w:rPr>
          <w:sz w:val="22"/>
          <w:szCs w:val="22"/>
        </w:rPr>
        <w:t xml:space="preserve"> (average GS 13/Step 4)</w:t>
      </w:r>
      <w:r w:rsidRPr="0051499D" w:rsidR="001C0FAF">
        <w:rPr>
          <w:sz w:val="22"/>
          <w:szCs w:val="22"/>
        </w:rPr>
        <w:t xml:space="preserve"> at $</w:t>
      </w:r>
      <w:r w:rsidR="0030607A">
        <w:rPr>
          <w:sz w:val="22"/>
          <w:szCs w:val="22"/>
        </w:rPr>
        <w:t>62.84</w:t>
      </w:r>
      <w:r w:rsidRPr="0051499D" w:rsidR="001C0FAF">
        <w:rPr>
          <w:sz w:val="22"/>
          <w:szCs w:val="22"/>
        </w:rPr>
        <w:t>/hour ($</w:t>
      </w:r>
      <w:r w:rsidR="005757D8">
        <w:rPr>
          <w:sz w:val="22"/>
          <w:szCs w:val="22"/>
        </w:rPr>
        <w:t>41.89</w:t>
      </w:r>
      <w:r w:rsidRPr="0051499D" w:rsidR="001C0FAF">
        <w:rPr>
          <w:sz w:val="22"/>
          <w:szCs w:val="22"/>
        </w:rPr>
        <w:t xml:space="preserve"> x 1.5)</w:t>
      </w:r>
      <w:r w:rsidRPr="0051499D">
        <w:rPr>
          <w:sz w:val="22"/>
          <w:szCs w:val="22"/>
        </w:rPr>
        <w:t xml:space="preserve">, and management </w:t>
      </w:r>
      <w:r w:rsidRPr="0051499D" w:rsidR="00232985">
        <w:rPr>
          <w:sz w:val="22"/>
          <w:szCs w:val="22"/>
        </w:rPr>
        <w:t xml:space="preserve">(GS 15/Step </w:t>
      </w:r>
      <w:r w:rsidRPr="0051499D" w:rsidR="001C0FAF">
        <w:rPr>
          <w:sz w:val="22"/>
          <w:szCs w:val="22"/>
        </w:rPr>
        <w:t>6) at $</w:t>
      </w:r>
      <w:r w:rsidR="0030607A">
        <w:rPr>
          <w:sz w:val="22"/>
          <w:szCs w:val="22"/>
        </w:rPr>
        <w:t>92.63</w:t>
      </w:r>
      <w:r w:rsidRPr="0051499D" w:rsidR="001C0FAF">
        <w:rPr>
          <w:sz w:val="22"/>
          <w:szCs w:val="22"/>
        </w:rPr>
        <w:t>/hour ($</w:t>
      </w:r>
      <w:r w:rsidR="005757D8">
        <w:rPr>
          <w:sz w:val="22"/>
          <w:szCs w:val="22"/>
        </w:rPr>
        <w:t>61.75</w:t>
      </w:r>
      <w:r w:rsidRPr="0051499D" w:rsidR="001C0FAF">
        <w:rPr>
          <w:sz w:val="22"/>
          <w:szCs w:val="22"/>
        </w:rPr>
        <w:t xml:space="preserve"> x 1.5) </w:t>
      </w:r>
      <w:r w:rsidRPr="0051499D">
        <w:rPr>
          <w:sz w:val="22"/>
          <w:szCs w:val="22"/>
        </w:rPr>
        <w:t>of the OFA review, analyze, and evaluate the evidence and da</w:t>
      </w:r>
      <w:r w:rsidRPr="0051499D" w:rsidR="00917918">
        <w:rPr>
          <w:sz w:val="22"/>
          <w:szCs w:val="22"/>
        </w:rPr>
        <w:t>ta provided by the petitioners.</w:t>
      </w:r>
      <w:r w:rsidRPr="0051499D" w:rsidR="001C0FAF">
        <w:rPr>
          <w:sz w:val="22"/>
          <w:szCs w:val="22"/>
        </w:rPr>
        <w:t xml:space="preserve">  All of the federal government employee salary information was obtained from </w:t>
      </w:r>
      <w:hyperlink w:history="1" r:id="rId19">
        <w:r w:rsidRPr="004720F1" w:rsidR="00C17E6F">
          <w:rPr>
            <w:rStyle w:val="Hyperlink"/>
            <w:sz w:val="22"/>
            <w:szCs w:val="22"/>
          </w:rPr>
          <w:t>https://www.opm.gov/policy-data-oversight/pay-leave/salaries-wages/salary-tables/pdf/2021/GS_h.pdf</w:t>
        </w:r>
      </w:hyperlink>
      <w:r w:rsidR="00C17E6F">
        <w:rPr>
          <w:sz w:val="22"/>
          <w:szCs w:val="22"/>
        </w:rPr>
        <w:t xml:space="preserve"> </w:t>
      </w:r>
      <w:hyperlink w:history="1" r:id="rId20">
        <w:r w:rsidRPr="0051499D" w:rsidR="001C0FAF">
          <w:rPr>
            <w:rStyle w:val="Hyperlink"/>
            <w:color w:val="auto"/>
            <w:sz w:val="22"/>
            <w:szCs w:val="22"/>
            <w:u w:val="none"/>
          </w:rPr>
          <w:t>with a 1.5</w:t>
        </w:r>
      </w:hyperlink>
      <w:r w:rsidRPr="0051499D" w:rsidR="001C0FAF">
        <w:rPr>
          <w:sz w:val="22"/>
          <w:szCs w:val="22"/>
        </w:rPr>
        <w:t xml:space="preserve"> benefits multiplier. </w:t>
      </w:r>
    </w:p>
    <w:p w:rsidRPr="0051499D" w:rsidR="000B5F98" w:rsidP="00917918" w:rsidRDefault="000B5F98" w14:paraId="14DDB99B" w14:textId="77777777">
      <w:pPr>
        <w:rPr>
          <w:sz w:val="22"/>
          <w:szCs w:val="22"/>
        </w:rPr>
      </w:pPr>
    </w:p>
    <w:tbl>
      <w:tblPr>
        <w:tblW w:w="86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795"/>
        <w:gridCol w:w="1710"/>
        <w:gridCol w:w="1620"/>
        <w:gridCol w:w="2070"/>
        <w:gridCol w:w="1440"/>
      </w:tblGrid>
      <w:tr w:rsidRPr="001E723D" w:rsidR="007C1298" w:rsidTr="0051499D" w14:paraId="30DAB3C4" w14:textId="77777777">
        <w:trPr>
          <w:trHeight w:val="710"/>
        </w:trPr>
        <w:tc>
          <w:tcPr>
            <w:tcW w:w="1795" w:type="dxa"/>
            <w:vAlign w:val="bottom"/>
          </w:tcPr>
          <w:p w:rsidRPr="0051499D" w:rsidR="007C1298" w:rsidP="0051499D" w:rsidRDefault="007C1298" w14:paraId="19261F0A" w14:textId="77777777">
            <w:pPr>
              <w:jc w:val="center"/>
              <w:rPr>
                <w:b/>
                <w:color w:val="000000"/>
                <w:sz w:val="22"/>
                <w:szCs w:val="22"/>
              </w:rPr>
            </w:pPr>
            <w:r w:rsidRPr="0051499D">
              <w:rPr>
                <w:b/>
                <w:color w:val="000000"/>
                <w:sz w:val="22"/>
                <w:szCs w:val="22"/>
              </w:rPr>
              <w:t>CFR Citation</w:t>
            </w:r>
          </w:p>
        </w:tc>
        <w:tc>
          <w:tcPr>
            <w:tcW w:w="1710" w:type="dxa"/>
            <w:vAlign w:val="bottom"/>
          </w:tcPr>
          <w:p w:rsidRPr="0051499D" w:rsidR="007C1298" w:rsidP="00E4791E" w:rsidRDefault="007C1298" w14:paraId="13AA9329" w14:textId="761DC3FD">
            <w:pPr>
              <w:rPr>
                <w:b/>
                <w:color w:val="000000"/>
                <w:sz w:val="22"/>
                <w:szCs w:val="22"/>
              </w:rPr>
            </w:pPr>
            <w:r w:rsidRPr="0051499D">
              <w:rPr>
                <w:b/>
                <w:sz w:val="22"/>
                <w:szCs w:val="22"/>
              </w:rPr>
              <w:t>Total Number of Responses Processed</w:t>
            </w:r>
          </w:p>
        </w:tc>
        <w:tc>
          <w:tcPr>
            <w:tcW w:w="1620" w:type="dxa"/>
            <w:vAlign w:val="bottom"/>
          </w:tcPr>
          <w:p w:rsidR="00E4791E" w:rsidP="0051499D" w:rsidRDefault="007C1298" w14:paraId="45622A96" w14:textId="2E0DA001">
            <w:pPr>
              <w:jc w:val="center"/>
              <w:rPr>
                <w:b/>
                <w:sz w:val="22"/>
                <w:szCs w:val="22"/>
              </w:rPr>
            </w:pPr>
            <w:r w:rsidRPr="0051499D">
              <w:rPr>
                <w:b/>
                <w:sz w:val="22"/>
                <w:szCs w:val="22"/>
              </w:rPr>
              <w:t>Time to Process Response</w:t>
            </w:r>
            <w:r w:rsidRPr="0051499D" w:rsidR="00D72F47">
              <w:rPr>
                <w:b/>
                <w:sz w:val="22"/>
                <w:szCs w:val="22"/>
              </w:rPr>
              <w:t>s</w:t>
            </w:r>
          </w:p>
          <w:p w:rsidRPr="0051499D" w:rsidR="007C1298" w:rsidP="0051499D" w:rsidRDefault="007C1298" w14:paraId="11DC4764" w14:textId="4D0EA1CE">
            <w:pPr>
              <w:jc w:val="center"/>
              <w:rPr>
                <w:b/>
                <w:sz w:val="22"/>
                <w:szCs w:val="22"/>
              </w:rPr>
            </w:pPr>
            <w:r w:rsidRPr="0051499D">
              <w:rPr>
                <w:b/>
                <w:sz w:val="22"/>
                <w:szCs w:val="22"/>
              </w:rPr>
              <w:t>(GS 13/Step 4)</w:t>
            </w:r>
          </w:p>
        </w:tc>
        <w:tc>
          <w:tcPr>
            <w:tcW w:w="2070" w:type="dxa"/>
            <w:vAlign w:val="bottom"/>
          </w:tcPr>
          <w:p w:rsidRPr="0051499D" w:rsidR="00D72F47" w:rsidP="0051499D" w:rsidRDefault="00D72F47" w14:paraId="08DC8559" w14:textId="5BC014F7">
            <w:pPr>
              <w:jc w:val="center"/>
              <w:rPr>
                <w:b/>
                <w:sz w:val="22"/>
                <w:szCs w:val="22"/>
              </w:rPr>
            </w:pPr>
            <w:r w:rsidRPr="0051499D">
              <w:rPr>
                <w:b/>
                <w:sz w:val="22"/>
                <w:szCs w:val="22"/>
              </w:rPr>
              <w:t>Time to Process Responses</w:t>
            </w:r>
          </w:p>
          <w:p w:rsidRPr="0051499D" w:rsidR="007C1298" w:rsidP="0051499D" w:rsidRDefault="007C1298" w14:paraId="7682BD56" w14:textId="58096DEB">
            <w:pPr>
              <w:jc w:val="center"/>
              <w:rPr>
                <w:b/>
                <w:sz w:val="22"/>
                <w:szCs w:val="22"/>
              </w:rPr>
            </w:pPr>
            <w:r w:rsidRPr="0051499D">
              <w:rPr>
                <w:b/>
                <w:sz w:val="22"/>
                <w:szCs w:val="22"/>
              </w:rPr>
              <w:t xml:space="preserve">(GS 15/Step </w:t>
            </w:r>
            <w:r w:rsidRPr="0051499D" w:rsidR="001C0FAF">
              <w:rPr>
                <w:b/>
                <w:sz w:val="22"/>
                <w:szCs w:val="22"/>
              </w:rPr>
              <w:t>6)</w:t>
            </w:r>
          </w:p>
        </w:tc>
        <w:tc>
          <w:tcPr>
            <w:tcW w:w="1440" w:type="dxa"/>
            <w:vAlign w:val="bottom"/>
          </w:tcPr>
          <w:p w:rsidRPr="0051499D" w:rsidR="007C1298" w:rsidP="0051499D" w:rsidRDefault="007C1298" w14:paraId="4AAB8358" w14:textId="72F126F6">
            <w:pPr>
              <w:jc w:val="center"/>
              <w:rPr>
                <w:b/>
                <w:sz w:val="22"/>
                <w:szCs w:val="22"/>
              </w:rPr>
            </w:pPr>
            <w:r w:rsidRPr="0051499D">
              <w:rPr>
                <w:b/>
                <w:sz w:val="22"/>
                <w:szCs w:val="22"/>
              </w:rPr>
              <w:t xml:space="preserve">Salary </w:t>
            </w:r>
            <w:r w:rsidRPr="0051499D" w:rsidR="006C0401">
              <w:rPr>
                <w:b/>
                <w:sz w:val="22"/>
                <w:szCs w:val="22"/>
              </w:rPr>
              <w:t>Total</w:t>
            </w:r>
          </w:p>
        </w:tc>
      </w:tr>
      <w:tr w:rsidRPr="001E723D" w:rsidR="00687A08" w:rsidTr="00D72F47" w14:paraId="36E1D39D" w14:textId="77777777">
        <w:trPr>
          <w:trHeight w:val="818"/>
        </w:trPr>
        <w:tc>
          <w:tcPr>
            <w:tcW w:w="1795" w:type="dxa"/>
            <w:shd w:val="clear" w:color="auto" w:fill="F2F2F2" w:themeFill="background1" w:themeFillShade="F2"/>
          </w:tcPr>
          <w:p w:rsidRPr="0051499D" w:rsidR="00DA0828" w:rsidP="000B5F98" w:rsidRDefault="00DA0828" w14:paraId="57648B4A" w14:textId="47407AA9">
            <w:pPr>
              <w:rPr>
                <w:sz w:val="22"/>
                <w:szCs w:val="22"/>
              </w:rPr>
            </w:pPr>
            <w:r w:rsidRPr="0051499D">
              <w:rPr>
                <w:sz w:val="22"/>
                <w:szCs w:val="22"/>
              </w:rPr>
              <w:t>Phase I Review</w:t>
            </w:r>
          </w:p>
          <w:p w:rsidRPr="0051499D" w:rsidR="007C1298" w:rsidP="000B5F98" w:rsidRDefault="005E7DB9" w14:paraId="512F3627" w14:textId="68FB4E40">
            <w:pPr>
              <w:rPr>
                <w:sz w:val="22"/>
                <w:szCs w:val="22"/>
              </w:rPr>
            </w:pPr>
            <w:r w:rsidRPr="0051499D">
              <w:rPr>
                <w:sz w:val="22"/>
                <w:szCs w:val="22"/>
              </w:rPr>
              <w:t>83.11 (</w:t>
            </w:r>
            <w:r w:rsidRPr="0051499D" w:rsidR="00DA0828">
              <w:rPr>
                <w:sz w:val="22"/>
                <w:szCs w:val="22"/>
              </w:rPr>
              <w:t>d</w:t>
            </w:r>
            <w:r w:rsidRPr="0051499D">
              <w:rPr>
                <w:sz w:val="22"/>
                <w:szCs w:val="22"/>
              </w:rPr>
              <w:t>) - (g</w:t>
            </w:r>
            <w:r w:rsidRPr="0051499D" w:rsidR="007C1298">
              <w:rPr>
                <w:sz w:val="22"/>
                <w:szCs w:val="22"/>
              </w:rPr>
              <w:t xml:space="preserve">) </w:t>
            </w:r>
          </w:p>
          <w:p w:rsidRPr="0051499D" w:rsidR="007C1298" w:rsidP="000B5F98" w:rsidRDefault="007C1298" w14:paraId="1B3D48BE" w14:textId="17004596">
            <w:pPr>
              <w:rPr>
                <w:color w:val="000000"/>
                <w:sz w:val="22"/>
                <w:szCs w:val="22"/>
              </w:rPr>
            </w:pPr>
          </w:p>
        </w:tc>
        <w:tc>
          <w:tcPr>
            <w:tcW w:w="1710" w:type="dxa"/>
            <w:shd w:val="clear" w:color="auto" w:fill="F2F2F2" w:themeFill="background1" w:themeFillShade="F2"/>
            <w:vAlign w:val="center"/>
          </w:tcPr>
          <w:p w:rsidRPr="0051499D" w:rsidR="007C1298" w:rsidP="004F360C" w:rsidRDefault="00A7692A" w14:paraId="191C5AF2" w14:textId="35CF25F5">
            <w:pPr>
              <w:jc w:val="center"/>
              <w:rPr>
                <w:color w:val="000000"/>
                <w:sz w:val="22"/>
                <w:szCs w:val="22"/>
              </w:rPr>
            </w:pPr>
            <w:r w:rsidRPr="0051499D">
              <w:rPr>
                <w:color w:val="000000"/>
                <w:sz w:val="22"/>
                <w:szCs w:val="22"/>
              </w:rPr>
              <w:t>1</w:t>
            </w:r>
          </w:p>
        </w:tc>
        <w:tc>
          <w:tcPr>
            <w:tcW w:w="1620" w:type="dxa"/>
            <w:shd w:val="clear" w:color="auto" w:fill="F2F2F2" w:themeFill="background1" w:themeFillShade="F2"/>
            <w:vAlign w:val="center"/>
          </w:tcPr>
          <w:p w:rsidRPr="0051499D" w:rsidR="004F360C" w:rsidP="000B5F98" w:rsidRDefault="00A7692A" w14:paraId="1BAAA4E6" w14:textId="66EFF64D">
            <w:pPr>
              <w:jc w:val="center"/>
              <w:rPr>
                <w:color w:val="000000"/>
                <w:sz w:val="22"/>
                <w:szCs w:val="22"/>
              </w:rPr>
            </w:pPr>
            <w:r w:rsidRPr="0051499D">
              <w:rPr>
                <w:color w:val="000000"/>
                <w:sz w:val="22"/>
                <w:szCs w:val="22"/>
              </w:rPr>
              <w:t>3</w:t>
            </w:r>
            <w:r w:rsidRPr="0051499D" w:rsidR="004F360C">
              <w:rPr>
                <w:color w:val="000000"/>
                <w:sz w:val="22"/>
                <w:szCs w:val="22"/>
              </w:rPr>
              <w:t>,000 hours</w:t>
            </w:r>
            <w:r w:rsidRPr="0051499D" w:rsidR="00683CC1">
              <w:rPr>
                <w:color w:val="000000"/>
                <w:sz w:val="22"/>
                <w:szCs w:val="22"/>
              </w:rPr>
              <w:t xml:space="preserve"> </w:t>
            </w:r>
          </w:p>
          <w:p w:rsidRPr="0051499D" w:rsidR="00F71BBA" w:rsidP="00687A08" w:rsidRDefault="0030607A" w14:paraId="6FD9B90C" w14:textId="3DD25098">
            <w:pPr>
              <w:jc w:val="center"/>
              <w:rPr>
                <w:color w:val="000000"/>
                <w:sz w:val="22"/>
                <w:szCs w:val="22"/>
              </w:rPr>
            </w:pPr>
            <w:r w:rsidRPr="0030607A">
              <w:rPr>
                <w:color w:val="000000"/>
                <w:sz w:val="22"/>
                <w:szCs w:val="22"/>
              </w:rPr>
              <w:t>$188,505</w:t>
            </w:r>
          </w:p>
        </w:tc>
        <w:tc>
          <w:tcPr>
            <w:tcW w:w="2070" w:type="dxa"/>
            <w:shd w:val="clear" w:color="auto" w:fill="F2F2F2" w:themeFill="background1" w:themeFillShade="F2"/>
          </w:tcPr>
          <w:p w:rsidRPr="0051499D" w:rsidR="001C0FAF" w:rsidP="001C0FAF" w:rsidRDefault="001C0FAF" w14:paraId="6CDDEB1A" w14:textId="77777777">
            <w:pPr>
              <w:rPr>
                <w:color w:val="000000"/>
                <w:sz w:val="22"/>
                <w:szCs w:val="22"/>
              </w:rPr>
            </w:pPr>
            <w:r w:rsidRPr="0051499D">
              <w:rPr>
                <w:color w:val="000000"/>
                <w:sz w:val="22"/>
                <w:szCs w:val="22"/>
              </w:rPr>
              <w:t xml:space="preserve"> </w:t>
            </w:r>
          </w:p>
          <w:p w:rsidRPr="0051499D" w:rsidR="00DA0828" w:rsidP="001C0FAF" w:rsidRDefault="00A7692A" w14:paraId="1A9C1387" w14:textId="1B6EC44F">
            <w:pPr>
              <w:jc w:val="center"/>
              <w:rPr>
                <w:color w:val="000000"/>
                <w:sz w:val="22"/>
                <w:szCs w:val="22"/>
              </w:rPr>
            </w:pPr>
            <w:r w:rsidRPr="0051499D">
              <w:rPr>
                <w:color w:val="000000"/>
                <w:sz w:val="22"/>
                <w:szCs w:val="22"/>
              </w:rPr>
              <w:t>333</w:t>
            </w:r>
            <w:r w:rsidRPr="0051499D" w:rsidR="004F360C">
              <w:rPr>
                <w:color w:val="000000"/>
                <w:sz w:val="22"/>
                <w:szCs w:val="22"/>
              </w:rPr>
              <w:t xml:space="preserve"> hours</w:t>
            </w:r>
          </w:p>
          <w:p w:rsidRPr="0051499D" w:rsidR="00F71BBA" w:rsidP="00687A08" w:rsidRDefault="0030607A" w14:paraId="5F9D8C36" w14:textId="3F8D6454">
            <w:pPr>
              <w:jc w:val="center"/>
              <w:rPr>
                <w:color w:val="000000"/>
                <w:sz w:val="22"/>
                <w:szCs w:val="22"/>
              </w:rPr>
            </w:pPr>
            <w:r w:rsidRPr="0030607A">
              <w:rPr>
                <w:color w:val="000000"/>
                <w:sz w:val="22"/>
                <w:szCs w:val="22"/>
              </w:rPr>
              <w:t>$30,844</w:t>
            </w:r>
          </w:p>
        </w:tc>
        <w:tc>
          <w:tcPr>
            <w:tcW w:w="1440" w:type="dxa"/>
            <w:shd w:val="clear" w:color="auto" w:fill="F2F2F2" w:themeFill="background1" w:themeFillShade="F2"/>
            <w:vAlign w:val="center"/>
          </w:tcPr>
          <w:p w:rsidRPr="0051499D" w:rsidR="007C1298" w:rsidP="00687A08" w:rsidRDefault="0030607A" w14:paraId="0E9CF7F9" w14:textId="1FA45F2A">
            <w:pPr>
              <w:jc w:val="center"/>
              <w:rPr>
                <w:color w:val="000000"/>
                <w:sz w:val="22"/>
                <w:szCs w:val="22"/>
              </w:rPr>
            </w:pPr>
            <w:r w:rsidRPr="0030607A">
              <w:rPr>
                <w:color w:val="000000"/>
                <w:sz w:val="22"/>
                <w:szCs w:val="22"/>
              </w:rPr>
              <w:t>$219,349</w:t>
            </w:r>
          </w:p>
        </w:tc>
      </w:tr>
      <w:tr w:rsidRPr="001E723D" w:rsidR="007C1298" w:rsidTr="00D72F47" w14:paraId="2507BDC4" w14:textId="77777777">
        <w:trPr>
          <w:trHeight w:val="773"/>
        </w:trPr>
        <w:tc>
          <w:tcPr>
            <w:tcW w:w="1795" w:type="dxa"/>
          </w:tcPr>
          <w:p w:rsidRPr="0051499D" w:rsidR="00DA0828" w:rsidP="000B5F98" w:rsidRDefault="00DA0828" w14:paraId="51C06D9A" w14:textId="5E397DA4">
            <w:pPr>
              <w:rPr>
                <w:sz w:val="22"/>
                <w:szCs w:val="22"/>
              </w:rPr>
            </w:pPr>
            <w:r w:rsidRPr="0051499D">
              <w:rPr>
                <w:sz w:val="22"/>
                <w:szCs w:val="22"/>
              </w:rPr>
              <w:t>Phase II Review</w:t>
            </w:r>
          </w:p>
          <w:p w:rsidRPr="0051499D" w:rsidR="007C1298" w:rsidP="00DA0828" w:rsidRDefault="007C1298" w14:paraId="4B8B0837" w14:textId="781BFC21">
            <w:pPr>
              <w:rPr>
                <w:color w:val="000000"/>
                <w:sz w:val="22"/>
                <w:szCs w:val="22"/>
              </w:rPr>
            </w:pPr>
            <w:r w:rsidRPr="0051499D">
              <w:rPr>
                <w:sz w:val="22"/>
                <w:szCs w:val="22"/>
              </w:rPr>
              <w:t>83.</w:t>
            </w:r>
            <w:r w:rsidRPr="0051499D" w:rsidR="005E7DB9">
              <w:rPr>
                <w:sz w:val="22"/>
                <w:szCs w:val="22"/>
              </w:rPr>
              <w:t>11 (</w:t>
            </w:r>
            <w:r w:rsidRPr="0051499D" w:rsidR="00DA0828">
              <w:rPr>
                <w:sz w:val="22"/>
                <w:szCs w:val="22"/>
              </w:rPr>
              <w:t>a</w:t>
            </w:r>
            <w:r w:rsidRPr="0051499D" w:rsidR="005E7DB9">
              <w:rPr>
                <w:sz w:val="22"/>
                <w:szCs w:val="22"/>
              </w:rPr>
              <w:t>)</w:t>
            </w:r>
            <w:r w:rsidRPr="0051499D" w:rsidR="00DA0828">
              <w:rPr>
                <w:sz w:val="22"/>
                <w:szCs w:val="22"/>
              </w:rPr>
              <w:t xml:space="preserve"> – (c)</w:t>
            </w:r>
          </w:p>
        </w:tc>
        <w:tc>
          <w:tcPr>
            <w:tcW w:w="1710" w:type="dxa"/>
            <w:vAlign w:val="center"/>
          </w:tcPr>
          <w:p w:rsidRPr="0051499D" w:rsidR="007C1298" w:rsidP="004F360C" w:rsidRDefault="00A7692A" w14:paraId="2FC706DD" w14:textId="76340A61">
            <w:pPr>
              <w:jc w:val="center"/>
              <w:rPr>
                <w:color w:val="000000"/>
                <w:sz w:val="22"/>
                <w:szCs w:val="22"/>
              </w:rPr>
            </w:pPr>
            <w:r w:rsidRPr="0051499D">
              <w:rPr>
                <w:color w:val="000000"/>
                <w:sz w:val="22"/>
                <w:szCs w:val="22"/>
              </w:rPr>
              <w:t>1</w:t>
            </w:r>
          </w:p>
        </w:tc>
        <w:tc>
          <w:tcPr>
            <w:tcW w:w="1620" w:type="dxa"/>
            <w:vAlign w:val="center"/>
          </w:tcPr>
          <w:p w:rsidRPr="0051499D" w:rsidR="007C1298" w:rsidP="000B5F98" w:rsidRDefault="007C1298" w14:paraId="4C3F53A6" w14:textId="5B333C52">
            <w:pPr>
              <w:jc w:val="center"/>
              <w:rPr>
                <w:color w:val="000000"/>
                <w:sz w:val="22"/>
                <w:szCs w:val="22"/>
              </w:rPr>
            </w:pPr>
          </w:p>
          <w:p w:rsidRPr="0051499D" w:rsidR="004F360C" w:rsidP="000B5F98" w:rsidRDefault="00A7692A" w14:paraId="089F8BB3" w14:textId="457F1E8E">
            <w:pPr>
              <w:jc w:val="center"/>
              <w:rPr>
                <w:color w:val="000000"/>
                <w:sz w:val="22"/>
                <w:szCs w:val="22"/>
              </w:rPr>
            </w:pPr>
            <w:r w:rsidRPr="0051499D">
              <w:rPr>
                <w:color w:val="000000"/>
                <w:sz w:val="22"/>
                <w:szCs w:val="22"/>
              </w:rPr>
              <w:t>3</w:t>
            </w:r>
            <w:r w:rsidRPr="0051499D" w:rsidR="004F360C">
              <w:rPr>
                <w:color w:val="000000"/>
                <w:sz w:val="22"/>
                <w:szCs w:val="22"/>
              </w:rPr>
              <w:t>,000</w:t>
            </w:r>
            <w:r w:rsidRPr="0051499D" w:rsidR="00375BC3">
              <w:rPr>
                <w:color w:val="000000"/>
                <w:sz w:val="22"/>
                <w:szCs w:val="22"/>
              </w:rPr>
              <w:t xml:space="preserve"> hours</w:t>
            </w:r>
            <w:r w:rsidRPr="0051499D" w:rsidR="00683CC1">
              <w:rPr>
                <w:color w:val="000000"/>
                <w:sz w:val="22"/>
                <w:szCs w:val="22"/>
              </w:rPr>
              <w:t xml:space="preserve"> </w:t>
            </w:r>
          </w:p>
          <w:p w:rsidRPr="0051499D" w:rsidR="00F71BBA" w:rsidP="00687A08" w:rsidRDefault="0030607A" w14:paraId="015F20CF" w14:textId="562E5862">
            <w:pPr>
              <w:jc w:val="center"/>
              <w:rPr>
                <w:color w:val="000000"/>
                <w:sz w:val="22"/>
                <w:szCs w:val="22"/>
              </w:rPr>
            </w:pPr>
            <w:r w:rsidRPr="0030607A">
              <w:rPr>
                <w:color w:val="000000"/>
                <w:sz w:val="22"/>
                <w:szCs w:val="22"/>
              </w:rPr>
              <w:t>$188,505</w:t>
            </w:r>
          </w:p>
        </w:tc>
        <w:tc>
          <w:tcPr>
            <w:tcW w:w="2070" w:type="dxa"/>
          </w:tcPr>
          <w:p w:rsidRPr="0051499D" w:rsidR="001C0FAF" w:rsidP="004F360C" w:rsidRDefault="001C0FAF" w14:paraId="02548625" w14:textId="77777777">
            <w:pPr>
              <w:jc w:val="center"/>
              <w:rPr>
                <w:color w:val="000000"/>
                <w:sz w:val="22"/>
                <w:szCs w:val="22"/>
              </w:rPr>
            </w:pPr>
          </w:p>
          <w:p w:rsidRPr="0051499D" w:rsidR="00683CC1" w:rsidP="00683CC1" w:rsidRDefault="001C0FAF" w14:paraId="6391142B" w14:textId="50C2D046">
            <w:pPr>
              <w:jc w:val="center"/>
              <w:rPr>
                <w:color w:val="000000"/>
                <w:sz w:val="22"/>
                <w:szCs w:val="22"/>
              </w:rPr>
            </w:pPr>
            <w:r w:rsidRPr="0051499D">
              <w:rPr>
                <w:color w:val="000000"/>
                <w:sz w:val="22"/>
                <w:szCs w:val="22"/>
              </w:rPr>
              <w:t xml:space="preserve"> </w:t>
            </w:r>
            <w:r w:rsidRPr="0051499D" w:rsidR="00A7692A">
              <w:rPr>
                <w:color w:val="000000"/>
                <w:sz w:val="22"/>
                <w:szCs w:val="22"/>
              </w:rPr>
              <w:t>333</w:t>
            </w:r>
            <w:r w:rsidRPr="0051499D" w:rsidR="00375BC3">
              <w:rPr>
                <w:color w:val="000000"/>
                <w:sz w:val="22"/>
                <w:szCs w:val="22"/>
              </w:rPr>
              <w:t xml:space="preserve"> hours</w:t>
            </w:r>
            <w:r w:rsidRPr="0051499D" w:rsidR="00683CC1">
              <w:rPr>
                <w:color w:val="000000"/>
                <w:sz w:val="22"/>
                <w:szCs w:val="22"/>
              </w:rPr>
              <w:t xml:space="preserve"> each</w:t>
            </w:r>
          </w:p>
          <w:p w:rsidRPr="0051499D" w:rsidR="00F71BBA" w:rsidP="00687A08" w:rsidRDefault="0030607A" w14:paraId="38D63E76" w14:textId="12E9A812">
            <w:pPr>
              <w:jc w:val="center"/>
              <w:rPr>
                <w:color w:val="000000"/>
                <w:sz w:val="22"/>
                <w:szCs w:val="22"/>
              </w:rPr>
            </w:pPr>
            <w:r w:rsidRPr="0030607A">
              <w:rPr>
                <w:color w:val="000000"/>
                <w:sz w:val="22"/>
                <w:szCs w:val="22"/>
              </w:rPr>
              <w:t>$30,844</w:t>
            </w:r>
          </w:p>
        </w:tc>
        <w:tc>
          <w:tcPr>
            <w:tcW w:w="1440" w:type="dxa"/>
            <w:vAlign w:val="center"/>
          </w:tcPr>
          <w:p w:rsidRPr="0051499D" w:rsidR="007C1298" w:rsidP="00687A08" w:rsidRDefault="0030607A" w14:paraId="397A547B" w14:textId="6E9EFA95">
            <w:pPr>
              <w:jc w:val="center"/>
              <w:rPr>
                <w:color w:val="000000"/>
                <w:sz w:val="22"/>
                <w:szCs w:val="22"/>
              </w:rPr>
            </w:pPr>
            <w:r w:rsidRPr="0030607A">
              <w:rPr>
                <w:color w:val="000000"/>
                <w:sz w:val="22"/>
                <w:szCs w:val="22"/>
              </w:rPr>
              <w:t>$219,349</w:t>
            </w:r>
          </w:p>
        </w:tc>
      </w:tr>
      <w:tr w:rsidRPr="001E723D" w:rsidR="00687A08" w:rsidTr="0051499D" w14:paraId="09B76D43" w14:textId="77777777">
        <w:trPr>
          <w:trHeight w:val="440"/>
        </w:trPr>
        <w:tc>
          <w:tcPr>
            <w:tcW w:w="1795" w:type="dxa"/>
            <w:vAlign w:val="center"/>
          </w:tcPr>
          <w:p w:rsidRPr="0051499D" w:rsidR="007C1298" w:rsidP="0051499D" w:rsidRDefault="007C1298" w14:paraId="015C5329" w14:textId="77777777">
            <w:pPr>
              <w:rPr>
                <w:b/>
                <w:sz w:val="22"/>
                <w:szCs w:val="22"/>
              </w:rPr>
            </w:pPr>
            <w:r w:rsidRPr="0051499D">
              <w:rPr>
                <w:b/>
                <w:sz w:val="22"/>
                <w:szCs w:val="22"/>
              </w:rPr>
              <w:t>Total</w:t>
            </w:r>
          </w:p>
        </w:tc>
        <w:tc>
          <w:tcPr>
            <w:tcW w:w="1710" w:type="dxa"/>
            <w:vAlign w:val="center"/>
          </w:tcPr>
          <w:p w:rsidRPr="0051499D" w:rsidR="007C1298" w:rsidP="004F360C" w:rsidRDefault="00A7692A" w14:paraId="4DEEF9AD" w14:textId="31B80C15">
            <w:pPr>
              <w:jc w:val="center"/>
              <w:rPr>
                <w:b/>
                <w:color w:val="000000"/>
                <w:sz w:val="22"/>
                <w:szCs w:val="22"/>
              </w:rPr>
            </w:pPr>
            <w:r w:rsidRPr="0051499D">
              <w:rPr>
                <w:b/>
                <w:color w:val="000000"/>
                <w:sz w:val="22"/>
                <w:szCs w:val="22"/>
              </w:rPr>
              <w:t>1</w:t>
            </w:r>
          </w:p>
        </w:tc>
        <w:tc>
          <w:tcPr>
            <w:tcW w:w="1620" w:type="dxa"/>
            <w:shd w:val="clear" w:color="auto" w:fill="F2F2F2" w:themeFill="background1" w:themeFillShade="F2"/>
            <w:vAlign w:val="center"/>
          </w:tcPr>
          <w:p w:rsidRPr="0051499D" w:rsidR="007C1298" w:rsidP="000B5F98" w:rsidRDefault="00687A08" w14:paraId="3F85DDD0" w14:textId="7CB43E9E">
            <w:pPr>
              <w:jc w:val="center"/>
              <w:rPr>
                <w:b/>
                <w:color w:val="000000"/>
                <w:sz w:val="22"/>
                <w:szCs w:val="22"/>
              </w:rPr>
            </w:pPr>
            <w:r w:rsidRPr="0051499D">
              <w:rPr>
                <w:b/>
                <w:color w:val="000000"/>
                <w:sz w:val="22"/>
                <w:szCs w:val="22"/>
              </w:rPr>
              <w:t>6</w:t>
            </w:r>
            <w:r w:rsidRPr="0051499D" w:rsidR="001C0FAF">
              <w:rPr>
                <w:b/>
                <w:color w:val="000000"/>
                <w:sz w:val="22"/>
                <w:szCs w:val="22"/>
              </w:rPr>
              <w:t>,000 hours</w:t>
            </w:r>
          </w:p>
          <w:p w:rsidRPr="0051499D" w:rsidR="00076004" w:rsidP="00687A08" w:rsidRDefault="0030607A" w14:paraId="63ED3B03" w14:textId="74A8DE2D">
            <w:pPr>
              <w:jc w:val="center"/>
              <w:rPr>
                <w:b/>
                <w:color w:val="000000"/>
                <w:sz w:val="22"/>
                <w:szCs w:val="22"/>
              </w:rPr>
            </w:pPr>
            <w:r w:rsidRPr="0030607A">
              <w:rPr>
                <w:b/>
                <w:color w:val="000000"/>
                <w:sz w:val="22"/>
                <w:szCs w:val="22"/>
              </w:rPr>
              <w:t>$377,010</w:t>
            </w:r>
          </w:p>
        </w:tc>
        <w:tc>
          <w:tcPr>
            <w:tcW w:w="2070" w:type="dxa"/>
          </w:tcPr>
          <w:p w:rsidRPr="0051499D" w:rsidR="00F71BBA" w:rsidP="00F67B1C" w:rsidRDefault="0030607A" w14:paraId="19F09009" w14:textId="42E20ADE">
            <w:pPr>
              <w:jc w:val="center"/>
              <w:rPr>
                <w:b/>
                <w:color w:val="000000"/>
                <w:sz w:val="22"/>
                <w:szCs w:val="22"/>
              </w:rPr>
            </w:pPr>
            <w:r>
              <w:rPr>
                <w:b/>
                <w:color w:val="000000"/>
                <w:sz w:val="22"/>
                <w:szCs w:val="22"/>
              </w:rPr>
              <w:t>666</w:t>
            </w:r>
            <w:r w:rsidRPr="0051499D">
              <w:rPr>
                <w:b/>
                <w:color w:val="000000"/>
                <w:sz w:val="22"/>
                <w:szCs w:val="22"/>
              </w:rPr>
              <w:t xml:space="preserve"> </w:t>
            </w:r>
            <w:r w:rsidRPr="0051499D" w:rsidR="001C0FAF">
              <w:rPr>
                <w:b/>
                <w:color w:val="000000"/>
                <w:sz w:val="22"/>
                <w:szCs w:val="22"/>
              </w:rPr>
              <w:t>hours</w:t>
            </w:r>
          </w:p>
          <w:p w:rsidRPr="0051499D" w:rsidR="00076004" w:rsidP="00687A08" w:rsidRDefault="0030607A" w14:paraId="311412A0" w14:textId="2ECE65F8">
            <w:pPr>
              <w:jc w:val="center"/>
              <w:rPr>
                <w:b/>
                <w:color w:val="000000"/>
                <w:sz w:val="22"/>
                <w:szCs w:val="22"/>
              </w:rPr>
            </w:pPr>
            <w:r w:rsidRPr="0030607A">
              <w:rPr>
                <w:b/>
                <w:color w:val="000000"/>
                <w:sz w:val="22"/>
                <w:szCs w:val="22"/>
              </w:rPr>
              <w:t>$61,688.25</w:t>
            </w:r>
          </w:p>
        </w:tc>
        <w:tc>
          <w:tcPr>
            <w:tcW w:w="1440" w:type="dxa"/>
            <w:vAlign w:val="center"/>
          </w:tcPr>
          <w:p w:rsidRPr="0051499D" w:rsidR="007C1298" w:rsidP="00687A08" w:rsidRDefault="0030607A" w14:paraId="1EFDCD3D" w14:textId="64E4C110">
            <w:pPr>
              <w:jc w:val="center"/>
              <w:rPr>
                <w:b/>
                <w:color w:val="000000"/>
                <w:sz w:val="22"/>
                <w:szCs w:val="22"/>
              </w:rPr>
            </w:pPr>
            <w:r w:rsidRPr="0030607A">
              <w:rPr>
                <w:b/>
                <w:color w:val="000000"/>
                <w:sz w:val="22"/>
                <w:szCs w:val="22"/>
              </w:rPr>
              <w:t>$438,698</w:t>
            </w:r>
          </w:p>
        </w:tc>
      </w:tr>
    </w:tbl>
    <w:p w:rsidRPr="0051499D" w:rsidR="000B5F98" w:rsidP="00917918" w:rsidRDefault="000B5F98" w14:paraId="5CE75D7C" w14:textId="063A56BA">
      <w:pPr>
        <w:rPr>
          <w:sz w:val="22"/>
          <w:szCs w:val="22"/>
        </w:rPr>
      </w:pPr>
    </w:p>
    <w:p w:rsidRPr="0051499D" w:rsidR="00917918" w:rsidRDefault="00917918" w14:paraId="32FA361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szCs w:val="22"/>
        </w:rPr>
      </w:pPr>
    </w:p>
    <w:p w:rsidRPr="0051499D" w:rsidR="00295103" w:rsidRDefault="00295103" w14:paraId="43F9D43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szCs w:val="22"/>
        </w:rPr>
      </w:pPr>
      <w:r w:rsidRPr="0051499D">
        <w:rPr>
          <w:b/>
          <w:sz w:val="22"/>
          <w:szCs w:val="22"/>
        </w:rPr>
        <w:t>15.</w:t>
      </w:r>
      <w:r w:rsidRPr="0051499D">
        <w:rPr>
          <w:b/>
          <w:sz w:val="22"/>
          <w:szCs w:val="22"/>
        </w:rPr>
        <w:tab/>
        <w:t xml:space="preserve">Explain the reasons for any program changes or adjustments </w:t>
      </w:r>
      <w:r w:rsidRPr="0051499D" w:rsidR="00F73931">
        <w:rPr>
          <w:b/>
          <w:sz w:val="22"/>
          <w:szCs w:val="22"/>
        </w:rPr>
        <w:t>in hour or cost burden</w:t>
      </w:r>
      <w:r w:rsidRPr="0051499D" w:rsidR="0060758B">
        <w:rPr>
          <w:b/>
          <w:sz w:val="22"/>
          <w:szCs w:val="22"/>
        </w:rPr>
        <w:t>.</w:t>
      </w:r>
    </w:p>
    <w:p w:rsidR="007F183E" w:rsidP="002C2DA0" w:rsidRDefault="007F183E" w14:paraId="3117548E" w14:textId="58EFE63E">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D7712F" w:rsidP="002C2DA0" w:rsidRDefault="007F183E" w14:paraId="625017BA" w14:textId="31605D81">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7F183E">
        <w:rPr>
          <w:sz w:val="22"/>
          <w:szCs w:val="22"/>
        </w:rPr>
        <w:t xml:space="preserve">We are no longer planning to revise this information collection to include collections of information related to petitions for Federal acknowledgment under 25 CFR part 82, for entities in Alaska that were not recognized as bands or Tribes before 1936, as stated in the proposed rule published in the Federal Register of January 2, 2020 (85 FR 26902) and May 5, 2020 (85 FR 26902).  </w:t>
      </w:r>
      <w:bookmarkStart w:name="_Hlk84451334" w:id="2"/>
      <w:r w:rsidRPr="005E580E" w:rsidR="005E580E">
        <w:rPr>
          <w:sz w:val="22"/>
          <w:szCs w:val="22"/>
        </w:rPr>
        <w:t>A decrease of 80 hours was made to adjust for part 82 technical assistance.</w:t>
      </w:r>
      <w:bookmarkEnd w:id="2"/>
    </w:p>
    <w:p w:rsidR="007125B1" w:rsidP="002C2DA0" w:rsidRDefault="007125B1" w14:paraId="709317F7" w14:textId="2F936A13">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Pr="0051499D" w:rsidR="00E06A18" w:rsidRDefault="00262319" w14:paraId="743F8647" w14:textId="6EB9B9DC">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 xml:space="preserve">We are planning to revise </w:t>
      </w:r>
      <w:r w:rsidRPr="0051499D" w:rsidR="0015150A">
        <w:rPr>
          <w:sz w:val="22"/>
          <w:szCs w:val="22"/>
        </w:rPr>
        <w:t>the header in F</w:t>
      </w:r>
      <w:r w:rsidR="00E4791E">
        <w:rPr>
          <w:sz w:val="22"/>
          <w:szCs w:val="22"/>
        </w:rPr>
        <w:t>or</w:t>
      </w:r>
      <w:r w:rsidRPr="0051499D" w:rsidR="0015150A">
        <w:rPr>
          <w:sz w:val="22"/>
          <w:szCs w:val="22"/>
        </w:rPr>
        <w:t>m 8304 (Individual History Chart) to comply to with E.O. 13988 of Jan 20, 2021, “Preventing and Combating Discrimination on the Basis of Gender Identity or Sexual Orientation.”</w:t>
      </w:r>
      <w:r>
        <w:rPr>
          <w:sz w:val="22"/>
          <w:szCs w:val="22"/>
        </w:rPr>
        <w:t xml:space="preserve"> This </w:t>
      </w:r>
      <w:r w:rsidR="00C319C6">
        <w:rPr>
          <w:sz w:val="22"/>
          <w:szCs w:val="22"/>
        </w:rPr>
        <w:t xml:space="preserve">is neutral </w:t>
      </w:r>
      <w:r>
        <w:rPr>
          <w:sz w:val="22"/>
          <w:szCs w:val="22"/>
        </w:rPr>
        <w:t xml:space="preserve">revision </w:t>
      </w:r>
      <w:r w:rsidR="00C319C6">
        <w:rPr>
          <w:sz w:val="22"/>
          <w:szCs w:val="22"/>
        </w:rPr>
        <w:t xml:space="preserve">that will not result in </w:t>
      </w:r>
      <w:r w:rsidRPr="00C319C6" w:rsidR="00C319C6">
        <w:rPr>
          <w:sz w:val="22"/>
          <w:szCs w:val="22"/>
        </w:rPr>
        <w:t>adjustments in hour or cost burden.</w:t>
      </w:r>
    </w:p>
    <w:p w:rsidR="007125B1" w:rsidP="002C2DA0" w:rsidRDefault="007125B1" w14:paraId="08971E94" w14:textId="56CBFD7F">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Pr="0051499D" w:rsidR="00C319C6" w:rsidP="00C319C6" w:rsidRDefault="00262319" w14:paraId="165C34FE" w14:textId="455924C8">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We are also planning an e</w:t>
      </w:r>
      <w:r w:rsidR="007125B1">
        <w:rPr>
          <w:sz w:val="22"/>
          <w:szCs w:val="22"/>
        </w:rPr>
        <w:t xml:space="preserve">ditorial change to the instructions in Form </w:t>
      </w:r>
      <w:r w:rsidRPr="007125B1" w:rsidR="007125B1">
        <w:rPr>
          <w:sz w:val="22"/>
          <w:szCs w:val="22"/>
        </w:rPr>
        <w:t>8305 (Ancestry Chart)</w:t>
      </w:r>
      <w:r w:rsidR="00E06A18">
        <w:rPr>
          <w:sz w:val="22"/>
          <w:szCs w:val="22"/>
        </w:rPr>
        <w:t>.</w:t>
      </w:r>
      <w:r w:rsidRPr="00C319C6" w:rsidR="00C319C6">
        <w:rPr>
          <w:sz w:val="22"/>
          <w:szCs w:val="22"/>
        </w:rPr>
        <w:t xml:space="preserve"> </w:t>
      </w:r>
      <w:r w:rsidR="00C319C6">
        <w:rPr>
          <w:sz w:val="22"/>
          <w:szCs w:val="22"/>
        </w:rPr>
        <w:t xml:space="preserve">This is neutral revision that will not result in </w:t>
      </w:r>
      <w:r w:rsidRPr="00C319C6" w:rsidR="00C319C6">
        <w:rPr>
          <w:sz w:val="22"/>
          <w:szCs w:val="22"/>
        </w:rPr>
        <w:t>adjustments in hour or cost burden.</w:t>
      </w:r>
    </w:p>
    <w:p w:rsidRPr="0051499D" w:rsidR="004453DA" w:rsidP="00C319C6" w:rsidRDefault="004453DA" w14:paraId="575B0F19" w14:textId="77777777">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p>
    <w:p w:rsidRPr="0051499D" w:rsidR="00295103" w:rsidRDefault="00295103" w14:paraId="5B5F147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szCs w:val="22"/>
        </w:rPr>
      </w:pPr>
      <w:r w:rsidRPr="0051499D">
        <w:rPr>
          <w:b/>
          <w:sz w:val="22"/>
          <w:szCs w:val="22"/>
        </w:rPr>
        <w:t>16.</w:t>
      </w:r>
      <w:r w:rsidRPr="0051499D">
        <w:rPr>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51499D" w:rsidR="00D7712F" w:rsidP="002C2DA0" w:rsidRDefault="00D7712F" w14:paraId="69A0DFA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Pr="0051499D" w:rsidR="0054272B" w:rsidP="0054272B" w:rsidRDefault="0054272B" w14:paraId="5BB14CB4" w14:textId="6BEB5756">
      <w:pPr>
        <w:rPr>
          <w:sz w:val="22"/>
          <w:szCs w:val="22"/>
        </w:rPr>
      </w:pPr>
      <w:proofErr w:type="gramStart"/>
      <w:r w:rsidRPr="0051499D">
        <w:rPr>
          <w:sz w:val="22"/>
          <w:szCs w:val="22"/>
        </w:rPr>
        <w:t>Acknowledgment decisions (</w:t>
      </w:r>
      <w:r w:rsidRPr="0051499D">
        <w:rPr>
          <w:i/>
          <w:iCs/>
          <w:sz w:val="22"/>
          <w:szCs w:val="22"/>
        </w:rPr>
        <w:t>proposed, final, and reconsidered final</w:t>
      </w:r>
      <w:r w:rsidRPr="0051499D">
        <w:rPr>
          <w:sz w:val="22"/>
          <w:szCs w:val="22"/>
        </w:rPr>
        <w:t>),</w:t>
      </w:r>
      <w:proofErr w:type="gramEnd"/>
      <w:r w:rsidRPr="0051499D">
        <w:rPr>
          <w:sz w:val="22"/>
          <w:szCs w:val="22"/>
        </w:rPr>
        <w:t xml:space="preserve"> consist of detailed evaluations under the criteria established in the regulations.  A summary of the evaluation is published in the Federal Register.  No other publication is made.  Copies of the evaluations are available to the public upon request and are distributed widely within the government and to scholars and interested state, local and tribal governments.  These decision documents are also placed on the Internet</w:t>
      </w:r>
      <w:r w:rsidRPr="0051499D" w:rsidR="00A7692A">
        <w:rPr>
          <w:sz w:val="22"/>
          <w:szCs w:val="22"/>
        </w:rPr>
        <w:t xml:space="preserve"> at: https://www.bia.gov/as-</w:t>
      </w:r>
      <w:r w:rsidRPr="0051499D" w:rsidR="00A7692A">
        <w:rPr>
          <w:sz w:val="22"/>
          <w:szCs w:val="22"/>
        </w:rPr>
        <w:lastRenderedPageBreak/>
        <w:t>ia/ofa/decided-cases</w:t>
      </w:r>
      <w:r w:rsidRPr="0051499D">
        <w:rPr>
          <w:sz w:val="22"/>
          <w:szCs w:val="22"/>
        </w:rPr>
        <w:t>.</w:t>
      </w:r>
    </w:p>
    <w:p w:rsidRPr="0051499D" w:rsidR="00295103" w:rsidRDefault="00295103" w14:paraId="3BD88E5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p>
    <w:p w:rsidRPr="0051499D" w:rsidR="00295103" w:rsidRDefault="00295103" w14:paraId="7DD8E66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szCs w:val="22"/>
        </w:rPr>
      </w:pPr>
      <w:r w:rsidRPr="0051499D">
        <w:rPr>
          <w:b/>
          <w:sz w:val="22"/>
          <w:szCs w:val="22"/>
        </w:rPr>
        <w:t>17.</w:t>
      </w:r>
      <w:r w:rsidRPr="0051499D">
        <w:rPr>
          <w:b/>
          <w:sz w:val="22"/>
          <w:szCs w:val="22"/>
        </w:rPr>
        <w:tab/>
        <w:t>If seeking approval to not display the expiration date for OMB approval of the information collection, explain the reasons that display would be inappropriate.</w:t>
      </w:r>
    </w:p>
    <w:p w:rsidRPr="0051499D" w:rsidR="00D7712F" w:rsidP="002C2DA0" w:rsidRDefault="00D7712F" w14:paraId="050D19D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Pr="0051499D" w:rsidR="002C2DA0" w:rsidP="002C2DA0" w:rsidRDefault="00557B32" w14:paraId="62A483E6" w14:textId="07E4EA3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51499D">
        <w:rPr>
          <w:sz w:val="22"/>
          <w:szCs w:val="22"/>
        </w:rPr>
        <w:t xml:space="preserve">We will display the OMB Control Number and the expiration date on all forms.  </w:t>
      </w:r>
      <w:r w:rsidRPr="0051499D" w:rsidR="002C2DA0">
        <w:rPr>
          <w:sz w:val="22"/>
          <w:szCs w:val="22"/>
        </w:rPr>
        <w:t xml:space="preserve">Any communications with the </w:t>
      </w:r>
      <w:r w:rsidR="009E6E6C">
        <w:rPr>
          <w:sz w:val="22"/>
          <w:szCs w:val="22"/>
        </w:rPr>
        <w:t>Tribes</w:t>
      </w:r>
      <w:r w:rsidRPr="0051499D" w:rsidR="002C2DA0">
        <w:rPr>
          <w:sz w:val="22"/>
          <w:szCs w:val="22"/>
        </w:rPr>
        <w:t xml:space="preserve"> </w:t>
      </w:r>
      <w:proofErr w:type="gramStart"/>
      <w:r w:rsidRPr="0051499D" w:rsidR="002C2DA0">
        <w:rPr>
          <w:sz w:val="22"/>
          <w:szCs w:val="22"/>
        </w:rPr>
        <w:t>with regard to</w:t>
      </w:r>
      <w:proofErr w:type="gramEnd"/>
      <w:r w:rsidRPr="0051499D" w:rsidR="002C2DA0">
        <w:rPr>
          <w:sz w:val="22"/>
          <w:szCs w:val="22"/>
        </w:rPr>
        <w:t xml:space="preserve"> this collection will cite the OMB Control Number and expiration date.  </w:t>
      </w:r>
    </w:p>
    <w:p w:rsidRPr="0051499D" w:rsidR="00295103" w:rsidRDefault="00295103" w14:paraId="5C64FCF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p>
    <w:p w:rsidRPr="0051499D" w:rsidR="00295103" w:rsidRDefault="00295103" w14:paraId="294AB8C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szCs w:val="22"/>
        </w:rPr>
      </w:pPr>
      <w:r w:rsidRPr="0051499D">
        <w:rPr>
          <w:b/>
          <w:sz w:val="22"/>
          <w:szCs w:val="22"/>
        </w:rPr>
        <w:t>18.</w:t>
      </w:r>
      <w:r w:rsidRPr="0051499D">
        <w:rPr>
          <w:b/>
          <w:sz w:val="22"/>
          <w:szCs w:val="22"/>
        </w:rPr>
        <w:tab/>
        <w:t xml:space="preserve">Explain each exception to the </w:t>
      </w:r>
      <w:r w:rsidRPr="0051499D" w:rsidR="005D39A7">
        <w:rPr>
          <w:b/>
          <w:sz w:val="22"/>
          <w:szCs w:val="22"/>
        </w:rPr>
        <w:t xml:space="preserve">topics of the </w:t>
      </w:r>
      <w:r w:rsidRPr="0051499D">
        <w:rPr>
          <w:b/>
          <w:sz w:val="22"/>
          <w:szCs w:val="22"/>
        </w:rPr>
        <w:t>certification statement identified in "Certification for Paperwork Reduction Act Submissions</w:t>
      </w:r>
      <w:r w:rsidRPr="0051499D" w:rsidR="005D39A7">
        <w:rPr>
          <w:b/>
          <w:sz w:val="22"/>
          <w:szCs w:val="22"/>
        </w:rPr>
        <w:t>.</w:t>
      </w:r>
      <w:r w:rsidRPr="0051499D">
        <w:rPr>
          <w:b/>
          <w:sz w:val="22"/>
          <w:szCs w:val="22"/>
        </w:rPr>
        <w:t>"</w:t>
      </w:r>
    </w:p>
    <w:p w:rsidRPr="0051499D" w:rsidR="00D7712F" w:rsidRDefault="00D7712F" w14:paraId="32A0551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Pr="0051499D" w:rsidR="00295103" w:rsidRDefault="002C2DA0" w14:paraId="4BEDD55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51499D">
        <w:rPr>
          <w:sz w:val="22"/>
          <w:szCs w:val="22"/>
        </w:rPr>
        <w:t>There are no exceptions</w:t>
      </w:r>
      <w:r w:rsidRPr="0051499D" w:rsidR="00D7712F">
        <w:rPr>
          <w:sz w:val="22"/>
          <w:szCs w:val="22"/>
        </w:rPr>
        <w:t>.</w:t>
      </w:r>
    </w:p>
    <w:p w:rsidRPr="0051499D" w:rsidR="00190522" w:rsidP="00A16509" w:rsidRDefault="00190522" w14:paraId="7E1E06A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p>
    <w:sectPr w:rsidRPr="0051499D" w:rsidR="00190522" w:rsidSect="00786D92">
      <w:headerReference w:type="default" r:id="rId21"/>
      <w:footerReference w:type="default" r:id="rId22"/>
      <w:pgSz w:w="12240" w:h="15840"/>
      <w:pgMar w:top="1440" w:right="1440" w:bottom="1440" w:left="1440" w:header="1440" w:footer="14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A92BD5" w14:textId="77777777" w:rsidR="00262319" w:rsidRDefault="00262319">
      <w:r>
        <w:separator/>
      </w:r>
    </w:p>
  </w:endnote>
  <w:endnote w:type="continuationSeparator" w:id="0">
    <w:p w14:paraId="6F928E35" w14:textId="77777777" w:rsidR="00262319" w:rsidRDefault="00262319">
      <w:r>
        <w:continuationSeparator/>
      </w:r>
    </w:p>
  </w:endnote>
  <w:endnote w:type="continuationNotice" w:id="1">
    <w:p w14:paraId="4BC94C4A" w14:textId="77777777" w:rsidR="00262319" w:rsidRDefault="002623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CEEB3C" w14:textId="200F346A" w:rsidR="00262319" w:rsidRDefault="00262319">
    <w:pPr>
      <w:pStyle w:val="Footer"/>
      <w:jc w:val="center"/>
    </w:pPr>
    <w:r>
      <w:fldChar w:fldCharType="begin"/>
    </w:r>
    <w:r>
      <w:instrText xml:space="preserve"> PAGE   \* MERGEFORMAT </w:instrText>
    </w:r>
    <w:r>
      <w:fldChar w:fldCharType="separate"/>
    </w:r>
    <w:r>
      <w:rPr>
        <w:noProof/>
      </w:rPr>
      <w:t>18</w:t>
    </w:r>
    <w:r>
      <w:rPr>
        <w:noProof/>
      </w:rPr>
      <w:fldChar w:fldCharType="end"/>
    </w:r>
  </w:p>
  <w:p w14:paraId="5D232E05" w14:textId="77777777" w:rsidR="00262319" w:rsidRDefault="002623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CF0372" w14:textId="77777777" w:rsidR="00262319" w:rsidRDefault="00262319">
      <w:r>
        <w:separator/>
      </w:r>
    </w:p>
  </w:footnote>
  <w:footnote w:type="continuationSeparator" w:id="0">
    <w:p w14:paraId="3366ACF0" w14:textId="77777777" w:rsidR="00262319" w:rsidRDefault="00262319">
      <w:r>
        <w:continuationSeparator/>
      </w:r>
    </w:p>
  </w:footnote>
  <w:footnote w:type="continuationNotice" w:id="1">
    <w:p w14:paraId="37CD72B0" w14:textId="77777777" w:rsidR="00262319" w:rsidRDefault="00262319"/>
  </w:footnote>
  <w:footnote w:id="2">
    <w:p w14:paraId="5B9D9D77" w14:textId="77777777" w:rsidR="00262319" w:rsidRDefault="00262319">
      <w:pPr>
        <w:pStyle w:val="FootnoteText"/>
      </w:pPr>
      <w:r>
        <w:rPr>
          <w:rStyle w:val="FootnoteReference"/>
        </w:rPr>
        <w:footnoteRef/>
      </w:r>
      <w:r>
        <w:t xml:space="preserve"> This does not address contracted services, such as genealogists retained on a contract basis.  Contracted services are addressed in no. 13.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30BBA9" w14:textId="77777777" w:rsidR="00262319" w:rsidRDefault="002623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66D86"/>
    <w:multiLevelType w:val="hybridMultilevel"/>
    <w:tmpl w:val="EBE8B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C1551"/>
    <w:multiLevelType w:val="hybridMultilevel"/>
    <w:tmpl w:val="CA22FEFE"/>
    <w:lvl w:ilvl="0" w:tplc="9F6C6AEE">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1E4CBE"/>
    <w:multiLevelType w:val="hybridMultilevel"/>
    <w:tmpl w:val="CEF88D4A"/>
    <w:lvl w:ilvl="0" w:tplc="43E2994E">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BB0DBA"/>
    <w:multiLevelType w:val="hybridMultilevel"/>
    <w:tmpl w:val="9B6042B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9E6697B"/>
    <w:multiLevelType w:val="hybridMultilevel"/>
    <w:tmpl w:val="84820DD8"/>
    <w:lvl w:ilvl="0" w:tplc="5C24268E">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9309B9"/>
    <w:multiLevelType w:val="hybridMultilevel"/>
    <w:tmpl w:val="35E4DB0A"/>
    <w:lvl w:ilvl="0" w:tplc="71CAC886">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8D6ADE"/>
    <w:multiLevelType w:val="hybridMultilevel"/>
    <w:tmpl w:val="8A960534"/>
    <w:lvl w:ilvl="0" w:tplc="98849EAA">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1E0783"/>
    <w:multiLevelType w:val="hybridMultilevel"/>
    <w:tmpl w:val="C3E25F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13582E"/>
    <w:multiLevelType w:val="hybridMultilevel"/>
    <w:tmpl w:val="3A0EA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153C0A"/>
    <w:multiLevelType w:val="hybridMultilevel"/>
    <w:tmpl w:val="073E118E"/>
    <w:lvl w:ilvl="0" w:tplc="C688DB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B34DF7"/>
    <w:multiLevelType w:val="hybridMultilevel"/>
    <w:tmpl w:val="AA868C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D734E6"/>
    <w:multiLevelType w:val="hybridMultilevel"/>
    <w:tmpl w:val="29E0D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D17A01"/>
    <w:multiLevelType w:val="hybridMultilevel"/>
    <w:tmpl w:val="B0FEB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A621FC"/>
    <w:multiLevelType w:val="hybridMultilevel"/>
    <w:tmpl w:val="10085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0E1B2D"/>
    <w:multiLevelType w:val="hybridMultilevel"/>
    <w:tmpl w:val="A296F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4B658B"/>
    <w:multiLevelType w:val="hybridMultilevel"/>
    <w:tmpl w:val="A00A2978"/>
    <w:lvl w:ilvl="0" w:tplc="451483FA">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60508B"/>
    <w:multiLevelType w:val="hybridMultilevel"/>
    <w:tmpl w:val="5028A19C"/>
    <w:lvl w:ilvl="0" w:tplc="11A44194">
      <w:start w:val="8"/>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7" w15:restartNumberingAfterBreak="0">
    <w:nsid w:val="68E7437F"/>
    <w:multiLevelType w:val="hybridMultilevel"/>
    <w:tmpl w:val="630418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7B7E96"/>
    <w:multiLevelType w:val="hybridMultilevel"/>
    <w:tmpl w:val="077A490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29335C5"/>
    <w:multiLevelType w:val="hybridMultilevel"/>
    <w:tmpl w:val="F42CFB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
  </w:num>
  <w:num w:numId="3">
    <w:abstractNumId w:val="13"/>
  </w:num>
  <w:num w:numId="4">
    <w:abstractNumId w:val="10"/>
  </w:num>
  <w:num w:numId="5">
    <w:abstractNumId w:val="9"/>
  </w:num>
  <w:num w:numId="6">
    <w:abstractNumId w:val="17"/>
  </w:num>
  <w:num w:numId="7">
    <w:abstractNumId w:val="8"/>
  </w:num>
  <w:num w:numId="8">
    <w:abstractNumId w:val="16"/>
  </w:num>
  <w:num w:numId="9">
    <w:abstractNumId w:val="1"/>
  </w:num>
  <w:num w:numId="10">
    <w:abstractNumId w:val="4"/>
  </w:num>
  <w:num w:numId="11">
    <w:abstractNumId w:val="5"/>
  </w:num>
  <w:num w:numId="12">
    <w:abstractNumId w:val="6"/>
  </w:num>
  <w:num w:numId="13">
    <w:abstractNumId w:val="15"/>
  </w:num>
  <w:num w:numId="14">
    <w:abstractNumId w:val="18"/>
  </w:num>
  <w:num w:numId="15">
    <w:abstractNumId w:val="12"/>
  </w:num>
  <w:num w:numId="16">
    <w:abstractNumId w:val="7"/>
  </w:num>
  <w:num w:numId="17">
    <w:abstractNumId w:val="3"/>
  </w:num>
  <w:num w:numId="18">
    <w:abstractNumId w:val="0"/>
  </w:num>
  <w:num w:numId="19">
    <w:abstractNumId w:val="11"/>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1E9"/>
    <w:rsid w:val="000078AE"/>
    <w:rsid w:val="000117E9"/>
    <w:rsid w:val="00015098"/>
    <w:rsid w:val="0001755F"/>
    <w:rsid w:val="0001779A"/>
    <w:rsid w:val="000257C8"/>
    <w:rsid w:val="00025DEB"/>
    <w:rsid w:val="00026233"/>
    <w:rsid w:val="00036BA0"/>
    <w:rsid w:val="00037F39"/>
    <w:rsid w:val="000473C6"/>
    <w:rsid w:val="000528DC"/>
    <w:rsid w:val="000605F8"/>
    <w:rsid w:val="000732DA"/>
    <w:rsid w:val="00074FAB"/>
    <w:rsid w:val="00076004"/>
    <w:rsid w:val="00084FD4"/>
    <w:rsid w:val="000905E3"/>
    <w:rsid w:val="000B5F98"/>
    <w:rsid w:val="000B629C"/>
    <w:rsid w:val="000B6819"/>
    <w:rsid w:val="000B6B13"/>
    <w:rsid w:val="000B7B1D"/>
    <w:rsid w:val="000B7F90"/>
    <w:rsid w:val="000C18D8"/>
    <w:rsid w:val="000C5682"/>
    <w:rsid w:val="000D03AB"/>
    <w:rsid w:val="000D0D24"/>
    <w:rsid w:val="000D3740"/>
    <w:rsid w:val="000D3AE6"/>
    <w:rsid w:val="000E5BE3"/>
    <w:rsid w:val="000F1C17"/>
    <w:rsid w:val="000F3AF1"/>
    <w:rsid w:val="000F672C"/>
    <w:rsid w:val="0010193D"/>
    <w:rsid w:val="00102F11"/>
    <w:rsid w:val="001047DA"/>
    <w:rsid w:val="001059CE"/>
    <w:rsid w:val="001209DD"/>
    <w:rsid w:val="00133401"/>
    <w:rsid w:val="00135264"/>
    <w:rsid w:val="001363E6"/>
    <w:rsid w:val="0015150A"/>
    <w:rsid w:val="00154652"/>
    <w:rsid w:val="00156A20"/>
    <w:rsid w:val="0016100C"/>
    <w:rsid w:val="00162B02"/>
    <w:rsid w:val="00172348"/>
    <w:rsid w:val="00177385"/>
    <w:rsid w:val="00190522"/>
    <w:rsid w:val="00191B11"/>
    <w:rsid w:val="00196A59"/>
    <w:rsid w:val="001A03C1"/>
    <w:rsid w:val="001A10BC"/>
    <w:rsid w:val="001B21DE"/>
    <w:rsid w:val="001B3CBF"/>
    <w:rsid w:val="001B41F2"/>
    <w:rsid w:val="001C0FAF"/>
    <w:rsid w:val="001C1D36"/>
    <w:rsid w:val="001D5250"/>
    <w:rsid w:val="001E030C"/>
    <w:rsid w:val="001E4096"/>
    <w:rsid w:val="001E723D"/>
    <w:rsid w:val="001F1126"/>
    <w:rsid w:val="001F5C29"/>
    <w:rsid w:val="00217B67"/>
    <w:rsid w:val="002245FA"/>
    <w:rsid w:val="00232985"/>
    <w:rsid w:val="00233326"/>
    <w:rsid w:val="00237225"/>
    <w:rsid w:val="002418F5"/>
    <w:rsid w:val="0024472A"/>
    <w:rsid w:val="0025546F"/>
    <w:rsid w:val="00262319"/>
    <w:rsid w:val="00263E04"/>
    <w:rsid w:val="00267A68"/>
    <w:rsid w:val="00285AAE"/>
    <w:rsid w:val="0028623C"/>
    <w:rsid w:val="002947AB"/>
    <w:rsid w:val="00295103"/>
    <w:rsid w:val="002B447B"/>
    <w:rsid w:val="002C1D41"/>
    <w:rsid w:val="002C2DA0"/>
    <w:rsid w:val="002C53EA"/>
    <w:rsid w:val="002D0B91"/>
    <w:rsid w:val="002E0350"/>
    <w:rsid w:val="002E5F22"/>
    <w:rsid w:val="002F2A85"/>
    <w:rsid w:val="002F423C"/>
    <w:rsid w:val="002F4290"/>
    <w:rsid w:val="00300F55"/>
    <w:rsid w:val="0030607A"/>
    <w:rsid w:val="00314FCA"/>
    <w:rsid w:val="00333CD4"/>
    <w:rsid w:val="00333F5C"/>
    <w:rsid w:val="00343674"/>
    <w:rsid w:val="00350251"/>
    <w:rsid w:val="00352210"/>
    <w:rsid w:val="003556A5"/>
    <w:rsid w:val="0037250B"/>
    <w:rsid w:val="00375BC3"/>
    <w:rsid w:val="003B0A10"/>
    <w:rsid w:val="003B4290"/>
    <w:rsid w:val="003B4E52"/>
    <w:rsid w:val="003B5CB7"/>
    <w:rsid w:val="003C3292"/>
    <w:rsid w:val="003C4FF1"/>
    <w:rsid w:val="003D5D94"/>
    <w:rsid w:val="003D6198"/>
    <w:rsid w:val="003F1009"/>
    <w:rsid w:val="003F6C51"/>
    <w:rsid w:val="00406014"/>
    <w:rsid w:val="00420C3A"/>
    <w:rsid w:val="004233A3"/>
    <w:rsid w:val="00426DA0"/>
    <w:rsid w:val="00430FE1"/>
    <w:rsid w:val="00442A17"/>
    <w:rsid w:val="004453DA"/>
    <w:rsid w:val="004457BB"/>
    <w:rsid w:val="00451684"/>
    <w:rsid w:val="00480944"/>
    <w:rsid w:val="00494933"/>
    <w:rsid w:val="004A6DFA"/>
    <w:rsid w:val="004A780A"/>
    <w:rsid w:val="004A7A9A"/>
    <w:rsid w:val="004B5810"/>
    <w:rsid w:val="004B5FBF"/>
    <w:rsid w:val="004C6DBD"/>
    <w:rsid w:val="004F2392"/>
    <w:rsid w:val="004F360C"/>
    <w:rsid w:val="004F466F"/>
    <w:rsid w:val="005045FB"/>
    <w:rsid w:val="00510FF8"/>
    <w:rsid w:val="0051499D"/>
    <w:rsid w:val="00514FB3"/>
    <w:rsid w:val="00521A4F"/>
    <w:rsid w:val="00525467"/>
    <w:rsid w:val="00527C6C"/>
    <w:rsid w:val="00532D5F"/>
    <w:rsid w:val="00533023"/>
    <w:rsid w:val="00533157"/>
    <w:rsid w:val="00534FE8"/>
    <w:rsid w:val="00535EDE"/>
    <w:rsid w:val="005410FD"/>
    <w:rsid w:val="0054272B"/>
    <w:rsid w:val="00557B32"/>
    <w:rsid w:val="00563E17"/>
    <w:rsid w:val="00570242"/>
    <w:rsid w:val="00570C09"/>
    <w:rsid w:val="00573963"/>
    <w:rsid w:val="005757D8"/>
    <w:rsid w:val="005879D9"/>
    <w:rsid w:val="00591C5E"/>
    <w:rsid w:val="00592FCA"/>
    <w:rsid w:val="00597FF9"/>
    <w:rsid w:val="005A7AA0"/>
    <w:rsid w:val="005B0D98"/>
    <w:rsid w:val="005B0F1A"/>
    <w:rsid w:val="005B6105"/>
    <w:rsid w:val="005C18EE"/>
    <w:rsid w:val="005C61FF"/>
    <w:rsid w:val="005D39A7"/>
    <w:rsid w:val="005D5A19"/>
    <w:rsid w:val="005E0031"/>
    <w:rsid w:val="005E4294"/>
    <w:rsid w:val="005E580E"/>
    <w:rsid w:val="005E7DB9"/>
    <w:rsid w:val="005F7C73"/>
    <w:rsid w:val="00601F85"/>
    <w:rsid w:val="00602796"/>
    <w:rsid w:val="00605F82"/>
    <w:rsid w:val="0060758B"/>
    <w:rsid w:val="006200C3"/>
    <w:rsid w:val="00623DCD"/>
    <w:rsid w:val="006316F3"/>
    <w:rsid w:val="00635A58"/>
    <w:rsid w:val="00660616"/>
    <w:rsid w:val="00662EDB"/>
    <w:rsid w:val="00672EB1"/>
    <w:rsid w:val="00673BA0"/>
    <w:rsid w:val="006772B8"/>
    <w:rsid w:val="00683CC1"/>
    <w:rsid w:val="00687A08"/>
    <w:rsid w:val="006939D7"/>
    <w:rsid w:val="00697C28"/>
    <w:rsid w:val="006A0547"/>
    <w:rsid w:val="006A62CC"/>
    <w:rsid w:val="006A7423"/>
    <w:rsid w:val="006C0401"/>
    <w:rsid w:val="006C1A95"/>
    <w:rsid w:val="006C35AE"/>
    <w:rsid w:val="006C483B"/>
    <w:rsid w:val="006C6D20"/>
    <w:rsid w:val="006E2B74"/>
    <w:rsid w:val="006E339F"/>
    <w:rsid w:val="006F45E7"/>
    <w:rsid w:val="00701C0C"/>
    <w:rsid w:val="00701D8B"/>
    <w:rsid w:val="00704E06"/>
    <w:rsid w:val="00705121"/>
    <w:rsid w:val="00707BCC"/>
    <w:rsid w:val="007125B1"/>
    <w:rsid w:val="00717D3F"/>
    <w:rsid w:val="00722442"/>
    <w:rsid w:val="0073559E"/>
    <w:rsid w:val="00745242"/>
    <w:rsid w:val="007519F5"/>
    <w:rsid w:val="00752748"/>
    <w:rsid w:val="00753E22"/>
    <w:rsid w:val="007729FD"/>
    <w:rsid w:val="007744F3"/>
    <w:rsid w:val="00774793"/>
    <w:rsid w:val="00775691"/>
    <w:rsid w:val="00776FD2"/>
    <w:rsid w:val="007851E9"/>
    <w:rsid w:val="00786D92"/>
    <w:rsid w:val="00794D81"/>
    <w:rsid w:val="007970D3"/>
    <w:rsid w:val="007A471F"/>
    <w:rsid w:val="007A4FEA"/>
    <w:rsid w:val="007B4B96"/>
    <w:rsid w:val="007C0C00"/>
    <w:rsid w:val="007C1298"/>
    <w:rsid w:val="007C2C39"/>
    <w:rsid w:val="007D22B1"/>
    <w:rsid w:val="007D3453"/>
    <w:rsid w:val="007D6C4F"/>
    <w:rsid w:val="007E21B5"/>
    <w:rsid w:val="007E7186"/>
    <w:rsid w:val="007F183E"/>
    <w:rsid w:val="007F26FF"/>
    <w:rsid w:val="007F70EC"/>
    <w:rsid w:val="00800274"/>
    <w:rsid w:val="00802A7F"/>
    <w:rsid w:val="0081259F"/>
    <w:rsid w:val="0081757E"/>
    <w:rsid w:val="00820148"/>
    <w:rsid w:val="00833111"/>
    <w:rsid w:val="00834723"/>
    <w:rsid w:val="00840951"/>
    <w:rsid w:val="00840B66"/>
    <w:rsid w:val="00841203"/>
    <w:rsid w:val="008564E4"/>
    <w:rsid w:val="0087418A"/>
    <w:rsid w:val="00883A45"/>
    <w:rsid w:val="00893302"/>
    <w:rsid w:val="00893D9B"/>
    <w:rsid w:val="00895BEC"/>
    <w:rsid w:val="008A170C"/>
    <w:rsid w:val="008A1933"/>
    <w:rsid w:val="008A2E92"/>
    <w:rsid w:val="008B22BB"/>
    <w:rsid w:val="008C2E2E"/>
    <w:rsid w:val="008C5CDD"/>
    <w:rsid w:val="008C6305"/>
    <w:rsid w:val="008C63C8"/>
    <w:rsid w:val="008D50CA"/>
    <w:rsid w:val="008E43DB"/>
    <w:rsid w:val="008E4A22"/>
    <w:rsid w:val="008F0A95"/>
    <w:rsid w:val="00903094"/>
    <w:rsid w:val="00904C13"/>
    <w:rsid w:val="009108AA"/>
    <w:rsid w:val="00917918"/>
    <w:rsid w:val="0092136B"/>
    <w:rsid w:val="00930ACE"/>
    <w:rsid w:val="00930CA7"/>
    <w:rsid w:val="00935286"/>
    <w:rsid w:val="00936AB8"/>
    <w:rsid w:val="00944C21"/>
    <w:rsid w:val="00946A09"/>
    <w:rsid w:val="009518B9"/>
    <w:rsid w:val="0095261A"/>
    <w:rsid w:val="009639C3"/>
    <w:rsid w:val="009663AF"/>
    <w:rsid w:val="00971093"/>
    <w:rsid w:val="009761E5"/>
    <w:rsid w:val="0097749E"/>
    <w:rsid w:val="00996FFF"/>
    <w:rsid w:val="009A2AFC"/>
    <w:rsid w:val="009A5EDB"/>
    <w:rsid w:val="009B359F"/>
    <w:rsid w:val="009B41A8"/>
    <w:rsid w:val="009B4254"/>
    <w:rsid w:val="009B4750"/>
    <w:rsid w:val="009C610D"/>
    <w:rsid w:val="009D4A6C"/>
    <w:rsid w:val="009E6E6C"/>
    <w:rsid w:val="009E78BC"/>
    <w:rsid w:val="009F0A78"/>
    <w:rsid w:val="00A11504"/>
    <w:rsid w:val="00A137BB"/>
    <w:rsid w:val="00A16509"/>
    <w:rsid w:val="00A40A93"/>
    <w:rsid w:val="00A426C2"/>
    <w:rsid w:val="00A44883"/>
    <w:rsid w:val="00A44E36"/>
    <w:rsid w:val="00A46600"/>
    <w:rsid w:val="00A513FC"/>
    <w:rsid w:val="00A55186"/>
    <w:rsid w:val="00A7692A"/>
    <w:rsid w:val="00A841F6"/>
    <w:rsid w:val="00AA610B"/>
    <w:rsid w:val="00AB74EB"/>
    <w:rsid w:val="00AC497E"/>
    <w:rsid w:val="00AE04D4"/>
    <w:rsid w:val="00AE5C41"/>
    <w:rsid w:val="00AF2DDB"/>
    <w:rsid w:val="00B06F7F"/>
    <w:rsid w:val="00B145C9"/>
    <w:rsid w:val="00B1471D"/>
    <w:rsid w:val="00B2118D"/>
    <w:rsid w:val="00B36741"/>
    <w:rsid w:val="00B530D3"/>
    <w:rsid w:val="00B60D51"/>
    <w:rsid w:val="00B7724F"/>
    <w:rsid w:val="00B85C27"/>
    <w:rsid w:val="00B9544E"/>
    <w:rsid w:val="00BA38C1"/>
    <w:rsid w:val="00BB196B"/>
    <w:rsid w:val="00BB51B6"/>
    <w:rsid w:val="00BC1497"/>
    <w:rsid w:val="00BE2A22"/>
    <w:rsid w:val="00BF494C"/>
    <w:rsid w:val="00C012A9"/>
    <w:rsid w:val="00C02656"/>
    <w:rsid w:val="00C046A2"/>
    <w:rsid w:val="00C14AFD"/>
    <w:rsid w:val="00C14FFB"/>
    <w:rsid w:val="00C17E6F"/>
    <w:rsid w:val="00C23106"/>
    <w:rsid w:val="00C319C6"/>
    <w:rsid w:val="00C37F22"/>
    <w:rsid w:val="00C45283"/>
    <w:rsid w:val="00C5032C"/>
    <w:rsid w:val="00C52C0A"/>
    <w:rsid w:val="00C57248"/>
    <w:rsid w:val="00C65641"/>
    <w:rsid w:val="00C66A46"/>
    <w:rsid w:val="00C7255B"/>
    <w:rsid w:val="00C9493F"/>
    <w:rsid w:val="00C97BE5"/>
    <w:rsid w:val="00CA1CBD"/>
    <w:rsid w:val="00CA51A7"/>
    <w:rsid w:val="00CB4CAD"/>
    <w:rsid w:val="00CC044B"/>
    <w:rsid w:val="00CC4A15"/>
    <w:rsid w:val="00CC4D51"/>
    <w:rsid w:val="00CD1367"/>
    <w:rsid w:val="00CE19C1"/>
    <w:rsid w:val="00CE2485"/>
    <w:rsid w:val="00CE6A65"/>
    <w:rsid w:val="00CE7E01"/>
    <w:rsid w:val="00CF0498"/>
    <w:rsid w:val="00CF1549"/>
    <w:rsid w:val="00D0160F"/>
    <w:rsid w:val="00D107BE"/>
    <w:rsid w:val="00D12975"/>
    <w:rsid w:val="00D24949"/>
    <w:rsid w:val="00D260AC"/>
    <w:rsid w:val="00D26F03"/>
    <w:rsid w:val="00D27870"/>
    <w:rsid w:val="00D31431"/>
    <w:rsid w:val="00D32C89"/>
    <w:rsid w:val="00D378E2"/>
    <w:rsid w:val="00D55B1B"/>
    <w:rsid w:val="00D5664D"/>
    <w:rsid w:val="00D63461"/>
    <w:rsid w:val="00D72F47"/>
    <w:rsid w:val="00D76393"/>
    <w:rsid w:val="00D7712F"/>
    <w:rsid w:val="00D8669F"/>
    <w:rsid w:val="00D90A46"/>
    <w:rsid w:val="00DA05DD"/>
    <w:rsid w:val="00DA0828"/>
    <w:rsid w:val="00DA23BD"/>
    <w:rsid w:val="00DA3736"/>
    <w:rsid w:val="00DA6F93"/>
    <w:rsid w:val="00DB327A"/>
    <w:rsid w:val="00DC08CC"/>
    <w:rsid w:val="00DC14E4"/>
    <w:rsid w:val="00DC20B7"/>
    <w:rsid w:val="00DD0FEB"/>
    <w:rsid w:val="00DD1EEB"/>
    <w:rsid w:val="00DD3B7C"/>
    <w:rsid w:val="00DE1FFE"/>
    <w:rsid w:val="00DE7630"/>
    <w:rsid w:val="00DE7B22"/>
    <w:rsid w:val="00E06A18"/>
    <w:rsid w:val="00E077E0"/>
    <w:rsid w:val="00E106FB"/>
    <w:rsid w:val="00E12C58"/>
    <w:rsid w:val="00E15EE0"/>
    <w:rsid w:val="00E25850"/>
    <w:rsid w:val="00E3146C"/>
    <w:rsid w:val="00E343D8"/>
    <w:rsid w:val="00E377DB"/>
    <w:rsid w:val="00E40607"/>
    <w:rsid w:val="00E42DCD"/>
    <w:rsid w:val="00E4791E"/>
    <w:rsid w:val="00E5397B"/>
    <w:rsid w:val="00E6013B"/>
    <w:rsid w:val="00E61D0D"/>
    <w:rsid w:val="00E7714C"/>
    <w:rsid w:val="00E80E30"/>
    <w:rsid w:val="00E858C6"/>
    <w:rsid w:val="00E940E4"/>
    <w:rsid w:val="00E94EA6"/>
    <w:rsid w:val="00EA233D"/>
    <w:rsid w:val="00EB0DEB"/>
    <w:rsid w:val="00EB7A5D"/>
    <w:rsid w:val="00EC480C"/>
    <w:rsid w:val="00ED0F11"/>
    <w:rsid w:val="00EF0764"/>
    <w:rsid w:val="00EF449B"/>
    <w:rsid w:val="00F06756"/>
    <w:rsid w:val="00F16FB0"/>
    <w:rsid w:val="00F20962"/>
    <w:rsid w:val="00F32673"/>
    <w:rsid w:val="00F34A53"/>
    <w:rsid w:val="00F565FF"/>
    <w:rsid w:val="00F60AE5"/>
    <w:rsid w:val="00F629B6"/>
    <w:rsid w:val="00F67300"/>
    <w:rsid w:val="00F67B1C"/>
    <w:rsid w:val="00F70523"/>
    <w:rsid w:val="00F71BBA"/>
    <w:rsid w:val="00F73931"/>
    <w:rsid w:val="00F87816"/>
    <w:rsid w:val="00F97391"/>
    <w:rsid w:val="00FA250F"/>
    <w:rsid w:val="00FA4FC9"/>
    <w:rsid w:val="00FB21CB"/>
    <w:rsid w:val="00FB4D0B"/>
    <w:rsid w:val="00FC0BD4"/>
    <w:rsid w:val="00FD19A0"/>
    <w:rsid w:val="00FD3307"/>
    <w:rsid w:val="00FD3FBE"/>
    <w:rsid w:val="00FD6CBD"/>
    <w:rsid w:val="00FE3DF4"/>
    <w:rsid w:val="00FE7D15"/>
    <w:rsid w:val="00FF044D"/>
    <w:rsid w:val="00FF5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ACDB4F"/>
  <w15:docId w15:val="{1763049C-39FE-4E35-88F4-013067594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F98"/>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character" w:styleId="Hyperlink">
    <w:name w:val="Hyperlink"/>
    <w:uiPriority w:val="99"/>
    <w:unhideWhenUsed/>
    <w:rsid w:val="00A44E36"/>
    <w:rPr>
      <w:color w:val="0000FF"/>
      <w:u w:val="single"/>
    </w:rPr>
  </w:style>
  <w:style w:type="character" w:styleId="FootnoteReference">
    <w:name w:val="footnote reference"/>
    <w:uiPriority w:val="99"/>
    <w:semiHidden/>
    <w:unhideWhenUsed/>
    <w:rsid w:val="00A44E36"/>
    <w:rPr>
      <w:vertAlign w:val="superscript"/>
    </w:rPr>
  </w:style>
  <w:style w:type="table" w:styleId="TableGrid">
    <w:name w:val="Table Grid"/>
    <w:basedOn w:val="TableNormal"/>
    <w:uiPriority w:val="99"/>
    <w:rsid w:val="00A44E36"/>
    <w:pPr>
      <w:widowControl w:val="0"/>
      <w:autoSpaceDE w:val="0"/>
      <w:autoSpaceDN w:val="0"/>
      <w:adjustRightInd w:val="0"/>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3736"/>
    <w:pPr>
      <w:ind w:left="720"/>
      <w:contextualSpacing/>
    </w:pPr>
  </w:style>
  <w:style w:type="character" w:styleId="FollowedHyperlink">
    <w:name w:val="FollowedHyperlink"/>
    <w:uiPriority w:val="99"/>
    <w:semiHidden/>
    <w:unhideWhenUsed/>
    <w:rsid w:val="00CA1CBD"/>
    <w:rPr>
      <w:color w:val="800080"/>
      <w:u w:val="single"/>
    </w:rPr>
  </w:style>
  <w:style w:type="character" w:styleId="CommentReference">
    <w:name w:val="annotation reference"/>
    <w:uiPriority w:val="99"/>
    <w:semiHidden/>
    <w:unhideWhenUsed/>
    <w:rsid w:val="00FA250F"/>
    <w:rPr>
      <w:sz w:val="16"/>
      <w:szCs w:val="16"/>
    </w:rPr>
  </w:style>
  <w:style w:type="paragraph" w:styleId="CommentText">
    <w:name w:val="annotation text"/>
    <w:basedOn w:val="Normal"/>
    <w:link w:val="CommentTextChar"/>
    <w:uiPriority w:val="99"/>
    <w:semiHidden/>
    <w:unhideWhenUsed/>
    <w:rsid w:val="00FA250F"/>
  </w:style>
  <w:style w:type="character" w:customStyle="1" w:styleId="CommentTextChar">
    <w:name w:val="Comment Text Char"/>
    <w:link w:val="CommentText"/>
    <w:uiPriority w:val="99"/>
    <w:semiHidden/>
    <w:rsid w:val="00FA250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FA250F"/>
    <w:rPr>
      <w:b/>
      <w:bCs/>
    </w:rPr>
  </w:style>
  <w:style w:type="character" w:customStyle="1" w:styleId="CommentSubjectChar">
    <w:name w:val="Comment Subject Char"/>
    <w:link w:val="CommentSubject"/>
    <w:uiPriority w:val="99"/>
    <w:semiHidden/>
    <w:rsid w:val="00FA250F"/>
    <w:rPr>
      <w:rFonts w:ascii="Times New Roman" w:hAnsi="Times New Roman"/>
      <w:b/>
      <w:bCs/>
    </w:rPr>
  </w:style>
  <w:style w:type="paragraph" w:styleId="Footer">
    <w:name w:val="footer"/>
    <w:basedOn w:val="Normal"/>
    <w:link w:val="FooterChar"/>
    <w:uiPriority w:val="99"/>
    <w:rsid w:val="003B0A10"/>
    <w:pPr>
      <w:tabs>
        <w:tab w:val="center" w:pos="4320"/>
        <w:tab w:val="right" w:pos="8640"/>
      </w:tabs>
    </w:pPr>
  </w:style>
  <w:style w:type="character" w:customStyle="1" w:styleId="FooterChar">
    <w:name w:val="Footer Char"/>
    <w:link w:val="Footer"/>
    <w:uiPriority w:val="99"/>
    <w:rsid w:val="003B0A10"/>
    <w:rPr>
      <w:rFonts w:ascii="Times New Roman" w:hAnsi="Times New Roman"/>
    </w:rPr>
  </w:style>
  <w:style w:type="paragraph" w:styleId="Header">
    <w:name w:val="header"/>
    <w:basedOn w:val="Normal"/>
    <w:link w:val="HeaderChar"/>
    <w:uiPriority w:val="99"/>
    <w:unhideWhenUsed/>
    <w:rsid w:val="00DE7B22"/>
    <w:pPr>
      <w:tabs>
        <w:tab w:val="center" w:pos="4680"/>
        <w:tab w:val="right" w:pos="9360"/>
      </w:tabs>
    </w:pPr>
  </w:style>
  <w:style w:type="character" w:customStyle="1" w:styleId="HeaderChar">
    <w:name w:val="Header Char"/>
    <w:basedOn w:val="DefaultParagraphFont"/>
    <w:link w:val="Header"/>
    <w:uiPriority w:val="99"/>
    <w:rsid w:val="00DE7B22"/>
    <w:rPr>
      <w:rFonts w:ascii="Times New Roman" w:hAnsi="Times New Roman"/>
    </w:rPr>
  </w:style>
  <w:style w:type="paragraph" w:styleId="FootnoteText">
    <w:name w:val="footnote text"/>
    <w:basedOn w:val="Normal"/>
    <w:link w:val="FootnoteTextChar"/>
    <w:uiPriority w:val="99"/>
    <w:semiHidden/>
    <w:unhideWhenUsed/>
    <w:rsid w:val="002245FA"/>
  </w:style>
  <w:style w:type="character" w:customStyle="1" w:styleId="FootnoteTextChar">
    <w:name w:val="Footnote Text Char"/>
    <w:basedOn w:val="DefaultParagraphFont"/>
    <w:link w:val="FootnoteText"/>
    <w:uiPriority w:val="99"/>
    <w:semiHidden/>
    <w:rsid w:val="002245FA"/>
    <w:rPr>
      <w:rFonts w:ascii="Times New Roman" w:hAnsi="Times New Roman"/>
    </w:rPr>
  </w:style>
  <w:style w:type="paragraph" w:styleId="Revision">
    <w:name w:val="Revision"/>
    <w:hidden/>
    <w:uiPriority w:val="99"/>
    <w:semiHidden/>
    <w:rsid w:val="00314FCA"/>
    <w:rPr>
      <w:rFonts w:ascii="Times New Roman" w:hAnsi="Times New Roman"/>
    </w:rPr>
  </w:style>
  <w:style w:type="character" w:styleId="UnresolvedMention">
    <w:name w:val="Unresolved Mention"/>
    <w:basedOn w:val="DefaultParagraphFont"/>
    <w:uiPriority w:val="99"/>
    <w:semiHidden/>
    <w:unhideWhenUsed/>
    <w:rsid w:val="00C17E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7514730">
      <w:bodyDiv w:val="1"/>
      <w:marLeft w:val="0"/>
      <w:marRight w:val="0"/>
      <w:marTop w:val="0"/>
      <w:marBottom w:val="0"/>
      <w:divBdr>
        <w:top w:val="none" w:sz="0" w:space="0" w:color="auto"/>
        <w:left w:val="none" w:sz="0" w:space="0" w:color="auto"/>
        <w:bottom w:val="none" w:sz="0" w:space="0" w:color="auto"/>
        <w:right w:val="none" w:sz="0" w:space="0" w:color="auto"/>
      </w:divBdr>
    </w:div>
    <w:div w:id="997146840">
      <w:bodyDiv w:val="1"/>
      <w:marLeft w:val="0"/>
      <w:marRight w:val="0"/>
      <w:marTop w:val="0"/>
      <w:marBottom w:val="0"/>
      <w:divBdr>
        <w:top w:val="none" w:sz="0" w:space="0" w:color="auto"/>
        <w:left w:val="none" w:sz="0" w:space="0" w:color="auto"/>
        <w:bottom w:val="none" w:sz="0" w:space="0" w:color="auto"/>
        <w:right w:val="none" w:sz="0" w:space="0" w:color="auto"/>
      </w:divBdr>
    </w:div>
    <w:div w:id="1690794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ia.gov/as-ia/ofa/petitioner-82-southern-sierra-miwuk-nation-ca" TargetMode="External"/><Relationship Id="rId13" Type="http://schemas.openxmlformats.org/officeDocument/2006/relationships/hyperlink" Target="https://www.bia.gov/as-ia/ofa/petitioner-158-fernandeno-tataviam-band-mission-indians-ca" TargetMode="External"/><Relationship Id="rId18" Type="http://schemas.openxmlformats.org/officeDocument/2006/relationships/hyperlink" Target="https://www.bls.gov/news.release/pdf/ecec.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bia.gov/as-ia/ofa/petition-5-piromansotiwa-indian-tribe-pueblo-san-juan-de-guadalupe-nm" TargetMode="External"/><Relationship Id="rId17" Type="http://schemas.openxmlformats.org/officeDocument/2006/relationships/hyperlink" Target="https://www.bls.gov/news.release/pdf/ecec.pdf" TargetMode="External"/><Relationship Id="rId2" Type="http://schemas.openxmlformats.org/officeDocument/2006/relationships/numbering" Target="numbering.xml"/><Relationship Id="rId16" Type="http://schemas.openxmlformats.org/officeDocument/2006/relationships/hyperlink" Target="https://www.bia.gov/as-ia/ofa/opportunities-for-comment" TargetMode="External"/><Relationship Id="rId20" Type="http://schemas.openxmlformats.org/officeDocument/2006/relationships/hyperlink" Target="https://www.opm.gov/policy-data-oversight/pay-leave/salaries-wages/salary-tables/18Tables/html/GS_h.aspx%20with%20a%201.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a.gov/as-ia/ofa/petitioner-32-muscogee-nation-florida-f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bia.gov/as-ia/ofa" TargetMode="External"/><Relationship Id="rId23" Type="http://schemas.openxmlformats.org/officeDocument/2006/relationships/fontTable" Target="fontTable.xml"/><Relationship Id="rId10" Type="http://schemas.openxmlformats.org/officeDocument/2006/relationships/hyperlink" Target="https://www.bia.gov/as-ia/ofa/petition-146-grand-river-bands-ottawa-indians-formerly-grand-river-band-ottawa-council-mi" TargetMode="External"/><Relationship Id="rId19" Type="http://schemas.openxmlformats.org/officeDocument/2006/relationships/hyperlink" Target="https://www.opm.gov/policy-data-oversight/pay-leave/salaries-wages/salary-tables/pdf/2021/GS_h.pdf" TargetMode="External"/><Relationship Id="rId4" Type="http://schemas.openxmlformats.org/officeDocument/2006/relationships/settings" Target="settings.xml"/><Relationship Id="rId9" Type="http://schemas.openxmlformats.org/officeDocument/2006/relationships/hyperlink" Target="https://www.bia.gov/as-ia/ofa/petition-120-amah-mutsun-band-ohlonecoastanoan-indians-ca" TargetMode="External"/><Relationship Id="rId14" Type="http://schemas.openxmlformats.org/officeDocument/2006/relationships/hyperlink" Target="https://www.bia.gov/as-ia/ofa"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C45A7A5-3D59-473C-9162-77717BE5D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7273</Words>
  <Characters>42024</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Bureau of Indian Affairs</Company>
  <LinksUpToDate>false</LinksUpToDate>
  <CharactersWithSpaces>49199</CharactersWithSpaces>
  <SharedDoc>false</SharedDoc>
  <HLinks>
    <vt:vector size="6" baseType="variant">
      <vt:variant>
        <vt:i4>1900546</vt:i4>
      </vt:variant>
      <vt:variant>
        <vt:i4>2</vt:i4>
      </vt:variant>
      <vt:variant>
        <vt:i4>0</vt:i4>
      </vt:variant>
      <vt:variant>
        <vt:i4>5</vt:i4>
      </vt:variant>
      <vt:variant>
        <vt:lpwstr>http://www.bls.gov/news.release/pdf/ecec.pdf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djbieniewicz</dc:creator>
  <cp:lastModifiedBy>Mullen, Steven M</cp:lastModifiedBy>
  <cp:revision>2</cp:revision>
  <cp:lastPrinted>2015-02-13T17:09:00Z</cp:lastPrinted>
  <dcterms:created xsi:type="dcterms:W3CDTF">2021-10-07T11:04:00Z</dcterms:created>
  <dcterms:modified xsi:type="dcterms:W3CDTF">2021-10-07T11:04:00Z</dcterms:modified>
</cp:coreProperties>
</file>