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88F" w:rsidP="00C253CF" w:rsidRDefault="00453CC5" w14:paraId="67A450CD" w14:textId="2DEB2493">
      <w:pPr>
        <w:rPr>
          <w:rFonts w:asciiTheme="minorHAnsi" w:hAnsiTheme="minorHAnsi" w:eastAsiaTheme="minorEastAsia" w:cstheme="minorHAnsi"/>
          <w:b/>
          <w:bCs/>
          <w:sz w:val="22"/>
          <w:szCs w:val="22"/>
        </w:rPr>
      </w:pPr>
      <w:r w:rsidRPr="00C4515C">
        <w:rPr>
          <w:rFonts w:asciiTheme="minorHAnsi" w:hAnsiTheme="minorHAnsi" w:eastAsiaTheme="minorEastAsia" w:cstheme="minorHAnsi"/>
          <w:b/>
          <w:bCs/>
          <w:sz w:val="22"/>
          <w:szCs w:val="22"/>
        </w:rPr>
        <w:t>Supporting Statement</w:t>
      </w:r>
      <w:r w:rsidRPr="00C4515C" w:rsidR="00C253CF">
        <w:rPr>
          <w:rFonts w:asciiTheme="minorHAnsi" w:hAnsiTheme="minorHAnsi" w:eastAsiaTheme="minorEastAsia" w:cstheme="minorHAnsi"/>
          <w:b/>
          <w:bCs/>
          <w:sz w:val="22"/>
          <w:szCs w:val="22"/>
        </w:rPr>
        <w:t xml:space="preserve"> – </w:t>
      </w:r>
      <w:r w:rsidRPr="00C4515C" w:rsidR="003C2595">
        <w:rPr>
          <w:rFonts w:asciiTheme="minorHAnsi" w:hAnsiTheme="minorHAnsi" w:eastAsiaTheme="minorEastAsia" w:cstheme="minorHAnsi"/>
          <w:b/>
          <w:bCs/>
          <w:sz w:val="22"/>
          <w:szCs w:val="22"/>
        </w:rPr>
        <w:t>202</w:t>
      </w:r>
      <w:r w:rsidRPr="00C4515C" w:rsidR="0012313B">
        <w:rPr>
          <w:rFonts w:asciiTheme="minorHAnsi" w:hAnsiTheme="minorHAnsi" w:eastAsiaTheme="minorEastAsia" w:cstheme="minorHAnsi"/>
          <w:b/>
          <w:bCs/>
          <w:sz w:val="22"/>
          <w:szCs w:val="22"/>
        </w:rPr>
        <w:t>2</w:t>
      </w:r>
      <w:r w:rsidRPr="00C4515C" w:rsidR="009E388F">
        <w:rPr>
          <w:rFonts w:asciiTheme="minorHAnsi" w:hAnsiTheme="minorHAnsi" w:eastAsiaTheme="minorEastAsia" w:cstheme="minorHAnsi"/>
          <w:b/>
          <w:bCs/>
          <w:sz w:val="22"/>
          <w:szCs w:val="22"/>
        </w:rPr>
        <w:t xml:space="preserve"> </w:t>
      </w:r>
      <w:r w:rsidRPr="00C4515C" w:rsidR="00C253CF">
        <w:rPr>
          <w:rFonts w:asciiTheme="minorHAnsi" w:hAnsiTheme="minorHAnsi" w:eastAsiaTheme="minorEastAsia" w:cstheme="minorHAnsi"/>
          <w:b/>
          <w:bCs/>
          <w:sz w:val="22"/>
          <w:szCs w:val="22"/>
        </w:rPr>
        <w:t xml:space="preserve">National Crime Victimization Survey (NCVS) </w:t>
      </w:r>
      <w:r w:rsidRPr="00C4515C" w:rsidR="009E388F">
        <w:rPr>
          <w:rFonts w:asciiTheme="minorHAnsi" w:hAnsiTheme="minorHAnsi" w:eastAsiaTheme="minorEastAsia" w:cstheme="minorHAnsi"/>
          <w:b/>
          <w:bCs/>
          <w:sz w:val="22"/>
          <w:szCs w:val="22"/>
        </w:rPr>
        <w:t>School Crime Supplement (SCS)</w:t>
      </w:r>
    </w:p>
    <w:p w:rsidR="003B6031" w:rsidP="00C253CF" w:rsidRDefault="003B6031" w14:paraId="30E6E4AF" w14:textId="3AB276B8">
      <w:pPr>
        <w:rPr>
          <w:rFonts w:asciiTheme="minorHAnsi" w:hAnsiTheme="minorHAnsi" w:eastAsiaTheme="minorEastAsia" w:cstheme="minorHAnsi"/>
          <w:b/>
          <w:bCs/>
          <w:sz w:val="22"/>
          <w:szCs w:val="22"/>
        </w:rPr>
      </w:pPr>
    </w:p>
    <w:p w:rsidRPr="003B6031" w:rsidR="003B6031" w:rsidP="00E75EE2" w:rsidRDefault="003B6031" w14:paraId="6B8138FF" w14:textId="59F7EA5B">
      <w:pPr>
        <w:ind w:left="450" w:firstLine="2"/>
        <w:rPr>
          <w:rFonts w:asciiTheme="minorHAnsi" w:hAnsiTheme="minorHAnsi" w:eastAsiaTheme="minorEastAsia" w:cstheme="minorHAnsi"/>
          <w:bCs/>
          <w:sz w:val="22"/>
          <w:szCs w:val="22"/>
        </w:rPr>
      </w:pPr>
      <w:r>
        <w:rPr>
          <w:rFonts w:asciiTheme="minorHAnsi" w:hAnsiTheme="minorHAnsi" w:eastAsiaTheme="minorEastAsia" w:cstheme="minorHAnsi"/>
          <w:bCs/>
          <w:sz w:val="22"/>
          <w:szCs w:val="22"/>
        </w:rPr>
        <w:tab/>
      </w:r>
      <w:r w:rsidRPr="003B6031">
        <w:rPr>
          <w:rFonts w:asciiTheme="minorHAnsi" w:hAnsiTheme="minorHAnsi" w:eastAsiaTheme="minorEastAsia" w:cstheme="minorHAnsi"/>
          <w:bCs/>
          <w:sz w:val="22"/>
          <w:szCs w:val="22"/>
        </w:rPr>
        <w:t>The Bureau of Justice Statistics (BJS)</w:t>
      </w:r>
      <w:r w:rsidR="00AF125C">
        <w:rPr>
          <w:rFonts w:asciiTheme="minorHAnsi" w:hAnsiTheme="minorHAnsi" w:eastAsiaTheme="minorEastAsia" w:cstheme="minorHAnsi"/>
          <w:bCs/>
          <w:sz w:val="22"/>
          <w:szCs w:val="22"/>
        </w:rPr>
        <w:t xml:space="preserve"> and the National Center for Education Statistics (NCES)</w:t>
      </w:r>
      <w:r w:rsidRPr="003B6031">
        <w:rPr>
          <w:rFonts w:asciiTheme="minorHAnsi" w:hAnsiTheme="minorHAnsi" w:eastAsiaTheme="minorEastAsia" w:cstheme="minorHAnsi"/>
          <w:bCs/>
          <w:sz w:val="22"/>
          <w:szCs w:val="22"/>
        </w:rPr>
        <w:t xml:space="preserve"> reques</w:t>
      </w:r>
      <w:r w:rsidR="00AF125C">
        <w:rPr>
          <w:rFonts w:asciiTheme="minorHAnsi" w:hAnsiTheme="minorHAnsi" w:eastAsiaTheme="minorEastAsia" w:cstheme="minorHAnsi"/>
          <w:bCs/>
          <w:sz w:val="22"/>
          <w:szCs w:val="22"/>
        </w:rPr>
        <w:t>t</w:t>
      </w:r>
      <w:r w:rsidRPr="003B6031">
        <w:rPr>
          <w:rFonts w:asciiTheme="minorHAnsi" w:hAnsiTheme="minorHAnsi" w:eastAsiaTheme="minorEastAsia" w:cstheme="minorHAnsi"/>
          <w:bCs/>
          <w:sz w:val="22"/>
          <w:szCs w:val="22"/>
        </w:rPr>
        <w:t xml:space="preserve"> clearance to conduct the 202</w:t>
      </w:r>
      <w:r>
        <w:rPr>
          <w:rFonts w:asciiTheme="minorHAnsi" w:hAnsiTheme="minorHAnsi" w:eastAsiaTheme="minorEastAsia" w:cstheme="minorHAnsi"/>
          <w:bCs/>
          <w:sz w:val="22"/>
          <w:szCs w:val="22"/>
        </w:rPr>
        <w:t>2 School Crime Supplement</w:t>
      </w:r>
      <w:r w:rsidRPr="003B6031">
        <w:rPr>
          <w:rFonts w:asciiTheme="minorHAnsi" w:hAnsiTheme="minorHAnsi" w:eastAsiaTheme="minorEastAsia" w:cstheme="minorHAnsi"/>
          <w:bCs/>
          <w:sz w:val="22"/>
          <w:szCs w:val="22"/>
        </w:rPr>
        <w:t xml:space="preserve"> </w:t>
      </w:r>
      <w:r>
        <w:rPr>
          <w:rFonts w:asciiTheme="minorHAnsi" w:hAnsiTheme="minorHAnsi" w:eastAsiaTheme="minorEastAsia" w:cstheme="minorHAnsi"/>
          <w:bCs/>
          <w:sz w:val="22"/>
          <w:szCs w:val="22"/>
        </w:rPr>
        <w:t>(SCS</w:t>
      </w:r>
      <w:r w:rsidRPr="003B6031">
        <w:rPr>
          <w:rFonts w:asciiTheme="minorHAnsi" w:hAnsiTheme="minorHAnsi" w:eastAsiaTheme="minorEastAsia" w:cstheme="minorHAnsi"/>
          <w:bCs/>
          <w:sz w:val="22"/>
          <w:szCs w:val="22"/>
        </w:rPr>
        <w:t xml:space="preserve">) as a supplement to the National Crime Victimization Survey (NCVS) to collect information about </w:t>
      </w:r>
      <w:r>
        <w:rPr>
          <w:rFonts w:asciiTheme="minorHAnsi" w:hAnsiTheme="minorHAnsi" w:eastAsiaTheme="minorEastAsia" w:cstheme="minorHAnsi"/>
          <w:bCs/>
          <w:sz w:val="22"/>
          <w:szCs w:val="22"/>
        </w:rPr>
        <w:t>school-related victimization</w:t>
      </w:r>
      <w:r w:rsidRPr="003B6031">
        <w:rPr>
          <w:rFonts w:asciiTheme="minorHAnsi" w:hAnsiTheme="minorHAnsi" w:eastAsiaTheme="minorEastAsia" w:cstheme="minorHAnsi"/>
          <w:bCs/>
          <w:sz w:val="22"/>
          <w:szCs w:val="22"/>
        </w:rPr>
        <w:t xml:space="preserve">. The NCVS and all related contacts and protocols have been previously approved by the Office of Management and Budget (OMB) (OMB </w:t>
      </w:r>
      <w:r w:rsidR="00FC3C2F">
        <w:rPr>
          <w:rFonts w:asciiTheme="minorHAnsi" w:hAnsiTheme="minorHAnsi" w:eastAsiaTheme="minorEastAsia" w:cstheme="minorHAnsi"/>
          <w:bCs/>
          <w:sz w:val="22"/>
          <w:szCs w:val="22"/>
        </w:rPr>
        <w:t xml:space="preserve">Control </w:t>
      </w:r>
      <w:r w:rsidRPr="003B6031">
        <w:rPr>
          <w:rFonts w:asciiTheme="minorHAnsi" w:hAnsiTheme="minorHAnsi" w:eastAsiaTheme="minorEastAsia" w:cstheme="minorHAnsi"/>
          <w:bCs/>
          <w:sz w:val="22"/>
          <w:szCs w:val="22"/>
        </w:rPr>
        <w:t>No: 1121-0111) and this request is specifically for a supplemental data collection instrument that will be added to the approved NCVS core from J</w:t>
      </w:r>
      <w:r>
        <w:rPr>
          <w:rFonts w:asciiTheme="minorHAnsi" w:hAnsiTheme="minorHAnsi" w:eastAsiaTheme="minorEastAsia" w:cstheme="minorHAnsi"/>
          <w:bCs/>
          <w:sz w:val="22"/>
          <w:szCs w:val="22"/>
        </w:rPr>
        <w:t>anuary 2022</w:t>
      </w:r>
      <w:r w:rsidRPr="003B6031">
        <w:rPr>
          <w:rFonts w:asciiTheme="minorHAnsi" w:hAnsiTheme="minorHAnsi" w:eastAsiaTheme="minorEastAsia" w:cstheme="minorHAnsi"/>
          <w:bCs/>
          <w:sz w:val="22"/>
          <w:szCs w:val="22"/>
        </w:rPr>
        <w:t xml:space="preserve"> through </w:t>
      </w:r>
      <w:r>
        <w:rPr>
          <w:rFonts w:asciiTheme="minorHAnsi" w:hAnsiTheme="minorHAnsi" w:eastAsiaTheme="minorEastAsia" w:cstheme="minorHAnsi"/>
          <w:bCs/>
          <w:sz w:val="22"/>
          <w:szCs w:val="22"/>
        </w:rPr>
        <w:t>June 2022</w:t>
      </w:r>
      <w:r w:rsidRPr="003B6031">
        <w:rPr>
          <w:rFonts w:asciiTheme="minorHAnsi" w:hAnsiTheme="minorHAnsi" w:eastAsiaTheme="minorEastAsia" w:cstheme="minorHAnsi"/>
          <w:bCs/>
          <w:sz w:val="22"/>
          <w:szCs w:val="22"/>
        </w:rPr>
        <w:t xml:space="preserve">. The last </w:t>
      </w:r>
      <w:r>
        <w:rPr>
          <w:rFonts w:asciiTheme="minorHAnsi" w:hAnsiTheme="minorHAnsi" w:eastAsiaTheme="minorEastAsia" w:cstheme="minorHAnsi"/>
          <w:bCs/>
          <w:sz w:val="22"/>
          <w:szCs w:val="22"/>
        </w:rPr>
        <w:t>SCS</w:t>
      </w:r>
      <w:r w:rsidRPr="003B6031">
        <w:rPr>
          <w:rFonts w:asciiTheme="minorHAnsi" w:hAnsiTheme="minorHAnsi" w:eastAsiaTheme="minorEastAsia" w:cstheme="minorHAnsi"/>
          <w:bCs/>
          <w:sz w:val="22"/>
          <w:szCs w:val="22"/>
        </w:rPr>
        <w:t xml:space="preserve"> was administered from January 201</w:t>
      </w:r>
      <w:r>
        <w:rPr>
          <w:rFonts w:asciiTheme="minorHAnsi" w:hAnsiTheme="minorHAnsi" w:eastAsiaTheme="minorEastAsia" w:cstheme="minorHAnsi"/>
          <w:bCs/>
          <w:sz w:val="22"/>
          <w:szCs w:val="22"/>
        </w:rPr>
        <w:t>9</w:t>
      </w:r>
      <w:r w:rsidRPr="003B6031">
        <w:rPr>
          <w:rFonts w:asciiTheme="minorHAnsi" w:hAnsiTheme="minorHAnsi" w:eastAsiaTheme="minorEastAsia" w:cstheme="minorHAnsi"/>
          <w:bCs/>
          <w:sz w:val="22"/>
          <w:szCs w:val="22"/>
        </w:rPr>
        <w:t xml:space="preserve"> through June 201</w:t>
      </w:r>
      <w:r>
        <w:rPr>
          <w:rFonts w:asciiTheme="minorHAnsi" w:hAnsiTheme="minorHAnsi" w:eastAsiaTheme="minorEastAsia" w:cstheme="minorHAnsi"/>
          <w:bCs/>
          <w:sz w:val="22"/>
          <w:szCs w:val="22"/>
        </w:rPr>
        <w:t>9</w:t>
      </w:r>
      <w:r w:rsidRPr="003B6031">
        <w:rPr>
          <w:rFonts w:asciiTheme="minorHAnsi" w:hAnsiTheme="minorHAnsi" w:eastAsiaTheme="minorEastAsia" w:cstheme="minorHAnsi"/>
          <w:bCs/>
          <w:sz w:val="22"/>
          <w:szCs w:val="22"/>
        </w:rPr>
        <w:t>. It was approved under OMB Control No. 1121-0</w:t>
      </w:r>
      <w:r>
        <w:rPr>
          <w:rFonts w:asciiTheme="minorHAnsi" w:hAnsiTheme="minorHAnsi" w:eastAsiaTheme="minorEastAsia" w:cstheme="minorHAnsi"/>
          <w:bCs/>
          <w:sz w:val="22"/>
          <w:szCs w:val="22"/>
        </w:rPr>
        <w:t>184</w:t>
      </w:r>
      <w:r w:rsidRPr="003B6031">
        <w:rPr>
          <w:rFonts w:asciiTheme="minorHAnsi" w:hAnsiTheme="minorHAnsi" w:eastAsiaTheme="minorEastAsia" w:cstheme="minorHAnsi"/>
          <w:bCs/>
          <w:sz w:val="22"/>
          <w:szCs w:val="22"/>
        </w:rPr>
        <w:t>, which expire</w:t>
      </w:r>
      <w:r w:rsidR="00AF125C">
        <w:rPr>
          <w:rFonts w:asciiTheme="minorHAnsi" w:hAnsiTheme="minorHAnsi" w:eastAsiaTheme="minorEastAsia" w:cstheme="minorHAnsi"/>
          <w:bCs/>
          <w:sz w:val="22"/>
          <w:szCs w:val="22"/>
        </w:rPr>
        <w:t>s</w:t>
      </w:r>
      <w:r w:rsidRPr="003B6031">
        <w:rPr>
          <w:rFonts w:asciiTheme="minorHAnsi" w:hAnsiTheme="minorHAnsi" w:eastAsiaTheme="minorEastAsia" w:cstheme="minorHAnsi"/>
          <w:bCs/>
          <w:sz w:val="22"/>
          <w:szCs w:val="22"/>
        </w:rPr>
        <w:t xml:space="preserve"> </w:t>
      </w:r>
      <w:r>
        <w:rPr>
          <w:rFonts w:asciiTheme="minorHAnsi" w:hAnsiTheme="minorHAnsi" w:eastAsiaTheme="minorEastAsia" w:cstheme="minorHAnsi"/>
          <w:bCs/>
          <w:sz w:val="22"/>
          <w:szCs w:val="22"/>
        </w:rPr>
        <w:t>December</w:t>
      </w:r>
      <w:r w:rsidRPr="003B6031">
        <w:rPr>
          <w:rFonts w:asciiTheme="minorHAnsi" w:hAnsiTheme="minorHAnsi" w:eastAsiaTheme="minorEastAsia" w:cstheme="minorHAnsi"/>
          <w:bCs/>
          <w:sz w:val="22"/>
          <w:szCs w:val="22"/>
        </w:rPr>
        <w:t xml:space="preserve"> 31, 20</w:t>
      </w:r>
      <w:r>
        <w:rPr>
          <w:rFonts w:asciiTheme="minorHAnsi" w:hAnsiTheme="minorHAnsi" w:eastAsiaTheme="minorEastAsia" w:cstheme="minorHAnsi"/>
          <w:bCs/>
          <w:sz w:val="22"/>
          <w:szCs w:val="22"/>
        </w:rPr>
        <w:t>21</w:t>
      </w:r>
      <w:r w:rsidRPr="003B6031">
        <w:rPr>
          <w:rFonts w:asciiTheme="minorHAnsi" w:hAnsiTheme="minorHAnsi" w:eastAsiaTheme="minorEastAsia" w:cstheme="minorHAnsi"/>
          <w:bCs/>
          <w:sz w:val="22"/>
          <w:szCs w:val="22"/>
        </w:rPr>
        <w:t xml:space="preserve">. The </w:t>
      </w:r>
      <w:r>
        <w:rPr>
          <w:rFonts w:asciiTheme="minorHAnsi" w:hAnsiTheme="minorHAnsi" w:eastAsiaTheme="minorEastAsia" w:cstheme="minorHAnsi"/>
          <w:bCs/>
          <w:sz w:val="22"/>
          <w:szCs w:val="22"/>
        </w:rPr>
        <w:t>SCS</w:t>
      </w:r>
      <w:r w:rsidRPr="003B6031">
        <w:rPr>
          <w:rFonts w:asciiTheme="minorHAnsi" w:hAnsiTheme="minorHAnsi" w:eastAsiaTheme="minorEastAsia" w:cstheme="minorHAnsi"/>
          <w:bCs/>
          <w:sz w:val="22"/>
          <w:szCs w:val="22"/>
        </w:rPr>
        <w:t xml:space="preserve"> is the only national data collection that provides reliable person-level information on </w:t>
      </w:r>
      <w:r>
        <w:rPr>
          <w:rFonts w:asciiTheme="minorHAnsi" w:hAnsiTheme="minorHAnsi" w:eastAsiaTheme="minorEastAsia" w:cstheme="minorHAnsi"/>
          <w:bCs/>
          <w:sz w:val="22"/>
          <w:szCs w:val="22"/>
        </w:rPr>
        <w:t>school-related victimization</w:t>
      </w:r>
      <w:r w:rsidRPr="003B6031">
        <w:rPr>
          <w:rFonts w:asciiTheme="minorHAnsi" w:hAnsiTheme="minorHAnsi" w:eastAsiaTheme="minorEastAsia" w:cstheme="minorHAnsi"/>
          <w:bCs/>
          <w:sz w:val="22"/>
          <w:szCs w:val="22"/>
        </w:rPr>
        <w:t>. Data are collected from persons age 1</w:t>
      </w:r>
      <w:r>
        <w:rPr>
          <w:rFonts w:asciiTheme="minorHAnsi" w:hAnsiTheme="minorHAnsi" w:eastAsiaTheme="minorEastAsia" w:cstheme="minorHAnsi"/>
          <w:bCs/>
          <w:sz w:val="22"/>
          <w:szCs w:val="22"/>
        </w:rPr>
        <w:t>2</w:t>
      </w:r>
      <w:r w:rsidRPr="003B6031">
        <w:rPr>
          <w:rFonts w:asciiTheme="minorHAnsi" w:hAnsiTheme="minorHAnsi" w:eastAsiaTheme="minorEastAsia" w:cstheme="minorHAnsi"/>
          <w:bCs/>
          <w:sz w:val="22"/>
          <w:szCs w:val="22"/>
        </w:rPr>
        <w:t xml:space="preserve"> </w:t>
      </w:r>
      <w:r>
        <w:rPr>
          <w:rFonts w:asciiTheme="minorHAnsi" w:hAnsiTheme="minorHAnsi" w:eastAsiaTheme="minorEastAsia" w:cstheme="minorHAnsi"/>
          <w:bCs/>
          <w:sz w:val="22"/>
          <w:szCs w:val="22"/>
        </w:rPr>
        <w:t xml:space="preserve">to 18 </w:t>
      </w:r>
      <w:r w:rsidRPr="003B6031">
        <w:rPr>
          <w:rFonts w:asciiTheme="minorHAnsi" w:hAnsiTheme="minorHAnsi" w:eastAsiaTheme="minorEastAsia" w:cstheme="minorHAnsi"/>
          <w:bCs/>
          <w:sz w:val="22"/>
          <w:szCs w:val="22"/>
        </w:rPr>
        <w:t xml:space="preserve">who complete an NCVS interview. Typically, the </w:t>
      </w:r>
      <w:r>
        <w:rPr>
          <w:rFonts w:asciiTheme="minorHAnsi" w:hAnsiTheme="minorHAnsi" w:eastAsiaTheme="minorEastAsia" w:cstheme="minorHAnsi"/>
          <w:bCs/>
          <w:sz w:val="22"/>
          <w:szCs w:val="22"/>
        </w:rPr>
        <w:t>SCS</w:t>
      </w:r>
      <w:r w:rsidRPr="003B6031">
        <w:rPr>
          <w:rFonts w:asciiTheme="minorHAnsi" w:hAnsiTheme="minorHAnsi" w:eastAsiaTheme="minorEastAsia" w:cstheme="minorHAnsi"/>
          <w:bCs/>
          <w:sz w:val="22"/>
          <w:szCs w:val="22"/>
        </w:rPr>
        <w:t xml:space="preserve"> is given every two years. However, the </w:t>
      </w:r>
      <w:r>
        <w:rPr>
          <w:rFonts w:asciiTheme="minorHAnsi" w:hAnsiTheme="minorHAnsi" w:eastAsiaTheme="minorEastAsia" w:cstheme="minorHAnsi"/>
          <w:bCs/>
          <w:sz w:val="22"/>
          <w:szCs w:val="22"/>
        </w:rPr>
        <w:t xml:space="preserve">SCS </w:t>
      </w:r>
      <w:r w:rsidRPr="003B6031">
        <w:rPr>
          <w:rFonts w:asciiTheme="minorHAnsi" w:hAnsiTheme="minorHAnsi" w:eastAsiaTheme="minorEastAsia" w:cstheme="minorHAnsi"/>
          <w:bCs/>
          <w:sz w:val="22"/>
          <w:szCs w:val="22"/>
        </w:rPr>
        <w:t xml:space="preserve">was </w:t>
      </w:r>
      <w:r>
        <w:rPr>
          <w:rFonts w:asciiTheme="minorHAnsi" w:hAnsiTheme="minorHAnsi" w:eastAsiaTheme="minorEastAsia" w:cstheme="minorHAnsi"/>
          <w:bCs/>
          <w:sz w:val="22"/>
          <w:szCs w:val="22"/>
        </w:rPr>
        <w:t>postponed as a result of the impact of the COVID-19 pandemic on in-person learning.</w:t>
      </w:r>
    </w:p>
    <w:p w:rsidRPr="003B6031" w:rsidR="00124757" w:rsidP="00124757" w:rsidRDefault="00124757" w14:paraId="25BCA46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p>
    <w:p w:rsidRPr="00C4515C" w:rsidR="00C253CF" w:rsidP="00C253CF" w:rsidRDefault="00124757" w14:paraId="50FC251D" w14:textId="77777777">
      <w:pPr>
        <w:pStyle w:val="ListParagraph"/>
        <w:numPr>
          <w:ilvl w:val="0"/>
          <w:numId w:val="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0" w:firstLine="0"/>
        <w:rPr>
          <w:rFonts w:asciiTheme="minorHAnsi" w:hAnsiTheme="minorHAnsi" w:eastAsiaTheme="minorEastAsia" w:cstheme="minorHAnsi"/>
          <w:sz w:val="22"/>
          <w:szCs w:val="22"/>
        </w:rPr>
      </w:pPr>
      <w:r w:rsidRPr="00C4515C">
        <w:rPr>
          <w:rFonts w:asciiTheme="minorHAnsi" w:hAnsiTheme="minorHAnsi" w:eastAsiaTheme="minorEastAsia" w:cstheme="minorHAnsi"/>
          <w:b/>
          <w:bCs/>
          <w:sz w:val="22"/>
          <w:szCs w:val="22"/>
        </w:rPr>
        <w:t>Justification</w:t>
      </w:r>
    </w:p>
    <w:p w:rsidRPr="00C4515C" w:rsidR="00C253CF" w:rsidP="00C253CF" w:rsidRDefault="00C253CF" w14:paraId="7428A29F" w14:textId="77777777">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0"/>
        <w:rPr>
          <w:rFonts w:asciiTheme="minorHAnsi" w:hAnsiTheme="minorHAnsi" w:eastAsiaTheme="minorEastAsia" w:cstheme="minorHAnsi"/>
          <w:sz w:val="22"/>
          <w:szCs w:val="22"/>
        </w:rPr>
      </w:pPr>
    </w:p>
    <w:p w:rsidRPr="00C4515C" w:rsidR="00C253CF" w:rsidP="00FD5894" w:rsidRDefault="002A0926" w14:paraId="55F3ACD7" w14:textId="186150AE">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0"/>
        <w:rPr>
          <w:rFonts w:asciiTheme="minorHAnsi" w:hAnsiTheme="minorHAnsi" w:eastAsiaTheme="minorEastAsia" w:cstheme="minorHAnsi"/>
          <w:sz w:val="22"/>
          <w:szCs w:val="22"/>
        </w:rPr>
      </w:pPr>
      <w:r>
        <w:rPr>
          <w:rFonts w:asciiTheme="minorHAnsi" w:hAnsiTheme="minorHAnsi" w:eastAsiaTheme="minorEastAsia" w:cstheme="minorHAnsi"/>
          <w:sz w:val="22"/>
          <w:szCs w:val="22"/>
        </w:rPr>
        <w:t xml:space="preserve">     </w:t>
      </w:r>
      <w:r w:rsidR="00DC1092">
        <w:rPr>
          <w:rFonts w:asciiTheme="minorHAnsi" w:hAnsiTheme="minorHAnsi" w:eastAsiaTheme="minorEastAsia" w:cstheme="minorHAnsi"/>
          <w:sz w:val="22"/>
          <w:szCs w:val="22"/>
        </w:rPr>
        <w:t xml:space="preserve">  </w:t>
      </w:r>
      <w:r w:rsidRPr="00C4515C" w:rsidR="00C253CF">
        <w:rPr>
          <w:rFonts w:asciiTheme="minorHAnsi" w:hAnsiTheme="minorHAnsi" w:eastAsiaTheme="minorEastAsia" w:cstheme="minorHAnsi"/>
          <w:bCs/>
          <w:sz w:val="22"/>
          <w:szCs w:val="22"/>
        </w:rPr>
        <w:t>1.</w:t>
      </w:r>
      <w:r w:rsidRPr="00C4515C" w:rsidR="00C253CF">
        <w:rPr>
          <w:rFonts w:asciiTheme="minorHAnsi" w:hAnsiTheme="minorHAnsi" w:eastAsiaTheme="minorEastAsia" w:cstheme="minorHAnsi"/>
          <w:b/>
          <w:bCs/>
          <w:sz w:val="22"/>
          <w:szCs w:val="22"/>
        </w:rPr>
        <w:t xml:space="preserve"> </w:t>
      </w:r>
      <w:r w:rsidRPr="00C4515C" w:rsidR="00C253CF">
        <w:rPr>
          <w:rFonts w:asciiTheme="minorHAnsi" w:hAnsiTheme="minorHAnsi" w:eastAsiaTheme="minorEastAsia" w:cstheme="minorHAnsi"/>
          <w:sz w:val="22"/>
          <w:szCs w:val="22"/>
          <w:u w:val="single"/>
        </w:rPr>
        <w:t>Necessity of the Information Collection</w:t>
      </w:r>
    </w:p>
    <w:p w:rsidR="00851B09" w:rsidP="00A7763E" w:rsidRDefault="001B4E7C" w14:paraId="384A7BD4" w14:textId="1DD6A32E">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 xml:space="preserve">The BJS and NCES request </w:t>
      </w:r>
      <w:r w:rsidRPr="00C4515C" w:rsidR="00C26AF2">
        <w:rPr>
          <w:rFonts w:asciiTheme="minorHAnsi" w:hAnsiTheme="minorHAnsi" w:eastAsiaTheme="minorEastAsia" w:cstheme="minorHAnsi"/>
          <w:sz w:val="22"/>
          <w:szCs w:val="22"/>
        </w:rPr>
        <w:t xml:space="preserve">clearance to conduct the </w:t>
      </w:r>
      <w:r w:rsidRPr="00C4515C" w:rsidR="003C2595">
        <w:rPr>
          <w:rFonts w:asciiTheme="minorHAnsi" w:hAnsiTheme="minorHAnsi" w:eastAsiaTheme="minorEastAsia" w:cstheme="minorHAnsi"/>
          <w:sz w:val="22"/>
          <w:szCs w:val="22"/>
        </w:rPr>
        <w:t>202</w:t>
      </w:r>
      <w:r w:rsidRPr="00C4515C" w:rsidR="0012313B">
        <w:rPr>
          <w:rFonts w:asciiTheme="minorHAnsi" w:hAnsiTheme="minorHAnsi" w:eastAsiaTheme="minorEastAsia" w:cstheme="minorHAnsi"/>
          <w:sz w:val="22"/>
          <w:szCs w:val="22"/>
        </w:rPr>
        <w:t>2</w:t>
      </w:r>
      <w:r w:rsidRPr="00C4515C" w:rsidR="00C26AF2">
        <w:rPr>
          <w:rFonts w:asciiTheme="minorHAnsi" w:hAnsiTheme="minorHAnsi" w:eastAsiaTheme="minorEastAsia" w:cstheme="minorHAnsi"/>
          <w:sz w:val="22"/>
          <w:szCs w:val="22"/>
        </w:rPr>
        <w:t xml:space="preserve"> SCS to the NCVS.</w:t>
      </w:r>
      <w:r w:rsidRPr="00C4515C" w:rsidR="00695B2D">
        <w:rPr>
          <w:rFonts w:asciiTheme="minorHAnsi" w:hAnsiTheme="minorHAnsi" w:eastAsiaTheme="minorEastAsia" w:cstheme="minorHAnsi"/>
          <w:sz w:val="22"/>
          <w:szCs w:val="22"/>
        </w:rPr>
        <w:t xml:space="preserve"> </w:t>
      </w:r>
      <w:r w:rsidRPr="00C4515C" w:rsidR="004737FF">
        <w:rPr>
          <w:rFonts w:asciiTheme="minorHAnsi" w:hAnsiTheme="minorHAnsi" w:eastAsiaTheme="minorEastAsia" w:cstheme="minorHAnsi"/>
          <w:sz w:val="22"/>
          <w:szCs w:val="22"/>
        </w:rPr>
        <w:t>The BJS</w:t>
      </w:r>
      <w:r w:rsidRPr="00C4515C">
        <w:rPr>
          <w:rFonts w:asciiTheme="minorHAnsi" w:hAnsiTheme="minorHAnsi" w:eastAsiaTheme="minorEastAsia" w:cstheme="minorHAnsi"/>
          <w:sz w:val="22"/>
          <w:szCs w:val="22"/>
        </w:rPr>
        <w:t xml:space="preserve"> is authorized to collect statistics on victimization under Title </w:t>
      </w:r>
      <w:r w:rsidRPr="00C4515C" w:rsidR="005D2FB6">
        <w:rPr>
          <w:rFonts w:asciiTheme="minorHAnsi" w:hAnsiTheme="minorHAnsi" w:eastAsiaTheme="minorEastAsia" w:cstheme="minorHAnsi"/>
          <w:sz w:val="22"/>
          <w:szCs w:val="22"/>
        </w:rPr>
        <w:t>34</w:t>
      </w:r>
      <w:r w:rsidRPr="00C4515C">
        <w:rPr>
          <w:rFonts w:asciiTheme="minorHAnsi" w:hAnsiTheme="minorHAnsi" w:eastAsiaTheme="minorEastAsia" w:cstheme="minorHAnsi"/>
          <w:sz w:val="22"/>
          <w:szCs w:val="22"/>
        </w:rPr>
        <w:t>, United States Code</w:t>
      </w:r>
      <w:r w:rsidRPr="00C4515C" w:rsidR="00C86C60">
        <w:rPr>
          <w:rFonts w:asciiTheme="minorHAnsi" w:hAnsiTheme="minorHAnsi" w:eastAsiaTheme="minorEastAsia" w:cstheme="minorHAnsi"/>
          <w:sz w:val="22"/>
          <w:szCs w:val="22"/>
        </w:rPr>
        <w:t xml:space="preserve"> (U.S.C.)</w:t>
      </w:r>
      <w:r w:rsidRPr="00C4515C">
        <w:rPr>
          <w:rFonts w:asciiTheme="minorHAnsi" w:hAnsiTheme="minorHAnsi" w:eastAsiaTheme="minorEastAsia" w:cstheme="minorHAnsi"/>
          <w:sz w:val="22"/>
          <w:szCs w:val="22"/>
        </w:rPr>
        <w:t xml:space="preserve">, Section </w:t>
      </w:r>
      <w:r w:rsidRPr="00C4515C" w:rsidR="005D2FB6">
        <w:rPr>
          <w:rFonts w:asciiTheme="minorHAnsi" w:hAnsiTheme="minorHAnsi" w:eastAsiaTheme="minorEastAsia" w:cstheme="minorHAnsi"/>
          <w:sz w:val="22"/>
          <w:szCs w:val="22"/>
        </w:rPr>
        <w:t>10132</w:t>
      </w:r>
      <w:r w:rsidRPr="00C4515C">
        <w:rPr>
          <w:rFonts w:asciiTheme="minorHAnsi" w:hAnsiTheme="minorHAnsi" w:eastAsiaTheme="minorEastAsia" w:cstheme="minorHAnsi"/>
          <w:sz w:val="22"/>
          <w:szCs w:val="22"/>
        </w:rPr>
        <w:t xml:space="preserve"> of the Justice Systems Improvement Act of 1979 (see </w:t>
      </w:r>
      <w:r w:rsidRPr="00077399">
        <w:rPr>
          <w:rFonts w:asciiTheme="minorHAnsi" w:hAnsiTheme="minorHAnsi" w:eastAsiaTheme="minorEastAsia" w:cstheme="minorHAnsi"/>
          <w:sz w:val="22"/>
          <w:szCs w:val="22"/>
        </w:rPr>
        <w:t>Attachment 1</w:t>
      </w:r>
      <w:r w:rsidRPr="00C4515C">
        <w:rPr>
          <w:rFonts w:asciiTheme="minorHAnsi" w:hAnsiTheme="minorHAnsi" w:eastAsiaTheme="minorEastAsia" w:cstheme="minorHAnsi"/>
          <w:sz w:val="22"/>
          <w:szCs w:val="22"/>
        </w:rPr>
        <w:t>)</w:t>
      </w:r>
      <w:r w:rsidRPr="00C4515C" w:rsidR="00695B2D">
        <w:rPr>
          <w:rFonts w:asciiTheme="minorHAnsi" w:hAnsiTheme="minorHAnsi" w:eastAsiaTheme="minorEastAsia" w:cstheme="minorHAnsi"/>
          <w:sz w:val="22"/>
          <w:szCs w:val="22"/>
        </w:rPr>
        <w:t xml:space="preserve">. </w:t>
      </w:r>
      <w:r w:rsidRPr="00C4515C">
        <w:rPr>
          <w:rFonts w:asciiTheme="minorHAnsi" w:hAnsiTheme="minorHAnsi" w:eastAsiaTheme="minorEastAsia" w:cstheme="minorHAnsi"/>
          <w:sz w:val="22"/>
          <w:szCs w:val="22"/>
        </w:rPr>
        <w:t xml:space="preserve">Title 1 of the Education Sciences Reform Act (ESRA) mandates that the </w:t>
      </w:r>
      <w:r w:rsidRPr="00C4515C" w:rsidR="004737FF">
        <w:rPr>
          <w:rFonts w:asciiTheme="minorHAnsi" w:hAnsiTheme="minorHAnsi" w:eastAsiaTheme="minorEastAsia" w:cstheme="minorHAnsi"/>
          <w:sz w:val="22"/>
          <w:szCs w:val="22"/>
        </w:rPr>
        <w:t>NCES</w:t>
      </w:r>
      <w:r w:rsidRPr="00C4515C">
        <w:rPr>
          <w:rFonts w:asciiTheme="minorHAnsi" w:hAnsiTheme="minorHAnsi" w:eastAsiaTheme="minorEastAsia" w:cstheme="minorHAnsi"/>
          <w:sz w:val="22"/>
          <w:szCs w:val="22"/>
        </w:rPr>
        <w:t xml:space="preserve"> collect, report, analyze, and disseminate statistical data regarding education in the United States.</w:t>
      </w:r>
      <w:r w:rsidRPr="00C4515C" w:rsidR="004737FF">
        <w:rPr>
          <w:rFonts w:asciiTheme="minorHAnsi" w:hAnsiTheme="minorHAnsi" w:eastAsiaTheme="minorEastAsia" w:cstheme="minorHAnsi"/>
          <w:sz w:val="22"/>
          <w:szCs w:val="22"/>
        </w:rPr>
        <w:t xml:space="preserve"> The current </w:t>
      </w:r>
      <w:r w:rsidRPr="00C4515C">
        <w:rPr>
          <w:rFonts w:asciiTheme="minorHAnsi" w:hAnsiTheme="minorHAnsi" w:eastAsiaTheme="minorEastAsia" w:cstheme="minorHAnsi"/>
          <w:sz w:val="22"/>
          <w:szCs w:val="22"/>
        </w:rPr>
        <w:t>request is specifically for a supplemental data collection instrument that will be added to the approved NCVS co</w:t>
      </w:r>
      <w:r w:rsidRPr="00C4515C" w:rsidR="00695B2D">
        <w:rPr>
          <w:rFonts w:asciiTheme="minorHAnsi" w:hAnsiTheme="minorHAnsi" w:eastAsiaTheme="minorEastAsia" w:cstheme="minorHAnsi"/>
          <w:sz w:val="22"/>
          <w:szCs w:val="22"/>
        </w:rPr>
        <w:t xml:space="preserve">re from January through June </w:t>
      </w:r>
      <w:r w:rsidRPr="00C4515C" w:rsidR="003C2595">
        <w:rPr>
          <w:rFonts w:asciiTheme="minorHAnsi" w:hAnsiTheme="minorHAnsi" w:eastAsiaTheme="minorEastAsia" w:cstheme="minorHAnsi"/>
          <w:sz w:val="22"/>
          <w:szCs w:val="22"/>
        </w:rPr>
        <w:t>202</w:t>
      </w:r>
      <w:r w:rsidRPr="00C4515C" w:rsidR="0012313B">
        <w:rPr>
          <w:rFonts w:asciiTheme="minorHAnsi" w:hAnsiTheme="minorHAnsi" w:eastAsiaTheme="minorEastAsia" w:cstheme="minorHAnsi"/>
          <w:sz w:val="22"/>
          <w:szCs w:val="22"/>
        </w:rPr>
        <w:t>2</w:t>
      </w:r>
      <w:r w:rsidRPr="00C4515C">
        <w:rPr>
          <w:rFonts w:asciiTheme="minorHAnsi" w:hAnsiTheme="minorHAnsi" w:eastAsiaTheme="minorEastAsia" w:cstheme="minorHAnsi"/>
          <w:sz w:val="22"/>
          <w:szCs w:val="22"/>
        </w:rPr>
        <w:t xml:space="preserve"> (see </w:t>
      </w:r>
      <w:r w:rsidRPr="00077399">
        <w:rPr>
          <w:rFonts w:asciiTheme="minorHAnsi" w:hAnsiTheme="minorHAnsi" w:eastAsiaTheme="minorEastAsia" w:cstheme="minorHAnsi"/>
          <w:sz w:val="22"/>
          <w:szCs w:val="22"/>
        </w:rPr>
        <w:t>Attachment 2</w:t>
      </w:r>
      <w:r w:rsidRPr="00C4515C">
        <w:rPr>
          <w:rFonts w:asciiTheme="minorHAnsi" w:hAnsiTheme="minorHAnsi" w:eastAsiaTheme="minorEastAsia" w:cstheme="minorHAnsi"/>
          <w:sz w:val="22"/>
          <w:szCs w:val="22"/>
        </w:rPr>
        <w:t>).</w:t>
      </w:r>
      <w:r w:rsidRPr="00C4515C" w:rsidR="004737FF">
        <w:rPr>
          <w:rFonts w:asciiTheme="minorHAnsi" w:hAnsiTheme="minorHAnsi" w:eastAsiaTheme="minorEastAsia" w:cstheme="minorHAnsi"/>
          <w:sz w:val="22"/>
          <w:szCs w:val="22"/>
        </w:rPr>
        <w:t xml:space="preserve"> </w:t>
      </w:r>
      <w:r w:rsidRPr="00C4515C" w:rsidR="00E15C9C">
        <w:rPr>
          <w:rFonts w:asciiTheme="minorHAnsi" w:hAnsiTheme="minorHAnsi" w:eastAsiaTheme="minorEastAsia" w:cstheme="minorHAnsi"/>
          <w:sz w:val="22"/>
          <w:szCs w:val="22"/>
        </w:rPr>
        <w:t>Clearance for t</w:t>
      </w:r>
      <w:r w:rsidRPr="00C4515C" w:rsidR="004737FF">
        <w:rPr>
          <w:rFonts w:asciiTheme="minorHAnsi" w:hAnsiTheme="minorHAnsi" w:eastAsiaTheme="minorEastAsia" w:cstheme="minorHAnsi"/>
          <w:sz w:val="22"/>
          <w:szCs w:val="22"/>
        </w:rPr>
        <w:t>he NCVS</w:t>
      </w:r>
      <w:r w:rsidR="00E352F7">
        <w:rPr>
          <w:rFonts w:asciiTheme="minorHAnsi" w:hAnsiTheme="minorHAnsi" w:eastAsiaTheme="minorEastAsia" w:cstheme="minorHAnsi"/>
          <w:sz w:val="22"/>
          <w:szCs w:val="22"/>
        </w:rPr>
        <w:t>, along with</w:t>
      </w:r>
      <w:r w:rsidRPr="00C4515C" w:rsidR="004737FF">
        <w:rPr>
          <w:rFonts w:asciiTheme="minorHAnsi" w:hAnsiTheme="minorHAnsi" w:eastAsiaTheme="minorEastAsia" w:cstheme="minorHAnsi"/>
          <w:sz w:val="22"/>
          <w:szCs w:val="22"/>
        </w:rPr>
        <w:t xml:space="preserve"> all related contacts and protocols for the </w:t>
      </w:r>
      <w:r w:rsidRPr="00C4515C" w:rsidR="003C2595">
        <w:rPr>
          <w:rFonts w:asciiTheme="minorHAnsi" w:hAnsiTheme="minorHAnsi" w:eastAsiaTheme="minorEastAsia" w:cstheme="minorHAnsi"/>
          <w:sz w:val="22"/>
          <w:szCs w:val="22"/>
        </w:rPr>
        <w:t>202</w:t>
      </w:r>
      <w:r w:rsidRPr="00C4515C" w:rsidR="0012313B">
        <w:rPr>
          <w:rFonts w:asciiTheme="minorHAnsi" w:hAnsiTheme="minorHAnsi" w:eastAsiaTheme="minorEastAsia" w:cstheme="minorHAnsi"/>
          <w:sz w:val="22"/>
          <w:szCs w:val="22"/>
        </w:rPr>
        <w:t>2</w:t>
      </w:r>
      <w:r w:rsidRPr="00C4515C" w:rsidR="004737FF">
        <w:rPr>
          <w:rFonts w:asciiTheme="minorHAnsi" w:hAnsiTheme="minorHAnsi" w:eastAsiaTheme="minorEastAsia" w:cstheme="minorHAnsi"/>
          <w:sz w:val="22"/>
          <w:szCs w:val="22"/>
        </w:rPr>
        <w:t xml:space="preserve"> collection year</w:t>
      </w:r>
      <w:r w:rsidR="00E352F7">
        <w:rPr>
          <w:rFonts w:asciiTheme="minorHAnsi" w:hAnsiTheme="minorHAnsi" w:eastAsiaTheme="minorEastAsia" w:cstheme="minorHAnsi"/>
          <w:sz w:val="22"/>
          <w:szCs w:val="22"/>
        </w:rPr>
        <w:t>,</w:t>
      </w:r>
      <w:r w:rsidRPr="00C4515C" w:rsidR="004737FF">
        <w:rPr>
          <w:rFonts w:asciiTheme="minorHAnsi" w:hAnsiTheme="minorHAnsi" w:eastAsiaTheme="minorEastAsia" w:cstheme="minorHAnsi"/>
          <w:sz w:val="22"/>
          <w:szCs w:val="22"/>
        </w:rPr>
        <w:t xml:space="preserve"> </w:t>
      </w:r>
      <w:r w:rsidR="00E352F7">
        <w:rPr>
          <w:rFonts w:asciiTheme="minorHAnsi" w:hAnsiTheme="minorHAnsi" w:eastAsiaTheme="minorEastAsia" w:cstheme="minorHAnsi"/>
          <w:sz w:val="22"/>
          <w:szCs w:val="22"/>
        </w:rPr>
        <w:t>is</w:t>
      </w:r>
      <w:r w:rsidRPr="00C4515C" w:rsidR="00E15C9C">
        <w:rPr>
          <w:rFonts w:asciiTheme="minorHAnsi" w:hAnsiTheme="minorHAnsi" w:eastAsiaTheme="minorEastAsia" w:cstheme="minorHAnsi"/>
          <w:sz w:val="22"/>
          <w:szCs w:val="22"/>
        </w:rPr>
        <w:t xml:space="preserve"> being requested through a separate</w:t>
      </w:r>
      <w:r w:rsidRPr="00C4515C" w:rsidR="004737FF">
        <w:rPr>
          <w:rFonts w:asciiTheme="minorHAnsi" w:hAnsiTheme="minorHAnsi" w:eastAsiaTheme="minorEastAsia" w:cstheme="minorHAnsi"/>
          <w:sz w:val="22"/>
          <w:szCs w:val="22"/>
        </w:rPr>
        <w:t xml:space="preserve"> OMB</w:t>
      </w:r>
      <w:r w:rsidRPr="00C4515C" w:rsidR="00E15C9C">
        <w:rPr>
          <w:rFonts w:asciiTheme="minorHAnsi" w:hAnsiTheme="minorHAnsi" w:eastAsiaTheme="minorEastAsia" w:cstheme="minorHAnsi"/>
          <w:sz w:val="22"/>
          <w:szCs w:val="22"/>
        </w:rPr>
        <w:t xml:space="preserve"> request and number</w:t>
      </w:r>
      <w:r w:rsidRPr="00C4515C" w:rsidR="004737FF">
        <w:rPr>
          <w:rFonts w:asciiTheme="minorHAnsi" w:hAnsiTheme="minorHAnsi" w:eastAsiaTheme="minorEastAsia" w:cstheme="minorHAnsi"/>
          <w:sz w:val="22"/>
          <w:szCs w:val="22"/>
        </w:rPr>
        <w:t xml:space="preserve"> (OMB </w:t>
      </w:r>
      <w:r w:rsidR="00FC3C2F">
        <w:rPr>
          <w:rFonts w:asciiTheme="minorHAnsi" w:hAnsiTheme="minorHAnsi" w:eastAsiaTheme="minorEastAsia" w:cstheme="minorHAnsi"/>
          <w:sz w:val="22"/>
          <w:szCs w:val="22"/>
        </w:rPr>
        <w:t xml:space="preserve">Control </w:t>
      </w:r>
      <w:r w:rsidRPr="00C4515C" w:rsidR="004737FF">
        <w:rPr>
          <w:rFonts w:asciiTheme="minorHAnsi" w:hAnsiTheme="minorHAnsi" w:eastAsiaTheme="minorEastAsia" w:cstheme="minorHAnsi"/>
          <w:sz w:val="22"/>
          <w:szCs w:val="22"/>
        </w:rPr>
        <w:t>N</w:t>
      </w:r>
      <w:r w:rsidR="00FC3C2F">
        <w:rPr>
          <w:rFonts w:asciiTheme="minorHAnsi" w:hAnsiTheme="minorHAnsi" w:eastAsiaTheme="minorEastAsia" w:cstheme="minorHAnsi"/>
          <w:sz w:val="22"/>
          <w:szCs w:val="22"/>
        </w:rPr>
        <w:t>o</w:t>
      </w:r>
      <w:r w:rsidRPr="00C4515C" w:rsidR="004737FF">
        <w:rPr>
          <w:rFonts w:asciiTheme="minorHAnsi" w:hAnsiTheme="minorHAnsi" w:eastAsiaTheme="minorEastAsia" w:cstheme="minorHAnsi"/>
          <w:sz w:val="22"/>
          <w:szCs w:val="22"/>
        </w:rPr>
        <w:t xml:space="preserve">: 1121-0111). </w:t>
      </w:r>
    </w:p>
    <w:p w:rsidR="00851B09" w:rsidP="00A7763E" w:rsidRDefault="00851B09" w14:paraId="0E06BD6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eastAsiaTheme="minorEastAsia" w:cstheme="minorHAnsi"/>
          <w:sz w:val="22"/>
          <w:szCs w:val="22"/>
        </w:rPr>
      </w:pPr>
    </w:p>
    <w:p w:rsidRPr="00C4515C" w:rsidR="00A7763E" w:rsidP="00A7763E" w:rsidRDefault="00C26AF2" w14:paraId="003A9059" w14:textId="486FC76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The primary purpose of the SCS is to obtain information about</w:t>
      </w:r>
      <w:r w:rsidRPr="00C4515C" w:rsidR="00695B2D">
        <w:rPr>
          <w:rFonts w:asciiTheme="minorHAnsi" w:hAnsiTheme="minorHAnsi" w:eastAsiaTheme="minorEastAsia" w:cstheme="minorHAnsi"/>
          <w:sz w:val="22"/>
          <w:szCs w:val="22"/>
        </w:rPr>
        <w:t xml:space="preserve"> school-related victimizations.</w:t>
      </w:r>
      <w:r w:rsidRPr="00C4515C">
        <w:rPr>
          <w:rFonts w:asciiTheme="minorHAnsi" w:hAnsiTheme="minorHAnsi" w:eastAsiaTheme="minorEastAsia" w:cstheme="minorHAnsi"/>
          <w:sz w:val="22"/>
          <w:szCs w:val="22"/>
        </w:rPr>
        <w:t xml:space="preserve"> This information helps policymakers</w:t>
      </w:r>
      <w:r w:rsidRPr="00C4515C" w:rsidR="005D2FB6">
        <w:rPr>
          <w:rFonts w:asciiTheme="minorHAnsi" w:hAnsiTheme="minorHAnsi" w:eastAsiaTheme="minorEastAsia" w:cstheme="minorHAnsi"/>
          <w:sz w:val="22"/>
          <w:szCs w:val="22"/>
        </w:rPr>
        <w:t>;</w:t>
      </w:r>
      <w:r w:rsidRPr="00C4515C">
        <w:rPr>
          <w:rFonts w:asciiTheme="minorHAnsi" w:hAnsiTheme="minorHAnsi" w:eastAsiaTheme="minorEastAsia" w:cstheme="minorHAnsi"/>
          <w:sz w:val="22"/>
          <w:szCs w:val="22"/>
        </w:rPr>
        <w:t xml:space="preserve"> academic researchers</w:t>
      </w:r>
      <w:r w:rsidRPr="00C4515C" w:rsidR="005D2FB6">
        <w:rPr>
          <w:rFonts w:asciiTheme="minorHAnsi" w:hAnsiTheme="minorHAnsi" w:eastAsiaTheme="minorEastAsia" w:cstheme="minorHAnsi"/>
          <w:sz w:val="22"/>
          <w:szCs w:val="22"/>
        </w:rPr>
        <w:t>;</w:t>
      </w:r>
      <w:r w:rsidRPr="00C4515C">
        <w:rPr>
          <w:rFonts w:asciiTheme="minorHAnsi" w:hAnsiTheme="minorHAnsi" w:eastAsiaTheme="minorEastAsia" w:cstheme="minorHAnsi"/>
          <w:sz w:val="22"/>
          <w:szCs w:val="22"/>
        </w:rPr>
        <w:t xml:space="preserve"> practitioners at the federal, state, and local levels</w:t>
      </w:r>
      <w:r w:rsidRPr="00C4515C" w:rsidR="005D2FB6">
        <w:rPr>
          <w:rFonts w:asciiTheme="minorHAnsi" w:hAnsiTheme="minorHAnsi" w:eastAsiaTheme="minorEastAsia" w:cstheme="minorHAnsi"/>
          <w:sz w:val="22"/>
          <w:szCs w:val="22"/>
        </w:rPr>
        <w:t>;</w:t>
      </w:r>
      <w:r w:rsidRPr="00C4515C">
        <w:rPr>
          <w:rFonts w:asciiTheme="minorHAnsi" w:hAnsiTheme="minorHAnsi" w:eastAsiaTheme="minorEastAsia" w:cstheme="minorHAnsi"/>
          <w:sz w:val="22"/>
          <w:szCs w:val="22"/>
        </w:rPr>
        <w:t xml:space="preserve"> and special interest groups, who are concerned with crime in schools, make informed decisions about policies and programs. </w:t>
      </w:r>
      <w:r w:rsidRPr="00C4515C" w:rsidR="00A7763E">
        <w:rPr>
          <w:rFonts w:asciiTheme="minorHAnsi" w:hAnsiTheme="minorHAnsi" w:eastAsiaTheme="minorEastAsia" w:cstheme="minorHAnsi"/>
          <w:color w:val="221E1F"/>
          <w:sz w:val="22"/>
          <w:szCs w:val="22"/>
        </w:rPr>
        <w:t>The SCS is the only data collection on school</w:t>
      </w:r>
      <w:r w:rsidR="00A67CF9">
        <w:rPr>
          <w:rFonts w:asciiTheme="minorHAnsi" w:hAnsiTheme="minorHAnsi" w:eastAsiaTheme="minorEastAsia" w:cstheme="minorHAnsi"/>
          <w:color w:val="221E1F"/>
          <w:sz w:val="22"/>
          <w:szCs w:val="22"/>
        </w:rPr>
        <w:t>-related</w:t>
      </w:r>
      <w:r w:rsidRPr="00C4515C" w:rsidR="00A7763E">
        <w:rPr>
          <w:rFonts w:asciiTheme="minorHAnsi" w:hAnsiTheme="minorHAnsi" w:eastAsiaTheme="minorEastAsia" w:cstheme="minorHAnsi"/>
          <w:color w:val="221E1F"/>
          <w:sz w:val="22"/>
          <w:szCs w:val="22"/>
        </w:rPr>
        <w:t xml:space="preserve"> victimization that is representative of the national youth population of students ages 12 t</w:t>
      </w:r>
      <w:r w:rsidR="00B35354">
        <w:rPr>
          <w:rFonts w:asciiTheme="minorHAnsi" w:hAnsiTheme="minorHAnsi" w:eastAsiaTheme="minorEastAsia" w:cstheme="minorHAnsi"/>
          <w:color w:val="221E1F"/>
          <w:sz w:val="22"/>
          <w:szCs w:val="22"/>
        </w:rPr>
        <w:t>o</w:t>
      </w:r>
      <w:r w:rsidRPr="00C4515C" w:rsidR="00A7763E">
        <w:rPr>
          <w:rFonts w:asciiTheme="minorHAnsi" w:hAnsiTheme="minorHAnsi" w:eastAsiaTheme="minorEastAsia" w:cstheme="minorHAnsi"/>
          <w:color w:val="221E1F"/>
          <w:sz w:val="22"/>
          <w:szCs w:val="22"/>
        </w:rPr>
        <w:t xml:space="preserve"> 18. </w:t>
      </w:r>
    </w:p>
    <w:p w:rsidR="00C26AF2" w:rsidP="00C26AF2" w:rsidRDefault="00C26AF2" w14:paraId="61C04A72" w14:textId="7434BD1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eastAsiaTheme="minorEastAsia" w:cstheme="minorHAnsi"/>
          <w:sz w:val="22"/>
          <w:szCs w:val="22"/>
        </w:rPr>
      </w:pPr>
    </w:p>
    <w:p w:rsidR="00E352F7" w:rsidP="00E352F7" w:rsidRDefault="00E352F7" w14:paraId="2CD43EFC" w14:textId="1512E44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To study the relationships between victimization at school and the school environment, and to monitor changes in student experiences with victimization, accurate information regarding its incidence must be collected. The SCS includes questions related to students' experiences with, and perceptions of, crime and safety at school. The questions focus on preventive measures used by schools; students' participation in after school activities; students’ perceptions of safety and belonging in schools</w:t>
      </w:r>
      <w:r w:rsidR="007F365F">
        <w:rPr>
          <w:rFonts w:asciiTheme="minorHAnsi" w:hAnsiTheme="minorHAnsi" w:eastAsiaTheme="minorEastAsia" w:cstheme="minorHAnsi"/>
          <w:sz w:val="22"/>
          <w:szCs w:val="22"/>
        </w:rPr>
        <w:t>;</w:t>
      </w:r>
      <w:r w:rsidRPr="00C4515C" w:rsidR="007F365F">
        <w:rPr>
          <w:rFonts w:asciiTheme="minorHAnsi" w:hAnsiTheme="minorHAnsi" w:eastAsiaTheme="minorEastAsia" w:cstheme="minorHAnsi"/>
          <w:sz w:val="22"/>
          <w:szCs w:val="22"/>
        </w:rPr>
        <w:t xml:space="preserve"> </w:t>
      </w:r>
      <w:r w:rsidRPr="00C4515C">
        <w:rPr>
          <w:rFonts w:asciiTheme="minorHAnsi" w:hAnsiTheme="minorHAnsi" w:eastAsiaTheme="minorEastAsia" w:cstheme="minorHAnsi"/>
          <w:sz w:val="22"/>
          <w:szCs w:val="22"/>
        </w:rPr>
        <w:t xml:space="preserve">students' perception of school rules and enforcement of these rules; the presence of weapons, illegal and prescription drugs including opioids, alcohol, and gangs in school; student bullying; hate-related incidents; and attitudinal questions relating to the fear of victimization at school. The 2022 supplement will continue to provide critical information about the overall environment of safety in schools to understand the context in which school-related victimizations occur on a national level.  </w:t>
      </w:r>
    </w:p>
    <w:p w:rsidR="00E352F7" w:rsidP="00C26AF2" w:rsidRDefault="00E352F7" w14:paraId="2647A8A6" w14:textId="261DBB4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eastAsiaTheme="minorEastAsia" w:cstheme="minorHAnsi"/>
          <w:sz w:val="22"/>
          <w:szCs w:val="22"/>
        </w:rPr>
      </w:pPr>
    </w:p>
    <w:p w:rsidR="007F5208" w:rsidP="007F5208" w:rsidRDefault="007F5208" w14:paraId="56372633" w14:textId="00E5E34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lastRenderedPageBreak/>
        <w:t xml:space="preserve">NCVS data on school crime have shown that school crimes are under-reported to the police and those victims between the ages of 12 </w:t>
      </w:r>
      <w:r w:rsidR="007C22F3">
        <w:rPr>
          <w:rFonts w:asciiTheme="minorHAnsi" w:hAnsiTheme="minorHAnsi" w:eastAsiaTheme="minorEastAsia" w:cstheme="minorHAnsi"/>
          <w:sz w:val="22"/>
          <w:szCs w:val="22"/>
        </w:rPr>
        <w:t>to</w:t>
      </w:r>
      <w:r w:rsidRPr="00C4515C">
        <w:rPr>
          <w:rFonts w:asciiTheme="minorHAnsi" w:hAnsiTheme="minorHAnsi" w:eastAsiaTheme="minorEastAsia" w:cstheme="minorHAnsi"/>
          <w:sz w:val="22"/>
          <w:szCs w:val="22"/>
        </w:rPr>
        <w:t xml:space="preserve"> 18 are not as likely as older victims to report</w:t>
      </w:r>
      <w:r w:rsidRPr="00C4515C" w:rsidR="00695B2D">
        <w:rPr>
          <w:rFonts w:asciiTheme="minorHAnsi" w:hAnsiTheme="minorHAnsi" w:eastAsiaTheme="minorEastAsia" w:cstheme="minorHAnsi"/>
          <w:sz w:val="22"/>
          <w:szCs w:val="22"/>
        </w:rPr>
        <w:t xml:space="preserve"> victimizations to the police. </w:t>
      </w:r>
      <w:r w:rsidRPr="00C4515C">
        <w:rPr>
          <w:rFonts w:asciiTheme="minorHAnsi" w:hAnsiTheme="minorHAnsi" w:eastAsiaTheme="minorEastAsia" w:cstheme="minorHAnsi"/>
          <w:sz w:val="22"/>
          <w:szCs w:val="22"/>
        </w:rPr>
        <w:t xml:space="preserve">In addition, police-based statistics are not organized in a manner to properly identify crimes that occurred at school or during school hours. Therefore, police statistics on school crime are not adequate to address the issue of the nature and prevalence of school victimization. </w:t>
      </w:r>
    </w:p>
    <w:p w:rsidRPr="00C4515C" w:rsidR="00C26AF2" w:rsidP="00C253CF" w:rsidRDefault="00C26AF2" w14:paraId="1CC1623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eastAsiaTheme="minorEastAsia" w:cstheme="minorHAnsi"/>
          <w:sz w:val="22"/>
          <w:szCs w:val="22"/>
        </w:rPr>
      </w:pPr>
    </w:p>
    <w:p w:rsidR="00136105" w:rsidP="00C253CF" w:rsidRDefault="00D57127" w14:paraId="784F33BF" w14:textId="66491CB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 xml:space="preserve">The U.S. Census Bureau has </w:t>
      </w:r>
      <w:r w:rsidR="007C22F3">
        <w:rPr>
          <w:rFonts w:asciiTheme="minorHAnsi" w:hAnsiTheme="minorHAnsi" w:eastAsiaTheme="minorEastAsia" w:cstheme="minorHAnsi"/>
          <w:sz w:val="22"/>
          <w:szCs w:val="22"/>
        </w:rPr>
        <w:t>administered and collected t</w:t>
      </w:r>
      <w:r w:rsidRPr="00C4515C">
        <w:rPr>
          <w:rFonts w:asciiTheme="minorHAnsi" w:hAnsiTheme="minorHAnsi" w:eastAsiaTheme="minorEastAsia" w:cstheme="minorHAnsi"/>
          <w:sz w:val="22"/>
          <w:szCs w:val="22"/>
        </w:rPr>
        <w:t>he SCS</w:t>
      </w:r>
      <w:r w:rsidR="007C22F3">
        <w:rPr>
          <w:rFonts w:asciiTheme="minorHAnsi" w:hAnsiTheme="minorHAnsi" w:eastAsiaTheme="minorEastAsia" w:cstheme="minorHAnsi"/>
          <w:sz w:val="22"/>
          <w:szCs w:val="22"/>
        </w:rPr>
        <w:t xml:space="preserve"> </w:t>
      </w:r>
      <w:r w:rsidRPr="00C4515C">
        <w:rPr>
          <w:rFonts w:asciiTheme="minorHAnsi" w:hAnsiTheme="minorHAnsi" w:eastAsiaTheme="minorEastAsia" w:cstheme="minorHAnsi"/>
          <w:sz w:val="22"/>
          <w:szCs w:val="22"/>
        </w:rPr>
        <w:t>as part of the NCVS admin</w:t>
      </w:r>
      <w:r w:rsidRPr="00C4515C" w:rsidR="00695B2D">
        <w:rPr>
          <w:rFonts w:asciiTheme="minorHAnsi" w:hAnsiTheme="minorHAnsi" w:eastAsiaTheme="minorEastAsia" w:cstheme="minorHAnsi"/>
          <w:sz w:val="22"/>
          <w:szCs w:val="22"/>
        </w:rPr>
        <w:t xml:space="preserve">istration </w:t>
      </w:r>
      <w:r w:rsidRPr="00C4515C" w:rsidR="00125BE8">
        <w:rPr>
          <w:rFonts w:asciiTheme="minorHAnsi" w:hAnsiTheme="minorHAnsi" w:eastAsiaTheme="minorEastAsia" w:cstheme="minorHAnsi"/>
          <w:sz w:val="22"/>
          <w:szCs w:val="22"/>
        </w:rPr>
        <w:t xml:space="preserve">13 </w:t>
      </w:r>
      <w:r w:rsidRPr="00C4515C" w:rsidR="00695B2D">
        <w:rPr>
          <w:rFonts w:asciiTheme="minorHAnsi" w:hAnsiTheme="minorHAnsi" w:eastAsiaTheme="minorEastAsia" w:cstheme="minorHAnsi"/>
          <w:sz w:val="22"/>
          <w:szCs w:val="22"/>
        </w:rPr>
        <w:t>times since 1989</w:t>
      </w:r>
      <w:r w:rsidR="00491C55">
        <w:rPr>
          <w:rFonts w:asciiTheme="minorHAnsi" w:hAnsiTheme="minorHAnsi" w:eastAsiaTheme="minorEastAsia" w:cstheme="minorHAnsi"/>
          <w:sz w:val="22"/>
          <w:szCs w:val="22"/>
        </w:rPr>
        <w:t xml:space="preserve"> </w:t>
      </w:r>
      <w:r w:rsidR="00EB258A">
        <w:rPr>
          <w:rFonts w:asciiTheme="minorHAnsi" w:hAnsiTheme="minorHAnsi" w:eastAsiaTheme="minorEastAsia" w:cstheme="minorHAnsi"/>
          <w:sz w:val="22"/>
          <w:szCs w:val="22"/>
        </w:rPr>
        <w:t>and</w:t>
      </w:r>
      <w:r w:rsidRPr="00C4515C" w:rsidR="00C253CF">
        <w:rPr>
          <w:rFonts w:asciiTheme="minorHAnsi" w:hAnsiTheme="minorHAnsi" w:eastAsiaTheme="minorEastAsia" w:cstheme="minorHAnsi"/>
          <w:sz w:val="22"/>
          <w:szCs w:val="22"/>
        </w:rPr>
        <w:t xml:space="preserve"> </w:t>
      </w:r>
      <w:r w:rsidRPr="00C4515C" w:rsidR="00695B2D">
        <w:rPr>
          <w:rFonts w:asciiTheme="minorHAnsi" w:hAnsiTheme="minorHAnsi" w:eastAsiaTheme="minorEastAsia" w:cstheme="minorHAnsi"/>
          <w:sz w:val="22"/>
          <w:szCs w:val="22"/>
        </w:rPr>
        <w:t xml:space="preserve">administered </w:t>
      </w:r>
      <w:r w:rsidR="00843035">
        <w:rPr>
          <w:rFonts w:asciiTheme="minorHAnsi" w:hAnsiTheme="minorHAnsi" w:eastAsiaTheme="minorEastAsia" w:cstheme="minorHAnsi"/>
          <w:sz w:val="22"/>
          <w:szCs w:val="22"/>
        </w:rPr>
        <w:t xml:space="preserve">the supplement </w:t>
      </w:r>
      <w:r w:rsidRPr="00C4515C" w:rsidR="00695B2D">
        <w:rPr>
          <w:rFonts w:asciiTheme="minorHAnsi" w:hAnsiTheme="minorHAnsi" w:eastAsiaTheme="minorEastAsia" w:cstheme="minorHAnsi"/>
          <w:sz w:val="22"/>
          <w:szCs w:val="22"/>
        </w:rPr>
        <w:t>biennially</w:t>
      </w:r>
      <w:r w:rsidRPr="00C4515C" w:rsidR="0012313B">
        <w:rPr>
          <w:rFonts w:asciiTheme="minorHAnsi" w:hAnsiTheme="minorHAnsi" w:eastAsiaTheme="minorEastAsia" w:cstheme="minorHAnsi"/>
          <w:sz w:val="22"/>
          <w:szCs w:val="22"/>
        </w:rPr>
        <w:t xml:space="preserve"> </w:t>
      </w:r>
      <w:r w:rsidR="00843035">
        <w:rPr>
          <w:rFonts w:asciiTheme="minorHAnsi" w:hAnsiTheme="minorHAnsi" w:eastAsiaTheme="minorEastAsia" w:cstheme="minorHAnsi"/>
          <w:sz w:val="22"/>
          <w:szCs w:val="22"/>
        </w:rPr>
        <w:t>between 1999 and 2019</w:t>
      </w:r>
      <w:r w:rsidRPr="00C4515C" w:rsidR="00695B2D">
        <w:rPr>
          <w:rFonts w:asciiTheme="minorHAnsi" w:hAnsiTheme="minorHAnsi" w:eastAsiaTheme="minorEastAsia" w:cstheme="minorHAnsi"/>
          <w:sz w:val="22"/>
          <w:szCs w:val="22"/>
        </w:rPr>
        <w:t>.</w:t>
      </w:r>
      <w:r w:rsidRPr="00C4515C" w:rsidR="0012313B">
        <w:rPr>
          <w:rFonts w:asciiTheme="minorHAnsi" w:hAnsiTheme="minorHAnsi" w:eastAsiaTheme="minorEastAsia" w:cstheme="minorHAnsi"/>
          <w:sz w:val="22"/>
          <w:szCs w:val="22"/>
        </w:rPr>
        <w:t xml:space="preserve"> The COVID-19 pandemic impacted students’ ability to attend school in person, and therefore, NCES and BJS decided to delay the SCS data collection. </w:t>
      </w:r>
    </w:p>
    <w:p w:rsidR="00215EDD" w:rsidP="00C253CF" w:rsidRDefault="00215EDD" w14:paraId="0C41902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eastAsiaTheme="minorEastAsia" w:cstheme="minorHAnsi"/>
          <w:sz w:val="22"/>
          <w:szCs w:val="22"/>
        </w:rPr>
      </w:pPr>
    </w:p>
    <w:p w:rsidR="00136105" w:rsidP="00C253CF" w:rsidRDefault="00136105" w14:paraId="20D23621" w14:textId="1CFDB8B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eastAsiaTheme="minorEastAsia" w:cstheme="minorHAnsi"/>
          <w:sz w:val="22"/>
          <w:szCs w:val="22"/>
        </w:rPr>
      </w:pPr>
      <w:r w:rsidRPr="00136105">
        <w:rPr>
          <w:rFonts w:asciiTheme="minorHAnsi" w:hAnsiTheme="minorHAnsi" w:eastAsiaTheme="minorEastAsia" w:cstheme="minorHAnsi"/>
          <w:sz w:val="22"/>
          <w:szCs w:val="22"/>
        </w:rPr>
        <w:t>We are requesting a two-year clearance from OMB that will cover the 202</w:t>
      </w:r>
      <w:r>
        <w:rPr>
          <w:rFonts w:asciiTheme="minorHAnsi" w:hAnsiTheme="minorHAnsi" w:eastAsiaTheme="minorEastAsia" w:cstheme="minorHAnsi"/>
          <w:sz w:val="22"/>
          <w:szCs w:val="22"/>
        </w:rPr>
        <w:t>2</w:t>
      </w:r>
      <w:r w:rsidRPr="00136105">
        <w:rPr>
          <w:rFonts w:asciiTheme="minorHAnsi" w:hAnsiTheme="minorHAnsi" w:eastAsiaTheme="minorEastAsia" w:cstheme="minorHAnsi"/>
          <w:sz w:val="22"/>
          <w:szCs w:val="22"/>
        </w:rPr>
        <w:t xml:space="preserve"> </w:t>
      </w:r>
      <w:r>
        <w:rPr>
          <w:rFonts w:asciiTheme="minorHAnsi" w:hAnsiTheme="minorHAnsi" w:eastAsiaTheme="minorEastAsia" w:cstheme="minorHAnsi"/>
          <w:sz w:val="22"/>
          <w:szCs w:val="22"/>
        </w:rPr>
        <w:t>SCS</w:t>
      </w:r>
      <w:r w:rsidRPr="00136105">
        <w:rPr>
          <w:rFonts w:asciiTheme="minorHAnsi" w:hAnsiTheme="minorHAnsi" w:eastAsiaTheme="minorEastAsia" w:cstheme="minorHAnsi"/>
          <w:sz w:val="22"/>
          <w:szCs w:val="22"/>
        </w:rPr>
        <w:t xml:space="preserve"> data collection. The </w:t>
      </w:r>
      <w:r>
        <w:rPr>
          <w:rFonts w:asciiTheme="minorHAnsi" w:hAnsiTheme="minorHAnsi" w:eastAsiaTheme="minorEastAsia" w:cstheme="minorHAnsi"/>
          <w:sz w:val="22"/>
          <w:szCs w:val="22"/>
        </w:rPr>
        <w:t>SCS</w:t>
      </w:r>
      <w:r w:rsidRPr="00136105">
        <w:rPr>
          <w:rFonts w:asciiTheme="minorHAnsi" w:hAnsiTheme="minorHAnsi" w:eastAsiaTheme="minorEastAsia" w:cstheme="minorHAnsi"/>
          <w:sz w:val="22"/>
          <w:szCs w:val="22"/>
        </w:rPr>
        <w:t xml:space="preserve"> will be conducted from </w:t>
      </w:r>
      <w:r>
        <w:rPr>
          <w:rFonts w:asciiTheme="minorHAnsi" w:hAnsiTheme="minorHAnsi" w:eastAsiaTheme="minorEastAsia" w:cstheme="minorHAnsi"/>
          <w:sz w:val="22"/>
          <w:szCs w:val="22"/>
        </w:rPr>
        <w:t>January</w:t>
      </w:r>
      <w:r w:rsidRPr="00136105">
        <w:rPr>
          <w:rFonts w:asciiTheme="minorHAnsi" w:hAnsiTheme="minorHAnsi" w:eastAsiaTheme="minorEastAsia" w:cstheme="minorHAnsi"/>
          <w:sz w:val="22"/>
          <w:szCs w:val="22"/>
        </w:rPr>
        <w:t xml:space="preserve"> 1, 202</w:t>
      </w:r>
      <w:r>
        <w:rPr>
          <w:rFonts w:asciiTheme="minorHAnsi" w:hAnsiTheme="minorHAnsi" w:eastAsiaTheme="minorEastAsia" w:cstheme="minorHAnsi"/>
          <w:sz w:val="22"/>
          <w:szCs w:val="22"/>
        </w:rPr>
        <w:t>2</w:t>
      </w:r>
      <w:r w:rsidRPr="00136105">
        <w:rPr>
          <w:rFonts w:asciiTheme="minorHAnsi" w:hAnsiTheme="minorHAnsi" w:eastAsiaTheme="minorEastAsia" w:cstheme="minorHAnsi"/>
          <w:sz w:val="22"/>
          <w:szCs w:val="22"/>
        </w:rPr>
        <w:t xml:space="preserve"> through </w:t>
      </w:r>
      <w:r>
        <w:rPr>
          <w:rFonts w:asciiTheme="minorHAnsi" w:hAnsiTheme="minorHAnsi" w:eastAsiaTheme="minorEastAsia" w:cstheme="minorHAnsi"/>
          <w:sz w:val="22"/>
          <w:szCs w:val="22"/>
        </w:rPr>
        <w:t>Ju</w:t>
      </w:r>
      <w:r w:rsidR="00E03029">
        <w:rPr>
          <w:rFonts w:asciiTheme="minorHAnsi" w:hAnsiTheme="minorHAnsi" w:eastAsiaTheme="minorEastAsia" w:cstheme="minorHAnsi"/>
          <w:sz w:val="22"/>
          <w:szCs w:val="22"/>
        </w:rPr>
        <w:t>ne 30</w:t>
      </w:r>
      <w:r w:rsidRPr="00136105">
        <w:rPr>
          <w:rFonts w:asciiTheme="minorHAnsi" w:hAnsiTheme="minorHAnsi" w:eastAsiaTheme="minorEastAsia" w:cstheme="minorHAnsi"/>
          <w:sz w:val="22"/>
          <w:szCs w:val="22"/>
        </w:rPr>
        <w:t>, 202</w:t>
      </w:r>
      <w:r>
        <w:rPr>
          <w:rFonts w:asciiTheme="minorHAnsi" w:hAnsiTheme="minorHAnsi" w:eastAsiaTheme="minorEastAsia" w:cstheme="minorHAnsi"/>
          <w:sz w:val="22"/>
          <w:szCs w:val="22"/>
        </w:rPr>
        <w:t>2</w:t>
      </w:r>
      <w:r w:rsidRPr="00136105">
        <w:rPr>
          <w:rFonts w:asciiTheme="minorHAnsi" w:hAnsiTheme="minorHAnsi" w:eastAsiaTheme="minorEastAsia" w:cstheme="minorHAnsi"/>
          <w:sz w:val="22"/>
          <w:szCs w:val="22"/>
        </w:rPr>
        <w:t>. During this 6-month period, the supplement will be administered to all NCVS respondents age</w:t>
      </w:r>
      <w:r>
        <w:rPr>
          <w:rFonts w:asciiTheme="minorHAnsi" w:hAnsiTheme="minorHAnsi" w:eastAsiaTheme="minorEastAsia" w:cstheme="minorHAnsi"/>
          <w:sz w:val="22"/>
          <w:szCs w:val="22"/>
        </w:rPr>
        <w:t>s 12</w:t>
      </w:r>
      <w:r w:rsidR="007C22F3">
        <w:rPr>
          <w:rFonts w:asciiTheme="minorHAnsi" w:hAnsiTheme="minorHAnsi" w:eastAsiaTheme="minorEastAsia" w:cstheme="minorHAnsi"/>
          <w:sz w:val="22"/>
          <w:szCs w:val="22"/>
        </w:rPr>
        <w:t xml:space="preserve"> to 1</w:t>
      </w:r>
      <w:r>
        <w:rPr>
          <w:rFonts w:asciiTheme="minorHAnsi" w:hAnsiTheme="minorHAnsi" w:eastAsiaTheme="minorEastAsia" w:cstheme="minorHAnsi"/>
          <w:sz w:val="22"/>
          <w:szCs w:val="22"/>
        </w:rPr>
        <w:t>8</w:t>
      </w:r>
      <w:r w:rsidRPr="00136105">
        <w:rPr>
          <w:rFonts w:asciiTheme="minorHAnsi" w:hAnsiTheme="minorHAnsi" w:eastAsiaTheme="minorEastAsia" w:cstheme="minorHAnsi"/>
          <w:sz w:val="22"/>
          <w:szCs w:val="22"/>
        </w:rPr>
        <w:t>, following the completion of the NCVS screener and the NCVS crime incident report (if applicable NCVS crimes were reported).</w:t>
      </w:r>
    </w:p>
    <w:p w:rsidR="00136105" w:rsidP="00C253CF" w:rsidRDefault="00136105" w14:paraId="4A72E39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eastAsiaTheme="minorEastAsia" w:cstheme="minorHAnsi"/>
          <w:sz w:val="22"/>
          <w:szCs w:val="22"/>
        </w:rPr>
      </w:pPr>
    </w:p>
    <w:p w:rsidRPr="00C4515C" w:rsidR="00F45AA2" w:rsidP="00F45AA2" w:rsidRDefault="00F45AA2" w14:paraId="48D70EDE"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270"/>
        <w:rPr>
          <w:rFonts w:asciiTheme="minorHAnsi" w:hAnsiTheme="minorHAnsi" w:eastAsiaTheme="minorEastAsia" w:cstheme="minorHAnsi"/>
          <w:sz w:val="22"/>
          <w:szCs w:val="22"/>
        </w:rPr>
      </w:pPr>
    </w:p>
    <w:p w:rsidRPr="00C4515C" w:rsidR="00FD5894" w:rsidP="00F45AA2" w:rsidRDefault="00DC1092" w14:paraId="5FE1DA20" w14:textId="180AEF79">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270"/>
        <w:rPr>
          <w:rFonts w:asciiTheme="minorHAnsi" w:hAnsiTheme="minorHAnsi" w:eastAsiaTheme="minorEastAsia" w:cstheme="minorHAnsi"/>
          <w:sz w:val="22"/>
          <w:szCs w:val="22"/>
        </w:rPr>
      </w:pPr>
      <w:r>
        <w:rPr>
          <w:rFonts w:asciiTheme="minorHAnsi" w:hAnsiTheme="minorHAnsi" w:eastAsiaTheme="minorEastAsia" w:cstheme="minorHAnsi"/>
          <w:sz w:val="22"/>
          <w:szCs w:val="22"/>
        </w:rPr>
        <w:t xml:space="preserve"> </w:t>
      </w:r>
      <w:r w:rsidRPr="00C4515C" w:rsidR="000F175D">
        <w:rPr>
          <w:rFonts w:asciiTheme="minorHAnsi" w:hAnsiTheme="minorHAnsi" w:eastAsiaTheme="minorEastAsia" w:cstheme="minorHAnsi"/>
          <w:sz w:val="22"/>
          <w:szCs w:val="22"/>
        </w:rPr>
        <w:t xml:space="preserve">2. </w:t>
      </w:r>
      <w:r w:rsidRPr="00C4515C" w:rsidR="00124757">
        <w:rPr>
          <w:rFonts w:asciiTheme="minorHAnsi" w:hAnsiTheme="minorHAnsi" w:eastAsiaTheme="minorEastAsia" w:cstheme="minorHAnsi"/>
          <w:sz w:val="22"/>
          <w:szCs w:val="22"/>
          <w:u w:val="single"/>
        </w:rPr>
        <w:t>Needs and Uses</w:t>
      </w:r>
    </w:p>
    <w:p w:rsidRPr="00C4515C" w:rsidR="002B61D9" w:rsidP="00FD5894" w:rsidRDefault="00925E7A" w14:paraId="7679E40D" w14:textId="60291DCA">
      <w:pPr>
        <w:pStyle w:val="ListParagraph"/>
        <w:shd w:val="clear" w:color="auto" w:fill="FFFFFF" w:themeFill="background1"/>
        <w:tabs>
          <w:tab w:val="left" w:pos="360"/>
          <w:tab w:val="left" w:pos="840"/>
          <w:tab w:val="left" w:pos="1440"/>
        </w:tabs>
        <w:ind w:left="48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Title 1 of the ESRA mandates that NCES collect, report, analyze, and disseminate statistical data regarding education in the U</w:t>
      </w:r>
      <w:r w:rsidRPr="00C4515C" w:rsidR="00650B8D">
        <w:rPr>
          <w:rFonts w:asciiTheme="minorHAnsi" w:hAnsiTheme="minorHAnsi" w:eastAsiaTheme="minorEastAsia" w:cstheme="minorHAnsi"/>
          <w:sz w:val="22"/>
          <w:szCs w:val="22"/>
        </w:rPr>
        <w:t>nited States</w:t>
      </w:r>
      <w:r w:rsidRPr="00C4515C">
        <w:rPr>
          <w:rFonts w:asciiTheme="minorHAnsi" w:hAnsiTheme="minorHAnsi" w:eastAsiaTheme="minorEastAsia" w:cstheme="minorHAnsi"/>
          <w:sz w:val="22"/>
          <w:szCs w:val="22"/>
        </w:rPr>
        <w:t>.</w:t>
      </w:r>
      <w:r w:rsidRPr="00C4515C" w:rsidR="00650B8D">
        <w:rPr>
          <w:rFonts w:asciiTheme="minorHAnsi" w:hAnsiTheme="minorHAnsi" w:eastAsiaTheme="minorEastAsia" w:cstheme="minorHAnsi"/>
          <w:sz w:val="22"/>
          <w:szCs w:val="22"/>
        </w:rPr>
        <w:t xml:space="preserve"> These data include </w:t>
      </w:r>
      <w:r w:rsidRPr="00C4515C">
        <w:rPr>
          <w:rFonts w:asciiTheme="minorHAnsi" w:hAnsiTheme="minorHAnsi" w:eastAsiaTheme="minorEastAsia" w:cstheme="minorHAnsi"/>
          <w:sz w:val="22"/>
          <w:szCs w:val="22"/>
        </w:rPr>
        <w:t>the nature of criminal incidents at school and o</w:t>
      </w:r>
      <w:r w:rsidRPr="00C4515C" w:rsidR="008B4FEB">
        <w:rPr>
          <w:rFonts w:asciiTheme="minorHAnsi" w:hAnsiTheme="minorHAnsi" w:eastAsiaTheme="minorEastAsia" w:cstheme="minorHAnsi"/>
          <w:sz w:val="22"/>
          <w:szCs w:val="22"/>
        </w:rPr>
        <w:t xml:space="preserve">ther indices of school safety. </w:t>
      </w:r>
      <w:r w:rsidRPr="00C4515C">
        <w:rPr>
          <w:rFonts w:asciiTheme="minorHAnsi" w:hAnsiTheme="minorHAnsi" w:eastAsiaTheme="minorEastAsia" w:cstheme="minorHAnsi"/>
          <w:sz w:val="22"/>
          <w:szCs w:val="22"/>
        </w:rPr>
        <w:t xml:space="preserve">Specifically, </w:t>
      </w:r>
      <w:r w:rsidRPr="00C4515C" w:rsidR="00B02F18">
        <w:rPr>
          <w:rFonts w:asciiTheme="minorHAnsi" w:hAnsiTheme="minorHAnsi" w:eastAsiaTheme="minorEastAsia" w:cstheme="minorHAnsi"/>
          <w:sz w:val="22"/>
          <w:szCs w:val="22"/>
        </w:rPr>
        <w:t xml:space="preserve">information is required on </w:t>
      </w:r>
      <w:r w:rsidRPr="00C4515C">
        <w:rPr>
          <w:rFonts w:asciiTheme="minorHAnsi" w:hAnsiTheme="minorHAnsi" w:eastAsiaTheme="minorEastAsia" w:cstheme="minorHAnsi"/>
          <w:sz w:val="22"/>
          <w:szCs w:val="22"/>
        </w:rPr>
        <w:t>the incidence, frequency, seriousness, and nature</w:t>
      </w:r>
      <w:r w:rsidRPr="00C4515C" w:rsidR="00650B8D">
        <w:rPr>
          <w:rFonts w:asciiTheme="minorHAnsi" w:hAnsiTheme="minorHAnsi" w:eastAsiaTheme="minorEastAsia" w:cstheme="minorHAnsi"/>
          <w:sz w:val="22"/>
          <w:szCs w:val="22"/>
        </w:rPr>
        <w:t xml:space="preserve"> of violence affecting students</w:t>
      </w:r>
      <w:r w:rsidRPr="00C4515C" w:rsidR="00265098">
        <w:rPr>
          <w:rFonts w:asciiTheme="minorHAnsi" w:hAnsiTheme="minorHAnsi" w:eastAsiaTheme="minorEastAsia" w:cstheme="minorHAnsi"/>
          <w:sz w:val="22"/>
          <w:szCs w:val="22"/>
        </w:rPr>
        <w:t>,</w:t>
      </w:r>
      <w:r w:rsidRPr="00C4515C" w:rsidR="00650B8D">
        <w:rPr>
          <w:rFonts w:asciiTheme="minorHAnsi" w:hAnsiTheme="minorHAnsi" w:eastAsiaTheme="minorEastAsia" w:cstheme="minorHAnsi"/>
          <w:sz w:val="22"/>
          <w:szCs w:val="22"/>
        </w:rPr>
        <w:t xml:space="preserve"> school personnel</w:t>
      </w:r>
      <w:r w:rsidRPr="00C4515C" w:rsidR="00265098">
        <w:rPr>
          <w:rFonts w:asciiTheme="minorHAnsi" w:hAnsiTheme="minorHAnsi" w:eastAsiaTheme="minorEastAsia" w:cstheme="minorHAnsi"/>
          <w:sz w:val="22"/>
          <w:szCs w:val="22"/>
        </w:rPr>
        <w:t>,</w:t>
      </w:r>
      <w:r w:rsidRPr="00C4515C" w:rsidR="00650B8D">
        <w:rPr>
          <w:rFonts w:asciiTheme="minorHAnsi" w:hAnsiTheme="minorHAnsi" w:eastAsiaTheme="minorEastAsia" w:cstheme="minorHAnsi"/>
          <w:sz w:val="22"/>
          <w:szCs w:val="22"/>
        </w:rPr>
        <w:t xml:space="preserve"> </w:t>
      </w:r>
      <w:r w:rsidRPr="00C4515C">
        <w:rPr>
          <w:rFonts w:asciiTheme="minorHAnsi" w:hAnsiTheme="minorHAnsi" w:eastAsiaTheme="minorEastAsia" w:cstheme="minorHAnsi"/>
          <w:sz w:val="22"/>
          <w:szCs w:val="22"/>
        </w:rPr>
        <w:t>and other individuals par</w:t>
      </w:r>
      <w:r w:rsidRPr="00C4515C" w:rsidR="00650B8D">
        <w:rPr>
          <w:rFonts w:asciiTheme="minorHAnsi" w:hAnsiTheme="minorHAnsi" w:eastAsiaTheme="minorEastAsia" w:cstheme="minorHAnsi"/>
          <w:sz w:val="22"/>
          <w:szCs w:val="22"/>
        </w:rPr>
        <w:t>ticipating in school activities</w:t>
      </w:r>
      <w:r w:rsidRPr="00C4515C" w:rsidR="008E42CD">
        <w:rPr>
          <w:rFonts w:asciiTheme="minorHAnsi" w:hAnsiTheme="minorHAnsi" w:eastAsiaTheme="minorEastAsia" w:cstheme="minorHAnsi"/>
          <w:sz w:val="22"/>
          <w:szCs w:val="22"/>
        </w:rPr>
        <w:t>.</w:t>
      </w:r>
      <w:r w:rsidRPr="00C4515C" w:rsidR="00265098">
        <w:rPr>
          <w:rFonts w:asciiTheme="minorHAnsi" w:hAnsiTheme="minorHAnsi" w:eastAsiaTheme="minorEastAsia" w:cstheme="minorHAnsi"/>
          <w:sz w:val="22"/>
          <w:szCs w:val="22"/>
        </w:rPr>
        <w:t xml:space="preserve"> </w:t>
      </w:r>
      <w:r w:rsidRPr="00C4515C" w:rsidR="008E42CD">
        <w:rPr>
          <w:rFonts w:asciiTheme="minorHAnsi" w:hAnsiTheme="minorHAnsi" w:eastAsiaTheme="minorEastAsia" w:cstheme="minorHAnsi"/>
          <w:sz w:val="22"/>
          <w:szCs w:val="22"/>
        </w:rPr>
        <w:t xml:space="preserve">Furthermore, </w:t>
      </w:r>
      <w:r w:rsidRPr="00C4515C" w:rsidR="00265098">
        <w:rPr>
          <w:rFonts w:asciiTheme="minorHAnsi" w:hAnsiTheme="minorHAnsi" w:eastAsiaTheme="minorEastAsia" w:cstheme="minorHAnsi"/>
          <w:sz w:val="22"/>
          <w:szCs w:val="22"/>
        </w:rPr>
        <w:t>other indices of school safety are to be detailed, including information regarding</w:t>
      </w:r>
      <w:r w:rsidRPr="00C4515C" w:rsidR="00650B8D">
        <w:rPr>
          <w:rFonts w:asciiTheme="minorHAnsi" w:hAnsiTheme="minorHAnsi" w:eastAsiaTheme="minorEastAsia" w:cstheme="minorHAnsi"/>
          <w:sz w:val="22"/>
          <w:szCs w:val="22"/>
        </w:rPr>
        <w:t xml:space="preserve"> </w:t>
      </w:r>
      <w:r w:rsidRPr="00C4515C">
        <w:rPr>
          <w:rFonts w:asciiTheme="minorHAnsi" w:hAnsiTheme="minorHAnsi" w:eastAsiaTheme="minorEastAsia" w:cstheme="minorHAnsi"/>
          <w:sz w:val="22"/>
          <w:szCs w:val="22"/>
        </w:rPr>
        <w:t xml:space="preserve">the relationship between victims and perpetrators and demographic characteristics of the victims. </w:t>
      </w:r>
      <w:r w:rsidRPr="00C4515C" w:rsidR="00265098">
        <w:rPr>
          <w:rFonts w:asciiTheme="minorHAnsi" w:hAnsiTheme="minorHAnsi" w:eastAsiaTheme="minorEastAsia" w:cstheme="minorHAnsi"/>
          <w:sz w:val="22"/>
          <w:szCs w:val="22"/>
        </w:rPr>
        <w:t xml:space="preserve">To study the relationship between victimization at school and the school environment, and to monitor changes in student experiences with victimization, accurate information regarding its characteristics and incidence must be collected. </w:t>
      </w:r>
      <w:r w:rsidRPr="00C4515C" w:rsidR="003249E3">
        <w:rPr>
          <w:rFonts w:asciiTheme="minorHAnsi" w:hAnsiTheme="minorHAnsi" w:eastAsiaTheme="minorEastAsia" w:cstheme="minorHAnsi"/>
          <w:sz w:val="22"/>
          <w:szCs w:val="22"/>
        </w:rPr>
        <w:t>The</w:t>
      </w:r>
      <w:r w:rsidRPr="00C4515C" w:rsidR="00265098">
        <w:rPr>
          <w:rFonts w:asciiTheme="minorHAnsi" w:hAnsiTheme="minorHAnsi" w:eastAsiaTheme="minorEastAsia" w:cstheme="minorHAnsi"/>
          <w:sz w:val="22"/>
          <w:szCs w:val="22"/>
        </w:rPr>
        <w:t>se</w:t>
      </w:r>
      <w:r w:rsidRPr="00C4515C" w:rsidR="003249E3">
        <w:rPr>
          <w:rFonts w:asciiTheme="minorHAnsi" w:hAnsiTheme="minorHAnsi" w:eastAsiaTheme="minorEastAsia" w:cstheme="minorHAnsi"/>
          <w:sz w:val="22"/>
          <w:szCs w:val="22"/>
        </w:rPr>
        <w:t xml:space="preserve"> data yield numerous type</w:t>
      </w:r>
      <w:r w:rsidRPr="00C4515C" w:rsidR="004C122F">
        <w:rPr>
          <w:rFonts w:asciiTheme="minorHAnsi" w:hAnsiTheme="minorHAnsi" w:eastAsiaTheme="minorEastAsia" w:cstheme="minorHAnsi"/>
          <w:sz w:val="22"/>
          <w:szCs w:val="22"/>
        </w:rPr>
        <w:t>s of information that are</w:t>
      </w:r>
      <w:r w:rsidRPr="00C4515C" w:rsidR="003249E3">
        <w:rPr>
          <w:rFonts w:asciiTheme="minorHAnsi" w:hAnsiTheme="minorHAnsi" w:eastAsiaTheme="minorEastAsia" w:cstheme="minorHAnsi"/>
          <w:sz w:val="22"/>
          <w:szCs w:val="22"/>
        </w:rPr>
        <w:t xml:space="preserve"> used generally and by several specific groups interested in school</w:t>
      </w:r>
      <w:r w:rsidRPr="00C4515C" w:rsidR="004C122F">
        <w:rPr>
          <w:rFonts w:asciiTheme="minorHAnsi" w:hAnsiTheme="minorHAnsi" w:eastAsiaTheme="minorEastAsia" w:cstheme="minorHAnsi"/>
          <w:sz w:val="22"/>
          <w:szCs w:val="22"/>
        </w:rPr>
        <w:t xml:space="preserve"> </w:t>
      </w:r>
      <w:r w:rsidRPr="00C4515C" w:rsidR="003249E3">
        <w:rPr>
          <w:rFonts w:asciiTheme="minorHAnsi" w:hAnsiTheme="minorHAnsi" w:eastAsiaTheme="minorEastAsia" w:cstheme="minorHAnsi"/>
          <w:sz w:val="22"/>
          <w:szCs w:val="22"/>
        </w:rPr>
        <w:t>crime</w:t>
      </w:r>
      <w:r w:rsidRPr="00C4515C" w:rsidR="00764DA6">
        <w:rPr>
          <w:rFonts w:asciiTheme="minorHAnsi" w:hAnsiTheme="minorHAnsi" w:eastAsiaTheme="minorEastAsia" w:cstheme="minorHAnsi"/>
          <w:sz w:val="22"/>
          <w:szCs w:val="22"/>
        </w:rPr>
        <w:t xml:space="preserve"> such as school administrators, </w:t>
      </w:r>
      <w:r w:rsidRPr="00C4515C" w:rsidR="00640253">
        <w:rPr>
          <w:rFonts w:asciiTheme="minorHAnsi" w:hAnsiTheme="minorHAnsi" w:eastAsiaTheme="minorEastAsia" w:cstheme="minorHAnsi"/>
          <w:sz w:val="22"/>
          <w:szCs w:val="22"/>
        </w:rPr>
        <w:t>resource officers and educators</w:t>
      </w:r>
      <w:r w:rsidRPr="00C4515C" w:rsidR="003249E3">
        <w:rPr>
          <w:rFonts w:asciiTheme="minorHAnsi" w:hAnsiTheme="minorHAnsi" w:eastAsiaTheme="minorEastAsia" w:cstheme="minorHAnsi"/>
          <w:sz w:val="22"/>
          <w:szCs w:val="22"/>
        </w:rPr>
        <w:t>.</w:t>
      </w:r>
      <w:r w:rsidRPr="00C4515C" w:rsidR="008243BD">
        <w:rPr>
          <w:rFonts w:asciiTheme="minorHAnsi" w:hAnsiTheme="minorHAnsi" w:eastAsiaTheme="minorEastAsia" w:cstheme="minorHAnsi"/>
          <w:sz w:val="22"/>
          <w:szCs w:val="22"/>
        </w:rPr>
        <w:t xml:space="preserve"> </w:t>
      </w:r>
    </w:p>
    <w:p w:rsidRPr="00C4515C" w:rsidR="00A47F96" w:rsidP="36B31C31" w:rsidRDefault="00222C4C" w14:paraId="3D2EAC2D" w14:textId="77777777">
      <w:pPr>
        <w:shd w:val="clear" w:color="auto" w:fill="FFFFFF" w:themeFill="background1"/>
        <w:tabs>
          <w:tab w:val="left" w:pos="840"/>
          <w:tab w:val="left" w:pos="1440"/>
        </w:tabs>
        <w:ind w:left="450" w:hanging="442"/>
        <w:rPr>
          <w:rFonts w:asciiTheme="minorHAnsi" w:hAnsiTheme="minorHAnsi" w:cstheme="minorHAnsi"/>
          <w:b/>
          <w:sz w:val="22"/>
          <w:szCs w:val="22"/>
        </w:rPr>
      </w:pPr>
      <w:r w:rsidRPr="00C4515C">
        <w:rPr>
          <w:rFonts w:asciiTheme="minorHAnsi" w:hAnsiTheme="minorHAnsi" w:cstheme="minorHAnsi"/>
          <w:b/>
          <w:sz w:val="22"/>
          <w:szCs w:val="22"/>
        </w:rPr>
        <w:tab/>
      </w:r>
    </w:p>
    <w:p w:rsidRPr="00C4515C" w:rsidR="00222C4C" w:rsidP="36B31C31" w:rsidRDefault="00A47F96" w14:paraId="42901217" w14:textId="0A5CEAF0">
      <w:pPr>
        <w:shd w:val="clear" w:color="auto" w:fill="FFFFFF" w:themeFill="background1"/>
        <w:tabs>
          <w:tab w:val="left" w:pos="840"/>
          <w:tab w:val="left" w:pos="1440"/>
        </w:tabs>
        <w:ind w:left="450" w:hanging="442"/>
        <w:rPr>
          <w:rFonts w:asciiTheme="minorHAnsi" w:hAnsiTheme="minorHAnsi" w:eastAsiaTheme="minorEastAsia" w:cstheme="minorHAnsi"/>
          <w:sz w:val="22"/>
          <w:szCs w:val="22"/>
        </w:rPr>
      </w:pPr>
      <w:r w:rsidRPr="00C4515C">
        <w:rPr>
          <w:rFonts w:asciiTheme="minorHAnsi" w:hAnsiTheme="minorHAnsi" w:cstheme="minorHAnsi"/>
          <w:b/>
          <w:sz w:val="22"/>
          <w:szCs w:val="22"/>
        </w:rPr>
        <w:tab/>
      </w:r>
      <w:r w:rsidRPr="00C4515C" w:rsidR="006A7F23">
        <w:rPr>
          <w:rFonts w:asciiTheme="minorHAnsi" w:hAnsiTheme="minorHAnsi" w:eastAsiaTheme="minorEastAsia" w:cstheme="minorHAnsi"/>
          <w:b/>
          <w:bCs/>
          <w:sz w:val="22"/>
          <w:szCs w:val="22"/>
        </w:rPr>
        <w:t>General Use</w:t>
      </w:r>
      <w:r w:rsidRPr="00C4515C" w:rsidR="00222C4C">
        <w:rPr>
          <w:rFonts w:asciiTheme="minorHAnsi" w:hAnsiTheme="minorHAnsi" w:eastAsiaTheme="minorEastAsia" w:cstheme="minorHAnsi"/>
          <w:b/>
          <w:bCs/>
          <w:sz w:val="22"/>
          <w:szCs w:val="22"/>
        </w:rPr>
        <w:t>s</w:t>
      </w:r>
      <w:r w:rsidRPr="00C4515C" w:rsidR="00222C4C">
        <w:rPr>
          <w:rFonts w:asciiTheme="minorHAnsi" w:hAnsiTheme="minorHAnsi" w:eastAsiaTheme="minorEastAsia" w:cstheme="minorHAnsi"/>
          <w:sz w:val="22"/>
          <w:szCs w:val="22"/>
        </w:rPr>
        <w:t>. Funded by the U.S. Department of Education</w:t>
      </w:r>
      <w:r w:rsidR="00E03029">
        <w:rPr>
          <w:rFonts w:asciiTheme="minorHAnsi" w:hAnsiTheme="minorHAnsi" w:eastAsiaTheme="minorEastAsia" w:cstheme="minorHAnsi"/>
          <w:sz w:val="22"/>
          <w:szCs w:val="22"/>
        </w:rPr>
        <w:t>’s</w:t>
      </w:r>
      <w:r w:rsidRPr="00C4515C" w:rsidR="005C3722">
        <w:rPr>
          <w:rFonts w:asciiTheme="minorHAnsi" w:hAnsiTheme="minorHAnsi" w:eastAsiaTheme="minorEastAsia" w:cstheme="minorHAnsi"/>
          <w:sz w:val="22"/>
          <w:szCs w:val="22"/>
        </w:rPr>
        <w:t xml:space="preserve"> (ED)</w:t>
      </w:r>
      <w:r w:rsidR="00E03029">
        <w:rPr>
          <w:rFonts w:asciiTheme="minorHAnsi" w:hAnsiTheme="minorHAnsi" w:eastAsiaTheme="minorEastAsia" w:cstheme="minorHAnsi"/>
          <w:sz w:val="22"/>
          <w:szCs w:val="22"/>
        </w:rPr>
        <w:t xml:space="preserve"> </w:t>
      </w:r>
      <w:r w:rsidRPr="00C4515C" w:rsidR="00222C4C">
        <w:rPr>
          <w:rFonts w:asciiTheme="minorHAnsi" w:hAnsiTheme="minorHAnsi" w:eastAsiaTheme="minorEastAsia" w:cstheme="minorHAnsi"/>
          <w:sz w:val="22"/>
          <w:szCs w:val="22"/>
        </w:rPr>
        <w:t xml:space="preserve">NCES </w:t>
      </w:r>
      <w:r w:rsidR="00E03029">
        <w:rPr>
          <w:rFonts w:asciiTheme="minorHAnsi" w:hAnsiTheme="minorHAnsi" w:eastAsiaTheme="minorEastAsia" w:cstheme="minorHAnsi"/>
          <w:sz w:val="22"/>
          <w:szCs w:val="22"/>
        </w:rPr>
        <w:t>and Office of Elementary and Secondary Education (OESE)</w:t>
      </w:r>
      <w:r w:rsidR="00A070AC">
        <w:rPr>
          <w:rFonts w:asciiTheme="minorHAnsi" w:hAnsiTheme="minorHAnsi" w:eastAsiaTheme="minorEastAsia" w:cstheme="minorHAnsi"/>
          <w:sz w:val="22"/>
          <w:szCs w:val="22"/>
        </w:rPr>
        <w:t>,</w:t>
      </w:r>
      <w:r w:rsidR="00E03029">
        <w:rPr>
          <w:rFonts w:asciiTheme="minorHAnsi" w:hAnsiTheme="minorHAnsi" w:eastAsiaTheme="minorEastAsia" w:cstheme="minorHAnsi"/>
          <w:sz w:val="22"/>
          <w:szCs w:val="22"/>
        </w:rPr>
        <w:t xml:space="preserve"> </w:t>
      </w:r>
      <w:r w:rsidRPr="00C4515C" w:rsidR="00222C4C">
        <w:rPr>
          <w:rFonts w:asciiTheme="minorHAnsi" w:hAnsiTheme="minorHAnsi" w:eastAsiaTheme="minorEastAsia" w:cstheme="minorHAnsi"/>
          <w:sz w:val="22"/>
          <w:szCs w:val="22"/>
        </w:rPr>
        <w:t xml:space="preserve">and designed with </w:t>
      </w:r>
      <w:r w:rsidRPr="00C4515C" w:rsidR="00471EF5">
        <w:rPr>
          <w:rFonts w:asciiTheme="minorHAnsi" w:hAnsiTheme="minorHAnsi" w:eastAsiaTheme="minorEastAsia" w:cstheme="minorHAnsi"/>
          <w:sz w:val="22"/>
          <w:szCs w:val="22"/>
        </w:rPr>
        <w:t xml:space="preserve">the </w:t>
      </w:r>
      <w:r w:rsidRPr="00C4515C" w:rsidR="00222C4C">
        <w:rPr>
          <w:rFonts w:asciiTheme="minorHAnsi" w:hAnsiTheme="minorHAnsi" w:eastAsiaTheme="minorEastAsia" w:cstheme="minorHAnsi"/>
          <w:sz w:val="22"/>
          <w:szCs w:val="22"/>
        </w:rPr>
        <w:t xml:space="preserve">Bureau of Justice Statistics (BJS), the SCS collects the data to address </w:t>
      </w:r>
      <w:r w:rsidRPr="00C4515C" w:rsidR="002F0918">
        <w:rPr>
          <w:rFonts w:asciiTheme="minorHAnsi" w:hAnsiTheme="minorHAnsi" w:eastAsiaTheme="minorEastAsia" w:cstheme="minorHAnsi"/>
          <w:sz w:val="22"/>
          <w:szCs w:val="22"/>
        </w:rPr>
        <w:t>the reporting authorizations</w:t>
      </w:r>
      <w:r w:rsidRPr="00C4515C" w:rsidR="007A193B">
        <w:rPr>
          <w:rFonts w:asciiTheme="minorHAnsi" w:hAnsiTheme="minorHAnsi" w:eastAsiaTheme="minorEastAsia" w:cstheme="minorHAnsi"/>
          <w:sz w:val="22"/>
          <w:szCs w:val="22"/>
        </w:rPr>
        <w:t xml:space="preserve"> of both </w:t>
      </w:r>
      <w:r w:rsidR="0017304F">
        <w:rPr>
          <w:rFonts w:asciiTheme="minorHAnsi" w:hAnsiTheme="minorHAnsi" w:eastAsiaTheme="minorEastAsia" w:cstheme="minorHAnsi"/>
          <w:sz w:val="22"/>
          <w:szCs w:val="22"/>
        </w:rPr>
        <w:t>NCES and BJS</w:t>
      </w:r>
      <w:r w:rsidRPr="00C4515C" w:rsidR="007A193B">
        <w:rPr>
          <w:rFonts w:asciiTheme="minorHAnsi" w:hAnsiTheme="minorHAnsi" w:eastAsiaTheme="minorEastAsia" w:cstheme="minorHAnsi"/>
          <w:sz w:val="22"/>
          <w:szCs w:val="22"/>
        </w:rPr>
        <w:t>.</w:t>
      </w:r>
      <w:r w:rsidRPr="00C4515C" w:rsidR="00222C4C">
        <w:rPr>
          <w:rFonts w:asciiTheme="minorHAnsi" w:hAnsiTheme="minorHAnsi" w:eastAsiaTheme="minorEastAsia" w:cstheme="minorHAnsi"/>
          <w:sz w:val="22"/>
          <w:szCs w:val="22"/>
        </w:rPr>
        <w:t xml:space="preserve"> Since its first collection in 1989, the SCS has been NCES'</w:t>
      </w:r>
      <w:r w:rsidRPr="00C4515C" w:rsidR="005F37BE">
        <w:rPr>
          <w:rFonts w:asciiTheme="minorHAnsi" w:hAnsiTheme="minorHAnsi" w:eastAsiaTheme="minorEastAsia" w:cstheme="minorHAnsi"/>
          <w:sz w:val="22"/>
          <w:szCs w:val="22"/>
        </w:rPr>
        <w:t>s</w:t>
      </w:r>
      <w:r w:rsidRPr="00C4515C" w:rsidR="00222C4C">
        <w:rPr>
          <w:rFonts w:asciiTheme="minorHAnsi" w:hAnsiTheme="minorHAnsi" w:eastAsiaTheme="minorEastAsia" w:cstheme="minorHAnsi"/>
          <w:sz w:val="22"/>
          <w:szCs w:val="22"/>
        </w:rPr>
        <w:t xml:space="preserve"> primary data source on student victimization. In addition to collecting characteristics related to various types of student victimization at school, th</w:t>
      </w:r>
      <w:r w:rsidRPr="00C4515C" w:rsidR="005C3722">
        <w:rPr>
          <w:rFonts w:asciiTheme="minorHAnsi" w:hAnsiTheme="minorHAnsi" w:eastAsiaTheme="minorEastAsia" w:cstheme="minorHAnsi"/>
          <w:sz w:val="22"/>
          <w:szCs w:val="22"/>
        </w:rPr>
        <w:t xml:space="preserve">e SCS also asks students about </w:t>
      </w:r>
      <w:r w:rsidRPr="00C4515C" w:rsidR="00DF2AA1">
        <w:rPr>
          <w:rFonts w:asciiTheme="minorHAnsi" w:hAnsiTheme="minorHAnsi" w:eastAsiaTheme="minorEastAsia" w:cstheme="minorHAnsi"/>
          <w:sz w:val="22"/>
          <w:szCs w:val="22"/>
        </w:rPr>
        <w:t xml:space="preserve">perceptions of school safety; </w:t>
      </w:r>
      <w:r w:rsidRPr="00C4515C" w:rsidR="00222C4C">
        <w:rPr>
          <w:rFonts w:asciiTheme="minorHAnsi" w:hAnsiTheme="minorHAnsi" w:eastAsiaTheme="minorEastAsia" w:cstheme="minorHAnsi"/>
          <w:sz w:val="22"/>
          <w:szCs w:val="22"/>
        </w:rPr>
        <w:t>alcohol and drug availability; fighting, bullying, and hate-re</w:t>
      </w:r>
      <w:r w:rsidRPr="00C4515C" w:rsidR="00DF2AA1">
        <w:rPr>
          <w:rFonts w:asciiTheme="minorHAnsi" w:hAnsiTheme="minorHAnsi" w:eastAsiaTheme="minorEastAsia" w:cstheme="minorHAnsi"/>
          <w:sz w:val="22"/>
          <w:szCs w:val="22"/>
        </w:rPr>
        <w:t>lated behaviors;</w:t>
      </w:r>
      <w:r w:rsidRPr="00C4515C" w:rsidR="00222C4C">
        <w:rPr>
          <w:rFonts w:asciiTheme="minorHAnsi" w:hAnsiTheme="minorHAnsi" w:eastAsiaTheme="minorEastAsia" w:cstheme="minorHAnsi"/>
          <w:sz w:val="22"/>
          <w:szCs w:val="22"/>
        </w:rPr>
        <w:t xml:space="preserve"> fear and avoidance behaviors; gun and weapon carrying; and gangs at school.</w:t>
      </w:r>
    </w:p>
    <w:p w:rsidRPr="00C4515C" w:rsidR="006A7F23" w:rsidP="36B31C31" w:rsidRDefault="006A7F23" w14:paraId="2C12CABB" w14:textId="77777777">
      <w:pPr>
        <w:shd w:val="clear" w:color="auto" w:fill="FFFFFF" w:themeFill="background1"/>
        <w:ind w:left="450"/>
        <w:rPr>
          <w:rFonts w:asciiTheme="minorHAnsi" w:hAnsiTheme="minorHAnsi" w:eastAsiaTheme="minorEastAsia" w:cstheme="minorHAnsi"/>
          <w:sz w:val="22"/>
          <w:szCs w:val="22"/>
        </w:rPr>
      </w:pPr>
    </w:p>
    <w:p w:rsidRPr="00C4515C" w:rsidR="00265098" w:rsidP="00D66BFF" w:rsidRDefault="00112B99" w14:paraId="67F8419F" w14:textId="2ACBB0D7">
      <w:pPr>
        <w:ind w:left="45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 xml:space="preserve">To meet its obligation to Congress under the ESRA, NCES works with its diverse customer groups and relies on their feedback to determine how to meet their information demands for timely, comprehensive, and useful information that maintains high statistical standards. </w:t>
      </w:r>
      <w:r w:rsidRPr="00C4515C" w:rsidR="00F87C05">
        <w:rPr>
          <w:rFonts w:asciiTheme="minorHAnsi" w:hAnsiTheme="minorHAnsi" w:eastAsiaTheme="minorEastAsia" w:cstheme="minorHAnsi"/>
          <w:sz w:val="22"/>
          <w:szCs w:val="22"/>
        </w:rPr>
        <w:t xml:space="preserve">Exhibit </w:t>
      </w:r>
      <w:r w:rsidR="00491C55">
        <w:rPr>
          <w:rFonts w:asciiTheme="minorHAnsi" w:hAnsiTheme="minorHAnsi" w:eastAsiaTheme="minorEastAsia" w:cstheme="minorHAnsi"/>
          <w:sz w:val="22"/>
          <w:szCs w:val="22"/>
        </w:rPr>
        <w:t>1</w:t>
      </w:r>
      <w:r w:rsidRPr="00C4515C" w:rsidR="00265098">
        <w:rPr>
          <w:rFonts w:asciiTheme="minorHAnsi" w:hAnsiTheme="minorHAnsi" w:eastAsiaTheme="minorEastAsia" w:cstheme="minorHAnsi"/>
          <w:sz w:val="22"/>
          <w:szCs w:val="22"/>
        </w:rPr>
        <w:t xml:space="preserve"> displays the types of estimates</w:t>
      </w:r>
      <w:r w:rsidRPr="00C4515C" w:rsidR="00B16A3D">
        <w:rPr>
          <w:rFonts w:asciiTheme="minorHAnsi" w:hAnsiTheme="minorHAnsi" w:eastAsiaTheme="minorEastAsia" w:cstheme="minorHAnsi"/>
          <w:sz w:val="22"/>
          <w:szCs w:val="22"/>
        </w:rPr>
        <w:t xml:space="preserve"> that can be </w:t>
      </w:r>
      <w:r w:rsidRPr="00C4515C" w:rsidR="00141E36">
        <w:rPr>
          <w:rFonts w:asciiTheme="minorHAnsi" w:hAnsiTheme="minorHAnsi" w:eastAsiaTheme="minorEastAsia" w:cstheme="minorHAnsi"/>
          <w:sz w:val="22"/>
          <w:szCs w:val="22"/>
        </w:rPr>
        <w:t>produced</w:t>
      </w:r>
      <w:r w:rsidRPr="00C4515C" w:rsidR="00B16A3D">
        <w:rPr>
          <w:rFonts w:asciiTheme="minorHAnsi" w:hAnsiTheme="minorHAnsi" w:eastAsiaTheme="minorEastAsia" w:cstheme="minorHAnsi"/>
          <w:sz w:val="22"/>
          <w:szCs w:val="22"/>
        </w:rPr>
        <w:t xml:space="preserve"> from the </w:t>
      </w:r>
      <w:r w:rsidRPr="00C4515C" w:rsidR="003C2595">
        <w:rPr>
          <w:rFonts w:asciiTheme="minorHAnsi" w:hAnsiTheme="minorHAnsi" w:eastAsiaTheme="minorEastAsia" w:cstheme="minorHAnsi"/>
          <w:sz w:val="22"/>
          <w:szCs w:val="22"/>
        </w:rPr>
        <w:t>202</w:t>
      </w:r>
      <w:r w:rsidRPr="00C4515C" w:rsidR="007912FC">
        <w:rPr>
          <w:rFonts w:asciiTheme="minorHAnsi" w:hAnsiTheme="minorHAnsi" w:eastAsiaTheme="minorEastAsia" w:cstheme="minorHAnsi"/>
          <w:sz w:val="22"/>
          <w:szCs w:val="22"/>
        </w:rPr>
        <w:t>2</w:t>
      </w:r>
      <w:r w:rsidRPr="00C4515C" w:rsidR="00265098">
        <w:rPr>
          <w:rFonts w:asciiTheme="minorHAnsi" w:hAnsiTheme="minorHAnsi" w:eastAsiaTheme="minorEastAsia" w:cstheme="minorHAnsi"/>
          <w:sz w:val="22"/>
          <w:szCs w:val="22"/>
        </w:rPr>
        <w:t xml:space="preserve"> SCS.</w:t>
      </w:r>
    </w:p>
    <w:p w:rsidR="00621EF5" w:rsidP="36B31C31" w:rsidRDefault="00621EF5" w14:paraId="799991AC" w14:textId="17ADA210">
      <w:pPr>
        <w:ind w:left="450"/>
        <w:jc w:val="both"/>
        <w:rPr>
          <w:rFonts w:asciiTheme="minorHAnsi" w:hAnsiTheme="minorHAnsi" w:eastAsiaTheme="minorEastAsia" w:cstheme="minorHAnsi"/>
          <w:b/>
          <w:bCs/>
          <w:sz w:val="22"/>
          <w:szCs w:val="22"/>
        </w:rPr>
      </w:pPr>
    </w:p>
    <w:p w:rsidRPr="00C4515C" w:rsidR="00C221FC" w:rsidP="36B31C31" w:rsidRDefault="00C221FC" w14:paraId="7B2EF010" w14:textId="77777777">
      <w:pPr>
        <w:ind w:left="450"/>
        <w:jc w:val="both"/>
        <w:rPr>
          <w:rFonts w:asciiTheme="minorHAnsi" w:hAnsiTheme="minorHAnsi" w:eastAsiaTheme="minorEastAsia" w:cstheme="minorHAnsi"/>
          <w:b/>
          <w:bCs/>
          <w:sz w:val="22"/>
          <w:szCs w:val="22"/>
        </w:rPr>
      </w:pPr>
    </w:p>
    <w:p w:rsidR="007C22F3" w:rsidRDefault="007C22F3" w14:paraId="06BA47F3" w14:textId="77777777">
      <w:pPr>
        <w:autoSpaceDE/>
        <w:autoSpaceDN/>
        <w:adjustRightInd/>
        <w:rPr>
          <w:rFonts w:asciiTheme="minorHAnsi" w:hAnsiTheme="minorHAnsi" w:eastAsiaTheme="minorEastAsia" w:cstheme="minorHAnsi"/>
          <w:b/>
          <w:bCs/>
          <w:sz w:val="22"/>
          <w:szCs w:val="22"/>
        </w:rPr>
      </w:pPr>
      <w:r>
        <w:rPr>
          <w:rFonts w:asciiTheme="minorHAnsi" w:hAnsiTheme="minorHAnsi" w:eastAsiaTheme="minorEastAsia" w:cstheme="minorHAnsi"/>
          <w:b/>
          <w:bCs/>
          <w:sz w:val="22"/>
          <w:szCs w:val="22"/>
        </w:rPr>
        <w:br w:type="page"/>
      </w:r>
    </w:p>
    <w:p w:rsidRPr="00C4515C" w:rsidR="00DF11AB" w:rsidP="0017304F" w:rsidRDefault="00DF11AB" w14:paraId="547C8B8D" w14:textId="29ADAC5D">
      <w:pPr>
        <w:tabs>
          <w:tab w:val="left" w:pos="540"/>
        </w:tabs>
        <w:ind w:left="540" w:hanging="90"/>
        <w:jc w:val="both"/>
        <w:rPr>
          <w:rFonts w:asciiTheme="minorHAnsi" w:hAnsiTheme="minorHAnsi" w:eastAsiaTheme="minorEastAsia" w:cstheme="minorHAnsi"/>
          <w:b/>
          <w:bCs/>
          <w:sz w:val="22"/>
          <w:szCs w:val="22"/>
        </w:rPr>
      </w:pPr>
      <w:r w:rsidRPr="00C4515C">
        <w:rPr>
          <w:rFonts w:asciiTheme="minorHAnsi" w:hAnsiTheme="minorHAnsi" w:eastAsiaTheme="minorEastAsia" w:cstheme="minorHAnsi"/>
          <w:b/>
          <w:bCs/>
          <w:sz w:val="22"/>
          <w:szCs w:val="22"/>
        </w:rPr>
        <w:lastRenderedPageBreak/>
        <w:t xml:space="preserve">Exhibit </w:t>
      </w:r>
      <w:r w:rsidR="00491C55">
        <w:rPr>
          <w:rFonts w:asciiTheme="minorHAnsi" w:hAnsiTheme="minorHAnsi" w:eastAsiaTheme="minorEastAsia" w:cstheme="minorHAnsi"/>
          <w:b/>
          <w:bCs/>
          <w:sz w:val="22"/>
          <w:szCs w:val="22"/>
        </w:rPr>
        <w:t>1</w:t>
      </w:r>
      <w:r w:rsidRPr="00C4515C" w:rsidR="008243BD">
        <w:rPr>
          <w:rFonts w:asciiTheme="minorHAnsi" w:hAnsiTheme="minorHAnsi" w:eastAsiaTheme="minorEastAsia" w:cstheme="minorHAnsi"/>
          <w:b/>
          <w:bCs/>
          <w:sz w:val="22"/>
          <w:szCs w:val="22"/>
        </w:rPr>
        <w:t>: T</w:t>
      </w:r>
      <w:r w:rsidRPr="00C4515C">
        <w:rPr>
          <w:rFonts w:asciiTheme="minorHAnsi" w:hAnsiTheme="minorHAnsi" w:eastAsiaTheme="minorEastAsia" w:cstheme="minorHAnsi"/>
          <w:b/>
          <w:bCs/>
          <w:sz w:val="22"/>
          <w:szCs w:val="22"/>
        </w:rPr>
        <w:t>ype</w:t>
      </w:r>
      <w:r w:rsidRPr="00C4515C" w:rsidR="008243BD">
        <w:rPr>
          <w:rFonts w:asciiTheme="minorHAnsi" w:hAnsiTheme="minorHAnsi" w:eastAsiaTheme="minorEastAsia" w:cstheme="minorHAnsi"/>
          <w:b/>
          <w:bCs/>
          <w:sz w:val="22"/>
          <w:szCs w:val="22"/>
        </w:rPr>
        <w:t>s</w:t>
      </w:r>
      <w:r w:rsidRPr="00C4515C">
        <w:rPr>
          <w:rFonts w:asciiTheme="minorHAnsi" w:hAnsiTheme="minorHAnsi" w:eastAsiaTheme="minorEastAsia" w:cstheme="minorHAnsi"/>
          <w:b/>
          <w:bCs/>
          <w:sz w:val="22"/>
          <w:szCs w:val="22"/>
        </w:rPr>
        <w:t xml:space="preserve"> of estimates that </w:t>
      </w:r>
      <w:r w:rsidRPr="00C4515C" w:rsidR="00C67F75">
        <w:rPr>
          <w:rFonts w:asciiTheme="minorHAnsi" w:hAnsiTheme="minorHAnsi" w:eastAsiaTheme="minorEastAsia" w:cstheme="minorHAnsi"/>
          <w:b/>
          <w:bCs/>
          <w:sz w:val="22"/>
          <w:szCs w:val="22"/>
        </w:rPr>
        <w:t>can</w:t>
      </w:r>
      <w:r w:rsidRPr="00C4515C" w:rsidR="00B16A3D">
        <w:rPr>
          <w:rFonts w:asciiTheme="minorHAnsi" w:hAnsiTheme="minorHAnsi" w:eastAsiaTheme="minorEastAsia" w:cstheme="minorHAnsi"/>
          <w:b/>
          <w:bCs/>
          <w:sz w:val="22"/>
          <w:szCs w:val="22"/>
        </w:rPr>
        <w:t xml:space="preserve"> be drawn from the </w:t>
      </w:r>
      <w:r w:rsidRPr="00C4515C" w:rsidR="003C2595">
        <w:rPr>
          <w:rFonts w:asciiTheme="minorHAnsi" w:hAnsiTheme="minorHAnsi" w:eastAsiaTheme="minorEastAsia" w:cstheme="minorHAnsi"/>
          <w:b/>
          <w:bCs/>
          <w:sz w:val="22"/>
          <w:szCs w:val="22"/>
        </w:rPr>
        <w:t>202</w:t>
      </w:r>
      <w:r w:rsidRPr="00C4515C" w:rsidR="00FD6F14">
        <w:rPr>
          <w:rFonts w:asciiTheme="minorHAnsi" w:hAnsiTheme="minorHAnsi" w:eastAsiaTheme="minorEastAsia" w:cstheme="minorHAnsi"/>
          <w:b/>
          <w:bCs/>
          <w:sz w:val="22"/>
          <w:szCs w:val="22"/>
        </w:rPr>
        <w:t>2</w:t>
      </w:r>
      <w:r w:rsidRPr="00C4515C">
        <w:rPr>
          <w:rFonts w:asciiTheme="minorHAnsi" w:hAnsiTheme="minorHAnsi" w:eastAsiaTheme="minorEastAsia" w:cstheme="minorHAnsi"/>
          <w:b/>
          <w:bCs/>
          <w:sz w:val="22"/>
          <w:szCs w:val="22"/>
        </w:rPr>
        <w:t xml:space="preserve"> SCS  </w:t>
      </w:r>
    </w:p>
    <w:tbl>
      <w:tblPr>
        <w:tblW w:w="45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16"/>
        <w:gridCol w:w="1351"/>
      </w:tblGrid>
      <w:tr w:rsidRPr="00C4515C" w:rsidR="00DF11AB" w:rsidTr="0017304F" w14:paraId="5845BB7F" w14:textId="77777777">
        <w:trPr>
          <w:trHeight w:val="170"/>
          <w:jc w:val="center"/>
        </w:trPr>
        <w:tc>
          <w:tcPr>
            <w:tcW w:w="4202" w:type="pct"/>
            <w:tcBorders>
              <w:top w:val="single" w:color="auto" w:sz="4" w:space="0"/>
              <w:left w:val="single" w:color="auto" w:sz="4" w:space="0"/>
              <w:bottom w:val="single" w:color="auto" w:sz="4" w:space="0"/>
              <w:right w:val="single" w:color="auto" w:sz="4" w:space="0"/>
            </w:tcBorders>
            <w:shd w:val="clear" w:color="auto" w:fill="auto"/>
            <w:vAlign w:val="bottom"/>
          </w:tcPr>
          <w:p w:rsidRPr="00C4515C" w:rsidR="00DF11AB" w:rsidP="36B31C31" w:rsidRDefault="00DF11AB" w14:paraId="49029410" w14:textId="77777777">
            <w:pPr>
              <w:spacing w:after="100" w:afterAutospacing="1"/>
              <w:rPr>
                <w:rFonts w:asciiTheme="minorHAnsi" w:hAnsiTheme="minorHAnsi" w:eastAsiaTheme="minorEastAsia" w:cstheme="minorHAnsi"/>
                <w:b/>
                <w:bCs/>
                <w:sz w:val="22"/>
                <w:szCs w:val="22"/>
              </w:rPr>
            </w:pPr>
            <w:r w:rsidRPr="00C4515C">
              <w:rPr>
                <w:rFonts w:asciiTheme="minorHAnsi" w:hAnsiTheme="minorHAnsi" w:eastAsiaTheme="minorEastAsia" w:cstheme="minorHAnsi"/>
                <w:b/>
                <w:bCs/>
                <w:sz w:val="22"/>
                <w:szCs w:val="22"/>
              </w:rPr>
              <w:t>Estimates</w:t>
            </w:r>
            <w:r w:rsidRPr="00C4515C" w:rsidR="00C67F75">
              <w:rPr>
                <w:rFonts w:asciiTheme="minorHAnsi" w:hAnsiTheme="minorHAnsi" w:eastAsiaTheme="minorEastAsia" w:cstheme="minorHAnsi"/>
                <w:sz w:val="22"/>
                <w:szCs w:val="22"/>
                <w:vertAlign w:val="superscript"/>
              </w:rPr>
              <w:t>1</w:t>
            </w:r>
          </w:p>
        </w:tc>
        <w:tc>
          <w:tcPr>
            <w:tcW w:w="798" w:type="pct"/>
            <w:tcBorders>
              <w:top w:val="single" w:color="auto" w:sz="4" w:space="0"/>
              <w:left w:val="single" w:color="auto" w:sz="4" w:space="0"/>
              <w:bottom w:val="single" w:color="auto" w:sz="4" w:space="0"/>
              <w:right w:val="single" w:color="auto" w:sz="4" w:space="0"/>
            </w:tcBorders>
            <w:shd w:val="clear" w:color="auto" w:fill="auto"/>
          </w:tcPr>
          <w:p w:rsidRPr="00C4515C" w:rsidR="00DF11AB" w:rsidP="36B31C31" w:rsidRDefault="00DF11AB" w14:paraId="02F6FC9D" w14:textId="77777777">
            <w:pPr>
              <w:spacing w:after="100" w:afterAutospacing="1"/>
              <w:rPr>
                <w:rFonts w:asciiTheme="minorHAnsi" w:hAnsiTheme="minorHAnsi" w:eastAsiaTheme="minorEastAsia" w:cstheme="minorHAnsi"/>
                <w:b/>
                <w:bCs/>
                <w:sz w:val="22"/>
                <w:szCs w:val="22"/>
                <w:vertAlign w:val="superscript"/>
              </w:rPr>
            </w:pPr>
            <w:r w:rsidRPr="00C4515C">
              <w:rPr>
                <w:rFonts w:asciiTheme="minorHAnsi" w:hAnsiTheme="minorHAnsi" w:eastAsiaTheme="minorEastAsia" w:cstheme="minorHAnsi"/>
                <w:b/>
                <w:bCs/>
                <w:sz w:val="22"/>
                <w:szCs w:val="22"/>
              </w:rPr>
              <w:t>Relevant questions</w:t>
            </w:r>
          </w:p>
        </w:tc>
      </w:tr>
      <w:tr w:rsidRPr="00C4515C" w:rsidR="00DF11AB" w:rsidTr="0017304F" w14:paraId="7339DEA5" w14:textId="77777777">
        <w:trPr>
          <w:jc w:val="center"/>
        </w:trPr>
        <w:tc>
          <w:tcPr>
            <w:tcW w:w="4202" w:type="pct"/>
            <w:tcBorders>
              <w:top w:val="single" w:color="auto" w:sz="4" w:space="0"/>
              <w:left w:val="single" w:color="auto" w:sz="4" w:space="0"/>
              <w:bottom w:val="single" w:color="auto" w:sz="4" w:space="0"/>
              <w:right w:val="single" w:color="auto" w:sz="4" w:space="0"/>
            </w:tcBorders>
          </w:tcPr>
          <w:p w:rsidRPr="00C4515C" w:rsidR="00DF11AB" w:rsidP="36B31C31" w:rsidRDefault="00DF11AB" w14:paraId="0636D447" w14:textId="4693F955">
            <w:pPr>
              <w:spacing w:after="100" w:afterAutospacing="1"/>
              <w:rPr>
                <w:rFonts w:asciiTheme="minorHAnsi" w:hAnsiTheme="minorHAnsi" w:eastAsiaTheme="minorEastAsia" w:cstheme="minorHAnsi"/>
                <w:color w:val="000000"/>
                <w:sz w:val="22"/>
                <w:szCs w:val="22"/>
              </w:rPr>
            </w:pPr>
            <w:r w:rsidRPr="00C4515C">
              <w:rPr>
                <w:rFonts w:asciiTheme="minorHAnsi" w:hAnsiTheme="minorHAnsi" w:eastAsiaTheme="minorEastAsia" w:cstheme="minorHAnsi"/>
                <w:color w:val="000000"/>
                <w:sz w:val="22"/>
                <w:szCs w:val="22"/>
              </w:rPr>
              <w:t>Percentages of students ages 12</w:t>
            </w:r>
            <w:r w:rsidR="00B35354">
              <w:rPr>
                <w:rFonts w:asciiTheme="minorHAnsi" w:hAnsiTheme="minorHAnsi" w:eastAsiaTheme="minorEastAsia" w:cstheme="minorHAnsi"/>
                <w:color w:val="000000"/>
                <w:sz w:val="22"/>
                <w:szCs w:val="22"/>
              </w:rPr>
              <w:t xml:space="preserve"> to </w:t>
            </w:r>
            <w:r w:rsidRPr="00C4515C">
              <w:rPr>
                <w:rFonts w:asciiTheme="minorHAnsi" w:hAnsiTheme="minorHAnsi" w:eastAsiaTheme="minorEastAsia" w:cstheme="minorHAnsi"/>
                <w:color w:val="000000"/>
                <w:sz w:val="22"/>
                <w:szCs w:val="22"/>
              </w:rPr>
              <w:t>18 who reported presence of selected security measures at school</w:t>
            </w:r>
          </w:p>
        </w:tc>
        <w:tc>
          <w:tcPr>
            <w:tcW w:w="798" w:type="pct"/>
            <w:tcBorders>
              <w:top w:val="single" w:color="auto" w:sz="4" w:space="0"/>
              <w:left w:val="single" w:color="auto" w:sz="4" w:space="0"/>
              <w:bottom w:val="single" w:color="auto" w:sz="4" w:space="0"/>
              <w:right w:val="single" w:color="auto" w:sz="4" w:space="0"/>
            </w:tcBorders>
          </w:tcPr>
          <w:p w:rsidRPr="00C4515C" w:rsidR="00DF11AB" w:rsidP="36B31C31" w:rsidRDefault="00DF11AB" w14:paraId="007A69CF" w14:textId="77777777">
            <w:pPr>
              <w:spacing w:after="100" w:afterAutospacing="1"/>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Q1</w:t>
            </w:r>
            <w:r w:rsidRPr="00C4515C" w:rsidR="0068697B">
              <w:rPr>
                <w:rFonts w:asciiTheme="minorHAnsi" w:hAnsiTheme="minorHAnsi" w:eastAsiaTheme="minorEastAsia" w:cstheme="minorHAnsi"/>
                <w:sz w:val="22"/>
                <w:szCs w:val="22"/>
              </w:rPr>
              <w:t xml:space="preserve">0 </w:t>
            </w:r>
          </w:p>
        </w:tc>
      </w:tr>
      <w:tr w:rsidRPr="00C4515C" w:rsidR="00DF11AB" w:rsidTr="0017304F" w14:paraId="49B25692" w14:textId="77777777">
        <w:trPr>
          <w:jc w:val="center"/>
        </w:trPr>
        <w:tc>
          <w:tcPr>
            <w:tcW w:w="4202" w:type="pct"/>
            <w:tcBorders>
              <w:top w:val="single" w:color="auto" w:sz="4" w:space="0"/>
              <w:left w:val="single" w:color="auto" w:sz="4" w:space="0"/>
              <w:bottom w:val="single" w:color="auto" w:sz="4" w:space="0"/>
              <w:right w:val="single" w:color="auto" w:sz="4" w:space="0"/>
            </w:tcBorders>
          </w:tcPr>
          <w:p w:rsidRPr="00C4515C" w:rsidR="00DF11AB" w:rsidDel="00BD6617" w:rsidP="36B31C31" w:rsidRDefault="00DF11AB" w14:paraId="0E1F65D8" w14:textId="080FF475">
            <w:pPr>
              <w:spacing w:after="100" w:afterAutospacing="1"/>
              <w:rPr>
                <w:rFonts w:asciiTheme="minorHAnsi" w:hAnsiTheme="minorHAnsi" w:eastAsiaTheme="minorEastAsia" w:cstheme="minorHAnsi"/>
                <w:sz w:val="22"/>
                <w:szCs w:val="22"/>
              </w:rPr>
            </w:pPr>
            <w:r w:rsidRPr="00C4515C">
              <w:rPr>
                <w:rFonts w:asciiTheme="minorHAnsi" w:hAnsiTheme="minorHAnsi" w:eastAsiaTheme="minorEastAsia" w:cstheme="minorHAnsi"/>
                <w:color w:val="000000"/>
                <w:sz w:val="22"/>
                <w:szCs w:val="22"/>
              </w:rPr>
              <w:t>Percentage of students ages 12</w:t>
            </w:r>
            <w:r w:rsidR="00B35354">
              <w:rPr>
                <w:rFonts w:asciiTheme="minorHAnsi" w:hAnsiTheme="minorHAnsi" w:eastAsiaTheme="minorEastAsia" w:cstheme="minorHAnsi"/>
                <w:color w:val="000000"/>
                <w:sz w:val="22"/>
                <w:szCs w:val="22"/>
              </w:rPr>
              <w:t xml:space="preserve"> to </w:t>
            </w:r>
            <w:r w:rsidRPr="00C4515C">
              <w:rPr>
                <w:rFonts w:asciiTheme="minorHAnsi" w:hAnsiTheme="minorHAnsi" w:eastAsiaTheme="minorEastAsia" w:cstheme="minorHAnsi"/>
                <w:color w:val="000000"/>
                <w:sz w:val="22"/>
                <w:szCs w:val="22"/>
              </w:rPr>
              <w:t xml:space="preserve">18 who reported being bullied at school during the school </w:t>
            </w:r>
            <w:r w:rsidRPr="00C4515C">
              <w:rPr>
                <w:rFonts w:asciiTheme="minorHAnsi" w:hAnsiTheme="minorHAnsi" w:eastAsiaTheme="minorEastAsia" w:cstheme="minorHAnsi"/>
                <w:color w:val="130E05"/>
                <w:sz w:val="22"/>
                <w:szCs w:val="22"/>
              </w:rPr>
              <w:t xml:space="preserve">year by </w:t>
            </w:r>
            <w:r w:rsidRPr="00C4515C" w:rsidR="00B14362">
              <w:rPr>
                <w:rFonts w:asciiTheme="minorHAnsi" w:hAnsiTheme="minorHAnsi" w:eastAsiaTheme="minorEastAsia" w:cstheme="minorHAnsi"/>
                <w:color w:val="130E05"/>
                <w:sz w:val="22"/>
                <w:szCs w:val="22"/>
              </w:rPr>
              <w:t xml:space="preserve">type of bullying and by </w:t>
            </w:r>
            <w:r w:rsidRPr="00C4515C">
              <w:rPr>
                <w:rFonts w:asciiTheme="minorHAnsi" w:hAnsiTheme="minorHAnsi" w:eastAsiaTheme="minorEastAsia" w:cstheme="minorHAnsi"/>
                <w:color w:val="130E05"/>
                <w:sz w:val="22"/>
                <w:szCs w:val="22"/>
              </w:rPr>
              <w:t>selected student and school characteristics</w:t>
            </w:r>
          </w:p>
        </w:tc>
        <w:tc>
          <w:tcPr>
            <w:tcW w:w="798" w:type="pct"/>
            <w:tcBorders>
              <w:top w:val="single" w:color="auto" w:sz="4" w:space="0"/>
              <w:left w:val="single" w:color="auto" w:sz="4" w:space="0"/>
              <w:bottom w:val="single" w:color="auto" w:sz="4" w:space="0"/>
              <w:right w:val="single" w:color="auto" w:sz="4" w:space="0"/>
            </w:tcBorders>
          </w:tcPr>
          <w:p w:rsidRPr="00C4515C" w:rsidR="00DF11AB" w:rsidP="36B31C31" w:rsidRDefault="00DF11AB" w14:paraId="6592BEE5" w14:textId="77777777">
            <w:pPr>
              <w:spacing w:after="100" w:afterAutospacing="1"/>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Q</w:t>
            </w:r>
            <w:r w:rsidRPr="00C4515C" w:rsidR="0068697B">
              <w:rPr>
                <w:rFonts w:asciiTheme="minorHAnsi" w:hAnsiTheme="minorHAnsi" w:eastAsiaTheme="minorEastAsia" w:cstheme="minorHAnsi"/>
                <w:sz w:val="22"/>
                <w:szCs w:val="22"/>
              </w:rPr>
              <w:t>22</w:t>
            </w:r>
          </w:p>
        </w:tc>
      </w:tr>
      <w:tr w:rsidRPr="00C4515C" w:rsidR="00DF11AB" w:rsidTr="0017304F" w14:paraId="3AE76658" w14:textId="77777777">
        <w:trPr>
          <w:jc w:val="center"/>
        </w:trPr>
        <w:tc>
          <w:tcPr>
            <w:tcW w:w="4202" w:type="pct"/>
            <w:tcBorders>
              <w:top w:val="single" w:color="auto" w:sz="4" w:space="0"/>
              <w:left w:val="single" w:color="auto" w:sz="4" w:space="0"/>
              <w:bottom w:val="single" w:color="auto" w:sz="4" w:space="0"/>
              <w:right w:val="single" w:color="auto" w:sz="4" w:space="0"/>
            </w:tcBorders>
          </w:tcPr>
          <w:p w:rsidRPr="00C4515C" w:rsidR="00DF11AB" w:rsidP="36B31C31" w:rsidRDefault="00DF11AB" w14:paraId="59AFF0C9" w14:textId="49B2AD3B">
            <w:pPr>
              <w:spacing w:before="100" w:beforeAutospacing="1" w:after="100" w:afterAutospacing="1"/>
              <w:rPr>
                <w:rFonts w:asciiTheme="minorHAnsi" w:hAnsiTheme="minorHAnsi" w:eastAsiaTheme="minorEastAsia" w:cstheme="minorHAnsi"/>
                <w:sz w:val="22"/>
                <w:szCs w:val="22"/>
              </w:rPr>
            </w:pPr>
            <w:r w:rsidRPr="00C4515C">
              <w:rPr>
                <w:rFonts w:asciiTheme="minorHAnsi" w:hAnsiTheme="minorHAnsi" w:eastAsiaTheme="minorEastAsia" w:cstheme="minorHAnsi"/>
                <w:color w:val="000000"/>
                <w:sz w:val="22"/>
                <w:szCs w:val="22"/>
              </w:rPr>
              <w:t>Number and percentage of students ages 12</w:t>
            </w:r>
            <w:r w:rsidR="00B35354">
              <w:rPr>
                <w:rFonts w:asciiTheme="minorHAnsi" w:hAnsiTheme="minorHAnsi" w:eastAsiaTheme="minorEastAsia" w:cstheme="minorHAnsi"/>
                <w:color w:val="000000"/>
                <w:sz w:val="22"/>
                <w:szCs w:val="22"/>
              </w:rPr>
              <w:t xml:space="preserve"> to </w:t>
            </w:r>
            <w:r w:rsidRPr="00C4515C">
              <w:rPr>
                <w:rFonts w:asciiTheme="minorHAnsi" w:hAnsiTheme="minorHAnsi" w:eastAsiaTheme="minorEastAsia" w:cstheme="minorHAnsi"/>
                <w:color w:val="000000"/>
                <w:sz w:val="22"/>
                <w:szCs w:val="22"/>
              </w:rPr>
              <w:t xml:space="preserve">18 who reported being bullied at school, by the </w:t>
            </w:r>
            <w:r w:rsidRPr="00C4515C">
              <w:rPr>
                <w:rFonts w:asciiTheme="minorHAnsi" w:hAnsiTheme="minorHAnsi" w:eastAsiaTheme="minorEastAsia" w:cstheme="minorHAnsi"/>
                <w:color w:val="221E1F"/>
                <w:sz w:val="22"/>
                <w:szCs w:val="22"/>
              </w:rPr>
              <w:t>frequency of bullying</w:t>
            </w:r>
            <w:r w:rsidRPr="00C4515C" w:rsidR="0068697B">
              <w:rPr>
                <w:rFonts w:asciiTheme="minorHAnsi" w:hAnsiTheme="minorHAnsi" w:eastAsiaTheme="minorEastAsia" w:cstheme="minorHAnsi"/>
                <w:color w:val="221E1F"/>
                <w:sz w:val="22"/>
                <w:szCs w:val="22"/>
              </w:rPr>
              <w:t xml:space="preserve"> and </w:t>
            </w:r>
            <w:r w:rsidRPr="00C4515C">
              <w:rPr>
                <w:rFonts w:asciiTheme="minorHAnsi" w:hAnsiTheme="minorHAnsi" w:eastAsiaTheme="minorEastAsia" w:cstheme="minorHAnsi"/>
                <w:color w:val="221E1F"/>
                <w:sz w:val="22"/>
                <w:szCs w:val="22"/>
              </w:rPr>
              <w:t xml:space="preserve">whether an adult was notified, and selected student characteristics </w:t>
            </w:r>
          </w:p>
        </w:tc>
        <w:tc>
          <w:tcPr>
            <w:tcW w:w="798" w:type="pct"/>
            <w:tcBorders>
              <w:top w:val="single" w:color="auto" w:sz="4" w:space="0"/>
              <w:left w:val="single" w:color="auto" w:sz="4" w:space="0"/>
              <w:bottom w:val="single" w:color="auto" w:sz="4" w:space="0"/>
              <w:right w:val="single" w:color="auto" w:sz="4" w:space="0"/>
            </w:tcBorders>
          </w:tcPr>
          <w:p w:rsidRPr="00C4515C" w:rsidR="00DF11AB" w:rsidP="00A93826" w:rsidRDefault="00B972E5" w14:paraId="4DB52F60" w14:textId="18FC13DE">
            <w:pPr>
              <w:spacing w:before="100" w:beforeAutospacing="1" w:after="100" w:afterAutospacing="1"/>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 xml:space="preserve">Q22, 23, </w:t>
            </w:r>
            <w:r w:rsidRPr="00C4515C" w:rsidR="00A93826">
              <w:rPr>
                <w:rFonts w:asciiTheme="minorHAnsi" w:hAnsiTheme="minorHAnsi" w:eastAsiaTheme="minorEastAsia" w:cstheme="minorHAnsi"/>
                <w:sz w:val="22"/>
                <w:szCs w:val="22"/>
              </w:rPr>
              <w:t>30</w:t>
            </w:r>
          </w:p>
        </w:tc>
      </w:tr>
      <w:tr w:rsidRPr="00C4515C" w:rsidR="00DF11AB" w:rsidTr="0017304F" w14:paraId="5ED45F69" w14:textId="77777777">
        <w:trPr>
          <w:jc w:val="center"/>
        </w:trPr>
        <w:tc>
          <w:tcPr>
            <w:tcW w:w="4202" w:type="pct"/>
            <w:tcBorders>
              <w:top w:val="single" w:color="auto" w:sz="4" w:space="0"/>
              <w:left w:val="single" w:color="auto" w:sz="4" w:space="0"/>
              <w:bottom w:val="single" w:color="auto" w:sz="4" w:space="0"/>
              <w:right w:val="single" w:color="auto" w:sz="4" w:space="0"/>
            </w:tcBorders>
          </w:tcPr>
          <w:p w:rsidRPr="00C4515C" w:rsidR="00DF11AB" w:rsidP="36B31C31" w:rsidRDefault="00DF11AB" w14:paraId="5A4E0A18" w14:textId="6B1392C2">
            <w:pPr>
              <w:spacing w:before="100" w:beforeAutospacing="1" w:after="100" w:afterAutospacing="1"/>
              <w:rPr>
                <w:rFonts w:asciiTheme="minorHAnsi" w:hAnsiTheme="minorHAnsi" w:eastAsiaTheme="minorEastAsia" w:cstheme="minorHAnsi"/>
                <w:sz w:val="22"/>
                <w:szCs w:val="22"/>
              </w:rPr>
            </w:pPr>
            <w:r w:rsidRPr="00C4515C">
              <w:rPr>
                <w:rFonts w:asciiTheme="minorHAnsi" w:hAnsiTheme="minorHAnsi" w:eastAsiaTheme="minorEastAsia" w:cstheme="minorHAnsi"/>
                <w:color w:val="000000"/>
                <w:sz w:val="22"/>
                <w:szCs w:val="22"/>
              </w:rPr>
              <w:t>Percentage of students ages 12</w:t>
            </w:r>
            <w:r w:rsidR="00B35354">
              <w:rPr>
                <w:rFonts w:asciiTheme="minorHAnsi" w:hAnsiTheme="minorHAnsi" w:eastAsiaTheme="minorEastAsia" w:cstheme="minorHAnsi"/>
                <w:color w:val="000000"/>
                <w:sz w:val="22"/>
                <w:szCs w:val="22"/>
              </w:rPr>
              <w:t xml:space="preserve"> to </w:t>
            </w:r>
            <w:r w:rsidRPr="00C4515C">
              <w:rPr>
                <w:rFonts w:asciiTheme="minorHAnsi" w:hAnsiTheme="minorHAnsi" w:eastAsiaTheme="minorEastAsia" w:cstheme="minorHAnsi"/>
                <w:color w:val="000000"/>
                <w:sz w:val="22"/>
                <w:szCs w:val="22"/>
              </w:rPr>
              <w:t xml:space="preserve">18 who reported bullying problems at school </w:t>
            </w:r>
            <w:r w:rsidRPr="00C4515C" w:rsidR="0068697B">
              <w:rPr>
                <w:rFonts w:asciiTheme="minorHAnsi" w:hAnsiTheme="minorHAnsi" w:eastAsiaTheme="minorEastAsia" w:cstheme="minorHAnsi"/>
                <w:color w:val="130E05"/>
                <w:sz w:val="22"/>
                <w:szCs w:val="22"/>
              </w:rPr>
              <w:t>and the effect it had on them, by selected student and school characteristics</w:t>
            </w:r>
          </w:p>
        </w:tc>
        <w:tc>
          <w:tcPr>
            <w:tcW w:w="798" w:type="pct"/>
            <w:tcBorders>
              <w:top w:val="single" w:color="auto" w:sz="4" w:space="0"/>
              <w:left w:val="single" w:color="auto" w:sz="4" w:space="0"/>
              <w:bottom w:val="single" w:color="auto" w:sz="4" w:space="0"/>
              <w:right w:val="single" w:color="auto" w:sz="4" w:space="0"/>
            </w:tcBorders>
          </w:tcPr>
          <w:p w:rsidRPr="00C4515C" w:rsidR="00DF11AB" w:rsidP="321DFE78" w:rsidRDefault="0068697B" w14:paraId="7EE62989" w14:textId="0B9B8B01">
            <w:pPr>
              <w:spacing w:before="100" w:beforeAutospacing="1" w:after="100" w:afterAutospacing="1"/>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 xml:space="preserve">Q22, </w:t>
            </w:r>
            <w:r w:rsidRPr="00C4515C" w:rsidR="00A36AD7">
              <w:rPr>
                <w:rFonts w:asciiTheme="minorHAnsi" w:hAnsiTheme="minorHAnsi" w:eastAsiaTheme="minorEastAsia" w:cstheme="minorHAnsi"/>
                <w:sz w:val="22"/>
                <w:szCs w:val="22"/>
              </w:rPr>
              <w:t>31</w:t>
            </w:r>
          </w:p>
        </w:tc>
      </w:tr>
      <w:tr w:rsidRPr="00C4515C" w:rsidR="00DF11AB" w:rsidTr="0017304F" w14:paraId="2A49038C" w14:textId="77777777">
        <w:trPr>
          <w:jc w:val="center"/>
        </w:trPr>
        <w:tc>
          <w:tcPr>
            <w:tcW w:w="4202" w:type="pct"/>
            <w:tcBorders>
              <w:top w:val="single" w:color="auto" w:sz="4" w:space="0"/>
              <w:left w:val="single" w:color="auto" w:sz="4" w:space="0"/>
              <w:bottom w:val="single" w:color="auto" w:sz="4" w:space="0"/>
              <w:right w:val="single" w:color="auto" w:sz="4" w:space="0"/>
            </w:tcBorders>
          </w:tcPr>
          <w:p w:rsidRPr="00C4515C" w:rsidR="00DF11AB" w:rsidP="36B31C31" w:rsidRDefault="00DF11AB" w14:paraId="145D15B1" w14:textId="16A83BD0">
            <w:pPr>
              <w:spacing w:before="100" w:beforeAutospacing="1" w:after="100" w:afterAutospacing="1"/>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Percentage of students ages 12</w:t>
            </w:r>
            <w:r w:rsidR="00B35354">
              <w:rPr>
                <w:rFonts w:asciiTheme="minorHAnsi" w:hAnsiTheme="minorHAnsi" w:eastAsiaTheme="minorEastAsia" w:cstheme="minorHAnsi"/>
                <w:sz w:val="22"/>
                <w:szCs w:val="22"/>
              </w:rPr>
              <w:t xml:space="preserve"> to </w:t>
            </w:r>
            <w:r w:rsidRPr="00C4515C">
              <w:rPr>
                <w:rFonts w:asciiTheme="minorHAnsi" w:hAnsiTheme="minorHAnsi" w:eastAsiaTheme="minorEastAsia" w:cstheme="minorHAnsi"/>
                <w:sz w:val="22"/>
                <w:szCs w:val="22"/>
              </w:rPr>
              <w:t xml:space="preserve">18 who reported being targets of hate-related </w:t>
            </w:r>
            <w:r w:rsidRPr="00C4515C" w:rsidR="00103E19">
              <w:rPr>
                <w:rFonts w:asciiTheme="minorHAnsi" w:hAnsiTheme="minorHAnsi" w:eastAsiaTheme="minorEastAsia" w:cstheme="minorHAnsi"/>
                <w:sz w:val="22"/>
                <w:szCs w:val="22"/>
              </w:rPr>
              <w:t xml:space="preserve">bullying, hearing hate-related </w:t>
            </w:r>
            <w:r w:rsidRPr="00C4515C">
              <w:rPr>
                <w:rFonts w:asciiTheme="minorHAnsi" w:hAnsiTheme="minorHAnsi" w:eastAsiaTheme="minorEastAsia" w:cstheme="minorHAnsi"/>
                <w:sz w:val="22"/>
                <w:szCs w:val="22"/>
              </w:rPr>
              <w:t xml:space="preserve">words and </w:t>
            </w:r>
            <w:r w:rsidRPr="00C4515C">
              <w:rPr>
                <w:rFonts w:asciiTheme="minorHAnsi" w:hAnsiTheme="minorHAnsi" w:eastAsiaTheme="minorEastAsia" w:cstheme="minorHAnsi"/>
                <w:color w:val="130E05"/>
                <w:sz w:val="22"/>
                <w:szCs w:val="22"/>
              </w:rPr>
              <w:t>seeing hate-related graffiti at school during the school year, by selected student and school characteristics</w:t>
            </w:r>
          </w:p>
        </w:tc>
        <w:tc>
          <w:tcPr>
            <w:tcW w:w="798" w:type="pct"/>
            <w:tcBorders>
              <w:top w:val="single" w:color="auto" w:sz="4" w:space="0"/>
              <w:left w:val="single" w:color="auto" w:sz="4" w:space="0"/>
              <w:bottom w:val="single" w:color="auto" w:sz="4" w:space="0"/>
              <w:right w:val="single" w:color="auto" w:sz="4" w:space="0"/>
            </w:tcBorders>
          </w:tcPr>
          <w:p w:rsidRPr="00C4515C" w:rsidR="00DF11AB" w:rsidP="00B972E5" w:rsidRDefault="00AF2A7E" w14:paraId="5215D2E9" w14:textId="0014B30A">
            <w:pPr>
              <w:spacing w:before="100" w:beforeAutospacing="1" w:after="100" w:afterAutospacing="1"/>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Q33, 34, 35</w:t>
            </w:r>
          </w:p>
        </w:tc>
      </w:tr>
      <w:tr w:rsidRPr="00C4515C" w:rsidR="00DF11AB" w:rsidTr="0017304F" w14:paraId="1B99A66C" w14:textId="77777777">
        <w:trPr>
          <w:jc w:val="center"/>
        </w:trPr>
        <w:tc>
          <w:tcPr>
            <w:tcW w:w="4202" w:type="pct"/>
            <w:tcBorders>
              <w:top w:val="single" w:color="auto" w:sz="4" w:space="0"/>
              <w:left w:val="single" w:color="auto" w:sz="4" w:space="0"/>
              <w:bottom w:val="single" w:color="auto" w:sz="4" w:space="0"/>
              <w:right w:val="single" w:color="auto" w:sz="4" w:space="0"/>
            </w:tcBorders>
          </w:tcPr>
          <w:p w:rsidRPr="00C4515C" w:rsidR="00DF11AB" w:rsidP="36B31C31" w:rsidRDefault="00DF11AB" w14:paraId="4E19CF9A" w14:textId="21C3FB1F">
            <w:pPr>
              <w:spacing w:before="100" w:beforeAutospacing="1" w:after="100" w:afterAutospacing="1"/>
              <w:rPr>
                <w:rFonts w:asciiTheme="minorHAnsi" w:hAnsiTheme="minorHAnsi" w:eastAsiaTheme="minorEastAsia" w:cstheme="minorHAnsi"/>
                <w:sz w:val="22"/>
                <w:szCs w:val="22"/>
              </w:rPr>
            </w:pPr>
            <w:r w:rsidRPr="00C4515C">
              <w:rPr>
                <w:rFonts w:asciiTheme="minorHAnsi" w:hAnsiTheme="minorHAnsi" w:eastAsiaTheme="minorEastAsia" w:cstheme="minorHAnsi"/>
                <w:color w:val="000000"/>
                <w:sz w:val="22"/>
                <w:szCs w:val="22"/>
              </w:rPr>
              <w:t>Percentage of students ages 1</w:t>
            </w:r>
            <w:r w:rsidR="00B35354">
              <w:rPr>
                <w:rFonts w:asciiTheme="minorHAnsi" w:hAnsiTheme="minorHAnsi" w:eastAsiaTheme="minorEastAsia" w:cstheme="minorHAnsi"/>
                <w:color w:val="000000"/>
                <w:sz w:val="22"/>
                <w:szCs w:val="22"/>
              </w:rPr>
              <w:t xml:space="preserve">2 to </w:t>
            </w:r>
            <w:r w:rsidRPr="00C4515C">
              <w:rPr>
                <w:rFonts w:asciiTheme="minorHAnsi" w:hAnsiTheme="minorHAnsi" w:eastAsiaTheme="minorEastAsia" w:cstheme="minorHAnsi"/>
                <w:color w:val="000000"/>
                <w:sz w:val="22"/>
                <w:szCs w:val="22"/>
              </w:rPr>
              <w:t xml:space="preserve">18 who reported being afraid of attack or harm during the </w:t>
            </w:r>
            <w:r w:rsidRPr="00C4515C">
              <w:rPr>
                <w:rFonts w:asciiTheme="minorHAnsi" w:hAnsiTheme="minorHAnsi" w:eastAsiaTheme="minorEastAsia" w:cstheme="minorHAnsi"/>
                <w:color w:val="130E05"/>
                <w:sz w:val="22"/>
                <w:szCs w:val="22"/>
              </w:rPr>
              <w:t>school year, by location and urbanicity</w:t>
            </w:r>
          </w:p>
        </w:tc>
        <w:tc>
          <w:tcPr>
            <w:tcW w:w="798" w:type="pct"/>
            <w:tcBorders>
              <w:top w:val="single" w:color="auto" w:sz="4" w:space="0"/>
              <w:left w:val="single" w:color="auto" w:sz="4" w:space="0"/>
              <w:bottom w:val="single" w:color="auto" w:sz="4" w:space="0"/>
              <w:right w:val="single" w:color="auto" w:sz="4" w:space="0"/>
            </w:tcBorders>
          </w:tcPr>
          <w:p w:rsidRPr="00C4515C" w:rsidR="00DF11AB" w:rsidP="36B31C31" w:rsidRDefault="00DF11AB" w14:paraId="4F3E1432" w14:textId="6EB7A6EA">
            <w:pPr>
              <w:spacing w:before="100" w:beforeAutospacing="1" w:after="100" w:afterAutospacing="1"/>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Q</w:t>
            </w:r>
            <w:r w:rsidRPr="00C4515C" w:rsidR="00B972E5">
              <w:rPr>
                <w:rFonts w:asciiTheme="minorHAnsi" w:hAnsiTheme="minorHAnsi" w:eastAsiaTheme="minorEastAsia" w:cstheme="minorHAnsi"/>
                <w:sz w:val="22"/>
                <w:szCs w:val="22"/>
              </w:rPr>
              <w:t>3</w:t>
            </w:r>
            <w:r w:rsidRPr="00C4515C" w:rsidR="00CB37F2">
              <w:rPr>
                <w:rFonts w:asciiTheme="minorHAnsi" w:hAnsiTheme="minorHAnsi" w:eastAsiaTheme="minorEastAsia" w:cstheme="minorHAnsi"/>
                <w:sz w:val="22"/>
                <w:szCs w:val="22"/>
              </w:rPr>
              <w:t>6</w:t>
            </w:r>
            <w:r w:rsidRPr="00C4515C" w:rsidR="00B972E5">
              <w:rPr>
                <w:rFonts w:asciiTheme="minorHAnsi" w:hAnsiTheme="minorHAnsi" w:eastAsiaTheme="minorEastAsia" w:cstheme="minorHAnsi"/>
                <w:sz w:val="22"/>
                <w:szCs w:val="22"/>
              </w:rPr>
              <w:t xml:space="preserve">, </w:t>
            </w:r>
            <w:r w:rsidRPr="00C4515C" w:rsidR="00CB37F2">
              <w:rPr>
                <w:rFonts w:asciiTheme="minorHAnsi" w:hAnsiTheme="minorHAnsi" w:eastAsiaTheme="minorEastAsia" w:cstheme="minorHAnsi"/>
                <w:sz w:val="22"/>
                <w:szCs w:val="22"/>
              </w:rPr>
              <w:t>37</w:t>
            </w:r>
          </w:p>
        </w:tc>
      </w:tr>
      <w:tr w:rsidRPr="00C4515C" w:rsidR="00DF11AB" w:rsidTr="0017304F" w14:paraId="4D509BCE" w14:textId="77777777">
        <w:trPr>
          <w:jc w:val="center"/>
        </w:trPr>
        <w:tc>
          <w:tcPr>
            <w:tcW w:w="4202" w:type="pct"/>
            <w:tcBorders>
              <w:top w:val="single" w:color="auto" w:sz="4" w:space="0"/>
              <w:left w:val="single" w:color="auto" w:sz="4" w:space="0"/>
              <w:bottom w:val="single" w:color="auto" w:sz="4" w:space="0"/>
              <w:right w:val="single" w:color="auto" w:sz="4" w:space="0"/>
            </w:tcBorders>
          </w:tcPr>
          <w:p w:rsidRPr="00C4515C" w:rsidR="00DF11AB" w:rsidP="36B31C31" w:rsidRDefault="00DF11AB" w14:paraId="7092320E" w14:textId="366DAAA4">
            <w:pPr>
              <w:spacing w:before="100" w:beforeAutospacing="1" w:after="100" w:afterAutospacing="1"/>
              <w:rPr>
                <w:rFonts w:asciiTheme="minorHAnsi" w:hAnsiTheme="minorHAnsi" w:eastAsiaTheme="minorEastAsia" w:cstheme="minorHAnsi"/>
                <w:sz w:val="22"/>
                <w:szCs w:val="22"/>
              </w:rPr>
            </w:pPr>
            <w:r w:rsidRPr="00C4515C">
              <w:rPr>
                <w:rFonts w:asciiTheme="minorHAnsi" w:hAnsiTheme="minorHAnsi" w:eastAsiaTheme="minorEastAsia" w:cstheme="minorHAnsi"/>
                <w:color w:val="000000"/>
                <w:sz w:val="22"/>
                <w:szCs w:val="22"/>
              </w:rPr>
              <w:t>Percentage of students ages 12</w:t>
            </w:r>
            <w:r w:rsidR="00B35354">
              <w:rPr>
                <w:rFonts w:asciiTheme="minorHAnsi" w:hAnsiTheme="minorHAnsi" w:eastAsiaTheme="minorEastAsia" w:cstheme="minorHAnsi"/>
                <w:color w:val="000000"/>
                <w:sz w:val="22"/>
                <w:szCs w:val="22"/>
              </w:rPr>
              <w:t xml:space="preserve"> to </w:t>
            </w:r>
            <w:r w:rsidRPr="00C4515C">
              <w:rPr>
                <w:rFonts w:asciiTheme="minorHAnsi" w:hAnsiTheme="minorHAnsi" w:eastAsiaTheme="minorEastAsia" w:cstheme="minorHAnsi"/>
                <w:color w:val="000000"/>
                <w:sz w:val="22"/>
                <w:szCs w:val="22"/>
              </w:rPr>
              <w:t xml:space="preserve">18 who reported that gangs were present at school during </w:t>
            </w:r>
            <w:r w:rsidRPr="00C4515C">
              <w:rPr>
                <w:rFonts w:asciiTheme="minorHAnsi" w:hAnsiTheme="minorHAnsi" w:eastAsiaTheme="minorEastAsia" w:cstheme="minorHAnsi"/>
                <w:color w:val="130E05"/>
                <w:sz w:val="22"/>
                <w:szCs w:val="22"/>
              </w:rPr>
              <w:t>the school year</w:t>
            </w:r>
          </w:p>
        </w:tc>
        <w:tc>
          <w:tcPr>
            <w:tcW w:w="798" w:type="pct"/>
            <w:tcBorders>
              <w:top w:val="single" w:color="auto" w:sz="4" w:space="0"/>
              <w:left w:val="single" w:color="auto" w:sz="4" w:space="0"/>
              <w:bottom w:val="single" w:color="auto" w:sz="4" w:space="0"/>
              <w:right w:val="single" w:color="auto" w:sz="4" w:space="0"/>
            </w:tcBorders>
          </w:tcPr>
          <w:p w:rsidRPr="00C4515C" w:rsidR="00DF11AB" w:rsidP="321DFE78" w:rsidRDefault="00DF11AB" w14:paraId="33974576" w14:textId="168B4CEE">
            <w:pPr>
              <w:spacing w:before="100" w:beforeAutospacing="1" w:after="100" w:afterAutospacing="1"/>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Q</w:t>
            </w:r>
            <w:r w:rsidRPr="00C4515C" w:rsidR="009D1319">
              <w:rPr>
                <w:rFonts w:asciiTheme="minorHAnsi" w:hAnsiTheme="minorHAnsi" w:eastAsiaTheme="minorEastAsia" w:cstheme="minorHAnsi"/>
                <w:sz w:val="22"/>
                <w:szCs w:val="22"/>
              </w:rPr>
              <w:t>4</w:t>
            </w:r>
            <w:r w:rsidRPr="00C4515C" w:rsidR="00CB37F2">
              <w:rPr>
                <w:rFonts w:asciiTheme="minorHAnsi" w:hAnsiTheme="minorHAnsi" w:eastAsiaTheme="minorEastAsia" w:cstheme="minorHAnsi"/>
                <w:sz w:val="22"/>
                <w:szCs w:val="22"/>
              </w:rPr>
              <w:t>2</w:t>
            </w:r>
          </w:p>
        </w:tc>
      </w:tr>
      <w:tr w:rsidRPr="00C4515C" w:rsidR="00DF11AB" w:rsidTr="0017304F" w14:paraId="595D69D0" w14:textId="77777777">
        <w:trPr>
          <w:jc w:val="center"/>
        </w:trPr>
        <w:tc>
          <w:tcPr>
            <w:tcW w:w="4202" w:type="pct"/>
            <w:tcBorders>
              <w:top w:val="single" w:color="auto" w:sz="4" w:space="0"/>
              <w:left w:val="single" w:color="auto" w:sz="4" w:space="0"/>
              <w:bottom w:val="single" w:color="auto" w:sz="4" w:space="0"/>
              <w:right w:val="single" w:color="auto" w:sz="4" w:space="0"/>
            </w:tcBorders>
          </w:tcPr>
          <w:p w:rsidRPr="00C4515C" w:rsidR="00DF11AB" w:rsidP="36B31C31" w:rsidRDefault="00DF11AB" w14:paraId="287602CE" w14:textId="4F74D7BD">
            <w:pPr>
              <w:spacing w:before="100" w:beforeAutospacing="1" w:after="100" w:afterAutospacing="1"/>
              <w:rPr>
                <w:rFonts w:asciiTheme="minorHAnsi" w:hAnsiTheme="minorHAnsi" w:eastAsiaTheme="minorEastAsia" w:cstheme="minorHAnsi"/>
                <w:sz w:val="22"/>
                <w:szCs w:val="22"/>
              </w:rPr>
            </w:pPr>
            <w:r w:rsidRPr="00C4515C">
              <w:rPr>
                <w:rFonts w:asciiTheme="minorHAnsi" w:hAnsiTheme="minorHAnsi" w:eastAsiaTheme="minorEastAsia" w:cstheme="minorHAnsi"/>
                <w:color w:val="000000"/>
                <w:sz w:val="22"/>
                <w:szCs w:val="22"/>
              </w:rPr>
              <w:t>Percentage of students ages 12</w:t>
            </w:r>
            <w:r w:rsidR="00B35354">
              <w:rPr>
                <w:rFonts w:asciiTheme="minorHAnsi" w:hAnsiTheme="minorHAnsi" w:eastAsiaTheme="minorEastAsia" w:cstheme="minorHAnsi"/>
                <w:color w:val="000000"/>
                <w:sz w:val="22"/>
                <w:szCs w:val="22"/>
              </w:rPr>
              <w:t xml:space="preserve"> to </w:t>
            </w:r>
            <w:r w:rsidRPr="00C4515C">
              <w:rPr>
                <w:rFonts w:asciiTheme="minorHAnsi" w:hAnsiTheme="minorHAnsi" w:eastAsiaTheme="minorEastAsia" w:cstheme="minorHAnsi"/>
                <w:color w:val="000000"/>
                <w:sz w:val="22"/>
                <w:szCs w:val="22"/>
              </w:rPr>
              <w:t>18 who reported being bullied at school</w:t>
            </w:r>
            <w:r w:rsidRPr="00C4515C">
              <w:rPr>
                <w:rFonts w:asciiTheme="minorHAnsi" w:hAnsiTheme="minorHAnsi" w:eastAsiaTheme="minorEastAsia" w:cstheme="minorHAnsi"/>
                <w:color w:val="221E1F"/>
                <w:sz w:val="22"/>
                <w:szCs w:val="22"/>
              </w:rPr>
              <w:t>, b</w:t>
            </w:r>
            <w:r w:rsidRPr="00C4515C" w:rsidR="009D1319">
              <w:rPr>
                <w:rFonts w:asciiTheme="minorHAnsi" w:hAnsiTheme="minorHAnsi" w:eastAsiaTheme="minorEastAsia" w:cstheme="minorHAnsi"/>
                <w:color w:val="221E1F"/>
                <w:sz w:val="22"/>
                <w:szCs w:val="22"/>
              </w:rPr>
              <w:t>y student reports of negative</w:t>
            </w:r>
            <w:r w:rsidRPr="00C4515C">
              <w:rPr>
                <w:rFonts w:asciiTheme="minorHAnsi" w:hAnsiTheme="minorHAnsi" w:eastAsiaTheme="minorEastAsia" w:cstheme="minorHAnsi"/>
                <w:color w:val="221E1F"/>
                <w:sz w:val="22"/>
                <w:szCs w:val="22"/>
              </w:rPr>
              <w:t xml:space="preserve"> school conditions </w:t>
            </w:r>
            <w:r w:rsidRPr="00C4515C" w:rsidR="009D1319">
              <w:rPr>
                <w:rFonts w:asciiTheme="minorHAnsi" w:hAnsiTheme="minorHAnsi" w:eastAsiaTheme="minorEastAsia" w:cstheme="minorHAnsi"/>
                <w:color w:val="221E1F"/>
                <w:sz w:val="22"/>
                <w:szCs w:val="22"/>
              </w:rPr>
              <w:t>such as the presence of gangs and availability of drugs and alcohol at school</w:t>
            </w:r>
          </w:p>
        </w:tc>
        <w:tc>
          <w:tcPr>
            <w:tcW w:w="798" w:type="pct"/>
            <w:tcBorders>
              <w:top w:val="single" w:color="auto" w:sz="4" w:space="0"/>
              <w:left w:val="single" w:color="auto" w:sz="4" w:space="0"/>
              <w:bottom w:val="single" w:color="auto" w:sz="4" w:space="0"/>
              <w:right w:val="single" w:color="auto" w:sz="4" w:space="0"/>
            </w:tcBorders>
          </w:tcPr>
          <w:p w:rsidRPr="00C4515C" w:rsidR="00DF11AB" w:rsidP="321DFE78" w:rsidRDefault="00DF11AB" w14:paraId="525671ED" w14:textId="79130BEB">
            <w:pPr>
              <w:spacing w:before="100" w:beforeAutospacing="1" w:after="100" w:afterAutospacing="1"/>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Q</w:t>
            </w:r>
            <w:r w:rsidRPr="00C4515C" w:rsidR="00103E19">
              <w:rPr>
                <w:rFonts w:asciiTheme="minorHAnsi" w:hAnsiTheme="minorHAnsi" w:eastAsiaTheme="minorEastAsia" w:cstheme="minorHAnsi"/>
                <w:sz w:val="22"/>
                <w:szCs w:val="22"/>
              </w:rPr>
              <w:t xml:space="preserve">19, </w:t>
            </w:r>
            <w:r w:rsidRPr="00C4515C" w:rsidR="00BC0B1E">
              <w:rPr>
                <w:rFonts w:asciiTheme="minorHAnsi" w:hAnsiTheme="minorHAnsi" w:eastAsiaTheme="minorEastAsia" w:cstheme="minorHAnsi"/>
                <w:sz w:val="22"/>
                <w:szCs w:val="22"/>
              </w:rPr>
              <w:t xml:space="preserve">20, </w:t>
            </w:r>
            <w:r w:rsidRPr="00C4515C" w:rsidR="00103E19">
              <w:rPr>
                <w:rFonts w:asciiTheme="minorHAnsi" w:hAnsiTheme="minorHAnsi" w:eastAsiaTheme="minorEastAsia" w:cstheme="minorHAnsi"/>
                <w:sz w:val="22"/>
                <w:szCs w:val="22"/>
              </w:rPr>
              <w:t xml:space="preserve">22, </w:t>
            </w:r>
            <w:r w:rsidRPr="00C4515C" w:rsidR="009C1AEA">
              <w:rPr>
                <w:rFonts w:asciiTheme="minorHAnsi" w:hAnsiTheme="minorHAnsi" w:eastAsiaTheme="minorEastAsia" w:cstheme="minorHAnsi"/>
                <w:sz w:val="22"/>
                <w:szCs w:val="22"/>
              </w:rPr>
              <w:t>4</w:t>
            </w:r>
            <w:r w:rsidRPr="00C4515C" w:rsidR="00317771">
              <w:rPr>
                <w:rFonts w:asciiTheme="minorHAnsi" w:hAnsiTheme="minorHAnsi" w:eastAsiaTheme="minorEastAsia" w:cstheme="minorHAnsi"/>
                <w:sz w:val="22"/>
                <w:szCs w:val="22"/>
              </w:rPr>
              <w:t>2</w:t>
            </w:r>
          </w:p>
        </w:tc>
      </w:tr>
      <w:tr w:rsidRPr="00C4515C" w:rsidR="00DF11AB" w:rsidTr="0017304F" w14:paraId="42E31F65" w14:textId="77777777">
        <w:trPr>
          <w:jc w:val="center"/>
        </w:trPr>
        <w:tc>
          <w:tcPr>
            <w:tcW w:w="4202" w:type="pct"/>
            <w:tcBorders>
              <w:top w:val="single" w:color="auto" w:sz="4" w:space="0"/>
              <w:left w:val="single" w:color="auto" w:sz="4" w:space="0"/>
              <w:bottom w:val="single" w:color="auto" w:sz="4" w:space="0"/>
              <w:right w:val="single" w:color="auto" w:sz="4" w:space="0"/>
            </w:tcBorders>
          </w:tcPr>
          <w:p w:rsidRPr="00C4515C" w:rsidR="00DF11AB" w:rsidP="36B31C31" w:rsidRDefault="00DF11AB" w14:paraId="6FB12CCC" w14:textId="24A81E3E">
            <w:pPr>
              <w:spacing w:before="100" w:beforeAutospacing="1" w:after="100" w:afterAutospacing="1"/>
              <w:rPr>
                <w:rFonts w:asciiTheme="minorHAnsi" w:hAnsiTheme="minorHAnsi" w:eastAsiaTheme="minorEastAsia" w:cstheme="minorHAnsi"/>
                <w:sz w:val="22"/>
                <w:szCs w:val="22"/>
              </w:rPr>
            </w:pPr>
            <w:r w:rsidRPr="00C4515C">
              <w:rPr>
                <w:rFonts w:asciiTheme="minorHAnsi" w:hAnsiTheme="minorHAnsi" w:eastAsiaTheme="minorEastAsia" w:cstheme="minorHAnsi"/>
                <w:color w:val="000000"/>
                <w:sz w:val="22"/>
                <w:szCs w:val="22"/>
              </w:rPr>
              <w:t>Percentage of students ages 12</w:t>
            </w:r>
            <w:r w:rsidR="00B35354">
              <w:rPr>
                <w:rFonts w:asciiTheme="minorHAnsi" w:hAnsiTheme="minorHAnsi" w:eastAsiaTheme="minorEastAsia" w:cstheme="minorHAnsi"/>
                <w:color w:val="000000"/>
                <w:sz w:val="22"/>
                <w:szCs w:val="22"/>
              </w:rPr>
              <w:t xml:space="preserve"> to </w:t>
            </w:r>
            <w:r w:rsidRPr="00C4515C">
              <w:rPr>
                <w:rFonts w:asciiTheme="minorHAnsi" w:hAnsiTheme="minorHAnsi" w:eastAsiaTheme="minorEastAsia" w:cstheme="minorHAnsi"/>
                <w:color w:val="000000"/>
                <w:sz w:val="22"/>
                <w:szCs w:val="22"/>
              </w:rPr>
              <w:t>18 who reported being bullied at school</w:t>
            </w:r>
            <w:r w:rsidRPr="00C4515C">
              <w:rPr>
                <w:rFonts w:asciiTheme="minorHAnsi" w:hAnsiTheme="minorHAnsi" w:eastAsiaTheme="minorEastAsia" w:cstheme="minorHAnsi"/>
                <w:sz w:val="22"/>
                <w:szCs w:val="22"/>
              </w:rPr>
              <w:t>, by presence of indicators of school attachment, performance, and future orientation</w:t>
            </w:r>
          </w:p>
        </w:tc>
        <w:tc>
          <w:tcPr>
            <w:tcW w:w="798" w:type="pct"/>
            <w:tcBorders>
              <w:top w:val="single" w:color="auto" w:sz="4" w:space="0"/>
              <w:left w:val="single" w:color="auto" w:sz="4" w:space="0"/>
              <w:bottom w:val="single" w:color="auto" w:sz="4" w:space="0"/>
              <w:right w:val="single" w:color="auto" w:sz="4" w:space="0"/>
            </w:tcBorders>
          </w:tcPr>
          <w:p w:rsidRPr="00C4515C" w:rsidR="00DF11AB" w:rsidP="00B972E5" w:rsidRDefault="00DF11AB" w14:paraId="7B107EF3" w14:textId="40AFA0E1">
            <w:pPr>
              <w:spacing w:before="100" w:beforeAutospacing="1" w:after="100" w:afterAutospacing="1"/>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Q</w:t>
            </w:r>
            <w:r w:rsidRPr="00C4515C" w:rsidR="00103E19">
              <w:rPr>
                <w:rFonts w:asciiTheme="minorHAnsi" w:hAnsiTheme="minorHAnsi" w:eastAsiaTheme="minorEastAsia" w:cstheme="minorHAnsi"/>
                <w:sz w:val="22"/>
                <w:szCs w:val="22"/>
              </w:rPr>
              <w:t xml:space="preserve">9, </w:t>
            </w:r>
            <w:r w:rsidRPr="00C4515C" w:rsidR="00B972E5">
              <w:rPr>
                <w:rFonts w:asciiTheme="minorHAnsi" w:hAnsiTheme="minorHAnsi" w:eastAsiaTheme="minorEastAsia" w:cstheme="minorHAnsi"/>
                <w:sz w:val="22"/>
                <w:szCs w:val="22"/>
              </w:rPr>
              <w:t xml:space="preserve">14, 15, 22, </w:t>
            </w:r>
            <w:r w:rsidRPr="00C4515C" w:rsidR="005C27D4">
              <w:rPr>
                <w:rFonts w:asciiTheme="minorHAnsi" w:hAnsiTheme="minorHAnsi" w:eastAsiaTheme="minorEastAsia" w:cstheme="minorHAnsi"/>
                <w:sz w:val="22"/>
                <w:szCs w:val="22"/>
              </w:rPr>
              <w:t>43, 44, 45</w:t>
            </w:r>
          </w:p>
        </w:tc>
      </w:tr>
      <w:tr w:rsidRPr="00C4515C" w:rsidR="00DF11AB" w:rsidTr="0017304F" w14:paraId="5A2D41A9" w14:textId="77777777">
        <w:trPr>
          <w:trHeight w:val="805"/>
          <w:jc w:val="center"/>
        </w:trPr>
        <w:tc>
          <w:tcPr>
            <w:tcW w:w="4202" w:type="pct"/>
            <w:tcBorders>
              <w:top w:val="single" w:color="auto" w:sz="4" w:space="0"/>
              <w:left w:val="single" w:color="auto" w:sz="4" w:space="0"/>
              <w:bottom w:val="single" w:color="auto" w:sz="4" w:space="0"/>
              <w:right w:val="single" w:color="auto" w:sz="4" w:space="0"/>
            </w:tcBorders>
          </w:tcPr>
          <w:p w:rsidRPr="00C4515C" w:rsidR="00DF11AB" w:rsidP="36B31C31" w:rsidRDefault="00DF11AB" w14:paraId="1E384DEB" w14:textId="3203794C">
            <w:pPr>
              <w:spacing w:after="100" w:afterAutospacing="1"/>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Percentage of students ages 12</w:t>
            </w:r>
            <w:r w:rsidR="00B35354">
              <w:rPr>
                <w:rFonts w:asciiTheme="minorHAnsi" w:hAnsiTheme="minorHAnsi" w:eastAsiaTheme="minorEastAsia" w:cstheme="minorHAnsi"/>
                <w:sz w:val="22"/>
                <w:szCs w:val="22"/>
              </w:rPr>
              <w:t xml:space="preserve"> to </w:t>
            </w:r>
            <w:r w:rsidRPr="00C4515C">
              <w:rPr>
                <w:rFonts w:asciiTheme="minorHAnsi" w:hAnsiTheme="minorHAnsi" w:eastAsiaTheme="minorEastAsia" w:cstheme="minorHAnsi"/>
                <w:sz w:val="22"/>
                <w:szCs w:val="22"/>
              </w:rPr>
              <w:t>18 who reported being bullied at school, by student reports of personal fear, avoidance behaviors, fighting, and weapon carrying at school, and type of bullying</w:t>
            </w:r>
          </w:p>
        </w:tc>
        <w:tc>
          <w:tcPr>
            <w:tcW w:w="798" w:type="pct"/>
            <w:tcBorders>
              <w:top w:val="single" w:color="auto" w:sz="4" w:space="0"/>
              <w:left w:val="single" w:color="auto" w:sz="4" w:space="0"/>
              <w:bottom w:val="single" w:color="auto" w:sz="4" w:space="0"/>
              <w:right w:val="single" w:color="auto" w:sz="4" w:space="0"/>
            </w:tcBorders>
          </w:tcPr>
          <w:p w:rsidRPr="00C4515C" w:rsidR="00DF11AB" w:rsidP="00B972E5" w:rsidRDefault="00D952F7" w14:paraId="7111FD3F" w14:textId="64E7F71F">
            <w:pPr>
              <w:spacing w:after="100" w:afterAutospacing="1"/>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Q21,</w:t>
            </w:r>
            <w:r w:rsidRPr="00C4515C" w:rsidR="00BC0B1E">
              <w:rPr>
                <w:rFonts w:asciiTheme="minorHAnsi" w:hAnsiTheme="minorHAnsi" w:eastAsiaTheme="minorEastAsia" w:cstheme="minorHAnsi"/>
                <w:sz w:val="22"/>
                <w:szCs w:val="22"/>
              </w:rPr>
              <w:t xml:space="preserve"> </w:t>
            </w:r>
            <w:r w:rsidRPr="00C4515C" w:rsidR="00B972E5">
              <w:rPr>
                <w:rFonts w:asciiTheme="minorHAnsi" w:hAnsiTheme="minorHAnsi" w:eastAsiaTheme="minorEastAsia" w:cstheme="minorHAnsi"/>
                <w:sz w:val="22"/>
                <w:szCs w:val="22"/>
              </w:rPr>
              <w:t>22,</w:t>
            </w:r>
            <w:r w:rsidRPr="00C4515C" w:rsidR="00913293">
              <w:rPr>
                <w:rFonts w:asciiTheme="minorHAnsi" w:hAnsiTheme="minorHAnsi" w:eastAsiaTheme="minorEastAsia" w:cstheme="minorHAnsi"/>
                <w:sz w:val="22"/>
                <w:szCs w:val="22"/>
              </w:rPr>
              <w:t xml:space="preserve"> </w:t>
            </w:r>
            <w:r w:rsidRPr="00C4515C" w:rsidR="00B972E5">
              <w:rPr>
                <w:rFonts w:asciiTheme="minorHAnsi" w:hAnsiTheme="minorHAnsi" w:eastAsiaTheme="minorEastAsia" w:cstheme="minorHAnsi"/>
                <w:sz w:val="22"/>
                <w:szCs w:val="22"/>
              </w:rPr>
              <w:t>3</w:t>
            </w:r>
            <w:r w:rsidRPr="00C4515C" w:rsidR="009C6DDA">
              <w:rPr>
                <w:rFonts w:asciiTheme="minorHAnsi" w:hAnsiTheme="minorHAnsi" w:eastAsiaTheme="minorEastAsia" w:cstheme="minorHAnsi"/>
                <w:sz w:val="22"/>
                <w:szCs w:val="22"/>
              </w:rPr>
              <w:t>6</w:t>
            </w:r>
            <w:r w:rsidRPr="00C4515C" w:rsidR="00B972E5">
              <w:rPr>
                <w:rFonts w:asciiTheme="minorHAnsi" w:hAnsiTheme="minorHAnsi" w:eastAsiaTheme="minorEastAsia" w:cstheme="minorHAnsi"/>
                <w:sz w:val="22"/>
                <w:szCs w:val="22"/>
              </w:rPr>
              <w:t xml:space="preserve">, </w:t>
            </w:r>
            <w:r w:rsidRPr="00C4515C" w:rsidR="009C6DDA">
              <w:rPr>
                <w:rFonts w:asciiTheme="minorHAnsi" w:hAnsiTheme="minorHAnsi" w:eastAsiaTheme="minorEastAsia" w:cstheme="minorHAnsi"/>
                <w:sz w:val="22"/>
                <w:szCs w:val="22"/>
              </w:rPr>
              <w:t>37</w:t>
            </w:r>
            <w:r w:rsidRPr="00C4515C" w:rsidR="00B972E5">
              <w:rPr>
                <w:rFonts w:asciiTheme="minorHAnsi" w:hAnsiTheme="minorHAnsi" w:eastAsiaTheme="minorEastAsia" w:cstheme="minorHAnsi"/>
                <w:sz w:val="22"/>
                <w:szCs w:val="22"/>
              </w:rPr>
              <w:t xml:space="preserve">, </w:t>
            </w:r>
            <w:r w:rsidRPr="00C4515C" w:rsidR="00025DA0">
              <w:rPr>
                <w:rFonts w:asciiTheme="minorHAnsi" w:hAnsiTheme="minorHAnsi" w:eastAsiaTheme="minorEastAsia" w:cstheme="minorHAnsi"/>
                <w:sz w:val="22"/>
                <w:szCs w:val="22"/>
              </w:rPr>
              <w:t xml:space="preserve">38, 39, 40, </w:t>
            </w:r>
            <w:r w:rsidRPr="00C4515C" w:rsidR="00B972E5">
              <w:rPr>
                <w:rFonts w:asciiTheme="minorHAnsi" w:hAnsiTheme="minorHAnsi" w:eastAsiaTheme="minorEastAsia" w:cstheme="minorHAnsi"/>
                <w:sz w:val="22"/>
                <w:szCs w:val="22"/>
              </w:rPr>
              <w:t>41</w:t>
            </w:r>
          </w:p>
        </w:tc>
      </w:tr>
    </w:tbl>
    <w:p w:rsidRPr="00125435" w:rsidR="00DF11AB" w:rsidP="0017304F" w:rsidRDefault="00DF11AB" w14:paraId="153CE044" w14:textId="77777777">
      <w:pPr>
        <w:spacing w:after="100" w:afterAutospacing="1"/>
        <w:ind w:left="450" w:right="360" w:firstLine="1"/>
        <w:rPr>
          <w:rFonts w:asciiTheme="minorHAnsi" w:hAnsiTheme="minorHAnsi" w:eastAsiaTheme="minorEastAsia" w:cstheme="minorHAnsi"/>
          <w:sz w:val="16"/>
          <w:szCs w:val="16"/>
        </w:rPr>
      </w:pPr>
      <w:r w:rsidRPr="00125435">
        <w:rPr>
          <w:rFonts w:asciiTheme="minorHAnsi" w:hAnsiTheme="minorHAnsi" w:eastAsiaTheme="minorEastAsia" w:cstheme="minorHAnsi"/>
          <w:sz w:val="16"/>
          <w:szCs w:val="16"/>
          <w:vertAlign w:val="superscript"/>
        </w:rPr>
        <w:t>1</w:t>
      </w:r>
      <w:r w:rsidRPr="00125435">
        <w:rPr>
          <w:rFonts w:asciiTheme="minorHAnsi" w:hAnsiTheme="minorHAnsi" w:eastAsiaTheme="minorEastAsia" w:cstheme="minorHAnsi"/>
          <w:sz w:val="16"/>
          <w:szCs w:val="16"/>
        </w:rPr>
        <w:t xml:space="preserve"> Some data that refer to student characteristics like sex, race, and household income are covered in the NCVS survey and not in the SCS. School characteristics for the schools of attendance reported by respondents are taken from NCES’s Common Core of Data (CCD) and Private School Universe Survey (PSS).  </w:t>
      </w:r>
    </w:p>
    <w:p w:rsidRPr="00C4515C" w:rsidR="00DF11AB" w:rsidP="00FD5894" w:rsidRDefault="00B05B42" w14:paraId="5B744B72" w14:textId="77777777">
      <w:pPr>
        <w:autoSpaceDE/>
        <w:autoSpaceDN/>
        <w:adjustRightInd/>
        <w:ind w:left="450" w:firstLine="2"/>
        <w:rPr>
          <w:rStyle w:val="Level1Char"/>
          <w:rFonts w:asciiTheme="minorHAnsi" w:hAnsiTheme="minorHAnsi" w:eastAsiaTheme="minorEastAsia" w:cstheme="minorHAnsi"/>
          <w:b/>
          <w:bCs/>
          <w:sz w:val="22"/>
          <w:szCs w:val="22"/>
        </w:rPr>
      </w:pPr>
      <w:r w:rsidRPr="00C4515C">
        <w:rPr>
          <w:rStyle w:val="Level1Char"/>
          <w:rFonts w:asciiTheme="minorHAnsi" w:hAnsiTheme="minorHAnsi" w:eastAsiaTheme="minorEastAsia" w:cstheme="minorHAnsi"/>
          <w:b/>
          <w:bCs/>
          <w:sz w:val="22"/>
          <w:szCs w:val="22"/>
        </w:rPr>
        <w:t>Use by Federal Stakeholders</w:t>
      </w:r>
    </w:p>
    <w:p w:rsidR="00A6294B" w:rsidP="001D4E37" w:rsidRDefault="00B05B42" w14:paraId="3EDD4891" w14:textId="27DAF450">
      <w:pPr>
        <w:ind w:left="446"/>
        <w:rPr>
          <w:rFonts w:asciiTheme="minorHAnsi" w:hAnsiTheme="minorHAnsi" w:eastAsiaTheme="minorEastAsia" w:cstheme="minorHAnsi"/>
          <w:sz w:val="22"/>
          <w:szCs w:val="22"/>
        </w:rPr>
      </w:pPr>
      <w:r w:rsidRPr="00C4515C">
        <w:rPr>
          <w:rStyle w:val="Level1Char"/>
          <w:rFonts w:asciiTheme="minorHAnsi" w:hAnsiTheme="minorHAnsi" w:eastAsiaTheme="minorEastAsia" w:cstheme="minorHAnsi"/>
          <w:sz w:val="22"/>
          <w:szCs w:val="22"/>
        </w:rPr>
        <w:t xml:space="preserve">NCES </w:t>
      </w:r>
      <w:r w:rsidRPr="00C4515C" w:rsidR="004634F5">
        <w:rPr>
          <w:rStyle w:val="Level1Char"/>
          <w:rFonts w:asciiTheme="minorHAnsi" w:hAnsiTheme="minorHAnsi" w:eastAsiaTheme="minorEastAsia" w:cstheme="minorHAnsi"/>
          <w:sz w:val="22"/>
          <w:szCs w:val="22"/>
        </w:rPr>
        <w:t>and BJS use the SCS data to meet</w:t>
      </w:r>
      <w:r w:rsidRPr="00C4515C" w:rsidR="00130096">
        <w:rPr>
          <w:rStyle w:val="Level1Char"/>
          <w:rFonts w:asciiTheme="minorHAnsi" w:hAnsiTheme="minorHAnsi" w:eastAsiaTheme="minorEastAsia" w:cstheme="minorHAnsi"/>
          <w:sz w:val="22"/>
          <w:szCs w:val="22"/>
        </w:rPr>
        <w:t xml:space="preserve"> the</w:t>
      </w:r>
      <w:r w:rsidRPr="00C4515C" w:rsidR="00AD26D0">
        <w:rPr>
          <w:rStyle w:val="Level1Char"/>
          <w:rFonts w:asciiTheme="minorHAnsi" w:hAnsiTheme="minorHAnsi" w:eastAsiaTheme="minorEastAsia" w:cstheme="minorHAnsi"/>
          <w:sz w:val="22"/>
          <w:szCs w:val="22"/>
        </w:rPr>
        <w:t xml:space="preserve"> reporting authorizations</w:t>
      </w:r>
      <w:r w:rsidRPr="00C4515C" w:rsidR="00B972E5">
        <w:rPr>
          <w:rStyle w:val="Level1Char"/>
          <w:rFonts w:asciiTheme="minorHAnsi" w:hAnsiTheme="minorHAnsi" w:eastAsiaTheme="minorEastAsia" w:cstheme="minorHAnsi"/>
          <w:sz w:val="22"/>
          <w:szCs w:val="22"/>
        </w:rPr>
        <w:t xml:space="preserve"> of both</w:t>
      </w:r>
      <w:r w:rsidRPr="00C4515C" w:rsidR="008B4FEB">
        <w:rPr>
          <w:rStyle w:val="Level1Char"/>
          <w:rFonts w:asciiTheme="minorHAnsi" w:hAnsiTheme="minorHAnsi" w:eastAsiaTheme="minorEastAsia" w:cstheme="minorHAnsi"/>
          <w:sz w:val="22"/>
          <w:szCs w:val="22"/>
        </w:rPr>
        <w:t xml:space="preserve"> agencies. </w:t>
      </w:r>
      <w:r w:rsidRPr="00C4515C" w:rsidR="00162DB5">
        <w:rPr>
          <w:rStyle w:val="Level1Char"/>
          <w:rFonts w:asciiTheme="minorHAnsi" w:hAnsiTheme="minorHAnsi" w:eastAsiaTheme="minorEastAsia" w:cstheme="minorHAnsi"/>
          <w:sz w:val="22"/>
          <w:szCs w:val="22"/>
        </w:rPr>
        <w:t xml:space="preserve">NCES is mandated to disseminate statistics </w:t>
      </w:r>
      <w:r w:rsidRPr="00C4515C" w:rsidR="00AD26D0">
        <w:rPr>
          <w:rStyle w:val="Level1Char"/>
          <w:rFonts w:asciiTheme="minorHAnsi" w:hAnsiTheme="minorHAnsi" w:eastAsiaTheme="minorEastAsia" w:cstheme="minorHAnsi"/>
          <w:sz w:val="22"/>
          <w:szCs w:val="22"/>
        </w:rPr>
        <w:t>on school crime. BJS is authorized</w:t>
      </w:r>
      <w:r w:rsidRPr="00C4515C" w:rsidR="00162DB5">
        <w:rPr>
          <w:rStyle w:val="Level1Char"/>
          <w:rFonts w:asciiTheme="minorHAnsi" w:hAnsiTheme="minorHAnsi" w:eastAsiaTheme="minorEastAsia" w:cstheme="minorHAnsi"/>
          <w:sz w:val="22"/>
          <w:szCs w:val="22"/>
        </w:rPr>
        <w:t xml:space="preserve"> to disseminate statistics on the attributes of crime, which includes the location that the crime occurred and the population it affects. </w:t>
      </w:r>
      <w:r w:rsidRPr="00C4515C" w:rsidR="004634F5">
        <w:rPr>
          <w:rStyle w:val="Level1Char"/>
          <w:rFonts w:asciiTheme="minorHAnsi" w:hAnsiTheme="minorHAnsi" w:eastAsiaTheme="minorEastAsia" w:cstheme="minorHAnsi"/>
          <w:sz w:val="22"/>
          <w:szCs w:val="22"/>
        </w:rPr>
        <w:t>Together they issue a joint annual report,</w:t>
      </w:r>
      <w:r w:rsidRPr="00C4515C" w:rsidR="004634F5">
        <w:rPr>
          <w:rFonts w:asciiTheme="minorHAnsi" w:hAnsiTheme="minorHAnsi" w:eastAsiaTheme="minorEastAsia" w:cstheme="minorHAnsi"/>
          <w:i/>
          <w:iCs/>
          <w:sz w:val="22"/>
          <w:szCs w:val="22"/>
        </w:rPr>
        <w:t xml:space="preserve"> </w:t>
      </w:r>
      <w:r w:rsidRPr="00C4515C" w:rsidR="000D4B32">
        <w:rPr>
          <w:rFonts w:asciiTheme="minorHAnsi" w:hAnsiTheme="minorHAnsi" w:eastAsiaTheme="minorEastAsia" w:cstheme="minorHAnsi"/>
          <w:i/>
          <w:iCs/>
          <w:sz w:val="22"/>
          <w:szCs w:val="22"/>
        </w:rPr>
        <w:t xml:space="preserve">Report on </w:t>
      </w:r>
      <w:r w:rsidRPr="00C4515C" w:rsidR="004634F5">
        <w:rPr>
          <w:rFonts w:asciiTheme="minorHAnsi" w:hAnsiTheme="minorHAnsi" w:eastAsiaTheme="minorEastAsia" w:cstheme="minorHAnsi"/>
          <w:i/>
          <w:iCs/>
          <w:sz w:val="22"/>
          <w:szCs w:val="22"/>
        </w:rPr>
        <w:t>Indicators of School Crime and Safety</w:t>
      </w:r>
      <w:r w:rsidRPr="00C4515C" w:rsidR="008B4FEB">
        <w:rPr>
          <w:rFonts w:asciiTheme="minorHAnsi" w:hAnsiTheme="minorHAnsi" w:eastAsiaTheme="minorEastAsia" w:cstheme="minorHAnsi"/>
          <w:sz w:val="22"/>
          <w:szCs w:val="22"/>
        </w:rPr>
        <w:t xml:space="preserve">. </w:t>
      </w:r>
      <w:r w:rsidRPr="00C4515C" w:rsidR="004634F5">
        <w:rPr>
          <w:rFonts w:asciiTheme="minorHAnsi" w:hAnsiTheme="minorHAnsi" w:eastAsiaTheme="minorEastAsia" w:cstheme="minorHAnsi"/>
          <w:sz w:val="22"/>
          <w:szCs w:val="22"/>
        </w:rPr>
        <w:t xml:space="preserve">The latest report is available at </w:t>
      </w:r>
      <w:hyperlink w:history="1" r:id="rId11">
        <w:r w:rsidRPr="00C4515C" w:rsidR="000410D1">
          <w:rPr>
            <w:rStyle w:val="Hyperlink"/>
            <w:rFonts w:asciiTheme="minorHAnsi" w:hAnsiTheme="minorHAnsi" w:eastAsiaTheme="minorEastAsia" w:cstheme="minorHAnsi"/>
            <w:sz w:val="22"/>
            <w:szCs w:val="22"/>
          </w:rPr>
          <w:t>https://bjs.ojp.gov/library/publications/report-indicators-school-crime-and-safety-2020</w:t>
        </w:r>
      </w:hyperlink>
      <w:r w:rsidRPr="00C4515C" w:rsidR="000410D1">
        <w:rPr>
          <w:rFonts w:asciiTheme="minorHAnsi" w:hAnsiTheme="minorHAnsi" w:eastAsiaTheme="minorEastAsia" w:cstheme="minorHAnsi"/>
          <w:sz w:val="22"/>
          <w:szCs w:val="22"/>
        </w:rPr>
        <w:t xml:space="preserve">. </w:t>
      </w:r>
      <w:hyperlink w:history="1"/>
      <w:r w:rsidRPr="00C4515C" w:rsidR="00940DC7">
        <w:rPr>
          <w:rFonts w:asciiTheme="minorHAnsi" w:hAnsiTheme="minorHAnsi" w:eastAsiaTheme="minorEastAsia" w:cstheme="minorHAnsi"/>
          <w:sz w:val="22"/>
          <w:szCs w:val="22"/>
        </w:rPr>
        <w:t>Eight</w:t>
      </w:r>
      <w:r w:rsidRPr="00C4515C" w:rsidR="00797EB7">
        <w:rPr>
          <w:rFonts w:asciiTheme="minorHAnsi" w:hAnsiTheme="minorHAnsi" w:eastAsiaTheme="minorEastAsia" w:cstheme="minorHAnsi"/>
          <w:sz w:val="22"/>
          <w:szCs w:val="22"/>
        </w:rPr>
        <w:t xml:space="preserve"> </w:t>
      </w:r>
      <w:r w:rsidRPr="00C4515C" w:rsidR="005834EE">
        <w:rPr>
          <w:rFonts w:asciiTheme="minorHAnsi" w:hAnsiTheme="minorHAnsi" w:eastAsiaTheme="minorEastAsia" w:cstheme="minorHAnsi"/>
          <w:sz w:val="22"/>
          <w:szCs w:val="22"/>
        </w:rPr>
        <w:t>of the 2</w:t>
      </w:r>
      <w:r w:rsidRPr="00C4515C" w:rsidR="00C46142">
        <w:rPr>
          <w:rFonts w:asciiTheme="minorHAnsi" w:hAnsiTheme="minorHAnsi" w:eastAsiaTheme="minorEastAsia" w:cstheme="minorHAnsi"/>
          <w:sz w:val="22"/>
          <w:szCs w:val="22"/>
        </w:rPr>
        <w:t>2</w:t>
      </w:r>
      <w:r w:rsidRPr="00C4515C" w:rsidR="000A406C">
        <w:rPr>
          <w:rFonts w:asciiTheme="minorHAnsi" w:hAnsiTheme="minorHAnsi" w:eastAsiaTheme="minorEastAsia" w:cstheme="minorHAnsi"/>
          <w:sz w:val="22"/>
          <w:szCs w:val="22"/>
        </w:rPr>
        <w:t xml:space="preserve"> indica</w:t>
      </w:r>
      <w:r w:rsidRPr="00C4515C" w:rsidR="005834EE">
        <w:rPr>
          <w:rFonts w:asciiTheme="minorHAnsi" w:hAnsiTheme="minorHAnsi" w:eastAsiaTheme="minorEastAsia" w:cstheme="minorHAnsi"/>
          <w:sz w:val="22"/>
          <w:szCs w:val="22"/>
        </w:rPr>
        <w:t>tors in this report include</w:t>
      </w:r>
      <w:r w:rsidRPr="00C4515C" w:rsidR="000A406C">
        <w:rPr>
          <w:rFonts w:asciiTheme="minorHAnsi" w:hAnsiTheme="minorHAnsi" w:eastAsiaTheme="minorEastAsia" w:cstheme="minorHAnsi"/>
          <w:sz w:val="22"/>
          <w:szCs w:val="22"/>
        </w:rPr>
        <w:t xml:space="preserve"> SCS data</w:t>
      </w:r>
      <w:r w:rsidR="0017304F">
        <w:rPr>
          <w:rFonts w:asciiTheme="minorHAnsi" w:hAnsiTheme="minorHAnsi" w:eastAsiaTheme="minorEastAsia" w:cstheme="minorHAnsi"/>
          <w:sz w:val="22"/>
          <w:szCs w:val="22"/>
        </w:rPr>
        <w:t>:</w:t>
      </w:r>
    </w:p>
    <w:p w:rsidRPr="00C4515C" w:rsidR="00491C55" w:rsidP="00C64014" w:rsidRDefault="00491C55" w14:paraId="7493CA2D" w14:textId="52BC951D">
      <w:pPr>
        <w:pStyle w:val="ListParagraph"/>
        <w:numPr>
          <w:ilvl w:val="0"/>
          <w:numId w:val="13"/>
        </w:numPr>
        <w:spacing w:after="100" w:afterAutospacing="1"/>
        <w:ind w:left="1080" w:hanging="27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Prevalence of Victimization at School</w:t>
      </w:r>
    </w:p>
    <w:p w:rsidRPr="00C4515C" w:rsidR="00491C55" w:rsidP="00C64014" w:rsidRDefault="00491C55" w14:paraId="64C021F9" w14:textId="27B16AC1">
      <w:pPr>
        <w:pStyle w:val="ListParagraph"/>
        <w:numPr>
          <w:ilvl w:val="0"/>
          <w:numId w:val="13"/>
        </w:numPr>
        <w:spacing w:after="240" w:afterAutospacing="1"/>
        <w:ind w:left="1080" w:hanging="27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Students’ Reports of Gangs at School</w:t>
      </w:r>
    </w:p>
    <w:p w:rsidRPr="00C4515C" w:rsidR="00491C55" w:rsidP="00C64014" w:rsidRDefault="00491C55" w14:paraId="39E43096" w14:textId="5C593332">
      <w:pPr>
        <w:pStyle w:val="ListParagraph"/>
        <w:numPr>
          <w:ilvl w:val="0"/>
          <w:numId w:val="13"/>
        </w:numPr>
        <w:spacing w:after="240" w:afterAutospacing="1"/>
        <w:ind w:left="1080" w:hanging="27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Students’ Reports of Being Called Hate-Related Words and Seeing Hate-Related Graffiti</w:t>
      </w:r>
    </w:p>
    <w:p w:rsidR="00491C55" w:rsidP="00C64014" w:rsidRDefault="00491C55" w14:paraId="0228D040" w14:textId="15DB603B">
      <w:pPr>
        <w:pStyle w:val="ListParagraph"/>
        <w:numPr>
          <w:ilvl w:val="0"/>
          <w:numId w:val="13"/>
        </w:numPr>
        <w:spacing w:after="240" w:afterAutospacing="1"/>
        <w:ind w:left="1080" w:hanging="27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Bullying at School and Cyber-Bullying Anywhere</w:t>
      </w:r>
    </w:p>
    <w:p w:rsidRPr="001D4E37" w:rsidR="001D4E37" w:rsidP="00C64014" w:rsidRDefault="001D4E37" w14:paraId="1C076FA2" w14:textId="77777777">
      <w:pPr>
        <w:spacing w:after="240" w:afterAutospacing="1"/>
        <w:ind w:left="1080" w:hanging="270"/>
        <w:rPr>
          <w:rFonts w:asciiTheme="minorHAnsi" w:hAnsiTheme="minorHAnsi" w:eastAsiaTheme="minorEastAsia" w:cstheme="minorHAnsi"/>
          <w:sz w:val="22"/>
          <w:szCs w:val="22"/>
        </w:rPr>
      </w:pPr>
    </w:p>
    <w:p w:rsidRPr="00C4515C" w:rsidR="00491C55" w:rsidP="00C64014" w:rsidRDefault="00491C55" w14:paraId="72C9CDFC" w14:textId="62E89BBD">
      <w:pPr>
        <w:pStyle w:val="ListParagraph"/>
        <w:numPr>
          <w:ilvl w:val="0"/>
          <w:numId w:val="13"/>
        </w:numPr>
        <w:spacing w:after="240" w:afterAutospacing="1"/>
        <w:ind w:left="1080" w:hanging="27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lastRenderedPageBreak/>
        <w:t>Students Carrying Weapons on School Property and Anywhere and Students’ Access to Firearms</w:t>
      </w:r>
    </w:p>
    <w:p w:rsidRPr="00C4515C" w:rsidR="00491C55" w:rsidP="00C64014" w:rsidRDefault="00491C55" w14:paraId="42F0393B" w14:textId="0C983259">
      <w:pPr>
        <w:pStyle w:val="ListParagraph"/>
        <w:numPr>
          <w:ilvl w:val="0"/>
          <w:numId w:val="13"/>
        </w:numPr>
        <w:spacing w:after="240" w:afterAutospacing="1"/>
        <w:ind w:left="1080" w:hanging="27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 xml:space="preserve">Students’ Perceptions of Personal Safety at School and Away </w:t>
      </w:r>
      <w:r w:rsidRPr="00C4515C" w:rsidR="00C80D5A">
        <w:rPr>
          <w:rFonts w:asciiTheme="minorHAnsi" w:hAnsiTheme="minorHAnsi" w:eastAsiaTheme="minorEastAsia" w:cstheme="minorHAnsi"/>
          <w:sz w:val="22"/>
          <w:szCs w:val="22"/>
        </w:rPr>
        <w:t>from</w:t>
      </w:r>
      <w:r w:rsidRPr="00C4515C">
        <w:rPr>
          <w:rFonts w:asciiTheme="minorHAnsi" w:hAnsiTheme="minorHAnsi" w:eastAsiaTheme="minorEastAsia" w:cstheme="minorHAnsi"/>
          <w:sz w:val="22"/>
          <w:szCs w:val="22"/>
        </w:rPr>
        <w:t xml:space="preserve"> School</w:t>
      </w:r>
    </w:p>
    <w:p w:rsidRPr="00C4515C" w:rsidR="00491C55" w:rsidP="00C64014" w:rsidRDefault="00491C55" w14:paraId="14D06095" w14:textId="1DA22FB1">
      <w:pPr>
        <w:pStyle w:val="ListParagraph"/>
        <w:numPr>
          <w:ilvl w:val="0"/>
          <w:numId w:val="13"/>
        </w:numPr>
        <w:spacing w:after="240" w:afterAutospacing="1"/>
        <w:ind w:left="1080" w:hanging="27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Students’ Reports of Avoiding School Activities or Specific Places in School</w:t>
      </w:r>
    </w:p>
    <w:p w:rsidR="00A03605" w:rsidP="00C64014" w:rsidRDefault="00491C55" w14:paraId="485665AC" w14:textId="720C5CCF">
      <w:pPr>
        <w:pStyle w:val="ListParagraph"/>
        <w:numPr>
          <w:ilvl w:val="0"/>
          <w:numId w:val="13"/>
        </w:numPr>
        <w:spacing w:after="240" w:afterAutospacing="1"/>
        <w:ind w:left="1080" w:hanging="27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Students’ Reports of Safety and Security Measures Observed at School</w:t>
      </w:r>
    </w:p>
    <w:p w:rsidR="00A03605" w:rsidP="00A03605" w:rsidRDefault="00A03605" w14:paraId="2578359C" w14:textId="77777777">
      <w:pPr>
        <w:pStyle w:val="ListParagraph"/>
        <w:spacing w:after="240" w:afterAutospacing="1"/>
        <w:rPr>
          <w:rFonts w:asciiTheme="minorHAnsi" w:hAnsiTheme="minorHAnsi" w:eastAsiaTheme="minorEastAsia" w:cstheme="minorHAnsi"/>
          <w:sz w:val="22"/>
          <w:szCs w:val="22"/>
        </w:rPr>
      </w:pPr>
    </w:p>
    <w:p w:rsidRPr="00A03605" w:rsidR="00DF11AB" w:rsidP="00A03605" w:rsidRDefault="00A03605" w14:paraId="0160150D" w14:textId="0F788524">
      <w:pPr>
        <w:pStyle w:val="ListParagraph"/>
        <w:spacing w:after="240" w:afterAutospacing="1"/>
        <w:ind w:left="450"/>
        <w:rPr>
          <w:rStyle w:val="Level1Char"/>
          <w:rFonts w:asciiTheme="minorHAnsi" w:hAnsiTheme="minorHAnsi" w:eastAsiaTheme="minorEastAsia" w:cstheme="minorHAnsi"/>
          <w:sz w:val="22"/>
          <w:szCs w:val="22"/>
        </w:rPr>
      </w:pPr>
      <w:r>
        <w:rPr>
          <w:rFonts w:asciiTheme="minorHAnsi" w:hAnsiTheme="minorHAnsi" w:eastAsiaTheme="minorEastAsia" w:cstheme="minorHAnsi"/>
          <w:sz w:val="22"/>
          <w:szCs w:val="22"/>
        </w:rPr>
        <w:t xml:space="preserve">In addition, </w:t>
      </w:r>
      <w:r w:rsidR="00365E16">
        <w:rPr>
          <w:rFonts w:asciiTheme="minorHAnsi" w:hAnsiTheme="minorHAnsi" w:eastAsiaTheme="minorEastAsia" w:cstheme="minorHAnsi"/>
          <w:sz w:val="22"/>
          <w:szCs w:val="22"/>
        </w:rPr>
        <w:t>one of the indicators</w:t>
      </w:r>
      <w:r w:rsidRPr="00A03605">
        <w:rPr>
          <w:rFonts w:asciiTheme="minorHAnsi" w:hAnsiTheme="minorHAnsi" w:eastAsiaTheme="minorEastAsia" w:cstheme="minorHAnsi"/>
          <w:sz w:val="22"/>
          <w:szCs w:val="22"/>
        </w:rPr>
        <w:t>, “Incidence of Victimization at School and Away from School,” is the primary mechanism for releasing annual estimates from the NCVS for violence and theft against students ages 12 to 18.</w:t>
      </w:r>
    </w:p>
    <w:p w:rsidRPr="00C4515C" w:rsidR="00DF11AB" w:rsidP="36B31C31" w:rsidRDefault="004634F5" w14:paraId="5E143584" w14:textId="5032EB1B">
      <w:pPr>
        <w:ind w:left="450"/>
        <w:rPr>
          <w:rFonts w:asciiTheme="minorHAnsi" w:hAnsiTheme="minorHAnsi" w:eastAsiaTheme="minorEastAsia" w:cstheme="minorHAnsi"/>
          <w:sz w:val="22"/>
          <w:szCs w:val="22"/>
        </w:rPr>
      </w:pPr>
      <w:r w:rsidRPr="00C4515C">
        <w:rPr>
          <w:rStyle w:val="Level1Char"/>
          <w:rFonts w:asciiTheme="minorHAnsi" w:hAnsiTheme="minorHAnsi" w:eastAsiaTheme="minorEastAsia" w:cstheme="minorHAnsi"/>
          <w:sz w:val="22"/>
          <w:szCs w:val="22"/>
        </w:rPr>
        <w:t xml:space="preserve">NCES also </w:t>
      </w:r>
      <w:r w:rsidRPr="00C4515C" w:rsidR="00B05B42">
        <w:rPr>
          <w:rStyle w:val="Level1Char"/>
          <w:rFonts w:asciiTheme="minorHAnsi" w:hAnsiTheme="minorHAnsi" w:eastAsiaTheme="minorEastAsia" w:cstheme="minorHAnsi"/>
          <w:sz w:val="22"/>
          <w:szCs w:val="22"/>
        </w:rPr>
        <w:t>uses the</w:t>
      </w:r>
      <w:r w:rsidR="00A03605">
        <w:rPr>
          <w:rStyle w:val="Level1Char"/>
          <w:rFonts w:asciiTheme="minorHAnsi" w:hAnsiTheme="minorHAnsi" w:eastAsiaTheme="minorEastAsia" w:cstheme="minorHAnsi"/>
          <w:sz w:val="22"/>
          <w:szCs w:val="22"/>
        </w:rPr>
        <w:t xml:space="preserve"> SCS </w:t>
      </w:r>
      <w:r w:rsidRPr="00C4515C" w:rsidR="00B05B42">
        <w:rPr>
          <w:rStyle w:val="Level1Char"/>
          <w:rFonts w:asciiTheme="minorHAnsi" w:hAnsiTheme="minorHAnsi" w:eastAsiaTheme="minorEastAsia" w:cstheme="minorHAnsi"/>
          <w:sz w:val="22"/>
          <w:szCs w:val="22"/>
        </w:rPr>
        <w:t xml:space="preserve">data to </w:t>
      </w:r>
      <w:r w:rsidR="00947C95">
        <w:rPr>
          <w:rStyle w:val="Level1Char"/>
          <w:rFonts w:asciiTheme="minorHAnsi" w:hAnsiTheme="minorHAnsi" w:eastAsiaTheme="minorEastAsia" w:cstheme="minorHAnsi"/>
          <w:sz w:val="22"/>
          <w:szCs w:val="22"/>
        </w:rPr>
        <w:t>produce</w:t>
      </w:r>
      <w:r w:rsidRPr="00C4515C" w:rsidR="00947C95">
        <w:rPr>
          <w:rStyle w:val="Level1Char"/>
          <w:rFonts w:asciiTheme="minorHAnsi" w:hAnsiTheme="minorHAnsi" w:eastAsiaTheme="minorEastAsia" w:cstheme="minorHAnsi"/>
          <w:sz w:val="22"/>
          <w:szCs w:val="22"/>
        </w:rPr>
        <w:t xml:space="preserve"> </w:t>
      </w:r>
      <w:r w:rsidRPr="00C4515C" w:rsidR="00B05B42">
        <w:rPr>
          <w:rStyle w:val="Level1Char"/>
          <w:rFonts w:asciiTheme="minorHAnsi" w:hAnsiTheme="minorHAnsi" w:eastAsiaTheme="minorEastAsia" w:cstheme="minorHAnsi"/>
          <w:sz w:val="22"/>
          <w:szCs w:val="22"/>
        </w:rPr>
        <w:t xml:space="preserve">other publications, such as </w:t>
      </w:r>
      <w:r w:rsidRPr="00C4515C" w:rsidR="00B05B42">
        <w:rPr>
          <w:rFonts w:asciiTheme="minorHAnsi" w:hAnsiTheme="minorHAnsi" w:eastAsiaTheme="minorEastAsia" w:cstheme="minorHAnsi"/>
          <w:i/>
          <w:iCs/>
          <w:sz w:val="22"/>
          <w:szCs w:val="22"/>
        </w:rPr>
        <w:t>The Condition of Education</w:t>
      </w:r>
      <w:r w:rsidRPr="00C4515C" w:rsidR="00B05B42">
        <w:rPr>
          <w:rStyle w:val="Level1Char"/>
          <w:rFonts w:asciiTheme="minorHAnsi" w:hAnsiTheme="minorHAnsi" w:eastAsiaTheme="minorEastAsia" w:cstheme="minorHAnsi"/>
          <w:sz w:val="22"/>
          <w:szCs w:val="22"/>
        </w:rPr>
        <w:t>, a congressionally mandated annual report that summarizes developments and trends in education using the latest available data.</w:t>
      </w:r>
      <w:r w:rsidRPr="00C4515C" w:rsidR="004C122F">
        <w:rPr>
          <w:rStyle w:val="Level1Char"/>
          <w:rFonts w:asciiTheme="minorHAnsi" w:hAnsiTheme="minorHAnsi" w:eastAsiaTheme="minorEastAsia" w:cstheme="minorHAnsi"/>
          <w:sz w:val="22"/>
          <w:szCs w:val="22"/>
        </w:rPr>
        <w:t xml:space="preserve"> </w:t>
      </w:r>
      <w:r w:rsidRPr="00C4515C" w:rsidR="00B05B42">
        <w:rPr>
          <w:rFonts w:asciiTheme="minorHAnsi" w:hAnsiTheme="minorHAnsi" w:eastAsiaTheme="minorEastAsia" w:cstheme="minorHAnsi"/>
          <w:sz w:val="22"/>
          <w:szCs w:val="22"/>
        </w:rPr>
        <w:t xml:space="preserve">Some of the </w:t>
      </w:r>
      <w:r w:rsidRPr="00C4515C" w:rsidR="00EA3A0F">
        <w:rPr>
          <w:rFonts w:asciiTheme="minorHAnsi" w:hAnsiTheme="minorHAnsi" w:eastAsiaTheme="minorEastAsia" w:cstheme="minorHAnsi"/>
          <w:sz w:val="22"/>
          <w:szCs w:val="22"/>
        </w:rPr>
        <w:t>other federal stakeholders</w:t>
      </w:r>
      <w:r w:rsidRPr="00C4515C" w:rsidR="00B05B42">
        <w:rPr>
          <w:rFonts w:asciiTheme="minorHAnsi" w:hAnsiTheme="minorHAnsi" w:eastAsiaTheme="minorEastAsia" w:cstheme="minorHAnsi"/>
          <w:sz w:val="22"/>
          <w:szCs w:val="22"/>
        </w:rPr>
        <w:t xml:space="preserve"> and the ways in which they use SCS data are as follows:</w:t>
      </w:r>
    </w:p>
    <w:p w:rsidRPr="00C4515C" w:rsidR="00DF11AB" w:rsidP="00DF11AB" w:rsidRDefault="00DF11AB" w14:paraId="4855DFB9" w14:textId="77777777">
      <w:pPr>
        <w:ind w:left="450"/>
        <w:rPr>
          <w:rFonts w:asciiTheme="minorHAnsi" w:hAnsiTheme="minorHAnsi" w:cstheme="minorHAnsi"/>
          <w:sz w:val="22"/>
          <w:szCs w:val="22"/>
        </w:rPr>
      </w:pPr>
      <w:r w:rsidRPr="00C4515C">
        <w:rPr>
          <w:rFonts w:asciiTheme="minorHAnsi" w:hAnsiTheme="minorHAnsi" w:cstheme="minorHAnsi"/>
          <w:sz w:val="22"/>
          <w:szCs w:val="22"/>
        </w:rPr>
        <w:tab/>
      </w:r>
      <w:r w:rsidRPr="00C4515C">
        <w:rPr>
          <w:rFonts w:asciiTheme="minorHAnsi" w:hAnsiTheme="minorHAnsi" w:cstheme="minorHAnsi"/>
          <w:sz w:val="22"/>
          <w:szCs w:val="22"/>
        </w:rPr>
        <w:tab/>
      </w:r>
    </w:p>
    <w:p w:rsidRPr="00C4515C" w:rsidR="00DF11AB" w:rsidP="36B31C31" w:rsidRDefault="00DF11AB" w14:paraId="21748830" w14:textId="33BDEA06">
      <w:pPr>
        <w:ind w:left="450"/>
        <w:rPr>
          <w:rFonts w:asciiTheme="minorHAnsi" w:hAnsiTheme="minorHAnsi" w:eastAsiaTheme="minorEastAsia" w:cstheme="minorHAnsi"/>
          <w:sz w:val="22"/>
          <w:szCs w:val="22"/>
        </w:rPr>
      </w:pPr>
      <w:r w:rsidRPr="00C4515C">
        <w:rPr>
          <w:rFonts w:asciiTheme="minorHAnsi" w:hAnsiTheme="minorHAnsi" w:cstheme="minorHAnsi"/>
          <w:sz w:val="22"/>
          <w:szCs w:val="22"/>
        </w:rPr>
        <w:tab/>
      </w:r>
      <w:r w:rsidRPr="00C4515C">
        <w:rPr>
          <w:rFonts w:asciiTheme="minorHAnsi" w:hAnsiTheme="minorHAnsi" w:cstheme="minorHAnsi"/>
          <w:sz w:val="22"/>
          <w:szCs w:val="22"/>
        </w:rPr>
        <w:tab/>
      </w:r>
      <w:r w:rsidRPr="00C4515C">
        <w:rPr>
          <w:rFonts w:asciiTheme="minorHAnsi" w:hAnsiTheme="minorHAnsi" w:cstheme="minorHAnsi"/>
          <w:sz w:val="22"/>
          <w:szCs w:val="22"/>
        </w:rPr>
        <w:tab/>
      </w:r>
      <w:r w:rsidRPr="00C4515C" w:rsidR="00B05B42">
        <w:rPr>
          <w:rFonts w:asciiTheme="minorHAnsi" w:hAnsiTheme="minorHAnsi" w:eastAsiaTheme="minorEastAsia" w:cstheme="minorHAnsi"/>
          <w:sz w:val="22"/>
          <w:szCs w:val="22"/>
          <w:u w:val="single"/>
        </w:rPr>
        <w:t>Congress</w:t>
      </w:r>
      <w:r w:rsidRPr="00C4515C" w:rsidR="00B05B42">
        <w:rPr>
          <w:rFonts w:asciiTheme="minorHAnsi" w:hAnsiTheme="minorHAnsi" w:eastAsiaTheme="minorEastAsia" w:cstheme="minorHAnsi"/>
          <w:sz w:val="22"/>
          <w:szCs w:val="22"/>
        </w:rPr>
        <w:t xml:space="preserve"> </w:t>
      </w:r>
      <w:r w:rsidRPr="00C4515C" w:rsidR="007832C6">
        <w:rPr>
          <w:rFonts w:asciiTheme="minorHAnsi" w:hAnsiTheme="minorHAnsi" w:eastAsiaTheme="minorEastAsia" w:cstheme="minorHAnsi"/>
          <w:sz w:val="22"/>
          <w:szCs w:val="22"/>
        </w:rPr>
        <w:t xml:space="preserve">uses these data </w:t>
      </w:r>
      <w:r w:rsidRPr="00C4515C" w:rsidR="00B05B42">
        <w:rPr>
          <w:rFonts w:asciiTheme="minorHAnsi" w:hAnsiTheme="minorHAnsi" w:eastAsiaTheme="minorEastAsia" w:cstheme="minorHAnsi"/>
          <w:sz w:val="22"/>
          <w:szCs w:val="22"/>
        </w:rPr>
        <w:t xml:space="preserve">to evaluate the prevalence and extent of school crime to </w:t>
      </w:r>
      <w:r w:rsidRPr="00C4515C" w:rsidR="007832C6">
        <w:rPr>
          <w:rFonts w:asciiTheme="minorHAnsi" w:hAnsiTheme="minorHAnsi" w:eastAsiaTheme="minorEastAsia" w:cstheme="minorHAnsi"/>
          <w:sz w:val="22"/>
          <w:szCs w:val="22"/>
        </w:rPr>
        <w:t xml:space="preserve">help support </w:t>
      </w:r>
      <w:r w:rsidR="001D118E">
        <w:rPr>
          <w:rFonts w:asciiTheme="minorHAnsi" w:hAnsiTheme="minorHAnsi" w:eastAsiaTheme="minorEastAsia" w:cstheme="minorHAnsi"/>
          <w:sz w:val="22"/>
          <w:szCs w:val="22"/>
        </w:rPr>
        <w:t>f</w:t>
      </w:r>
      <w:r w:rsidRPr="00C4515C" w:rsidR="007832C6">
        <w:rPr>
          <w:rFonts w:asciiTheme="minorHAnsi" w:hAnsiTheme="minorHAnsi" w:eastAsiaTheme="minorEastAsia" w:cstheme="minorHAnsi"/>
          <w:sz w:val="22"/>
          <w:szCs w:val="22"/>
        </w:rPr>
        <w:t xml:space="preserve">ederal, </w:t>
      </w:r>
      <w:r w:rsidR="001D118E">
        <w:rPr>
          <w:rFonts w:asciiTheme="minorHAnsi" w:hAnsiTheme="minorHAnsi" w:eastAsiaTheme="minorEastAsia" w:cstheme="minorHAnsi"/>
          <w:sz w:val="22"/>
          <w:szCs w:val="22"/>
        </w:rPr>
        <w:t>s</w:t>
      </w:r>
      <w:r w:rsidRPr="00C4515C" w:rsidR="001D118E">
        <w:rPr>
          <w:rFonts w:asciiTheme="minorHAnsi" w:hAnsiTheme="minorHAnsi" w:eastAsiaTheme="minorEastAsia" w:cstheme="minorHAnsi"/>
          <w:sz w:val="22"/>
          <w:szCs w:val="22"/>
        </w:rPr>
        <w:t>tate</w:t>
      </w:r>
      <w:r w:rsidR="001D118E">
        <w:rPr>
          <w:rFonts w:asciiTheme="minorHAnsi" w:hAnsiTheme="minorHAnsi" w:eastAsiaTheme="minorEastAsia" w:cstheme="minorHAnsi"/>
          <w:sz w:val="22"/>
          <w:szCs w:val="22"/>
        </w:rPr>
        <w:t>,</w:t>
      </w:r>
      <w:r w:rsidRPr="00C4515C" w:rsidR="007832C6">
        <w:rPr>
          <w:rFonts w:asciiTheme="minorHAnsi" w:hAnsiTheme="minorHAnsi" w:eastAsiaTheme="minorEastAsia" w:cstheme="minorHAnsi"/>
          <w:sz w:val="22"/>
          <w:szCs w:val="22"/>
        </w:rPr>
        <w:t xml:space="preserve"> and local </w:t>
      </w:r>
      <w:r w:rsidRPr="00C4515C" w:rsidR="00B05B42">
        <w:rPr>
          <w:rFonts w:asciiTheme="minorHAnsi" w:hAnsiTheme="minorHAnsi" w:eastAsiaTheme="minorEastAsia" w:cstheme="minorHAnsi"/>
          <w:sz w:val="22"/>
          <w:szCs w:val="22"/>
        </w:rPr>
        <w:t>agencies in reducing student victimization</w:t>
      </w:r>
      <w:r w:rsidRPr="00C4515C" w:rsidR="007832C6">
        <w:rPr>
          <w:rFonts w:asciiTheme="minorHAnsi" w:hAnsiTheme="minorHAnsi" w:eastAsiaTheme="minorEastAsia" w:cstheme="minorHAnsi"/>
          <w:sz w:val="22"/>
          <w:szCs w:val="22"/>
        </w:rPr>
        <w:t>,</w:t>
      </w:r>
      <w:r w:rsidRPr="00C4515C" w:rsidR="00B05B42">
        <w:rPr>
          <w:rFonts w:asciiTheme="minorHAnsi" w:hAnsiTheme="minorHAnsi" w:eastAsiaTheme="minorEastAsia" w:cstheme="minorHAnsi"/>
          <w:sz w:val="22"/>
          <w:szCs w:val="22"/>
        </w:rPr>
        <w:t xml:space="preserve"> develop new or improved initiatives or laws aimed at ensuring the safety of America's students</w:t>
      </w:r>
      <w:r w:rsidR="001D118E">
        <w:rPr>
          <w:rFonts w:asciiTheme="minorHAnsi" w:hAnsiTheme="minorHAnsi" w:eastAsiaTheme="minorEastAsia" w:cstheme="minorHAnsi"/>
          <w:sz w:val="22"/>
          <w:szCs w:val="22"/>
        </w:rPr>
        <w:t>,</w:t>
      </w:r>
      <w:r w:rsidRPr="00C4515C" w:rsidR="00B05B42">
        <w:rPr>
          <w:rFonts w:asciiTheme="minorHAnsi" w:hAnsiTheme="minorHAnsi" w:eastAsiaTheme="minorEastAsia" w:cstheme="minorHAnsi"/>
          <w:sz w:val="22"/>
          <w:szCs w:val="22"/>
        </w:rPr>
        <w:t xml:space="preserve"> and monitor the effectiveness of school policies and programs.</w:t>
      </w:r>
    </w:p>
    <w:p w:rsidRPr="00C4515C" w:rsidR="00DF11AB" w:rsidP="00DF11AB" w:rsidRDefault="00DF11AB" w14:paraId="0E9953F6" w14:textId="77777777">
      <w:pPr>
        <w:ind w:left="450"/>
        <w:rPr>
          <w:rFonts w:asciiTheme="minorHAnsi" w:hAnsiTheme="minorHAnsi" w:cstheme="minorHAnsi"/>
          <w:sz w:val="22"/>
          <w:szCs w:val="22"/>
        </w:rPr>
      </w:pPr>
    </w:p>
    <w:p w:rsidRPr="00C4515C" w:rsidR="00DF11AB" w:rsidP="36B31C31" w:rsidRDefault="007832C6" w14:paraId="2B36B286" w14:textId="58975B74">
      <w:pPr>
        <w:ind w:left="45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 xml:space="preserve">Within the </w:t>
      </w:r>
      <w:r w:rsidRPr="0017304F">
        <w:rPr>
          <w:rFonts w:asciiTheme="minorHAnsi" w:hAnsiTheme="minorHAnsi" w:eastAsiaTheme="minorEastAsia" w:cstheme="minorHAnsi"/>
          <w:sz w:val="22"/>
          <w:szCs w:val="22"/>
          <w:u w:val="single"/>
        </w:rPr>
        <w:t>Department</w:t>
      </w:r>
      <w:r w:rsidRPr="0017304F" w:rsidR="00947C95">
        <w:rPr>
          <w:rFonts w:asciiTheme="minorHAnsi" w:hAnsiTheme="minorHAnsi" w:eastAsiaTheme="minorEastAsia" w:cstheme="minorHAnsi"/>
          <w:sz w:val="22"/>
          <w:szCs w:val="22"/>
          <w:u w:val="single"/>
        </w:rPr>
        <w:t xml:space="preserve"> of Education</w:t>
      </w:r>
      <w:r w:rsidRPr="00C4515C">
        <w:rPr>
          <w:rFonts w:asciiTheme="minorHAnsi" w:hAnsiTheme="minorHAnsi" w:eastAsiaTheme="minorEastAsia" w:cstheme="minorHAnsi"/>
          <w:sz w:val="22"/>
          <w:szCs w:val="22"/>
        </w:rPr>
        <w:t>, the OESE</w:t>
      </w:r>
      <w:r w:rsidRPr="00C4515C" w:rsidR="004C122F">
        <w:rPr>
          <w:rFonts w:asciiTheme="minorHAnsi" w:hAnsiTheme="minorHAnsi" w:eastAsiaTheme="minorEastAsia" w:cstheme="minorHAnsi"/>
          <w:sz w:val="22"/>
          <w:szCs w:val="22"/>
        </w:rPr>
        <w:t xml:space="preserve"> </w:t>
      </w:r>
      <w:r w:rsidRPr="00C4515C">
        <w:rPr>
          <w:rFonts w:asciiTheme="minorHAnsi" w:hAnsiTheme="minorHAnsi" w:eastAsiaTheme="minorEastAsia" w:cstheme="minorHAnsi"/>
          <w:sz w:val="22"/>
          <w:szCs w:val="22"/>
        </w:rPr>
        <w:t>and</w:t>
      </w:r>
      <w:r w:rsidRPr="00C4515C" w:rsidR="00572AB9">
        <w:rPr>
          <w:rFonts w:asciiTheme="minorHAnsi" w:hAnsiTheme="minorHAnsi" w:eastAsiaTheme="minorEastAsia" w:cstheme="minorHAnsi"/>
          <w:sz w:val="22"/>
          <w:szCs w:val="22"/>
        </w:rPr>
        <w:t xml:space="preserve"> the Office of</w:t>
      </w:r>
      <w:r w:rsidRPr="00C4515C">
        <w:rPr>
          <w:rFonts w:asciiTheme="minorHAnsi" w:hAnsiTheme="minorHAnsi" w:eastAsiaTheme="minorEastAsia" w:cstheme="minorHAnsi"/>
          <w:sz w:val="22"/>
          <w:szCs w:val="22"/>
        </w:rPr>
        <w:t xml:space="preserve"> Safe and Healthy Students (</w:t>
      </w:r>
      <w:r w:rsidRPr="00C4515C" w:rsidR="00572AB9">
        <w:rPr>
          <w:rFonts w:asciiTheme="minorHAnsi" w:hAnsiTheme="minorHAnsi" w:eastAsiaTheme="minorEastAsia" w:cstheme="minorHAnsi"/>
          <w:sz w:val="22"/>
          <w:szCs w:val="22"/>
        </w:rPr>
        <w:t>O</w:t>
      </w:r>
      <w:r w:rsidRPr="00C4515C">
        <w:rPr>
          <w:rFonts w:asciiTheme="minorHAnsi" w:hAnsiTheme="minorHAnsi" w:eastAsiaTheme="minorEastAsia" w:cstheme="minorHAnsi"/>
          <w:sz w:val="22"/>
          <w:szCs w:val="22"/>
        </w:rPr>
        <w:t xml:space="preserve">SHS) </w:t>
      </w:r>
      <w:r w:rsidRPr="00C4515C" w:rsidR="00CF17F3">
        <w:rPr>
          <w:rFonts w:asciiTheme="minorHAnsi" w:hAnsiTheme="minorHAnsi" w:eastAsiaTheme="minorEastAsia" w:cstheme="minorHAnsi"/>
          <w:sz w:val="22"/>
          <w:szCs w:val="22"/>
        </w:rPr>
        <w:t>use the data</w:t>
      </w:r>
      <w:r w:rsidRPr="00C4515C" w:rsidR="00B05B42">
        <w:rPr>
          <w:rFonts w:asciiTheme="minorHAnsi" w:hAnsiTheme="minorHAnsi" w:eastAsiaTheme="minorEastAsia" w:cstheme="minorHAnsi"/>
          <w:sz w:val="22"/>
          <w:szCs w:val="22"/>
        </w:rPr>
        <w:t xml:space="preserve"> to</w:t>
      </w:r>
      <w:r w:rsidRPr="00C4515C" w:rsidR="00D413F2">
        <w:rPr>
          <w:rFonts w:asciiTheme="minorHAnsi" w:hAnsiTheme="minorHAnsi" w:eastAsiaTheme="minorEastAsia" w:cstheme="minorHAnsi"/>
          <w:sz w:val="22"/>
          <w:szCs w:val="22"/>
        </w:rPr>
        <w:t xml:space="preserve"> </w:t>
      </w:r>
      <w:r w:rsidRPr="00C4515C" w:rsidR="00B05B42">
        <w:rPr>
          <w:rFonts w:asciiTheme="minorHAnsi" w:hAnsiTheme="minorHAnsi" w:eastAsiaTheme="minorEastAsia" w:cstheme="minorHAnsi"/>
          <w:sz w:val="22"/>
          <w:szCs w:val="22"/>
        </w:rPr>
        <w:t>communicate and understand the current trends in school crime</w:t>
      </w:r>
      <w:r w:rsidRPr="00C4515C" w:rsidR="00D413F2">
        <w:rPr>
          <w:rFonts w:asciiTheme="minorHAnsi" w:hAnsiTheme="minorHAnsi" w:eastAsiaTheme="minorEastAsia" w:cstheme="minorHAnsi"/>
          <w:sz w:val="22"/>
          <w:szCs w:val="22"/>
        </w:rPr>
        <w:t xml:space="preserve"> and to </w:t>
      </w:r>
      <w:r w:rsidRPr="00C4515C" w:rsidR="00B05B42">
        <w:rPr>
          <w:rFonts w:asciiTheme="minorHAnsi" w:hAnsiTheme="minorHAnsi" w:eastAsiaTheme="minorEastAsia" w:cstheme="minorHAnsi"/>
          <w:sz w:val="22"/>
          <w:szCs w:val="22"/>
        </w:rPr>
        <w:t>allocate resources to assist states and local agencies to meet the needs of school officials, administrators, teachers, and parents to assess conditions within their own schools/jurisdictions relative to those at the national level, as well as determine needs and budget</w:t>
      </w:r>
      <w:r w:rsidR="007C22F3">
        <w:rPr>
          <w:rFonts w:asciiTheme="minorHAnsi" w:hAnsiTheme="minorHAnsi" w:eastAsiaTheme="minorEastAsia" w:cstheme="minorHAnsi"/>
          <w:sz w:val="22"/>
          <w:szCs w:val="22"/>
        </w:rPr>
        <w:t>ary</w:t>
      </w:r>
      <w:r w:rsidRPr="00C4515C" w:rsidR="00B05B42">
        <w:rPr>
          <w:rFonts w:asciiTheme="minorHAnsi" w:hAnsiTheme="minorHAnsi" w:eastAsiaTheme="minorEastAsia" w:cstheme="minorHAnsi"/>
          <w:sz w:val="22"/>
          <w:szCs w:val="22"/>
        </w:rPr>
        <w:t xml:space="preserve"> requirements.</w:t>
      </w:r>
    </w:p>
    <w:p w:rsidRPr="00C4515C" w:rsidR="00DF11AB" w:rsidP="00DF11AB" w:rsidRDefault="00DF11AB" w14:paraId="6C6B9452" w14:textId="77777777">
      <w:pPr>
        <w:ind w:left="450"/>
        <w:rPr>
          <w:rFonts w:asciiTheme="minorHAnsi" w:hAnsiTheme="minorHAnsi" w:cstheme="minorHAnsi"/>
          <w:sz w:val="22"/>
          <w:szCs w:val="22"/>
        </w:rPr>
      </w:pPr>
    </w:p>
    <w:p w:rsidRPr="00C4515C" w:rsidR="00DF11AB" w:rsidP="00FD5894" w:rsidRDefault="00B05B42" w14:paraId="7625FF3A" w14:textId="77777777">
      <w:pPr>
        <w:ind w:left="450"/>
        <w:rPr>
          <w:rFonts w:asciiTheme="minorHAnsi" w:hAnsiTheme="minorHAnsi" w:eastAsiaTheme="minorEastAsia" w:cstheme="minorHAnsi"/>
          <w:sz w:val="22"/>
          <w:szCs w:val="22"/>
        </w:rPr>
      </w:pPr>
      <w:r w:rsidRPr="00C4515C">
        <w:rPr>
          <w:rFonts w:asciiTheme="minorHAnsi" w:hAnsiTheme="minorHAnsi" w:eastAsiaTheme="minorEastAsia" w:cstheme="minorHAnsi"/>
          <w:b/>
          <w:bCs/>
          <w:sz w:val="22"/>
          <w:szCs w:val="22"/>
        </w:rPr>
        <w:t>Use by Non-Federal Stakeholders</w:t>
      </w:r>
    </w:p>
    <w:p w:rsidRPr="00C4515C" w:rsidR="00DF11AB" w:rsidP="36B31C31" w:rsidRDefault="00EA3A0F" w14:paraId="2ABD5493" w14:textId="6E555479">
      <w:pPr>
        <w:ind w:left="45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Non-federal users include</w:t>
      </w:r>
      <w:r w:rsidRPr="00C4515C" w:rsidR="00CD25FE">
        <w:rPr>
          <w:rFonts w:asciiTheme="minorHAnsi" w:hAnsiTheme="minorHAnsi" w:eastAsiaTheme="minorEastAsia" w:cstheme="minorHAnsi"/>
          <w:sz w:val="22"/>
          <w:szCs w:val="22"/>
        </w:rPr>
        <w:t xml:space="preserve"> </w:t>
      </w:r>
      <w:r w:rsidRPr="00C4515C" w:rsidR="009B2A19">
        <w:rPr>
          <w:rFonts w:asciiTheme="minorHAnsi" w:hAnsiTheme="minorHAnsi" w:eastAsiaTheme="minorEastAsia" w:cstheme="minorHAnsi"/>
          <w:sz w:val="22"/>
          <w:szCs w:val="22"/>
        </w:rPr>
        <w:t>state</w:t>
      </w:r>
      <w:r w:rsidRPr="00C4515C" w:rsidR="007832C6">
        <w:rPr>
          <w:rFonts w:asciiTheme="minorHAnsi" w:hAnsiTheme="minorHAnsi" w:eastAsiaTheme="minorEastAsia" w:cstheme="minorHAnsi"/>
          <w:sz w:val="22"/>
          <w:szCs w:val="22"/>
        </w:rPr>
        <w:t xml:space="preserve"> and local officials who, in conjunction with researchers and planners, need to analyze the current trends in victimization and school safety. </w:t>
      </w:r>
      <w:r w:rsidRPr="00C4515C" w:rsidR="009B2A19">
        <w:rPr>
          <w:rFonts w:asciiTheme="minorHAnsi" w:hAnsiTheme="minorHAnsi" w:eastAsiaTheme="minorEastAsia" w:cstheme="minorHAnsi"/>
          <w:sz w:val="22"/>
          <w:szCs w:val="22"/>
        </w:rPr>
        <w:t>For example</w:t>
      </w:r>
      <w:r w:rsidRPr="00C4515C" w:rsidR="00370872">
        <w:rPr>
          <w:rFonts w:asciiTheme="minorHAnsi" w:hAnsiTheme="minorHAnsi" w:eastAsiaTheme="minorEastAsia" w:cstheme="minorHAnsi"/>
          <w:sz w:val="22"/>
          <w:szCs w:val="22"/>
        </w:rPr>
        <w:t xml:space="preserve"> –</w:t>
      </w:r>
    </w:p>
    <w:p w:rsidRPr="00C4515C" w:rsidR="000A406C" w:rsidP="00DF11AB" w:rsidRDefault="000A406C" w14:paraId="3C6252A9" w14:textId="77777777">
      <w:pPr>
        <w:ind w:left="450"/>
        <w:rPr>
          <w:rFonts w:asciiTheme="minorHAnsi" w:hAnsiTheme="minorHAnsi" w:cstheme="minorHAnsi"/>
          <w:sz w:val="22"/>
          <w:szCs w:val="22"/>
        </w:rPr>
      </w:pPr>
    </w:p>
    <w:p w:rsidRPr="00C4515C" w:rsidR="00DF11AB" w:rsidP="36B31C31" w:rsidRDefault="003A00FC" w14:paraId="2309ED45" w14:textId="06B9ABD4">
      <w:pPr>
        <w:ind w:left="45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u w:val="single"/>
        </w:rPr>
        <w:t>State and local governments</w:t>
      </w:r>
      <w:r w:rsidRPr="00C4515C">
        <w:rPr>
          <w:rFonts w:asciiTheme="minorHAnsi" w:hAnsiTheme="minorHAnsi" w:eastAsiaTheme="minorEastAsia" w:cstheme="minorHAnsi"/>
          <w:sz w:val="22"/>
          <w:szCs w:val="22"/>
        </w:rPr>
        <w:t xml:space="preserve"> </w:t>
      </w:r>
      <w:r w:rsidRPr="00C4515C" w:rsidR="009B2A19">
        <w:rPr>
          <w:rFonts w:asciiTheme="minorHAnsi" w:hAnsiTheme="minorHAnsi" w:eastAsiaTheme="minorEastAsia" w:cstheme="minorHAnsi"/>
          <w:sz w:val="22"/>
          <w:szCs w:val="22"/>
        </w:rPr>
        <w:t>use the data</w:t>
      </w:r>
      <w:r w:rsidRPr="00C4515C">
        <w:rPr>
          <w:rFonts w:asciiTheme="minorHAnsi" w:hAnsiTheme="minorHAnsi" w:eastAsiaTheme="minorEastAsia" w:cstheme="minorHAnsi"/>
          <w:sz w:val="22"/>
          <w:szCs w:val="22"/>
        </w:rPr>
        <w:t xml:space="preserve"> to assess conditions within their own jurisdictions relative to those at the national level and to determine needs and budget</w:t>
      </w:r>
      <w:r w:rsidR="00E04029">
        <w:rPr>
          <w:rFonts w:asciiTheme="minorHAnsi" w:hAnsiTheme="minorHAnsi" w:eastAsiaTheme="minorEastAsia" w:cstheme="minorHAnsi"/>
          <w:sz w:val="22"/>
          <w:szCs w:val="22"/>
        </w:rPr>
        <w:t>ary</w:t>
      </w:r>
      <w:r w:rsidRPr="00C4515C">
        <w:rPr>
          <w:rFonts w:asciiTheme="minorHAnsi" w:hAnsiTheme="minorHAnsi" w:eastAsiaTheme="minorEastAsia" w:cstheme="minorHAnsi"/>
          <w:sz w:val="22"/>
          <w:szCs w:val="22"/>
        </w:rPr>
        <w:t xml:space="preserve"> requirements for local school districts.</w:t>
      </w:r>
    </w:p>
    <w:p w:rsidRPr="00C4515C" w:rsidR="00DF11AB" w:rsidP="00DF11AB" w:rsidRDefault="00DF11AB" w14:paraId="4EE03BAB" w14:textId="77777777">
      <w:pPr>
        <w:ind w:left="450"/>
        <w:rPr>
          <w:rFonts w:asciiTheme="minorHAnsi" w:hAnsiTheme="minorHAnsi" w:cstheme="minorHAnsi"/>
          <w:sz w:val="22"/>
          <w:szCs w:val="22"/>
          <w:u w:val="single"/>
        </w:rPr>
      </w:pPr>
    </w:p>
    <w:p w:rsidR="00851B09" w:rsidP="00851B09" w:rsidRDefault="003A00FC" w14:paraId="37A891AE" w14:textId="40835C84">
      <w:pPr>
        <w:ind w:left="45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u w:val="single"/>
        </w:rPr>
        <w:t>Researchers and practitioners</w:t>
      </w:r>
      <w:r w:rsidRPr="00C4515C">
        <w:rPr>
          <w:rFonts w:asciiTheme="minorHAnsi" w:hAnsiTheme="minorHAnsi" w:eastAsiaTheme="minorEastAsia" w:cstheme="minorHAnsi"/>
          <w:sz w:val="22"/>
          <w:szCs w:val="22"/>
        </w:rPr>
        <w:t xml:space="preserve"> </w:t>
      </w:r>
      <w:r w:rsidRPr="00C4515C" w:rsidR="009B2A19">
        <w:rPr>
          <w:rFonts w:asciiTheme="minorHAnsi" w:hAnsiTheme="minorHAnsi" w:eastAsiaTheme="minorEastAsia" w:cstheme="minorHAnsi"/>
          <w:sz w:val="22"/>
          <w:szCs w:val="22"/>
        </w:rPr>
        <w:t>often reanalyze the data to</w:t>
      </w:r>
      <w:r w:rsidRPr="00C4515C">
        <w:rPr>
          <w:rFonts w:asciiTheme="minorHAnsi" w:hAnsiTheme="minorHAnsi" w:eastAsiaTheme="minorEastAsia" w:cstheme="minorHAnsi"/>
          <w:sz w:val="22"/>
          <w:szCs w:val="22"/>
        </w:rPr>
        <w:t xml:space="preserve"> estimate the prevalence and impact of student victimization, </w:t>
      </w:r>
      <w:r w:rsidRPr="00C4515C" w:rsidR="009B2A19">
        <w:rPr>
          <w:rFonts w:asciiTheme="minorHAnsi" w:hAnsiTheme="minorHAnsi" w:eastAsiaTheme="minorEastAsia" w:cstheme="minorHAnsi"/>
          <w:sz w:val="22"/>
          <w:szCs w:val="22"/>
        </w:rPr>
        <w:t xml:space="preserve">and </w:t>
      </w:r>
      <w:r w:rsidRPr="00C4515C">
        <w:rPr>
          <w:rFonts w:asciiTheme="minorHAnsi" w:hAnsiTheme="minorHAnsi" w:eastAsiaTheme="minorEastAsia" w:cstheme="minorHAnsi"/>
          <w:sz w:val="22"/>
          <w:szCs w:val="22"/>
        </w:rPr>
        <w:t xml:space="preserve">correlate school crime </w:t>
      </w:r>
      <w:r w:rsidRPr="00C4515C" w:rsidR="009B2A19">
        <w:rPr>
          <w:rFonts w:asciiTheme="minorHAnsi" w:hAnsiTheme="minorHAnsi" w:eastAsiaTheme="minorEastAsia" w:cstheme="minorHAnsi"/>
          <w:sz w:val="22"/>
          <w:szCs w:val="22"/>
        </w:rPr>
        <w:t xml:space="preserve">to design </w:t>
      </w:r>
      <w:r w:rsidRPr="00C4515C" w:rsidR="00D952F7">
        <w:rPr>
          <w:rFonts w:asciiTheme="minorHAnsi" w:hAnsiTheme="minorHAnsi" w:eastAsiaTheme="minorEastAsia" w:cstheme="minorHAnsi"/>
          <w:sz w:val="22"/>
          <w:szCs w:val="22"/>
        </w:rPr>
        <w:t>prevention</w:t>
      </w:r>
      <w:r w:rsidRPr="00C4515C">
        <w:rPr>
          <w:rFonts w:asciiTheme="minorHAnsi" w:hAnsiTheme="minorHAnsi" w:eastAsiaTheme="minorEastAsia" w:cstheme="minorHAnsi"/>
          <w:sz w:val="22"/>
          <w:szCs w:val="22"/>
        </w:rPr>
        <w:t xml:space="preserve"> programs</w:t>
      </w:r>
      <w:r w:rsidRPr="00C4515C" w:rsidR="009B2A19">
        <w:rPr>
          <w:rFonts w:asciiTheme="minorHAnsi" w:hAnsiTheme="minorHAnsi" w:eastAsiaTheme="minorEastAsia" w:cstheme="minorHAnsi"/>
          <w:sz w:val="22"/>
          <w:szCs w:val="22"/>
        </w:rPr>
        <w:t>.</w:t>
      </w:r>
      <w:r w:rsidRPr="00C4515C">
        <w:rPr>
          <w:rFonts w:asciiTheme="minorHAnsi" w:hAnsiTheme="minorHAnsi" w:eastAsiaTheme="minorEastAsia" w:cstheme="minorHAnsi"/>
          <w:sz w:val="22"/>
          <w:szCs w:val="22"/>
        </w:rPr>
        <w:t xml:space="preserve"> </w:t>
      </w:r>
      <w:r w:rsidR="00851B09">
        <w:rPr>
          <w:rFonts w:asciiTheme="minorHAnsi" w:hAnsiTheme="minorHAnsi" w:eastAsiaTheme="minorEastAsia" w:cstheme="minorHAnsi"/>
          <w:sz w:val="22"/>
          <w:szCs w:val="22"/>
        </w:rPr>
        <w:t xml:space="preserve">A few examples </w:t>
      </w:r>
      <w:r w:rsidR="001A67E9">
        <w:rPr>
          <w:rFonts w:asciiTheme="minorHAnsi" w:hAnsiTheme="minorHAnsi" w:eastAsiaTheme="minorEastAsia" w:cstheme="minorHAnsi"/>
          <w:sz w:val="22"/>
          <w:szCs w:val="22"/>
        </w:rPr>
        <w:t xml:space="preserve">of secondary data analysis </w:t>
      </w:r>
      <w:r w:rsidR="00851B09">
        <w:rPr>
          <w:rFonts w:asciiTheme="minorHAnsi" w:hAnsiTheme="minorHAnsi" w:eastAsiaTheme="minorEastAsia" w:cstheme="minorHAnsi"/>
          <w:sz w:val="22"/>
          <w:szCs w:val="22"/>
        </w:rPr>
        <w:t>include –</w:t>
      </w:r>
    </w:p>
    <w:p w:rsidRPr="00851B09" w:rsidR="00851B09" w:rsidP="00851B09" w:rsidRDefault="00851B09" w14:paraId="5FE76D7B" w14:textId="3BB0BA16">
      <w:pPr>
        <w:pStyle w:val="ListParagraph"/>
        <w:numPr>
          <w:ilvl w:val="0"/>
          <w:numId w:val="17"/>
        </w:numPr>
        <w:rPr>
          <w:rFonts w:asciiTheme="minorHAnsi" w:hAnsiTheme="minorHAnsi" w:eastAsiaTheme="minorEastAsia" w:cstheme="minorHAnsi"/>
          <w:sz w:val="22"/>
          <w:szCs w:val="22"/>
        </w:rPr>
      </w:pPr>
      <w:proofErr w:type="spellStart"/>
      <w:r w:rsidRPr="00851B09">
        <w:rPr>
          <w:rFonts w:asciiTheme="minorHAnsi" w:hAnsiTheme="minorHAnsi" w:eastAsiaTheme="minorEastAsia" w:cstheme="minorHAnsi"/>
          <w:sz w:val="22"/>
          <w:szCs w:val="22"/>
        </w:rPr>
        <w:t>Baek</w:t>
      </w:r>
      <w:proofErr w:type="spellEnd"/>
      <w:r w:rsidRPr="00851B09">
        <w:rPr>
          <w:rFonts w:asciiTheme="minorHAnsi" w:hAnsiTheme="minorHAnsi" w:eastAsiaTheme="minorEastAsia" w:cstheme="minorHAnsi"/>
          <w:sz w:val="22"/>
          <w:szCs w:val="22"/>
        </w:rPr>
        <w:t xml:space="preserve">, H., Andreescu, V., &amp; Rolfe, S.M. </w:t>
      </w:r>
      <w:r w:rsidR="00666BB2">
        <w:rPr>
          <w:rFonts w:asciiTheme="minorHAnsi" w:hAnsiTheme="minorHAnsi" w:eastAsiaTheme="minorEastAsia" w:cstheme="minorHAnsi"/>
          <w:sz w:val="22"/>
          <w:szCs w:val="22"/>
        </w:rPr>
        <w:t xml:space="preserve">(2019). </w:t>
      </w:r>
      <w:r w:rsidRPr="00851B09">
        <w:rPr>
          <w:rFonts w:asciiTheme="minorHAnsi" w:hAnsiTheme="minorHAnsi" w:eastAsiaTheme="minorEastAsia" w:cstheme="minorHAnsi"/>
          <w:sz w:val="22"/>
          <w:szCs w:val="22"/>
        </w:rPr>
        <w:t xml:space="preserve">Bullying and fear of victimization: do supportive adults in school make a difference in adolescents’ perceptions of safety? </w:t>
      </w:r>
      <w:r w:rsidRPr="00851B09">
        <w:rPr>
          <w:rFonts w:asciiTheme="minorHAnsi" w:hAnsiTheme="minorHAnsi" w:eastAsiaTheme="minorEastAsia" w:cstheme="minorHAnsi"/>
          <w:i/>
          <w:sz w:val="22"/>
          <w:szCs w:val="22"/>
        </w:rPr>
        <w:t>Journal of School Violence</w:t>
      </w:r>
      <w:r w:rsidRPr="00851B09">
        <w:rPr>
          <w:rFonts w:asciiTheme="minorHAnsi" w:hAnsiTheme="minorHAnsi" w:eastAsiaTheme="minorEastAsia" w:cstheme="minorHAnsi"/>
          <w:sz w:val="22"/>
          <w:szCs w:val="22"/>
        </w:rPr>
        <w:t>, 18(1): 92-106.</w:t>
      </w:r>
    </w:p>
    <w:p w:rsidRPr="00851B09" w:rsidR="00851B09" w:rsidP="00851B09" w:rsidRDefault="00851B09" w14:paraId="21215461" w14:textId="1BD50A94">
      <w:pPr>
        <w:pStyle w:val="ListParagraph"/>
        <w:numPr>
          <w:ilvl w:val="0"/>
          <w:numId w:val="17"/>
        </w:numPr>
        <w:rPr>
          <w:rFonts w:asciiTheme="minorHAnsi" w:hAnsiTheme="minorHAnsi" w:eastAsiaTheme="minorEastAsia" w:cstheme="minorHAnsi"/>
          <w:sz w:val="22"/>
          <w:szCs w:val="22"/>
        </w:rPr>
      </w:pPr>
      <w:r w:rsidRPr="00851B09">
        <w:rPr>
          <w:rFonts w:asciiTheme="minorHAnsi" w:hAnsiTheme="minorHAnsi" w:eastAsiaTheme="minorEastAsia" w:cstheme="minorHAnsi"/>
          <w:sz w:val="22"/>
          <w:szCs w:val="22"/>
        </w:rPr>
        <w:t xml:space="preserve">Farina, K.A. </w:t>
      </w:r>
      <w:r w:rsidR="00666BB2">
        <w:rPr>
          <w:rFonts w:asciiTheme="minorHAnsi" w:hAnsiTheme="minorHAnsi" w:eastAsiaTheme="minorEastAsia" w:cstheme="minorHAnsi"/>
          <w:sz w:val="22"/>
          <w:szCs w:val="22"/>
        </w:rPr>
        <w:t xml:space="preserve">(2019). </w:t>
      </w:r>
      <w:r w:rsidRPr="00851B09">
        <w:rPr>
          <w:rFonts w:asciiTheme="minorHAnsi" w:hAnsiTheme="minorHAnsi" w:eastAsiaTheme="minorEastAsia" w:cstheme="minorHAnsi"/>
          <w:sz w:val="22"/>
          <w:szCs w:val="22"/>
        </w:rPr>
        <w:t xml:space="preserve">Promoting a culture of bullying: understanding the role of school crime and school sector. </w:t>
      </w:r>
      <w:r w:rsidRPr="00851B09">
        <w:rPr>
          <w:rFonts w:asciiTheme="minorHAnsi" w:hAnsiTheme="minorHAnsi" w:eastAsiaTheme="minorEastAsia" w:cstheme="minorHAnsi"/>
          <w:i/>
          <w:sz w:val="22"/>
          <w:szCs w:val="22"/>
        </w:rPr>
        <w:t>Journal of School Choice</w:t>
      </w:r>
      <w:r w:rsidRPr="00851B09">
        <w:rPr>
          <w:rFonts w:asciiTheme="minorHAnsi" w:hAnsiTheme="minorHAnsi" w:eastAsiaTheme="minorEastAsia" w:cstheme="minorHAnsi"/>
          <w:sz w:val="22"/>
          <w:szCs w:val="22"/>
        </w:rPr>
        <w:t>, 13(1): 94-120.</w:t>
      </w:r>
    </w:p>
    <w:p w:rsidRPr="00851B09" w:rsidR="00851B09" w:rsidP="00851B09" w:rsidRDefault="00851B09" w14:paraId="6A9FDD99" w14:textId="09D50E22">
      <w:pPr>
        <w:pStyle w:val="ListParagraph"/>
        <w:numPr>
          <w:ilvl w:val="0"/>
          <w:numId w:val="17"/>
        </w:numPr>
        <w:rPr>
          <w:rFonts w:asciiTheme="minorHAnsi" w:hAnsiTheme="minorHAnsi" w:eastAsiaTheme="minorEastAsia" w:cstheme="minorHAnsi"/>
          <w:sz w:val="22"/>
          <w:szCs w:val="22"/>
        </w:rPr>
      </w:pPr>
      <w:r w:rsidRPr="00851B09">
        <w:rPr>
          <w:rFonts w:asciiTheme="minorHAnsi" w:hAnsiTheme="minorHAnsi" w:eastAsiaTheme="minorEastAsia" w:cstheme="minorHAnsi"/>
          <w:sz w:val="22"/>
          <w:szCs w:val="22"/>
        </w:rPr>
        <w:t xml:space="preserve">Fisher, B.W., Gardella, J.H., &amp; Tanner-Smith, E.E. </w:t>
      </w:r>
      <w:r w:rsidR="00666BB2">
        <w:rPr>
          <w:rFonts w:asciiTheme="minorHAnsi" w:hAnsiTheme="minorHAnsi" w:eastAsiaTheme="minorEastAsia" w:cstheme="minorHAnsi"/>
          <w:sz w:val="22"/>
          <w:szCs w:val="22"/>
        </w:rPr>
        <w:t xml:space="preserve">(2019). </w:t>
      </w:r>
      <w:r w:rsidRPr="00851B09">
        <w:rPr>
          <w:rFonts w:asciiTheme="minorHAnsi" w:hAnsiTheme="minorHAnsi" w:eastAsiaTheme="minorEastAsia" w:cstheme="minorHAnsi"/>
          <w:sz w:val="22"/>
          <w:szCs w:val="22"/>
        </w:rPr>
        <w:t xml:space="preserve">Social control in schools: the relationship between school security measures and informal social control mechanisms. </w:t>
      </w:r>
      <w:r w:rsidRPr="00851B09">
        <w:rPr>
          <w:rFonts w:asciiTheme="minorHAnsi" w:hAnsiTheme="minorHAnsi" w:eastAsiaTheme="minorEastAsia" w:cstheme="minorHAnsi"/>
          <w:i/>
          <w:sz w:val="22"/>
          <w:szCs w:val="22"/>
        </w:rPr>
        <w:t>Journal of School Violence</w:t>
      </w:r>
      <w:r w:rsidRPr="00851B09">
        <w:rPr>
          <w:rFonts w:asciiTheme="minorHAnsi" w:hAnsiTheme="minorHAnsi" w:eastAsiaTheme="minorEastAsia" w:cstheme="minorHAnsi"/>
          <w:sz w:val="22"/>
          <w:szCs w:val="22"/>
        </w:rPr>
        <w:t>, 18(3): 347-361.</w:t>
      </w:r>
    </w:p>
    <w:p w:rsidRPr="00851B09" w:rsidR="00851B09" w:rsidP="00851B09" w:rsidRDefault="00851B09" w14:paraId="52C29226" w14:textId="300AA557">
      <w:pPr>
        <w:pStyle w:val="ListParagraph"/>
        <w:numPr>
          <w:ilvl w:val="0"/>
          <w:numId w:val="17"/>
        </w:numPr>
        <w:rPr>
          <w:rFonts w:asciiTheme="minorHAnsi" w:hAnsiTheme="minorHAnsi" w:eastAsiaTheme="minorEastAsia" w:cstheme="minorHAnsi"/>
          <w:sz w:val="22"/>
          <w:szCs w:val="22"/>
        </w:rPr>
      </w:pPr>
      <w:r w:rsidRPr="00851B09">
        <w:rPr>
          <w:rFonts w:asciiTheme="minorHAnsi" w:hAnsiTheme="minorHAnsi" w:eastAsiaTheme="minorEastAsia" w:cstheme="minorHAnsi"/>
          <w:sz w:val="22"/>
          <w:szCs w:val="22"/>
        </w:rPr>
        <w:lastRenderedPageBreak/>
        <w:t xml:space="preserve">Bills, K.L. </w:t>
      </w:r>
      <w:r w:rsidR="00666BB2">
        <w:rPr>
          <w:rFonts w:asciiTheme="minorHAnsi" w:hAnsiTheme="minorHAnsi" w:eastAsiaTheme="minorEastAsia" w:cstheme="minorHAnsi"/>
          <w:sz w:val="22"/>
          <w:szCs w:val="22"/>
        </w:rPr>
        <w:t xml:space="preserve">(2020). </w:t>
      </w:r>
      <w:r w:rsidRPr="00851B09">
        <w:rPr>
          <w:rFonts w:asciiTheme="minorHAnsi" w:hAnsiTheme="minorHAnsi" w:eastAsiaTheme="minorEastAsia" w:cstheme="minorHAnsi"/>
          <w:sz w:val="22"/>
          <w:szCs w:val="22"/>
        </w:rPr>
        <w:t xml:space="preserve">The direct relationship between bullying rates and extracurricular activities among adolescents and teenagers with disabilities. </w:t>
      </w:r>
      <w:r w:rsidRPr="00851B09">
        <w:rPr>
          <w:rFonts w:asciiTheme="minorHAnsi" w:hAnsiTheme="minorHAnsi" w:eastAsiaTheme="minorEastAsia" w:cstheme="minorHAnsi"/>
          <w:i/>
          <w:sz w:val="22"/>
          <w:szCs w:val="22"/>
        </w:rPr>
        <w:t>Journal of Evidence-Based Social Work</w:t>
      </w:r>
      <w:r w:rsidRPr="00851B09">
        <w:rPr>
          <w:rFonts w:asciiTheme="minorHAnsi" w:hAnsiTheme="minorHAnsi" w:eastAsiaTheme="minorEastAsia" w:cstheme="minorHAnsi"/>
          <w:sz w:val="22"/>
          <w:szCs w:val="22"/>
        </w:rPr>
        <w:t>, 17(2): 191-202.</w:t>
      </w:r>
    </w:p>
    <w:p w:rsidR="00A6294B" w:rsidP="36B31C31" w:rsidRDefault="00A6294B" w14:paraId="23D45724" w14:textId="77777777">
      <w:pPr>
        <w:ind w:left="450"/>
        <w:rPr>
          <w:rFonts w:asciiTheme="minorHAnsi" w:hAnsiTheme="minorHAnsi" w:eastAsiaTheme="minorEastAsia" w:cstheme="minorHAnsi"/>
          <w:sz w:val="22"/>
          <w:szCs w:val="22"/>
          <w:u w:val="single"/>
        </w:rPr>
      </w:pPr>
    </w:p>
    <w:p w:rsidRPr="00C4515C" w:rsidR="00DF11AB" w:rsidP="36B31C31" w:rsidRDefault="009B2A19" w14:paraId="71E0669A" w14:textId="0A8ED028">
      <w:pPr>
        <w:ind w:left="45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u w:val="single"/>
        </w:rPr>
        <w:t>The media</w:t>
      </w:r>
      <w:r w:rsidRPr="00C4515C">
        <w:rPr>
          <w:rFonts w:asciiTheme="minorHAnsi" w:hAnsiTheme="minorHAnsi" w:eastAsiaTheme="minorEastAsia" w:cstheme="minorHAnsi"/>
          <w:sz w:val="22"/>
          <w:szCs w:val="22"/>
        </w:rPr>
        <w:t xml:space="preserve"> disseminat</w:t>
      </w:r>
      <w:r w:rsidRPr="00C4515C" w:rsidR="00EA3A0F">
        <w:rPr>
          <w:rFonts w:asciiTheme="minorHAnsi" w:hAnsiTheme="minorHAnsi" w:eastAsiaTheme="minorEastAsia" w:cstheme="minorHAnsi"/>
          <w:sz w:val="22"/>
          <w:szCs w:val="22"/>
        </w:rPr>
        <w:t>es</w:t>
      </w:r>
      <w:r w:rsidRPr="00C4515C">
        <w:rPr>
          <w:rFonts w:asciiTheme="minorHAnsi" w:hAnsiTheme="minorHAnsi" w:eastAsiaTheme="minorEastAsia" w:cstheme="minorHAnsi"/>
          <w:sz w:val="22"/>
          <w:szCs w:val="22"/>
        </w:rPr>
        <w:t xml:space="preserve"> findings from the survey to </w:t>
      </w:r>
      <w:r w:rsidRPr="00C4515C" w:rsidR="003A00FC">
        <w:rPr>
          <w:rFonts w:asciiTheme="minorHAnsi" w:hAnsiTheme="minorHAnsi" w:eastAsiaTheme="minorEastAsia" w:cstheme="minorHAnsi"/>
          <w:sz w:val="22"/>
          <w:szCs w:val="22"/>
        </w:rPr>
        <w:t xml:space="preserve">inform the public about </w:t>
      </w:r>
      <w:r w:rsidRPr="00C4515C" w:rsidR="00D705D7">
        <w:rPr>
          <w:rFonts w:asciiTheme="minorHAnsi" w:hAnsiTheme="minorHAnsi" w:eastAsiaTheme="minorEastAsia" w:cstheme="minorHAnsi"/>
          <w:sz w:val="22"/>
          <w:szCs w:val="22"/>
        </w:rPr>
        <w:t>all</w:t>
      </w:r>
      <w:r w:rsidRPr="00C4515C" w:rsidR="003A00FC">
        <w:rPr>
          <w:rFonts w:asciiTheme="minorHAnsi" w:hAnsiTheme="minorHAnsi" w:eastAsiaTheme="minorEastAsia" w:cstheme="minorHAnsi"/>
          <w:sz w:val="22"/>
          <w:szCs w:val="22"/>
        </w:rPr>
        <w:t xml:space="preserve"> the issues related to school crime and safety.</w:t>
      </w:r>
    </w:p>
    <w:p w:rsidRPr="00C4515C" w:rsidR="00DF11AB" w:rsidP="00DF11AB" w:rsidRDefault="00DF11AB" w14:paraId="48CD24FF" w14:textId="77777777">
      <w:pPr>
        <w:ind w:left="450"/>
        <w:rPr>
          <w:rFonts w:asciiTheme="minorHAnsi" w:hAnsiTheme="minorHAnsi" w:cstheme="minorHAnsi"/>
          <w:sz w:val="22"/>
          <w:szCs w:val="22"/>
        </w:rPr>
      </w:pPr>
    </w:p>
    <w:p w:rsidRPr="00C4515C" w:rsidR="00DF11AB" w:rsidP="36B31C31" w:rsidRDefault="003A00FC" w14:paraId="011118A4" w14:textId="05A75CBB">
      <w:pPr>
        <w:ind w:left="45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In addition to principal</w:t>
      </w:r>
      <w:r w:rsidR="00E04029">
        <w:rPr>
          <w:rFonts w:asciiTheme="minorHAnsi" w:hAnsiTheme="minorHAnsi" w:eastAsiaTheme="minorEastAsia" w:cstheme="minorHAnsi"/>
          <w:sz w:val="22"/>
          <w:szCs w:val="22"/>
        </w:rPr>
        <w:t>-</w:t>
      </w:r>
      <w:r w:rsidRPr="00C4515C">
        <w:rPr>
          <w:rFonts w:asciiTheme="minorHAnsi" w:hAnsiTheme="minorHAnsi" w:eastAsiaTheme="minorEastAsia" w:cstheme="minorHAnsi"/>
          <w:sz w:val="22"/>
          <w:szCs w:val="22"/>
        </w:rPr>
        <w:t>, district</w:t>
      </w:r>
      <w:r w:rsidR="00E04029">
        <w:rPr>
          <w:rFonts w:asciiTheme="minorHAnsi" w:hAnsiTheme="minorHAnsi" w:eastAsiaTheme="minorEastAsia" w:cstheme="minorHAnsi"/>
          <w:sz w:val="22"/>
          <w:szCs w:val="22"/>
        </w:rPr>
        <w:t>-</w:t>
      </w:r>
      <w:r w:rsidRPr="00C4515C">
        <w:rPr>
          <w:rFonts w:asciiTheme="minorHAnsi" w:hAnsiTheme="minorHAnsi" w:eastAsiaTheme="minorEastAsia" w:cstheme="minorHAnsi"/>
          <w:sz w:val="22"/>
          <w:szCs w:val="22"/>
        </w:rPr>
        <w:t>, or state-level data sources, students' reports of victimization and perceptions of crime, violence, and school climate are important factors in providing a comprehensive picture of school crime and safety. Currently, the SCS is the only recurring national data source that provides nationally representative student-level data detailing victimization and other school characteristics related to crime and disorder.</w:t>
      </w:r>
    </w:p>
    <w:p w:rsidRPr="00C4515C" w:rsidR="00DF11AB" w:rsidP="00DF11AB" w:rsidRDefault="00DF11AB" w14:paraId="07EB026E" w14:textId="77777777">
      <w:pPr>
        <w:ind w:left="450"/>
        <w:rPr>
          <w:rFonts w:asciiTheme="minorHAnsi" w:hAnsiTheme="minorHAnsi" w:cstheme="minorHAnsi"/>
          <w:sz w:val="22"/>
          <w:szCs w:val="22"/>
        </w:rPr>
      </w:pPr>
    </w:p>
    <w:p w:rsidRPr="00C4515C" w:rsidR="00DF11AB" w:rsidP="36B31C31" w:rsidRDefault="003A00FC" w14:paraId="5DC8E7F0" w14:textId="037F3C98">
      <w:pPr>
        <w:ind w:left="45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 xml:space="preserve">If </w:t>
      </w:r>
      <w:r w:rsidRPr="00C4515C" w:rsidR="00F06055">
        <w:rPr>
          <w:rFonts w:asciiTheme="minorHAnsi" w:hAnsiTheme="minorHAnsi" w:eastAsiaTheme="minorEastAsia" w:cstheme="minorHAnsi"/>
          <w:sz w:val="22"/>
          <w:szCs w:val="22"/>
        </w:rPr>
        <w:t>the SCS data</w:t>
      </w:r>
      <w:r w:rsidRPr="00C4515C">
        <w:rPr>
          <w:rFonts w:asciiTheme="minorHAnsi" w:hAnsiTheme="minorHAnsi" w:eastAsiaTheme="minorEastAsia" w:cstheme="minorHAnsi"/>
          <w:sz w:val="22"/>
          <w:szCs w:val="22"/>
        </w:rPr>
        <w:t xml:space="preserve"> were not collected, data users would have no source of </w:t>
      </w:r>
      <w:r w:rsidRPr="00C4515C" w:rsidR="00E54BA2">
        <w:rPr>
          <w:rFonts w:asciiTheme="minorHAnsi" w:hAnsiTheme="minorHAnsi" w:eastAsiaTheme="minorEastAsia" w:cstheme="minorHAnsi"/>
          <w:sz w:val="22"/>
          <w:szCs w:val="22"/>
        </w:rPr>
        <w:t xml:space="preserve">nationally representative </w:t>
      </w:r>
      <w:r w:rsidRPr="00C4515C">
        <w:rPr>
          <w:rFonts w:asciiTheme="minorHAnsi" w:hAnsiTheme="minorHAnsi" w:eastAsiaTheme="minorEastAsia" w:cstheme="minorHAnsi"/>
          <w:sz w:val="22"/>
          <w:szCs w:val="22"/>
        </w:rPr>
        <w:t>student-level data on victimization and school characteristics related to victimization</w:t>
      </w:r>
      <w:r w:rsidRPr="00C4515C" w:rsidR="00E54BA2">
        <w:rPr>
          <w:rFonts w:asciiTheme="minorHAnsi" w:hAnsiTheme="minorHAnsi" w:eastAsiaTheme="minorEastAsia" w:cstheme="minorHAnsi"/>
          <w:sz w:val="22"/>
          <w:szCs w:val="22"/>
        </w:rPr>
        <w:t xml:space="preserve"> that includes incidents </w:t>
      </w:r>
      <w:r w:rsidRPr="00C4515C" w:rsidR="004449E1">
        <w:rPr>
          <w:rFonts w:asciiTheme="minorHAnsi" w:hAnsiTheme="minorHAnsi" w:eastAsiaTheme="minorEastAsia" w:cstheme="minorHAnsi"/>
          <w:sz w:val="22"/>
          <w:szCs w:val="22"/>
        </w:rPr>
        <w:t xml:space="preserve">both reported and </w:t>
      </w:r>
      <w:r w:rsidRPr="00C4515C" w:rsidR="00E54BA2">
        <w:rPr>
          <w:rFonts w:asciiTheme="minorHAnsi" w:hAnsiTheme="minorHAnsi" w:eastAsiaTheme="minorEastAsia" w:cstheme="minorHAnsi"/>
          <w:sz w:val="22"/>
          <w:szCs w:val="22"/>
        </w:rPr>
        <w:t>not reported to police</w:t>
      </w:r>
      <w:r w:rsidRPr="00C4515C">
        <w:rPr>
          <w:rFonts w:asciiTheme="minorHAnsi" w:hAnsiTheme="minorHAnsi" w:eastAsiaTheme="minorEastAsia" w:cstheme="minorHAnsi"/>
          <w:sz w:val="22"/>
          <w:szCs w:val="22"/>
        </w:rPr>
        <w:t xml:space="preserve">. Stakeholders would not have sufficient data to make comparative assessments that document the changing demands on schools, community mental health </w:t>
      </w:r>
      <w:r w:rsidRPr="00C4515C" w:rsidR="008B4FEB">
        <w:rPr>
          <w:rFonts w:asciiTheme="minorHAnsi" w:hAnsiTheme="minorHAnsi" w:eastAsiaTheme="minorEastAsia" w:cstheme="minorHAnsi"/>
          <w:sz w:val="22"/>
          <w:szCs w:val="22"/>
        </w:rPr>
        <w:t xml:space="preserve">agencies, and law enforcement. </w:t>
      </w:r>
      <w:r w:rsidR="00947C95">
        <w:rPr>
          <w:rFonts w:asciiTheme="minorHAnsi" w:hAnsiTheme="minorHAnsi" w:eastAsiaTheme="minorEastAsia" w:cstheme="minorHAnsi"/>
          <w:sz w:val="22"/>
          <w:szCs w:val="22"/>
        </w:rPr>
        <w:t>Additionally, these</w:t>
      </w:r>
      <w:r w:rsidRPr="00C4515C" w:rsidR="00947C95">
        <w:rPr>
          <w:rFonts w:asciiTheme="minorHAnsi" w:hAnsiTheme="minorHAnsi" w:eastAsiaTheme="minorEastAsia" w:cstheme="minorHAnsi"/>
          <w:sz w:val="22"/>
          <w:szCs w:val="22"/>
        </w:rPr>
        <w:t xml:space="preserve"> </w:t>
      </w:r>
      <w:r w:rsidRPr="00C4515C">
        <w:rPr>
          <w:rFonts w:asciiTheme="minorHAnsi" w:hAnsiTheme="minorHAnsi" w:eastAsiaTheme="minorEastAsia" w:cstheme="minorHAnsi"/>
          <w:sz w:val="22"/>
          <w:szCs w:val="22"/>
        </w:rPr>
        <w:t xml:space="preserve">entities </w:t>
      </w:r>
      <w:r w:rsidR="00947C95">
        <w:rPr>
          <w:rFonts w:asciiTheme="minorHAnsi" w:hAnsiTheme="minorHAnsi" w:eastAsiaTheme="minorEastAsia" w:cstheme="minorHAnsi"/>
          <w:sz w:val="22"/>
          <w:szCs w:val="22"/>
        </w:rPr>
        <w:t>would</w:t>
      </w:r>
      <w:r w:rsidRPr="00C4515C" w:rsidR="00947C95">
        <w:rPr>
          <w:rFonts w:asciiTheme="minorHAnsi" w:hAnsiTheme="minorHAnsi" w:eastAsiaTheme="minorEastAsia" w:cstheme="minorHAnsi"/>
          <w:sz w:val="22"/>
          <w:szCs w:val="22"/>
        </w:rPr>
        <w:t xml:space="preserve"> </w:t>
      </w:r>
      <w:r w:rsidRPr="00C4515C">
        <w:rPr>
          <w:rFonts w:asciiTheme="minorHAnsi" w:hAnsiTheme="minorHAnsi" w:eastAsiaTheme="minorEastAsia" w:cstheme="minorHAnsi"/>
          <w:sz w:val="22"/>
          <w:szCs w:val="22"/>
        </w:rPr>
        <w:t>not have the necessary data to obtain resources for personnel and services to ensure school safety (e.g.</w:t>
      </w:r>
      <w:r w:rsidR="006D677A">
        <w:rPr>
          <w:rFonts w:asciiTheme="minorHAnsi" w:hAnsiTheme="minorHAnsi" w:eastAsiaTheme="minorEastAsia" w:cstheme="minorHAnsi"/>
          <w:sz w:val="22"/>
          <w:szCs w:val="22"/>
        </w:rPr>
        <w:t>,</w:t>
      </w:r>
      <w:r w:rsidRPr="00C4515C">
        <w:rPr>
          <w:rFonts w:asciiTheme="minorHAnsi" w:hAnsiTheme="minorHAnsi" w:eastAsiaTheme="minorEastAsia" w:cstheme="minorHAnsi"/>
          <w:sz w:val="22"/>
          <w:szCs w:val="22"/>
        </w:rPr>
        <w:t xml:space="preserve"> security, personnel, </w:t>
      </w:r>
      <w:r w:rsidRPr="00C4515C" w:rsidR="00E54BA2">
        <w:rPr>
          <w:rFonts w:asciiTheme="minorHAnsi" w:hAnsiTheme="minorHAnsi" w:eastAsiaTheme="minorEastAsia" w:cstheme="minorHAnsi"/>
          <w:sz w:val="22"/>
          <w:szCs w:val="22"/>
        </w:rPr>
        <w:t xml:space="preserve">and </w:t>
      </w:r>
      <w:r w:rsidRPr="00C4515C">
        <w:rPr>
          <w:rFonts w:asciiTheme="minorHAnsi" w:hAnsiTheme="minorHAnsi" w:eastAsiaTheme="minorEastAsia" w:cstheme="minorHAnsi"/>
          <w:sz w:val="22"/>
          <w:szCs w:val="22"/>
        </w:rPr>
        <w:t xml:space="preserve">programmatic efforts) and </w:t>
      </w:r>
      <w:r w:rsidRPr="00C4515C" w:rsidR="00DF11AB">
        <w:rPr>
          <w:rFonts w:asciiTheme="minorHAnsi" w:hAnsiTheme="minorHAnsi" w:eastAsiaTheme="minorEastAsia" w:cstheme="minorHAnsi"/>
          <w:sz w:val="22"/>
          <w:szCs w:val="22"/>
        </w:rPr>
        <w:t>other demands for tax dollars.</w:t>
      </w:r>
    </w:p>
    <w:p w:rsidRPr="00C4515C" w:rsidR="00DF11AB" w:rsidP="00DF11AB" w:rsidRDefault="00DF11AB" w14:paraId="7F76CD72" w14:textId="77777777">
      <w:pPr>
        <w:ind w:left="450"/>
        <w:rPr>
          <w:rFonts w:asciiTheme="minorHAnsi" w:hAnsiTheme="minorHAnsi" w:cstheme="minorHAnsi"/>
          <w:sz w:val="22"/>
          <w:szCs w:val="22"/>
        </w:rPr>
      </w:pPr>
    </w:p>
    <w:p w:rsidR="003A00FC" w:rsidP="36B31C31" w:rsidRDefault="00845A64" w14:paraId="0BB47C1D" w14:textId="797C4B7C">
      <w:pPr>
        <w:ind w:left="450"/>
        <w:rPr>
          <w:rFonts w:asciiTheme="minorHAnsi" w:hAnsiTheme="minorHAnsi" w:eastAsiaTheme="minorEastAsia" w:cstheme="minorHAnsi"/>
          <w:sz w:val="22"/>
          <w:szCs w:val="22"/>
        </w:rPr>
      </w:pPr>
      <w:r w:rsidRPr="005806E4">
        <w:rPr>
          <w:rFonts w:asciiTheme="minorHAnsi" w:hAnsiTheme="minorHAnsi" w:eastAsiaTheme="minorEastAsia" w:cstheme="minorHAnsi"/>
          <w:sz w:val="22"/>
          <w:szCs w:val="22"/>
        </w:rPr>
        <w:t>Attachment</w:t>
      </w:r>
      <w:r w:rsidRPr="005806E4" w:rsidR="005154FD">
        <w:rPr>
          <w:rFonts w:asciiTheme="minorHAnsi" w:hAnsiTheme="minorHAnsi" w:eastAsiaTheme="minorEastAsia" w:cstheme="minorHAnsi"/>
          <w:sz w:val="22"/>
          <w:szCs w:val="22"/>
        </w:rPr>
        <w:t xml:space="preserve"> </w:t>
      </w:r>
      <w:r w:rsidRPr="005806E4" w:rsidR="00077399">
        <w:rPr>
          <w:rFonts w:asciiTheme="minorHAnsi" w:hAnsiTheme="minorHAnsi" w:eastAsiaTheme="minorEastAsia" w:cstheme="minorHAnsi"/>
          <w:sz w:val="22"/>
          <w:szCs w:val="22"/>
        </w:rPr>
        <w:t>3</w:t>
      </w:r>
      <w:r w:rsidRPr="00C4515C" w:rsidR="005154FD">
        <w:rPr>
          <w:rFonts w:asciiTheme="minorHAnsi" w:hAnsiTheme="minorHAnsi" w:eastAsiaTheme="minorEastAsia" w:cstheme="minorHAnsi"/>
          <w:sz w:val="22"/>
          <w:szCs w:val="22"/>
        </w:rPr>
        <w:t xml:space="preserve"> </w:t>
      </w:r>
      <w:r w:rsidRPr="00C4515C" w:rsidR="003A00FC">
        <w:rPr>
          <w:rFonts w:asciiTheme="minorHAnsi" w:hAnsiTheme="minorHAnsi" w:eastAsiaTheme="minorEastAsia" w:cstheme="minorHAnsi"/>
          <w:sz w:val="22"/>
          <w:szCs w:val="22"/>
        </w:rPr>
        <w:t>displays selected non</w:t>
      </w:r>
      <w:r w:rsidR="009530EC">
        <w:rPr>
          <w:rFonts w:asciiTheme="minorHAnsi" w:hAnsiTheme="minorHAnsi" w:eastAsiaTheme="minorEastAsia" w:cstheme="minorHAnsi"/>
          <w:sz w:val="22"/>
          <w:szCs w:val="22"/>
        </w:rPr>
        <w:t>-</w:t>
      </w:r>
      <w:r w:rsidRPr="00C4515C" w:rsidR="003A00FC">
        <w:rPr>
          <w:rFonts w:asciiTheme="minorHAnsi" w:hAnsiTheme="minorHAnsi" w:eastAsiaTheme="minorEastAsia" w:cstheme="minorHAnsi"/>
          <w:sz w:val="22"/>
          <w:szCs w:val="22"/>
        </w:rPr>
        <w:t xml:space="preserve">federal publications that report secondary analyses of SCS data. </w:t>
      </w:r>
    </w:p>
    <w:p w:rsidRPr="00C4515C" w:rsidR="00947C95" w:rsidP="36B31C31" w:rsidRDefault="00947C95" w14:paraId="40FDD974" w14:textId="77777777">
      <w:pPr>
        <w:ind w:left="450"/>
        <w:rPr>
          <w:rFonts w:asciiTheme="minorHAnsi" w:hAnsiTheme="minorHAnsi" w:eastAsiaTheme="minorEastAsia" w:cstheme="minorHAnsi"/>
          <w:sz w:val="22"/>
          <w:szCs w:val="22"/>
        </w:rPr>
      </w:pPr>
    </w:p>
    <w:p w:rsidRPr="00C4515C" w:rsidR="000A406C" w:rsidP="00F06055" w:rsidRDefault="005B7F65" w14:paraId="6BD501EF" w14:textId="1B016907">
      <w:pPr>
        <w:pStyle w:val="ListParagraph"/>
        <w:numPr>
          <w:ilvl w:val="0"/>
          <w:numId w:val="12"/>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hanging="180"/>
        <w:rPr>
          <w:rFonts w:asciiTheme="minorHAnsi" w:hAnsiTheme="minorHAnsi" w:eastAsiaTheme="minorEastAsia" w:cstheme="minorHAnsi"/>
          <w:sz w:val="22"/>
          <w:szCs w:val="22"/>
          <w:u w:val="single"/>
        </w:rPr>
      </w:pPr>
      <w:r w:rsidRPr="00C4515C">
        <w:rPr>
          <w:rFonts w:asciiTheme="minorHAnsi" w:hAnsiTheme="minorHAnsi" w:eastAsiaTheme="minorEastAsia" w:cstheme="minorHAnsi"/>
          <w:sz w:val="22"/>
          <w:szCs w:val="22"/>
          <w:u w:val="single"/>
        </w:rPr>
        <w:t>U</w:t>
      </w:r>
      <w:r w:rsidRPr="00C4515C" w:rsidR="00DF3A5C">
        <w:rPr>
          <w:rFonts w:asciiTheme="minorHAnsi" w:hAnsiTheme="minorHAnsi" w:eastAsiaTheme="minorEastAsia" w:cstheme="minorHAnsi"/>
          <w:sz w:val="22"/>
          <w:szCs w:val="22"/>
          <w:u w:val="single"/>
        </w:rPr>
        <w:t xml:space="preserve">se of </w:t>
      </w:r>
      <w:r w:rsidRPr="00C4515C" w:rsidR="003E18E4">
        <w:rPr>
          <w:rFonts w:asciiTheme="minorHAnsi" w:hAnsiTheme="minorHAnsi" w:eastAsiaTheme="minorEastAsia" w:cstheme="minorHAnsi"/>
          <w:sz w:val="22"/>
          <w:szCs w:val="22"/>
          <w:u w:val="single"/>
        </w:rPr>
        <w:t xml:space="preserve">Information </w:t>
      </w:r>
      <w:r w:rsidRPr="00C4515C">
        <w:rPr>
          <w:rFonts w:asciiTheme="minorHAnsi" w:hAnsiTheme="minorHAnsi" w:eastAsiaTheme="minorEastAsia" w:cstheme="minorHAnsi"/>
          <w:sz w:val="22"/>
          <w:szCs w:val="22"/>
          <w:u w:val="single"/>
        </w:rPr>
        <w:t>T</w:t>
      </w:r>
      <w:r w:rsidRPr="00C4515C" w:rsidR="00DF3A5C">
        <w:rPr>
          <w:rFonts w:asciiTheme="minorHAnsi" w:hAnsiTheme="minorHAnsi" w:eastAsiaTheme="minorEastAsia" w:cstheme="minorHAnsi"/>
          <w:sz w:val="22"/>
          <w:szCs w:val="22"/>
          <w:u w:val="single"/>
        </w:rPr>
        <w:t>echnology</w:t>
      </w:r>
    </w:p>
    <w:p w:rsidRPr="00C4515C" w:rsidR="00DD3918" w:rsidP="007C1370" w:rsidRDefault="00F9043F" w14:paraId="65B8129A" w14:textId="25D3AD70">
      <w:pPr>
        <w:pStyle w:val="ListParagraph"/>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8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 xml:space="preserve">The </w:t>
      </w:r>
      <w:r w:rsidRPr="00C4515C" w:rsidR="003C2595">
        <w:rPr>
          <w:rFonts w:asciiTheme="minorHAnsi" w:hAnsiTheme="minorHAnsi" w:eastAsiaTheme="minorEastAsia" w:cstheme="minorHAnsi"/>
          <w:sz w:val="22"/>
          <w:szCs w:val="22"/>
        </w:rPr>
        <w:t>202</w:t>
      </w:r>
      <w:r w:rsidRPr="00C4515C" w:rsidR="00FD6F14">
        <w:rPr>
          <w:rFonts w:asciiTheme="minorHAnsi" w:hAnsiTheme="minorHAnsi" w:eastAsiaTheme="minorEastAsia" w:cstheme="minorHAnsi"/>
          <w:sz w:val="22"/>
          <w:szCs w:val="22"/>
        </w:rPr>
        <w:t>2</w:t>
      </w:r>
      <w:r w:rsidRPr="00C4515C" w:rsidR="0090072A">
        <w:rPr>
          <w:rFonts w:asciiTheme="minorHAnsi" w:hAnsiTheme="minorHAnsi" w:eastAsiaTheme="minorEastAsia" w:cstheme="minorHAnsi"/>
          <w:sz w:val="22"/>
          <w:szCs w:val="22"/>
        </w:rPr>
        <w:t xml:space="preserve"> </w:t>
      </w:r>
      <w:r w:rsidRPr="00C4515C">
        <w:rPr>
          <w:rFonts w:asciiTheme="minorHAnsi" w:hAnsiTheme="minorHAnsi" w:eastAsiaTheme="minorEastAsia" w:cstheme="minorHAnsi"/>
          <w:sz w:val="22"/>
          <w:szCs w:val="22"/>
        </w:rPr>
        <w:t>SCS will be conducted in a fully automated interviewing environment using computer-assisted personal</w:t>
      </w:r>
      <w:r w:rsidRPr="00C4515C" w:rsidR="00D952F7">
        <w:rPr>
          <w:rFonts w:asciiTheme="minorHAnsi" w:hAnsiTheme="minorHAnsi" w:eastAsiaTheme="minorEastAsia" w:cstheme="minorHAnsi"/>
          <w:sz w:val="22"/>
          <w:szCs w:val="22"/>
        </w:rPr>
        <w:t xml:space="preserve"> </w:t>
      </w:r>
      <w:r w:rsidRPr="00C4515C">
        <w:rPr>
          <w:rFonts w:asciiTheme="minorHAnsi" w:hAnsiTheme="minorHAnsi" w:eastAsiaTheme="minorEastAsia" w:cstheme="minorHAnsi"/>
          <w:sz w:val="22"/>
          <w:szCs w:val="22"/>
        </w:rPr>
        <w:t>interviewing (CAPI) methods</w:t>
      </w:r>
      <w:r w:rsidRPr="00C4515C" w:rsidR="0090072A">
        <w:rPr>
          <w:rFonts w:asciiTheme="minorHAnsi" w:hAnsiTheme="minorHAnsi" w:eastAsiaTheme="minorEastAsia" w:cstheme="minorHAnsi"/>
          <w:sz w:val="22"/>
          <w:szCs w:val="22"/>
        </w:rPr>
        <w:t>. In this method,</w:t>
      </w:r>
      <w:r w:rsidRPr="00C4515C">
        <w:rPr>
          <w:rFonts w:asciiTheme="minorHAnsi" w:hAnsiTheme="minorHAnsi" w:eastAsiaTheme="minorEastAsia" w:cstheme="minorHAnsi"/>
          <w:sz w:val="22"/>
          <w:szCs w:val="22"/>
        </w:rPr>
        <w:t xml:space="preserve"> field representatives use a laptop computer to </w:t>
      </w:r>
      <w:r w:rsidRPr="00C4515C" w:rsidR="000D2EAE">
        <w:rPr>
          <w:rFonts w:asciiTheme="minorHAnsi" w:hAnsiTheme="minorHAnsi" w:eastAsiaTheme="minorEastAsia" w:cstheme="minorHAnsi"/>
          <w:sz w:val="22"/>
          <w:szCs w:val="22"/>
        </w:rPr>
        <w:t>read</w:t>
      </w:r>
      <w:r w:rsidRPr="00C4515C">
        <w:rPr>
          <w:rFonts w:asciiTheme="minorHAnsi" w:hAnsiTheme="minorHAnsi" w:eastAsiaTheme="minorEastAsia" w:cstheme="minorHAnsi"/>
          <w:sz w:val="22"/>
          <w:szCs w:val="22"/>
        </w:rPr>
        <w:t xml:space="preserve"> questions and record answers. </w:t>
      </w:r>
      <w:r w:rsidRPr="00C4515C" w:rsidR="000D2EAE">
        <w:rPr>
          <w:rFonts w:asciiTheme="minorHAnsi" w:hAnsiTheme="minorHAnsi" w:eastAsiaTheme="minorEastAsia" w:cstheme="minorHAnsi"/>
          <w:sz w:val="22"/>
          <w:szCs w:val="22"/>
        </w:rPr>
        <w:t xml:space="preserve">Interviews may be conducted by telephone or personal visit. </w:t>
      </w:r>
      <w:r w:rsidRPr="00C4515C">
        <w:rPr>
          <w:rFonts w:asciiTheme="minorHAnsi" w:hAnsiTheme="minorHAnsi" w:eastAsiaTheme="minorEastAsia" w:cstheme="minorHAnsi"/>
          <w:sz w:val="22"/>
          <w:szCs w:val="22"/>
        </w:rPr>
        <w:t>The use of CAPI technologies reduces data collection costs as well as respondent and interviewer burden. Furthermore, automated instruments afford the opportunity to implement inter-data item integrity constraints which minimize the</w:t>
      </w:r>
      <w:r w:rsidRPr="00C4515C" w:rsidR="008B4FEB">
        <w:rPr>
          <w:rFonts w:asciiTheme="minorHAnsi" w:hAnsiTheme="minorHAnsi" w:eastAsiaTheme="minorEastAsia" w:cstheme="minorHAnsi"/>
          <w:sz w:val="22"/>
          <w:szCs w:val="22"/>
        </w:rPr>
        <w:t xml:space="preserve"> amount of data inconsistency. </w:t>
      </w:r>
      <w:r w:rsidRPr="00C4515C">
        <w:rPr>
          <w:rFonts w:asciiTheme="minorHAnsi" w:hAnsiTheme="minorHAnsi" w:eastAsiaTheme="minorEastAsia" w:cstheme="minorHAnsi"/>
          <w:sz w:val="22"/>
          <w:szCs w:val="22"/>
        </w:rPr>
        <w:t>More consistent data, in turn, reduces the need for extensive post-data collection editing and imputation processes which significantly reduce</w:t>
      </w:r>
      <w:r w:rsidR="00EF48FE">
        <w:rPr>
          <w:rFonts w:asciiTheme="minorHAnsi" w:hAnsiTheme="minorHAnsi" w:eastAsiaTheme="minorEastAsia" w:cstheme="minorHAnsi"/>
          <w:sz w:val="22"/>
          <w:szCs w:val="22"/>
        </w:rPr>
        <w:t>s</w:t>
      </w:r>
      <w:r w:rsidRPr="00C4515C">
        <w:rPr>
          <w:rFonts w:asciiTheme="minorHAnsi" w:hAnsiTheme="minorHAnsi" w:eastAsiaTheme="minorEastAsia" w:cstheme="minorHAnsi"/>
          <w:sz w:val="22"/>
          <w:szCs w:val="22"/>
        </w:rPr>
        <w:t xml:space="preserve"> the time needed to release th</w:t>
      </w:r>
      <w:r w:rsidRPr="00C4515C" w:rsidR="008B4FEB">
        <w:rPr>
          <w:rFonts w:asciiTheme="minorHAnsi" w:hAnsiTheme="minorHAnsi" w:eastAsiaTheme="minorEastAsia" w:cstheme="minorHAnsi"/>
          <w:sz w:val="22"/>
          <w:szCs w:val="22"/>
        </w:rPr>
        <w:t xml:space="preserve">e data for public consumption. </w:t>
      </w:r>
      <w:r w:rsidRPr="00C4515C">
        <w:rPr>
          <w:rFonts w:asciiTheme="minorHAnsi" w:hAnsiTheme="minorHAnsi" w:eastAsiaTheme="minorEastAsia" w:cstheme="minorHAnsi"/>
          <w:sz w:val="22"/>
          <w:szCs w:val="22"/>
        </w:rPr>
        <w:t xml:space="preserve">The use of technology results in more accurate data products that are delivered in a </w:t>
      </w:r>
      <w:r w:rsidRPr="00C4515C" w:rsidR="0026181D">
        <w:rPr>
          <w:rFonts w:asciiTheme="minorHAnsi" w:hAnsiTheme="minorHAnsi" w:eastAsiaTheme="minorEastAsia" w:cstheme="minorHAnsi"/>
          <w:sz w:val="22"/>
          <w:szCs w:val="22"/>
        </w:rPr>
        <w:t>timelier</w:t>
      </w:r>
      <w:r w:rsidRPr="00C4515C">
        <w:rPr>
          <w:rFonts w:asciiTheme="minorHAnsi" w:hAnsiTheme="minorHAnsi" w:eastAsiaTheme="minorEastAsia" w:cstheme="minorHAnsi"/>
          <w:sz w:val="22"/>
          <w:szCs w:val="22"/>
        </w:rPr>
        <w:t xml:space="preserve"> fashion giving data users access to informa</w:t>
      </w:r>
      <w:r w:rsidRPr="00C4515C" w:rsidR="007C1370">
        <w:rPr>
          <w:rFonts w:asciiTheme="minorHAnsi" w:hAnsiTheme="minorHAnsi" w:eastAsiaTheme="minorEastAsia" w:cstheme="minorHAnsi"/>
          <w:sz w:val="22"/>
          <w:szCs w:val="22"/>
        </w:rPr>
        <w:t>tion while it is still relevant</w:t>
      </w:r>
      <w:r w:rsidRPr="00C4515C" w:rsidR="00F14E77">
        <w:rPr>
          <w:rFonts w:asciiTheme="minorHAnsi" w:hAnsiTheme="minorHAnsi" w:eastAsiaTheme="minorEastAsia" w:cstheme="minorHAnsi"/>
          <w:sz w:val="22"/>
          <w:szCs w:val="22"/>
        </w:rPr>
        <w:t>.</w:t>
      </w:r>
    </w:p>
    <w:p w:rsidRPr="00C4515C" w:rsidR="00DD3918" w:rsidP="00F9043F" w:rsidRDefault="00DD3918" w14:paraId="61AE839F" w14:textId="77777777">
      <w:pPr>
        <w:pStyle w:val="ListParagraph"/>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80"/>
        <w:rPr>
          <w:rFonts w:asciiTheme="minorHAnsi" w:hAnsiTheme="minorHAnsi" w:cstheme="minorHAnsi"/>
          <w:sz w:val="22"/>
          <w:szCs w:val="22"/>
        </w:rPr>
      </w:pPr>
    </w:p>
    <w:p w:rsidRPr="00C4515C" w:rsidR="000A406C" w:rsidP="00F06055" w:rsidRDefault="0058038D" w14:paraId="31AC596B" w14:textId="1379B0F6">
      <w:pPr>
        <w:pStyle w:val="ListParagraph"/>
        <w:numPr>
          <w:ilvl w:val="0"/>
          <w:numId w:val="12"/>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hanging="180"/>
        <w:rPr>
          <w:rFonts w:asciiTheme="minorHAnsi" w:hAnsiTheme="minorHAnsi" w:eastAsiaTheme="minorEastAsia" w:cstheme="minorHAnsi"/>
          <w:sz w:val="22"/>
          <w:szCs w:val="22"/>
          <w:u w:val="single"/>
        </w:rPr>
      </w:pPr>
      <w:r w:rsidRPr="00C4515C">
        <w:rPr>
          <w:rFonts w:asciiTheme="minorHAnsi" w:hAnsiTheme="minorHAnsi" w:eastAsiaTheme="minorEastAsia" w:cstheme="minorHAnsi"/>
          <w:sz w:val="22"/>
          <w:szCs w:val="22"/>
          <w:u w:val="single"/>
        </w:rPr>
        <w:t>Efforts to Identify Duplication</w:t>
      </w:r>
    </w:p>
    <w:p w:rsidRPr="00C4515C" w:rsidR="00D64C3D" w:rsidP="36B31C31" w:rsidRDefault="00D64C3D" w14:paraId="3BEF1AA3" w14:textId="5582A40B">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Two contemporary surveys collect information about school-related crime and safety from the students’ perspective. The Youth Risk Behavior Survey (YRBS) and Monitoring the Future (MTF) are national collections that target various populations and substantive areas. However, neither of these studies provides a comprehensive picture of school crime from the students’ perspective from both the public and private sectors.</w:t>
      </w:r>
      <w:r w:rsidRPr="00C4515C" w:rsidDel="00171EC4">
        <w:rPr>
          <w:rFonts w:asciiTheme="minorHAnsi" w:hAnsiTheme="minorHAnsi" w:eastAsiaTheme="minorEastAsia" w:cstheme="minorHAnsi"/>
          <w:sz w:val="22"/>
          <w:szCs w:val="22"/>
        </w:rPr>
        <w:t xml:space="preserve"> </w:t>
      </w:r>
    </w:p>
    <w:p w:rsidRPr="00C4515C" w:rsidR="002459E4" w:rsidP="00D1252C" w:rsidRDefault="002459E4" w14:paraId="6A29EA58" w14:textId="77777777">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eastAsiaTheme="minorEastAsia" w:cstheme="minorHAnsi"/>
          <w:b/>
          <w:bCs/>
          <w:sz w:val="22"/>
          <w:szCs w:val="22"/>
        </w:rPr>
      </w:pPr>
    </w:p>
    <w:p w:rsidR="001A67E9" w:rsidP="00D1252C" w:rsidRDefault="00D64C3D" w14:paraId="28047D77" w14:textId="3868E0CF">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eastAsiaTheme="minorEastAsia" w:cstheme="minorHAnsi"/>
          <w:sz w:val="22"/>
          <w:szCs w:val="22"/>
        </w:rPr>
      </w:pPr>
      <w:r w:rsidRPr="00C4515C">
        <w:rPr>
          <w:rFonts w:asciiTheme="minorHAnsi" w:hAnsiTheme="minorHAnsi" w:eastAsiaTheme="minorEastAsia" w:cstheme="minorHAnsi"/>
          <w:b/>
          <w:bCs/>
          <w:sz w:val="22"/>
          <w:szCs w:val="22"/>
        </w:rPr>
        <w:t xml:space="preserve">Youth Risk Behavior </w:t>
      </w:r>
      <w:r w:rsidRPr="00C4515C" w:rsidR="0090072A">
        <w:rPr>
          <w:rFonts w:asciiTheme="minorHAnsi" w:hAnsiTheme="minorHAnsi" w:eastAsiaTheme="minorEastAsia" w:cstheme="minorHAnsi"/>
          <w:b/>
          <w:bCs/>
          <w:sz w:val="22"/>
          <w:szCs w:val="22"/>
        </w:rPr>
        <w:t>Surveillance System</w:t>
      </w:r>
      <w:r w:rsidRPr="00C4515C">
        <w:rPr>
          <w:rFonts w:asciiTheme="minorHAnsi" w:hAnsiTheme="minorHAnsi" w:eastAsiaTheme="minorEastAsia" w:cstheme="minorHAnsi"/>
          <w:b/>
          <w:bCs/>
          <w:sz w:val="22"/>
          <w:szCs w:val="22"/>
        </w:rPr>
        <w:t xml:space="preserve"> (YRBS</w:t>
      </w:r>
      <w:r w:rsidRPr="00C4515C" w:rsidR="0090072A">
        <w:rPr>
          <w:rFonts w:asciiTheme="minorHAnsi" w:hAnsiTheme="minorHAnsi" w:eastAsiaTheme="minorEastAsia" w:cstheme="minorHAnsi"/>
          <w:b/>
          <w:bCs/>
          <w:sz w:val="22"/>
          <w:szCs w:val="22"/>
        </w:rPr>
        <w:t>S</w:t>
      </w:r>
      <w:r w:rsidRPr="00C4515C">
        <w:rPr>
          <w:rFonts w:asciiTheme="minorHAnsi" w:hAnsiTheme="minorHAnsi" w:eastAsiaTheme="minorEastAsia" w:cstheme="minorHAnsi"/>
          <w:b/>
          <w:bCs/>
          <w:sz w:val="22"/>
          <w:szCs w:val="22"/>
        </w:rPr>
        <w:t>)</w:t>
      </w:r>
      <w:r w:rsidRPr="00C4515C">
        <w:rPr>
          <w:rFonts w:asciiTheme="minorHAnsi" w:hAnsiTheme="minorHAnsi" w:eastAsiaTheme="minorEastAsia" w:cstheme="minorHAnsi"/>
          <w:sz w:val="22"/>
          <w:szCs w:val="22"/>
        </w:rPr>
        <w:t>. Th</w:t>
      </w:r>
      <w:r w:rsidRPr="00C4515C" w:rsidR="00AC1B92">
        <w:rPr>
          <w:rFonts w:asciiTheme="minorHAnsi" w:hAnsiTheme="minorHAnsi" w:eastAsiaTheme="minorEastAsia" w:cstheme="minorHAnsi"/>
          <w:sz w:val="22"/>
          <w:szCs w:val="22"/>
        </w:rPr>
        <w:t>e Center</w:t>
      </w:r>
      <w:r w:rsidRPr="00C4515C" w:rsidR="00D10058">
        <w:rPr>
          <w:rFonts w:asciiTheme="minorHAnsi" w:hAnsiTheme="minorHAnsi" w:eastAsiaTheme="minorEastAsia" w:cstheme="minorHAnsi"/>
          <w:sz w:val="22"/>
          <w:szCs w:val="22"/>
        </w:rPr>
        <w:t>s</w:t>
      </w:r>
      <w:r w:rsidRPr="00C4515C" w:rsidR="00AC1B92">
        <w:rPr>
          <w:rFonts w:asciiTheme="minorHAnsi" w:hAnsiTheme="minorHAnsi" w:eastAsiaTheme="minorEastAsia" w:cstheme="minorHAnsi"/>
          <w:sz w:val="22"/>
          <w:szCs w:val="22"/>
        </w:rPr>
        <w:t xml:space="preserve"> for Disease Control</w:t>
      </w:r>
      <w:r w:rsidRPr="00C4515C" w:rsidR="00CB0D8B">
        <w:rPr>
          <w:rFonts w:asciiTheme="minorHAnsi" w:hAnsiTheme="minorHAnsi" w:eastAsiaTheme="minorEastAsia" w:cstheme="minorHAnsi"/>
          <w:sz w:val="22"/>
          <w:szCs w:val="22"/>
        </w:rPr>
        <w:t xml:space="preserve"> and Prevention</w:t>
      </w:r>
      <w:r w:rsidRPr="00C4515C" w:rsidR="00AC1B92">
        <w:rPr>
          <w:rFonts w:asciiTheme="minorHAnsi" w:hAnsiTheme="minorHAnsi" w:eastAsiaTheme="minorEastAsia" w:cstheme="minorHAnsi"/>
          <w:sz w:val="22"/>
          <w:szCs w:val="22"/>
        </w:rPr>
        <w:t xml:space="preserve">’s </w:t>
      </w:r>
      <w:r w:rsidRPr="00C4515C">
        <w:rPr>
          <w:rFonts w:asciiTheme="minorHAnsi" w:hAnsiTheme="minorHAnsi" w:eastAsiaTheme="minorEastAsia" w:cstheme="minorHAnsi"/>
          <w:sz w:val="22"/>
          <w:szCs w:val="22"/>
        </w:rPr>
        <w:t xml:space="preserve">(CDC) </w:t>
      </w:r>
      <w:r w:rsidR="00E04029">
        <w:rPr>
          <w:rFonts w:asciiTheme="minorHAnsi" w:hAnsiTheme="minorHAnsi" w:eastAsiaTheme="minorEastAsia" w:cstheme="minorHAnsi"/>
          <w:sz w:val="22"/>
          <w:szCs w:val="22"/>
        </w:rPr>
        <w:t xml:space="preserve">YRBSS includes the </w:t>
      </w:r>
      <w:r w:rsidRPr="00C4515C">
        <w:rPr>
          <w:rFonts w:asciiTheme="minorHAnsi" w:hAnsiTheme="minorHAnsi" w:eastAsiaTheme="minorEastAsia" w:cstheme="minorHAnsi"/>
          <w:sz w:val="22"/>
          <w:szCs w:val="22"/>
        </w:rPr>
        <w:t>Youth Risk Behavior Survey (YRBS)</w:t>
      </w:r>
      <w:r w:rsidR="00E04029">
        <w:rPr>
          <w:rFonts w:asciiTheme="minorHAnsi" w:hAnsiTheme="minorHAnsi" w:eastAsiaTheme="minorEastAsia" w:cstheme="minorHAnsi"/>
          <w:sz w:val="22"/>
          <w:szCs w:val="22"/>
        </w:rPr>
        <w:t>. The YRBS</w:t>
      </w:r>
      <w:r w:rsidRPr="00C4515C">
        <w:rPr>
          <w:rFonts w:asciiTheme="minorHAnsi" w:hAnsiTheme="minorHAnsi" w:eastAsiaTheme="minorEastAsia" w:cstheme="minorHAnsi"/>
          <w:sz w:val="22"/>
          <w:szCs w:val="22"/>
        </w:rPr>
        <w:t xml:space="preserve"> collects information on risky behaviors and offending, but there is minimal overlap of YRBS content with that of the SCS. The YRBS is a school</w:t>
      </w:r>
      <w:r w:rsidRPr="00C4515C" w:rsidR="004449E1">
        <w:rPr>
          <w:rFonts w:asciiTheme="minorHAnsi" w:hAnsiTheme="minorHAnsi" w:eastAsiaTheme="minorEastAsia" w:cstheme="minorHAnsi"/>
          <w:sz w:val="22"/>
          <w:szCs w:val="22"/>
        </w:rPr>
        <w:t>-</w:t>
      </w:r>
      <w:r w:rsidRPr="00C4515C">
        <w:rPr>
          <w:rFonts w:asciiTheme="minorHAnsi" w:hAnsiTheme="minorHAnsi" w:eastAsiaTheme="minorEastAsia" w:cstheme="minorHAnsi"/>
          <w:sz w:val="22"/>
          <w:szCs w:val="22"/>
        </w:rPr>
        <w:t xml:space="preserve">based survey and interviews students in grades 9 through 12. </w:t>
      </w:r>
      <w:r w:rsidRPr="00C4515C" w:rsidR="003A3D29">
        <w:rPr>
          <w:rFonts w:asciiTheme="minorHAnsi" w:hAnsiTheme="minorHAnsi" w:eastAsiaTheme="minorEastAsia" w:cstheme="minorHAnsi"/>
          <w:sz w:val="22"/>
          <w:szCs w:val="22"/>
        </w:rPr>
        <w:t xml:space="preserve">Most of the questions ask about all experiences, not just those confined to school. </w:t>
      </w:r>
    </w:p>
    <w:p w:rsidR="001A67E9" w:rsidP="00D1252C" w:rsidRDefault="001A67E9" w14:paraId="011E064D" w14:textId="77777777">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eastAsiaTheme="minorEastAsia" w:cstheme="minorHAnsi"/>
          <w:sz w:val="22"/>
          <w:szCs w:val="22"/>
        </w:rPr>
      </w:pPr>
    </w:p>
    <w:p w:rsidRPr="00C4515C" w:rsidR="002A5CCD" w:rsidP="00D1252C" w:rsidRDefault="00D64C3D" w14:paraId="54CD8922" w14:textId="44811AA9">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The SCS is a household</w:t>
      </w:r>
      <w:r w:rsidRPr="00C4515C" w:rsidR="004449E1">
        <w:rPr>
          <w:rFonts w:asciiTheme="minorHAnsi" w:hAnsiTheme="minorHAnsi" w:eastAsiaTheme="minorEastAsia" w:cstheme="minorHAnsi"/>
          <w:sz w:val="22"/>
          <w:szCs w:val="22"/>
        </w:rPr>
        <w:t>-</w:t>
      </w:r>
      <w:r w:rsidRPr="00C4515C">
        <w:rPr>
          <w:rFonts w:asciiTheme="minorHAnsi" w:hAnsiTheme="minorHAnsi" w:eastAsiaTheme="minorEastAsia" w:cstheme="minorHAnsi"/>
          <w:sz w:val="22"/>
          <w:szCs w:val="22"/>
        </w:rPr>
        <w:t>based sample and interviews children ages 12 to 18 who have attended schoo</w:t>
      </w:r>
      <w:r w:rsidRPr="00C4515C" w:rsidR="00273924">
        <w:rPr>
          <w:rFonts w:asciiTheme="minorHAnsi" w:hAnsiTheme="minorHAnsi" w:eastAsiaTheme="minorEastAsia" w:cstheme="minorHAnsi"/>
          <w:sz w:val="22"/>
          <w:szCs w:val="22"/>
        </w:rPr>
        <w:t>l during the current school year</w:t>
      </w:r>
      <w:r w:rsidRPr="00C4515C">
        <w:rPr>
          <w:rFonts w:asciiTheme="minorHAnsi" w:hAnsiTheme="minorHAnsi" w:eastAsiaTheme="minorEastAsia" w:cstheme="minorHAnsi"/>
          <w:sz w:val="22"/>
          <w:szCs w:val="22"/>
        </w:rPr>
        <w:t xml:space="preserve"> (grades 6 through 12). </w:t>
      </w:r>
      <w:r w:rsidRPr="00C4515C" w:rsidR="003A3D29">
        <w:rPr>
          <w:rFonts w:asciiTheme="minorHAnsi" w:hAnsiTheme="minorHAnsi" w:eastAsiaTheme="minorEastAsia" w:cstheme="minorHAnsi"/>
          <w:sz w:val="22"/>
          <w:szCs w:val="22"/>
        </w:rPr>
        <w:t xml:space="preserve">All of the questions are about experiences at school. </w:t>
      </w:r>
      <w:r w:rsidRPr="00C4515C" w:rsidR="00254F1A">
        <w:rPr>
          <w:rFonts w:asciiTheme="minorHAnsi" w:hAnsiTheme="minorHAnsi" w:eastAsiaTheme="minorEastAsia" w:cstheme="minorHAnsi"/>
          <w:sz w:val="22"/>
          <w:szCs w:val="22"/>
        </w:rPr>
        <w:t>A</w:t>
      </w:r>
      <w:r w:rsidRPr="00C4515C" w:rsidR="00BB3D01">
        <w:rPr>
          <w:rFonts w:asciiTheme="minorHAnsi" w:hAnsiTheme="minorHAnsi" w:eastAsiaTheme="minorEastAsia" w:cstheme="minorHAnsi"/>
          <w:sz w:val="22"/>
          <w:szCs w:val="22"/>
        </w:rPr>
        <w:t xml:space="preserve">reas of overlap include asking if the student carried </w:t>
      </w:r>
      <w:r w:rsidRPr="00C4515C">
        <w:rPr>
          <w:rFonts w:asciiTheme="minorHAnsi" w:hAnsiTheme="minorHAnsi" w:eastAsiaTheme="minorEastAsia" w:cstheme="minorHAnsi"/>
          <w:sz w:val="22"/>
          <w:szCs w:val="22"/>
        </w:rPr>
        <w:t>a weapon on school prope</w:t>
      </w:r>
      <w:r w:rsidRPr="00C4515C" w:rsidR="00BB3D01">
        <w:rPr>
          <w:rFonts w:asciiTheme="minorHAnsi" w:hAnsiTheme="minorHAnsi" w:eastAsiaTheme="minorEastAsia" w:cstheme="minorHAnsi"/>
          <w:sz w:val="22"/>
          <w:szCs w:val="22"/>
        </w:rPr>
        <w:t xml:space="preserve">rty, if </w:t>
      </w:r>
      <w:r w:rsidRPr="00C4515C">
        <w:rPr>
          <w:rFonts w:asciiTheme="minorHAnsi" w:hAnsiTheme="minorHAnsi" w:eastAsiaTheme="minorEastAsia" w:cstheme="minorHAnsi"/>
          <w:sz w:val="22"/>
          <w:szCs w:val="22"/>
        </w:rPr>
        <w:t>the student</w:t>
      </w:r>
      <w:r w:rsidRPr="00C4515C" w:rsidR="00BB3D01">
        <w:rPr>
          <w:rFonts w:asciiTheme="minorHAnsi" w:hAnsiTheme="minorHAnsi" w:eastAsiaTheme="minorEastAsia" w:cstheme="minorHAnsi"/>
          <w:sz w:val="22"/>
          <w:szCs w:val="22"/>
        </w:rPr>
        <w:t xml:space="preserve"> was</w:t>
      </w:r>
      <w:r w:rsidRPr="00C4515C">
        <w:rPr>
          <w:rFonts w:asciiTheme="minorHAnsi" w:hAnsiTheme="minorHAnsi" w:eastAsiaTheme="minorEastAsia" w:cstheme="minorHAnsi"/>
          <w:sz w:val="22"/>
          <w:szCs w:val="22"/>
        </w:rPr>
        <w:t xml:space="preserve"> in a fight on school property, </w:t>
      </w:r>
      <w:r w:rsidRPr="00C4515C" w:rsidR="00BB3D01">
        <w:rPr>
          <w:rFonts w:asciiTheme="minorHAnsi" w:hAnsiTheme="minorHAnsi" w:eastAsiaTheme="minorEastAsia" w:cstheme="minorHAnsi"/>
          <w:sz w:val="22"/>
          <w:szCs w:val="22"/>
        </w:rPr>
        <w:t>if</w:t>
      </w:r>
      <w:r w:rsidRPr="00C4515C" w:rsidR="00622B95">
        <w:rPr>
          <w:rFonts w:asciiTheme="minorHAnsi" w:hAnsiTheme="minorHAnsi" w:eastAsiaTheme="minorEastAsia" w:cstheme="minorHAnsi"/>
          <w:sz w:val="22"/>
          <w:szCs w:val="22"/>
        </w:rPr>
        <w:t xml:space="preserve"> the student </w:t>
      </w:r>
      <w:r w:rsidRPr="00C4515C" w:rsidR="00BB3D01">
        <w:rPr>
          <w:rFonts w:asciiTheme="minorHAnsi" w:hAnsiTheme="minorHAnsi" w:eastAsiaTheme="minorEastAsia" w:cstheme="minorHAnsi"/>
          <w:sz w:val="22"/>
          <w:szCs w:val="22"/>
        </w:rPr>
        <w:t xml:space="preserve">was </w:t>
      </w:r>
      <w:r w:rsidRPr="00C4515C" w:rsidR="00622B95">
        <w:rPr>
          <w:rFonts w:asciiTheme="minorHAnsi" w:hAnsiTheme="minorHAnsi" w:eastAsiaTheme="minorEastAsia" w:cstheme="minorHAnsi"/>
          <w:sz w:val="22"/>
          <w:szCs w:val="22"/>
        </w:rPr>
        <w:t>bullied either at sch</w:t>
      </w:r>
      <w:r w:rsidRPr="00C4515C" w:rsidR="00BB3D01">
        <w:rPr>
          <w:rFonts w:asciiTheme="minorHAnsi" w:hAnsiTheme="minorHAnsi" w:eastAsiaTheme="minorEastAsia" w:cstheme="minorHAnsi"/>
          <w:sz w:val="22"/>
          <w:szCs w:val="22"/>
        </w:rPr>
        <w:t xml:space="preserve">ool or online (cyberbullied), </w:t>
      </w:r>
      <w:r w:rsidRPr="00C4515C">
        <w:rPr>
          <w:rFonts w:asciiTheme="minorHAnsi" w:hAnsiTheme="minorHAnsi" w:eastAsiaTheme="minorEastAsia" w:cstheme="minorHAnsi"/>
          <w:sz w:val="22"/>
          <w:szCs w:val="22"/>
        </w:rPr>
        <w:t>and</w:t>
      </w:r>
      <w:r w:rsidRPr="00C4515C" w:rsidR="00BB3D01">
        <w:rPr>
          <w:rFonts w:asciiTheme="minorHAnsi" w:hAnsiTheme="minorHAnsi" w:eastAsiaTheme="minorEastAsia" w:cstheme="minorHAnsi"/>
          <w:sz w:val="22"/>
          <w:szCs w:val="22"/>
        </w:rPr>
        <w:t xml:space="preserve"> if </w:t>
      </w:r>
      <w:r w:rsidRPr="00C4515C">
        <w:rPr>
          <w:rFonts w:asciiTheme="minorHAnsi" w:hAnsiTheme="minorHAnsi" w:eastAsiaTheme="minorEastAsia" w:cstheme="minorHAnsi"/>
          <w:sz w:val="22"/>
          <w:szCs w:val="22"/>
        </w:rPr>
        <w:t>the student skip</w:t>
      </w:r>
      <w:r w:rsidRPr="00C4515C" w:rsidR="00BB3D01">
        <w:rPr>
          <w:rFonts w:asciiTheme="minorHAnsi" w:hAnsiTheme="minorHAnsi" w:eastAsiaTheme="minorEastAsia" w:cstheme="minorHAnsi"/>
          <w:sz w:val="22"/>
          <w:szCs w:val="22"/>
        </w:rPr>
        <w:t>ped</w:t>
      </w:r>
      <w:r w:rsidRPr="00C4515C">
        <w:rPr>
          <w:rFonts w:asciiTheme="minorHAnsi" w:hAnsiTheme="minorHAnsi" w:eastAsiaTheme="minorEastAsia" w:cstheme="minorHAnsi"/>
          <w:sz w:val="22"/>
          <w:szCs w:val="22"/>
        </w:rPr>
        <w:t xml:space="preserve"> (or</w:t>
      </w:r>
      <w:r w:rsidRPr="00C4515C" w:rsidR="00BB3D01">
        <w:rPr>
          <w:rFonts w:asciiTheme="minorHAnsi" w:hAnsiTheme="minorHAnsi" w:eastAsiaTheme="minorEastAsia" w:cstheme="minorHAnsi"/>
          <w:sz w:val="22"/>
          <w:szCs w:val="22"/>
        </w:rPr>
        <w:t xml:space="preserve"> did</w:t>
      </w:r>
      <w:r w:rsidRPr="00C4515C">
        <w:rPr>
          <w:rFonts w:asciiTheme="minorHAnsi" w:hAnsiTheme="minorHAnsi" w:eastAsiaTheme="minorEastAsia" w:cstheme="minorHAnsi"/>
          <w:sz w:val="22"/>
          <w:szCs w:val="22"/>
        </w:rPr>
        <w:t xml:space="preserve"> not attend) school because of safety concerns. In 2011, two questions on bullying and cyber-bullying were added to the YRBS. Unlike the SCS, the questions do not go into detail about the type of bullying behavior, number of incidents, or results (notification of adults, avoidance, etc.). Additionally, because this is a self-administered survey, the responses are not directly comparable to the SCS</w:t>
      </w:r>
      <w:r w:rsidRPr="00C4515C" w:rsidR="00AC1B92">
        <w:rPr>
          <w:rFonts w:asciiTheme="minorHAnsi" w:hAnsiTheme="minorHAnsi" w:eastAsiaTheme="minorEastAsia" w:cstheme="minorHAnsi"/>
          <w:sz w:val="22"/>
          <w:szCs w:val="22"/>
        </w:rPr>
        <w:t>.</w:t>
      </w:r>
      <w:r w:rsidRPr="00C4515C">
        <w:rPr>
          <w:rFonts w:asciiTheme="minorHAnsi" w:hAnsiTheme="minorHAnsi" w:eastAsiaTheme="minorEastAsia" w:cstheme="minorHAnsi"/>
          <w:sz w:val="22"/>
          <w:szCs w:val="22"/>
        </w:rPr>
        <w:t xml:space="preserve"> </w:t>
      </w:r>
    </w:p>
    <w:p w:rsidRPr="00C4515C" w:rsidR="00D1252C" w:rsidP="00D1252C" w:rsidRDefault="00D1252C" w14:paraId="6F50ACCB" w14:textId="77777777">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eastAsiaTheme="minorEastAsia" w:cstheme="minorHAnsi"/>
          <w:sz w:val="22"/>
          <w:szCs w:val="22"/>
        </w:rPr>
      </w:pPr>
    </w:p>
    <w:p w:rsidRPr="00C4515C" w:rsidR="00BB3D01" w:rsidP="00DD3918" w:rsidRDefault="00D64C3D" w14:paraId="58B7F37B" w14:textId="5511B277">
      <w:pPr>
        <w:pStyle w:val="Text"/>
        <w:ind w:left="480"/>
        <w:rPr>
          <w:rFonts w:asciiTheme="minorHAnsi" w:hAnsiTheme="minorHAnsi" w:eastAsiaTheme="minorEastAsia" w:cstheme="minorHAnsi"/>
          <w:sz w:val="22"/>
          <w:szCs w:val="22"/>
        </w:rPr>
      </w:pPr>
      <w:r w:rsidRPr="00C4515C">
        <w:rPr>
          <w:rFonts w:asciiTheme="minorHAnsi" w:hAnsiTheme="minorHAnsi" w:eastAsiaTheme="minorEastAsia" w:cstheme="minorHAnsi"/>
          <w:b/>
          <w:bCs/>
          <w:sz w:val="22"/>
          <w:szCs w:val="22"/>
        </w:rPr>
        <w:t>Monitoring the Future (MTF)</w:t>
      </w:r>
      <w:r w:rsidRPr="00C4515C" w:rsidR="008B4FEB">
        <w:rPr>
          <w:rFonts w:asciiTheme="minorHAnsi" w:hAnsiTheme="minorHAnsi" w:eastAsiaTheme="minorEastAsia" w:cstheme="minorHAnsi"/>
          <w:sz w:val="22"/>
          <w:szCs w:val="22"/>
        </w:rPr>
        <w:t xml:space="preserve">. </w:t>
      </w:r>
      <w:r w:rsidRPr="00C4515C">
        <w:rPr>
          <w:rFonts w:asciiTheme="minorHAnsi" w:hAnsiTheme="minorHAnsi" w:eastAsiaTheme="minorEastAsia" w:cstheme="minorHAnsi"/>
          <w:sz w:val="22"/>
          <w:szCs w:val="22"/>
        </w:rPr>
        <w:t xml:space="preserve">The National Institute on Drug Abuse publishes survey results from </w:t>
      </w:r>
      <w:r w:rsidRPr="00C4515C" w:rsidR="008D5DB8">
        <w:rPr>
          <w:rFonts w:asciiTheme="minorHAnsi" w:hAnsiTheme="minorHAnsi" w:eastAsiaTheme="minorEastAsia" w:cstheme="minorHAnsi"/>
          <w:sz w:val="22"/>
          <w:szCs w:val="22"/>
        </w:rPr>
        <w:t>MTF</w:t>
      </w:r>
      <w:r w:rsidR="00E04029">
        <w:rPr>
          <w:rFonts w:asciiTheme="minorHAnsi" w:hAnsiTheme="minorHAnsi" w:eastAsiaTheme="minorEastAsia" w:cstheme="minorHAnsi"/>
          <w:sz w:val="22"/>
          <w:szCs w:val="22"/>
        </w:rPr>
        <w:t>.</w:t>
      </w:r>
      <w:r w:rsidRPr="00C4515C">
        <w:rPr>
          <w:rFonts w:asciiTheme="minorHAnsi" w:hAnsiTheme="minorHAnsi" w:eastAsiaTheme="minorEastAsia" w:cstheme="minorHAnsi"/>
          <w:sz w:val="22"/>
          <w:szCs w:val="22"/>
        </w:rPr>
        <w:t xml:space="preserve"> This survey, like the YRBS, is a self-administered form. It is also a school</w:t>
      </w:r>
      <w:r w:rsidRPr="00C4515C" w:rsidR="00CB0D8B">
        <w:rPr>
          <w:rFonts w:asciiTheme="minorHAnsi" w:hAnsiTheme="minorHAnsi" w:eastAsiaTheme="minorEastAsia" w:cstheme="minorHAnsi"/>
          <w:sz w:val="22"/>
          <w:szCs w:val="22"/>
        </w:rPr>
        <w:t>-</w:t>
      </w:r>
      <w:r w:rsidRPr="00C4515C">
        <w:rPr>
          <w:rFonts w:asciiTheme="minorHAnsi" w:hAnsiTheme="minorHAnsi" w:eastAsiaTheme="minorEastAsia" w:cstheme="minorHAnsi"/>
          <w:sz w:val="22"/>
          <w:szCs w:val="22"/>
        </w:rPr>
        <w:t>based survey</w:t>
      </w:r>
      <w:r w:rsidRPr="00C4515C" w:rsidR="000E1296">
        <w:rPr>
          <w:rFonts w:asciiTheme="minorHAnsi" w:hAnsiTheme="minorHAnsi" w:eastAsiaTheme="minorEastAsia" w:cstheme="minorHAnsi"/>
          <w:sz w:val="22"/>
          <w:szCs w:val="22"/>
        </w:rPr>
        <w:t xml:space="preserve"> population</w:t>
      </w:r>
      <w:r w:rsidRPr="00C4515C">
        <w:rPr>
          <w:rFonts w:asciiTheme="minorHAnsi" w:hAnsiTheme="minorHAnsi" w:eastAsiaTheme="minorEastAsia" w:cstheme="minorHAnsi"/>
          <w:sz w:val="22"/>
          <w:szCs w:val="22"/>
        </w:rPr>
        <w:t>. The population surveyed does not completely overlap with the SCS as the survey is not administered to students below grade 8</w:t>
      </w:r>
      <w:r w:rsidRPr="00C4515C" w:rsidR="00A647C3">
        <w:rPr>
          <w:rFonts w:asciiTheme="minorHAnsi" w:hAnsiTheme="minorHAnsi" w:eastAsiaTheme="minorEastAsia" w:cstheme="minorHAnsi"/>
          <w:sz w:val="22"/>
          <w:szCs w:val="22"/>
        </w:rPr>
        <w:t xml:space="preserve"> and uses different forms for grades 8, 10</w:t>
      </w:r>
      <w:r w:rsidRPr="00C4515C" w:rsidR="00F50BEE">
        <w:rPr>
          <w:rFonts w:asciiTheme="minorHAnsi" w:hAnsiTheme="minorHAnsi" w:eastAsiaTheme="minorEastAsia" w:cstheme="minorHAnsi"/>
          <w:sz w:val="22"/>
          <w:szCs w:val="22"/>
        </w:rPr>
        <w:t>,</w:t>
      </w:r>
      <w:r w:rsidRPr="00C4515C" w:rsidR="00A647C3">
        <w:rPr>
          <w:rFonts w:asciiTheme="minorHAnsi" w:hAnsiTheme="minorHAnsi" w:eastAsiaTheme="minorEastAsia" w:cstheme="minorHAnsi"/>
          <w:sz w:val="22"/>
          <w:szCs w:val="22"/>
        </w:rPr>
        <w:t xml:space="preserve"> and 12;</w:t>
      </w:r>
      <w:r w:rsidRPr="00C4515C">
        <w:rPr>
          <w:rFonts w:asciiTheme="minorHAnsi" w:hAnsiTheme="minorHAnsi" w:eastAsiaTheme="minorEastAsia" w:cstheme="minorHAnsi"/>
          <w:sz w:val="22"/>
          <w:szCs w:val="22"/>
        </w:rPr>
        <w:t xml:space="preserve"> it includes college students</w:t>
      </w:r>
      <w:r w:rsidRPr="00C4515C" w:rsidR="00A647C3">
        <w:rPr>
          <w:rFonts w:asciiTheme="minorHAnsi" w:hAnsiTheme="minorHAnsi" w:eastAsiaTheme="minorEastAsia" w:cstheme="minorHAnsi"/>
          <w:sz w:val="22"/>
          <w:szCs w:val="22"/>
        </w:rPr>
        <w:t>;</w:t>
      </w:r>
      <w:r w:rsidRPr="00C4515C">
        <w:rPr>
          <w:rFonts w:asciiTheme="minorHAnsi" w:hAnsiTheme="minorHAnsi" w:eastAsiaTheme="minorEastAsia" w:cstheme="minorHAnsi"/>
          <w:sz w:val="22"/>
          <w:szCs w:val="22"/>
        </w:rPr>
        <w:t xml:space="preserve"> and is not restricted by age. More importantly, the sampling procedures are representative of schools, not the general population. </w:t>
      </w:r>
      <w:r w:rsidR="007C1204">
        <w:rPr>
          <w:rFonts w:asciiTheme="minorHAnsi" w:hAnsiTheme="minorHAnsi" w:eastAsiaTheme="minorEastAsia" w:cstheme="minorHAnsi"/>
          <w:sz w:val="22"/>
          <w:szCs w:val="22"/>
        </w:rPr>
        <w:t>MTF</w:t>
      </w:r>
      <w:r w:rsidRPr="00C4515C">
        <w:rPr>
          <w:rFonts w:asciiTheme="minorHAnsi" w:hAnsiTheme="minorHAnsi" w:eastAsiaTheme="minorEastAsia" w:cstheme="minorHAnsi"/>
          <w:sz w:val="22"/>
          <w:szCs w:val="22"/>
        </w:rPr>
        <w:t xml:space="preserve"> does not look at bullying or cyber-bullying, and only overlaps in the areas of drug and alcohol use and availability. </w:t>
      </w:r>
      <w:r w:rsidRPr="00C4515C" w:rsidR="000E1296">
        <w:rPr>
          <w:rFonts w:asciiTheme="minorHAnsi" w:hAnsiTheme="minorHAnsi" w:eastAsiaTheme="minorEastAsia" w:cstheme="minorHAnsi"/>
          <w:sz w:val="22"/>
          <w:szCs w:val="22"/>
        </w:rPr>
        <w:t xml:space="preserve">Like the YRBS, MTF does not restrict responses to experiences on school property. </w:t>
      </w:r>
      <w:r w:rsidRPr="00C4515C">
        <w:rPr>
          <w:rFonts w:asciiTheme="minorHAnsi" w:hAnsiTheme="minorHAnsi" w:eastAsiaTheme="minorEastAsia" w:cstheme="minorHAnsi"/>
          <w:sz w:val="22"/>
          <w:szCs w:val="22"/>
        </w:rPr>
        <w:t>Thus, the SCS does not dupli</w:t>
      </w:r>
      <w:r w:rsidRPr="00C4515C" w:rsidR="00DD3918">
        <w:rPr>
          <w:rFonts w:asciiTheme="minorHAnsi" w:hAnsiTheme="minorHAnsi" w:eastAsiaTheme="minorEastAsia" w:cstheme="minorHAnsi"/>
          <w:sz w:val="22"/>
          <w:szCs w:val="22"/>
        </w:rPr>
        <w:t>cate existing data collections.</w:t>
      </w:r>
    </w:p>
    <w:p w:rsidRPr="00C4515C" w:rsidR="00FA1318" w:rsidP="00F06055" w:rsidRDefault="003E18E4" w14:paraId="2404991E" w14:textId="77777777">
      <w:pPr>
        <w:pStyle w:val="ListParagraph"/>
        <w:numPr>
          <w:ilvl w:val="0"/>
          <w:numId w:val="12"/>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05"/>
        <w:rPr>
          <w:rFonts w:asciiTheme="minorHAnsi" w:hAnsiTheme="minorHAnsi" w:eastAsiaTheme="minorEastAsia" w:cstheme="minorHAnsi"/>
          <w:sz w:val="22"/>
          <w:szCs w:val="22"/>
          <w:u w:val="single"/>
        </w:rPr>
      </w:pPr>
      <w:r w:rsidRPr="00C4515C">
        <w:rPr>
          <w:rFonts w:asciiTheme="minorHAnsi" w:hAnsiTheme="minorHAnsi" w:eastAsiaTheme="minorEastAsia" w:cstheme="minorHAnsi"/>
          <w:sz w:val="22"/>
          <w:szCs w:val="22"/>
          <w:u w:val="single"/>
        </w:rPr>
        <w:t xml:space="preserve">Efforts to </w:t>
      </w:r>
      <w:r w:rsidRPr="00C4515C" w:rsidR="00124757">
        <w:rPr>
          <w:rFonts w:asciiTheme="minorHAnsi" w:hAnsiTheme="minorHAnsi" w:eastAsiaTheme="minorEastAsia" w:cstheme="minorHAnsi"/>
          <w:sz w:val="22"/>
          <w:szCs w:val="22"/>
          <w:u w:val="single"/>
        </w:rPr>
        <w:t>Minimiz</w:t>
      </w:r>
      <w:r w:rsidRPr="00C4515C">
        <w:rPr>
          <w:rFonts w:asciiTheme="minorHAnsi" w:hAnsiTheme="minorHAnsi" w:eastAsiaTheme="minorEastAsia" w:cstheme="minorHAnsi"/>
          <w:sz w:val="22"/>
          <w:szCs w:val="22"/>
          <w:u w:val="single"/>
        </w:rPr>
        <w:t>e</w:t>
      </w:r>
      <w:r w:rsidRPr="00C4515C" w:rsidR="00124757">
        <w:rPr>
          <w:rFonts w:asciiTheme="minorHAnsi" w:hAnsiTheme="minorHAnsi" w:eastAsiaTheme="minorEastAsia" w:cstheme="minorHAnsi"/>
          <w:sz w:val="22"/>
          <w:szCs w:val="22"/>
          <w:u w:val="single"/>
        </w:rPr>
        <w:t xml:space="preserve"> Burden</w:t>
      </w:r>
    </w:p>
    <w:p w:rsidRPr="00C4515C" w:rsidR="004A536D" w:rsidP="00492228" w:rsidRDefault="00492228" w14:paraId="15249EBC" w14:textId="3358B648">
      <w:pPr>
        <w:autoSpaceDE/>
        <w:autoSpaceDN/>
        <w:adjustRightInd/>
        <w:ind w:left="540" w:firstLine="1"/>
        <w:rPr>
          <w:rFonts w:eastAsia="Calibri" w:asciiTheme="minorHAnsi" w:hAnsiTheme="minorHAnsi" w:cstheme="minorHAnsi"/>
          <w:sz w:val="22"/>
          <w:szCs w:val="22"/>
        </w:rPr>
      </w:pPr>
      <w:r w:rsidRPr="00C4515C">
        <w:rPr>
          <w:rFonts w:eastAsia="Calibri" w:asciiTheme="minorHAnsi" w:hAnsiTheme="minorHAnsi" w:cstheme="minorHAnsi"/>
          <w:sz w:val="22"/>
          <w:szCs w:val="22"/>
        </w:rPr>
        <w:t>N/A. The NCVS is a household-based survey and does not impact small business or small entities.</w:t>
      </w:r>
    </w:p>
    <w:p w:rsidRPr="00C4515C" w:rsidR="002459E4" w:rsidP="004A536D" w:rsidRDefault="002459E4" w14:paraId="363F97BD" w14:textId="77777777">
      <w:pPr>
        <w:autoSpaceDE/>
        <w:autoSpaceDN/>
        <w:adjustRightInd/>
        <w:ind w:left="4" w:firstLine="1"/>
        <w:rPr>
          <w:rFonts w:eastAsia="Calibri" w:asciiTheme="minorHAnsi" w:hAnsiTheme="minorHAnsi" w:cstheme="minorHAnsi"/>
          <w:sz w:val="22"/>
          <w:szCs w:val="22"/>
        </w:rPr>
      </w:pPr>
    </w:p>
    <w:p w:rsidRPr="00C4515C" w:rsidR="003C3D65" w:rsidP="00F06055" w:rsidRDefault="00124757" w14:paraId="1897D19B" w14:textId="77777777">
      <w:pPr>
        <w:pStyle w:val="ListParagraph"/>
        <w:numPr>
          <w:ilvl w:val="0"/>
          <w:numId w:val="12"/>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05"/>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u w:val="single"/>
        </w:rPr>
        <w:t>Consequences of Less Frequent Collection</w:t>
      </w:r>
    </w:p>
    <w:p w:rsidRPr="00C4515C" w:rsidR="00AD26D0" w:rsidP="36B31C31" w:rsidRDefault="00552C59" w14:paraId="1350D671" w14:textId="58C318A8">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eastAsiaTheme="minorEastAsia" w:cstheme="minorHAnsi"/>
          <w:color w:val="221E1F"/>
          <w:sz w:val="22"/>
          <w:szCs w:val="22"/>
        </w:rPr>
      </w:pPr>
      <w:r w:rsidRPr="00C4515C">
        <w:rPr>
          <w:rFonts w:asciiTheme="minorHAnsi" w:hAnsiTheme="minorHAnsi" w:eastAsiaTheme="minorEastAsia" w:cstheme="minorHAnsi"/>
          <w:sz w:val="22"/>
          <w:szCs w:val="22"/>
        </w:rPr>
        <w:t>Regular data collection is required to</w:t>
      </w:r>
      <w:r w:rsidRPr="00C4515C" w:rsidR="005B5A44">
        <w:rPr>
          <w:rFonts w:asciiTheme="minorHAnsi" w:hAnsiTheme="minorHAnsi" w:eastAsiaTheme="minorEastAsia" w:cstheme="minorHAnsi"/>
          <w:sz w:val="22"/>
          <w:szCs w:val="22"/>
        </w:rPr>
        <w:t xml:space="preserve"> produce </w:t>
      </w:r>
      <w:r w:rsidRPr="00C4515C" w:rsidR="00B84747">
        <w:rPr>
          <w:rFonts w:asciiTheme="minorHAnsi" w:hAnsiTheme="minorHAnsi" w:eastAsiaTheme="minorEastAsia" w:cstheme="minorHAnsi"/>
          <w:sz w:val="22"/>
          <w:szCs w:val="22"/>
        </w:rPr>
        <w:t xml:space="preserve">timely </w:t>
      </w:r>
      <w:r w:rsidRPr="00C4515C" w:rsidR="00D06582">
        <w:rPr>
          <w:rFonts w:asciiTheme="minorHAnsi" w:hAnsiTheme="minorHAnsi" w:eastAsiaTheme="minorEastAsia" w:cstheme="minorHAnsi"/>
          <w:sz w:val="22"/>
          <w:szCs w:val="22"/>
        </w:rPr>
        <w:t xml:space="preserve">statistics </w:t>
      </w:r>
      <w:r w:rsidRPr="00C4515C">
        <w:rPr>
          <w:rFonts w:asciiTheme="minorHAnsi" w:hAnsiTheme="minorHAnsi" w:eastAsiaTheme="minorEastAsia" w:cstheme="minorHAnsi"/>
          <w:sz w:val="22"/>
          <w:szCs w:val="22"/>
        </w:rPr>
        <w:t>on school crime victimization.</w:t>
      </w:r>
      <w:r w:rsidRPr="00C4515C" w:rsidR="00D64C3D">
        <w:rPr>
          <w:rFonts w:asciiTheme="minorHAnsi" w:hAnsiTheme="minorHAnsi" w:eastAsiaTheme="minorEastAsia" w:cstheme="minorHAnsi"/>
          <w:sz w:val="22"/>
          <w:szCs w:val="22"/>
        </w:rPr>
        <w:t xml:space="preserve"> </w:t>
      </w:r>
      <w:r w:rsidRPr="00C4515C" w:rsidR="00D06582">
        <w:rPr>
          <w:rFonts w:asciiTheme="minorHAnsi" w:hAnsiTheme="minorHAnsi" w:eastAsiaTheme="minorEastAsia" w:cstheme="minorHAnsi"/>
          <w:color w:val="221E1F"/>
          <w:sz w:val="22"/>
          <w:szCs w:val="22"/>
        </w:rPr>
        <w:t>The SCS is the only data collection on school victimization that is representative of the national youth population of students ages 12 t</w:t>
      </w:r>
      <w:r w:rsidR="00B35354">
        <w:rPr>
          <w:rFonts w:asciiTheme="minorHAnsi" w:hAnsiTheme="minorHAnsi" w:eastAsiaTheme="minorEastAsia" w:cstheme="minorHAnsi"/>
          <w:color w:val="221E1F"/>
          <w:sz w:val="22"/>
          <w:szCs w:val="22"/>
        </w:rPr>
        <w:t>o</w:t>
      </w:r>
      <w:r w:rsidRPr="00C4515C" w:rsidR="00D06582">
        <w:rPr>
          <w:rFonts w:asciiTheme="minorHAnsi" w:hAnsiTheme="minorHAnsi" w:eastAsiaTheme="minorEastAsia" w:cstheme="minorHAnsi"/>
          <w:color w:val="221E1F"/>
          <w:sz w:val="22"/>
          <w:szCs w:val="22"/>
        </w:rPr>
        <w:t xml:space="preserve"> 18. Less frequent collection would limit the ability</w:t>
      </w:r>
      <w:r w:rsidRPr="00C4515C" w:rsidR="005B5A44">
        <w:rPr>
          <w:rFonts w:asciiTheme="minorHAnsi" w:hAnsiTheme="minorHAnsi" w:eastAsiaTheme="minorEastAsia" w:cstheme="minorHAnsi"/>
          <w:color w:val="221E1F"/>
          <w:sz w:val="22"/>
          <w:szCs w:val="22"/>
        </w:rPr>
        <w:t xml:space="preserve"> to</w:t>
      </w:r>
      <w:r w:rsidRPr="00C4515C" w:rsidR="00D06582">
        <w:rPr>
          <w:rFonts w:asciiTheme="minorHAnsi" w:hAnsiTheme="minorHAnsi" w:eastAsiaTheme="minorEastAsia" w:cstheme="minorHAnsi"/>
          <w:color w:val="221E1F"/>
          <w:sz w:val="22"/>
          <w:szCs w:val="22"/>
        </w:rPr>
        <w:t xml:space="preserve"> present timely statistics and assess trends in student victimization. Additionally, less frequent collection would</w:t>
      </w:r>
      <w:r w:rsidRPr="00C4515C" w:rsidR="00824800">
        <w:rPr>
          <w:rFonts w:asciiTheme="minorHAnsi" w:hAnsiTheme="minorHAnsi" w:eastAsiaTheme="minorEastAsia" w:cstheme="minorHAnsi"/>
          <w:color w:val="221E1F"/>
          <w:sz w:val="22"/>
          <w:szCs w:val="22"/>
        </w:rPr>
        <w:t xml:space="preserve"> limit the ability to assess students’ </w:t>
      </w:r>
      <w:r w:rsidRPr="00C4515C" w:rsidR="005B5A44">
        <w:rPr>
          <w:rFonts w:asciiTheme="minorHAnsi" w:hAnsiTheme="minorHAnsi" w:eastAsiaTheme="minorEastAsia" w:cstheme="minorHAnsi"/>
          <w:color w:val="221E1F"/>
          <w:sz w:val="22"/>
          <w:szCs w:val="22"/>
        </w:rPr>
        <w:t xml:space="preserve">experiences </w:t>
      </w:r>
      <w:r w:rsidRPr="00C4515C" w:rsidR="00824800">
        <w:rPr>
          <w:rFonts w:asciiTheme="minorHAnsi" w:hAnsiTheme="minorHAnsi" w:eastAsiaTheme="minorEastAsia" w:cstheme="minorHAnsi"/>
          <w:color w:val="221E1F"/>
          <w:sz w:val="22"/>
          <w:szCs w:val="22"/>
        </w:rPr>
        <w:t xml:space="preserve">with bullying, drug and alcohol availability, and </w:t>
      </w:r>
      <w:r w:rsidRPr="00C4515C" w:rsidR="005B436A">
        <w:rPr>
          <w:rFonts w:asciiTheme="minorHAnsi" w:hAnsiTheme="minorHAnsi" w:eastAsiaTheme="minorEastAsia" w:cstheme="minorHAnsi"/>
          <w:color w:val="221E1F"/>
          <w:sz w:val="22"/>
          <w:szCs w:val="22"/>
        </w:rPr>
        <w:t>students’ access to weapons</w:t>
      </w:r>
      <w:r w:rsidRPr="00C4515C" w:rsidR="005B5A44">
        <w:rPr>
          <w:rFonts w:asciiTheme="minorHAnsi" w:hAnsiTheme="minorHAnsi" w:eastAsiaTheme="minorEastAsia" w:cstheme="minorHAnsi"/>
          <w:color w:val="221E1F"/>
          <w:sz w:val="22"/>
          <w:szCs w:val="22"/>
        </w:rPr>
        <w:t xml:space="preserve"> over time</w:t>
      </w:r>
      <w:r w:rsidRPr="00C4515C" w:rsidR="00824800">
        <w:rPr>
          <w:rFonts w:asciiTheme="minorHAnsi" w:hAnsiTheme="minorHAnsi" w:eastAsiaTheme="minorEastAsia" w:cstheme="minorHAnsi"/>
          <w:color w:val="221E1F"/>
          <w:sz w:val="22"/>
          <w:szCs w:val="22"/>
        </w:rPr>
        <w:t xml:space="preserve">. </w:t>
      </w:r>
      <w:r w:rsidRPr="00C4515C" w:rsidR="005B5A44">
        <w:rPr>
          <w:rFonts w:asciiTheme="minorHAnsi" w:hAnsiTheme="minorHAnsi" w:eastAsiaTheme="minorEastAsia" w:cstheme="minorHAnsi"/>
          <w:color w:val="221E1F"/>
          <w:sz w:val="22"/>
          <w:szCs w:val="22"/>
        </w:rPr>
        <w:t>Stakeholders, including policymakers, school administrators, researchers, and the media, rely on the timely and frequent collection of these data.</w:t>
      </w:r>
    </w:p>
    <w:p w:rsidRPr="00C4515C" w:rsidR="00AD26D0" w:rsidRDefault="00AD26D0" w14:paraId="76A5AC6F" w14:textId="66615D22">
      <w:pPr>
        <w:autoSpaceDE/>
        <w:autoSpaceDN/>
        <w:adjustRightInd/>
        <w:rPr>
          <w:rFonts w:asciiTheme="minorHAnsi" w:hAnsiTheme="minorHAnsi" w:eastAsiaTheme="minorEastAsia" w:cstheme="minorHAnsi"/>
          <w:color w:val="221E1F"/>
          <w:sz w:val="22"/>
          <w:szCs w:val="22"/>
        </w:rPr>
      </w:pPr>
    </w:p>
    <w:p w:rsidRPr="00C4515C" w:rsidR="00124757" w:rsidP="00F06055" w:rsidRDefault="00124757" w14:paraId="620F5DC4" w14:textId="77777777">
      <w:pPr>
        <w:pStyle w:val="ListParagraph"/>
        <w:numPr>
          <w:ilvl w:val="0"/>
          <w:numId w:val="12"/>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05"/>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u w:val="single"/>
        </w:rPr>
        <w:t>Special Circumstances</w:t>
      </w:r>
    </w:p>
    <w:p w:rsidRPr="00C4515C" w:rsidR="00124757" w:rsidP="36B31C31" w:rsidRDefault="00124757" w14:paraId="028D0066"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Collection is consistent with the guide</w:t>
      </w:r>
      <w:r w:rsidRPr="00C4515C" w:rsidR="00860D77">
        <w:rPr>
          <w:rFonts w:asciiTheme="minorHAnsi" w:hAnsiTheme="minorHAnsi" w:eastAsiaTheme="minorEastAsia" w:cstheme="minorHAnsi"/>
          <w:sz w:val="22"/>
          <w:szCs w:val="22"/>
        </w:rPr>
        <w:t>lines in 5 C.F.R. 1320.9</w:t>
      </w:r>
      <w:r w:rsidRPr="00C4515C">
        <w:rPr>
          <w:rFonts w:asciiTheme="minorHAnsi" w:hAnsiTheme="minorHAnsi" w:eastAsiaTheme="minorEastAsia" w:cstheme="minorHAnsi"/>
          <w:sz w:val="22"/>
          <w:szCs w:val="22"/>
        </w:rPr>
        <w:t>.</w:t>
      </w:r>
    </w:p>
    <w:p w:rsidRPr="00C4515C" w:rsidR="00FB4E7D" w:rsidP="004B0365" w:rsidRDefault="00FB4E7D" w14:paraId="7654F483"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Pr="00C4515C" w:rsidR="000F175D" w:rsidP="00F06055" w:rsidRDefault="003E18E4" w14:paraId="7709105B" w14:textId="77777777">
      <w:pPr>
        <w:pStyle w:val="ListParagraph"/>
        <w:numPr>
          <w:ilvl w:val="0"/>
          <w:numId w:val="8"/>
        </w:numPr>
        <w:ind w:left="450" w:hanging="180"/>
        <w:rPr>
          <w:rFonts w:asciiTheme="minorHAnsi" w:hAnsiTheme="minorHAnsi" w:eastAsiaTheme="minorEastAsia" w:cstheme="minorHAnsi"/>
          <w:sz w:val="22"/>
          <w:szCs w:val="22"/>
          <w:u w:val="single"/>
        </w:rPr>
      </w:pPr>
      <w:r w:rsidRPr="00C4515C">
        <w:rPr>
          <w:rFonts w:asciiTheme="minorHAnsi" w:hAnsiTheme="minorHAnsi" w:eastAsiaTheme="minorEastAsia" w:cstheme="minorHAnsi"/>
          <w:sz w:val="22"/>
          <w:szCs w:val="22"/>
          <w:u w:val="single"/>
        </w:rPr>
        <w:t>Adherence to 5 CFR 1320.8(d) and Outside Consultations</w:t>
      </w:r>
    </w:p>
    <w:p w:rsidR="007765C6" w:rsidP="006D6038" w:rsidRDefault="00942B83" w14:paraId="7B8829AD" w14:textId="10016003">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The research under this clearance is consistent with the guidelines in 5 CFR 1320.6</w:t>
      </w:r>
      <w:r w:rsidRPr="00C4515C" w:rsidR="00552C59">
        <w:rPr>
          <w:rFonts w:asciiTheme="minorHAnsi" w:hAnsiTheme="minorHAnsi" w:eastAsiaTheme="minorEastAsia" w:cstheme="minorHAnsi"/>
          <w:sz w:val="22"/>
          <w:szCs w:val="22"/>
        </w:rPr>
        <w:t xml:space="preserve"> and 5 CFR 1320.8(d)</w:t>
      </w:r>
      <w:r w:rsidRPr="00C4515C" w:rsidR="008B4FEB">
        <w:rPr>
          <w:rFonts w:asciiTheme="minorHAnsi" w:hAnsiTheme="minorHAnsi" w:eastAsiaTheme="minorEastAsia" w:cstheme="minorHAnsi"/>
          <w:sz w:val="22"/>
          <w:szCs w:val="22"/>
        </w:rPr>
        <w:t>.</w:t>
      </w:r>
      <w:r w:rsidRPr="00C4515C">
        <w:rPr>
          <w:rFonts w:asciiTheme="minorHAnsi" w:hAnsiTheme="minorHAnsi" w:eastAsiaTheme="minorEastAsia" w:cstheme="minorHAnsi"/>
          <w:sz w:val="22"/>
          <w:szCs w:val="22"/>
        </w:rPr>
        <w:t xml:space="preserve"> Comments on this data collection effort were solicited in the Federal Register,</w:t>
      </w:r>
      <w:r w:rsidRPr="00C4515C" w:rsidR="008A7B93">
        <w:rPr>
          <w:rFonts w:asciiTheme="minorHAnsi" w:hAnsiTheme="minorHAnsi" w:eastAsiaTheme="minorEastAsia" w:cstheme="minorHAnsi"/>
          <w:sz w:val="22"/>
          <w:szCs w:val="22"/>
        </w:rPr>
        <w:t xml:space="preserve"> </w:t>
      </w:r>
      <w:r w:rsidRPr="00C4515C" w:rsidR="00992385">
        <w:rPr>
          <w:rFonts w:asciiTheme="minorHAnsi" w:hAnsiTheme="minorHAnsi" w:eastAsiaTheme="minorEastAsia" w:cstheme="minorHAnsi"/>
          <w:sz w:val="22"/>
          <w:szCs w:val="22"/>
        </w:rPr>
        <w:t xml:space="preserve">Vol. </w:t>
      </w:r>
      <w:r w:rsidRPr="00C4515C" w:rsidR="009022EC">
        <w:rPr>
          <w:rFonts w:asciiTheme="minorHAnsi" w:hAnsiTheme="minorHAnsi" w:eastAsiaTheme="minorEastAsia" w:cstheme="minorHAnsi"/>
          <w:sz w:val="22"/>
          <w:szCs w:val="22"/>
        </w:rPr>
        <w:t>86</w:t>
      </w:r>
      <w:r w:rsidRPr="00C4515C" w:rsidR="00992385">
        <w:rPr>
          <w:rFonts w:asciiTheme="minorHAnsi" w:hAnsiTheme="minorHAnsi" w:eastAsiaTheme="minorEastAsia" w:cstheme="minorHAnsi"/>
          <w:sz w:val="22"/>
          <w:szCs w:val="22"/>
        </w:rPr>
        <w:t>, No.</w:t>
      </w:r>
      <w:r w:rsidRPr="00C4515C" w:rsidR="00824800">
        <w:rPr>
          <w:rFonts w:asciiTheme="minorHAnsi" w:hAnsiTheme="minorHAnsi" w:eastAsiaTheme="minorEastAsia" w:cstheme="minorHAnsi"/>
          <w:sz w:val="22"/>
          <w:szCs w:val="22"/>
        </w:rPr>
        <w:t xml:space="preserve"> </w:t>
      </w:r>
      <w:r w:rsidRPr="00C4515C" w:rsidR="009022EC">
        <w:rPr>
          <w:rFonts w:asciiTheme="minorHAnsi" w:hAnsiTheme="minorHAnsi" w:eastAsiaTheme="minorEastAsia" w:cstheme="minorHAnsi"/>
          <w:sz w:val="22"/>
          <w:szCs w:val="22"/>
        </w:rPr>
        <w:t>125</w:t>
      </w:r>
      <w:r w:rsidRPr="00C4515C" w:rsidR="00992385">
        <w:rPr>
          <w:rFonts w:asciiTheme="minorHAnsi" w:hAnsiTheme="minorHAnsi" w:eastAsiaTheme="minorEastAsia" w:cstheme="minorHAnsi"/>
          <w:sz w:val="22"/>
          <w:szCs w:val="22"/>
        </w:rPr>
        <w:t xml:space="preserve">, </w:t>
      </w:r>
      <w:r w:rsidRPr="00C4515C" w:rsidR="00B3650A">
        <w:rPr>
          <w:rFonts w:asciiTheme="minorHAnsi" w:hAnsiTheme="minorHAnsi" w:eastAsiaTheme="minorEastAsia" w:cstheme="minorHAnsi"/>
          <w:sz w:val="22"/>
          <w:szCs w:val="22"/>
        </w:rPr>
        <w:t xml:space="preserve">page </w:t>
      </w:r>
      <w:r w:rsidRPr="00C4515C" w:rsidR="009022EC">
        <w:rPr>
          <w:rFonts w:asciiTheme="minorHAnsi" w:hAnsiTheme="minorHAnsi" w:eastAsiaTheme="minorEastAsia" w:cstheme="minorHAnsi"/>
          <w:sz w:val="22"/>
          <w:szCs w:val="22"/>
        </w:rPr>
        <w:t>35347</w:t>
      </w:r>
      <w:r w:rsidRPr="00C4515C" w:rsidR="00B3650A">
        <w:rPr>
          <w:rFonts w:asciiTheme="minorHAnsi" w:hAnsiTheme="minorHAnsi" w:eastAsiaTheme="minorEastAsia" w:cstheme="minorHAnsi"/>
          <w:sz w:val="22"/>
          <w:szCs w:val="22"/>
        </w:rPr>
        <w:t xml:space="preserve"> </w:t>
      </w:r>
      <w:r w:rsidRPr="00C4515C" w:rsidR="00992385">
        <w:rPr>
          <w:rFonts w:asciiTheme="minorHAnsi" w:hAnsiTheme="minorHAnsi" w:eastAsiaTheme="minorEastAsia" w:cstheme="minorHAnsi"/>
          <w:sz w:val="22"/>
          <w:szCs w:val="22"/>
        </w:rPr>
        <w:t xml:space="preserve">on </w:t>
      </w:r>
      <w:r w:rsidRPr="00C4515C" w:rsidR="000A091C">
        <w:rPr>
          <w:rFonts w:asciiTheme="minorHAnsi" w:hAnsiTheme="minorHAnsi" w:eastAsiaTheme="minorEastAsia" w:cstheme="minorHAnsi"/>
          <w:sz w:val="22"/>
          <w:szCs w:val="22"/>
        </w:rPr>
        <w:t xml:space="preserve">July </w:t>
      </w:r>
      <w:r w:rsidRPr="00C4515C" w:rsidR="009022EC">
        <w:rPr>
          <w:rFonts w:asciiTheme="minorHAnsi" w:hAnsiTheme="minorHAnsi" w:eastAsiaTheme="minorEastAsia" w:cstheme="minorHAnsi"/>
          <w:sz w:val="22"/>
          <w:szCs w:val="22"/>
        </w:rPr>
        <w:t>2</w:t>
      </w:r>
      <w:r w:rsidRPr="00C4515C" w:rsidR="000A091C">
        <w:rPr>
          <w:rFonts w:asciiTheme="minorHAnsi" w:hAnsiTheme="minorHAnsi" w:eastAsiaTheme="minorEastAsia" w:cstheme="minorHAnsi"/>
          <w:sz w:val="22"/>
          <w:szCs w:val="22"/>
        </w:rPr>
        <w:t>, 20</w:t>
      </w:r>
      <w:r w:rsidRPr="00C4515C" w:rsidR="00AB3D94">
        <w:rPr>
          <w:rFonts w:asciiTheme="minorHAnsi" w:hAnsiTheme="minorHAnsi" w:eastAsiaTheme="minorEastAsia" w:cstheme="minorHAnsi"/>
          <w:sz w:val="22"/>
          <w:szCs w:val="22"/>
        </w:rPr>
        <w:t>21</w:t>
      </w:r>
      <w:r w:rsidRPr="00C4515C" w:rsidR="00D66BFF">
        <w:rPr>
          <w:rFonts w:asciiTheme="minorHAnsi" w:hAnsiTheme="minorHAnsi" w:eastAsiaTheme="minorEastAsia" w:cstheme="minorHAnsi"/>
          <w:sz w:val="22"/>
          <w:szCs w:val="22"/>
        </w:rPr>
        <w:t xml:space="preserve"> </w:t>
      </w:r>
      <w:r w:rsidRPr="00F60272" w:rsidR="00992385">
        <w:rPr>
          <w:rFonts w:asciiTheme="minorHAnsi" w:hAnsiTheme="minorHAnsi" w:eastAsiaTheme="minorEastAsia" w:cstheme="minorHAnsi"/>
          <w:sz w:val="22"/>
          <w:szCs w:val="22"/>
        </w:rPr>
        <w:t xml:space="preserve">and </w:t>
      </w:r>
      <w:r w:rsidRPr="00F60272" w:rsidR="0034572B">
        <w:rPr>
          <w:rFonts w:asciiTheme="minorHAnsi" w:hAnsiTheme="minorHAnsi" w:eastAsiaTheme="minorEastAsia" w:cstheme="minorHAnsi"/>
          <w:sz w:val="22"/>
          <w:szCs w:val="22"/>
        </w:rPr>
        <w:t xml:space="preserve">Vol. </w:t>
      </w:r>
      <w:r w:rsidRPr="00F60272" w:rsidR="00F60272">
        <w:rPr>
          <w:rFonts w:asciiTheme="minorHAnsi" w:hAnsiTheme="minorHAnsi" w:eastAsiaTheme="minorEastAsia" w:cstheme="minorHAnsi"/>
          <w:sz w:val="22"/>
          <w:szCs w:val="22"/>
        </w:rPr>
        <w:t>86</w:t>
      </w:r>
      <w:r w:rsidRPr="00F60272" w:rsidR="0034572B">
        <w:rPr>
          <w:rFonts w:asciiTheme="minorHAnsi" w:hAnsiTheme="minorHAnsi" w:eastAsiaTheme="minorEastAsia" w:cstheme="minorHAnsi"/>
          <w:sz w:val="22"/>
          <w:szCs w:val="22"/>
        </w:rPr>
        <w:t xml:space="preserve">, No. </w:t>
      </w:r>
      <w:r w:rsidRPr="00F60272" w:rsidR="00F60272">
        <w:rPr>
          <w:rFonts w:asciiTheme="minorHAnsi" w:hAnsiTheme="minorHAnsi" w:eastAsiaTheme="minorEastAsia" w:cstheme="minorHAnsi"/>
          <w:sz w:val="22"/>
          <w:szCs w:val="22"/>
        </w:rPr>
        <w:t>172</w:t>
      </w:r>
      <w:r w:rsidRPr="00F60272" w:rsidR="0034572B">
        <w:rPr>
          <w:rFonts w:asciiTheme="minorHAnsi" w:hAnsiTheme="minorHAnsi" w:eastAsiaTheme="minorEastAsia" w:cstheme="minorHAnsi"/>
          <w:sz w:val="22"/>
          <w:szCs w:val="22"/>
        </w:rPr>
        <w:t xml:space="preserve">, page </w:t>
      </w:r>
      <w:r w:rsidRPr="00F60272" w:rsidR="00F60272">
        <w:rPr>
          <w:rFonts w:asciiTheme="minorHAnsi" w:hAnsiTheme="minorHAnsi" w:eastAsiaTheme="minorEastAsia" w:cstheme="minorHAnsi"/>
          <w:sz w:val="22"/>
          <w:szCs w:val="22"/>
        </w:rPr>
        <w:t>50558</w:t>
      </w:r>
      <w:r w:rsidRPr="00F60272" w:rsidR="0034572B">
        <w:rPr>
          <w:rFonts w:asciiTheme="minorHAnsi" w:hAnsiTheme="minorHAnsi" w:eastAsiaTheme="minorEastAsia" w:cstheme="minorHAnsi"/>
          <w:sz w:val="22"/>
          <w:szCs w:val="22"/>
        </w:rPr>
        <w:t xml:space="preserve"> on </w:t>
      </w:r>
      <w:r w:rsidRPr="00F60272" w:rsidR="00065F28">
        <w:rPr>
          <w:rFonts w:asciiTheme="minorHAnsi" w:hAnsiTheme="minorHAnsi" w:eastAsiaTheme="minorEastAsia" w:cstheme="minorHAnsi"/>
          <w:sz w:val="22"/>
          <w:szCs w:val="22"/>
        </w:rPr>
        <w:t>September</w:t>
      </w:r>
      <w:r w:rsidRPr="00F60272" w:rsidR="0034572B">
        <w:rPr>
          <w:rFonts w:asciiTheme="minorHAnsi" w:hAnsiTheme="minorHAnsi" w:eastAsiaTheme="minorEastAsia" w:cstheme="minorHAnsi"/>
          <w:sz w:val="22"/>
          <w:szCs w:val="22"/>
        </w:rPr>
        <w:t xml:space="preserve"> </w:t>
      </w:r>
      <w:r w:rsidRPr="00F60272" w:rsidR="00F60272">
        <w:rPr>
          <w:rFonts w:asciiTheme="minorHAnsi" w:hAnsiTheme="minorHAnsi" w:eastAsiaTheme="minorEastAsia" w:cstheme="minorHAnsi"/>
          <w:sz w:val="22"/>
          <w:szCs w:val="22"/>
        </w:rPr>
        <w:t>9</w:t>
      </w:r>
      <w:r w:rsidRPr="00F60272" w:rsidR="0034572B">
        <w:rPr>
          <w:rFonts w:asciiTheme="minorHAnsi" w:hAnsiTheme="minorHAnsi" w:eastAsiaTheme="minorEastAsia" w:cstheme="minorHAnsi"/>
          <w:sz w:val="22"/>
          <w:szCs w:val="22"/>
        </w:rPr>
        <w:t>, 20</w:t>
      </w:r>
      <w:r w:rsidRPr="00F60272" w:rsidR="00AB3D94">
        <w:rPr>
          <w:rFonts w:asciiTheme="minorHAnsi" w:hAnsiTheme="minorHAnsi" w:eastAsiaTheme="minorEastAsia" w:cstheme="minorHAnsi"/>
          <w:sz w:val="22"/>
          <w:szCs w:val="22"/>
        </w:rPr>
        <w:t>21</w:t>
      </w:r>
      <w:r w:rsidRPr="00F60272" w:rsidR="0005308B">
        <w:rPr>
          <w:rFonts w:asciiTheme="minorHAnsi" w:hAnsiTheme="minorHAnsi" w:eastAsiaTheme="minorEastAsia" w:cstheme="minorHAnsi"/>
          <w:sz w:val="22"/>
          <w:szCs w:val="22"/>
        </w:rPr>
        <w:t>.</w:t>
      </w:r>
      <w:r w:rsidRPr="00F60272" w:rsidR="00992385">
        <w:rPr>
          <w:rFonts w:asciiTheme="minorHAnsi" w:hAnsiTheme="minorHAnsi" w:eastAsiaTheme="minorEastAsia" w:cstheme="minorHAnsi"/>
          <w:sz w:val="22"/>
          <w:szCs w:val="22"/>
        </w:rPr>
        <w:t xml:space="preserve"> </w:t>
      </w:r>
      <w:bookmarkStart w:name="_GoBack" w:id="0"/>
      <w:bookmarkEnd w:id="0"/>
      <w:r w:rsidRPr="00CC47C9" w:rsidR="00CC47C9">
        <w:rPr>
          <w:rFonts w:asciiTheme="minorHAnsi" w:hAnsiTheme="minorHAnsi" w:eastAsiaTheme="minorEastAsia" w:cstheme="minorHAnsi"/>
          <w:sz w:val="22"/>
          <w:szCs w:val="22"/>
        </w:rPr>
        <w:t xml:space="preserve">Public comments are </w:t>
      </w:r>
      <w:r w:rsidR="00CC47C9">
        <w:rPr>
          <w:rFonts w:asciiTheme="minorHAnsi" w:hAnsiTheme="minorHAnsi" w:eastAsiaTheme="minorEastAsia" w:cstheme="minorHAnsi"/>
          <w:sz w:val="22"/>
          <w:szCs w:val="22"/>
        </w:rPr>
        <w:t>presented</w:t>
      </w:r>
      <w:r w:rsidRPr="00CC47C9" w:rsidR="00CC47C9">
        <w:rPr>
          <w:rFonts w:asciiTheme="minorHAnsi" w:hAnsiTheme="minorHAnsi" w:eastAsiaTheme="minorEastAsia" w:cstheme="minorHAnsi"/>
          <w:sz w:val="22"/>
          <w:szCs w:val="22"/>
        </w:rPr>
        <w:t xml:space="preserve"> in Table 1.</w:t>
      </w:r>
      <w:r w:rsidR="007765C6">
        <w:rPr>
          <w:rFonts w:asciiTheme="minorHAnsi" w:hAnsiTheme="minorHAnsi" w:eastAsiaTheme="minorEastAsia" w:cstheme="minorHAnsi"/>
          <w:sz w:val="22"/>
          <w:szCs w:val="22"/>
        </w:rPr>
        <w:br/>
      </w:r>
    </w:p>
    <w:p w:rsidR="007765C6" w:rsidRDefault="007765C6" w14:paraId="70809C3B" w14:textId="77777777">
      <w:pPr>
        <w:autoSpaceDE/>
        <w:autoSpaceDN/>
        <w:adjustRightInd/>
        <w:rPr>
          <w:rFonts w:asciiTheme="minorHAnsi" w:hAnsiTheme="minorHAnsi" w:eastAsiaTheme="minorEastAsia" w:cstheme="minorHAnsi"/>
          <w:sz w:val="22"/>
          <w:szCs w:val="22"/>
        </w:rPr>
      </w:pPr>
      <w:r>
        <w:rPr>
          <w:rFonts w:asciiTheme="minorHAnsi" w:hAnsiTheme="minorHAnsi" w:eastAsiaTheme="minorEastAsia" w:cstheme="minorHAnsi"/>
          <w:sz w:val="22"/>
          <w:szCs w:val="22"/>
        </w:rPr>
        <w:br w:type="page"/>
      </w:r>
    </w:p>
    <w:p w:rsidRPr="00C4515C" w:rsidR="00141E36" w:rsidP="002459E4" w:rsidRDefault="00141E36" w14:paraId="597CBBF1" w14:textId="54CB95CC">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rPr>
          <w:rFonts w:asciiTheme="minorHAnsi" w:hAnsiTheme="minorHAnsi" w:cstheme="minorHAnsi"/>
          <w:b/>
          <w:sz w:val="22"/>
          <w:szCs w:val="22"/>
        </w:rPr>
      </w:pPr>
      <w:r w:rsidRPr="00C4515C">
        <w:rPr>
          <w:rFonts w:asciiTheme="minorHAnsi" w:hAnsiTheme="minorHAnsi" w:cstheme="minorHAnsi"/>
          <w:b/>
          <w:sz w:val="22"/>
          <w:szCs w:val="22"/>
        </w:rPr>
        <w:lastRenderedPageBreak/>
        <w:t>Table 1. Public comments on the 2022 School Crime Supplement</w:t>
      </w:r>
    </w:p>
    <w:tbl>
      <w:tblPr>
        <w:tblStyle w:val="TableGrid"/>
        <w:tblW w:w="8820" w:type="dxa"/>
        <w:tblInd w:w="445" w:type="dxa"/>
        <w:tblLook w:val="04A0" w:firstRow="1" w:lastRow="0" w:firstColumn="1" w:lastColumn="0" w:noHBand="0" w:noVBand="1"/>
      </w:tblPr>
      <w:tblGrid>
        <w:gridCol w:w="1620"/>
        <w:gridCol w:w="4500"/>
        <w:gridCol w:w="2700"/>
      </w:tblGrid>
      <w:tr w:rsidRPr="00C4515C" w:rsidR="00756715" w:rsidTr="002459E4" w14:paraId="02084C71" w14:textId="77777777">
        <w:tc>
          <w:tcPr>
            <w:tcW w:w="1620" w:type="dxa"/>
          </w:tcPr>
          <w:p w:rsidRPr="00C4515C" w:rsidR="00756715" w:rsidP="0010006B" w:rsidRDefault="00756715" w14:paraId="5986F39A" w14:textId="725C7BBD">
            <w:pPr>
              <w:autoSpaceDE/>
              <w:autoSpaceDN/>
              <w:adjustRightInd/>
              <w:jc w:val="left"/>
              <w:rPr>
                <w:rFonts w:asciiTheme="minorHAnsi" w:hAnsiTheme="minorHAnsi" w:eastAsiaTheme="minorEastAsia" w:cstheme="minorHAnsi"/>
                <w:b/>
              </w:rPr>
            </w:pPr>
            <w:r w:rsidRPr="00C4515C">
              <w:rPr>
                <w:rFonts w:asciiTheme="minorHAnsi" w:hAnsiTheme="minorHAnsi" w:eastAsiaTheme="minorEastAsia" w:cstheme="minorHAnsi"/>
                <w:b/>
              </w:rPr>
              <w:t>Comment from:</w:t>
            </w:r>
          </w:p>
        </w:tc>
        <w:tc>
          <w:tcPr>
            <w:tcW w:w="4500" w:type="dxa"/>
          </w:tcPr>
          <w:p w:rsidRPr="00C4515C" w:rsidR="00756715" w:rsidP="0010006B" w:rsidRDefault="00756715" w14:paraId="293C2ECB" w14:textId="1498AE95">
            <w:pPr>
              <w:autoSpaceDE/>
              <w:autoSpaceDN/>
              <w:adjustRightInd/>
              <w:jc w:val="left"/>
              <w:rPr>
                <w:rFonts w:asciiTheme="minorHAnsi" w:hAnsiTheme="minorHAnsi" w:eastAsiaTheme="minorEastAsia" w:cstheme="minorHAnsi"/>
                <w:b/>
              </w:rPr>
            </w:pPr>
            <w:r w:rsidRPr="00C4515C">
              <w:rPr>
                <w:rFonts w:asciiTheme="minorHAnsi" w:hAnsiTheme="minorHAnsi" w:eastAsiaTheme="minorEastAsia" w:cstheme="minorHAnsi"/>
                <w:b/>
              </w:rPr>
              <w:t>Comment:</w:t>
            </w:r>
          </w:p>
        </w:tc>
        <w:tc>
          <w:tcPr>
            <w:tcW w:w="2700" w:type="dxa"/>
          </w:tcPr>
          <w:p w:rsidRPr="00C4515C" w:rsidR="00756715" w:rsidP="0010006B" w:rsidRDefault="00756715" w14:paraId="04DBDF0B" w14:textId="3F00FA10">
            <w:pPr>
              <w:autoSpaceDE/>
              <w:autoSpaceDN/>
              <w:adjustRightInd/>
              <w:jc w:val="left"/>
              <w:rPr>
                <w:rFonts w:asciiTheme="minorHAnsi" w:hAnsiTheme="minorHAnsi" w:eastAsiaTheme="minorEastAsia" w:cstheme="minorHAnsi"/>
                <w:b/>
              </w:rPr>
            </w:pPr>
            <w:r w:rsidRPr="00C4515C">
              <w:rPr>
                <w:rFonts w:asciiTheme="minorHAnsi" w:hAnsiTheme="minorHAnsi" w:eastAsiaTheme="minorEastAsia" w:cstheme="minorHAnsi"/>
                <w:b/>
              </w:rPr>
              <w:t>Implementation of public comment and BJS response:</w:t>
            </w:r>
          </w:p>
        </w:tc>
      </w:tr>
      <w:tr w:rsidRPr="00C4515C" w:rsidR="00756715" w:rsidTr="002459E4" w14:paraId="42FAEBD1" w14:textId="77777777">
        <w:tc>
          <w:tcPr>
            <w:tcW w:w="1620" w:type="dxa"/>
          </w:tcPr>
          <w:p w:rsidRPr="00C4515C" w:rsidR="00756715" w:rsidP="001B065D" w:rsidRDefault="001B065D" w14:paraId="13693B4F" w14:textId="40E12682">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Barbara Olden</w:t>
            </w:r>
          </w:p>
        </w:tc>
        <w:tc>
          <w:tcPr>
            <w:tcW w:w="4500" w:type="dxa"/>
          </w:tcPr>
          <w:p w:rsidRPr="00C4515C" w:rsidR="00756715" w:rsidP="001B065D" w:rsidRDefault="001B065D" w14:paraId="74E1A343" w14:textId="77777777">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Question 1e is double-barreled</w:t>
            </w:r>
            <w:r w:rsidRPr="00C4515C" w:rsidR="00586CEF">
              <w:rPr>
                <w:rFonts w:asciiTheme="minorHAnsi" w:hAnsiTheme="minorHAnsi" w:eastAsiaTheme="minorEastAsia" w:cstheme="minorHAnsi"/>
              </w:rPr>
              <w:t>:</w:t>
            </w:r>
          </w:p>
          <w:p w:rsidRPr="00C4515C" w:rsidR="00586CEF" w:rsidP="001B065D" w:rsidRDefault="00586CEF" w14:paraId="4714F847" w14:textId="0F414225">
            <w:pPr>
              <w:autoSpaceDE/>
              <w:autoSpaceDN/>
              <w:adjustRightInd/>
              <w:jc w:val="left"/>
              <w:rPr>
                <w:rFonts w:asciiTheme="minorHAnsi" w:hAnsiTheme="minorHAnsi" w:eastAsiaTheme="minorEastAsia" w:cstheme="minorHAnsi"/>
                <w:i/>
              </w:rPr>
            </w:pPr>
            <w:r w:rsidRPr="00C4515C">
              <w:rPr>
                <w:rFonts w:asciiTheme="minorHAnsi" w:hAnsiTheme="minorHAnsi" w:eastAsiaTheme="minorEastAsia" w:cstheme="minorHAnsi"/>
                <w:i/>
              </w:rPr>
              <w:t>Did you receive [online schooling or virtual learning/homeschooling instead of being enrolled in a public or private school/online schooling or virtual learning or homeschooling instead of being enrolled in a public or private school] because of the Coronavirus pandemic?</w:t>
            </w:r>
          </w:p>
        </w:tc>
        <w:tc>
          <w:tcPr>
            <w:tcW w:w="2700" w:type="dxa"/>
          </w:tcPr>
          <w:p w:rsidRPr="00C4515C" w:rsidR="00B352FA" w:rsidP="001B065D" w:rsidRDefault="0010006B" w14:paraId="4AEB2C43" w14:textId="05F97A16">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Comment will not be implemented</w:t>
            </w:r>
            <w:r w:rsidRPr="00C4515C" w:rsidR="00B352FA">
              <w:rPr>
                <w:rFonts w:asciiTheme="minorHAnsi" w:hAnsiTheme="minorHAnsi" w:eastAsiaTheme="minorEastAsia" w:cstheme="minorHAnsi"/>
              </w:rPr>
              <w:t>.</w:t>
            </w:r>
          </w:p>
          <w:p w:rsidRPr="00C4515C" w:rsidR="00B352FA" w:rsidP="001B065D" w:rsidRDefault="00B352FA" w14:paraId="21635399" w14:textId="77777777">
            <w:pPr>
              <w:autoSpaceDE/>
              <w:autoSpaceDN/>
              <w:adjustRightInd/>
              <w:jc w:val="left"/>
              <w:rPr>
                <w:rFonts w:asciiTheme="minorHAnsi" w:hAnsiTheme="minorHAnsi" w:eastAsiaTheme="minorEastAsia" w:cstheme="minorHAnsi"/>
              </w:rPr>
            </w:pPr>
          </w:p>
          <w:p w:rsidRPr="00C4515C" w:rsidR="00756715" w:rsidP="001B065D" w:rsidRDefault="00B352FA" w14:paraId="0A859D94" w14:textId="24451C75">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Question was cognitively tested and determined to be understood by the sample population of persons ages 12 to 18.</w:t>
            </w:r>
            <w:r w:rsidRPr="00C4515C" w:rsidR="006F58CD">
              <w:rPr>
                <w:rFonts w:asciiTheme="minorHAnsi" w:hAnsiTheme="minorHAnsi" w:eastAsiaTheme="minorEastAsia" w:cstheme="minorHAnsi"/>
              </w:rPr>
              <w:t xml:space="preserve"> CAPI programming will fill in applicable portion of question for each respondent.</w:t>
            </w:r>
          </w:p>
        </w:tc>
      </w:tr>
      <w:tr w:rsidRPr="00C4515C" w:rsidR="00756715" w:rsidTr="002459E4" w14:paraId="055E2811" w14:textId="77777777">
        <w:tc>
          <w:tcPr>
            <w:tcW w:w="1620" w:type="dxa"/>
          </w:tcPr>
          <w:p w:rsidRPr="00C4515C" w:rsidR="00756715" w:rsidP="001B065D" w:rsidRDefault="001B065D" w14:paraId="2F357B7B" w14:textId="7707F7FC">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Barbara Olden</w:t>
            </w:r>
          </w:p>
        </w:tc>
        <w:tc>
          <w:tcPr>
            <w:tcW w:w="4500" w:type="dxa"/>
          </w:tcPr>
          <w:p w:rsidRPr="00C4515C" w:rsidR="00756715" w:rsidP="001B065D" w:rsidRDefault="001B065D" w14:paraId="2FE206D4" w14:textId="77777777">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Question 38c is advanced for this age group</w:t>
            </w:r>
            <w:r w:rsidRPr="00C4515C" w:rsidR="00586CEF">
              <w:rPr>
                <w:rFonts w:asciiTheme="minorHAnsi" w:hAnsiTheme="minorHAnsi" w:eastAsiaTheme="minorEastAsia" w:cstheme="minorHAnsi"/>
              </w:rPr>
              <w:t>:</w:t>
            </w:r>
          </w:p>
          <w:p w:rsidRPr="00C4515C" w:rsidR="00586CEF" w:rsidP="001B065D" w:rsidRDefault="00586CEF" w14:paraId="31CEED42" w14:textId="60A17E0C">
            <w:pPr>
              <w:autoSpaceDE/>
              <w:autoSpaceDN/>
              <w:adjustRightInd/>
              <w:jc w:val="left"/>
              <w:rPr>
                <w:rFonts w:asciiTheme="minorHAnsi" w:hAnsiTheme="minorHAnsi" w:eastAsiaTheme="minorEastAsia" w:cstheme="minorHAnsi"/>
                <w:i/>
              </w:rPr>
            </w:pPr>
            <w:r w:rsidRPr="00C4515C">
              <w:rPr>
                <w:rFonts w:asciiTheme="minorHAnsi" w:hAnsiTheme="minorHAnsi" w:eastAsiaTheme="minorEastAsia" w:cstheme="minorHAnsi"/>
                <w:i/>
              </w:rPr>
              <w:t>Besides the times you are in the school building, on school property, on a school bus, or going to or from school, how often are you afraid that someone will attack or harm you?</w:t>
            </w:r>
          </w:p>
        </w:tc>
        <w:tc>
          <w:tcPr>
            <w:tcW w:w="2700" w:type="dxa"/>
          </w:tcPr>
          <w:p w:rsidRPr="00C4515C" w:rsidR="0010006B" w:rsidP="0010006B" w:rsidRDefault="0010006B" w14:paraId="6E12980A" w14:textId="77777777">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Comment will not be implemented.</w:t>
            </w:r>
          </w:p>
          <w:p w:rsidRPr="00C4515C" w:rsidR="0010006B" w:rsidP="0010006B" w:rsidRDefault="0010006B" w14:paraId="5A5FAF5E" w14:textId="77777777">
            <w:pPr>
              <w:autoSpaceDE/>
              <w:autoSpaceDN/>
              <w:adjustRightInd/>
              <w:jc w:val="left"/>
              <w:rPr>
                <w:rFonts w:asciiTheme="minorHAnsi" w:hAnsiTheme="minorHAnsi" w:eastAsiaTheme="minorEastAsia" w:cstheme="minorHAnsi"/>
              </w:rPr>
            </w:pPr>
          </w:p>
          <w:p w:rsidRPr="00C4515C" w:rsidR="00756715" w:rsidP="0010006B" w:rsidRDefault="0010006B" w14:paraId="6A70D311" w14:textId="23D78D2E">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Question was cognitively tested and determined to be understood by the sample population of persons ages 12 to 18.</w:t>
            </w:r>
          </w:p>
        </w:tc>
      </w:tr>
      <w:tr w:rsidRPr="00C4515C" w:rsidR="001B065D" w:rsidTr="002459E4" w14:paraId="6E321ADA" w14:textId="77777777">
        <w:tc>
          <w:tcPr>
            <w:tcW w:w="1620" w:type="dxa"/>
          </w:tcPr>
          <w:p w:rsidRPr="00C4515C" w:rsidR="001B065D" w:rsidP="001B065D" w:rsidRDefault="001B065D" w14:paraId="626C3B91" w14:textId="57CCFDBD">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Barbara Olden</w:t>
            </w:r>
          </w:p>
        </w:tc>
        <w:tc>
          <w:tcPr>
            <w:tcW w:w="4500" w:type="dxa"/>
          </w:tcPr>
          <w:p w:rsidRPr="00C4515C" w:rsidR="001B065D" w:rsidP="001B065D" w:rsidRDefault="001B065D" w14:paraId="70A1580D" w14:textId="767D0809">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Reading ease of the SCS. A Flesch Kincaid readability score was generated for question 1e</w:t>
            </w:r>
            <w:r w:rsidRPr="00C4515C" w:rsidR="00586CEF">
              <w:rPr>
                <w:rFonts w:asciiTheme="minorHAnsi" w:hAnsiTheme="minorHAnsi" w:eastAsiaTheme="minorEastAsia" w:cstheme="minorHAnsi"/>
              </w:rPr>
              <w:t xml:space="preserve"> and indicated the reading level was higher than the sample population</w:t>
            </w:r>
            <w:r w:rsidRPr="00C4515C">
              <w:rPr>
                <w:rFonts w:asciiTheme="minorHAnsi" w:hAnsiTheme="minorHAnsi" w:eastAsiaTheme="minorEastAsia" w:cstheme="minorHAnsi"/>
              </w:rPr>
              <w:t>:</w:t>
            </w:r>
          </w:p>
          <w:p w:rsidRPr="00C4515C" w:rsidR="001B065D" w:rsidP="001B065D" w:rsidRDefault="001B065D" w14:paraId="6D360563" w14:textId="4D34438B">
            <w:pPr>
              <w:autoSpaceDE/>
              <w:autoSpaceDN/>
              <w:adjustRightInd/>
              <w:jc w:val="left"/>
              <w:rPr>
                <w:rFonts w:asciiTheme="minorHAnsi" w:hAnsiTheme="minorHAnsi" w:eastAsiaTheme="minorEastAsia" w:cstheme="minorHAnsi"/>
                <w:i/>
              </w:rPr>
            </w:pPr>
            <w:r w:rsidRPr="00C4515C">
              <w:rPr>
                <w:rFonts w:asciiTheme="minorHAnsi" w:hAnsiTheme="minorHAnsi" w:eastAsiaTheme="minorEastAsia" w:cstheme="minorHAnsi"/>
                <w:i/>
              </w:rPr>
              <w:t xml:space="preserve">Did you receive [online schooling or virtual learning/homeschooling instead of being enrolled in a public or private school/online schooling or virtual learning or homeschooling instead of being enrolled in a public or private school] because of the Coronavirus pandemic? </w:t>
            </w:r>
          </w:p>
        </w:tc>
        <w:tc>
          <w:tcPr>
            <w:tcW w:w="2700" w:type="dxa"/>
          </w:tcPr>
          <w:p w:rsidRPr="00C4515C" w:rsidR="0010006B" w:rsidP="0010006B" w:rsidRDefault="0010006B" w14:paraId="1F4FE3FF" w14:textId="77777777">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Comment will not be implemented.</w:t>
            </w:r>
          </w:p>
          <w:p w:rsidRPr="00C4515C" w:rsidR="0010006B" w:rsidP="0010006B" w:rsidRDefault="0010006B" w14:paraId="56EA6FA6" w14:textId="77777777">
            <w:pPr>
              <w:autoSpaceDE/>
              <w:autoSpaceDN/>
              <w:adjustRightInd/>
              <w:jc w:val="left"/>
              <w:rPr>
                <w:rFonts w:asciiTheme="minorHAnsi" w:hAnsiTheme="minorHAnsi" w:eastAsiaTheme="minorEastAsia" w:cstheme="minorHAnsi"/>
              </w:rPr>
            </w:pPr>
          </w:p>
          <w:p w:rsidRPr="00C4515C" w:rsidR="001B065D" w:rsidP="0010006B" w:rsidRDefault="0010006B" w14:paraId="4C798D64" w14:textId="30F14B5C">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Question was cognitively tested and determined to be understood by the sample population of persons ages 12 to 18.</w:t>
            </w:r>
            <w:r w:rsidRPr="00C4515C" w:rsidR="006F58CD">
              <w:rPr>
                <w:rFonts w:asciiTheme="minorHAnsi" w:hAnsiTheme="minorHAnsi" w:eastAsiaTheme="minorEastAsia" w:cstheme="minorHAnsi"/>
              </w:rPr>
              <w:t xml:space="preserve"> CAPI programming will fill in applicable portion of question for each respondent.</w:t>
            </w:r>
          </w:p>
        </w:tc>
      </w:tr>
      <w:tr w:rsidRPr="00C4515C" w:rsidR="00092868" w:rsidTr="002459E4" w14:paraId="2C72857D" w14:textId="77777777">
        <w:tc>
          <w:tcPr>
            <w:tcW w:w="1620" w:type="dxa"/>
          </w:tcPr>
          <w:p w:rsidRPr="00C4515C" w:rsidR="00092868" w:rsidP="00184C95" w:rsidRDefault="00092868" w14:paraId="2F435A3A" w14:textId="67E95928">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Briana Frenzel</w:t>
            </w:r>
          </w:p>
        </w:tc>
        <w:tc>
          <w:tcPr>
            <w:tcW w:w="4500" w:type="dxa"/>
          </w:tcPr>
          <w:p w:rsidR="00092868" w:rsidP="00092868" w:rsidRDefault="00092868" w14:paraId="5D07EBD1" w14:textId="77777777">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There are no variables capturing charter status compared to other public schools (e.g. public, private or charter school), but the legalities surrounding their structure, finances, and accreditations are very different. These all have a lot of impact on the way communities are able to respond to needs identified in these supplements.</w:t>
            </w:r>
          </w:p>
          <w:p w:rsidR="007765C6" w:rsidP="00092868" w:rsidRDefault="007765C6" w14:paraId="4647B995" w14:textId="77777777">
            <w:pPr>
              <w:autoSpaceDE/>
              <w:autoSpaceDN/>
              <w:adjustRightInd/>
              <w:jc w:val="left"/>
              <w:rPr>
                <w:rFonts w:asciiTheme="minorHAnsi" w:hAnsiTheme="minorHAnsi" w:eastAsiaTheme="minorEastAsia" w:cstheme="minorHAnsi"/>
              </w:rPr>
            </w:pPr>
          </w:p>
          <w:p w:rsidRPr="00C4515C" w:rsidR="007765C6" w:rsidP="00092868" w:rsidRDefault="007765C6" w14:paraId="45E92109" w14:textId="13EEABF6">
            <w:pPr>
              <w:autoSpaceDE/>
              <w:autoSpaceDN/>
              <w:adjustRightInd/>
              <w:jc w:val="left"/>
              <w:rPr>
                <w:rFonts w:asciiTheme="minorHAnsi" w:hAnsiTheme="minorHAnsi" w:eastAsiaTheme="minorEastAsia" w:cstheme="minorHAnsi"/>
              </w:rPr>
            </w:pPr>
          </w:p>
        </w:tc>
        <w:tc>
          <w:tcPr>
            <w:tcW w:w="2700" w:type="dxa"/>
          </w:tcPr>
          <w:p w:rsidRPr="00C4515C" w:rsidR="00092868" w:rsidP="003C380C" w:rsidRDefault="003C380C" w14:paraId="1BA5386E" w14:textId="17BC945C">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 xml:space="preserve">Charter schools are classified as public schools because they are identified on the Department of Education’s (ED) Common Core of Data (CCD) database. </w:t>
            </w:r>
          </w:p>
        </w:tc>
      </w:tr>
      <w:tr w:rsidRPr="00C4515C" w:rsidR="00092868" w:rsidTr="002459E4" w14:paraId="145A7BCD" w14:textId="77777777">
        <w:tc>
          <w:tcPr>
            <w:tcW w:w="1620" w:type="dxa"/>
          </w:tcPr>
          <w:p w:rsidRPr="00C4515C" w:rsidR="00092868" w:rsidP="00184C95" w:rsidRDefault="00092868" w14:paraId="60BB692E" w14:textId="09C37921">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lastRenderedPageBreak/>
              <w:t>Briana Frenzel</w:t>
            </w:r>
          </w:p>
        </w:tc>
        <w:tc>
          <w:tcPr>
            <w:tcW w:w="4500" w:type="dxa"/>
          </w:tcPr>
          <w:p w:rsidRPr="00C4515C" w:rsidR="00092868" w:rsidP="00092868" w:rsidRDefault="00092868" w14:paraId="10BEE367" w14:textId="1FA63FE7">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There is not a lot of distinction in terms of gender identity or struggles experienced as a result, nor group it in with sexual orientation as it had been in the past.</w:t>
            </w:r>
          </w:p>
        </w:tc>
        <w:tc>
          <w:tcPr>
            <w:tcW w:w="2700" w:type="dxa"/>
          </w:tcPr>
          <w:p w:rsidRPr="00C4515C" w:rsidR="00092868" w:rsidP="003C380C" w:rsidRDefault="00442510" w14:paraId="0626AA28" w14:textId="77C7ABCF">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Data users can link core NCVS data which includes sexual orientation and gender identity status for persons ages 16 or older and examine school-related victimization for these persons.</w:t>
            </w:r>
          </w:p>
        </w:tc>
      </w:tr>
      <w:tr w:rsidRPr="00C4515C" w:rsidR="00092868" w:rsidTr="002459E4" w14:paraId="3AFCE9B6" w14:textId="77777777">
        <w:tc>
          <w:tcPr>
            <w:tcW w:w="1620" w:type="dxa"/>
          </w:tcPr>
          <w:p w:rsidRPr="00C4515C" w:rsidR="00092868" w:rsidP="00184C95" w:rsidRDefault="00092868" w14:paraId="6041FCE8" w14:textId="0E60AF09">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Briana Frenzel</w:t>
            </w:r>
          </w:p>
        </w:tc>
        <w:tc>
          <w:tcPr>
            <w:tcW w:w="4500" w:type="dxa"/>
          </w:tcPr>
          <w:p w:rsidRPr="00C4515C" w:rsidR="00092868" w:rsidP="00092868" w:rsidRDefault="00092868" w14:paraId="5E903F06" w14:textId="15F8B5B3">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In the recent years there are a lot of schools returning toward trades/apprenticeships, both in activities (e.g.</w:t>
            </w:r>
            <w:r w:rsidR="002A6D4F">
              <w:rPr>
                <w:rFonts w:asciiTheme="minorHAnsi" w:hAnsiTheme="minorHAnsi" w:eastAsiaTheme="minorEastAsia" w:cstheme="minorHAnsi"/>
              </w:rPr>
              <w:t>,</w:t>
            </w:r>
            <w:r w:rsidRPr="00C4515C">
              <w:rPr>
                <w:rFonts w:asciiTheme="minorHAnsi" w:hAnsiTheme="minorHAnsi" w:eastAsiaTheme="minorEastAsia" w:cstheme="minorHAnsi"/>
              </w:rPr>
              <w:t xml:space="preserve"> FFA, 4-H, FCCLA, ROTC, etc.) and in encouraging apprenticeship programs following graduation. The various activities and clubs avoid agricultural or trades focus. The variables asking about </w:t>
            </w:r>
            <w:r w:rsidRPr="00C4515C" w:rsidR="00BA68D7">
              <w:rPr>
                <w:rFonts w:asciiTheme="minorHAnsi" w:hAnsiTheme="minorHAnsi" w:eastAsiaTheme="minorEastAsia" w:cstheme="minorHAnsi"/>
              </w:rPr>
              <w:t>post-graduation</w:t>
            </w:r>
            <w:r w:rsidRPr="00C4515C">
              <w:rPr>
                <w:rFonts w:asciiTheme="minorHAnsi" w:hAnsiTheme="minorHAnsi" w:eastAsiaTheme="minorEastAsia" w:cstheme="minorHAnsi"/>
              </w:rPr>
              <w:t xml:space="preserve"> plans include </w:t>
            </w:r>
            <w:r w:rsidRPr="00C4515C" w:rsidR="00BA68D7">
              <w:rPr>
                <w:rFonts w:asciiTheme="minorHAnsi" w:hAnsiTheme="minorHAnsi" w:eastAsiaTheme="minorEastAsia" w:cstheme="minorHAnsi"/>
              </w:rPr>
              <w:t>4-year</w:t>
            </w:r>
            <w:r w:rsidRPr="00C4515C">
              <w:rPr>
                <w:rFonts w:asciiTheme="minorHAnsi" w:hAnsiTheme="minorHAnsi" w:eastAsiaTheme="minorEastAsia" w:cstheme="minorHAnsi"/>
              </w:rPr>
              <w:t xml:space="preserve"> university or college/technical for future plans, and more students are completing high school and an associate’s concurrently than in the past.</w:t>
            </w:r>
          </w:p>
        </w:tc>
        <w:tc>
          <w:tcPr>
            <w:tcW w:w="2700" w:type="dxa"/>
          </w:tcPr>
          <w:p w:rsidRPr="00C4515C" w:rsidR="00092868" w:rsidP="00442510" w:rsidRDefault="00442510" w14:paraId="2FE661BB" w14:textId="77777777">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Comment will not be implemented at this time.</w:t>
            </w:r>
          </w:p>
          <w:p w:rsidRPr="00C4515C" w:rsidR="002459E4" w:rsidP="00442510" w:rsidRDefault="002459E4" w14:paraId="33C8A646" w14:textId="77777777">
            <w:pPr>
              <w:autoSpaceDE/>
              <w:autoSpaceDN/>
              <w:adjustRightInd/>
              <w:jc w:val="left"/>
              <w:rPr>
                <w:rFonts w:asciiTheme="minorHAnsi" w:hAnsiTheme="minorHAnsi" w:eastAsiaTheme="minorEastAsia" w:cstheme="minorHAnsi"/>
              </w:rPr>
            </w:pPr>
          </w:p>
          <w:p w:rsidRPr="00C4515C" w:rsidR="00442510" w:rsidP="00442510" w:rsidRDefault="00442510" w14:paraId="5ECEB4DA" w14:textId="14985A30">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 xml:space="preserve">This is a revision to consider for future administrations as additional questions on this topic need to be developed and cognitively tested. </w:t>
            </w:r>
          </w:p>
        </w:tc>
      </w:tr>
      <w:tr w:rsidRPr="00C4515C" w:rsidR="00184C95" w:rsidTr="002459E4" w14:paraId="0D671C06" w14:textId="77777777">
        <w:tc>
          <w:tcPr>
            <w:tcW w:w="1620" w:type="dxa"/>
          </w:tcPr>
          <w:p w:rsidRPr="00C4515C" w:rsidR="00184C95" w:rsidP="00184C95" w:rsidRDefault="001B0F55" w14:paraId="0E5BD9F7" w14:textId="7281390B">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Lillian Brooks</w:t>
            </w:r>
          </w:p>
        </w:tc>
        <w:tc>
          <w:tcPr>
            <w:tcW w:w="4500" w:type="dxa"/>
          </w:tcPr>
          <w:p w:rsidRPr="00C4515C" w:rsidR="00184C95" w:rsidP="002459E4" w:rsidRDefault="001B0F55" w14:paraId="74C59C63" w14:textId="0EB69831">
            <w:pPr>
              <w:jc w:val="left"/>
              <w:rPr>
                <w:rFonts w:asciiTheme="minorHAnsi" w:hAnsiTheme="minorHAnsi" w:cstheme="minorHAnsi"/>
              </w:rPr>
            </w:pPr>
            <w:r w:rsidRPr="00C4515C">
              <w:rPr>
                <w:rFonts w:asciiTheme="minorHAnsi" w:hAnsiTheme="minorHAnsi" w:cstheme="minorHAnsi"/>
              </w:rPr>
              <w:t>My comment is that I do address the Crime Victim Survey in my class and its accuracy.  I can't attest to the accuracy on self-reporting but I can tell you that the data on school crime would be of use to us in linking it to bullying and drop-out prevention.  Programs can be developed that address these issues as students often avoid school or are truant when their experience at school is negatively impacted by criminal threats by other students.  If this data goes beyond telling us that school crime has increased or decreased, it will be more useful to schools and researchers in devising plans to address why the crime is occurring. Unfortunately, I have not seen adequate information on this issue.  You will have to find a way for students to report their experiences as they are not always truthful or forthcoming on surveys.</w:t>
            </w:r>
          </w:p>
        </w:tc>
        <w:tc>
          <w:tcPr>
            <w:tcW w:w="2700" w:type="dxa"/>
          </w:tcPr>
          <w:p w:rsidRPr="00C4515C" w:rsidR="00184C95" w:rsidP="002459E4" w:rsidRDefault="00821AC9" w14:paraId="5C0D82FD" w14:textId="0C9F8548">
            <w:pPr>
              <w:jc w:val="left"/>
              <w:rPr>
                <w:rFonts w:asciiTheme="minorHAnsi" w:hAnsiTheme="minorHAnsi" w:cstheme="minorHAnsi"/>
              </w:rPr>
            </w:pPr>
            <w:r w:rsidRPr="00C4515C">
              <w:rPr>
                <w:rFonts w:asciiTheme="minorHAnsi" w:hAnsiTheme="minorHAnsi" w:cstheme="minorHAnsi"/>
              </w:rPr>
              <w:t xml:space="preserve">The 2022 SCS does ask questions about bullying. </w:t>
            </w:r>
            <w:r w:rsidR="007F02DD">
              <w:rPr>
                <w:rFonts w:asciiTheme="minorHAnsi" w:hAnsiTheme="minorHAnsi" w:cstheme="minorHAnsi"/>
              </w:rPr>
              <w:t>Th</w:t>
            </w:r>
            <w:r w:rsidR="003B2420">
              <w:rPr>
                <w:rFonts w:asciiTheme="minorHAnsi" w:hAnsiTheme="minorHAnsi" w:cstheme="minorHAnsi"/>
              </w:rPr>
              <w:t>e</w:t>
            </w:r>
            <w:r w:rsidR="007F02DD">
              <w:rPr>
                <w:rFonts w:asciiTheme="minorHAnsi" w:hAnsiTheme="minorHAnsi" w:cstheme="minorHAnsi"/>
              </w:rPr>
              <w:t xml:space="preserve"> instrument does not include items </w:t>
            </w:r>
            <w:r w:rsidRPr="00C4515C">
              <w:rPr>
                <w:rFonts w:asciiTheme="minorHAnsi" w:hAnsiTheme="minorHAnsi" w:cstheme="minorHAnsi"/>
              </w:rPr>
              <w:t xml:space="preserve">about dropping out of school but </w:t>
            </w:r>
            <w:r w:rsidR="007F02DD">
              <w:rPr>
                <w:rFonts w:asciiTheme="minorHAnsi" w:hAnsiTheme="minorHAnsi" w:cstheme="minorHAnsi"/>
              </w:rPr>
              <w:t>does include</w:t>
            </w:r>
            <w:r w:rsidRPr="00C4515C">
              <w:rPr>
                <w:rFonts w:asciiTheme="minorHAnsi" w:hAnsiTheme="minorHAnsi" w:cstheme="minorHAnsi"/>
              </w:rPr>
              <w:t xml:space="preserve"> about skipping classes in-person or virtually, which could be a proxy measure for truancy. SCS data provide </w:t>
            </w:r>
            <w:r w:rsidR="00B305B3">
              <w:rPr>
                <w:rFonts w:asciiTheme="minorHAnsi" w:hAnsiTheme="minorHAnsi" w:cstheme="minorHAnsi"/>
              </w:rPr>
              <w:t>v</w:t>
            </w:r>
            <w:r w:rsidRPr="00C4515C">
              <w:rPr>
                <w:rFonts w:asciiTheme="minorHAnsi" w:hAnsiTheme="minorHAnsi" w:cstheme="minorHAnsi"/>
              </w:rPr>
              <w:t xml:space="preserve">aluable information for persons interested in the topic. </w:t>
            </w:r>
          </w:p>
        </w:tc>
      </w:tr>
    </w:tbl>
    <w:p w:rsidRPr="00C4515C" w:rsidR="00756715" w:rsidRDefault="00756715" w14:paraId="61981AE2" w14:textId="605170D4">
      <w:pPr>
        <w:autoSpaceDE/>
        <w:autoSpaceDN/>
        <w:adjustRightInd/>
        <w:rPr>
          <w:rFonts w:asciiTheme="minorHAnsi" w:hAnsiTheme="minorHAnsi" w:eastAsiaTheme="minorEastAsia" w:cstheme="minorHAnsi"/>
          <w:sz w:val="22"/>
          <w:szCs w:val="22"/>
        </w:rPr>
      </w:pPr>
    </w:p>
    <w:p w:rsidRPr="00C4515C" w:rsidR="00942B83" w:rsidP="36B31C31" w:rsidRDefault="00942B83" w14:paraId="31B3D62C" w14:textId="4D6205B0">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The U.S. Census Bureau, BJS, and NCES co</w:t>
      </w:r>
      <w:r w:rsidRPr="00C4515C" w:rsidR="00AB3D94">
        <w:rPr>
          <w:rFonts w:asciiTheme="minorHAnsi" w:hAnsiTheme="minorHAnsi" w:eastAsiaTheme="minorEastAsia" w:cstheme="minorHAnsi"/>
          <w:sz w:val="22"/>
          <w:szCs w:val="22"/>
        </w:rPr>
        <w:t>ordinated</w:t>
      </w:r>
      <w:r w:rsidRPr="00C4515C">
        <w:rPr>
          <w:rFonts w:asciiTheme="minorHAnsi" w:hAnsiTheme="minorHAnsi" w:eastAsiaTheme="minorEastAsia" w:cstheme="minorHAnsi"/>
          <w:sz w:val="22"/>
          <w:szCs w:val="22"/>
        </w:rPr>
        <w:t xml:space="preserve"> to develop the questionnaire and procedures used to collect this supplemental information. </w:t>
      </w:r>
      <w:r w:rsidRPr="00C4515C" w:rsidR="00492228">
        <w:rPr>
          <w:rFonts w:asciiTheme="minorHAnsi" w:hAnsiTheme="minorHAnsi" w:eastAsiaTheme="minorEastAsia" w:cstheme="minorHAnsi"/>
          <w:sz w:val="22"/>
          <w:szCs w:val="22"/>
        </w:rPr>
        <w:t xml:space="preserve">Those persons consulted from the Census Bureau included Meagan Meuchel, Edward Madrid, Megan Ruhnke, Christopher Seamands, Katherine Mark, Mandi Martinez, and Jessica Holzberg. </w:t>
      </w:r>
      <w:r w:rsidRPr="00C4515C" w:rsidR="00AA1C20">
        <w:rPr>
          <w:rFonts w:asciiTheme="minorHAnsi" w:hAnsiTheme="minorHAnsi" w:eastAsiaTheme="minorEastAsia" w:cstheme="minorHAnsi"/>
          <w:sz w:val="22"/>
          <w:szCs w:val="22"/>
        </w:rPr>
        <w:t xml:space="preserve">Principal consultants from BJS were Dr. </w:t>
      </w:r>
      <w:r w:rsidRPr="00C4515C" w:rsidR="004768EB">
        <w:rPr>
          <w:rFonts w:asciiTheme="minorHAnsi" w:hAnsiTheme="minorHAnsi" w:eastAsiaTheme="minorEastAsia" w:cstheme="minorHAnsi"/>
          <w:sz w:val="22"/>
          <w:szCs w:val="22"/>
        </w:rPr>
        <w:t>Rachel Morgan</w:t>
      </w:r>
      <w:r w:rsidRPr="00C4515C" w:rsidR="00CF0CD1">
        <w:rPr>
          <w:rFonts w:asciiTheme="minorHAnsi" w:hAnsiTheme="minorHAnsi" w:eastAsiaTheme="minorEastAsia" w:cstheme="minorHAnsi"/>
          <w:sz w:val="22"/>
          <w:szCs w:val="22"/>
        </w:rPr>
        <w:t xml:space="preserve"> and</w:t>
      </w:r>
      <w:r w:rsidRPr="00C4515C" w:rsidR="008276EC">
        <w:rPr>
          <w:rFonts w:asciiTheme="minorHAnsi" w:hAnsiTheme="minorHAnsi" w:eastAsiaTheme="minorEastAsia" w:cstheme="minorHAnsi"/>
          <w:sz w:val="22"/>
          <w:szCs w:val="22"/>
        </w:rPr>
        <w:t xml:space="preserve"> </w:t>
      </w:r>
      <w:r w:rsidRPr="00C4515C" w:rsidR="00CF0CD1">
        <w:rPr>
          <w:rFonts w:asciiTheme="minorHAnsi" w:hAnsiTheme="minorHAnsi" w:eastAsiaTheme="minorEastAsia" w:cstheme="minorHAnsi"/>
          <w:sz w:val="22"/>
          <w:szCs w:val="22"/>
        </w:rPr>
        <w:t xml:space="preserve">Alexandra Thompson. </w:t>
      </w:r>
      <w:r w:rsidRPr="00C4515C" w:rsidR="00AA1C20">
        <w:rPr>
          <w:rFonts w:asciiTheme="minorHAnsi" w:hAnsiTheme="minorHAnsi" w:eastAsiaTheme="minorEastAsia" w:cstheme="minorHAnsi"/>
          <w:sz w:val="22"/>
          <w:szCs w:val="22"/>
        </w:rPr>
        <w:t xml:space="preserve">Principal persons from NCES were </w:t>
      </w:r>
      <w:r w:rsidRPr="00C4515C" w:rsidR="00095CF5">
        <w:rPr>
          <w:rFonts w:asciiTheme="minorHAnsi" w:hAnsiTheme="minorHAnsi" w:eastAsiaTheme="minorEastAsia" w:cstheme="minorHAnsi"/>
          <w:sz w:val="22"/>
          <w:szCs w:val="22"/>
        </w:rPr>
        <w:t>Rachel</w:t>
      </w:r>
      <w:r w:rsidRPr="00C4515C" w:rsidR="00AA1C20">
        <w:rPr>
          <w:rFonts w:asciiTheme="minorHAnsi" w:hAnsiTheme="minorHAnsi" w:eastAsiaTheme="minorEastAsia" w:cstheme="minorHAnsi"/>
          <w:sz w:val="22"/>
          <w:szCs w:val="22"/>
        </w:rPr>
        <w:t xml:space="preserve"> Hansen</w:t>
      </w:r>
      <w:r w:rsidRPr="00C4515C" w:rsidR="00223702">
        <w:rPr>
          <w:rFonts w:asciiTheme="minorHAnsi" w:hAnsiTheme="minorHAnsi" w:eastAsiaTheme="minorEastAsia" w:cstheme="minorHAnsi"/>
          <w:sz w:val="22"/>
          <w:szCs w:val="22"/>
        </w:rPr>
        <w:t xml:space="preserve">, </w:t>
      </w:r>
      <w:r w:rsidRPr="00C4515C" w:rsidR="00AB3D94">
        <w:rPr>
          <w:rFonts w:asciiTheme="minorHAnsi" w:hAnsiTheme="minorHAnsi" w:eastAsiaTheme="minorEastAsia" w:cstheme="minorHAnsi"/>
          <w:sz w:val="22"/>
          <w:szCs w:val="22"/>
        </w:rPr>
        <w:t xml:space="preserve">Michelle McNamara, </w:t>
      </w:r>
      <w:r w:rsidRPr="00C4515C" w:rsidR="009022EC">
        <w:rPr>
          <w:rFonts w:asciiTheme="minorHAnsi" w:hAnsiTheme="minorHAnsi" w:eastAsiaTheme="minorEastAsia" w:cstheme="minorHAnsi"/>
          <w:sz w:val="22"/>
          <w:szCs w:val="22"/>
        </w:rPr>
        <w:t xml:space="preserve">Dr. Deanne Swan, </w:t>
      </w:r>
      <w:r w:rsidRPr="00C4515C" w:rsidR="00223702">
        <w:rPr>
          <w:rFonts w:asciiTheme="minorHAnsi" w:hAnsiTheme="minorHAnsi" w:eastAsiaTheme="minorEastAsia" w:cstheme="minorHAnsi"/>
          <w:sz w:val="22"/>
          <w:szCs w:val="22"/>
        </w:rPr>
        <w:t>and Andrew Zukerberg</w:t>
      </w:r>
      <w:r w:rsidRPr="00C4515C" w:rsidR="00AA1C20">
        <w:rPr>
          <w:rFonts w:asciiTheme="minorHAnsi" w:hAnsiTheme="minorHAnsi" w:eastAsiaTheme="minorEastAsia" w:cstheme="minorHAnsi"/>
          <w:sz w:val="22"/>
          <w:szCs w:val="22"/>
        </w:rPr>
        <w:t>.</w:t>
      </w:r>
      <w:r w:rsidRPr="00C4515C">
        <w:rPr>
          <w:rFonts w:asciiTheme="minorHAnsi" w:hAnsiTheme="minorHAnsi" w:eastAsiaTheme="minorEastAsia" w:cstheme="minorHAnsi"/>
          <w:sz w:val="22"/>
          <w:szCs w:val="22"/>
        </w:rPr>
        <w:t xml:space="preserve"> </w:t>
      </w:r>
    </w:p>
    <w:p w:rsidRPr="00C4515C" w:rsidR="00942B83" w:rsidP="00942B83" w:rsidRDefault="00942B83" w14:paraId="5B2C276E" w14:textId="77777777">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p>
    <w:p w:rsidRPr="00C4515C" w:rsidR="00124757" w:rsidP="00F06055" w:rsidRDefault="00124757" w14:paraId="47F191CF"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05"/>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9.</w:t>
      </w:r>
      <w:r w:rsidRPr="00C4515C">
        <w:rPr>
          <w:rFonts w:asciiTheme="minorHAnsi" w:hAnsiTheme="minorHAnsi" w:cstheme="minorHAnsi"/>
          <w:sz w:val="22"/>
          <w:szCs w:val="22"/>
        </w:rPr>
        <w:tab/>
      </w:r>
      <w:r w:rsidRPr="00C4515C">
        <w:rPr>
          <w:rFonts w:asciiTheme="minorHAnsi" w:hAnsiTheme="minorHAnsi" w:eastAsiaTheme="minorEastAsia" w:cstheme="minorHAnsi"/>
          <w:sz w:val="22"/>
          <w:szCs w:val="22"/>
          <w:u w:val="single"/>
        </w:rPr>
        <w:t>Paying Respondents</w:t>
      </w:r>
    </w:p>
    <w:p w:rsidRPr="00C4515C" w:rsidR="00124757" w:rsidP="36B31C31" w:rsidRDefault="00124757" w14:paraId="19738CCA"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Payment or gifts to respondents is not provided in return for participation in the survey.</w:t>
      </w:r>
    </w:p>
    <w:p w:rsidRPr="00C4515C" w:rsidR="003C3D65" w:rsidP="00F06055" w:rsidRDefault="00124757" w14:paraId="200FE9D4" w14:textId="77777777">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 w:val="left" w:pos="9503"/>
          <w:tab w:val="left" w:pos="9978"/>
        </w:tabs>
        <w:ind w:left="475" w:hanging="295"/>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lastRenderedPageBreak/>
        <w:t>10.</w:t>
      </w:r>
      <w:r w:rsidRPr="00C4515C">
        <w:rPr>
          <w:rFonts w:asciiTheme="minorHAnsi" w:hAnsiTheme="minorHAnsi" w:cstheme="minorHAnsi"/>
          <w:sz w:val="22"/>
          <w:szCs w:val="22"/>
        </w:rPr>
        <w:tab/>
      </w:r>
      <w:r w:rsidRPr="00C4515C">
        <w:rPr>
          <w:rFonts w:asciiTheme="minorHAnsi" w:hAnsiTheme="minorHAnsi" w:eastAsiaTheme="minorEastAsia" w:cstheme="minorHAnsi"/>
          <w:sz w:val="22"/>
          <w:szCs w:val="22"/>
          <w:u w:val="single"/>
        </w:rPr>
        <w:t>Assurance of Confidentiality</w:t>
      </w:r>
    </w:p>
    <w:p w:rsidRPr="00C4515C" w:rsidR="00486402" w:rsidP="36B31C31" w:rsidRDefault="00486402" w14:paraId="1D8A1E0E" w14:textId="29F94F9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All NCVS information about individuals or hou</w:t>
      </w:r>
      <w:r w:rsidRPr="00C4515C" w:rsidR="000214DD">
        <w:rPr>
          <w:rFonts w:asciiTheme="minorHAnsi" w:hAnsiTheme="minorHAnsi" w:eastAsiaTheme="minorEastAsia" w:cstheme="minorHAnsi"/>
          <w:sz w:val="22"/>
          <w:szCs w:val="22"/>
        </w:rPr>
        <w:t xml:space="preserve">seholds is confidential by law – Title </w:t>
      </w:r>
      <w:r w:rsidRPr="00C4515C" w:rsidR="000A091C">
        <w:rPr>
          <w:rFonts w:asciiTheme="minorHAnsi" w:hAnsiTheme="minorHAnsi" w:eastAsiaTheme="minorEastAsia" w:cstheme="minorHAnsi"/>
          <w:sz w:val="22"/>
          <w:szCs w:val="22"/>
        </w:rPr>
        <w:t>34</w:t>
      </w:r>
      <w:r w:rsidRPr="00C4515C">
        <w:rPr>
          <w:rFonts w:asciiTheme="minorHAnsi" w:hAnsiTheme="minorHAnsi" w:eastAsiaTheme="minorEastAsia" w:cstheme="minorHAnsi"/>
          <w:sz w:val="22"/>
          <w:szCs w:val="22"/>
        </w:rPr>
        <w:t>, U</w:t>
      </w:r>
      <w:r w:rsidRPr="00C4515C" w:rsidR="00C86C60">
        <w:rPr>
          <w:rFonts w:asciiTheme="minorHAnsi" w:hAnsiTheme="minorHAnsi" w:eastAsiaTheme="minorEastAsia" w:cstheme="minorHAnsi"/>
          <w:sz w:val="22"/>
          <w:szCs w:val="22"/>
        </w:rPr>
        <w:t>.S.C.</w:t>
      </w:r>
      <w:r w:rsidRPr="00C4515C" w:rsidR="000214DD">
        <w:rPr>
          <w:rFonts w:asciiTheme="minorHAnsi" w:hAnsiTheme="minorHAnsi" w:eastAsiaTheme="minorEastAsia" w:cstheme="minorHAnsi"/>
          <w:sz w:val="22"/>
          <w:szCs w:val="22"/>
        </w:rPr>
        <w:t>,</w:t>
      </w:r>
      <w:r w:rsidRPr="00C4515C" w:rsidR="00C86C60">
        <w:rPr>
          <w:rFonts w:asciiTheme="minorHAnsi" w:hAnsiTheme="minorHAnsi" w:eastAsiaTheme="minorEastAsia" w:cstheme="minorHAnsi"/>
          <w:sz w:val="22"/>
          <w:szCs w:val="22"/>
        </w:rPr>
        <w:t xml:space="preserve"> </w:t>
      </w:r>
      <w:r w:rsidRPr="00C4515C" w:rsidR="000214DD">
        <w:rPr>
          <w:rFonts w:asciiTheme="minorHAnsi" w:hAnsiTheme="minorHAnsi" w:eastAsiaTheme="minorEastAsia" w:cstheme="minorHAnsi"/>
          <w:sz w:val="22"/>
          <w:szCs w:val="22"/>
        </w:rPr>
        <w:t xml:space="preserve">Sections </w:t>
      </w:r>
      <w:r w:rsidRPr="00C4515C" w:rsidR="00C86C60">
        <w:rPr>
          <w:rFonts w:asciiTheme="minorHAnsi" w:hAnsiTheme="minorHAnsi" w:eastAsiaTheme="minorEastAsia" w:cstheme="minorHAnsi"/>
          <w:sz w:val="22"/>
          <w:szCs w:val="22"/>
        </w:rPr>
        <w:t xml:space="preserve">10231 and 10134 </w:t>
      </w:r>
      <w:r w:rsidRPr="00C4515C">
        <w:rPr>
          <w:rFonts w:asciiTheme="minorHAnsi" w:hAnsiTheme="minorHAnsi" w:eastAsiaTheme="minorEastAsia" w:cstheme="minorHAnsi"/>
          <w:sz w:val="22"/>
          <w:szCs w:val="22"/>
        </w:rPr>
        <w:t xml:space="preserve">and Title 13, </w:t>
      </w:r>
      <w:r w:rsidRPr="00C4515C" w:rsidR="00C86C60">
        <w:rPr>
          <w:rFonts w:asciiTheme="minorHAnsi" w:hAnsiTheme="minorHAnsi" w:eastAsiaTheme="minorEastAsia" w:cstheme="minorHAnsi"/>
          <w:sz w:val="22"/>
          <w:szCs w:val="22"/>
        </w:rPr>
        <w:t>U.S.C.</w:t>
      </w:r>
      <w:r w:rsidRPr="00C4515C">
        <w:rPr>
          <w:rFonts w:asciiTheme="minorHAnsi" w:hAnsiTheme="minorHAnsi" w:eastAsiaTheme="minorEastAsia" w:cstheme="minorHAnsi"/>
          <w:sz w:val="22"/>
          <w:szCs w:val="22"/>
        </w:rPr>
        <w:t>, Section 9. Only Census Bureau employees sworn to preserve this confidentiality</w:t>
      </w:r>
      <w:r w:rsidRPr="00C4515C" w:rsidR="008B4FEB">
        <w:rPr>
          <w:rFonts w:asciiTheme="minorHAnsi" w:hAnsiTheme="minorHAnsi" w:eastAsiaTheme="minorEastAsia" w:cstheme="minorHAnsi"/>
          <w:sz w:val="22"/>
          <w:szCs w:val="22"/>
        </w:rPr>
        <w:t xml:space="preserve"> may see the survey responses. </w:t>
      </w:r>
      <w:r w:rsidRPr="00C4515C">
        <w:rPr>
          <w:rFonts w:asciiTheme="minorHAnsi" w:hAnsiTheme="minorHAnsi" w:eastAsiaTheme="minorEastAsia" w:cstheme="minorHAnsi"/>
          <w:sz w:val="22"/>
          <w:szCs w:val="22"/>
        </w:rPr>
        <w:t xml:space="preserve">Even BJS, as the sponsor of the </w:t>
      </w:r>
      <w:r w:rsidRPr="00C4515C" w:rsidR="008F356F">
        <w:rPr>
          <w:rFonts w:asciiTheme="minorHAnsi" w:hAnsiTheme="minorHAnsi" w:eastAsiaTheme="minorEastAsia" w:cstheme="minorHAnsi"/>
          <w:sz w:val="22"/>
          <w:szCs w:val="22"/>
        </w:rPr>
        <w:t>NCVS</w:t>
      </w:r>
      <w:r w:rsidRPr="00C4515C">
        <w:rPr>
          <w:rFonts w:asciiTheme="minorHAnsi" w:hAnsiTheme="minorHAnsi" w:eastAsiaTheme="minorEastAsia" w:cstheme="minorHAnsi"/>
          <w:sz w:val="22"/>
          <w:szCs w:val="22"/>
        </w:rPr>
        <w:t>, is not authorized to see or ha</w:t>
      </w:r>
      <w:r w:rsidRPr="00C4515C" w:rsidR="008B4FEB">
        <w:rPr>
          <w:rFonts w:asciiTheme="minorHAnsi" w:hAnsiTheme="minorHAnsi" w:eastAsiaTheme="minorEastAsia" w:cstheme="minorHAnsi"/>
          <w:sz w:val="22"/>
          <w:szCs w:val="22"/>
        </w:rPr>
        <w:t xml:space="preserve">ndle the data in its raw form. </w:t>
      </w:r>
      <w:r w:rsidRPr="00C4515C">
        <w:rPr>
          <w:rFonts w:asciiTheme="minorHAnsi" w:hAnsiTheme="minorHAnsi" w:eastAsiaTheme="minorEastAsia" w:cstheme="minorHAnsi"/>
          <w:sz w:val="22"/>
          <w:szCs w:val="22"/>
        </w:rPr>
        <w:t>All unique and identifying information is scrambled or suppressed before it is provided to BJS and NCES to analy</w:t>
      </w:r>
      <w:r w:rsidRPr="00C4515C" w:rsidR="008B4FEB">
        <w:rPr>
          <w:rFonts w:asciiTheme="minorHAnsi" w:hAnsiTheme="minorHAnsi" w:eastAsiaTheme="minorEastAsia" w:cstheme="minorHAnsi"/>
          <w:sz w:val="22"/>
          <w:szCs w:val="22"/>
        </w:rPr>
        <w:t xml:space="preserve">ze. </w:t>
      </w:r>
      <w:r w:rsidRPr="00C4515C">
        <w:rPr>
          <w:rFonts w:asciiTheme="minorHAnsi" w:hAnsiTheme="minorHAnsi" w:eastAsiaTheme="minorEastAsia" w:cstheme="minorHAnsi"/>
          <w:sz w:val="22"/>
          <w:szCs w:val="22"/>
        </w:rPr>
        <w:t>Data are maintained in secure environments and in restricted access locat</w:t>
      </w:r>
      <w:r w:rsidRPr="00C4515C" w:rsidR="008B4FEB">
        <w:rPr>
          <w:rFonts w:asciiTheme="minorHAnsi" w:hAnsiTheme="minorHAnsi" w:eastAsiaTheme="minorEastAsia" w:cstheme="minorHAnsi"/>
          <w:sz w:val="22"/>
          <w:szCs w:val="22"/>
        </w:rPr>
        <w:t xml:space="preserve">ions within the Census Bureau. </w:t>
      </w:r>
      <w:r w:rsidRPr="00C4515C">
        <w:rPr>
          <w:rFonts w:asciiTheme="minorHAnsi" w:hAnsiTheme="minorHAnsi" w:eastAsiaTheme="minorEastAsia" w:cstheme="minorHAnsi"/>
          <w:sz w:val="22"/>
          <w:szCs w:val="22"/>
        </w:rPr>
        <w:t xml:space="preserve">All data provided to </w:t>
      </w:r>
      <w:r w:rsidRPr="00C4515C" w:rsidR="0096480D">
        <w:rPr>
          <w:rFonts w:asciiTheme="minorHAnsi" w:hAnsiTheme="minorHAnsi" w:eastAsiaTheme="minorEastAsia" w:cstheme="minorHAnsi"/>
          <w:sz w:val="22"/>
          <w:szCs w:val="22"/>
        </w:rPr>
        <w:t xml:space="preserve">NCES and </w:t>
      </w:r>
      <w:r w:rsidRPr="00C4515C">
        <w:rPr>
          <w:rFonts w:asciiTheme="minorHAnsi" w:hAnsiTheme="minorHAnsi" w:eastAsiaTheme="minorEastAsia" w:cstheme="minorHAnsi"/>
          <w:sz w:val="22"/>
          <w:szCs w:val="22"/>
        </w:rPr>
        <w:t>BJS must meet the confidentiality requirements set forth by the Disclosure Review Board at the Census Bureau.</w:t>
      </w:r>
    </w:p>
    <w:p w:rsidRPr="00C4515C" w:rsidR="00486402" w:rsidP="00486402" w:rsidRDefault="00486402" w14:paraId="56AFCB79" w14:textId="77777777">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00" w:hanging="900"/>
        <w:rPr>
          <w:rFonts w:asciiTheme="minorHAnsi" w:hAnsiTheme="minorHAnsi" w:cstheme="minorHAnsi"/>
          <w:sz w:val="22"/>
          <w:szCs w:val="22"/>
        </w:rPr>
      </w:pPr>
    </w:p>
    <w:p w:rsidRPr="00C4515C" w:rsidR="007C1370" w:rsidP="00FD5894" w:rsidRDefault="00486402" w14:paraId="311DD4FC" w14:textId="5C6F40E0">
      <w:pPr>
        <w:tabs>
          <w:tab w:val="left" w:pos="0"/>
          <w:tab w:val="left" w:pos="475"/>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s>
        <w:ind w:left="475"/>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 xml:space="preserve">In a letter signed by the </w:t>
      </w:r>
      <w:r w:rsidR="00312D6F">
        <w:rPr>
          <w:rFonts w:asciiTheme="minorHAnsi" w:hAnsiTheme="minorHAnsi" w:eastAsiaTheme="minorEastAsia" w:cstheme="minorHAnsi"/>
          <w:sz w:val="22"/>
          <w:szCs w:val="22"/>
        </w:rPr>
        <w:t>d</w:t>
      </w:r>
      <w:r w:rsidRPr="00C4515C">
        <w:rPr>
          <w:rFonts w:asciiTheme="minorHAnsi" w:hAnsiTheme="minorHAnsi" w:eastAsiaTheme="minorEastAsia" w:cstheme="minorHAnsi"/>
          <w:sz w:val="22"/>
          <w:szCs w:val="22"/>
        </w:rPr>
        <w:t>irector of the Census Bureau, sent to all participants in the survey, respondents are informed of th</w:t>
      </w:r>
      <w:r w:rsidRPr="00C4515C" w:rsidR="00C86C60">
        <w:rPr>
          <w:rFonts w:asciiTheme="minorHAnsi" w:hAnsiTheme="minorHAnsi" w:eastAsiaTheme="minorEastAsia" w:cstheme="minorHAnsi"/>
          <w:sz w:val="22"/>
          <w:szCs w:val="22"/>
        </w:rPr>
        <w:t>ese</w:t>
      </w:r>
      <w:r w:rsidRPr="00C4515C">
        <w:rPr>
          <w:rFonts w:asciiTheme="minorHAnsi" w:hAnsiTheme="minorHAnsi" w:eastAsiaTheme="minorEastAsia" w:cstheme="minorHAnsi"/>
          <w:sz w:val="22"/>
          <w:szCs w:val="22"/>
        </w:rPr>
        <w:t xml:space="preserve"> law</w:t>
      </w:r>
      <w:r w:rsidRPr="00C4515C" w:rsidR="00C86C60">
        <w:rPr>
          <w:rFonts w:asciiTheme="minorHAnsi" w:hAnsiTheme="minorHAnsi" w:eastAsiaTheme="minorEastAsia" w:cstheme="minorHAnsi"/>
          <w:sz w:val="22"/>
          <w:szCs w:val="22"/>
        </w:rPr>
        <w:t>s (Title 13, U.S.C., Section 9 and Title 34, U.S.C., Sections 10231 and 10134)</w:t>
      </w:r>
      <w:r w:rsidRPr="00C4515C">
        <w:rPr>
          <w:rFonts w:asciiTheme="minorHAnsi" w:hAnsiTheme="minorHAnsi" w:eastAsiaTheme="minorEastAsia" w:cstheme="minorHAnsi"/>
          <w:sz w:val="22"/>
          <w:szCs w:val="22"/>
        </w:rPr>
        <w:t xml:space="preserve"> and assured that it requires the Census Bureau to keep all information provided by the respondent confidential. </w:t>
      </w:r>
      <w:r w:rsidRPr="00C4515C" w:rsidR="00ED0B9C">
        <w:rPr>
          <w:rFonts w:asciiTheme="minorHAnsi" w:hAnsiTheme="minorHAnsi" w:eastAsiaTheme="minorEastAsia" w:cstheme="minorHAnsi"/>
          <w:sz w:val="22"/>
          <w:szCs w:val="22"/>
        </w:rPr>
        <w:t xml:space="preserve">All NCVS data are also protected from cybersecurity risks through screening of the systems that transmit the data </w:t>
      </w:r>
      <w:r w:rsidRPr="00C4515C" w:rsidR="00FD57CF">
        <w:rPr>
          <w:rFonts w:asciiTheme="minorHAnsi" w:hAnsiTheme="minorHAnsi" w:eastAsiaTheme="minorEastAsia" w:cstheme="minorHAnsi"/>
          <w:sz w:val="22"/>
          <w:szCs w:val="22"/>
        </w:rPr>
        <w:t xml:space="preserve">per the </w:t>
      </w:r>
      <w:r w:rsidRPr="00C4515C" w:rsidR="00ED0B9C">
        <w:rPr>
          <w:rFonts w:asciiTheme="minorHAnsi" w:hAnsiTheme="minorHAnsi" w:eastAsiaTheme="minorEastAsia" w:cstheme="minorHAnsi"/>
          <w:sz w:val="22"/>
          <w:szCs w:val="22"/>
        </w:rPr>
        <w:t>Federal Cybers</w:t>
      </w:r>
      <w:r w:rsidRPr="00C4515C" w:rsidR="00FD57CF">
        <w:rPr>
          <w:rFonts w:asciiTheme="minorHAnsi" w:hAnsiTheme="minorHAnsi" w:eastAsiaTheme="minorEastAsia" w:cstheme="minorHAnsi"/>
          <w:sz w:val="22"/>
          <w:szCs w:val="22"/>
        </w:rPr>
        <w:t>ecurity Enhancement Act of 2015</w:t>
      </w:r>
      <w:r w:rsidRPr="00C4515C" w:rsidR="00ED0B9C">
        <w:rPr>
          <w:rFonts w:asciiTheme="minorHAnsi" w:hAnsiTheme="minorHAnsi" w:eastAsiaTheme="minorEastAsia" w:cstheme="minorHAnsi"/>
          <w:sz w:val="22"/>
          <w:szCs w:val="22"/>
        </w:rPr>
        <w:t xml:space="preserve">. </w:t>
      </w:r>
      <w:r w:rsidRPr="00C4515C">
        <w:rPr>
          <w:rFonts w:asciiTheme="minorHAnsi" w:hAnsiTheme="minorHAnsi" w:eastAsiaTheme="minorEastAsia" w:cstheme="minorHAnsi"/>
          <w:sz w:val="22"/>
          <w:szCs w:val="22"/>
        </w:rPr>
        <w:t>The letter also informs respondents th</w:t>
      </w:r>
      <w:r w:rsidRPr="00C4515C" w:rsidR="008B4FEB">
        <w:rPr>
          <w:rFonts w:asciiTheme="minorHAnsi" w:hAnsiTheme="minorHAnsi" w:eastAsiaTheme="minorEastAsia" w:cstheme="minorHAnsi"/>
          <w:sz w:val="22"/>
          <w:szCs w:val="22"/>
        </w:rPr>
        <w:t xml:space="preserve">at this is a voluntary survey. </w:t>
      </w:r>
      <w:r w:rsidRPr="00C4515C">
        <w:rPr>
          <w:rFonts w:asciiTheme="minorHAnsi" w:hAnsiTheme="minorHAnsi" w:eastAsiaTheme="minorEastAsia" w:cstheme="minorHAnsi"/>
          <w:sz w:val="22"/>
          <w:szCs w:val="22"/>
        </w:rPr>
        <w:t xml:space="preserve">Furthermore, in addition to the legal authority and voluntary nature of the survey, the letter informs respondents of the public reporting burden for this collection of information, the principal purposes for collecting the information, and the various uses for the data after it is collected which satisfies the requirements of the Privacy Act of 1974.     </w:t>
      </w:r>
    </w:p>
    <w:p w:rsidRPr="00C4515C" w:rsidR="00FD5894" w:rsidP="00FD5894" w:rsidRDefault="00FD5894" w14:paraId="6080989E" w14:textId="77777777">
      <w:pPr>
        <w:tabs>
          <w:tab w:val="left" w:pos="0"/>
          <w:tab w:val="left" w:pos="475"/>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s>
        <w:ind w:left="475"/>
        <w:rPr>
          <w:rFonts w:asciiTheme="minorHAnsi" w:hAnsiTheme="minorHAnsi" w:eastAsiaTheme="minorEastAsia" w:cstheme="minorHAnsi"/>
          <w:sz w:val="22"/>
          <w:szCs w:val="22"/>
        </w:rPr>
      </w:pPr>
    </w:p>
    <w:p w:rsidRPr="00C4515C" w:rsidR="00124757" w:rsidP="00F06055" w:rsidRDefault="00124757" w14:paraId="03A7F567"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95"/>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11.</w:t>
      </w:r>
      <w:r w:rsidRPr="00C4515C">
        <w:rPr>
          <w:rFonts w:asciiTheme="minorHAnsi" w:hAnsiTheme="minorHAnsi" w:cstheme="minorHAnsi"/>
          <w:sz w:val="22"/>
          <w:szCs w:val="22"/>
        </w:rPr>
        <w:tab/>
      </w:r>
      <w:r w:rsidRPr="00C4515C">
        <w:rPr>
          <w:rFonts w:asciiTheme="minorHAnsi" w:hAnsiTheme="minorHAnsi" w:eastAsiaTheme="minorEastAsia" w:cstheme="minorHAnsi"/>
          <w:sz w:val="22"/>
          <w:szCs w:val="22"/>
          <w:u w:val="single"/>
        </w:rPr>
        <w:t>Justification for Sensitive Questions</w:t>
      </w:r>
    </w:p>
    <w:p w:rsidR="00A03605" w:rsidP="00FD5894" w:rsidRDefault="00B07A27" w14:paraId="093C455E"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Sensitive q</w:t>
      </w:r>
      <w:r w:rsidRPr="00C4515C" w:rsidR="00124757">
        <w:rPr>
          <w:rFonts w:asciiTheme="minorHAnsi" w:hAnsiTheme="minorHAnsi" w:eastAsiaTheme="minorEastAsia" w:cstheme="minorHAnsi"/>
          <w:sz w:val="22"/>
          <w:szCs w:val="22"/>
        </w:rPr>
        <w:t xml:space="preserve">uestions </w:t>
      </w:r>
      <w:r w:rsidRPr="00C4515C" w:rsidR="00A04BD9">
        <w:rPr>
          <w:rFonts w:asciiTheme="minorHAnsi" w:hAnsiTheme="minorHAnsi" w:eastAsiaTheme="minorEastAsia" w:cstheme="minorHAnsi"/>
          <w:sz w:val="22"/>
          <w:szCs w:val="22"/>
        </w:rPr>
        <w:t xml:space="preserve">include those </w:t>
      </w:r>
      <w:r w:rsidRPr="00C4515C" w:rsidR="00124757">
        <w:rPr>
          <w:rFonts w:asciiTheme="minorHAnsi" w:hAnsiTheme="minorHAnsi" w:eastAsiaTheme="minorEastAsia" w:cstheme="minorHAnsi"/>
          <w:sz w:val="22"/>
          <w:szCs w:val="22"/>
        </w:rPr>
        <w:t>relat</w:t>
      </w:r>
      <w:r w:rsidRPr="00C4515C" w:rsidR="00A04BD9">
        <w:rPr>
          <w:rFonts w:asciiTheme="minorHAnsi" w:hAnsiTheme="minorHAnsi" w:eastAsiaTheme="minorEastAsia" w:cstheme="minorHAnsi"/>
          <w:sz w:val="22"/>
          <w:szCs w:val="22"/>
        </w:rPr>
        <w:t xml:space="preserve">ed </w:t>
      </w:r>
      <w:r w:rsidRPr="00C4515C" w:rsidR="00124757">
        <w:rPr>
          <w:rFonts w:asciiTheme="minorHAnsi" w:hAnsiTheme="minorHAnsi" w:eastAsiaTheme="minorEastAsia" w:cstheme="minorHAnsi"/>
          <w:sz w:val="22"/>
          <w:szCs w:val="22"/>
        </w:rPr>
        <w:t xml:space="preserve">to </w:t>
      </w:r>
      <w:r w:rsidRPr="00C4515C" w:rsidR="00E04387">
        <w:rPr>
          <w:rFonts w:asciiTheme="minorHAnsi" w:hAnsiTheme="minorHAnsi" w:eastAsiaTheme="minorEastAsia" w:cstheme="minorHAnsi"/>
          <w:sz w:val="22"/>
          <w:szCs w:val="22"/>
        </w:rPr>
        <w:t>victimization, bullying</w:t>
      </w:r>
      <w:r w:rsidRPr="00C4515C" w:rsidR="00F97F4D">
        <w:rPr>
          <w:rFonts w:asciiTheme="minorHAnsi" w:hAnsiTheme="minorHAnsi" w:eastAsiaTheme="minorEastAsia" w:cstheme="minorHAnsi"/>
          <w:sz w:val="22"/>
          <w:szCs w:val="22"/>
        </w:rPr>
        <w:t xml:space="preserve"> victimization</w:t>
      </w:r>
      <w:r w:rsidRPr="00C4515C" w:rsidR="00E04387">
        <w:rPr>
          <w:rFonts w:asciiTheme="minorHAnsi" w:hAnsiTheme="minorHAnsi" w:eastAsiaTheme="minorEastAsia" w:cstheme="minorHAnsi"/>
          <w:sz w:val="22"/>
          <w:szCs w:val="22"/>
        </w:rPr>
        <w:t xml:space="preserve">, </w:t>
      </w:r>
      <w:r w:rsidRPr="00C4515C" w:rsidR="00124757">
        <w:rPr>
          <w:rFonts w:asciiTheme="minorHAnsi" w:hAnsiTheme="minorHAnsi" w:eastAsiaTheme="minorEastAsia" w:cstheme="minorHAnsi"/>
          <w:sz w:val="22"/>
          <w:szCs w:val="22"/>
        </w:rPr>
        <w:t xml:space="preserve">drug </w:t>
      </w:r>
      <w:r w:rsidRPr="00C4515C" w:rsidR="00F97F4D">
        <w:rPr>
          <w:rFonts w:asciiTheme="minorHAnsi" w:hAnsiTheme="minorHAnsi" w:eastAsiaTheme="minorEastAsia" w:cstheme="minorHAnsi"/>
          <w:sz w:val="22"/>
          <w:szCs w:val="22"/>
        </w:rPr>
        <w:t>availability at school</w:t>
      </w:r>
      <w:r w:rsidRPr="00C4515C" w:rsidR="00124757">
        <w:rPr>
          <w:rFonts w:asciiTheme="minorHAnsi" w:hAnsiTheme="minorHAnsi" w:eastAsiaTheme="minorEastAsia" w:cstheme="minorHAnsi"/>
          <w:sz w:val="22"/>
          <w:szCs w:val="22"/>
        </w:rPr>
        <w:t>, gang</w:t>
      </w:r>
      <w:r w:rsidRPr="00C4515C" w:rsidR="008576A9">
        <w:rPr>
          <w:rFonts w:asciiTheme="minorHAnsi" w:hAnsiTheme="minorHAnsi" w:eastAsiaTheme="minorEastAsia" w:cstheme="minorHAnsi"/>
          <w:sz w:val="22"/>
          <w:szCs w:val="22"/>
        </w:rPr>
        <w:t xml:space="preserve"> presence at school</w:t>
      </w:r>
      <w:r w:rsidRPr="00C4515C" w:rsidR="00124757">
        <w:rPr>
          <w:rFonts w:asciiTheme="minorHAnsi" w:hAnsiTheme="minorHAnsi" w:eastAsiaTheme="minorEastAsia" w:cstheme="minorHAnsi"/>
          <w:sz w:val="22"/>
          <w:szCs w:val="22"/>
        </w:rPr>
        <w:t xml:space="preserve">, and students’ access to weapons </w:t>
      </w:r>
      <w:r w:rsidRPr="00C4515C" w:rsidR="00C10629">
        <w:rPr>
          <w:rFonts w:asciiTheme="minorHAnsi" w:hAnsiTheme="minorHAnsi" w:eastAsiaTheme="minorEastAsia" w:cstheme="minorHAnsi"/>
          <w:sz w:val="22"/>
          <w:szCs w:val="22"/>
        </w:rPr>
        <w:t xml:space="preserve">since these are of great interest for </w:t>
      </w:r>
      <w:r w:rsidRPr="00C4515C" w:rsidR="00A04BD9">
        <w:rPr>
          <w:rFonts w:asciiTheme="minorHAnsi" w:hAnsiTheme="minorHAnsi" w:eastAsiaTheme="minorEastAsia" w:cstheme="minorHAnsi"/>
          <w:sz w:val="22"/>
          <w:szCs w:val="22"/>
        </w:rPr>
        <w:t xml:space="preserve">school administrators and personnel responsible for maintaining school safety. </w:t>
      </w:r>
      <w:r w:rsidRPr="00C4515C">
        <w:rPr>
          <w:rFonts w:asciiTheme="minorHAnsi" w:hAnsiTheme="minorHAnsi" w:eastAsiaTheme="minorEastAsia" w:cstheme="minorHAnsi"/>
          <w:sz w:val="22"/>
          <w:szCs w:val="22"/>
        </w:rPr>
        <w:t xml:space="preserve">These have been included in past SCS administrations. </w:t>
      </w:r>
      <w:r w:rsidRPr="00A03605" w:rsidR="00A03605">
        <w:rPr>
          <w:rFonts w:asciiTheme="minorHAnsi" w:hAnsiTheme="minorHAnsi" w:eastAsiaTheme="minorEastAsia" w:cstheme="minorHAnsi"/>
          <w:sz w:val="22"/>
          <w:szCs w:val="22"/>
        </w:rPr>
        <w:t>In the recent cognitive testing, all interviewers were provided with training on cognitive interview protocol and administration. During this testing, interviewers did not report any respondents showing visible signs of shame or embarrassment.</w:t>
      </w:r>
      <w:r w:rsidR="00A03605">
        <w:rPr>
          <w:rFonts w:asciiTheme="minorHAnsi" w:hAnsiTheme="minorHAnsi" w:eastAsiaTheme="minorEastAsia" w:cstheme="minorHAnsi"/>
          <w:sz w:val="22"/>
          <w:szCs w:val="22"/>
        </w:rPr>
        <w:t xml:space="preserve"> </w:t>
      </w:r>
    </w:p>
    <w:p w:rsidR="00A03605" w:rsidP="00FD5894" w:rsidRDefault="00A03605" w14:paraId="26A00D51"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eastAsiaTheme="minorEastAsia" w:cstheme="minorHAnsi"/>
          <w:sz w:val="22"/>
          <w:szCs w:val="22"/>
        </w:rPr>
      </w:pPr>
    </w:p>
    <w:p w:rsidR="00544B25" w:rsidP="00FD5894" w:rsidRDefault="00DF71E7" w14:paraId="68837D9A" w14:textId="413DABDF">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Additional questions about whether bullying i</w:t>
      </w:r>
      <w:r w:rsidRPr="00C4515C" w:rsidR="00B07A27">
        <w:rPr>
          <w:rFonts w:asciiTheme="minorHAnsi" w:hAnsiTheme="minorHAnsi" w:eastAsiaTheme="minorEastAsia" w:cstheme="minorHAnsi"/>
          <w:sz w:val="22"/>
          <w:szCs w:val="22"/>
        </w:rPr>
        <w:t>s related to personal characteristics such as sexual orientation or religious belief</w:t>
      </w:r>
      <w:r w:rsidRPr="00C4515C" w:rsidR="00D10058">
        <w:rPr>
          <w:rFonts w:asciiTheme="minorHAnsi" w:hAnsiTheme="minorHAnsi" w:eastAsiaTheme="minorEastAsia" w:cstheme="minorHAnsi"/>
          <w:sz w:val="22"/>
          <w:szCs w:val="22"/>
        </w:rPr>
        <w:t>s</w:t>
      </w:r>
      <w:r w:rsidRPr="00C4515C" w:rsidR="00B07A27">
        <w:rPr>
          <w:rFonts w:asciiTheme="minorHAnsi" w:hAnsiTheme="minorHAnsi" w:eastAsiaTheme="minorEastAsia" w:cstheme="minorHAnsi"/>
          <w:sz w:val="22"/>
          <w:szCs w:val="22"/>
        </w:rPr>
        <w:t xml:space="preserve"> are carefully constructed to ask about perceptions of victims, rather than about ac</w:t>
      </w:r>
      <w:r w:rsidRPr="00C4515C" w:rsidR="008B4FEB">
        <w:rPr>
          <w:rFonts w:asciiTheme="minorHAnsi" w:hAnsiTheme="minorHAnsi" w:eastAsiaTheme="minorEastAsia" w:cstheme="minorHAnsi"/>
          <w:sz w:val="22"/>
          <w:szCs w:val="22"/>
        </w:rPr>
        <w:t xml:space="preserve">tual personal characteristics. </w:t>
      </w:r>
      <w:r w:rsidRPr="00C4515C" w:rsidR="00B07A27">
        <w:rPr>
          <w:rFonts w:asciiTheme="minorHAnsi" w:hAnsiTheme="minorHAnsi" w:eastAsiaTheme="minorEastAsia" w:cstheme="minorHAnsi"/>
          <w:sz w:val="22"/>
          <w:szCs w:val="22"/>
        </w:rPr>
        <w:t>This information is necessary to meet ED</w:t>
      </w:r>
      <w:r w:rsidRPr="00C4515C">
        <w:rPr>
          <w:rFonts w:asciiTheme="minorHAnsi" w:hAnsiTheme="minorHAnsi" w:eastAsiaTheme="minorEastAsia" w:cstheme="minorHAnsi"/>
          <w:sz w:val="22"/>
          <w:szCs w:val="22"/>
        </w:rPr>
        <w:t xml:space="preserve">’s commitment to provide </w:t>
      </w:r>
      <w:r w:rsidRPr="00C4515C" w:rsidR="00B07A27">
        <w:rPr>
          <w:rFonts w:asciiTheme="minorHAnsi" w:hAnsiTheme="minorHAnsi" w:eastAsiaTheme="minorEastAsia" w:cstheme="minorHAnsi"/>
          <w:sz w:val="22"/>
          <w:szCs w:val="22"/>
        </w:rPr>
        <w:t xml:space="preserve">information on </w:t>
      </w:r>
      <w:r w:rsidRPr="00C4515C">
        <w:rPr>
          <w:rFonts w:asciiTheme="minorHAnsi" w:hAnsiTheme="minorHAnsi" w:eastAsiaTheme="minorEastAsia" w:cstheme="minorHAnsi"/>
          <w:sz w:val="22"/>
          <w:szCs w:val="22"/>
        </w:rPr>
        <w:t xml:space="preserve">school </w:t>
      </w:r>
      <w:r w:rsidRPr="00C4515C" w:rsidR="00B07A27">
        <w:rPr>
          <w:rFonts w:asciiTheme="minorHAnsi" w:hAnsiTheme="minorHAnsi" w:eastAsiaTheme="minorEastAsia" w:cstheme="minorHAnsi"/>
          <w:sz w:val="22"/>
          <w:szCs w:val="22"/>
        </w:rPr>
        <w:t>victimization among protected and vulnerable student groups.</w:t>
      </w:r>
      <w:r w:rsidRPr="00C4515C" w:rsidR="00E01D30">
        <w:rPr>
          <w:rFonts w:asciiTheme="minorHAnsi" w:hAnsiTheme="minorHAnsi" w:eastAsiaTheme="minorEastAsia" w:cstheme="minorHAnsi"/>
          <w:sz w:val="22"/>
          <w:szCs w:val="22"/>
        </w:rPr>
        <w:t xml:space="preserve"> </w:t>
      </w:r>
      <w:r w:rsidR="00A03605">
        <w:rPr>
          <w:rFonts w:asciiTheme="minorHAnsi" w:hAnsiTheme="minorHAnsi" w:eastAsiaTheme="minorEastAsia" w:cstheme="minorHAnsi"/>
          <w:sz w:val="22"/>
          <w:szCs w:val="22"/>
        </w:rPr>
        <w:t>SCS</w:t>
      </w:r>
      <w:r w:rsidRPr="00A03605" w:rsidR="00A03605">
        <w:rPr>
          <w:rFonts w:asciiTheme="minorHAnsi" w:hAnsiTheme="minorHAnsi" w:eastAsiaTheme="minorEastAsia" w:cstheme="minorHAnsi"/>
          <w:sz w:val="22"/>
          <w:szCs w:val="22"/>
        </w:rPr>
        <w:t xml:space="preserve"> interviewers receive training and guidance on how to ask sensitive questions. </w:t>
      </w:r>
      <w:r w:rsidRPr="00C4515C" w:rsidR="00A46C23">
        <w:rPr>
          <w:rFonts w:asciiTheme="minorHAnsi" w:hAnsiTheme="minorHAnsi" w:eastAsiaTheme="minorEastAsia" w:cstheme="minorHAnsi"/>
          <w:sz w:val="22"/>
          <w:szCs w:val="22"/>
        </w:rPr>
        <w:t>Se</w:t>
      </w:r>
      <w:r w:rsidRPr="005806E4" w:rsidR="00A46C23">
        <w:rPr>
          <w:rFonts w:asciiTheme="minorHAnsi" w:hAnsiTheme="minorHAnsi" w:eastAsiaTheme="minorEastAsia" w:cstheme="minorHAnsi"/>
          <w:sz w:val="22"/>
          <w:szCs w:val="22"/>
        </w:rPr>
        <w:t>e Attachment 4 for specific rationale for all questions.</w:t>
      </w:r>
    </w:p>
    <w:p w:rsidRPr="00C4515C" w:rsidR="000B46DD" w:rsidP="00FD5894" w:rsidRDefault="000B46DD" w14:paraId="75F76113"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eastAsiaTheme="minorEastAsia" w:cstheme="minorHAnsi"/>
          <w:sz w:val="22"/>
          <w:szCs w:val="22"/>
        </w:rPr>
      </w:pPr>
    </w:p>
    <w:p w:rsidRPr="00C4515C" w:rsidR="00F23817" w:rsidP="00F06055" w:rsidRDefault="00124757" w14:paraId="177668D8"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95"/>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12.</w:t>
      </w:r>
      <w:r w:rsidRPr="00C4515C">
        <w:rPr>
          <w:rFonts w:asciiTheme="minorHAnsi" w:hAnsiTheme="minorHAnsi" w:cstheme="minorHAnsi"/>
          <w:sz w:val="22"/>
          <w:szCs w:val="22"/>
        </w:rPr>
        <w:tab/>
      </w:r>
      <w:r w:rsidRPr="00C4515C">
        <w:rPr>
          <w:rFonts w:asciiTheme="minorHAnsi" w:hAnsiTheme="minorHAnsi" w:eastAsiaTheme="minorEastAsia" w:cstheme="minorHAnsi"/>
          <w:sz w:val="22"/>
          <w:szCs w:val="22"/>
          <w:u w:val="single"/>
        </w:rPr>
        <w:t>Estimate</w:t>
      </w:r>
      <w:r w:rsidRPr="00C4515C" w:rsidR="0004283D">
        <w:rPr>
          <w:rFonts w:asciiTheme="minorHAnsi" w:hAnsiTheme="minorHAnsi" w:eastAsiaTheme="minorEastAsia" w:cstheme="minorHAnsi"/>
          <w:sz w:val="22"/>
          <w:szCs w:val="22"/>
          <w:u w:val="single"/>
        </w:rPr>
        <w:t xml:space="preserve"> of </w:t>
      </w:r>
      <w:r w:rsidRPr="00C4515C">
        <w:rPr>
          <w:rFonts w:asciiTheme="minorHAnsi" w:hAnsiTheme="minorHAnsi" w:eastAsiaTheme="minorEastAsia" w:cstheme="minorHAnsi"/>
          <w:sz w:val="22"/>
          <w:szCs w:val="22"/>
          <w:u w:val="single"/>
        </w:rPr>
        <w:t>Respondent Burden</w:t>
      </w:r>
    </w:p>
    <w:p w:rsidRPr="00C4515C" w:rsidR="00B136C1" w:rsidP="36B31C31" w:rsidRDefault="00B136C1" w14:paraId="34A0EF86" w14:textId="41F40B6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 xml:space="preserve">This burden estimate assumes that the total NCVS sample from January through June </w:t>
      </w:r>
      <w:r w:rsidRPr="00C4515C" w:rsidR="003C2595">
        <w:rPr>
          <w:rFonts w:asciiTheme="minorHAnsi" w:hAnsiTheme="minorHAnsi" w:eastAsiaTheme="minorEastAsia" w:cstheme="minorHAnsi"/>
          <w:sz w:val="22"/>
          <w:szCs w:val="22"/>
        </w:rPr>
        <w:t>202</w:t>
      </w:r>
      <w:r w:rsidRPr="00C4515C" w:rsidR="009022EC">
        <w:rPr>
          <w:rFonts w:asciiTheme="minorHAnsi" w:hAnsiTheme="minorHAnsi" w:eastAsiaTheme="minorEastAsia" w:cstheme="minorHAnsi"/>
          <w:sz w:val="22"/>
          <w:szCs w:val="22"/>
        </w:rPr>
        <w:t>2</w:t>
      </w:r>
      <w:r w:rsidRPr="00C4515C">
        <w:rPr>
          <w:rFonts w:asciiTheme="minorHAnsi" w:hAnsiTheme="minorHAnsi" w:eastAsiaTheme="minorEastAsia" w:cstheme="minorHAnsi"/>
          <w:sz w:val="22"/>
          <w:szCs w:val="22"/>
        </w:rPr>
        <w:t xml:space="preserve"> will be </w:t>
      </w:r>
      <w:r w:rsidRPr="00C4515C" w:rsidR="00014EAF">
        <w:rPr>
          <w:rFonts w:asciiTheme="minorHAnsi" w:hAnsiTheme="minorHAnsi" w:eastAsiaTheme="minorEastAsia" w:cstheme="minorHAnsi"/>
          <w:sz w:val="22"/>
          <w:szCs w:val="22"/>
        </w:rPr>
        <w:t xml:space="preserve">administered the survey. This is </w:t>
      </w:r>
      <w:r w:rsidRPr="00C4515C">
        <w:rPr>
          <w:rFonts w:asciiTheme="minorHAnsi" w:hAnsiTheme="minorHAnsi" w:eastAsiaTheme="minorEastAsia" w:cstheme="minorHAnsi"/>
          <w:sz w:val="22"/>
          <w:szCs w:val="22"/>
        </w:rPr>
        <w:t xml:space="preserve">approximately </w:t>
      </w:r>
      <w:r w:rsidRPr="00C4515C" w:rsidR="00A056F7">
        <w:rPr>
          <w:rFonts w:asciiTheme="minorHAnsi" w:hAnsiTheme="minorHAnsi" w:eastAsiaTheme="minorEastAsia" w:cstheme="minorHAnsi"/>
          <w:sz w:val="22"/>
          <w:szCs w:val="22"/>
        </w:rPr>
        <w:t>127,000</w:t>
      </w:r>
      <w:r w:rsidRPr="00C4515C">
        <w:rPr>
          <w:rFonts w:asciiTheme="minorHAnsi" w:hAnsiTheme="minorHAnsi" w:eastAsiaTheme="minorEastAsia" w:cstheme="minorHAnsi"/>
          <w:sz w:val="22"/>
          <w:szCs w:val="22"/>
        </w:rPr>
        <w:t xml:space="preserve"> households yielding approximately </w:t>
      </w:r>
      <w:r w:rsidRPr="00C4515C" w:rsidR="00A056F7">
        <w:rPr>
          <w:rFonts w:asciiTheme="minorHAnsi" w:hAnsiTheme="minorHAnsi" w:eastAsiaTheme="minorEastAsia" w:cstheme="minorHAnsi"/>
          <w:sz w:val="22"/>
          <w:szCs w:val="22"/>
        </w:rPr>
        <w:t>13,992</w:t>
      </w:r>
      <w:r w:rsidRPr="00C4515C">
        <w:rPr>
          <w:rFonts w:asciiTheme="minorHAnsi" w:hAnsiTheme="minorHAnsi" w:eastAsiaTheme="minorEastAsia" w:cstheme="minorHAnsi"/>
          <w:sz w:val="22"/>
          <w:szCs w:val="22"/>
        </w:rPr>
        <w:t xml:space="preserve"> persons age 12</w:t>
      </w:r>
      <w:r w:rsidRPr="00C4515C" w:rsidR="00A078EA">
        <w:rPr>
          <w:rFonts w:asciiTheme="minorHAnsi" w:hAnsiTheme="minorHAnsi" w:eastAsiaTheme="minorEastAsia" w:cstheme="minorHAnsi"/>
          <w:sz w:val="22"/>
          <w:szCs w:val="22"/>
        </w:rPr>
        <w:t xml:space="preserve"> to </w:t>
      </w:r>
      <w:r w:rsidRPr="00C4515C">
        <w:rPr>
          <w:rFonts w:asciiTheme="minorHAnsi" w:hAnsiTheme="minorHAnsi" w:eastAsiaTheme="minorEastAsia" w:cstheme="minorHAnsi"/>
          <w:sz w:val="22"/>
          <w:szCs w:val="22"/>
        </w:rPr>
        <w:t xml:space="preserve">18 in NCVS interviewed households. </w:t>
      </w:r>
    </w:p>
    <w:p w:rsidRPr="00C4515C" w:rsidR="00B136C1" w:rsidP="00B136C1" w:rsidRDefault="00B136C1" w14:paraId="1D11C558"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rsidR="00A6294B" w:rsidRDefault="00A6294B" w14:paraId="6F467F9C" w14:textId="77777777">
      <w:pPr>
        <w:autoSpaceDE/>
        <w:autoSpaceDN/>
        <w:adjustRightInd/>
        <w:rPr>
          <w:rFonts w:asciiTheme="minorHAnsi" w:hAnsiTheme="minorHAnsi" w:eastAsiaTheme="minorEastAsia" w:cstheme="minorHAnsi"/>
          <w:sz w:val="22"/>
          <w:szCs w:val="22"/>
        </w:rPr>
      </w:pPr>
      <w:r>
        <w:rPr>
          <w:rFonts w:asciiTheme="minorHAnsi" w:hAnsiTheme="minorHAnsi" w:eastAsiaTheme="minorEastAsia" w:cstheme="minorHAnsi"/>
          <w:sz w:val="22"/>
          <w:szCs w:val="22"/>
        </w:rPr>
        <w:br w:type="page"/>
      </w:r>
    </w:p>
    <w:p w:rsidRPr="00C4515C" w:rsidR="009022EC" w:rsidP="00492228" w:rsidRDefault="00560B16" w14:paraId="79C3EB18" w14:textId="286CE67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eastAsiaTheme="minorEastAsia" w:cstheme="minorHAnsi"/>
          <w:b/>
          <w:sz w:val="22"/>
          <w:szCs w:val="22"/>
        </w:rPr>
      </w:pPr>
      <w:r w:rsidRPr="00C4515C">
        <w:rPr>
          <w:rFonts w:asciiTheme="minorHAnsi" w:hAnsiTheme="minorHAnsi" w:eastAsiaTheme="minorEastAsia" w:cstheme="minorHAnsi"/>
          <w:sz w:val="22"/>
          <w:szCs w:val="22"/>
        </w:rPr>
        <w:lastRenderedPageBreak/>
        <w:t xml:space="preserve">Response rates and </w:t>
      </w:r>
      <w:r w:rsidRPr="00C4515C" w:rsidR="0023178D">
        <w:rPr>
          <w:rFonts w:asciiTheme="minorHAnsi" w:hAnsiTheme="minorHAnsi" w:eastAsiaTheme="minorEastAsia" w:cstheme="minorHAnsi"/>
          <w:sz w:val="22"/>
          <w:szCs w:val="22"/>
        </w:rPr>
        <w:t xml:space="preserve">interview times for the </w:t>
      </w:r>
      <w:r w:rsidRPr="00C4515C" w:rsidR="003C2595">
        <w:rPr>
          <w:rFonts w:asciiTheme="minorHAnsi" w:hAnsiTheme="minorHAnsi" w:eastAsiaTheme="minorEastAsia" w:cstheme="minorHAnsi"/>
          <w:sz w:val="22"/>
          <w:szCs w:val="22"/>
        </w:rPr>
        <w:t>202</w:t>
      </w:r>
      <w:r w:rsidRPr="00C4515C" w:rsidR="009022EC">
        <w:rPr>
          <w:rFonts w:asciiTheme="minorHAnsi" w:hAnsiTheme="minorHAnsi" w:eastAsiaTheme="minorEastAsia" w:cstheme="minorHAnsi"/>
          <w:sz w:val="22"/>
          <w:szCs w:val="22"/>
        </w:rPr>
        <w:t>2</w:t>
      </w:r>
      <w:r w:rsidRPr="00C4515C" w:rsidR="0023178D">
        <w:rPr>
          <w:rFonts w:asciiTheme="minorHAnsi" w:hAnsiTheme="minorHAnsi" w:eastAsiaTheme="minorEastAsia" w:cstheme="minorHAnsi"/>
          <w:sz w:val="22"/>
          <w:szCs w:val="22"/>
        </w:rPr>
        <w:t xml:space="preserve"> </w:t>
      </w:r>
      <w:r w:rsidR="00CC6C85">
        <w:rPr>
          <w:rFonts w:asciiTheme="minorHAnsi" w:hAnsiTheme="minorHAnsi" w:eastAsiaTheme="minorEastAsia" w:cstheme="minorHAnsi"/>
          <w:sz w:val="22"/>
          <w:szCs w:val="22"/>
        </w:rPr>
        <w:t xml:space="preserve">SCS </w:t>
      </w:r>
      <w:r w:rsidRPr="00C4515C" w:rsidR="0023178D">
        <w:rPr>
          <w:rFonts w:asciiTheme="minorHAnsi" w:hAnsiTheme="minorHAnsi" w:eastAsiaTheme="minorEastAsia" w:cstheme="minorHAnsi"/>
          <w:sz w:val="22"/>
          <w:szCs w:val="22"/>
        </w:rPr>
        <w:t>administration</w:t>
      </w:r>
      <w:r w:rsidRPr="00C4515C">
        <w:rPr>
          <w:rFonts w:asciiTheme="minorHAnsi" w:hAnsiTheme="minorHAnsi" w:eastAsiaTheme="minorEastAsia" w:cstheme="minorHAnsi"/>
          <w:sz w:val="22"/>
          <w:szCs w:val="22"/>
        </w:rPr>
        <w:t xml:space="preserve"> are based o</w:t>
      </w:r>
      <w:r w:rsidRPr="00C4515C" w:rsidR="0023178D">
        <w:rPr>
          <w:rFonts w:asciiTheme="minorHAnsi" w:hAnsiTheme="minorHAnsi" w:eastAsiaTheme="minorEastAsia" w:cstheme="minorHAnsi"/>
          <w:sz w:val="22"/>
          <w:szCs w:val="22"/>
        </w:rPr>
        <w:t xml:space="preserve">n actual times from the </w:t>
      </w:r>
      <w:r w:rsidRPr="00C4515C" w:rsidR="009F6853">
        <w:rPr>
          <w:rFonts w:asciiTheme="minorHAnsi" w:hAnsiTheme="minorHAnsi" w:eastAsiaTheme="minorEastAsia" w:cstheme="minorHAnsi"/>
          <w:sz w:val="22"/>
          <w:szCs w:val="22"/>
        </w:rPr>
        <w:t xml:space="preserve">2019 </w:t>
      </w:r>
      <w:r w:rsidRPr="00C4515C" w:rsidR="0023178D">
        <w:rPr>
          <w:rFonts w:asciiTheme="minorHAnsi" w:hAnsiTheme="minorHAnsi" w:eastAsiaTheme="minorEastAsia" w:cstheme="minorHAnsi"/>
          <w:sz w:val="22"/>
          <w:szCs w:val="22"/>
        </w:rPr>
        <w:t>administration</w:t>
      </w:r>
      <w:r w:rsidRPr="00C4515C">
        <w:rPr>
          <w:rFonts w:asciiTheme="minorHAnsi" w:hAnsiTheme="minorHAnsi" w:eastAsiaTheme="minorEastAsia" w:cstheme="minorHAnsi"/>
          <w:sz w:val="22"/>
          <w:szCs w:val="22"/>
        </w:rPr>
        <w:t xml:space="preserve">. </w:t>
      </w:r>
      <w:r w:rsidRPr="00C4515C" w:rsidR="00B136C1">
        <w:rPr>
          <w:rFonts w:asciiTheme="minorHAnsi" w:hAnsiTheme="minorHAnsi" w:eastAsiaTheme="minorEastAsia" w:cstheme="minorHAnsi"/>
          <w:sz w:val="22"/>
          <w:szCs w:val="22"/>
        </w:rPr>
        <w:t xml:space="preserve">Based on the </w:t>
      </w:r>
      <w:r w:rsidRPr="00C4515C" w:rsidR="009F6853">
        <w:rPr>
          <w:rFonts w:asciiTheme="minorHAnsi" w:hAnsiTheme="minorHAnsi" w:eastAsiaTheme="minorEastAsia" w:cstheme="minorHAnsi"/>
          <w:sz w:val="22"/>
          <w:szCs w:val="22"/>
        </w:rPr>
        <w:t xml:space="preserve">2019 </w:t>
      </w:r>
      <w:r w:rsidRPr="00C4515C" w:rsidR="00B136C1">
        <w:rPr>
          <w:rFonts w:asciiTheme="minorHAnsi" w:hAnsiTheme="minorHAnsi" w:eastAsiaTheme="minorEastAsia" w:cstheme="minorHAnsi"/>
          <w:sz w:val="22"/>
          <w:szCs w:val="22"/>
        </w:rPr>
        <w:t xml:space="preserve">SCS, we expect that about </w:t>
      </w:r>
      <w:r w:rsidRPr="00C4515C" w:rsidR="00A056F7">
        <w:rPr>
          <w:rFonts w:asciiTheme="minorHAnsi" w:hAnsiTheme="minorHAnsi" w:eastAsiaTheme="minorEastAsia" w:cstheme="minorHAnsi"/>
          <w:sz w:val="22"/>
          <w:szCs w:val="22"/>
        </w:rPr>
        <w:t>50.1</w:t>
      </w:r>
      <w:r w:rsidRPr="00C4515C" w:rsidR="00AF15C7">
        <w:rPr>
          <w:rFonts w:asciiTheme="minorHAnsi" w:hAnsiTheme="minorHAnsi" w:eastAsiaTheme="minorEastAsia" w:cstheme="minorHAnsi"/>
          <w:sz w:val="22"/>
          <w:szCs w:val="22"/>
        </w:rPr>
        <w:t>%</w:t>
      </w:r>
      <w:r w:rsidR="00EC552D">
        <w:rPr>
          <w:rFonts w:asciiTheme="minorHAnsi" w:hAnsiTheme="minorHAnsi" w:eastAsiaTheme="minorEastAsia" w:cstheme="minorHAnsi"/>
          <w:sz w:val="22"/>
          <w:szCs w:val="22"/>
        </w:rPr>
        <w:t>,</w:t>
      </w:r>
      <w:r w:rsidRPr="00C4515C" w:rsidR="00B136C1">
        <w:rPr>
          <w:rFonts w:asciiTheme="minorHAnsi" w:hAnsiTheme="minorHAnsi" w:eastAsiaTheme="minorEastAsia" w:cstheme="minorHAnsi"/>
          <w:sz w:val="22"/>
          <w:szCs w:val="22"/>
        </w:rPr>
        <w:t xml:space="preserve"> or </w:t>
      </w:r>
      <w:r w:rsidRPr="00C4515C" w:rsidR="00A056F7">
        <w:rPr>
          <w:rFonts w:asciiTheme="minorHAnsi" w:hAnsiTheme="minorHAnsi" w:eastAsiaTheme="minorEastAsia" w:cstheme="minorHAnsi"/>
          <w:sz w:val="22"/>
          <w:szCs w:val="22"/>
        </w:rPr>
        <w:t>7,010</w:t>
      </w:r>
      <w:r w:rsidRPr="00C4515C" w:rsidR="00B136C1">
        <w:rPr>
          <w:rFonts w:asciiTheme="minorHAnsi" w:hAnsiTheme="minorHAnsi" w:eastAsiaTheme="minorEastAsia" w:cstheme="minorHAnsi"/>
          <w:sz w:val="22"/>
          <w:szCs w:val="22"/>
        </w:rPr>
        <w:t xml:space="preserve"> of the </w:t>
      </w:r>
      <w:r w:rsidRPr="00C4515C" w:rsidR="00A056F7">
        <w:rPr>
          <w:rFonts w:asciiTheme="minorHAnsi" w:hAnsiTheme="minorHAnsi" w:eastAsiaTheme="minorEastAsia" w:cstheme="minorHAnsi"/>
          <w:sz w:val="22"/>
          <w:szCs w:val="22"/>
        </w:rPr>
        <w:t>13,992</w:t>
      </w:r>
      <w:r w:rsidRPr="00C4515C" w:rsidR="00B136C1">
        <w:rPr>
          <w:rFonts w:asciiTheme="minorHAnsi" w:hAnsiTheme="minorHAnsi" w:eastAsiaTheme="minorEastAsia" w:cstheme="minorHAnsi"/>
          <w:sz w:val="22"/>
          <w:szCs w:val="22"/>
        </w:rPr>
        <w:t xml:space="preserve"> NCVS persons age 12</w:t>
      </w:r>
      <w:r w:rsidRPr="00C4515C" w:rsidR="00A078EA">
        <w:rPr>
          <w:rFonts w:asciiTheme="minorHAnsi" w:hAnsiTheme="minorHAnsi" w:eastAsiaTheme="minorEastAsia" w:cstheme="minorHAnsi"/>
          <w:sz w:val="22"/>
          <w:szCs w:val="22"/>
        </w:rPr>
        <w:t xml:space="preserve"> to </w:t>
      </w:r>
      <w:r w:rsidRPr="00C4515C" w:rsidR="00B136C1">
        <w:rPr>
          <w:rFonts w:asciiTheme="minorHAnsi" w:hAnsiTheme="minorHAnsi" w:eastAsiaTheme="minorEastAsia" w:cstheme="minorHAnsi"/>
          <w:sz w:val="22"/>
          <w:szCs w:val="22"/>
        </w:rPr>
        <w:t>18</w:t>
      </w:r>
      <w:r w:rsidR="00EC552D">
        <w:rPr>
          <w:rFonts w:asciiTheme="minorHAnsi" w:hAnsiTheme="minorHAnsi" w:eastAsiaTheme="minorEastAsia" w:cstheme="minorHAnsi"/>
          <w:sz w:val="22"/>
          <w:szCs w:val="22"/>
        </w:rPr>
        <w:t>,</w:t>
      </w:r>
      <w:r w:rsidRPr="00C4515C" w:rsidR="00B136C1">
        <w:rPr>
          <w:rFonts w:asciiTheme="minorHAnsi" w:hAnsiTheme="minorHAnsi" w:eastAsiaTheme="minorEastAsia" w:cstheme="minorHAnsi"/>
          <w:sz w:val="22"/>
          <w:szCs w:val="22"/>
        </w:rPr>
        <w:t xml:space="preserve"> </w:t>
      </w:r>
      <w:r w:rsidRPr="00C4515C" w:rsidR="00E84126">
        <w:rPr>
          <w:rFonts w:asciiTheme="minorHAnsi" w:hAnsiTheme="minorHAnsi" w:eastAsiaTheme="minorEastAsia" w:cstheme="minorHAnsi"/>
          <w:sz w:val="22"/>
          <w:szCs w:val="22"/>
        </w:rPr>
        <w:t xml:space="preserve">are expected to </w:t>
      </w:r>
      <w:r w:rsidRPr="00C4515C" w:rsidR="00B136C1">
        <w:rPr>
          <w:rFonts w:asciiTheme="minorHAnsi" w:hAnsiTheme="minorHAnsi" w:eastAsiaTheme="minorEastAsia" w:cstheme="minorHAnsi"/>
          <w:sz w:val="22"/>
          <w:szCs w:val="22"/>
        </w:rPr>
        <w:t xml:space="preserve">complete an SCS interview. Of the </w:t>
      </w:r>
      <w:r w:rsidRPr="00C4515C" w:rsidR="00A056F7">
        <w:rPr>
          <w:rFonts w:asciiTheme="minorHAnsi" w:hAnsiTheme="minorHAnsi" w:eastAsiaTheme="minorEastAsia" w:cstheme="minorHAnsi"/>
          <w:sz w:val="22"/>
          <w:szCs w:val="22"/>
        </w:rPr>
        <w:t>7,010</w:t>
      </w:r>
      <w:r w:rsidRPr="00C4515C" w:rsidR="00B136C1">
        <w:rPr>
          <w:rFonts w:asciiTheme="minorHAnsi" w:hAnsiTheme="minorHAnsi" w:eastAsiaTheme="minorEastAsia" w:cstheme="minorHAnsi"/>
          <w:sz w:val="22"/>
          <w:szCs w:val="22"/>
        </w:rPr>
        <w:t xml:space="preserve"> SCS respondents, </w:t>
      </w:r>
      <w:r w:rsidRPr="00C4515C" w:rsidR="000F175D">
        <w:rPr>
          <w:rFonts w:asciiTheme="minorHAnsi" w:hAnsiTheme="minorHAnsi" w:eastAsiaTheme="minorEastAsia" w:cstheme="minorHAnsi"/>
          <w:sz w:val="22"/>
          <w:szCs w:val="22"/>
        </w:rPr>
        <w:t>86.</w:t>
      </w:r>
      <w:r w:rsidRPr="00C4515C" w:rsidR="00A056F7">
        <w:rPr>
          <w:rFonts w:asciiTheme="minorHAnsi" w:hAnsiTheme="minorHAnsi" w:eastAsiaTheme="minorEastAsia" w:cstheme="minorHAnsi"/>
          <w:sz w:val="22"/>
          <w:szCs w:val="22"/>
        </w:rPr>
        <w:t>6</w:t>
      </w:r>
      <w:r w:rsidRPr="00C4515C" w:rsidR="00B136C1">
        <w:rPr>
          <w:rFonts w:asciiTheme="minorHAnsi" w:hAnsiTheme="minorHAnsi" w:eastAsiaTheme="minorEastAsia" w:cstheme="minorHAnsi"/>
          <w:sz w:val="22"/>
          <w:szCs w:val="22"/>
        </w:rPr>
        <w:t>%</w:t>
      </w:r>
      <w:r w:rsidR="00EC552D">
        <w:rPr>
          <w:rFonts w:asciiTheme="minorHAnsi" w:hAnsiTheme="minorHAnsi" w:eastAsiaTheme="minorEastAsia" w:cstheme="minorHAnsi"/>
          <w:sz w:val="22"/>
          <w:szCs w:val="22"/>
        </w:rPr>
        <w:t>,</w:t>
      </w:r>
      <w:r w:rsidRPr="00C4515C" w:rsidR="00B136C1">
        <w:rPr>
          <w:rFonts w:asciiTheme="minorHAnsi" w:hAnsiTheme="minorHAnsi" w:eastAsiaTheme="minorEastAsia" w:cstheme="minorHAnsi"/>
          <w:sz w:val="22"/>
          <w:szCs w:val="22"/>
        </w:rPr>
        <w:t xml:space="preserve"> or </w:t>
      </w:r>
      <w:r w:rsidRPr="00C4515C" w:rsidR="00A056F7">
        <w:rPr>
          <w:rFonts w:asciiTheme="minorHAnsi" w:hAnsiTheme="minorHAnsi" w:eastAsiaTheme="minorEastAsia" w:cstheme="minorHAnsi"/>
          <w:sz w:val="22"/>
          <w:szCs w:val="22"/>
        </w:rPr>
        <w:t>6,071</w:t>
      </w:r>
      <w:r w:rsidR="00EC552D">
        <w:rPr>
          <w:rFonts w:asciiTheme="minorHAnsi" w:hAnsiTheme="minorHAnsi" w:eastAsiaTheme="minorEastAsia" w:cstheme="minorHAnsi"/>
          <w:sz w:val="22"/>
          <w:szCs w:val="22"/>
        </w:rPr>
        <w:t>,</w:t>
      </w:r>
      <w:r w:rsidRPr="00C4515C" w:rsidR="00B136C1">
        <w:rPr>
          <w:rFonts w:asciiTheme="minorHAnsi" w:hAnsiTheme="minorHAnsi" w:eastAsiaTheme="minorEastAsia" w:cstheme="minorHAnsi"/>
          <w:sz w:val="22"/>
          <w:szCs w:val="22"/>
        </w:rPr>
        <w:t xml:space="preserve"> </w:t>
      </w:r>
      <w:r w:rsidRPr="00C4515C" w:rsidR="0023178D">
        <w:rPr>
          <w:rFonts w:asciiTheme="minorHAnsi" w:hAnsiTheme="minorHAnsi" w:eastAsiaTheme="minorEastAsia" w:cstheme="minorHAnsi"/>
          <w:sz w:val="22"/>
          <w:szCs w:val="22"/>
        </w:rPr>
        <w:t>are expected to</w:t>
      </w:r>
      <w:r w:rsidRPr="00C4515C" w:rsidR="00B136C1">
        <w:rPr>
          <w:rFonts w:asciiTheme="minorHAnsi" w:hAnsiTheme="minorHAnsi" w:eastAsiaTheme="minorEastAsia" w:cstheme="minorHAnsi"/>
          <w:sz w:val="22"/>
          <w:szCs w:val="22"/>
        </w:rPr>
        <w:t xml:space="preserve"> complete the long SCS interview (entire SCS questionnaire)</w:t>
      </w:r>
      <w:r w:rsidR="00EC552D">
        <w:rPr>
          <w:rFonts w:asciiTheme="minorHAnsi" w:hAnsiTheme="minorHAnsi" w:eastAsiaTheme="minorEastAsia" w:cstheme="minorHAnsi"/>
          <w:sz w:val="22"/>
          <w:szCs w:val="22"/>
        </w:rPr>
        <w:t>,</w:t>
      </w:r>
      <w:r w:rsidRPr="00C4515C" w:rsidR="00B136C1">
        <w:rPr>
          <w:rFonts w:asciiTheme="minorHAnsi" w:hAnsiTheme="minorHAnsi" w:eastAsiaTheme="minorEastAsia" w:cstheme="minorHAnsi"/>
          <w:sz w:val="22"/>
          <w:szCs w:val="22"/>
        </w:rPr>
        <w:t xml:space="preserve"> which take</w:t>
      </w:r>
      <w:r w:rsidRPr="00C4515C" w:rsidR="00E84126">
        <w:rPr>
          <w:rFonts w:asciiTheme="minorHAnsi" w:hAnsiTheme="minorHAnsi" w:eastAsiaTheme="minorEastAsia" w:cstheme="minorHAnsi"/>
          <w:sz w:val="22"/>
          <w:szCs w:val="22"/>
        </w:rPr>
        <w:t>s</w:t>
      </w:r>
      <w:r w:rsidRPr="00C4515C" w:rsidR="00B136C1">
        <w:rPr>
          <w:rFonts w:asciiTheme="minorHAnsi" w:hAnsiTheme="minorHAnsi" w:eastAsiaTheme="minorEastAsia" w:cstheme="minorHAnsi"/>
          <w:sz w:val="22"/>
          <w:szCs w:val="22"/>
        </w:rPr>
        <w:t xml:space="preserve"> an estimated </w:t>
      </w:r>
      <w:r w:rsidRPr="00C4515C" w:rsidR="00824800">
        <w:rPr>
          <w:rFonts w:asciiTheme="minorHAnsi" w:hAnsiTheme="minorHAnsi" w:eastAsiaTheme="minorEastAsia" w:cstheme="minorHAnsi"/>
          <w:sz w:val="22"/>
          <w:szCs w:val="22"/>
        </w:rPr>
        <w:t>1</w:t>
      </w:r>
      <w:r w:rsidRPr="00C4515C" w:rsidR="007131F9">
        <w:rPr>
          <w:rFonts w:asciiTheme="minorHAnsi" w:hAnsiTheme="minorHAnsi" w:eastAsiaTheme="minorEastAsia" w:cstheme="minorHAnsi"/>
          <w:sz w:val="22"/>
          <w:szCs w:val="22"/>
        </w:rPr>
        <w:t>7</w:t>
      </w:r>
      <w:r w:rsidRPr="00C4515C" w:rsidR="00824800">
        <w:rPr>
          <w:rFonts w:asciiTheme="minorHAnsi" w:hAnsiTheme="minorHAnsi" w:eastAsiaTheme="minorEastAsia" w:cstheme="minorHAnsi"/>
          <w:sz w:val="22"/>
          <w:szCs w:val="22"/>
        </w:rPr>
        <w:t xml:space="preserve"> minutes (</w:t>
      </w:r>
      <w:r w:rsidRPr="00C4515C" w:rsidR="00B136C1">
        <w:rPr>
          <w:rFonts w:asciiTheme="minorHAnsi" w:hAnsiTheme="minorHAnsi" w:eastAsiaTheme="minorEastAsia" w:cstheme="minorHAnsi"/>
          <w:sz w:val="22"/>
          <w:szCs w:val="22"/>
        </w:rPr>
        <w:t>0.</w:t>
      </w:r>
      <w:r w:rsidRPr="00C4515C" w:rsidR="000F175D">
        <w:rPr>
          <w:rFonts w:asciiTheme="minorHAnsi" w:hAnsiTheme="minorHAnsi" w:eastAsiaTheme="minorEastAsia" w:cstheme="minorHAnsi"/>
          <w:sz w:val="22"/>
          <w:szCs w:val="22"/>
        </w:rPr>
        <w:t>2</w:t>
      </w:r>
      <w:r w:rsidRPr="00C4515C" w:rsidR="007131F9">
        <w:rPr>
          <w:rFonts w:asciiTheme="minorHAnsi" w:hAnsiTheme="minorHAnsi" w:eastAsiaTheme="minorEastAsia" w:cstheme="minorHAnsi"/>
          <w:sz w:val="22"/>
          <w:szCs w:val="22"/>
        </w:rPr>
        <w:t>8</w:t>
      </w:r>
      <w:r w:rsidRPr="00C4515C" w:rsidR="00824800">
        <w:rPr>
          <w:rFonts w:asciiTheme="minorHAnsi" w:hAnsiTheme="minorHAnsi" w:eastAsiaTheme="minorEastAsia" w:cstheme="minorHAnsi"/>
          <w:sz w:val="22"/>
          <w:szCs w:val="22"/>
        </w:rPr>
        <w:t xml:space="preserve"> hours</w:t>
      </w:r>
      <w:r w:rsidRPr="00C4515C" w:rsidR="00B136C1">
        <w:rPr>
          <w:rFonts w:asciiTheme="minorHAnsi" w:hAnsiTheme="minorHAnsi" w:eastAsiaTheme="minorEastAsia" w:cstheme="minorHAnsi"/>
          <w:sz w:val="22"/>
          <w:szCs w:val="22"/>
        </w:rPr>
        <w:t xml:space="preserve">) to complete. The remaining </w:t>
      </w:r>
      <w:r w:rsidRPr="00C4515C" w:rsidR="000F175D">
        <w:rPr>
          <w:rFonts w:asciiTheme="minorHAnsi" w:hAnsiTheme="minorHAnsi" w:eastAsiaTheme="minorEastAsia" w:cstheme="minorHAnsi"/>
          <w:sz w:val="22"/>
          <w:szCs w:val="22"/>
        </w:rPr>
        <w:t>13.</w:t>
      </w:r>
      <w:r w:rsidRPr="00C4515C" w:rsidR="007131F9">
        <w:rPr>
          <w:rFonts w:asciiTheme="minorHAnsi" w:hAnsiTheme="minorHAnsi" w:eastAsiaTheme="minorEastAsia" w:cstheme="minorHAnsi"/>
          <w:sz w:val="22"/>
          <w:szCs w:val="22"/>
        </w:rPr>
        <w:t>4</w:t>
      </w:r>
      <w:r w:rsidRPr="00C4515C" w:rsidR="000259D6">
        <w:rPr>
          <w:rFonts w:asciiTheme="minorHAnsi" w:hAnsiTheme="minorHAnsi" w:eastAsiaTheme="minorEastAsia" w:cstheme="minorHAnsi"/>
          <w:sz w:val="22"/>
          <w:szCs w:val="22"/>
        </w:rPr>
        <w:t>%</w:t>
      </w:r>
      <w:r w:rsidR="00EC552D">
        <w:rPr>
          <w:rFonts w:asciiTheme="minorHAnsi" w:hAnsiTheme="minorHAnsi" w:eastAsiaTheme="minorEastAsia" w:cstheme="minorHAnsi"/>
          <w:sz w:val="22"/>
          <w:szCs w:val="22"/>
        </w:rPr>
        <w:t>,</w:t>
      </w:r>
      <w:r w:rsidRPr="00C4515C" w:rsidR="00B136C1">
        <w:rPr>
          <w:rFonts w:asciiTheme="minorHAnsi" w:hAnsiTheme="minorHAnsi" w:eastAsiaTheme="minorEastAsia" w:cstheme="minorHAnsi"/>
          <w:sz w:val="22"/>
          <w:szCs w:val="22"/>
        </w:rPr>
        <w:t xml:space="preserve"> or </w:t>
      </w:r>
      <w:r w:rsidRPr="00C4515C" w:rsidR="007131F9">
        <w:rPr>
          <w:rFonts w:asciiTheme="minorHAnsi" w:hAnsiTheme="minorHAnsi" w:eastAsiaTheme="minorEastAsia" w:cstheme="minorHAnsi"/>
          <w:sz w:val="22"/>
          <w:szCs w:val="22"/>
        </w:rPr>
        <w:t>939</w:t>
      </w:r>
      <w:r w:rsidR="00EC552D">
        <w:rPr>
          <w:rFonts w:asciiTheme="minorHAnsi" w:hAnsiTheme="minorHAnsi" w:eastAsiaTheme="minorEastAsia" w:cstheme="minorHAnsi"/>
          <w:sz w:val="22"/>
          <w:szCs w:val="22"/>
        </w:rPr>
        <w:t>,</w:t>
      </w:r>
      <w:r w:rsidRPr="00C4515C" w:rsidR="00B136C1">
        <w:rPr>
          <w:rFonts w:asciiTheme="minorHAnsi" w:hAnsiTheme="minorHAnsi" w:eastAsiaTheme="minorEastAsia" w:cstheme="minorHAnsi"/>
          <w:sz w:val="22"/>
          <w:szCs w:val="22"/>
        </w:rPr>
        <w:t xml:space="preserve"> SCS respondents </w:t>
      </w:r>
      <w:r w:rsidRPr="00C4515C" w:rsidR="00E84126">
        <w:rPr>
          <w:rFonts w:asciiTheme="minorHAnsi" w:hAnsiTheme="minorHAnsi" w:eastAsiaTheme="minorEastAsia" w:cstheme="minorHAnsi"/>
          <w:sz w:val="22"/>
          <w:szCs w:val="22"/>
        </w:rPr>
        <w:t xml:space="preserve">are expected to </w:t>
      </w:r>
      <w:r w:rsidRPr="00C4515C" w:rsidR="00B136C1">
        <w:rPr>
          <w:rFonts w:asciiTheme="minorHAnsi" w:hAnsiTheme="minorHAnsi" w:eastAsiaTheme="minorEastAsia" w:cstheme="minorHAnsi"/>
          <w:sz w:val="22"/>
          <w:szCs w:val="22"/>
        </w:rPr>
        <w:t>complete the short interview (i.e.</w:t>
      </w:r>
      <w:r w:rsidR="00CC6C85">
        <w:rPr>
          <w:rFonts w:asciiTheme="minorHAnsi" w:hAnsiTheme="minorHAnsi" w:eastAsiaTheme="minorEastAsia" w:cstheme="minorHAnsi"/>
          <w:sz w:val="22"/>
          <w:szCs w:val="22"/>
        </w:rPr>
        <w:t>,</w:t>
      </w:r>
      <w:r w:rsidRPr="00C4515C" w:rsidR="00B136C1">
        <w:rPr>
          <w:rFonts w:asciiTheme="minorHAnsi" w:hAnsiTheme="minorHAnsi" w:eastAsiaTheme="minorEastAsia" w:cstheme="minorHAnsi"/>
          <w:sz w:val="22"/>
          <w:szCs w:val="22"/>
        </w:rPr>
        <w:t xml:space="preserve"> will be screened out for not being in school), w</w:t>
      </w:r>
      <w:r w:rsidRPr="00C4515C" w:rsidR="000F175D">
        <w:rPr>
          <w:rFonts w:asciiTheme="minorHAnsi" w:hAnsiTheme="minorHAnsi" w:eastAsiaTheme="minorEastAsia" w:cstheme="minorHAnsi"/>
          <w:sz w:val="22"/>
          <w:szCs w:val="22"/>
        </w:rPr>
        <w:t>hich take</w:t>
      </w:r>
      <w:r w:rsidRPr="00C4515C" w:rsidR="00E84126">
        <w:rPr>
          <w:rFonts w:asciiTheme="minorHAnsi" w:hAnsiTheme="minorHAnsi" w:eastAsiaTheme="minorEastAsia" w:cstheme="minorHAnsi"/>
          <w:sz w:val="22"/>
          <w:szCs w:val="22"/>
        </w:rPr>
        <w:t>s</w:t>
      </w:r>
      <w:r w:rsidRPr="00C4515C" w:rsidR="000F175D">
        <w:rPr>
          <w:rFonts w:asciiTheme="minorHAnsi" w:hAnsiTheme="minorHAnsi" w:eastAsiaTheme="minorEastAsia" w:cstheme="minorHAnsi"/>
          <w:sz w:val="22"/>
          <w:szCs w:val="22"/>
        </w:rPr>
        <w:t xml:space="preserve"> an estimated </w:t>
      </w:r>
      <w:r w:rsidRPr="00C4515C" w:rsidR="00824800">
        <w:rPr>
          <w:rFonts w:asciiTheme="minorHAnsi" w:hAnsiTheme="minorHAnsi" w:eastAsiaTheme="minorEastAsia" w:cstheme="minorHAnsi"/>
          <w:sz w:val="22"/>
          <w:szCs w:val="22"/>
        </w:rPr>
        <w:t>2 minutes (</w:t>
      </w:r>
      <w:r w:rsidRPr="00C4515C" w:rsidR="000F175D">
        <w:rPr>
          <w:rFonts w:asciiTheme="minorHAnsi" w:hAnsiTheme="minorHAnsi" w:eastAsiaTheme="minorEastAsia" w:cstheme="minorHAnsi"/>
          <w:sz w:val="22"/>
          <w:szCs w:val="22"/>
        </w:rPr>
        <w:t>0.0</w:t>
      </w:r>
      <w:r w:rsidRPr="00C4515C" w:rsidR="00A056F7">
        <w:rPr>
          <w:rFonts w:asciiTheme="minorHAnsi" w:hAnsiTheme="minorHAnsi" w:eastAsiaTheme="minorEastAsia" w:cstheme="minorHAnsi"/>
          <w:sz w:val="22"/>
          <w:szCs w:val="22"/>
        </w:rPr>
        <w:t>3</w:t>
      </w:r>
      <w:r w:rsidRPr="00C4515C" w:rsidR="000F175D">
        <w:rPr>
          <w:rFonts w:asciiTheme="minorHAnsi" w:hAnsiTheme="minorHAnsi" w:eastAsiaTheme="minorEastAsia" w:cstheme="minorHAnsi"/>
          <w:sz w:val="22"/>
          <w:szCs w:val="22"/>
        </w:rPr>
        <w:t xml:space="preserve"> hours</w:t>
      </w:r>
      <w:r w:rsidRPr="00C4515C" w:rsidR="008B4FEB">
        <w:rPr>
          <w:rFonts w:asciiTheme="minorHAnsi" w:hAnsiTheme="minorHAnsi" w:eastAsiaTheme="minorEastAsia" w:cstheme="minorHAnsi"/>
          <w:sz w:val="22"/>
          <w:szCs w:val="22"/>
        </w:rPr>
        <w:t xml:space="preserve">) to complete. </w:t>
      </w:r>
      <w:r w:rsidRPr="00C4515C" w:rsidR="00B136C1">
        <w:rPr>
          <w:rFonts w:asciiTheme="minorHAnsi" w:hAnsiTheme="minorHAnsi" w:eastAsiaTheme="minorEastAsia" w:cstheme="minorHAnsi"/>
          <w:sz w:val="22"/>
          <w:szCs w:val="22"/>
        </w:rPr>
        <w:t xml:space="preserve">The total respondent burden is approximately </w:t>
      </w:r>
      <w:r w:rsidRPr="00C4515C" w:rsidR="00A056F7">
        <w:rPr>
          <w:rFonts w:asciiTheme="minorHAnsi" w:hAnsiTheme="minorHAnsi" w:eastAsiaTheme="minorEastAsia" w:cstheme="minorHAnsi"/>
          <w:sz w:val="22"/>
          <w:szCs w:val="22"/>
        </w:rPr>
        <w:t>1,728</w:t>
      </w:r>
      <w:r w:rsidRPr="00C4515C" w:rsidR="002F0918">
        <w:rPr>
          <w:rFonts w:asciiTheme="minorHAnsi" w:hAnsiTheme="minorHAnsi" w:eastAsiaTheme="minorEastAsia" w:cstheme="minorHAnsi"/>
          <w:sz w:val="22"/>
          <w:szCs w:val="22"/>
        </w:rPr>
        <w:t xml:space="preserve"> hours. See Table </w:t>
      </w:r>
      <w:r w:rsidRPr="00C4515C" w:rsidR="00141E36">
        <w:rPr>
          <w:rFonts w:asciiTheme="minorHAnsi" w:hAnsiTheme="minorHAnsi" w:eastAsiaTheme="minorEastAsia" w:cstheme="minorHAnsi"/>
          <w:sz w:val="22"/>
          <w:szCs w:val="22"/>
        </w:rPr>
        <w:t>2</w:t>
      </w:r>
      <w:r w:rsidRPr="00C4515C" w:rsidR="002F0918">
        <w:rPr>
          <w:rFonts w:asciiTheme="minorHAnsi" w:hAnsiTheme="minorHAnsi" w:eastAsiaTheme="minorEastAsia" w:cstheme="minorHAnsi"/>
          <w:sz w:val="22"/>
          <w:szCs w:val="22"/>
        </w:rPr>
        <w:t xml:space="preserve"> for calculation</w:t>
      </w:r>
      <w:r w:rsidR="002E05EC">
        <w:rPr>
          <w:rFonts w:asciiTheme="minorHAnsi" w:hAnsiTheme="minorHAnsi" w:eastAsiaTheme="minorEastAsia" w:cstheme="minorHAnsi"/>
          <w:sz w:val="22"/>
          <w:szCs w:val="22"/>
        </w:rPr>
        <w:t xml:space="preserve"> and item 15 below for explanation of the change in burden</w:t>
      </w:r>
      <w:r w:rsidRPr="00C4515C" w:rsidR="002F0918">
        <w:rPr>
          <w:rFonts w:asciiTheme="minorHAnsi" w:hAnsiTheme="minorHAnsi" w:eastAsiaTheme="minorEastAsia" w:cstheme="minorHAnsi"/>
          <w:sz w:val="22"/>
          <w:szCs w:val="22"/>
        </w:rPr>
        <w:t>.</w:t>
      </w:r>
    </w:p>
    <w:p w:rsidRPr="00C4515C" w:rsidR="009022EC" w:rsidP="00390394" w:rsidRDefault="009022EC" w14:paraId="773FF6C3"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eastAsiaTheme="minorEastAsia" w:cstheme="minorHAnsi"/>
          <w:b/>
          <w:sz w:val="22"/>
          <w:szCs w:val="22"/>
        </w:rPr>
      </w:pPr>
    </w:p>
    <w:p w:rsidRPr="00C4515C" w:rsidR="004A595C" w:rsidP="007765C6" w:rsidRDefault="007765C6" w14:paraId="3DDAB719" w14:textId="72BD252D">
      <w:pPr>
        <w:autoSpaceDE/>
        <w:autoSpaceDN/>
        <w:adjustRightInd/>
        <w:ind w:left="450"/>
        <w:rPr>
          <w:rFonts w:asciiTheme="minorHAnsi" w:hAnsiTheme="minorHAnsi" w:eastAsiaTheme="minorEastAsia" w:cstheme="minorHAnsi"/>
          <w:sz w:val="22"/>
          <w:szCs w:val="22"/>
        </w:rPr>
      </w:pPr>
      <w:r>
        <w:rPr>
          <w:rFonts w:asciiTheme="minorHAnsi" w:hAnsiTheme="minorHAnsi" w:eastAsiaTheme="minorEastAsia" w:cstheme="minorHAnsi"/>
          <w:b/>
          <w:sz w:val="22"/>
          <w:szCs w:val="22"/>
        </w:rPr>
        <w:tab/>
      </w:r>
      <w:r w:rsidRPr="00C4515C" w:rsidR="00B136C1">
        <w:rPr>
          <w:rFonts w:asciiTheme="minorHAnsi" w:hAnsiTheme="minorHAnsi" w:eastAsiaTheme="minorEastAsia" w:cstheme="minorHAnsi"/>
          <w:b/>
          <w:sz w:val="22"/>
          <w:szCs w:val="22"/>
        </w:rPr>
        <w:t xml:space="preserve">Table </w:t>
      </w:r>
      <w:r w:rsidRPr="00C4515C" w:rsidR="00141E36">
        <w:rPr>
          <w:rFonts w:asciiTheme="minorHAnsi" w:hAnsiTheme="minorHAnsi" w:eastAsiaTheme="minorEastAsia" w:cstheme="minorHAnsi"/>
          <w:b/>
          <w:sz w:val="22"/>
          <w:szCs w:val="22"/>
        </w:rPr>
        <w:t>2</w:t>
      </w:r>
      <w:r w:rsidRPr="00C4515C" w:rsidR="00B136C1">
        <w:rPr>
          <w:rFonts w:asciiTheme="minorHAnsi" w:hAnsiTheme="minorHAnsi" w:eastAsiaTheme="minorEastAsia" w:cstheme="minorHAnsi"/>
          <w:b/>
          <w:sz w:val="22"/>
          <w:szCs w:val="22"/>
        </w:rPr>
        <w:t xml:space="preserve">. </w:t>
      </w:r>
      <w:r w:rsidRPr="00C4515C" w:rsidR="003C2595">
        <w:rPr>
          <w:rFonts w:asciiTheme="minorHAnsi" w:hAnsiTheme="minorHAnsi" w:eastAsiaTheme="minorEastAsia" w:cstheme="minorHAnsi"/>
          <w:b/>
          <w:sz w:val="22"/>
          <w:szCs w:val="22"/>
        </w:rPr>
        <w:t>202</w:t>
      </w:r>
      <w:r w:rsidRPr="00C4515C" w:rsidR="00B81F8C">
        <w:rPr>
          <w:rFonts w:asciiTheme="minorHAnsi" w:hAnsiTheme="minorHAnsi" w:eastAsiaTheme="minorEastAsia" w:cstheme="minorHAnsi"/>
          <w:b/>
          <w:sz w:val="22"/>
          <w:szCs w:val="22"/>
        </w:rPr>
        <w:t>2</w:t>
      </w:r>
      <w:r w:rsidRPr="00C4515C" w:rsidR="00B136C1">
        <w:rPr>
          <w:rFonts w:asciiTheme="minorHAnsi" w:hAnsiTheme="minorHAnsi" w:eastAsiaTheme="minorEastAsia" w:cstheme="minorHAnsi"/>
          <w:b/>
          <w:sz w:val="22"/>
          <w:szCs w:val="22"/>
        </w:rPr>
        <w:t xml:space="preserve"> SCS estimated burden hours</w:t>
      </w:r>
    </w:p>
    <w:tbl>
      <w:tblPr>
        <w:tblStyle w:val="TableGrid"/>
        <w:tblW w:w="8465" w:type="dxa"/>
        <w:jc w:val="center"/>
        <w:tblLayout w:type="fixed"/>
        <w:tblLook w:val="04A0" w:firstRow="1" w:lastRow="0" w:firstColumn="1" w:lastColumn="0" w:noHBand="0" w:noVBand="1"/>
      </w:tblPr>
      <w:tblGrid>
        <w:gridCol w:w="4045"/>
        <w:gridCol w:w="1620"/>
        <w:gridCol w:w="1355"/>
        <w:gridCol w:w="1445"/>
      </w:tblGrid>
      <w:tr w:rsidRPr="00C4515C" w:rsidR="00B136C1" w:rsidTr="00D22437" w14:paraId="78405DB2" w14:textId="77777777">
        <w:trPr>
          <w:trHeight w:val="867"/>
          <w:jc w:val="center"/>
        </w:trPr>
        <w:tc>
          <w:tcPr>
            <w:tcW w:w="4045" w:type="dxa"/>
            <w:noWrap/>
            <w:hideMark/>
          </w:tcPr>
          <w:p w:rsidRPr="00C4515C" w:rsidR="00B136C1" w:rsidP="000D2EAE" w:rsidRDefault="00B136C1" w14:paraId="0AAF1D5E"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rPr>
            </w:pPr>
          </w:p>
        </w:tc>
        <w:tc>
          <w:tcPr>
            <w:tcW w:w="1620" w:type="dxa"/>
            <w:hideMark/>
          </w:tcPr>
          <w:p w:rsidRPr="00C4515C" w:rsidR="00B136C1" w:rsidP="36B31C31" w:rsidRDefault="00B136C1" w14:paraId="7B06461C"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eastAsiaTheme="minorEastAsia" w:cstheme="minorHAnsi"/>
                <w:b/>
                <w:bCs/>
              </w:rPr>
            </w:pPr>
            <w:r w:rsidRPr="00C4515C">
              <w:rPr>
                <w:rFonts w:asciiTheme="minorHAnsi" w:hAnsiTheme="minorHAnsi" w:eastAsiaTheme="minorEastAsia" w:cstheme="minorHAnsi"/>
                <w:b/>
                <w:bCs/>
              </w:rPr>
              <w:t>Number of SCS Persons</w:t>
            </w:r>
          </w:p>
          <w:p w:rsidRPr="00C4515C" w:rsidR="000F175D" w:rsidP="36B31C31" w:rsidRDefault="000F175D" w14:paraId="3ABC8B65"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eastAsiaTheme="minorEastAsia" w:cstheme="minorHAnsi"/>
                <w:b/>
                <w:bCs/>
              </w:rPr>
            </w:pPr>
            <w:r w:rsidRPr="00C4515C">
              <w:rPr>
                <w:rFonts w:asciiTheme="minorHAnsi" w:hAnsiTheme="minorHAnsi" w:eastAsiaTheme="minorEastAsia" w:cstheme="minorHAnsi"/>
                <w:b/>
                <w:bCs/>
              </w:rPr>
              <w:t>(A)</w:t>
            </w:r>
          </w:p>
        </w:tc>
        <w:tc>
          <w:tcPr>
            <w:tcW w:w="1355" w:type="dxa"/>
            <w:hideMark/>
          </w:tcPr>
          <w:p w:rsidRPr="00C4515C" w:rsidR="00B136C1" w:rsidP="36B31C31" w:rsidRDefault="00B136C1" w14:paraId="6E3C78D5"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eastAsiaTheme="minorEastAsia" w:cstheme="minorHAnsi"/>
                <w:b/>
                <w:bCs/>
              </w:rPr>
            </w:pPr>
            <w:r w:rsidRPr="00C4515C">
              <w:rPr>
                <w:rFonts w:asciiTheme="minorHAnsi" w:hAnsiTheme="minorHAnsi" w:eastAsiaTheme="minorEastAsia" w:cstheme="minorHAnsi"/>
                <w:b/>
                <w:bCs/>
              </w:rPr>
              <w:t>Time per interview (hours)</w:t>
            </w:r>
          </w:p>
          <w:p w:rsidRPr="00C4515C" w:rsidR="000F175D" w:rsidP="36B31C31" w:rsidRDefault="000F175D" w14:paraId="20F466BC"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eastAsiaTheme="minorEastAsia" w:cstheme="minorHAnsi"/>
                <w:b/>
                <w:bCs/>
              </w:rPr>
            </w:pPr>
            <w:r w:rsidRPr="00C4515C">
              <w:rPr>
                <w:rFonts w:asciiTheme="minorHAnsi" w:hAnsiTheme="minorHAnsi" w:eastAsiaTheme="minorEastAsia" w:cstheme="minorHAnsi"/>
                <w:b/>
                <w:bCs/>
              </w:rPr>
              <w:t>(B)</w:t>
            </w:r>
          </w:p>
        </w:tc>
        <w:tc>
          <w:tcPr>
            <w:tcW w:w="1445" w:type="dxa"/>
            <w:hideMark/>
          </w:tcPr>
          <w:p w:rsidRPr="00C4515C" w:rsidR="00B136C1" w:rsidP="36B31C31" w:rsidRDefault="00B136C1" w14:paraId="5B160EBD" w14:textId="15128CA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eastAsiaTheme="minorEastAsia" w:cstheme="minorHAnsi"/>
                <w:b/>
                <w:bCs/>
              </w:rPr>
            </w:pPr>
            <w:r w:rsidRPr="00C4515C">
              <w:rPr>
                <w:rFonts w:asciiTheme="minorHAnsi" w:hAnsiTheme="minorHAnsi" w:eastAsiaTheme="minorEastAsia" w:cstheme="minorHAnsi"/>
                <w:b/>
                <w:bCs/>
              </w:rPr>
              <w:t>Burden hours (A</w:t>
            </w:r>
            <w:r w:rsidRPr="00C4515C" w:rsidR="00492228">
              <w:rPr>
                <w:rFonts w:asciiTheme="minorHAnsi" w:hAnsiTheme="minorHAnsi" w:eastAsiaTheme="minorEastAsia" w:cstheme="minorHAnsi"/>
                <w:b/>
                <w:bCs/>
              </w:rPr>
              <w:t xml:space="preserve"> </w:t>
            </w:r>
            <w:r w:rsidRPr="00C4515C">
              <w:rPr>
                <w:rFonts w:asciiTheme="minorHAnsi" w:hAnsiTheme="minorHAnsi" w:eastAsiaTheme="minorEastAsia" w:cstheme="minorHAnsi"/>
                <w:b/>
                <w:bCs/>
              </w:rPr>
              <w:t>x</w:t>
            </w:r>
            <w:r w:rsidRPr="00C4515C" w:rsidR="00492228">
              <w:rPr>
                <w:rFonts w:asciiTheme="minorHAnsi" w:hAnsiTheme="minorHAnsi" w:eastAsiaTheme="minorEastAsia" w:cstheme="minorHAnsi"/>
                <w:b/>
                <w:bCs/>
              </w:rPr>
              <w:t xml:space="preserve"> </w:t>
            </w:r>
            <w:r w:rsidRPr="00C4515C">
              <w:rPr>
                <w:rFonts w:asciiTheme="minorHAnsi" w:hAnsiTheme="minorHAnsi" w:eastAsiaTheme="minorEastAsia" w:cstheme="minorHAnsi"/>
                <w:b/>
                <w:bCs/>
              </w:rPr>
              <w:t>B)</w:t>
            </w:r>
          </w:p>
        </w:tc>
      </w:tr>
      <w:tr w:rsidRPr="00C4515C" w:rsidR="00B136C1" w:rsidTr="00D22437" w14:paraId="40FCB4BF" w14:textId="77777777">
        <w:trPr>
          <w:trHeight w:val="368"/>
          <w:jc w:val="center"/>
        </w:trPr>
        <w:tc>
          <w:tcPr>
            <w:tcW w:w="4045" w:type="dxa"/>
            <w:noWrap/>
            <w:hideMark/>
          </w:tcPr>
          <w:p w:rsidRPr="00C4515C" w:rsidR="00B136C1" w:rsidP="000F175D" w:rsidRDefault="00B136C1" w14:paraId="58576B3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left"/>
              <w:rPr>
                <w:rFonts w:asciiTheme="minorHAnsi" w:hAnsiTheme="minorHAnsi" w:eastAsiaTheme="minorEastAsia" w:cstheme="minorHAnsi"/>
              </w:rPr>
            </w:pPr>
            <w:r w:rsidRPr="00C4515C">
              <w:rPr>
                <w:rFonts w:asciiTheme="minorHAnsi" w:hAnsiTheme="minorHAnsi" w:eastAsiaTheme="minorEastAsia" w:cstheme="minorHAnsi"/>
              </w:rPr>
              <w:t>Total Expected SCS Persons</w:t>
            </w:r>
          </w:p>
        </w:tc>
        <w:tc>
          <w:tcPr>
            <w:tcW w:w="1620" w:type="dxa"/>
            <w:noWrap/>
            <w:hideMark/>
          </w:tcPr>
          <w:p w:rsidRPr="00C4515C" w:rsidR="00B136C1" w:rsidP="000F175D" w:rsidRDefault="004E1AAA" w14:paraId="2CB969C3" w14:textId="227513CA">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eastAsiaTheme="minorEastAsia" w:cstheme="minorHAnsi"/>
              </w:rPr>
            </w:pPr>
            <w:r w:rsidRPr="00C4515C">
              <w:rPr>
                <w:rFonts w:asciiTheme="minorHAnsi" w:hAnsiTheme="minorHAnsi" w:eastAsiaTheme="minorEastAsia" w:cstheme="minorHAnsi"/>
              </w:rPr>
              <w:t>13,992</w:t>
            </w:r>
          </w:p>
        </w:tc>
        <w:tc>
          <w:tcPr>
            <w:tcW w:w="1355" w:type="dxa"/>
            <w:shd w:val="clear" w:color="auto" w:fill="D6E3BC" w:themeFill="accent3" w:themeFillTint="66"/>
            <w:noWrap/>
            <w:hideMark/>
          </w:tcPr>
          <w:p w:rsidRPr="00C4515C" w:rsidR="00B136C1" w:rsidP="000D2EAE" w:rsidRDefault="00B136C1" w14:paraId="601B2193"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rPr>
            </w:pPr>
          </w:p>
        </w:tc>
        <w:tc>
          <w:tcPr>
            <w:tcW w:w="1445" w:type="dxa"/>
            <w:shd w:val="clear" w:color="auto" w:fill="D6E3BC" w:themeFill="accent3" w:themeFillTint="66"/>
            <w:noWrap/>
            <w:hideMark/>
          </w:tcPr>
          <w:p w:rsidRPr="00C4515C" w:rsidR="00B136C1" w:rsidP="000D2EAE" w:rsidRDefault="00B136C1" w14:paraId="0BE3E60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rPr>
            </w:pPr>
          </w:p>
        </w:tc>
      </w:tr>
      <w:tr w:rsidRPr="00C4515C" w:rsidR="00B136C1" w:rsidTr="00D22437" w14:paraId="584A2C83" w14:textId="77777777">
        <w:trPr>
          <w:trHeight w:val="338"/>
          <w:jc w:val="center"/>
        </w:trPr>
        <w:tc>
          <w:tcPr>
            <w:tcW w:w="4045" w:type="dxa"/>
            <w:noWrap/>
            <w:hideMark/>
          </w:tcPr>
          <w:p w:rsidRPr="00C4515C" w:rsidR="00B136C1" w:rsidP="000F175D" w:rsidRDefault="00B136C1" w14:paraId="39AED62F"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4"/>
              <w:jc w:val="left"/>
              <w:rPr>
                <w:rFonts w:asciiTheme="minorHAnsi" w:hAnsiTheme="minorHAnsi" w:eastAsiaTheme="minorEastAsia" w:cstheme="minorHAnsi"/>
              </w:rPr>
            </w:pPr>
            <w:r w:rsidRPr="00C4515C">
              <w:rPr>
                <w:rFonts w:asciiTheme="minorHAnsi" w:hAnsiTheme="minorHAnsi" w:eastAsiaTheme="minorEastAsia" w:cstheme="minorHAnsi"/>
              </w:rPr>
              <w:t>Expected SCS Interviews</w:t>
            </w:r>
          </w:p>
        </w:tc>
        <w:tc>
          <w:tcPr>
            <w:tcW w:w="1620" w:type="dxa"/>
            <w:noWrap/>
            <w:hideMark/>
          </w:tcPr>
          <w:p w:rsidRPr="00C4515C" w:rsidR="00B136C1" w:rsidP="36B31C31" w:rsidRDefault="004E1AAA" w14:paraId="035B97E7" w14:textId="0084F9D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eastAsiaTheme="minorEastAsia" w:cstheme="minorHAnsi"/>
              </w:rPr>
            </w:pPr>
            <w:r w:rsidRPr="00C4515C">
              <w:rPr>
                <w:rFonts w:asciiTheme="minorHAnsi" w:hAnsiTheme="minorHAnsi" w:eastAsiaTheme="minorEastAsia" w:cstheme="minorHAnsi"/>
              </w:rPr>
              <w:t>7,010</w:t>
            </w:r>
          </w:p>
        </w:tc>
        <w:tc>
          <w:tcPr>
            <w:tcW w:w="1355" w:type="dxa"/>
            <w:shd w:val="clear" w:color="auto" w:fill="D6E3BC" w:themeFill="accent3" w:themeFillTint="66"/>
            <w:noWrap/>
            <w:hideMark/>
          </w:tcPr>
          <w:p w:rsidRPr="00C4515C" w:rsidR="00B136C1" w:rsidP="000D2EAE" w:rsidRDefault="00B136C1" w14:paraId="6BDF2FB0"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rPr>
            </w:pPr>
          </w:p>
        </w:tc>
        <w:tc>
          <w:tcPr>
            <w:tcW w:w="1445" w:type="dxa"/>
            <w:shd w:val="clear" w:color="auto" w:fill="D6E3BC" w:themeFill="accent3" w:themeFillTint="66"/>
            <w:noWrap/>
            <w:hideMark/>
          </w:tcPr>
          <w:p w:rsidRPr="00C4515C" w:rsidR="00B136C1" w:rsidP="000D2EAE" w:rsidRDefault="00B136C1" w14:paraId="6C356AAC"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rPr>
            </w:pPr>
          </w:p>
        </w:tc>
      </w:tr>
      <w:tr w:rsidRPr="00C4515C" w:rsidR="00B136C1" w:rsidTr="00D22437" w14:paraId="6F91127D" w14:textId="77777777">
        <w:trPr>
          <w:trHeight w:val="368"/>
          <w:jc w:val="center"/>
        </w:trPr>
        <w:tc>
          <w:tcPr>
            <w:tcW w:w="4045" w:type="dxa"/>
            <w:noWrap/>
            <w:hideMark/>
          </w:tcPr>
          <w:p w:rsidRPr="00C4515C" w:rsidR="00B136C1" w:rsidP="000F175D" w:rsidRDefault="00B136C1" w14:paraId="309A8A50"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88"/>
              <w:jc w:val="left"/>
              <w:rPr>
                <w:rFonts w:asciiTheme="minorHAnsi" w:hAnsiTheme="minorHAnsi" w:eastAsiaTheme="minorEastAsia" w:cstheme="minorHAnsi"/>
              </w:rPr>
            </w:pPr>
            <w:r w:rsidRPr="00C4515C">
              <w:rPr>
                <w:rFonts w:asciiTheme="minorHAnsi" w:hAnsiTheme="minorHAnsi" w:eastAsiaTheme="minorEastAsia" w:cstheme="minorHAnsi"/>
              </w:rPr>
              <w:t>Expected SCS Short Interviews</w:t>
            </w:r>
          </w:p>
        </w:tc>
        <w:tc>
          <w:tcPr>
            <w:tcW w:w="1620" w:type="dxa"/>
            <w:noWrap/>
            <w:hideMark/>
          </w:tcPr>
          <w:p w:rsidRPr="00C4515C" w:rsidR="00B136C1" w:rsidP="36B31C31" w:rsidRDefault="004E1AAA" w14:paraId="33B8E80B" w14:textId="08723FB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eastAsiaTheme="minorEastAsia" w:cstheme="minorHAnsi"/>
              </w:rPr>
            </w:pPr>
            <w:r w:rsidRPr="00C4515C">
              <w:rPr>
                <w:rFonts w:asciiTheme="minorHAnsi" w:hAnsiTheme="minorHAnsi" w:eastAsiaTheme="minorEastAsia" w:cstheme="minorHAnsi"/>
              </w:rPr>
              <w:t>939</w:t>
            </w:r>
          </w:p>
        </w:tc>
        <w:tc>
          <w:tcPr>
            <w:tcW w:w="1355" w:type="dxa"/>
            <w:noWrap/>
            <w:hideMark/>
          </w:tcPr>
          <w:p w:rsidRPr="00C4515C" w:rsidR="00B136C1" w:rsidP="007C1370" w:rsidRDefault="000F175D" w14:paraId="57AAC4B0" w14:textId="220344AC">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eastAsiaTheme="minorEastAsia" w:cstheme="minorHAnsi"/>
              </w:rPr>
            </w:pPr>
            <w:r w:rsidRPr="00C4515C">
              <w:rPr>
                <w:rFonts w:asciiTheme="minorHAnsi" w:hAnsiTheme="minorHAnsi" w:eastAsiaTheme="minorEastAsia" w:cstheme="minorHAnsi"/>
              </w:rPr>
              <w:t>.0</w:t>
            </w:r>
            <w:r w:rsidRPr="00C4515C" w:rsidR="004E1AAA">
              <w:rPr>
                <w:rFonts w:asciiTheme="minorHAnsi" w:hAnsiTheme="minorHAnsi" w:eastAsiaTheme="minorEastAsia" w:cstheme="minorHAnsi"/>
              </w:rPr>
              <w:t>3</w:t>
            </w:r>
          </w:p>
        </w:tc>
        <w:tc>
          <w:tcPr>
            <w:tcW w:w="1445" w:type="dxa"/>
            <w:noWrap/>
            <w:hideMark/>
          </w:tcPr>
          <w:p w:rsidRPr="00C4515C" w:rsidR="00B136C1" w:rsidP="36B31C31" w:rsidRDefault="004E1AAA" w14:paraId="4D4873D8" w14:textId="726E3CC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eastAsiaTheme="minorEastAsia" w:cstheme="minorHAnsi"/>
              </w:rPr>
            </w:pPr>
            <w:r w:rsidRPr="00C4515C">
              <w:rPr>
                <w:rFonts w:asciiTheme="minorHAnsi" w:hAnsiTheme="minorHAnsi" w:eastAsiaTheme="minorEastAsia" w:cstheme="minorHAnsi"/>
              </w:rPr>
              <w:t>28</w:t>
            </w:r>
          </w:p>
        </w:tc>
      </w:tr>
      <w:tr w:rsidRPr="00C4515C" w:rsidR="00B136C1" w:rsidTr="00D22437" w14:paraId="25A3DD99" w14:textId="77777777">
        <w:trPr>
          <w:trHeight w:val="359"/>
          <w:jc w:val="center"/>
        </w:trPr>
        <w:tc>
          <w:tcPr>
            <w:tcW w:w="4045" w:type="dxa"/>
            <w:noWrap/>
            <w:hideMark/>
          </w:tcPr>
          <w:p w:rsidRPr="00C4515C" w:rsidR="00B136C1" w:rsidP="000F175D" w:rsidRDefault="00B136C1" w14:paraId="2B7F2A44"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88"/>
              <w:jc w:val="left"/>
              <w:rPr>
                <w:rFonts w:asciiTheme="minorHAnsi" w:hAnsiTheme="minorHAnsi" w:eastAsiaTheme="minorEastAsia" w:cstheme="minorHAnsi"/>
              </w:rPr>
            </w:pPr>
            <w:r w:rsidRPr="00C4515C">
              <w:rPr>
                <w:rFonts w:asciiTheme="minorHAnsi" w:hAnsiTheme="minorHAnsi" w:eastAsiaTheme="minorEastAsia" w:cstheme="minorHAnsi"/>
              </w:rPr>
              <w:t>Expected SCS Long Interviews</w:t>
            </w:r>
          </w:p>
        </w:tc>
        <w:tc>
          <w:tcPr>
            <w:tcW w:w="1620" w:type="dxa"/>
            <w:noWrap/>
            <w:hideMark/>
          </w:tcPr>
          <w:p w:rsidRPr="00C4515C" w:rsidR="00B136C1" w:rsidP="000F175D" w:rsidRDefault="004E1AAA" w14:paraId="48853910" w14:textId="3221F27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eastAsiaTheme="minorEastAsia" w:cstheme="minorHAnsi"/>
              </w:rPr>
            </w:pPr>
            <w:r w:rsidRPr="00C4515C">
              <w:rPr>
                <w:rFonts w:asciiTheme="minorHAnsi" w:hAnsiTheme="minorHAnsi" w:eastAsiaTheme="minorEastAsia" w:cstheme="minorHAnsi"/>
              </w:rPr>
              <w:t>6,071</w:t>
            </w:r>
          </w:p>
        </w:tc>
        <w:tc>
          <w:tcPr>
            <w:tcW w:w="1355" w:type="dxa"/>
            <w:noWrap/>
            <w:hideMark/>
          </w:tcPr>
          <w:p w:rsidRPr="00C4515C" w:rsidR="00B136C1" w:rsidP="007C1370" w:rsidRDefault="00B136C1" w14:paraId="39EAE3CB" w14:textId="5B5FA16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eastAsiaTheme="minorEastAsia" w:cstheme="minorHAnsi"/>
              </w:rPr>
            </w:pPr>
            <w:r w:rsidRPr="00C4515C">
              <w:rPr>
                <w:rFonts w:asciiTheme="minorHAnsi" w:hAnsiTheme="minorHAnsi" w:eastAsiaTheme="minorEastAsia" w:cstheme="minorHAnsi"/>
              </w:rPr>
              <w:t>.</w:t>
            </w:r>
            <w:r w:rsidRPr="00C4515C" w:rsidR="000F175D">
              <w:rPr>
                <w:rFonts w:asciiTheme="minorHAnsi" w:hAnsiTheme="minorHAnsi" w:eastAsiaTheme="minorEastAsia" w:cstheme="minorHAnsi"/>
              </w:rPr>
              <w:t>2</w:t>
            </w:r>
            <w:r w:rsidRPr="00C4515C" w:rsidR="004E1AAA">
              <w:rPr>
                <w:rFonts w:asciiTheme="minorHAnsi" w:hAnsiTheme="minorHAnsi" w:eastAsiaTheme="minorEastAsia" w:cstheme="minorHAnsi"/>
              </w:rPr>
              <w:t>8</w:t>
            </w:r>
          </w:p>
        </w:tc>
        <w:tc>
          <w:tcPr>
            <w:tcW w:w="1445" w:type="dxa"/>
            <w:noWrap/>
            <w:hideMark/>
          </w:tcPr>
          <w:p w:rsidRPr="00C4515C" w:rsidR="00B136C1" w:rsidP="007C1370" w:rsidRDefault="004E1AAA" w14:paraId="0331B971" w14:textId="7EBF2ADA">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eastAsiaTheme="minorEastAsia" w:cstheme="minorHAnsi"/>
              </w:rPr>
            </w:pPr>
            <w:r w:rsidRPr="00C4515C">
              <w:rPr>
                <w:rFonts w:asciiTheme="minorHAnsi" w:hAnsiTheme="minorHAnsi" w:eastAsiaTheme="minorEastAsia" w:cstheme="minorHAnsi"/>
              </w:rPr>
              <w:t>1,700</w:t>
            </w:r>
          </w:p>
        </w:tc>
      </w:tr>
      <w:tr w:rsidRPr="00C4515C" w:rsidR="00B136C1" w:rsidTr="00D22437" w14:paraId="29F2FAA8" w14:textId="77777777">
        <w:trPr>
          <w:trHeight w:val="341"/>
          <w:jc w:val="center"/>
        </w:trPr>
        <w:tc>
          <w:tcPr>
            <w:tcW w:w="4045" w:type="dxa"/>
            <w:noWrap/>
            <w:hideMark/>
          </w:tcPr>
          <w:p w:rsidRPr="00C4515C" w:rsidR="00B136C1" w:rsidP="000F175D" w:rsidRDefault="00B136C1" w14:paraId="1A78FD3F"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4"/>
              <w:jc w:val="left"/>
              <w:rPr>
                <w:rFonts w:asciiTheme="minorHAnsi" w:hAnsiTheme="minorHAnsi" w:eastAsiaTheme="minorEastAsia" w:cstheme="minorHAnsi"/>
              </w:rPr>
            </w:pPr>
            <w:r w:rsidRPr="00C4515C">
              <w:rPr>
                <w:rFonts w:asciiTheme="minorHAnsi" w:hAnsiTheme="minorHAnsi" w:eastAsiaTheme="minorEastAsia" w:cstheme="minorHAnsi"/>
              </w:rPr>
              <w:t>Expected SCS Noninterviews</w:t>
            </w:r>
          </w:p>
        </w:tc>
        <w:tc>
          <w:tcPr>
            <w:tcW w:w="1620" w:type="dxa"/>
            <w:noWrap/>
            <w:hideMark/>
          </w:tcPr>
          <w:p w:rsidRPr="00C4515C" w:rsidR="00B136C1" w:rsidP="36B31C31" w:rsidRDefault="004E1AAA" w14:paraId="2E980905" w14:textId="06DBEFE0">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eastAsiaTheme="minorEastAsia" w:cstheme="minorHAnsi"/>
              </w:rPr>
            </w:pPr>
            <w:r w:rsidRPr="00C4515C">
              <w:rPr>
                <w:rFonts w:asciiTheme="minorHAnsi" w:hAnsiTheme="minorHAnsi" w:eastAsiaTheme="minorEastAsia" w:cstheme="minorHAnsi"/>
              </w:rPr>
              <w:t>6,982</w:t>
            </w:r>
          </w:p>
        </w:tc>
        <w:tc>
          <w:tcPr>
            <w:tcW w:w="1355" w:type="dxa"/>
            <w:shd w:val="clear" w:color="auto" w:fill="D6E3BC" w:themeFill="accent3" w:themeFillTint="66"/>
            <w:noWrap/>
            <w:hideMark/>
          </w:tcPr>
          <w:p w:rsidRPr="00C4515C" w:rsidR="00B136C1" w:rsidP="000D2EAE" w:rsidRDefault="00B136C1" w14:paraId="199EC1F6"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rPr>
            </w:pPr>
          </w:p>
        </w:tc>
        <w:tc>
          <w:tcPr>
            <w:tcW w:w="1445" w:type="dxa"/>
            <w:shd w:val="clear" w:color="auto" w:fill="D6E3BC" w:themeFill="accent3" w:themeFillTint="66"/>
            <w:noWrap/>
            <w:hideMark/>
          </w:tcPr>
          <w:p w:rsidRPr="00C4515C" w:rsidR="00B136C1" w:rsidP="000D2EAE" w:rsidRDefault="00B136C1" w14:paraId="7A83B63B"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rPr>
            </w:pPr>
          </w:p>
        </w:tc>
      </w:tr>
      <w:tr w:rsidRPr="00C4515C" w:rsidR="00B136C1" w:rsidTr="00D22437" w14:paraId="777F223E" w14:textId="77777777">
        <w:trPr>
          <w:trHeight w:val="314"/>
          <w:jc w:val="center"/>
        </w:trPr>
        <w:tc>
          <w:tcPr>
            <w:tcW w:w="4045" w:type="dxa"/>
            <w:noWrap/>
            <w:hideMark/>
          </w:tcPr>
          <w:p w:rsidRPr="00C4515C" w:rsidR="00B136C1" w:rsidP="000F175D" w:rsidRDefault="003C2595" w14:paraId="6986D75F" w14:textId="4FD3243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left"/>
              <w:rPr>
                <w:rFonts w:asciiTheme="minorHAnsi" w:hAnsiTheme="minorHAnsi" w:eastAsiaTheme="minorEastAsia" w:cstheme="minorHAnsi"/>
                <w:b/>
                <w:bCs/>
              </w:rPr>
            </w:pPr>
            <w:r w:rsidRPr="00C4515C">
              <w:rPr>
                <w:rFonts w:asciiTheme="minorHAnsi" w:hAnsiTheme="minorHAnsi" w:eastAsiaTheme="minorEastAsia" w:cstheme="minorHAnsi"/>
                <w:b/>
                <w:bCs/>
              </w:rPr>
              <w:t>202</w:t>
            </w:r>
            <w:r w:rsidRPr="00C4515C" w:rsidR="00B81F8C">
              <w:rPr>
                <w:rFonts w:asciiTheme="minorHAnsi" w:hAnsiTheme="minorHAnsi" w:eastAsiaTheme="minorEastAsia" w:cstheme="minorHAnsi"/>
                <w:b/>
                <w:bCs/>
              </w:rPr>
              <w:t>2</w:t>
            </w:r>
            <w:r w:rsidRPr="00C4515C" w:rsidR="00B136C1">
              <w:rPr>
                <w:rFonts w:asciiTheme="minorHAnsi" w:hAnsiTheme="minorHAnsi" w:eastAsiaTheme="minorEastAsia" w:cstheme="minorHAnsi"/>
                <w:b/>
                <w:bCs/>
              </w:rPr>
              <w:t xml:space="preserve"> SCS Burden Hours Estimate</w:t>
            </w:r>
          </w:p>
        </w:tc>
        <w:tc>
          <w:tcPr>
            <w:tcW w:w="1620" w:type="dxa"/>
            <w:shd w:val="clear" w:color="auto" w:fill="D6E3BC" w:themeFill="accent3" w:themeFillTint="66"/>
            <w:noWrap/>
            <w:hideMark/>
          </w:tcPr>
          <w:p w:rsidRPr="00C4515C" w:rsidR="00B136C1" w:rsidP="000D2EAE" w:rsidRDefault="00B136C1" w14:paraId="75013744"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b/>
                <w:bCs/>
              </w:rPr>
            </w:pPr>
          </w:p>
        </w:tc>
        <w:tc>
          <w:tcPr>
            <w:tcW w:w="1355" w:type="dxa"/>
            <w:shd w:val="clear" w:color="auto" w:fill="D6E3BC" w:themeFill="accent3" w:themeFillTint="66"/>
            <w:noWrap/>
            <w:hideMark/>
          </w:tcPr>
          <w:p w:rsidRPr="00C4515C" w:rsidR="00B136C1" w:rsidP="000D2EAE" w:rsidRDefault="00B136C1" w14:paraId="4AB23126"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rPr>
            </w:pPr>
          </w:p>
        </w:tc>
        <w:tc>
          <w:tcPr>
            <w:tcW w:w="1445" w:type="dxa"/>
            <w:noWrap/>
            <w:hideMark/>
          </w:tcPr>
          <w:p w:rsidRPr="00C4515C" w:rsidR="00B136C1" w:rsidP="007C1370" w:rsidRDefault="004E1AAA" w14:paraId="31146BFA" w14:textId="3E8E0F7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eastAsiaTheme="minorEastAsia" w:cstheme="minorHAnsi"/>
                <w:b/>
                <w:bCs/>
              </w:rPr>
            </w:pPr>
            <w:r w:rsidRPr="00C4515C">
              <w:rPr>
                <w:rFonts w:asciiTheme="minorHAnsi" w:hAnsiTheme="minorHAnsi" w:eastAsiaTheme="minorEastAsia" w:cstheme="minorHAnsi"/>
                <w:b/>
                <w:bCs/>
              </w:rPr>
              <w:t>1,728</w:t>
            </w:r>
          </w:p>
        </w:tc>
      </w:tr>
      <w:tr w:rsidRPr="00C4515C" w:rsidR="00B136C1" w:rsidTr="00D22437" w14:paraId="16C4B87D" w14:textId="77777777">
        <w:trPr>
          <w:trHeight w:val="289"/>
          <w:jc w:val="center"/>
        </w:trPr>
        <w:tc>
          <w:tcPr>
            <w:tcW w:w="4045" w:type="dxa"/>
            <w:noWrap/>
          </w:tcPr>
          <w:p w:rsidRPr="00C4515C" w:rsidR="00B136C1" w:rsidP="000F175D" w:rsidRDefault="009F6853" w14:paraId="6351AF37" w14:textId="2DE78E9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left"/>
              <w:rPr>
                <w:rFonts w:asciiTheme="minorHAnsi" w:hAnsiTheme="minorHAnsi" w:eastAsiaTheme="minorEastAsia" w:cstheme="minorHAnsi"/>
              </w:rPr>
            </w:pPr>
            <w:r w:rsidRPr="00C4515C">
              <w:rPr>
                <w:rFonts w:asciiTheme="minorHAnsi" w:hAnsiTheme="minorHAnsi" w:eastAsiaTheme="minorEastAsia" w:cstheme="minorHAnsi"/>
              </w:rPr>
              <w:t xml:space="preserve">2019 </w:t>
            </w:r>
            <w:r w:rsidRPr="00C4515C" w:rsidR="00B136C1">
              <w:rPr>
                <w:rFonts w:asciiTheme="minorHAnsi" w:hAnsiTheme="minorHAnsi" w:eastAsiaTheme="minorEastAsia" w:cstheme="minorHAnsi"/>
              </w:rPr>
              <w:t>SCS Burden Hour Estimate on File</w:t>
            </w:r>
            <w:r w:rsidR="00196050">
              <w:rPr>
                <w:rFonts w:asciiTheme="minorHAnsi" w:hAnsiTheme="minorHAnsi" w:eastAsiaTheme="minorEastAsia" w:cstheme="minorHAnsi"/>
              </w:rPr>
              <w:t>*</w:t>
            </w:r>
          </w:p>
        </w:tc>
        <w:tc>
          <w:tcPr>
            <w:tcW w:w="1620" w:type="dxa"/>
            <w:shd w:val="clear" w:color="auto" w:fill="D6E3BC" w:themeFill="accent3" w:themeFillTint="66"/>
            <w:noWrap/>
          </w:tcPr>
          <w:p w:rsidRPr="00C4515C" w:rsidR="00B136C1" w:rsidP="000D2EAE" w:rsidRDefault="00B136C1" w14:paraId="4FBBB336"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b/>
                <w:bCs/>
              </w:rPr>
            </w:pPr>
          </w:p>
        </w:tc>
        <w:tc>
          <w:tcPr>
            <w:tcW w:w="1355" w:type="dxa"/>
            <w:shd w:val="clear" w:color="auto" w:fill="D6E3BC" w:themeFill="accent3" w:themeFillTint="66"/>
            <w:noWrap/>
          </w:tcPr>
          <w:p w:rsidRPr="00C4515C" w:rsidR="00B136C1" w:rsidP="000D2EAE" w:rsidRDefault="00B136C1" w14:paraId="6ED6FD79"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rPr>
            </w:pPr>
          </w:p>
        </w:tc>
        <w:tc>
          <w:tcPr>
            <w:tcW w:w="1445" w:type="dxa"/>
            <w:noWrap/>
          </w:tcPr>
          <w:p w:rsidRPr="00C4515C" w:rsidR="00B136C1" w:rsidP="36B31C31" w:rsidRDefault="004E1AAA" w14:paraId="48C70983" w14:textId="722146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eastAsiaTheme="minorEastAsia" w:cstheme="minorHAnsi"/>
              </w:rPr>
            </w:pPr>
            <w:r w:rsidRPr="00C4515C">
              <w:rPr>
                <w:rFonts w:asciiTheme="minorHAnsi" w:hAnsiTheme="minorHAnsi" w:eastAsiaTheme="minorEastAsia" w:cstheme="minorHAnsi"/>
              </w:rPr>
              <w:t>2,046</w:t>
            </w:r>
          </w:p>
        </w:tc>
      </w:tr>
      <w:tr w:rsidRPr="00C4515C" w:rsidR="00B136C1" w:rsidTr="00D22437" w14:paraId="2D3F2EC2" w14:textId="77777777">
        <w:trPr>
          <w:trHeight w:val="289"/>
          <w:jc w:val="center"/>
        </w:trPr>
        <w:tc>
          <w:tcPr>
            <w:tcW w:w="4045" w:type="dxa"/>
            <w:noWrap/>
          </w:tcPr>
          <w:p w:rsidRPr="00C4515C" w:rsidR="00B136C1" w:rsidP="009F6853" w:rsidRDefault="00B136C1" w14:paraId="13E65B58" w14:textId="04BC915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left"/>
              <w:rPr>
                <w:rFonts w:asciiTheme="minorHAnsi" w:hAnsiTheme="minorHAnsi" w:eastAsiaTheme="minorEastAsia" w:cstheme="minorHAnsi"/>
                <w:b/>
                <w:bCs/>
              </w:rPr>
            </w:pPr>
            <w:r w:rsidRPr="00C4515C">
              <w:rPr>
                <w:rFonts w:asciiTheme="minorHAnsi" w:hAnsiTheme="minorHAnsi" w:eastAsiaTheme="minorEastAsia" w:cstheme="minorHAnsi"/>
                <w:b/>
                <w:bCs/>
              </w:rPr>
              <w:t>Change in R</w:t>
            </w:r>
            <w:r w:rsidRPr="00C4515C" w:rsidR="000F175D">
              <w:rPr>
                <w:rFonts w:asciiTheme="minorHAnsi" w:hAnsiTheme="minorHAnsi" w:eastAsiaTheme="minorEastAsia" w:cstheme="minorHAnsi"/>
                <w:b/>
                <w:bCs/>
              </w:rPr>
              <w:t xml:space="preserve">espondent Burden Hours from </w:t>
            </w:r>
            <w:r w:rsidRPr="00C4515C" w:rsidR="009F6853">
              <w:rPr>
                <w:rFonts w:asciiTheme="minorHAnsi" w:hAnsiTheme="minorHAnsi" w:eastAsiaTheme="minorEastAsia" w:cstheme="minorHAnsi"/>
                <w:b/>
                <w:bCs/>
              </w:rPr>
              <w:t xml:space="preserve">2019 </w:t>
            </w:r>
            <w:r w:rsidRPr="00C4515C">
              <w:rPr>
                <w:rFonts w:asciiTheme="minorHAnsi" w:hAnsiTheme="minorHAnsi" w:eastAsiaTheme="minorEastAsia" w:cstheme="minorHAnsi"/>
                <w:b/>
                <w:bCs/>
              </w:rPr>
              <w:t xml:space="preserve">to </w:t>
            </w:r>
            <w:r w:rsidRPr="00C4515C" w:rsidR="003C2595">
              <w:rPr>
                <w:rFonts w:asciiTheme="minorHAnsi" w:hAnsiTheme="minorHAnsi" w:eastAsiaTheme="minorEastAsia" w:cstheme="minorHAnsi"/>
                <w:b/>
                <w:bCs/>
              </w:rPr>
              <w:t>202</w:t>
            </w:r>
            <w:r w:rsidRPr="00C4515C" w:rsidR="00B81F8C">
              <w:rPr>
                <w:rFonts w:asciiTheme="minorHAnsi" w:hAnsiTheme="minorHAnsi" w:eastAsiaTheme="minorEastAsia" w:cstheme="minorHAnsi"/>
                <w:b/>
                <w:bCs/>
              </w:rPr>
              <w:t>2</w:t>
            </w:r>
          </w:p>
        </w:tc>
        <w:tc>
          <w:tcPr>
            <w:tcW w:w="1620" w:type="dxa"/>
            <w:shd w:val="clear" w:color="auto" w:fill="D6E3BC" w:themeFill="accent3" w:themeFillTint="66"/>
            <w:noWrap/>
          </w:tcPr>
          <w:p w:rsidRPr="00C4515C" w:rsidR="00B136C1" w:rsidP="000D2EAE" w:rsidRDefault="00B136C1" w14:paraId="074B00D6"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b/>
                <w:bCs/>
              </w:rPr>
            </w:pPr>
          </w:p>
        </w:tc>
        <w:tc>
          <w:tcPr>
            <w:tcW w:w="1355" w:type="dxa"/>
            <w:shd w:val="clear" w:color="auto" w:fill="D6E3BC" w:themeFill="accent3" w:themeFillTint="66"/>
            <w:noWrap/>
          </w:tcPr>
          <w:p w:rsidRPr="00C4515C" w:rsidR="00B136C1" w:rsidP="000D2EAE" w:rsidRDefault="00B136C1" w14:paraId="636BB841"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rPr>
            </w:pPr>
          </w:p>
        </w:tc>
        <w:tc>
          <w:tcPr>
            <w:tcW w:w="1445" w:type="dxa"/>
            <w:noWrap/>
          </w:tcPr>
          <w:p w:rsidRPr="00C4515C" w:rsidR="00B136C1" w:rsidP="36B31C31" w:rsidRDefault="004E1AAA" w14:paraId="36887D64" w14:textId="622B973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eastAsiaTheme="minorEastAsia" w:cstheme="minorHAnsi"/>
                <w:b/>
                <w:bCs/>
              </w:rPr>
            </w:pPr>
            <w:r w:rsidRPr="00C4515C">
              <w:rPr>
                <w:rFonts w:asciiTheme="minorHAnsi" w:hAnsiTheme="minorHAnsi" w:eastAsiaTheme="minorEastAsia" w:cstheme="minorHAnsi"/>
                <w:b/>
                <w:bCs/>
              </w:rPr>
              <w:t>-318</w:t>
            </w:r>
          </w:p>
        </w:tc>
      </w:tr>
    </w:tbl>
    <w:p w:rsidRPr="00CC47C9" w:rsidR="00390394" w:rsidP="00196050" w:rsidRDefault="00196050" w14:paraId="2FF84E95" w14:textId="55D14F85">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16"/>
          <w:szCs w:val="16"/>
        </w:rPr>
      </w:pPr>
      <w:r w:rsidRPr="00CC47C9">
        <w:rPr>
          <w:rFonts w:asciiTheme="minorHAnsi" w:hAnsiTheme="minorHAnsi" w:cstheme="minorHAnsi"/>
          <w:sz w:val="16"/>
          <w:szCs w:val="16"/>
        </w:rPr>
        <w:t xml:space="preserve">*Obtained from </w:t>
      </w:r>
      <w:hyperlink w:history="1" r:id="rId12">
        <w:r w:rsidRPr="00CC47C9">
          <w:rPr>
            <w:rStyle w:val="Hyperlink"/>
            <w:rFonts w:asciiTheme="minorHAnsi" w:hAnsiTheme="minorHAnsi" w:cstheme="minorHAnsi"/>
            <w:sz w:val="16"/>
            <w:szCs w:val="16"/>
          </w:rPr>
          <w:t>https://www.reginfo.gov/public/do/PRAViewICR?ref_nbr=201812-1121-003</w:t>
        </w:r>
      </w:hyperlink>
      <w:r w:rsidRPr="00CC47C9">
        <w:rPr>
          <w:rFonts w:asciiTheme="minorHAnsi" w:hAnsiTheme="minorHAnsi" w:cstheme="minorHAnsi"/>
          <w:sz w:val="16"/>
          <w:szCs w:val="16"/>
        </w:rPr>
        <w:t xml:space="preserve">. </w:t>
      </w:r>
    </w:p>
    <w:p w:rsidR="00196050" w:rsidP="009B6180" w:rsidRDefault="00196050" w14:paraId="226DFA32" w14:textId="702419D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p>
    <w:p w:rsidRPr="00C4515C" w:rsidR="00196050" w:rsidP="009B6180" w:rsidRDefault="00196050" w14:paraId="33FF55F8"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p>
    <w:p w:rsidRPr="00C4515C" w:rsidR="00124757" w:rsidP="00F06055" w:rsidRDefault="00124757" w14:paraId="63EB732F"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95"/>
        <w:rPr>
          <w:rFonts w:asciiTheme="minorHAnsi" w:hAnsiTheme="minorHAnsi" w:eastAsiaTheme="minorEastAsia" w:cstheme="minorHAnsi"/>
          <w:sz w:val="22"/>
          <w:szCs w:val="22"/>
          <w:u w:val="single"/>
        </w:rPr>
      </w:pPr>
      <w:r w:rsidRPr="00C4515C">
        <w:rPr>
          <w:rFonts w:asciiTheme="minorHAnsi" w:hAnsiTheme="minorHAnsi" w:eastAsiaTheme="minorEastAsia" w:cstheme="minorHAnsi"/>
          <w:sz w:val="22"/>
          <w:szCs w:val="22"/>
        </w:rPr>
        <w:t>13.</w:t>
      </w:r>
      <w:r w:rsidRPr="00C4515C">
        <w:rPr>
          <w:rFonts w:asciiTheme="minorHAnsi" w:hAnsiTheme="minorHAnsi" w:cstheme="minorHAnsi"/>
          <w:sz w:val="22"/>
          <w:szCs w:val="22"/>
        </w:rPr>
        <w:tab/>
      </w:r>
      <w:r w:rsidRPr="00C4515C">
        <w:rPr>
          <w:rFonts w:asciiTheme="minorHAnsi" w:hAnsiTheme="minorHAnsi" w:eastAsiaTheme="minorEastAsia" w:cstheme="minorHAnsi"/>
          <w:sz w:val="22"/>
          <w:szCs w:val="22"/>
          <w:u w:val="single"/>
        </w:rPr>
        <w:t xml:space="preserve">Estimate of </w:t>
      </w:r>
      <w:r w:rsidRPr="00C4515C" w:rsidR="0004283D">
        <w:rPr>
          <w:rFonts w:asciiTheme="minorHAnsi" w:hAnsiTheme="minorHAnsi" w:eastAsiaTheme="minorEastAsia" w:cstheme="minorHAnsi"/>
          <w:sz w:val="22"/>
          <w:szCs w:val="22"/>
          <w:u w:val="single"/>
        </w:rPr>
        <w:t xml:space="preserve">Respondent’s </w:t>
      </w:r>
      <w:r w:rsidRPr="00C4515C">
        <w:rPr>
          <w:rFonts w:asciiTheme="minorHAnsi" w:hAnsiTheme="minorHAnsi" w:eastAsiaTheme="minorEastAsia" w:cstheme="minorHAnsi"/>
          <w:sz w:val="22"/>
          <w:szCs w:val="22"/>
          <w:u w:val="single"/>
        </w:rPr>
        <w:t>Cost Burden</w:t>
      </w:r>
    </w:p>
    <w:p w:rsidR="00124757" w:rsidP="36B31C31" w:rsidRDefault="00124757" w14:paraId="5AAEAFBC" w14:textId="552D625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There are no costs to respondents other than that of their time to respond.</w:t>
      </w:r>
    </w:p>
    <w:p w:rsidRPr="00C4515C" w:rsidR="001A67E9" w:rsidP="36B31C31" w:rsidRDefault="001A67E9" w14:paraId="49239B85"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eastAsiaTheme="minorEastAsia" w:cstheme="minorHAnsi"/>
          <w:sz w:val="22"/>
          <w:szCs w:val="22"/>
        </w:rPr>
      </w:pPr>
    </w:p>
    <w:p w:rsidRPr="00C4515C" w:rsidR="009748FB" w:rsidP="00E814A4" w:rsidRDefault="00124757" w14:paraId="2464B68F" w14:textId="1BF95E63">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95"/>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14.</w:t>
      </w:r>
      <w:r w:rsidRPr="00C4515C">
        <w:rPr>
          <w:rFonts w:asciiTheme="minorHAnsi" w:hAnsiTheme="minorHAnsi" w:cstheme="minorHAnsi"/>
          <w:sz w:val="22"/>
          <w:szCs w:val="22"/>
        </w:rPr>
        <w:tab/>
      </w:r>
      <w:r w:rsidRPr="00C4515C">
        <w:rPr>
          <w:rFonts w:asciiTheme="minorHAnsi" w:hAnsiTheme="minorHAnsi" w:eastAsiaTheme="minorEastAsia" w:cstheme="minorHAnsi"/>
          <w:sz w:val="22"/>
          <w:szCs w:val="22"/>
          <w:u w:val="single"/>
        </w:rPr>
        <w:t>Cost</w:t>
      </w:r>
      <w:r w:rsidRPr="00C4515C" w:rsidR="00FD5894">
        <w:rPr>
          <w:rFonts w:asciiTheme="minorHAnsi" w:hAnsiTheme="minorHAnsi" w:eastAsiaTheme="minorEastAsia" w:cstheme="minorHAnsi"/>
          <w:sz w:val="22"/>
          <w:szCs w:val="22"/>
          <w:u w:val="single"/>
        </w:rPr>
        <w:t>s</w:t>
      </w:r>
      <w:r w:rsidRPr="00C4515C">
        <w:rPr>
          <w:rFonts w:asciiTheme="minorHAnsi" w:hAnsiTheme="minorHAnsi" w:eastAsiaTheme="minorEastAsia" w:cstheme="minorHAnsi"/>
          <w:sz w:val="22"/>
          <w:szCs w:val="22"/>
          <w:u w:val="single"/>
        </w:rPr>
        <w:t xml:space="preserve"> to Federal Government</w:t>
      </w:r>
    </w:p>
    <w:p w:rsidRPr="002640EB" w:rsidR="00196050" w:rsidP="002640EB" w:rsidRDefault="00A06CA1" w14:paraId="1A6BD426" w14:textId="0ADDD590">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 xml:space="preserve">The </w:t>
      </w:r>
      <w:r w:rsidRPr="00C4515C" w:rsidR="009748FB">
        <w:rPr>
          <w:rFonts w:asciiTheme="minorHAnsi" w:hAnsiTheme="minorHAnsi" w:eastAsiaTheme="minorEastAsia" w:cstheme="minorHAnsi"/>
          <w:sz w:val="22"/>
          <w:szCs w:val="22"/>
        </w:rPr>
        <w:t xml:space="preserve">total </w:t>
      </w:r>
      <w:r w:rsidRPr="00C4515C">
        <w:rPr>
          <w:rFonts w:asciiTheme="minorHAnsi" w:hAnsiTheme="minorHAnsi" w:eastAsiaTheme="minorEastAsia" w:cstheme="minorHAnsi"/>
          <w:sz w:val="22"/>
          <w:szCs w:val="22"/>
        </w:rPr>
        <w:t xml:space="preserve">estimated cost to the Federal Government for the </w:t>
      </w:r>
      <w:r w:rsidRPr="00C4515C" w:rsidR="003C2595">
        <w:rPr>
          <w:rFonts w:asciiTheme="minorHAnsi" w:hAnsiTheme="minorHAnsi" w:eastAsiaTheme="minorEastAsia" w:cstheme="minorHAnsi"/>
          <w:sz w:val="22"/>
          <w:szCs w:val="22"/>
        </w:rPr>
        <w:t>202</w:t>
      </w:r>
      <w:r w:rsidRPr="00C4515C" w:rsidR="00B81F8C">
        <w:rPr>
          <w:rFonts w:asciiTheme="minorHAnsi" w:hAnsiTheme="minorHAnsi" w:eastAsiaTheme="minorEastAsia" w:cstheme="minorHAnsi"/>
          <w:sz w:val="22"/>
          <w:szCs w:val="22"/>
        </w:rPr>
        <w:t>2</w:t>
      </w:r>
      <w:r w:rsidRPr="00C4515C" w:rsidR="00E84126">
        <w:rPr>
          <w:rFonts w:asciiTheme="minorHAnsi" w:hAnsiTheme="minorHAnsi" w:eastAsiaTheme="minorEastAsia" w:cstheme="minorHAnsi"/>
          <w:sz w:val="22"/>
          <w:szCs w:val="22"/>
        </w:rPr>
        <w:t xml:space="preserve"> </w:t>
      </w:r>
      <w:r w:rsidRPr="00C4515C">
        <w:rPr>
          <w:rFonts w:asciiTheme="minorHAnsi" w:hAnsiTheme="minorHAnsi" w:eastAsiaTheme="minorEastAsia" w:cstheme="minorHAnsi"/>
          <w:sz w:val="22"/>
          <w:szCs w:val="22"/>
        </w:rPr>
        <w:t xml:space="preserve">SCS is </w:t>
      </w:r>
      <w:r w:rsidRPr="00C4515C" w:rsidR="00E5772B">
        <w:rPr>
          <w:rFonts w:asciiTheme="minorHAnsi" w:hAnsiTheme="minorHAnsi" w:eastAsiaTheme="minorEastAsia" w:cstheme="minorHAnsi"/>
          <w:sz w:val="22"/>
          <w:szCs w:val="22"/>
        </w:rPr>
        <w:t>$1,</w:t>
      </w:r>
      <w:r w:rsidRPr="00C4515C" w:rsidR="0072489E">
        <w:rPr>
          <w:rFonts w:asciiTheme="minorHAnsi" w:hAnsiTheme="minorHAnsi" w:eastAsiaTheme="minorEastAsia" w:cstheme="minorHAnsi"/>
          <w:sz w:val="22"/>
          <w:szCs w:val="22"/>
        </w:rPr>
        <w:t>459</w:t>
      </w:r>
      <w:r w:rsidRPr="00C4515C" w:rsidR="00E5772B">
        <w:rPr>
          <w:rFonts w:asciiTheme="minorHAnsi" w:hAnsiTheme="minorHAnsi" w:eastAsiaTheme="minorEastAsia" w:cstheme="minorHAnsi"/>
          <w:sz w:val="22"/>
          <w:szCs w:val="22"/>
        </w:rPr>
        <w:t>,</w:t>
      </w:r>
      <w:r w:rsidR="0022421A">
        <w:rPr>
          <w:rFonts w:asciiTheme="minorHAnsi" w:hAnsiTheme="minorHAnsi" w:eastAsiaTheme="minorEastAsia" w:cstheme="minorHAnsi"/>
          <w:sz w:val="22"/>
          <w:szCs w:val="22"/>
        </w:rPr>
        <w:t>482</w:t>
      </w:r>
      <w:r w:rsidRPr="00C4515C" w:rsidR="00E5772B">
        <w:rPr>
          <w:rFonts w:asciiTheme="minorHAnsi" w:hAnsiTheme="minorHAnsi" w:eastAsiaTheme="minorEastAsia" w:cstheme="minorHAnsi"/>
          <w:sz w:val="22"/>
          <w:szCs w:val="22"/>
        </w:rPr>
        <w:t>.</w:t>
      </w:r>
      <w:r w:rsidRPr="00C4515C" w:rsidR="008B4FEB">
        <w:rPr>
          <w:rFonts w:asciiTheme="minorHAnsi" w:hAnsiTheme="minorHAnsi" w:eastAsiaTheme="minorEastAsia" w:cstheme="minorHAnsi"/>
          <w:sz w:val="22"/>
          <w:szCs w:val="22"/>
        </w:rPr>
        <w:t xml:space="preserve"> </w:t>
      </w:r>
      <w:r w:rsidRPr="00C4515C">
        <w:rPr>
          <w:rFonts w:asciiTheme="minorHAnsi" w:hAnsiTheme="minorHAnsi" w:eastAsiaTheme="minorEastAsia" w:cstheme="minorHAnsi"/>
          <w:sz w:val="22"/>
          <w:szCs w:val="22"/>
        </w:rPr>
        <w:t xml:space="preserve">The </w:t>
      </w:r>
      <w:r w:rsidR="002640EB">
        <w:rPr>
          <w:rFonts w:asciiTheme="minorHAnsi" w:hAnsiTheme="minorHAnsi" w:eastAsiaTheme="minorEastAsia" w:cstheme="minorHAnsi"/>
          <w:sz w:val="22"/>
          <w:szCs w:val="22"/>
        </w:rPr>
        <w:t xml:space="preserve">ED’s </w:t>
      </w:r>
      <w:r w:rsidRPr="00C4515C">
        <w:rPr>
          <w:rFonts w:asciiTheme="minorHAnsi" w:hAnsiTheme="minorHAnsi" w:eastAsiaTheme="minorEastAsia" w:cstheme="minorHAnsi"/>
          <w:sz w:val="22"/>
          <w:szCs w:val="22"/>
        </w:rPr>
        <w:t xml:space="preserve">NCES </w:t>
      </w:r>
      <w:r w:rsidR="00196050">
        <w:rPr>
          <w:rFonts w:asciiTheme="minorHAnsi" w:hAnsiTheme="minorHAnsi" w:eastAsiaTheme="minorEastAsia" w:cstheme="minorHAnsi"/>
          <w:sz w:val="22"/>
          <w:szCs w:val="22"/>
        </w:rPr>
        <w:t xml:space="preserve">and OESE </w:t>
      </w:r>
      <w:r w:rsidRPr="00C4515C">
        <w:rPr>
          <w:rFonts w:asciiTheme="minorHAnsi" w:hAnsiTheme="minorHAnsi" w:eastAsiaTheme="minorEastAsia" w:cstheme="minorHAnsi"/>
          <w:sz w:val="22"/>
          <w:szCs w:val="22"/>
        </w:rPr>
        <w:t>bea</w:t>
      </w:r>
      <w:r w:rsidR="00196050">
        <w:rPr>
          <w:rFonts w:asciiTheme="minorHAnsi" w:hAnsiTheme="minorHAnsi" w:eastAsiaTheme="minorEastAsia" w:cstheme="minorHAnsi"/>
          <w:sz w:val="22"/>
          <w:szCs w:val="22"/>
        </w:rPr>
        <w:t>r</w:t>
      </w:r>
      <w:r w:rsidRPr="00C4515C">
        <w:rPr>
          <w:rFonts w:asciiTheme="minorHAnsi" w:hAnsiTheme="minorHAnsi" w:eastAsiaTheme="minorEastAsia" w:cstheme="minorHAnsi"/>
          <w:sz w:val="22"/>
          <w:szCs w:val="22"/>
        </w:rPr>
        <w:t xml:space="preserve"> all costs of </w:t>
      </w:r>
      <w:r w:rsidRPr="00C4515C" w:rsidR="00E84126">
        <w:rPr>
          <w:rFonts w:asciiTheme="minorHAnsi" w:hAnsiTheme="minorHAnsi" w:eastAsiaTheme="minorEastAsia" w:cstheme="minorHAnsi"/>
          <w:sz w:val="22"/>
          <w:szCs w:val="22"/>
        </w:rPr>
        <w:t xml:space="preserve">the </w:t>
      </w:r>
      <w:r w:rsidRPr="00C4515C">
        <w:rPr>
          <w:rFonts w:asciiTheme="minorHAnsi" w:hAnsiTheme="minorHAnsi" w:eastAsiaTheme="minorEastAsia" w:cstheme="minorHAnsi"/>
          <w:sz w:val="22"/>
          <w:szCs w:val="22"/>
        </w:rPr>
        <w:t xml:space="preserve">data collection for the supplement incurred by the </w:t>
      </w:r>
      <w:r w:rsidRPr="00C4515C" w:rsidR="009748FB">
        <w:rPr>
          <w:rFonts w:asciiTheme="minorHAnsi" w:hAnsiTheme="minorHAnsi" w:eastAsiaTheme="minorEastAsia" w:cstheme="minorHAnsi"/>
          <w:sz w:val="22"/>
          <w:szCs w:val="22"/>
        </w:rPr>
        <w:t xml:space="preserve">U.S. </w:t>
      </w:r>
      <w:r w:rsidRPr="00C4515C" w:rsidR="008B4FEB">
        <w:rPr>
          <w:rFonts w:asciiTheme="minorHAnsi" w:hAnsiTheme="minorHAnsi" w:eastAsiaTheme="minorEastAsia" w:cstheme="minorHAnsi"/>
          <w:sz w:val="22"/>
          <w:szCs w:val="22"/>
        </w:rPr>
        <w:t xml:space="preserve">Census Bureau. </w:t>
      </w:r>
      <w:r w:rsidRPr="00C4515C" w:rsidR="002E6F82">
        <w:rPr>
          <w:rFonts w:asciiTheme="minorHAnsi" w:hAnsiTheme="minorHAnsi" w:eastAsiaTheme="minorEastAsia" w:cstheme="minorHAnsi"/>
          <w:sz w:val="22"/>
          <w:szCs w:val="22"/>
        </w:rPr>
        <w:t xml:space="preserve">Table </w:t>
      </w:r>
      <w:r w:rsidRPr="00C4515C" w:rsidR="00141E36">
        <w:rPr>
          <w:rFonts w:asciiTheme="minorHAnsi" w:hAnsiTheme="minorHAnsi" w:eastAsiaTheme="minorEastAsia" w:cstheme="minorHAnsi"/>
          <w:sz w:val="22"/>
          <w:szCs w:val="22"/>
        </w:rPr>
        <w:t>3</w:t>
      </w:r>
      <w:r w:rsidRPr="00C4515C" w:rsidR="00F50BEE">
        <w:rPr>
          <w:rFonts w:asciiTheme="minorHAnsi" w:hAnsiTheme="minorHAnsi" w:eastAsiaTheme="minorEastAsia" w:cstheme="minorHAnsi"/>
          <w:sz w:val="22"/>
          <w:szCs w:val="22"/>
        </w:rPr>
        <w:t xml:space="preserve"> </w:t>
      </w:r>
      <w:r w:rsidRPr="00C4515C">
        <w:rPr>
          <w:rFonts w:asciiTheme="minorHAnsi" w:hAnsiTheme="minorHAnsi" w:eastAsiaTheme="minorEastAsia" w:cstheme="minorHAnsi"/>
          <w:sz w:val="22"/>
          <w:szCs w:val="22"/>
        </w:rPr>
        <w:t xml:space="preserve">details estimated costs </w:t>
      </w:r>
      <w:r w:rsidRPr="00C4515C" w:rsidR="009748FB">
        <w:rPr>
          <w:rFonts w:asciiTheme="minorHAnsi" w:hAnsiTheme="minorHAnsi" w:eastAsiaTheme="minorEastAsia" w:cstheme="minorHAnsi"/>
          <w:sz w:val="22"/>
          <w:szCs w:val="22"/>
        </w:rPr>
        <w:t>for BJS</w:t>
      </w:r>
      <w:r w:rsidR="002640EB">
        <w:rPr>
          <w:rFonts w:asciiTheme="minorHAnsi" w:hAnsiTheme="minorHAnsi" w:eastAsiaTheme="minorEastAsia" w:cstheme="minorHAnsi"/>
          <w:sz w:val="22"/>
          <w:szCs w:val="22"/>
        </w:rPr>
        <w:t xml:space="preserve">, </w:t>
      </w:r>
      <w:r w:rsidRPr="00C4515C" w:rsidR="009748FB">
        <w:rPr>
          <w:rFonts w:asciiTheme="minorHAnsi" w:hAnsiTheme="minorHAnsi" w:eastAsiaTheme="minorEastAsia" w:cstheme="minorHAnsi"/>
          <w:sz w:val="22"/>
          <w:szCs w:val="22"/>
        </w:rPr>
        <w:t>NCES</w:t>
      </w:r>
      <w:r w:rsidR="002640EB">
        <w:rPr>
          <w:rFonts w:asciiTheme="minorHAnsi" w:hAnsiTheme="minorHAnsi" w:eastAsiaTheme="minorEastAsia" w:cstheme="minorHAnsi"/>
          <w:sz w:val="22"/>
          <w:szCs w:val="22"/>
        </w:rPr>
        <w:t>, and the U.S. Census Bureau</w:t>
      </w:r>
      <w:r w:rsidRPr="00C4515C" w:rsidR="009748FB">
        <w:rPr>
          <w:rFonts w:asciiTheme="minorHAnsi" w:hAnsiTheme="minorHAnsi" w:eastAsiaTheme="minorEastAsia" w:cstheme="minorHAnsi"/>
          <w:sz w:val="22"/>
          <w:szCs w:val="22"/>
        </w:rPr>
        <w:t xml:space="preserve"> for the </w:t>
      </w:r>
      <w:r w:rsidRPr="00C4515C" w:rsidR="003C2595">
        <w:rPr>
          <w:rFonts w:asciiTheme="minorHAnsi" w:hAnsiTheme="minorHAnsi" w:eastAsiaTheme="minorEastAsia" w:cstheme="minorHAnsi"/>
          <w:sz w:val="22"/>
          <w:szCs w:val="22"/>
        </w:rPr>
        <w:t>202</w:t>
      </w:r>
      <w:r w:rsidRPr="00C4515C" w:rsidR="00B81F8C">
        <w:rPr>
          <w:rFonts w:asciiTheme="minorHAnsi" w:hAnsiTheme="minorHAnsi" w:eastAsiaTheme="minorEastAsia" w:cstheme="minorHAnsi"/>
          <w:sz w:val="22"/>
          <w:szCs w:val="22"/>
        </w:rPr>
        <w:t>2</w:t>
      </w:r>
      <w:r w:rsidRPr="00C4515C" w:rsidR="009748FB">
        <w:rPr>
          <w:rFonts w:asciiTheme="minorHAnsi" w:hAnsiTheme="minorHAnsi" w:eastAsiaTheme="minorEastAsia" w:cstheme="minorHAnsi"/>
          <w:sz w:val="22"/>
          <w:szCs w:val="22"/>
        </w:rPr>
        <w:t xml:space="preserve"> SCS.</w:t>
      </w:r>
      <w:r w:rsidR="002640EB">
        <w:rPr>
          <w:rFonts w:asciiTheme="minorHAnsi" w:hAnsiTheme="minorHAnsi" w:eastAsiaTheme="minorEastAsia" w:cstheme="minorHAnsi"/>
          <w:sz w:val="22"/>
          <w:szCs w:val="22"/>
        </w:rPr>
        <w:t xml:space="preserve"> </w:t>
      </w:r>
      <w:r w:rsidRPr="00C4515C" w:rsidR="009612E8">
        <w:rPr>
          <w:rFonts w:asciiTheme="minorHAnsi" w:hAnsiTheme="minorHAnsi" w:eastAsiaTheme="minorEastAsia" w:cstheme="minorHAnsi"/>
          <w:sz w:val="22"/>
          <w:szCs w:val="22"/>
        </w:rPr>
        <w:t xml:space="preserve">The U.S. Census Bureau will act as the data collection agent for the 2022 SCS. </w:t>
      </w:r>
      <w:r w:rsidR="00CC6C85">
        <w:rPr>
          <w:rFonts w:asciiTheme="minorHAnsi" w:hAnsiTheme="minorHAnsi" w:eastAsiaTheme="minorEastAsia" w:cstheme="minorHAnsi"/>
          <w:sz w:val="22"/>
          <w:szCs w:val="22"/>
        </w:rPr>
        <w:t xml:space="preserve">The </w:t>
      </w:r>
      <w:r w:rsidRPr="00C4515C" w:rsidR="009612E8">
        <w:rPr>
          <w:rFonts w:asciiTheme="minorHAnsi" w:hAnsiTheme="minorHAnsi" w:eastAsiaTheme="minorEastAsia" w:cstheme="minorHAnsi"/>
          <w:sz w:val="22"/>
          <w:szCs w:val="22"/>
        </w:rPr>
        <w:t>Census</w:t>
      </w:r>
      <w:r w:rsidR="00CC6C85">
        <w:rPr>
          <w:rFonts w:asciiTheme="minorHAnsi" w:hAnsiTheme="minorHAnsi" w:eastAsiaTheme="minorEastAsia" w:cstheme="minorHAnsi"/>
          <w:sz w:val="22"/>
          <w:szCs w:val="22"/>
        </w:rPr>
        <w:t xml:space="preserve"> Bureau</w:t>
      </w:r>
      <w:r w:rsidRPr="00C4515C" w:rsidR="009612E8">
        <w:rPr>
          <w:rFonts w:asciiTheme="minorHAnsi" w:hAnsiTheme="minorHAnsi" w:eastAsiaTheme="minorEastAsia" w:cstheme="minorHAnsi"/>
          <w:sz w:val="22"/>
          <w:szCs w:val="22"/>
        </w:rPr>
        <w:t xml:space="preserve"> will develop, test, and finalize the 2022 SCS survey instrument, develop all data collection support and training materials, train interviewers and support staff, and collect, process, and disseminate the 2022 SCS dat</w:t>
      </w:r>
      <w:r w:rsidR="009612E8">
        <w:rPr>
          <w:rFonts w:asciiTheme="minorHAnsi" w:hAnsiTheme="minorHAnsi" w:eastAsiaTheme="minorEastAsia" w:cstheme="minorHAnsi"/>
          <w:sz w:val="22"/>
          <w:szCs w:val="22"/>
        </w:rPr>
        <w:t>a.</w:t>
      </w:r>
    </w:p>
    <w:p w:rsidRPr="00C4515C" w:rsidR="002640EB" w:rsidP="00D1252C" w:rsidRDefault="002640EB" w14:paraId="3F38F569"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eastAsiaTheme="minorEastAsia" w:cstheme="minorHAnsi"/>
          <w:b/>
          <w:sz w:val="22"/>
          <w:szCs w:val="22"/>
        </w:rPr>
      </w:pPr>
    </w:p>
    <w:p w:rsidR="001A67E9" w:rsidRDefault="001A67E9" w14:paraId="13175424" w14:textId="77777777">
      <w:pPr>
        <w:autoSpaceDE/>
        <w:autoSpaceDN/>
        <w:adjustRightInd/>
        <w:rPr>
          <w:rFonts w:asciiTheme="minorHAnsi" w:hAnsiTheme="minorHAnsi" w:eastAsiaTheme="minorEastAsia" w:cstheme="minorHAnsi"/>
          <w:b/>
          <w:sz w:val="22"/>
          <w:szCs w:val="22"/>
        </w:rPr>
      </w:pPr>
      <w:r>
        <w:rPr>
          <w:rFonts w:asciiTheme="minorHAnsi" w:hAnsiTheme="minorHAnsi" w:eastAsiaTheme="minorEastAsia" w:cstheme="minorHAnsi"/>
          <w:b/>
          <w:sz w:val="22"/>
          <w:szCs w:val="22"/>
        </w:rPr>
        <w:br w:type="page"/>
      </w:r>
    </w:p>
    <w:p w:rsidRPr="00C4515C" w:rsidR="00A45CB4" w:rsidP="00F344C0" w:rsidRDefault="00EA0AB5" w14:paraId="1470F0AF" w14:textId="77E47988">
      <w:pPr>
        <w:autoSpaceDE/>
        <w:autoSpaceDN/>
        <w:adjustRightInd/>
        <w:ind w:left="360"/>
        <w:rPr>
          <w:rFonts w:asciiTheme="minorHAnsi" w:hAnsiTheme="minorHAnsi" w:eastAsiaTheme="minorEastAsia" w:cstheme="minorHAnsi"/>
          <w:b/>
          <w:sz w:val="22"/>
          <w:szCs w:val="22"/>
        </w:rPr>
      </w:pPr>
      <w:r w:rsidRPr="00C4515C">
        <w:rPr>
          <w:rFonts w:asciiTheme="minorHAnsi" w:hAnsiTheme="minorHAnsi" w:eastAsiaTheme="minorEastAsia" w:cstheme="minorHAnsi"/>
          <w:b/>
          <w:sz w:val="22"/>
          <w:szCs w:val="22"/>
        </w:rPr>
        <w:lastRenderedPageBreak/>
        <w:tab/>
      </w:r>
      <w:r w:rsidRPr="00C4515C">
        <w:rPr>
          <w:rFonts w:asciiTheme="minorHAnsi" w:hAnsiTheme="minorHAnsi" w:eastAsiaTheme="minorEastAsia" w:cstheme="minorHAnsi"/>
          <w:b/>
          <w:sz w:val="22"/>
          <w:szCs w:val="22"/>
        </w:rPr>
        <w:tab/>
      </w:r>
      <w:r w:rsidRPr="00C4515C" w:rsidR="005B436A">
        <w:rPr>
          <w:rFonts w:asciiTheme="minorHAnsi" w:hAnsiTheme="minorHAnsi" w:eastAsiaTheme="minorEastAsia" w:cstheme="minorHAnsi"/>
          <w:b/>
          <w:sz w:val="22"/>
          <w:szCs w:val="22"/>
        </w:rPr>
        <w:tab/>
      </w:r>
      <w:r w:rsidRPr="00C4515C" w:rsidR="000D2EAE">
        <w:rPr>
          <w:rFonts w:asciiTheme="minorHAnsi" w:hAnsiTheme="minorHAnsi" w:eastAsiaTheme="minorEastAsia" w:cstheme="minorHAnsi"/>
          <w:b/>
          <w:sz w:val="22"/>
          <w:szCs w:val="22"/>
        </w:rPr>
        <w:t>Table</w:t>
      </w:r>
      <w:r w:rsidRPr="00C4515C" w:rsidR="00A45CB4">
        <w:rPr>
          <w:rFonts w:asciiTheme="minorHAnsi" w:hAnsiTheme="minorHAnsi" w:eastAsiaTheme="minorEastAsia" w:cstheme="minorHAnsi"/>
          <w:b/>
          <w:sz w:val="22"/>
          <w:szCs w:val="22"/>
        </w:rPr>
        <w:t xml:space="preserve"> </w:t>
      </w:r>
      <w:r w:rsidRPr="00C4515C" w:rsidR="00141E36">
        <w:rPr>
          <w:rFonts w:asciiTheme="minorHAnsi" w:hAnsiTheme="minorHAnsi" w:eastAsiaTheme="minorEastAsia" w:cstheme="minorHAnsi"/>
          <w:b/>
          <w:sz w:val="22"/>
          <w:szCs w:val="22"/>
        </w:rPr>
        <w:t>3.</w:t>
      </w:r>
      <w:r w:rsidRPr="00C4515C" w:rsidR="00A45CB4">
        <w:rPr>
          <w:rFonts w:asciiTheme="minorHAnsi" w:hAnsiTheme="minorHAnsi" w:eastAsiaTheme="minorEastAsia" w:cstheme="minorHAnsi"/>
          <w:b/>
          <w:sz w:val="22"/>
          <w:szCs w:val="22"/>
        </w:rPr>
        <w:t xml:space="preserve"> Estimated BJS</w:t>
      </w:r>
      <w:r w:rsidR="0084169E">
        <w:rPr>
          <w:rFonts w:asciiTheme="minorHAnsi" w:hAnsiTheme="minorHAnsi" w:eastAsiaTheme="minorEastAsia" w:cstheme="minorHAnsi"/>
          <w:b/>
          <w:sz w:val="22"/>
          <w:szCs w:val="22"/>
        </w:rPr>
        <w:t xml:space="preserve">, </w:t>
      </w:r>
      <w:r w:rsidRPr="00C4515C" w:rsidR="00A45CB4">
        <w:rPr>
          <w:rFonts w:asciiTheme="minorHAnsi" w:hAnsiTheme="minorHAnsi" w:eastAsiaTheme="minorEastAsia" w:cstheme="minorHAnsi"/>
          <w:b/>
          <w:sz w:val="22"/>
          <w:szCs w:val="22"/>
        </w:rPr>
        <w:t>NCES</w:t>
      </w:r>
      <w:r w:rsidR="0084169E">
        <w:rPr>
          <w:rFonts w:asciiTheme="minorHAnsi" w:hAnsiTheme="minorHAnsi" w:eastAsiaTheme="minorEastAsia" w:cstheme="minorHAnsi"/>
          <w:b/>
          <w:sz w:val="22"/>
          <w:szCs w:val="22"/>
        </w:rPr>
        <w:t>, and Census</w:t>
      </w:r>
      <w:r w:rsidRPr="00C4515C" w:rsidR="00A45CB4">
        <w:rPr>
          <w:rFonts w:asciiTheme="minorHAnsi" w:hAnsiTheme="minorHAnsi" w:eastAsiaTheme="minorEastAsia" w:cstheme="minorHAnsi"/>
          <w:b/>
          <w:sz w:val="22"/>
          <w:szCs w:val="22"/>
        </w:rPr>
        <w:t xml:space="preserve"> costs for the </w:t>
      </w:r>
      <w:r w:rsidRPr="00C4515C" w:rsidR="003C2595">
        <w:rPr>
          <w:rFonts w:asciiTheme="minorHAnsi" w:hAnsiTheme="minorHAnsi" w:eastAsiaTheme="minorEastAsia" w:cstheme="minorHAnsi"/>
          <w:b/>
          <w:sz w:val="22"/>
          <w:szCs w:val="22"/>
        </w:rPr>
        <w:t>202</w:t>
      </w:r>
      <w:r w:rsidRPr="00C4515C" w:rsidR="00B81F8C">
        <w:rPr>
          <w:rFonts w:asciiTheme="minorHAnsi" w:hAnsiTheme="minorHAnsi" w:eastAsiaTheme="minorEastAsia" w:cstheme="minorHAnsi"/>
          <w:b/>
          <w:sz w:val="22"/>
          <w:szCs w:val="22"/>
        </w:rPr>
        <w:t>2</w:t>
      </w:r>
      <w:r w:rsidRPr="00C4515C" w:rsidR="00A45CB4">
        <w:rPr>
          <w:rFonts w:asciiTheme="minorHAnsi" w:hAnsiTheme="minorHAnsi" w:eastAsiaTheme="minorEastAsia" w:cstheme="minorHAnsi"/>
          <w:b/>
          <w:sz w:val="22"/>
          <w:szCs w:val="22"/>
        </w:rPr>
        <w:t xml:space="preserve"> SCS</w:t>
      </w:r>
    </w:p>
    <w:tbl>
      <w:tblPr>
        <w:tblStyle w:val="TableGrid"/>
        <w:tblW w:w="8999" w:type="dxa"/>
        <w:tblInd w:w="355" w:type="dxa"/>
        <w:tblLook w:val="04A0" w:firstRow="1" w:lastRow="0" w:firstColumn="1" w:lastColumn="0" w:noHBand="0" w:noVBand="1"/>
      </w:tblPr>
      <w:tblGrid>
        <w:gridCol w:w="6844"/>
        <w:gridCol w:w="2155"/>
      </w:tblGrid>
      <w:tr w:rsidR="009612E8" w:rsidTr="00F344C0" w14:paraId="3E74E51F" w14:textId="77777777">
        <w:tc>
          <w:tcPr>
            <w:tcW w:w="6844" w:type="dxa"/>
          </w:tcPr>
          <w:p w:rsidRPr="00795EBF" w:rsidR="009612E8" w:rsidP="00795EBF" w:rsidRDefault="009612E8" w14:paraId="0218A3DE" w14:textId="489C2650">
            <w:pPr>
              <w:autoSpaceDE/>
              <w:autoSpaceDN/>
              <w:adjustRightInd/>
              <w:jc w:val="left"/>
              <w:rPr>
                <w:rFonts w:asciiTheme="minorHAnsi" w:hAnsiTheme="minorHAnsi" w:eastAsiaTheme="minorEastAsia" w:cstheme="minorHAnsi"/>
                <w:b/>
              </w:rPr>
            </w:pPr>
            <w:r w:rsidRPr="00795EBF">
              <w:rPr>
                <w:rFonts w:asciiTheme="minorHAnsi" w:hAnsiTheme="minorHAnsi" w:eastAsiaTheme="minorEastAsia" w:cstheme="minorHAnsi"/>
                <w:b/>
              </w:rPr>
              <w:t>BJS and NCES estimated costs</w:t>
            </w:r>
          </w:p>
        </w:tc>
        <w:tc>
          <w:tcPr>
            <w:tcW w:w="2155" w:type="dxa"/>
          </w:tcPr>
          <w:p w:rsidR="009612E8" w:rsidRDefault="009612E8" w14:paraId="06532311" w14:textId="77777777">
            <w:pPr>
              <w:autoSpaceDE/>
              <w:autoSpaceDN/>
              <w:adjustRightInd/>
              <w:rPr>
                <w:rFonts w:asciiTheme="minorHAnsi" w:hAnsiTheme="minorHAnsi" w:eastAsiaTheme="minorEastAsia" w:cstheme="minorHAnsi"/>
              </w:rPr>
            </w:pPr>
          </w:p>
        </w:tc>
      </w:tr>
      <w:tr w:rsidR="002B4A73" w:rsidTr="00F344C0" w14:paraId="3BB350A9" w14:textId="77777777">
        <w:tc>
          <w:tcPr>
            <w:tcW w:w="6844" w:type="dxa"/>
          </w:tcPr>
          <w:p w:rsidR="002B4A73" w:rsidP="00795EBF" w:rsidRDefault="002B4A73" w14:paraId="2586AB99" w14:textId="61C5325A">
            <w:pPr>
              <w:autoSpaceDE/>
              <w:autoSpaceDN/>
              <w:adjustRightInd/>
              <w:ind w:left="245"/>
              <w:jc w:val="left"/>
              <w:rPr>
                <w:rFonts w:asciiTheme="minorHAnsi" w:hAnsiTheme="minorHAnsi" w:eastAsiaTheme="minorEastAsia" w:cstheme="minorHAnsi"/>
              </w:rPr>
            </w:pPr>
            <w:r w:rsidRPr="00C4515C">
              <w:rPr>
                <w:rFonts w:asciiTheme="minorHAnsi" w:hAnsiTheme="minorHAnsi" w:eastAsiaTheme="minorEastAsia" w:cstheme="minorHAnsi"/>
              </w:rPr>
              <w:t>GS11 – Statistician, BJS (15%)</w:t>
            </w:r>
          </w:p>
        </w:tc>
        <w:tc>
          <w:tcPr>
            <w:tcW w:w="2155" w:type="dxa"/>
          </w:tcPr>
          <w:p w:rsidR="002B4A73" w:rsidP="00795EBF" w:rsidRDefault="002B4A73" w14:paraId="3A71D2DE" w14:textId="1FE1A921">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$12,368</w:t>
            </w:r>
          </w:p>
        </w:tc>
      </w:tr>
      <w:tr w:rsidR="002B4A73" w:rsidTr="00F344C0" w14:paraId="0C8B4D91" w14:textId="77777777">
        <w:tc>
          <w:tcPr>
            <w:tcW w:w="6844" w:type="dxa"/>
          </w:tcPr>
          <w:p w:rsidR="002B4A73" w:rsidP="00795EBF" w:rsidRDefault="002B4A73" w14:paraId="692A3E35" w14:textId="6529815B">
            <w:pPr>
              <w:autoSpaceDE/>
              <w:autoSpaceDN/>
              <w:adjustRightInd/>
              <w:ind w:left="245"/>
              <w:jc w:val="left"/>
              <w:rPr>
                <w:rFonts w:asciiTheme="minorHAnsi" w:hAnsiTheme="minorHAnsi" w:eastAsiaTheme="minorEastAsia" w:cstheme="minorHAnsi"/>
              </w:rPr>
            </w:pPr>
            <w:r w:rsidRPr="00C4515C">
              <w:rPr>
                <w:rFonts w:asciiTheme="minorHAnsi" w:hAnsiTheme="minorHAnsi" w:eastAsiaTheme="minorEastAsia" w:cstheme="minorHAnsi"/>
              </w:rPr>
              <w:t>GS14 – Statistician, BJS (15%)</w:t>
            </w:r>
          </w:p>
        </w:tc>
        <w:tc>
          <w:tcPr>
            <w:tcW w:w="2155" w:type="dxa"/>
          </w:tcPr>
          <w:p w:rsidR="002B4A73" w:rsidP="00795EBF" w:rsidRDefault="002B4A73" w14:paraId="14A156CA" w14:textId="2F222AE9">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$20,830</w:t>
            </w:r>
          </w:p>
        </w:tc>
      </w:tr>
      <w:tr w:rsidR="002B4A73" w:rsidTr="00F344C0" w14:paraId="46681B56" w14:textId="77777777">
        <w:tc>
          <w:tcPr>
            <w:tcW w:w="6844" w:type="dxa"/>
          </w:tcPr>
          <w:p w:rsidR="002B4A73" w:rsidP="00795EBF" w:rsidRDefault="002B4A73" w14:paraId="572B6068" w14:textId="04547806">
            <w:pPr>
              <w:autoSpaceDE/>
              <w:autoSpaceDN/>
              <w:adjustRightInd/>
              <w:ind w:left="245"/>
              <w:jc w:val="left"/>
              <w:rPr>
                <w:rFonts w:asciiTheme="minorHAnsi" w:hAnsiTheme="minorHAnsi" w:eastAsiaTheme="minorEastAsia" w:cstheme="minorHAnsi"/>
              </w:rPr>
            </w:pPr>
            <w:r w:rsidRPr="00C4515C">
              <w:rPr>
                <w:rFonts w:asciiTheme="minorHAnsi" w:hAnsiTheme="minorHAnsi" w:eastAsiaTheme="minorEastAsia" w:cstheme="minorHAnsi"/>
              </w:rPr>
              <w:t>GS15 – Supervisory Statistician, BJS (10%)</w:t>
            </w:r>
          </w:p>
        </w:tc>
        <w:tc>
          <w:tcPr>
            <w:tcW w:w="2155" w:type="dxa"/>
          </w:tcPr>
          <w:p w:rsidR="002B4A73" w:rsidP="00795EBF" w:rsidRDefault="002B4A73" w14:paraId="361E607B" w14:textId="4CD4F0E7">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$16,335</w:t>
            </w:r>
          </w:p>
        </w:tc>
      </w:tr>
      <w:tr w:rsidR="002B4A73" w:rsidTr="00F344C0" w14:paraId="7FD99287" w14:textId="77777777">
        <w:tc>
          <w:tcPr>
            <w:tcW w:w="6844" w:type="dxa"/>
          </w:tcPr>
          <w:p w:rsidR="002B4A73" w:rsidP="00795EBF" w:rsidRDefault="002B4A73" w14:paraId="22ED851D" w14:textId="378D2A3D">
            <w:pPr>
              <w:autoSpaceDE/>
              <w:autoSpaceDN/>
              <w:adjustRightInd/>
              <w:ind w:left="245"/>
              <w:jc w:val="left"/>
              <w:rPr>
                <w:rFonts w:asciiTheme="minorHAnsi" w:hAnsiTheme="minorHAnsi" w:eastAsiaTheme="minorEastAsia" w:cstheme="minorHAnsi"/>
              </w:rPr>
            </w:pPr>
            <w:r w:rsidRPr="00C4515C">
              <w:rPr>
                <w:rFonts w:asciiTheme="minorHAnsi" w:hAnsiTheme="minorHAnsi" w:eastAsiaTheme="minorEastAsia" w:cstheme="minorHAnsi"/>
              </w:rPr>
              <w:t>GS13 – Statistician, NCES (45%)</w:t>
            </w:r>
          </w:p>
        </w:tc>
        <w:tc>
          <w:tcPr>
            <w:tcW w:w="2155" w:type="dxa"/>
          </w:tcPr>
          <w:p w:rsidR="002B4A73" w:rsidP="00795EBF" w:rsidRDefault="002B4A73" w14:paraId="0D187F55" w14:textId="202AB9F8">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$52,882</w:t>
            </w:r>
          </w:p>
        </w:tc>
      </w:tr>
      <w:tr w:rsidR="002B4A73" w:rsidTr="00F344C0" w14:paraId="6448A204" w14:textId="77777777">
        <w:tc>
          <w:tcPr>
            <w:tcW w:w="6844" w:type="dxa"/>
          </w:tcPr>
          <w:p w:rsidR="002B4A73" w:rsidP="00795EBF" w:rsidRDefault="002B4A73" w14:paraId="58D73D27" w14:textId="3D9A3882">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b/>
              </w:rPr>
              <w:t>Subtotal: Salaries</w:t>
            </w:r>
          </w:p>
        </w:tc>
        <w:tc>
          <w:tcPr>
            <w:tcW w:w="2155" w:type="dxa"/>
          </w:tcPr>
          <w:p w:rsidRPr="00795EBF" w:rsidR="002B4A73" w:rsidP="00795EBF" w:rsidRDefault="002B4A73" w14:paraId="5451E19A" w14:textId="222D0FB9">
            <w:pPr>
              <w:autoSpaceDE/>
              <w:autoSpaceDN/>
              <w:adjustRightInd/>
              <w:jc w:val="left"/>
              <w:rPr>
                <w:rFonts w:asciiTheme="minorHAnsi" w:hAnsiTheme="minorHAnsi" w:eastAsiaTheme="minorEastAsia" w:cstheme="minorHAnsi"/>
                <w:b/>
              </w:rPr>
            </w:pPr>
            <w:r w:rsidRPr="00795EBF">
              <w:rPr>
                <w:rFonts w:asciiTheme="minorHAnsi" w:hAnsiTheme="minorHAnsi" w:eastAsiaTheme="minorEastAsia" w:cstheme="minorHAnsi"/>
                <w:b/>
              </w:rPr>
              <w:t>$102,415</w:t>
            </w:r>
          </w:p>
        </w:tc>
      </w:tr>
      <w:tr w:rsidR="002B4A73" w:rsidTr="00F344C0" w14:paraId="3ECFF1CD" w14:textId="77777777">
        <w:tc>
          <w:tcPr>
            <w:tcW w:w="6844" w:type="dxa"/>
          </w:tcPr>
          <w:p w:rsidR="002B4A73" w:rsidP="00795EBF" w:rsidRDefault="002B4A73" w14:paraId="517C61D2" w14:textId="60769E9A">
            <w:pPr>
              <w:autoSpaceDE/>
              <w:autoSpaceDN/>
              <w:adjustRightInd/>
              <w:ind w:left="245"/>
              <w:jc w:val="left"/>
              <w:rPr>
                <w:rFonts w:asciiTheme="minorHAnsi" w:hAnsiTheme="minorHAnsi" w:eastAsiaTheme="minorEastAsia" w:cstheme="minorHAnsi"/>
              </w:rPr>
            </w:pPr>
            <w:r w:rsidRPr="00C4515C">
              <w:rPr>
                <w:rFonts w:asciiTheme="minorHAnsi" w:hAnsiTheme="minorHAnsi" w:eastAsiaTheme="minorEastAsia" w:cstheme="minorHAnsi"/>
              </w:rPr>
              <w:t>Fringe benefits (28% of salaries)</w:t>
            </w:r>
          </w:p>
        </w:tc>
        <w:tc>
          <w:tcPr>
            <w:tcW w:w="2155" w:type="dxa"/>
          </w:tcPr>
          <w:p w:rsidR="002B4A73" w:rsidP="00795EBF" w:rsidRDefault="002B4A73" w14:paraId="2BC1A47C" w14:textId="35C101A0">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$28,676</w:t>
            </w:r>
          </w:p>
        </w:tc>
      </w:tr>
      <w:tr w:rsidR="002B4A73" w:rsidTr="00F344C0" w14:paraId="27A033CE" w14:textId="77777777">
        <w:tc>
          <w:tcPr>
            <w:tcW w:w="6844" w:type="dxa"/>
          </w:tcPr>
          <w:p w:rsidR="002B4A73" w:rsidP="00795EBF" w:rsidRDefault="002B4A73" w14:paraId="4A7C2D9F" w14:textId="41AF6FCF">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b/>
              </w:rPr>
              <w:t>Subtotal: Salary and fringe</w:t>
            </w:r>
          </w:p>
        </w:tc>
        <w:tc>
          <w:tcPr>
            <w:tcW w:w="2155" w:type="dxa"/>
          </w:tcPr>
          <w:p w:rsidRPr="00795EBF" w:rsidR="002B4A73" w:rsidP="00795EBF" w:rsidRDefault="002B4A73" w14:paraId="18EF1909" w14:textId="486833A9">
            <w:pPr>
              <w:autoSpaceDE/>
              <w:autoSpaceDN/>
              <w:adjustRightInd/>
              <w:jc w:val="left"/>
              <w:rPr>
                <w:rFonts w:asciiTheme="minorHAnsi" w:hAnsiTheme="minorHAnsi" w:eastAsiaTheme="minorEastAsia" w:cstheme="minorHAnsi"/>
                <w:b/>
              </w:rPr>
            </w:pPr>
            <w:r w:rsidRPr="00795EBF">
              <w:rPr>
                <w:rFonts w:asciiTheme="minorHAnsi" w:hAnsiTheme="minorHAnsi" w:eastAsiaTheme="minorEastAsia" w:cstheme="minorHAnsi"/>
                <w:b/>
              </w:rPr>
              <w:t>$131,091</w:t>
            </w:r>
          </w:p>
        </w:tc>
      </w:tr>
      <w:tr w:rsidR="002B4A73" w:rsidTr="00F344C0" w14:paraId="32AA5965" w14:textId="77777777">
        <w:tc>
          <w:tcPr>
            <w:tcW w:w="6844" w:type="dxa"/>
          </w:tcPr>
          <w:p w:rsidRPr="00C4515C" w:rsidR="002B4A73" w:rsidP="00795EBF" w:rsidRDefault="002B4A73" w14:paraId="6437125C" w14:textId="4C343D13">
            <w:pPr>
              <w:autoSpaceDE/>
              <w:autoSpaceDN/>
              <w:adjustRightInd/>
              <w:ind w:left="245"/>
              <w:jc w:val="left"/>
              <w:rPr>
                <w:rFonts w:asciiTheme="minorHAnsi" w:hAnsiTheme="minorHAnsi" w:eastAsiaTheme="minorEastAsia" w:cstheme="minorHAnsi"/>
                <w:b/>
              </w:rPr>
            </w:pPr>
            <w:r w:rsidRPr="00C4515C">
              <w:rPr>
                <w:rFonts w:asciiTheme="minorHAnsi" w:hAnsiTheme="minorHAnsi" w:eastAsiaTheme="minorEastAsia" w:cstheme="minorHAnsi"/>
              </w:rPr>
              <w:t>Other administrative costs of salary and fringe (15%)</w:t>
            </w:r>
          </w:p>
        </w:tc>
        <w:tc>
          <w:tcPr>
            <w:tcW w:w="2155" w:type="dxa"/>
          </w:tcPr>
          <w:p w:rsidR="002B4A73" w:rsidP="00795EBF" w:rsidRDefault="002B4A73" w14:paraId="2FC84FCE" w14:textId="6092C0BF">
            <w:pPr>
              <w:autoSpaceDE/>
              <w:autoSpaceDN/>
              <w:adjustRightInd/>
              <w:jc w:val="left"/>
              <w:rPr>
                <w:rFonts w:asciiTheme="minorHAnsi" w:hAnsiTheme="minorHAnsi" w:eastAsiaTheme="minorEastAsia" w:cstheme="minorHAnsi"/>
              </w:rPr>
            </w:pPr>
            <w:r w:rsidRPr="00C4515C">
              <w:rPr>
                <w:rFonts w:asciiTheme="minorHAnsi" w:hAnsiTheme="minorHAnsi" w:eastAsiaTheme="minorEastAsia" w:cstheme="minorHAnsi"/>
              </w:rPr>
              <w:t>$19,664</w:t>
            </w:r>
          </w:p>
        </w:tc>
      </w:tr>
      <w:tr w:rsidR="002B4A73" w:rsidTr="00F344C0" w14:paraId="130DF675" w14:textId="77777777">
        <w:tc>
          <w:tcPr>
            <w:tcW w:w="6844" w:type="dxa"/>
          </w:tcPr>
          <w:p w:rsidRPr="00C4515C" w:rsidR="002B4A73" w:rsidP="00795EBF" w:rsidRDefault="002B4A73" w14:paraId="419B8BE7" w14:textId="19B4945D">
            <w:pPr>
              <w:autoSpaceDE/>
              <w:autoSpaceDN/>
              <w:adjustRightInd/>
              <w:jc w:val="left"/>
              <w:rPr>
                <w:rFonts w:asciiTheme="minorHAnsi" w:hAnsiTheme="minorHAnsi" w:eastAsiaTheme="minorEastAsia" w:cstheme="minorHAnsi"/>
              </w:rPr>
            </w:pPr>
            <w:r w:rsidRPr="00C4515C">
              <w:rPr>
                <w:rFonts w:asciiTheme="minorHAnsi" w:hAnsiTheme="minorHAnsi" w:cstheme="minorHAnsi"/>
                <w:b/>
              </w:rPr>
              <w:t>Subtotal: Project management costs</w:t>
            </w:r>
          </w:p>
        </w:tc>
        <w:tc>
          <w:tcPr>
            <w:tcW w:w="2155" w:type="dxa"/>
          </w:tcPr>
          <w:p w:rsidRPr="00795EBF" w:rsidR="002B4A73" w:rsidP="00795EBF" w:rsidRDefault="002B4A73" w14:paraId="0752EAFF" w14:textId="78F93DDE">
            <w:pPr>
              <w:autoSpaceDE/>
              <w:autoSpaceDN/>
              <w:adjustRightInd/>
              <w:jc w:val="left"/>
              <w:rPr>
                <w:rFonts w:asciiTheme="minorHAnsi" w:hAnsiTheme="minorHAnsi" w:eastAsiaTheme="minorEastAsia" w:cstheme="minorHAnsi"/>
                <w:b/>
              </w:rPr>
            </w:pPr>
            <w:r w:rsidRPr="00795EBF">
              <w:rPr>
                <w:rFonts w:asciiTheme="minorHAnsi" w:hAnsiTheme="minorHAnsi" w:cstheme="minorHAnsi"/>
                <w:b/>
              </w:rPr>
              <w:t>$150,754</w:t>
            </w:r>
          </w:p>
        </w:tc>
      </w:tr>
      <w:tr w:rsidR="00795EBF" w:rsidTr="00F344C0" w14:paraId="0B6E41F0" w14:textId="77777777">
        <w:tc>
          <w:tcPr>
            <w:tcW w:w="6844" w:type="dxa"/>
          </w:tcPr>
          <w:p w:rsidRPr="00795EBF" w:rsidR="00795EBF" w:rsidP="00795EBF" w:rsidRDefault="00795EBF" w14:paraId="7E08F089" w14:textId="77777777">
            <w:pPr>
              <w:autoSpaceDE/>
              <w:autoSpaceDN/>
              <w:adjustRightInd/>
              <w:rPr>
                <w:rFonts w:asciiTheme="minorHAnsi" w:hAnsiTheme="minorHAnsi" w:cstheme="minorHAnsi"/>
              </w:rPr>
            </w:pPr>
          </w:p>
        </w:tc>
        <w:tc>
          <w:tcPr>
            <w:tcW w:w="2155" w:type="dxa"/>
          </w:tcPr>
          <w:p w:rsidR="00795EBF" w:rsidP="00795EBF" w:rsidRDefault="00795EBF" w14:paraId="3800A2B1" w14:textId="77777777">
            <w:pPr>
              <w:autoSpaceDE/>
              <w:autoSpaceDN/>
              <w:adjustRightInd/>
              <w:rPr>
                <w:rFonts w:asciiTheme="minorHAnsi" w:hAnsiTheme="minorHAnsi" w:cstheme="minorHAnsi"/>
              </w:rPr>
            </w:pPr>
          </w:p>
        </w:tc>
      </w:tr>
      <w:tr w:rsidR="002B4A73" w:rsidTr="00F344C0" w14:paraId="0A4CBBE7" w14:textId="77777777">
        <w:tc>
          <w:tcPr>
            <w:tcW w:w="6844" w:type="dxa"/>
          </w:tcPr>
          <w:p w:rsidRPr="00F344C0" w:rsidR="002B4A73" w:rsidP="00795EBF" w:rsidRDefault="002B4A73" w14:paraId="170A164F" w14:textId="667544FC">
            <w:pPr>
              <w:autoSpaceDE/>
              <w:autoSpaceDN/>
              <w:adjustRightInd/>
              <w:ind w:left="245"/>
              <w:jc w:val="left"/>
              <w:rPr>
                <w:rFonts w:asciiTheme="minorHAnsi" w:hAnsiTheme="minorHAnsi" w:cstheme="minorHAnsi"/>
                <w:b/>
              </w:rPr>
            </w:pPr>
            <w:r w:rsidRPr="00F344C0">
              <w:rPr>
                <w:rFonts w:asciiTheme="minorHAnsi" w:hAnsiTheme="minorHAnsi" w:cstheme="minorHAnsi"/>
                <w:b/>
              </w:rPr>
              <w:t>NCES support contractors</w:t>
            </w:r>
          </w:p>
        </w:tc>
        <w:tc>
          <w:tcPr>
            <w:tcW w:w="2155" w:type="dxa"/>
          </w:tcPr>
          <w:p w:rsidRPr="00F344C0" w:rsidR="002B4A73" w:rsidP="00795EBF" w:rsidRDefault="002B4A73" w14:paraId="790685ED" w14:textId="6185D0CF">
            <w:pPr>
              <w:autoSpaceDE/>
              <w:autoSpaceDN/>
              <w:adjustRightInd/>
              <w:jc w:val="left"/>
              <w:rPr>
                <w:rFonts w:asciiTheme="minorHAnsi" w:hAnsiTheme="minorHAnsi" w:cstheme="minorHAnsi"/>
                <w:b/>
              </w:rPr>
            </w:pPr>
            <w:r w:rsidRPr="00F344C0">
              <w:rPr>
                <w:rFonts w:asciiTheme="minorHAnsi" w:hAnsiTheme="minorHAnsi" w:cstheme="minorHAnsi"/>
                <w:b/>
              </w:rPr>
              <w:t>$238,042</w:t>
            </w:r>
          </w:p>
        </w:tc>
      </w:tr>
      <w:tr w:rsidR="002B4A73" w:rsidTr="00F344C0" w14:paraId="2C824D20" w14:textId="77777777">
        <w:tc>
          <w:tcPr>
            <w:tcW w:w="6844" w:type="dxa"/>
          </w:tcPr>
          <w:p w:rsidR="002B4A73" w:rsidP="00795EBF" w:rsidRDefault="002B4A73" w14:paraId="2EF749F2" w14:textId="77777777">
            <w:pPr>
              <w:autoSpaceDE/>
              <w:autoSpaceDN/>
              <w:adjustRightInd/>
              <w:jc w:val="left"/>
              <w:rPr>
                <w:rFonts w:asciiTheme="minorHAnsi" w:hAnsiTheme="minorHAnsi" w:cstheme="minorHAnsi"/>
                <w:b/>
              </w:rPr>
            </w:pPr>
          </w:p>
        </w:tc>
        <w:tc>
          <w:tcPr>
            <w:tcW w:w="2155" w:type="dxa"/>
          </w:tcPr>
          <w:p w:rsidR="002B4A73" w:rsidP="00795EBF" w:rsidRDefault="002B4A73" w14:paraId="5FDC9663" w14:textId="77777777">
            <w:pPr>
              <w:autoSpaceDE/>
              <w:autoSpaceDN/>
              <w:adjustRightInd/>
              <w:jc w:val="left"/>
              <w:rPr>
                <w:rFonts w:asciiTheme="minorHAnsi" w:hAnsiTheme="minorHAnsi" w:cstheme="minorHAnsi"/>
              </w:rPr>
            </w:pPr>
          </w:p>
        </w:tc>
      </w:tr>
      <w:tr w:rsidR="00795EBF" w:rsidTr="00F344C0" w14:paraId="0D0C3D1E" w14:textId="77777777">
        <w:tc>
          <w:tcPr>
            <w:tcW w:w="6844" w:type="dxa"/>
          </w:tcPr>
          <w:p w:rsidRPr="00795EBF" w:rsidR="00795EBF" w:rsidP="00795EBF" w:rsidRDefault="00795EBF" w14:paraId="3E0F930E" w14:textId="75DD8CD9">
            <w:pPr>
              <w:autoSpaceDE/>
              <w:autoSpaceDN/>
              <w:adjustRightInd/>
              <w:jc w:val="left"/>
              <w:rPr>
                <w:rFonts w:asciiTheme="minorHAnsi" w:hAnsiTheme="minorHAnsi" w:cstheme="minorHAnsi"/>
                <w:b/>
                <w:i/>
              </w:rPr>
            </w:pPr>
            <w:r w:rsidRPr="00795EBF">
              <w:rPr>
                <w:rFonts w:asciiTheme="minorHAnsi" w:hAnsiTheme="minorHAnsi" w:cstheme="minorHAnsi"/>
                <w:b/>
                <w:i/>
              </w:rPr>
              <w:t>Total BJS and NCES estimated costs</w:t>
            </w:r>
          </w:p>
        </w:tc>
        <w:tc>
          <w:tcPr>
            <w:tcW w:w="2155" w:type="dxa"/>
          </w:tcPr>
          <w:p w:rsidRPr="00795EBF" w:rsidR="00795EBF" w:rsidP="00795EBF" w:rsidRDefault="00795EBF" w14:paraId="76895198" w14:textId="191B4F4A">
            <w:pPr>
              <w:autoSpaceDE/>
              <w:autoSpaceDN/>
              <w:adjustRightInd/>
              <w:jc w:val="left"/>
              <w:rPr>
                <w:rFonts w:asciiTheme="minorHAnsi" w:hAnsiTheme="minorHAnsi" w:cstheme="minorHAnsi"/>
                <w:b/>
                <w:i/>
              </w:rPr>
            </w:pPr>
            <w:r w:rsidRPr="00795EBF">
              <w:rPr>
                <w:rFonts w:asciiTheme="minorHAnsi" w:hAnsiTheme="minorHAnsi" w:cstheme="minorHAnsi"/>
                <w:b/>
                <w:i/>
              </w:rPr>
              <w:t>$388,796</w:t>
            </w:r>
          </w:p>
        </w:tc>
      </w:tr>
      <w:tr w:rsidR="00795EBF" w:rsidTr="00F344C0" w14:paraId="3BB74C7C" w14:textId="77777777">
        <w:tc>
          <w:tcPr>
            <w:tcW w:w="6844" w:type="dxa"/>
          </w:tcPr>
          <w:p w:rsidR="00795EBF" w:rsidP="00795EBF" w:rsidRDefault="00795EBF" w14:paraId="6AA860BB" w14:textId="77777777">
            <w:pPr>
              <w:autoSpaceDE/>
              <w:autoSpaceDN/>
              <w:adjustRightInd/>
              <w:rPr>
                <w:rFonts w:asciiTheme="minorHAnsi" w:hAnsiTheme="minorHAnsi" w:cstheme="minorHAnsi"/>
                <w:b/>
              </w:rPr>
            </w:pPr>
          </w:p>
        </w:tc>
        <w:tc>
          <w:tcPr>
            <w:tcW w:w="2155" w:type="dxa"/>
          </w:tcPr>
          <w:p w:rsidR="00795EBF" w:rsidP="00795EBF" w:rsidRDefault="00795EBF" w14:paraId="5893DDF8" w14:textId="77777777">
            <w:pPr>
              <w:autoSpaceDE/>
              <w:autoSpaceDN/>
              <w:adjustRightInd/>
              <w:jc w:val="left"/>
              <w:rPr>
                <w:rFonts w:asciiTheme="minorHAnsi" w:hAnsiTheme="minorHAnsi" w:cstheme="minorHAnsi"/>
              </w:rPr>
            </w:pPr>
          </w:p>
        </w:tc>
      </w:tr>
      <w:tr w:rsidR="002B4A73" w:rsidTr="00F344C0" w14:paraId="5280E39B" w14:textId="77777777">
        <w:tc>
          <w:tcPr>
            <w:tcW w:w="6844" w:type="dxa"/>
          </w:tcPr>
          <w:p w:rsidR="002B4A73" w:rsidP="00795EBF" w:rsidRDefault="002B4A73" w14:paraId="33E60562" w14:textId="4C62BFEC">
            <w:pPr>
              <w:autoSpaceDE/>
              <w:autoSpaceDN/>
              <w:adjustRightInd/>
              <w:jc w:val="left"/>
              <w:rPr>
                <w:rFonts w:asciiTheme="minorHAnsi" w:hAnsiTheme="minorHAnsi" w:cstheme="minorHAnsi"/>
                <w:b/>
              </w:rPr>
            </w:pPr>
            <w:r>
              <w:rPr>
                <w:rFonts w:asciiTheme="minorHAnsi" w:hAnsiTheme="minorHAnsi" w:cstheme="minorHAnsi"/>
                <w:b/>
              </w:rPr>
              <w:t>Census estimated costs</w:t>
            </w:r>
          </w:p>
        </w:tc>
        <w:tc>
          <w:tcPr>
            <w:tcW w:w="2155" w:type="dxa"/>
          </w:tcPr>
          <w:p w:rsidR="002B4A73" w:rsidP="00795EBF" w:rsidRDefault="002B4A73" w14:paraId="1A693E1F" w14:textId="77777777">
            <w:pPr>
              <w:autoSpaceDE/>
              <w:autoSpaceDN/>
              <w:adjustRightInd/>
              <w:jc w:val="left"/>
              <w:rPr>
                <w:rFonts w:asciiTheme="minorHAnsi" w:hAnsiTheme="minorHAnsi" w:cstheme="minorHAnsi"/>
              </w:rPr>
            </w:pPr>
          </w:p>
        </w:tc>
      </w:tr>
      <w:tr w:rsidR="002B4A73" w:rsidTr="00F344C0" w14:paraId="2BAC69F3" w14:textId="77777777">
        <w:tc>
          <w:tcPr>
            <w:tcW w:w="6844" w:type="dxa"/>
          </w:tcPr>
          <w:p w:rsidRPr="00795EBF" w:rsidR="002B4A73" w:rsidP="00795EBF" w:rsidRDefault="002B4A73" w14:paraId="71EE5421" w14:textId="13DAC2ED">
            <w:pPr>
              <w:autoSpaceDE/>
              <w:autoSpaceDN/>
              <w:adjustRightInd/>
              <w:ind w:left="245"/>
              <w:jc w:val="left"/>
              <w:rPr>
                <w:rFonts w:asciiTheme="minorHAnsi" w:hAnsiTheme="minorHAnsi" w:cstheme="minorHAnsi"/>
              </w:rPr>
            </w:pPr>
            <w:r w:rsidRPr="00795EBF">
              <w:rPr>
                <w:rFonts w:asciiTheme="minorHAnsi" w:hAnsiTheme="minorHAnsi" w:cstheme="minorHAnsi"/>
              </w:rPr>
              <w:t>CBSM (questionnaire cognitive testing/expert review)</w:t>
            </w:r>
          </w:p>
        </w:tc>
        <w:tc>
          <w:tcPr>
            <w:tcW w:w="2155" w:type="dxa"/>
          </w:tcPr>
          <w:p w:rsidR="002B4A73" w:rsidP="00795EBF" w:rsidRDefault="002B4A73" w14:paraId="5F1E6242" w14:textId="695366B8">
            <w:pPr>
              <w:autoSpaceDE/>
              <w:autoSpaceDN/>
              <w:adjustRightInd/>
              <w:jc w:val="left"/>
              <w:rPr>
                <w:rFonts w:asciiTheme="minorHAnsi" w:hAnsiTheme="minorHAnsi" w:cstheme="minorHAnsi"/>
              </w:rPr>
            </w:pPr>
            <w:r>
              <w:rPr>
                <w:rFonts w:asciiTheme="minorHAnsi" w:hAnsiTheme="minorHAnsi" w:cstheme="minorHAnsi"/>
              </w:rPr>
              <w:t>$115,783</w:t>
            </w:r>
          </w:p>
        </w:tc>
      </w:tr>
      <w:tr w:rsidR="002B4A73" w:rsidTr="00F344C0" w14:paraId="5F91FF7A" w14:textId="77777777">
        <w:tc>
          <w:tcPr>
            <w:tcW w:w="6844" w:type="dxa"/>
          </w:tcPr>
          <w:p w:rsidRPr="00795EBF" w:rsidR="002B4A73" w:rsidP="00795EBF" w:rsidRDefault="002B4A73" w14:paraId="5FF06F11" w14:textId="079FC3C3">
            <w:pPr>
              <w:autoSpaceDE/>
              <w:autoSpaceDN/>
              <w:adjustRightInd/>
              <w:ind w:left="245"/>
              <w:jc w:val="left"/>
              <w:rPr>
                <w:rFonts w:asciiTheme="minorHAnsi" w:hAnsiTheme="minorHAnsi" w:cstheme="minorHAnsi"/>
              </w:rPr>
            </w:pPr>
            <w:r w:rsidRPr="00795EBF">
              <w:rPr>
                <w:rFonts w:asciiTheme="minorHAnsi" w:hAnsiTheme="minorHAnsi" w:cstheme="minorHAnsi"/>
              </w:rPr>
              <w:t>DSMD (sample design and estimation)</w:t>
            </w:r>
          </w:p>
        </w:tc>
        <w:tc>
          <w:tcPr>
            <w:tcW w:w="2155" w:type="dxa"/>
          </w:tcPr>
          <w:p w:rsidR="002B4A73" w:rsidP="00795EBF" w:rsidRDefault="002B4A73" w14:paraId="25E1B964" w14:textId="32034ED6">
            <w:pPr>
              <w:autoSpaceDE/>
              <w:autoSpaceDN/>
              <w:adjustRightInd/>
              <w:jc w:val="left"/>
              <w:rPr>
                <w:rFonts w:asciiTheme="minorHAnsi" w:hAnsiTheme="minorHAnsi" w:cstheme="minorHAnsi"/>
              </w:rPr>
            </w:pPr>
            <w:r>
              <w:rPr>
                <w:rFonts w:asciiTheme="minorHAnsi" w:hAnsiTheme="minorHAnsi" w:cstheme="minorHAnsi"/>
              </w:rPr>
              <w:t>$74,528</w:t>
            </w:r>
          </w:p>
        </w:tc>
      </w:tr>
      <w:tr w:rsidR="002B4A73" w:rsidTr="00F344C0" w14:paraId="297A2159" w14:textId="77777777">
        <w:tc>
          <w:tcPr>
            <w:tcW w:w="6844" w:type="dxa"/>
          </w:tcPr>
          <w:p w:rsidRPr="00795EBF" w:rsidR="002B4A73" w:rsidP="00795EBF" w:rsidRDefault="002B4A73" w14:paraId="2D174D0C" w14:textId="2DDA9B01">
            <w:pPr>
              <w:autoSpaceDE/>
              <w:autoSpaceDN/>
              <w:adjustRightInd/>
              <w:ind w:left="245"/>
              <w:jc w:val="left"/>
              <w:rPr>
                <w:rFonts w:asciiTheme="minorHAnsi" w:hAnsiTheme="minorHAnsi" w:cstheme="minorHAnsi"/>
              </w:rPr>
            </w:pPr>
            <w:r w:rsidRPr="00795EBF">
              <w:rPr>
                <w:rFonts w:asciiTheme="minorHAnsi" w:hAnsiTheme="minorHAnsi" w:cstheme="minorHAnsi"/>
              </w:rPr>
              <w:t>ADSD (instrument development)</w:t>
            </w:r>
          </w:p>
        </w:tc>
        <w:tc>
          <w:tcPr>
            <w:tcW w:w="2155" w:type="dxa"/>
          </w:tcPr>
          <w:p w:rsidR="002B4A73" w:rsidP="00795EBF" w:rsidRDefault="002B4A73" w14:paraId="71F39A7A" w14:textId="68426A10">
            <w:pPr>
              <w:autoSpaceDE/>
              <w:autoSpaceDN/>
              <w:adjustRightInd/>
              <w:jc w:val="left"/>
              <w:rPr>
                <w:rFonts w:asciiTheme="minorHAnsi" w:hAnsiTheme="minorHAnsi" w:cstheme="minorHAnsi"/>
              </w:rPr>
            </w:pPr>
            <w:r>
              <w:rPr>
                <w:rFonts w:asciiTheme="minorHAnsi" w:hAnsiTheme="minorHAnsi" w:cstheme="minorHAnsi"/>
              </w:rPr>
              <w:t>$79,201</w:t>
            </w:r>
          </w:p>
        </w:tc>
      </w:tr>
      <w:tr w:rsidR="002B4A73" w:rsidTr="00F344C0" w14:paraId="69F661EE" w14:textId="77777777">
        <w:tc>
          <w:tcPr>
            <w:tcW w:w="6844" w:type="dxa"/>
          </w:tcPr>
          <w:p w:rsidRPr="00795EBF" w:rsidR="002B4A73" w:rsidP="00795EBF" w:rsidRDefault="002B4A73" w14:paraId="60A7183F" w14:textId="282AA7A5">
            <w:pPr>
              <w:autoSpaceDE/>
              <w:autoSpaceDN/>
              <w:adjustRightInd/>
              <w:ind w:left="245"/>
              <w:jc w:val="left"/>
              <w:rPr>
                <w:rFonts w:asciiTheme="minorHAnsi" w:hAnsiTheme="minorHAnsi" w:cstheme="minorHAnsi"/>
              </w:rPr>
            </w:pPr>
            <w:r w:rsidRPr="00795EBF">
              <w:rPr>
                <w:rFonts w:asciiTheme="minorHAnsi" w:hAnsiTheme="minorHAnsi" w:cstheme="minorHAnsi"/>
              </w:rPr>
              <w:t>DSD (data processing)</w:t>
            </w:r>
          </w:p>
        </w:tc>
        <w:tc>
          <w:tcPr>
            <w:tcW w:w="2155" w:type="dxa"/>
          </w:tcPr>
          <w:p w:rsidR="002B4A73" w:rsidP="00795EBF" w:rsidRDefault="002B4A73" w14:paraId="055A0820" w14:textId="55313646">
            <w:pPr>
              <w:autoSpaceDE/>
              <w:autoSpaceDN/>
              <w:adjustRightInd/>
              <w:jc w:val="left"/>
              <w:rPr>
                <w:rFonts w:asciiTheme="minorHAnsi" w:hAnsiTheme="minorHAnsi" w:cstheme="minorHAnsi"/>
              </w:rPr>
            </w:pPr>
            <w:r>
              <w:rPr>
                <w:rFonts w:asciiTheme="minorHAnsi" w:hAnsiTheme="minorHAnsi" w:cstheme="minorHAnsi"/>
              </w:rPr>
              <w:t>$165,475</w:t>
            </w:r>
          </w:p>
        </w:tc>
      </w:tr>
      <w:tr w:rsidR="002B4A73" w:rsidTr="00F344C0" w14:paraId="3ED7E1E8" w14:textId="77777777">
        <w:tc>
          <w:tcPr>
            <w:tcW w:w="6844" w:type="dxa"/>
          </w:tcPr>
          <w:p w:rsidRPr="00795EBF" w:rsidR="002B4A73" w:rsidP="00795EBF" w:rsidRDefault="002B4A73" w14:paraId="646347C0" w14:textId="0537D41D">
            <w:pPr>
              <w:autoSpaceDE/>
              <w:autoSpaceDN/>
              <w:adjustRightInd/>
              <w:ind w:left="245"/>
              <w:jc w:val="left"/>
              <w:rPr>
                <w:rFonts w:asciiTheme="minorHAnsi" w:hAnsiTheme="minorHAnsi" w:cstheme="minorHAnsi"/>
              </w:rPr>
            </w:pPr>
            <w:r w:rsidRPr="00795EBF">
              <w:rPr>
                <w:rFonts w:asciiTheme="minorHAnsi" w:hAnsiTheme="minorHAnsi" w:cstheme="minorHAnsi"/>
              </w:rPr>
              <w:t>FLD (data collection)</w:t>
            </w:r>
          </w:p>
        </w:tc>
        <w:tc>
          <w:tcPr>
            <w:tcW w:w="2155" w:type="dxa"/>
          </w:tcPr>
          <w:p w:rsidR="002B4A73" w:rsidP="00795EBF" w:rsidRDefault="002B4A73" w14:paraId="4FC47561" w14:textId="4001285F">
            <w:pPr>
              <w:autoSpaceDE/>
              <w:autoSpaceDN/>
              <w:adjustRightInd/>
              <w:jc w:val="left"/>
              <w:rPr>
                <w:rFonts w:asciiTheme="minorHAnsi" w:hAnsiTheme="minorHAnsi" w:cstheme="minorHAnsi"/>
              </w:rPr>
            </w:pPr>
            <w:r>
              <w:rPr>
                <w:rFonts w:asciiTheme="minorHAnsi" w:hAnsiTheme="minorHAnsi" w:cstheme="minorHAnsi"/>
              </w:rPr>
              <w:t>$284,538</w:t>
            </w:r>
          </w:p>
        </w:tc>
      </w:tr>
      <w:tr w:rsidR="002B4A73" w:rsidTr="00F344C0" w14:paraId="13BC3A61" w14:textId="77777777">
        <w:tc>
          <w:tcPr>
            <w:tcW w:w="6844" w:type="dxa"/>
          </w:tcPr>
          <w:p w:rsidRPr="00795EBF" w:rsidR="002B4A73" w:rsidP="00795EBF" w:rsidRDefault="00795EBF" w14:paraId="3BB8E87A" w14:textId="62347ED9">
            <w:pPr>
              <w:autoSpaceDE/>
              <w:autoSpaceDN/>
              <w:adjustRightInd/>
              <w:ind w:left="245"/>
              <w:jc w:val="left"/>
              <w:rPr>
                <w:rFonts w:asciiTheme="minorHAnsi" w:hAnsiTheme="minorHAnsi" w:cstheme="minorHAnsi"/>
              </w:rPr>
            </w:pPr>
            <w:r w:rsidRPr="00795EBF">
              <w:rPr>
                <w:rFonts w:asciiTheme="minorHAnsi" w:hAnsiTheme="minorHAnsi" w:cstheme="minorHAnsi"/>
              </w:rPr>
              <w:t>ADDP (survey operations and project management)</w:t>
            </w:r>
          </w:p>
        </w:tc>
        <w:tc>
          <w:tcPr>
            <w:tcW w:w="2155" w:type="dxa"/>
          </w:tcPr>
          <w:p w:rsidR="002B4A73" w:rsidP="00795EBF" w:rsidRDefault="00795EBF" w14:paraId="3FBB691C" w14:textId="3A26A24B">
            <w:pPr>
              <w:autoSpaceDE/>
              <w:autoSpaceDN/>
              <w:adjustRightInd/>
              <w:jc w:val="left"/>
              <w:rPr>
                <w:rFonts w:asciiTheme="minorHAnsi" w:hAnsiTheme="minorHAnsi" w:cstheme="minorHAnsi"/>
              </w:rPr>
            </w:pPr>
            <w:r>
              <w:rPr>
                <w:rFonts w:asciiTheme="minorHAnsi" w:hAnsiTheme="minorHAnsi" w:cstheme="minorHAnsi"/>
              </w:rPr>
              <w:t>$351,161</w:t>
            </w:r>
          </w:p>
        </w:tc>
      </w:tr>
      <w:tr w:rsidR="00795EBF" w:rsidTr="00F344C0" w14:paraId="0EBFDF7E" w14:textId="77777777">
        <w:tc>
          <w:tcPr>
            <w:tcW w:w="6844" w:type="dxa"/>
          </w:tcPr>
          <w:p w:rsidRPr="00795EBF" w:rsidR="00795EBF" w:rsidP="00795EBF" w:rsidRDefault="00795EBF" w14:paraId="0AC6097F" w14:textId="6733200E">
            <w:pPr>
              <w:autoSpaceDE/>
              <w:autoSpaceDN/>
              <w:adjustRightInd/>
              <w:jc w:val="left"/>
              <w:rPr>
                <w:rFonts w:asciiTheme="minorHAnsi" w:hAnsiTheme="minorHAnsi" w:cstheme="minorHAnsi"/>
                <w:b/>
                <w:i/>
              </w:rPr>
            </w:pPr>
            <w:r w:rsidRPr="00795EBF">
              <w:rPr>
                <w:rFonts w:asciiTheme="minorHAnsi" w:hAnsiTheme="minorHAnsi" w:cstheme="minorHAnsi"/>
                <w:b/>
                <w:i/>
              </w:rPr>
              <w:t>Total Census estimated costs</w:t>
            </w:r>
          </w:p>
        </w:tc>
        <w:tc>
          <w:tcPr>
            <w:tcW w:w="2155" w:type="dxa"/>
          </w:tcPr>
          <w:p w:rsidRPr="00795EBF" w:rsidR="00795EBF" w:rsidP="00795EBF" w:rsidRDefault="00795EBF" w14:paraId="6A670F39" w14:textId="753B3F32">
            <w:pPr>
              <w:autoSpaceDE/>
              <w:autoSpaceDN/>
              <w:adjustRightInd/>
              <w:jc w:val="left"/>
              <w:rPr>
                <w:rFonts w:asciiTheme="minorHAnsi" w:hAnsiTheme="minorHAnsi" w:cstheme="minorHAnsi"/>
                <w:b/>
                <w:i/>
              </w:rPr>
            </w:pPr>
            <w:r w:rsidRPr="00795EBF">
              <w:rPr>
                <w:rFonts w:asciiTheme="minorHAnsi" w:hAnsiTheme="minorHAnsi" w:cstheme="minorHAnsi"/>
                <w:b/>
                <w:i/>
              </w:rPr>
              <w:t>$1,070,686</w:t>
            </w:r>
          </w:p>
        </w:tc>
      </w:tr>
      <w:tr w:rsidR="00795EBF" w:rsidTr="00F344C0" w14:paraId="61A524BF" w14:textId="77777777">
        <w:tc>
          <w:tcPr>
            <w:tcW w:w="6844" w:type="dxa"/>
          </w:tcPr>
          <w:p w:rsidR="00795EBF" w:rsidP="00795EBF" w:rsidRDefault="00795EBF" w14:paraId="54CC8085" w14:textId="77777777">
            <w:pPr>
              <w:autoSpaceDE/>
              <w:autoSpaceDN/>
              <w:adjustRightInd/>
              <w:jc w:val="left"/>
              <w:rPr>
                <w:rFonts w:asciiTheme="minorHAnsi" w:hAnsiTheme="minorHAnsi" w:cstheme="minorHAnsi"/>
                <w:b/>
              </w:rPr>
            </w:pPr>
          </w:p>
        </w:tc>
        <w:tc>
          <w:tcPr>
            <w:tcW w:w="2155" w:type="dxa"/>
          </w:tcPr>
          <w:p w:rsidR="00795EBF" w:rsidP="00795EBF" w:rsidRDefault="00795EBF" w14:paraId="446B40E3" w14:textId="77777777">
            <w:pPr>
              <w:autoSpaceDE/>
              <w:autoSpaceDN/>
              <w:adjustRightInd/>
              <w:jc w:val="left"/>
              <w:rPr>
                <w:rFonts w:asciiTheme="minorHAnsi" w:hAnsiTheme="minorHAnsi" w:cstheme="minorHAnsi"/>
              </w:rPr>
            </w:pPr>
          </w:p>
        </w:tc>
      </w:tr>
      <w:tr w:rsidR="00795EBF" w:rsidTr="00F344C0" w14:paraId="3ED8C53F" w14:textId="77777777">
        <w:tc>
          <w:tcPr>
            <w:tcW w:w="6844" w:type="dxa"/>
          </w:tcPr>
          <w:p w:rsidRPr="003B2420" w:rsidR="00795EBF" w:rsidP="00795EBF" w:rsidRDefault="00795EBF" w14:paraId="7C00B48F" w14:textId="5871BF2E">
            <w:pPr>
              <w:autoSpaceDE/>
              <w:autoSpaceDN/>
              <w:adjustRightInd/>
              <w:jc w:val="left"/>
              <w:rPr>
                <w:rFonts w:asciiTheme="minorHAnsi" w:hAnsiTheme="minorHAnsi" w:cstheme="minorHAnsi"/>
                <w:b/>
                <w:i/>
              </w:rPr>
            </w:pPr>
            <w:r w:rsidRPr="003B2420">
              <w:rPr>
                <w:rFonts w:asciiTheme="minorHAnsi" w:hAnsiTheme="minorHAnsi" w:cstheme="minorHAnsi"/>
                <w:b/>
                <w:i/>
              </w:rPr>
              <w:t>Total 2022 SCS estimated cost</w:t>
            </w:r>
          </w:p>
        </w:tc>
        <w:tc>
          <w:tcPr>
            <w:tcW w:w="2155" w:type="dxa"/>
          </w:tcPr>
          <w:p w:rsidRPr="003B2420" w:rsidR="00795EBF" w:rsidP="00795EBF" w:rsidRDefault="00795EBF" w14:paraId="421BC81D" w14:textId="57A93D5B">
            <w:pPr>
              <w:autoSpaceDE/>
              <w:autoSpaceDN/>
              <w:adjustRightInd/>
              <w:jc w:val="left"/>
              <w:rPr>
                <w:rFonts w:asciiTheme="minorHAnsi" w:hAnsiTheme="minorHAnsi" w:cstheme="minorHAnsi"/>
                <w:b/>
                <w:i/>
              </w:rPr>
            </w:pPr>
            <w:r w:rsidRPr="003B2420">
              <w:rPr>
                <w:rFonts w:asciiTheme="minorHAnsi" w:hAnsiTheme="minorHAnsi" w:cstheme="minorHAnsi"/>
                <w:b/>
                <w:i/>
              </w:rPr>
              <w:t>$1,459,482</w:t>
            </w:r>
          </w:p>
        </w:tc>
      </w:tr>
    </w:tbl>
    <w:p w:rsidRPr="00C4515C" w:rsidR="00C65FE0" w:rsidRDefault="00C65FE0" w14:paraId="03049AE8" w14:textId="314EBB2A">
      <w:pPr>
        <w:autoSpaceDE/>
        <w:autoSpaceDN/>
        <w:adjustRightInd/>
        <w:rPr>
          <w:rFonts w:asciiTheme="minorHAnsi" w:hAnsiTheme="minorHAnsi" w:eastAsiaTheme="minorEastAsia" w:cstheme="minorHAnsi"/>
          <w:sz w:val="22"/>
          <w:szCs w:val="22"/>
        </w:rPr>
      </w:pPr>
    </w:p>
    <w:p w:rsidRPr="00C4515C" w:rsidR="000B46DD" w:rsidP="00F83CEE" w:rsidRDefault="000B46DD" w14:paraId="49C0D2E9"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rPr>
          <w:rFonts w:asciiTheme="minorHAnsi" w:hAnsiTheme="minorHAnsi" w:cstheme="minorHAnsi"/>
          <w:sz w:val="22"/>
          <w:szCs w:val="22"/>
        </w:rPr>
      </w:pPr>
    </w:p>
    <w:p w:rsidRPr="00C4515C" w:rsidR="00F23817" w:rsidP="00F06055" w:rsidRDefault="00124757" w14:paraId="72C96F03" w14:textId="77777777">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95"/>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15.</w:t>
      </w:r>
      <w:r w:rsidRPr="00C4515C">
        <w:rPr>
          <w:rFonts w:asciiTheme="minorHAnsi" w:hAnsiTheme="minorHAnsi" w:cstheme="minorHAnsi"/>
          <w:sz w:val="22"/>
          <w:szCs w:val="22"/>
        </w:rPr>
        <w:tab/>
      </w:r>
      <w:r w:rsidRPr="00C4515C">
        <w:rPr>
          <w:rFonts w:asciiTheme="minorHAnsi" w:hAnsiTheme="minorHAnsi" w:eastAsiaTheme="minorEastAsia" w:cstheme="minorHAnsi"/>
          <w:sz w:val="22"/>
          <w:szCs w:val="22"/>
          <w:u w:val="single"/>
        </w:rPr>
        <w:t>Reasons for Changes in Burden</w:t>
      </w:r>
    </w:p>
    <w:p w:rsidRPr="00C4515C" w:rsidR="008C79F1" w:rsidP="008C79F1" w:rsidRDefault="00C95BD1" w14:paraId="58691BED" w14:textId="0410AC61">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eastAsiaTheme="minorEastAsia" w:cstheme="minorHAnsi"/>
          <w:sz w:val="22"/>
          <w:szCs w:val="22"/>
        </w:rPr>
      </w:pPr>
      <w:r w:rsidRPr="00C4515C">
        <w:rPr>
          <w:rFonts w:asciiTheme="minorHAnsi" w:hAnsiTheme="minorHAnsi" w:cstheme="minorHAnsi"/>
          <w:sz w:val="22"/>
          <w:szCs w:val="22"/>
        </w:rPr>
        <w:tab/>
      </w:r>
      <w:r w:rsidRPr="00C4515C" w:rsidR="00A7192C">
        <w:rPr>
          <w:rFonts w:asciiTheme="minorHAnsi" w:hAnsiTheme="minorHAnsi" w:eastAsiaTheme="minorEastAsia" w:cstheme="minorHAnsi"/>
          <w:sz w:val="22"/>
          <w:szCs w:val="22"/>
        </w:rPr>
        <w:t xml:space="preserve">The </w:t>
      </w:r>
      <w:r w:rsidRPr="00C4515C" w:rsidR="002A5949">
        <w:rPr>
          <w:rFonts w:asciiTheme="minorHAnsi" w:hAnsiTheme="minorHAnsi" w:eastAsiaTheme="minorEastAsia" w:cstheme="minorHAnsi"/>
          <w:sz w:val="22"/>
          <w:szCs w:val="22"/>
        </w:rPr>
        <w:t xml:space="preserve">decrease </w:t>
      </w:r>
      <w:r w:rsidRPr="00C4515C" w:rsidR="00A7192C">
        <w:rPr>
          <w:rFonts w:asciiTheme="minorHAnsi" w:hAnsiTheme="minorHAnsi" w:eastAsiaTheme="minorEastAsia" w:cstheme="minorHAnsi"/>
          <w:sz w:val="22"/>
          <w:szCs w:val="22"/>
        </w:rPr>
        <w:t xml:space="preserve">in the respondent burden from </w:t>
      </w:r>
      <w:r w:rsidRPr="00C4515C" w:rsidR="002A5949">
        <w:rPr>
          <w:rFonts w:asciiTheme="minorHAnsi" w:hAnsiTheme="minorHAnsi" w:eastAsiaTheme="minorEastAsia" w:cstheme="minorHAnsi"/>
          <w:sz w:val="22"/>
          <w:szCs w:val="22"/>
        </w:rPr>
        <w:t>2,046</w:t>
      </w:r>
      <w:r w:rsidRPr="00C4515C" w:rsidR="00925C50">
        <w:rPr>
          <w:rFonts w:asciiTheme="minorHAnsi" w:hAnsiTheme="minorHAnsi" w:eastAsiaTheme="minorEastAsia" w:cstheme="minorHAnsi"/>
          <w:sz w:val="22"/>
          <w:szCs w:val="22"/>
        </w:rPr>
        <w:t xml:space="preserve"> </w:t>
      </w:r>
      <w:r w:rsidRPr="00C4515C" w:rsidR="00A7192C">
        <w:rPr>
          <w:rFonts w:asciiTheme="minorHAnsi" w:hAnsiTheme="minorHAnsi" w:eastAsiaTheme="minorEastAsia" w:cstheme="minorHAnsi"/>
          <w:sz w:val="22"/>
          <w:szCs w:val="22"/>
        </w:rPr>
        <w:t>hours</w:t>
      </w:r>
      <w:r w:rsidRPr="00C4515C" w:rsidR="00925C50">
        <w:rPr>
          <w:rFonts w:asciiTheme="minorHAnsi" w:hAnsiTheme="minorHAnsi" w:eastAsiaTheme="minorEastAsia" w:cstheme="minorHAnsi"/>
          <w:sz w:val="22"/>
          <w:szCs w:val="22"/>
        </w:rPr>
        <w:t xml:space="preserve"> to </w:t>
      </w:r>
      <w:r w:rsidRPr="00C4515C" w:rsidR="002A5949">
        <w:rPr>
          <w:rFonts w:asciiTheme="minorHAnsi" w:hAnsiTheme="minorHAnsi" w:eastAsiaTheme="minorEastAsia" w:cstheme="minorHAnsi"/>
          <w:sz w:val="22"/>
          <w:szCs w:val="22"/>
        </w:rPr>
        <w:t>1,728</w:t>
      </w:r>
      <w:r w:rsidRPr="00C4515C" w:rsidR="002E6F82">
        <w:rPr>
          <w:rFonts w:asciiTheme="minorHAnsi" w:hAnsiTheme="minorHAnsi" w:eastAsiaTheme="minorEastAsia" w:cstheme="minorHAnsi"/>
          <w:sz w:val="22"/>
          <w:szCs w:val="22"/>
        </w:rPr>
        <w:t xml:space="preserve"> hours</w:t>
      </w:r>
      <w:r w:rsidRPr="00C4515C" w:rsidR="00A7192C">
        <w:rPr>
          <w:rFonts w:asciiTheme="minorHAnsi" w:hAnsiTheme="minorHAnsi" w:eastAsiaTheme="minorEastAsia" w:cstheme="minorHAnsi"/>
          <w:sz w:val="22"/>
          <w:szCs w:val="22"/>
        </w:rPr>
        <w:t xml:space="preserve"> is attributed to </w:t>
      </w:r>
      <w:r w:rsidRPr="00C4515C" w:rsidR="002A5949">
        <w:rPr>
          <w:rFonts w:asciiTheme="minorHAnsi" w:hAnsiTheme="minorHAnsi" w:eastAsiaTheme="minorEastAsia" w:cstheme="minorHAnsi"/>
          <w:sz w:val="22"/>
          <w:szCs w:val="22"/>
        </w:rPr>
        <w:t>a decrease in expected persons and interviews</w:t>
      </w:r>
      <w:r w:rsidRPr="00C4515C" w:rsidR="0001291A">
        <w:rPr>
          <w:rFonts w:asciiTheme="minorHAnsi" w:hAnsiTheme="minorHAnsi" w:eastAsiaTheme="minorEastAsia" w:cstheme="minorHAnsi"/>
          <w:sz w:val="22"/>
          <w:szCs w:val="22"/>
        </w:rPr>
        <w:t xml:space="preserve">. </w:t>
      </w:r>
      <w:r w:rsidRPr="00C4515C" w:rsidR="008C79F1">
        <w:rPr>
          <w:rFonts w:asciiTheme="minorHAnsi" w:hAnsiTheme="minorHAnsi" w:eastAsiaTheme="minorEastAsia" w:cstheme="minorHAnsi"/>
          <w:sz w:val="22"/>
          <w:szCs w:val="22"/>
        </w:rPr>
        <w:t xml:space="preserve">We </w:t>
      </w:r>
      <w:r w:rsidRPr="00C4515C" w:rsidR="00590F0E">
        <w:rPr>
          <w:rFonts w:asciiTheme="minorHAnsi" w:hAnsiTheme="minorHAnsi" w:eastAsiaTheme="minorEastAsia" w:cstheme="minorHAnsi"/>
          <w:sz w:val="22"/>
          <w:szCs w:val="22"/>
        </w:rPr>
        <w:t xml:space="preserve">expect </w:t>
      </w:r>
      <w:r w:rsidRPr="00C4515C" w:rsidR="005C3D0B">
        <w:rPr>
          <w:rFonts w:asciiTheme="minorHAnsi" w:hAnsiTheme="minorHAnsi" w:eastAsiaTheme="minorEastAsia" w:cstheme="minorHAnsi"/>
          <w:sz w:val="22"/>
          <w:szCs w:val="22"/>
        </w:rPr>
        <w:t xml:space="preserve">a slight decrease </w:t>
      </w:r>
      <w:r w:rsidRPr="00C4515C" w:rsidR="008C79F1">
        <w:rPr>
          <w:rFonts w:asciiTheme="minorHAnsi" w:hAnsiTheme="minorHAnsi" w:eastAsiaTheme="minorEastAsia" w:cstheme="minorHAnsi"/>
          <w:sz w:val="22"/>
          <w:szCs w:val="22"/>
        </w:rPr>
        <w:t xml:space="preserve">in the response rates and </w:t>
      </w:r>
      <w:r w:rsidRPr="00C4515C" w:rsidR="005C3D0B">
        <w:rPr>
          <w:rFonts w:asciiTheme="minorHAnsi" w:hAnsiTheme="minorHAnsi" w:eastAsiaTheme="minorEastAsia" w:cstheme="minorHAnsi"/>
          <w:sz w:val="22"/>
          <w:szCs w:val="22"/>
        </w:rPr>
        <w:t xml:space="preserve">minimal difference in the </w:t>
      </w:r>
      <w:r w:rsidRPr="00C4515C" w:rsidR="008C79F1">
        <w:rPr>
          <w:rFonts w:asciiTheme="minorHAnsi" w:hAnsiTheme="minorHAnsi" w:eastAsiaTheme="minorEastAsia" w:cstheme="minorHAnsi"/>
          <w:sz w:val="22"/>
          <w:szCs w:val="22"/>
        </w:rPr>
        <w:t xml:space="preserve">interview times between the </w:t>
      </w:r>
      <w:r w:rsidRPr="00C4515C" w:rsidR="009F6853">
        <w:rPr>
          <w:rFonts w:asciiTheme="minorHAnsi" w:hAnsiTheme="minorHAnsi" w:eastAsiaTheme="minorEastAsia" w:cstheme="minorHAnsi"/>
          <w:sz w:val="22"/>
          <w:szCs w:val="22"/>
        </w:rPr>
        <w:t xml:space="preserve">2019 </w:t>
      </w:r>
      <w:r w:rsidRPr="00C4515C" w:rsidR="008C79F1">
        <w:rPr>
          <w:rFonts w:asciiTheme="minorHAnsi" w:hAnsiTheme="minorHAnsi" w:eastAsiaTheme="minorEastAsia" w:cstheme="minorHAnsi"/>
          <w:sz w:val="22"/>
          <w:szCs w:val="22"/>
        </w:rPr>
        <w:t xml:space="preserve">SCS and </w:t>
      </w:r>
      <w:r w:rsidRPr="00C4515C" w:rsidR="003C2595">
        <w:rPr>
          <w:rFonts w:asciiTheme="minorHAnsi" w:hAnsiTheme="minorHAnsi" w:eastAsiaTheme="minorEastAsia" w:cstheme="minorHAnsi"/>
          <w:sz w:val="22"/>
          <w:szCs w:val="22"/>
        </w:rPr>
        <w:t>202</w:t>
      </w:r>
      <w:r w:rsidRPr="00C4515C" w:rsidR="000436F9">
        <w:rPr>
          <w:rFonts w:asciiTheme="minorHAnsi" w:hAnsiTheme="minorHAnsi" w:eastAsiaTheme="minorEastAsia" w:cstheme="minorHAnsi"/>
          <w:sz w:val="22"/>
          <w:szCs w:val="22"/>
        </w:rPr>
        <w:t>2</w:t>
      </w:r>
      <w:r w:rsidRPr="00C4515C" w:rsidR="008C79F1">
        <w:rPr>
          <w:rFonts w:asciiTheme="minorHAnsi" w:hAnsiTheme="minorHAnsi" w:eastAsiaTheme="minorEastAsia" w:cstheme="minorHAnsi"/>
          <w:sz w:val="22"/>
          <w:szCs w:val="22"/>
        </w:rPr>
        <w:t xml:space="preserve"> SCS.</w:t>
      </w:r>
    </w:p>
    <w:p w:rsidRPr="00C4515C" w:rsidR="008C79F1" w:rsidP="36B31C31" w:rsidRDefault="008C79F1" w14:paraId="53612837" w14:textId="3F1D9C22">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eastAsiaTheme="minorEastAsia" w:cstheme="minorHAnsi"/>
          <w:sz w:val="22"/>
          <w:szCs w:val="22"/>
        </w:rPr>
      </w:pPr>
    </w:p>
    <w:p w:rsidRPr="00C4515C" w:rsidR="00124757" w:rsidP="36B31C31" w:rsidRDefault="008C79F1" w14:paraId="34B4AEC4" w14:textId="3E890587">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ab/>
      </w:r>
      <w:r w:rsidRPr="00C4515C" w:rsidR="002E6F82">
        <w:rPr>
          <w:rFonts w:asciiTheme="minorHAnsi" w:hAnsiTheme="minorHAnsi" w:eastAsiaTheme="minorEastAsia" w:cstheme="minorHAnsi"/>
          <w:sz w:val="22"/>
          <w:szCs w:val="22"/>
        </w:rPr>
        <w:t>T</w:t>
      </w:r>
      <w:r w:rsidRPr="00C4515C" w:rsidR="00A7192C">
        <w:rPr>
          <w:rFonts w:asciiTheme="minorHAnsi" w:hAnsiTheme="minorHAnsi" w:eastAsiaTheme="minorEastAsia" w:cstheme="minorHAnsi"/>
          <w:sz w:val="22"/>
          <w:szCs w:val="22"/>
        </w:rPr>
        <w:t xml:space="preserve">he number </w:t>
      </w:r>
      <w:r w:rsidRPr="00C4515C" w:rsidR="00173275">
        <w:rPr>
          <w:rFonts w:asciiTheme="minorHAnsi" w:hAnsiTheme="minorHAnsi" w:eastAsiaTheme="minorEastAsia" w:cstheme="minorHAnsi"/>
          <w:sz w:val="22"/>
          <w:szCs w:val="22"/>
        </w:rPr>
        <w:t xml:space="preserve">of </w:t>
      </w:r>
      <w:r w:rsidRPr="00C4515C" w:rsidR="00A7192C">
        <w:rPr>
          <w:rFonts w:asciiTheme="minorHAnsi" w:hAnsiTheme="minorHAnsi" w:eastAsiaTheme="minorEastAsia" w:cstheme="minorHAnsi"/>
          <w:sz w:val="22"/>
          <w:szCs w:val="22"/>
        </w:rPr>
        <w:t>persons in the household who are 12 t</w:t>
      </w:r>
      <w:r w:rsidR="00B35354">
        <w:rPr>
          <w:rFonts w:asciiTheme="minorHAnsi" w:hAnsiTheme="minorHAnsi" w:eastAsiaTheme="minorEastAsia" w:cstheme="minorHAnsi"/>
          <w:sz w:val="22"/>
          <w:szCs w:val="22"/>
        </w:rPr>
        <w:t>o</w:t>
      </w:r>
      <w:r w:rsidRPr="00C4515C" w:rsidR="00A7192C">
        <w:rPr>
          <w:rFonts w:asciiTheme="minorHAnsi" w:hAnsiTheme="minorHAnsi" w:eastAsiaTheme="minorEastAsia" w:cstheme="minorHAnsi"/>
          <w:sz w:val="22"/>
          <w:szCs w:val="22"/>
        </w:rPr>
        <w:t xml:space="preserve"> 18 years old that will be eligible for the supplement </w:t>
      </w:r>
      <w:r w:rsidRPr="00C4515C">
        <w:rPr>
          <w:rFonts w:asciiTheme="minorHAnsi" w:hAnsiTheme="minorHAnsi" w:eastAsiaTheme="minorEastAsia" w:cstheme="minorHAnsi"/>
          <w:sz w:val="22"/>
          <w:szCs w:val="22"/>
        </w:rPr>
        <w:t>is</w:t>
      </w:r>
      <w:r w:rsidRPr="00C4515C" w:rsidR="00A7192C">
        <w:rPr>
          <w:rFonts w:asciiTheme="minorHAnsi" w:hAnsiTheme="minorHAnsi" w:eastAsiaTheme="minorEastAsia" w:cstheme="minorHAnsi"/>
          <w:sz w:val="22"/>
          <w:szCs w:val="22"/>
        </w:rPr>
        <w:t xml:space="preserve"> </w:t>
      </w:r>
      <w:r w:rsidRPr="00C4515C" w:rsidR="008758E4">
        <w:rPr>
          <w:rFonts w:asciiTheme="minorHAnsi" w:hAnsiTheme="minorHAnsi" w:eastAsiaTheme="minorEastAsia" w:cstheme="minorHAnsi"/>
          <w:sz w:val="22"/>
          <w:szCs w:val="22"/>
        </w:rPr>
        <w:t xml:space="preserve">decreasing </w:t>
      </w:r>
      <w:r w:rsidRPr="00C4515C" w:rsidR="00A7192C">
        <w:rPr>
          <w:rFonts w:asciiTheme="minorHAnsi" w:hAnsiTheme="minorHAnsi" w:eastAsiaTheme="minorEastAsia" w:cstheme="minorHAnsi"/>
          <w:sz w:val="22"/>
          <w:szCs w:val="22"/>
        </w:rPr>
        <w:t>by about</w:t>
      </w:r>
      <w:r w:rsidRPr="00C4515C" w:rsidR="00940DC7">
        <w:rPr>
          <w:rFonts w:asciiTheme="minorHAnsi" w:hAnsiTheme="minorHAnsi" w:eastAsiaTheme="minorEastAsia" w:cstheme="minorHAnsi"/>
          <w:sz w:val="22"/>
          <w:szCs w:val="22"/>
        </w:rPr>
        <w:t xml:space="preserve"> </w:t>
      </w:r>
      <w:r w:rsidRPr="00C4515C" w:rsidR="00552C59">
        <w:rPr>
          <w:rFonts w:asciiTheme="minorHAnsi" w:hAnsiTheme="minorHAnsi" w:eastAsiaTheme="minorEastAsia" w:cstheme="minorHAnsi"/>
          <w:sz w:val="22"/>
          <w:szCs w:val="22"/>
        </w:rPr>
        <w:t>1</w:t>
      </w:r>
      <w:r w:rsidRPr="00C4515C" w:rsidR="00487744">
        <w:rPr>
          <w:rFonts w:asciiTheme="minorHAnsi" w:hAnsiTheme="minorHAnsi" w:eastAsiaTheme="minorEastAsia" w:cstheme="minorHAnsi"/>
          <w:sz w:val="22"/>
          <w:szCs w:val="22"/>
        </w:rPr>
        <w:t>3</w:t>
      </w:r>
      <w:r w:rsidRPr="00C4515C" w:rsidR="00A7192C">
        <w:rPr>
          <w:rFonts w:asciiTheme="minorHAnsi" w:hAnsiTheme="minorHAnsi" w:eastAsiaTheme="minorEastAsia" w:cstheme="minorHAnsi"/>
          <w:sz w:val="22"/>
          <w:szCs w:val="22"/>
        </w:rPr>
        <w:t xml:space="preserve">% from </w:t>
      </w:r>
      <w:r w:rsidRPr="00C4515C" w:rsidR="008758E4">
        <w:rPr>
          <w:rFonts w:asciiTheme="minorHAnsi" w:hAnsiTheme="minorHAnsi" w:eastAsiaTheme="minorEastAsia" w:cstheme="minorHAnsi"/>
          <w:sz w:val="22"/>
          <w:szCs w:val="22"/>
        </w:rPr>
        <w:t>16,133</w:t>
      </w:r>
      <w:r w:rsidRPr="00C4515C" w:rsidR="00A7192C">
        <w:rPr>
          <w:rFonts w:asciiTheme="minorHAnsi" w:hAnsiTheme="minorHAnsi" w:eastAsiaTheme="minorEastAsia" w:cstheme="minorHAnsi"/>
          <w:sz w:val="22"/>
          <w:szCs w:val="22"/>
        </w:rPr>
        <w:t xml:space="preserve"> respondents in </w:t>
      </w:r>
      <w:r w:rsidRPr="00C4515C" w:rsidR="009F6853">
        <w:rPr>
          <w:rFonts w:asciiTheme="minorHAnsi" w:hAnsiTheme="minorHAnsi" w:eastAsiaTheme="minorEastAsia" w:cstheme="minorHAnsi"/>
          <w:sz w:val="22"/>
          <w:szCs w:val="22"/>
        </w:rPr>
        <w:t xml:space="preserve">2019 </w:t>
      </w:r>
      <w:r w:rsidRPr="00C4515C" w:rsidR="00A7192C">
        <w:rPr>
          <w:rFonts w:asciiTheme="minorHAnsi" w:hAnsiTheme="minorHAnsi" w:eastAsiaTheme="minorEastAsia" w:cstheme="minorHAnsi"/>
          <w:sz w:val="22"/>
          <w:szCs w:val="22"/>
        </w:rPr>
        <w:t xml:space="preserve">to about </w:t>
      </w:r>
      <w:r w:rsidRPr="00C4515C" w:rsidR="008758E4">
        <w:rPr>
          <w:rFonts w:asciiTheme="minorHAnsi" w:hAnsiTheme="minorHAnsi" w:eastAsiaTheme="minorEastAsia" w:cstheme="minorHAnsi"/>
          <w:sz w:val="22"/>
          <w:szCs w:val="22"/>
        </w:rPr>
        <w:t>13,992</w:t>
      </w:r>
      <w:r w:rsidRPr="00C4515C" w:rsidR="00873EC7">
        <w:rPr>
          <w:rFonts w:asciiTheme="minorHAnsi" w:hAnsiTheme="minorHAnsi" w:eastAsiaTheme="minorEastAsia" w:cstheme="minorHAnsi"/>
          <w:sz w:val="22"/>
          <w:szCs w:val="22"/>
        </w:rPr>
        <w:t xml:space="preserve"> </w:t>
      </w:r>
      <w:r w:rsidRPr="00C4515C" w:rsidR="00A7192C">
        <w:rPr>
          <w:rFonts w:asciiTheme="minorHAnsi" w:hAnsiTheme="minorHAnsi" w:eastAsiaTheme="minorEastAsia" w:cstheme="minorHAnsi"/>
          <w:sz w:val="22"/>
          <w:szCs w:val="22"/>
        </w:rPr>
        <w:t xml:space="preserve">respondents in </w:t>
      </w:r>
      <w:r w:rsidRPr="00C4515C" w:rsidR="003C2595">
        <w:rPr>
          <w:rFonts w:asciiTheme="minorHAnsi" w:hAnsiTheme="minorHAnsi" w:eastAsiaTheme="minorEastAsia" w:cstheme="minorHAnsi"/>
          <w:sz w:val="22"/>
          <w:szCs w:val="22"/>
        </w:rPr>
        <w:t>202</w:t>
      </w:r>
      <w:r w:rsidRPr="00C4515C" w:rsidR="000436F9">
        <w:rPr>
          <w:rFonts w:asciiTheme="minorHAnsi" w:hAnsiTheme="minorHAnsi" w:eastAsiaTheme="minorEastAsia" w:cstheme="minorHAnsi"/>
          <w:sz w:val="22"/>
          <w:szCs w:val="22"/>
        </w:rPr>
        <w:t>2</w:t>
      </w:r>
      <w:r w:rsidR="00196050">
        <w:rPr>
          <w:rFonts w:asciiTheme="minorHAnsi" w:hAnsiTheme="minorHAnsi" w:eastAsiaTheme="minorEastAsia" w:cstheme="minorHAnsi"/>
          <w:sz w:val="22"/>
          <w:szCs w:val="22"/>
        </w:rPr>
        <w:t xml:space="preserve"> because of the</w:t>
      </w:r>
      <w:r w:rsidRPr="00C4515C" w:rsidR="00A7192C">
        <w:rPr>
          <w:rFonts w:asciiTheme="minorHAnsi" w:hAnsiTheme="minorHAnsi" w:eastAsiaTheme="minorEastAsia" w:cstheme="minorHAnsi"/>
          <w:sz w:val="22"/>
          <w:szCs w:val="22"/>
        </w:rPr>
        <w:t xml:space="preserve"> </w:t>
      </w:r>
      <w:r w:rsidRPr="00C4515C" w:rsidR="005C3D0B">
        <w:rPr>
          <w:rFonts w:asciiTheme="minorHAnsi" w:hAnsiTheme="minorHAnsi" w:eastAsiaTheme="minorEastAsia" w:cstheme="minorHAnsi"/>
          <w:sz w:val="22"/>
          <w:szCs w:val="22"/>
        </w:rPr>
        <w:t>decrease in expected interviewed households and eligible persons</w:t>
      </w:r>
      <w:r w:rsidR="00E04029">
        <w:rPr>
          <w:rFonts w:asciiTheme="minorHAnsi" w:hAnsiTheme="minorHAnsi" w:eastAsiaTheme="minorEastAsia" w:cstheme="minorHAnsi"/>
          <w:sz w:val="22"/>
          <w:szCs w:val="22"/>
        </w:rPr>
        <w:t xml:space="preserve"> as survey response rates decrease over time</w:t>
      </w:r>
      <w:r w:rsidRPr="00C4515C" w:rsidR="00824800">
        <w:rPr>
          <w:rFonts w:asciiTheme="minorHAnsi" w:hAnsiTheme="minorHAnsi" w:eastAsiaTheme="minorEastAsia" w:cstheme="minorHAnsi"/>
          <w:sz w:val="22"/>
          <w:szCs w:val="22"/>
        </w:rPr>
        <w:t>.</w:t>
      </w:r>
      <w:r w:rsidRPr="00C4515C" w:rsidR="0001291A">
        <w:rPr>
          <w:rFonts w:asciiTheme="minorHAnsi" w:hAnsiTheme="minorHAnsi" w:eastAsiaTheme="minorEastAsia" w:cstheme="minorHAnsi"/>
          <w:sz w:val="22"/>
          <w:szCs w:val="22"/>
        </w:rPr>
        <w:t xml:space="preserve"> </w:t>
      </w:r>
    </w:p>
    <w:p w:rsidRPr="00C4515C" w:rsidR="005C3D0B" w:rsidP="0011234A" w:rsidRDefault="005C3D0B" w14:paraId="02B7AC91" w14:textId="77777777">
      <w:pPr>
        <w:autoSpaceDE/>
        <w:autoSpaceDN/>
        <w:adjustRightInd/>
        <w:rPr>
          <w:rFonts w:asciiTheme="minorHAnsi" w:hAnsiTheme="minorHAnsi" w:cstheme="minorHAnsi"/>
          <w:sz w:val="22"/>
          <w:szCs w:val="22"/>
        </w:rPr>
      </w:pPr>
    </w:p>
    <w:p w:rsidRPr="000B46DD" w:rsidR="000B46DD" w:rsidP="000B46DD" w:rsidRDefault="00124757" w14:paraId="0702DA10" w14:textId="3F0D70F4">
      <w:pPr>
        <w:tabs>
          <w:tab w:val="left" w:pos="45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385"/>
        <w:rPr>
          <w:rFonts w:asciiTheme="minorHAnsi" w:hAnsiTheme="minorHAnsi" w:eastAsiaTheme="minorEastAsia" w:cstheme="minorHAnsi"/>
          <w:sz w:val="22"/>
          <w:szCs w:val="22"/>
          <w:u w:val="single"/>
        </w:rPr>
      </w:pPr>
      <w:r w:rsidRPr="00C4515C">
        <w:rPr>
          <w:rFonts w:asciiTheme="minorHAnsi" w:hAnsiTheme="minorHAnsi" w:eastAsiaTheme="minorEastAsia" w:cstheme="minorHAnsi"/>
          <w:sz w:val="22"/>
          <w:szCs w:val="22"/>
        </w:rPr>
        <w:t>16.</w:t>
      </w:r>
      <w:r w:rsidRPr="00C4515C" w:rsidR="00F06055">
        <w:rPr>
          <w:rFonts w:asciiTheme="minorHAnsi" w:hAnsiTheme="minorHAnsi" w:eastAsiaTheme="minorEastAsia" w:cstheme="minorHAnsi"/>
          <w:sz w:val="22"/>
          <w:szCs w:val="22"/>
        </w:rPr>
        <w:t xml:space="preserve"> </w:t>
      </w:r>
      <w:r w:rsidRPr="00C4515C" w:rsidR="001526FB">
        <w:rPr>
          <w:rFonts w:asciiTheme="minorHAnsi" w:hAnsiTheme="minorHAnsi" w:eastAsiaTheme="minorEastAsia" w:cstheme="minorHAnsi"/>
          <w:sz w:val="22"/>
          <w:szCs w:val="22"/>
          <w:u w:val="single"/>
        </w:rPr>
        <w:t>Project Schedule and Publication Plans</w:t>
      </w:r>
    </w:p>
    <w:p w:rsidRPr="00C4515C" w:rsidR="00DA2C32" w:rsidP="00F06055" w:rsidRDefault="00544614" w14:paraId="1C720CE8" w14:textId="05682291">
      <w:pPr>
        <w:spacing w:after="240" w:afterAutospacing="1"/>
        <w:ind w:left="540"/>
        <w:contextualSpacing/>
        <w:rPr>
          <w:rFonts w:asciiTheme="minorHAnsi" w:hAnsiTheme="minorHAnsi" w:eastAsiaTheme="majorEastAsia" w:cstheme="minorHAnsi"/>
          <w:b/>
          <w:bCs/>
          <w:sz w:val="22"/>
          <w:szCs w:val="22"/>
        </w:rPr>
      </w:pPr>
      <w:r w:rsidRPr="00C4515C">
        <w:rPr>
          <w:rFonts w:asciiTheme="minorHAnsi" w:hAnsiTheme="minorHAnsi" w:eastAsiaTheme="minorEastAsia" w:cstheme="minorHAnsi"/>
          <w:b/>
          <w:bCs/>
          <w:sz w:val="22"/>
          <w:szCs w:val="22"/>
        </w:rPr>
        <w:t>20</w:t>
      </w:r>
      <w:r w:rsidRPr="00C4515C" w:rsidR="00FF0E8E">
        <w:rPr>
          <w:rFonts w:asciiTheme="minorHAnsi" w:hAnsiTheme="minorHAnsi" w:eastAsiaTheme="minorEastAsia" w:cstheme="minorHAnsi"/>
          <w:b/>
          <w:bCs/>
          <w:sz w:val="22"/>
          <w:szCs w:val="22"/>
        </w:rPr>
        <w:t xml:space="preserve">22 </w:t>
      </w:r>
      <w:r w:rsidRPr="00C4515C" w:rsidR="002E52A5">
        <w:rPr>
          <w:rFonts w:asciiTheme="minorHAnsi" w:hAnsiTheme="minorHAnsi" w:eastAsiaTheme="minorEastAsia" w:cstheme="minorHAnsi"/>
          <w:b/>
          <w:bCs/>
          <w:sz w:val="22"/>
          <w:szCs w:val="22"/>
        </w:rPr>
        <w:t>SCS</w:t>
      </w:r>
    </w:p>
    <w:p w:rsidRPr="00441C51" w:rsidR="00441C51" w:rsidP="00441C51" w:rsidRDefault="00441C51" w14:paraId="67595A4A" w14:textId="7A8BD0B1">
      <w:pPr>
        <w:spacing w:after="240" w:afterAutospacing="1"/>
        <w:ind w:left="540"/>
        <w:contextualSpacing/>
        <w:rPr>
          <w:rFonts w:asciiTheme="minorHAnsi" w:hAnsiTheme="minorHAnsi" w:eastAsiaTheme="minorEastAsia" w:cstheme="minorHAnsi"/>
          <w:sz w:val="22"/>
          <w:szCs w:val="22"/>
        </w:rPr>
      </w:pPr>
      <w:r w:rsidRPr="00441C51">
        <w:rPr>
          <w:rFonts w:asciiTheme="minorHAnsi" w:hAnsiTheme="minorHAnsi" w:eastAsiaTheme="minorEastAsia" w:cstheme="minorHAnsi"/>
          <w:sz w:val="22"/>
          <w:szCs w:val="22"/>
        </w:rPr>
        <w:t>The schedule for the 202</w:t>
      </w:r>
      <w:r>
        <w:rPr>
          <w:rFonts w:asciiTheme="minorHAnsi" w:hAnsiTheme="minorHAnsi" w:eastAsiaTheme="minorEastAsia" w:cstheme="minorHAnsi"/>
          <w:sz w:val="22"/>
          <w:szCs w:val="22"/>
        </w:rPr>
        <w:t>2</w:t>
      </w:r>
      <w:r w:rsidRPr="00441C51">
        <w:rPr>
          <w:rFonts w:asciiTheme="minorHAnsi" w:hAnsiTheme="minorHAnsi" w:eastAsiaTheme="minorEastAsia" w:cstheme="minorHAnsi"/>
          <w:sz w:val="22"/>
          <w:szCs w:val="22"/>
        </w:rPr>
        <w:t xml:space="preserve"> </w:t>
      </w:r>
      <w:r>
        <w:rPr>
          <w:rFonts w:asciiTheme="minorHAnsi" w:hAnsiTheme="minorHAnsi" w:eastAsiaTheme="minorEastAsia" w:cstheme="minorHAnsi"/>
          <w:sz w:val="22"/>
          <w:szCs w:val="22"/>
        </w:rPr>
        <w:t>SCS</w:t>
      </w:r>
      <w:r w:rsidRPr="00441C51">
        <w:rPr>
          <w:rFonts w:asciiTheme="minorHAnsi" w:hAnsiTheme="minorHAnsi" w:eastAsiaTheme="minorEastAsia" w:cstheme="minorHAnsi"/>
          <w:sz w:val="22"/>
          <w:szCs w:val="22"/>
        </w:rPr>
        <w:t xml:space="preserve"> i</w:t>
      </w:r>
      <w:r w:rsidR="003B2420">
        <w:rPr>
          <w:rFonts w:asciiTheme="minorHAnsi" w:hAnsiTheme="minorHAnsi" w:eastAsiaTheme="minorEastAsia" w:cstheme="minorHAnsi"/>
          <w:sz w:val="22"/>
          <w:szCs w:val="22"/>
        </w:rPr>
        <w:t>s</w:t>
      </w:r>
      <w:r w:rsidRPr="00441C51">
        <w:rPr>
          <w:rFonts w:asciiTheme="minorHAnsi" w:hAnsiTheme="minorHAnsi" w:eastAsiaTheme="minorEastAsia" w:cstheme="minorHAnsi"/>
          <w:sz w:val="22"/>
          <w:szCs w:val="22"/>
        </w:rPr>
        <w:t xml:space="preserve"> as follows. The dates are estimates an</w:t>
      </w:r>
      <w:r w:rsidR="00C64014">
        <w:rPr>
          <w:rFonts w:asciiTheme="minorHAnsi" w:hAnsiTheme="minorHAnsi" w:eastAsiaTheme="minorEastAsia" w:cstheme="minorHAnsi"/>
          <w:sz w:val="22"/>
          <w:szCs w:val="22"/>
        </w:rPr>
        <w:t>d</w:t>
      </w:r>
      <w:r w:rsidRPr="00441C51">
        <w:rPr>
          <w:rFonts w:asciiTheme="minorHAnsi" w:hAnsiTheme="minorHAnsi" w:eastAsiaTheme="minorEastAsia" w:cstheme="minorHAnsi"/>
          <w:sz w:val="22"/>
          <w:szCs w:val="22"/>
        </w:rPr>
        <w:t xml:space="preserve"> are subject to change: </w:t>
      </w:r>
    </w:p>
    <w:p w:rsidRPr="005842EB" w:rsidR="00441C51" w:rsidP="00093849" w:rsidRDefault="00441C51" w14:paraId="69E9B4ED" w14:textId="4062A2AD">
      <w:pPr>
        <w:pStyle w:val="ListParagraph"/>
        <w:numPr>
          <w:ilvl w:val="0"/>
          <w:numId w:val="15"/>
        </w:numPr>
        <w:spacing w:after="240" w:afterAutospacing="1"/>
        <w:ind w:left="1170"/>
        <w:rPr>
          <w:rFonts w:asciiTheme="minorHAnsi" w:hAnsiTheme="minorHAnsi" w:eastAsiaTheme="minorEastAsia" w:cstheme="minorHAnsi"/>
          <w:sz w:val="22"/>
          <w:szCs w:val="22"/>
        </w:rPr>
      </w:pPr>
      <w:r w:rsidRPr="00486052">
        <w:rPr>
          <w:rFonts w:asciiTheme="minorHAnsi" w:hAnsiTheme="minorHAnsi" w:eastAsiaTheme="minorEastAsia" w:cstheme="minorHAnsi"/>
          <w:i/>
          <w:sz w:val="22"/>
          <w:szCs w:val="22"/>
        </w:rPr>
        <w:t>November 2021</w:t>
      </w:r>
      <w:r w:rsidRPr="005842EB">
        <w:rPr>
          <w:rFonts w:asciiTheme="minorHAnsi" w:hAnsiTheme="minorHAnsi" w:eastAsiaTheme="minorEastAsia" w:cstheme="minorHAnsi"/>
          <w:sz w:val="22"/>
          <w:szCs w:val="22"/>
        </w:rPr>
        <w:t>: Complete the development and testing (by the Census Bureau) of the CAPI instrument, ensuring that it functions as designed and that all survey skip patterns have been properly programmed. The testing will be done in consultation with BJS</w:t>
      </w:r>
      <w:r w:rsidR="003B2420">
        <w:rPr>
          <w:rFonts w:asciiTheme="minorHAnsi" w:hAnsiTheme="minorHAnsi" w:eastAsiaTheme="minorEastAsia" w:cstheme="minorHAnsi"/>
          <w:sz w:val="22"/>
          <w:szCs w:val="22"/>
        </w:rPr>
        <w:t xml:space="preserve"> and NCES</w:t>
      </w:r>
      <w:r w:rsidRPr="005842EB">
        <w:rPr>
          <w:rFonts w:asciiTheme="minorHAnsi" w:hAnsiTheme="minorHAnsi" w:eastAsiaTheme="minorEastAsia" w:cstheme="minorHAnsi"/>
          <w:sz w:val="22"/>
          <w:szCs w:val="22"/>
        </w:rPr>
        <w:t>.</w:t>
      </w:r>
    </w:p>
    <w:p w:rsidRPr="005842EB" w:rsidR="00441C51" w:rsidP="00093849" w:rsidRDefault="00441C51" w14:paraId="45CEE574" w14:textId="6FFDD7C2">
      <w:pPr>
        <w:pStyle w:val="ListParagraph"/>
        <w:numPr>
          <w:ilvl w:val="0"/>
          <w:numId w:val="15"/>
        </w:numPr>
        <w:spacing w:after="240" w:afterAutospacing="1"/>
        <w:ind w:left="1170"/>
        <w:rPr>
          <w:rFonts w:asciiTheme="minorHAnsi" w:hAnsiTheme="minorHAnsi" w:eastAsiaTheme="minorEastAsia" w:cstheme="minorHAnsi"/>
          <w:sz w:val="22"/>
          <w:szCs w:val="22"/>
        </w:rPr>
      </w:pPr>
      <w:r w:rsidRPr="00486052">
        <w:rPr>
          <w:rFonts w:asciiTheme="minorHAnsi" w:hAnsiTheme="minorHAnsi" w:eastAsiaTheme="minorEastAsia" w:cstheme="minorHAnsi"/>
          <w:i/>
          <w:sz w:val="22"/>
          <w:szCs w:val="22"/>
        </w:rPr>
        <w:lastRenderedPageBreak/>
        <w:t>December 2021</w:t>
      </w:r>
      <w:r w:rsidRPr="005842EB">
        <w:rPr>
          <w:rFonts w:asciiTheme="minorHAnsi" w:hAnsiTheme="minorHAnsi" w:eastAsiaTheme="minorEastAsia" w:cstheme="minorHAnsi"/>
          <w:sz w:val="22"/>
          <w:szCs w:val="22"/>
        </w:rPr>
        <w:t>: The Census Bureau completes the development of all training materials and distributes to the field representatives.</w:t>
      </w:r>
    </w:p>
    <w:p w:rsidRPr="005842EB" w:rsidR="00441C51" w:rsidP="00093849" w:rsidRDefault="00441C51" w14:paraId="2D45688F" w14:textId="4BDE1335">
      <w:pPr>
        <w:pStyle w:val="ListParagraph"/>
        <w:numPr>
          <w:ilvl w:val="0"/>
          <w:numId w:val="15"/>
        </w:numPr>
        <w:spacing w:after="240" w:afterAutospacing="1"/>
        <w:ind w:left="1170"/>
        <w:rPr>
          <w:rFonts w:asciiTheme="minorHAnsi" w:hAnsiTheme="minorHAnsi" w:eastAsiaTheme="minorEastAsia" w:cstheme="minorHAnsi"/>
          <w:sz w:val="22"/>
          <w:szCs w:val="22"/>
        </w:rPr>
      </w:pPr>
      <w:r w:rsidRPr="00486052">
        <w:rPr>
          <w:rFonts w:asciiTheme="minorHAnsi" w:hAnsiTheme="minorHAnsi" w:eastAsiaTheme="minorEastAsia" w:cstheme="minorHAnsi"/>
          <w:i/>
          <w:sz w:val="22"/>
          <w:szCs w:val="22"/>
        </w:rPr>
        <w:t>January 2022–June 2022</w:t>
      </w:r>
      <w:r w:rsidRPr="005842EB">
        <w:rPr>
          <w:rFonts w:asciiTheme="minorHAnsi" w:hAnsiTheme="minorHAnsi" w:eastAsiaTheme="minorEastAsia" w:cstheme="minorHAnsi"/>
          <w:sz w:val="22"/>
          <w:szCs w:val="22"/>
        </w:rPr>
        <w:t>: Interviews for the 2022 SCS are conducted by the Census Bureau field representatives.</w:t>
      </w:r>
    </w:p>
    <w:p w:rsidRPr="005842EB" w:rsidR="00441C51" w:rsidP="00093849" w:rsidRDefault="00441C51" w14:paraId="5AC9127C" w14:textId="3F7A68FF">
      <w:pPr>
        <w:pStyle w:val="ListParagraph"/>
        <w:numPr>
          <w:ilvl w:val="0"/>
          <w:numId w:val="15"/>
        </w:numPr>
        <w:spacing w:after="240" w:afterAutospacing="1"/>
        <w:ind w:left="1170"/>
        <w:rPr>
          <w:rFonts w:asciiTheme="minorHAnsi" w:hAnsiTheme="minorHAnsi" w:eastAsiaTheme="minorEastAsia" w:cstheme="minorHAnsi"/>
          <w:sz w:val="22"/>
          <w:szCs w:val="22"/>
        </w:rPr>
      </w:pPr>
      <w:r w:rsidRPr="00486052">
        <w:rPr>
          <w:rFonts w:asciiTheme="minorHAnsi" w:hAnsiTheme="minorHAnsi" w:eastAsiaTheme="minorEastAsia" w:cstheme="minorHAnsi"/>
          <w:i/>
          <w:sz w:val="22"/>
          <w:szCs w:val="22"/>
        </w:rPr>
        <w:t>During the interview period</w:t>
      </w:r>
      <w:r w:rsidRPr="005842EB">
        <w:rPr>
          <w:rFonts w:asciiTheme="minorHAnsi" w:hAnsiTheme="minorHAnsi" w:eastAsiaTheme="minorEastAsia" w:cstheme="minorHAnsi"/>
          <w:sz w:val="22"/>
          <w:szCs w:val="22"/>
        </w:rPr>
        <w:t xml:space="preserve">, the Census Bureau provides BJS </w:t>
      </w:r>
      <w:r w:rsidR="00486052">
        <w:rPr>
          <w:rFonts w:asciiTheme="minorHAnsi" w:hAnsiTheme="minorHAnsi" w:eastAsiaTheme="minorEastAsia" w:cstheme="minorHAnsi"/>
          <w:sz w:val="22"/>
          <w:szCs w:val="22"/>
        </w:rPr>
        <w:t xml:space="preserve">and NCES </w:t>
      </w:r>
      <w:r w:rsidRPr="005842EB">
        <w:rPr>
          <w:rFonts w:asciiTheme="minorHAnsi" w:hAnsiTheme="minorHAnsi" w:eastAsiaTheme="minorEastAsia" w:cstheme="minorHAnsi"/>
          <w:sz w:val="22"/>
          <w:szCs w:val="22"/>
        </w:rPr>
        <w:t>with monthly reports on response rates, contact ‘hit rates,’ and the number of interviews conducted in a language other than English.</w:t>
      </w:r>
    </w:p>
    <w:p w:rsidRPr="005842EB" w:rsidR="00441C51" w:rsidP="00093849" w:rsidRDefault="00441C51" w14:paraId="6ED70565" w14:textId="5B817381">
      <w:pPr>
        <w:pStyle w:val="ListParagraph"/>
        <w:numPr>
          <w:ilvl w:val="0"/>
          <w:numId w:val="15"/>
        </w:numPr>
        <w:spacing w:after="240" w:afterAutospacing="1"/>
        <w:ind w:left="1170"/>
        <w:rPr>
          <w:rFonts w:asciiTheme="minorHAnsi" w:hAnsiTheme="minorHAnsi" w:eastAsiaTheme="minorEastAsia" w:cstheme="minorHAnsi"/>
          <w:sz w:val="22"/>
          <w:szCs w:val="22"/>
        </w:rPr>
      </w:pPr>
      <w:r w:rsidRPr="00486052">
        <w:rPr>
          <w:rFonts w:asciiTheme="minorHAnsi" w:hAnsiTheme="minorHAnsi" w:eastAsiaTheme="minorEastAsia" w:cstheme="minorHAnsi"/>
          <w:i/>
          <w:sz w:val="22"/>
          <w:szCs w:val="22"/>
        </w:rPr>
        <w:t>February 2022–October 2022</w:t>
      </w:r>
      <w:r w:rsidRPr="005842EB">
        <w:rPr>
          <w:rFonts w:asciiTheme="minorHAnsi" w:hAnsiTheme="minorHAnsi" w:eastAsiaTheme="minorEastAsia" w:cstheme="minorHAnsi"/>
          <w:sz w:val="22"/>
          <w:szCs w:val="22"/>
        </w:rPr>
        <w:t>: Data monitoring and processing takes place on an ongoing basis.</w:t>
      </w:r>
    </w:p>
    <w:p w:rsidRPr="005842EB" w:rsidR="00441C51" w:rsidP="00093849" w:rsidRDefault="00441C51" w14:paraId="49F6F88A" w14:textId="17AEA729">
      <w:pPr>
        <w:pStyle w:val="ListParagraph"/>
        <w:numPr>
          <w:ilvl w:val="0"/>
          <w:numId w:val="15"/>
        </w:numPr>
        <w:spacing w:after="240" w:afterAutospacing="1"/>
        <w:ind w:left="1170"/>
        <w:rPr>
          <w:rFonts w:asciiTheme="minorHAnsi" w:hAnsiTheme="minorHAnsi" w:eastAsiaTheme="minorEastAsia" w:cstheme="minorHAnsi"/>
          <w:sz w:val="22"/>
          <w:szCs w:val="22"/>
        </w:rPr>
      </w:pPr>
      <w:r w:rsidRPr="00486052">
        <w:rPr>
          <w:rFonts w:asciiTheme="minorHAnsi" w:hAnsiTheme="minorHAnsi" w:eastAsiaTheme="minorEastAsia" w:cstheme="minorHAnsi"/>
          <w:i/>
          <w:sz w:val="22"/>
          <w:szCs w:val="22"/>
        </w:rPr>
        <w:t>November 2022</w:t>
      </w:r>
      <w:r w:rsidRPr="005842EB">
        <w:rPr>
          <w:rFonts w:asciiTheme="minorHAnsi" w:hAnsiTheme="minorHAnsi" w:eastAsiaTheme="minorEastAsia" w:cstheme="minorHAnsi"/>
          <w:sz w:val="22"/>
          <w:szCs w:val="22"/>
        </w:rPr>
        <w:t>: Computer processing and weighting of the data are completed.</w:t>
      </w:r>
    </w:p>
    <w:p w:rsidR="00441C51" w:rsidP="00093849" w:rsidRDefault="00441C51" w14:paraId="22A9A1EC" w14:textId="3318B63B">
      <w:pPr>
        <w:pStyle w:val="ListParagraph"/>
        <w:numPr>
          <w:ilvl w:val="0"/>
          <w:numId w:val="15"/>
        </w:numPr>
        <w:spacing w:after="240" w:afterAutospacing="1"/>
        <w:ind w:left="1170"/>
        <w:rPr>
          <w:rFonts w:asciiTheme="minorHAnsi" w:hAnsiTheme="minorHAnsi" w:eastAsiaTheme="minorEastAsia" w:cstheme="minorHAnsi"/>
          <w:sz w:val="22"/>
          <w:szCs w:val="22"/>
        </w:rPr>
      </w:pPr>
      <w:r w:rsidRPr="00486052">
        <w:rPr>
          <w:rFonts w:asciiTheme="minorHAnsi" w:hAnsiTheme="minorHAnsi" w:eastAsiaTheme="minorEastAsia" w:cstheme="minorHAnsi"/>
          <w:i/>
          <w:sz w:val="22"/>
          <w:szCs w:val="22"/>
        </w:rPr>
        <w:t>December 2022</w:t>
      </w:r>
      <w:r w:rsidRPr="005842EB">
        <w:rPr>
          <w:rFonts w:asciiTheme="minorHAnsi" w:hAnsiTheme="minorHAnsi" w:eastAsiaTheme="minorEastAsia" w:cstheme="minorHAnsi"/>
          <w:sz w:val="22"/>
          <w:szCs w:val="22"/>
        </w:rPr>
        <w:t>: The Census Bureau prepares and delivers a 2022 SCS public</w:t>
      </w:r>
      <w:r w:rsidR="00A0337D">
        <w:rPr>
          <w:rFonts w:asciiTheme="minorHAnsi" w:hAnsiTheme="minorHAnsi" w:eastAsiaTheme="minorEastAsia" w:cstheme="minorHAnsi"/>
          <w:sz w:val="22"/>
          <w:szCs w:val="22"/>
        </w:rPr>
        <w:t>-</w:t>
      </w:r>
      <w:r w:rsidRPr="005842EB">
        <w:rPr>
          <w:rFonts w:asciiTheme="minorHAnsi" w:hAnsiTheme="minorHAnsi" w:eastAsiaTheme="minorEastAsia" w:cstheme="minorHAnsi"/>
          <w:sz w:val="22"/>
          <w:szCs w:val="22"/>
        </w:rPr>
        <w:t>use file and accompanying file documentation to BJS</w:t>
      </w:r>
      <w:r w:rsidR="00665339">
        <w:rPr>
          <w:rFonts w:asciiTheme="minorHAnsi" w:hAnsiTheme="minorHAnsi" w:eastAsiaTheme="minorEastAsia" w:cstheme="minorHAnsi"/>
          <w:sz w:val="22"/>
          <w:szCs w:val="22"/>
        </w:rPr>
        <w:t xml:space="preserve"> and NCES</w:t>
      </w:r>
      <w:r w:rsidRPr="005842EB">
        <w:rPr>
          <w:rFonts w:asciiTheme="minorHAnsi" w:hAnsiTheme="minorHAnsi" w:eastAsiaTheme="minorEastAsia" w:cstheme="minorHAnsi"/>
          <w:sz w:val="22"/>
          <w:szCs w:val="22"/>
        </w:rPr>
        <w:t>.</w:t>
      </w:r>
    </w:p>
    <w:p w:rsidRPr="00486052" w:rsidR="00486052" w:rsidP="00486052" w:rsidRDefault="00486052" w14:paraId="5C0153BF" w14:textId="77777777">
      <w:pPr>
        <w:pStyle w:val="ListParagraph"/>
        <w:spacing w:after="240" w:afterAutospacing="1"/>
        <w:ind w:left="1170"/>
        <w:rPr>
          <w:rFonts w:asciiTheme="minorHAnsi" w:hAnsiTheme="minorHAnsi" w:eastAsiaTheme="minorEastAsia" w:cstheme="minorHAnsi"/>
          <w:sz w:val="22"/>
          <w:szCs w:val="22"/>
        </w:rPr>
      </w:pPr>
    </w:p>
    <w:p w:rsidRPr="00441C51" w:rsidR="00441C51" w:rsidP="00A1760C" w:rsidRDefault="00441C51" w14:paraId="074FB3D6" w14:textId="2B84BB1D">
      <w:pPr>
        <w:pStyle w:val="ListParagraph"/>
        <w:keepNext/>
        <w:keepLines/>
        <w:spacing w:before="100" w:beforeAutospacing="1" w:after="120"/>
        <w:ind w:left="540"/>
        <w:outlineLvl w:val="2"/>
        <w:rPr>
          <w:rFonts w:asciiTheme="minorHAnsi" w:hAnsiTheme="minorHAnsi" w:eastAsiaTheme="minorEastAsia" w:cstheme="minorHAnsi"/>
          <w:sz w:val="22"/>
          <w:szCs w:val="22"/>
        </w:rPr>
      </w:pPr>
      <w:r w:rsidRPr="00441C51">
        <w:rPr>
          <w:rFonts w:asciiTheme="minorHAnsi" w:hAnsiTheme="minorHAnsi" w:eastAsiaTheme="minorEastAsia" w:cstheme="minorHAnsi"/>
          <w:sz w:val="22"/>
          <w:szCs w:val="22"/>
        </w:rPr>
        <w:t xml:space="preserve">BJS </w:t>
      </w:r>
      <w:r>
        <w:rPr>
          <w:rFonts w:asciiTheme="minorHAnsi" w:hAnsiTheme="minorHAnsi" w:eastAsiaTheme="minorEastAsia" w:cstheme="minorHAnsi"/>
          <w:sz w:val="22"/>
          <w:szCs w:val="22"/>
        </w:rPr>
        <w:t xml:space="preserve">and NCES </w:t>
      </w:r>
      <w:r w:rsidRPr="00441C51">
        <w:rPr>
          <w:rFonts w:asciiTheme="minorHAnsi" w:hAnsiTheme="minorHAnsi" w:eastAsiaTheme="minorEastAsia" w:cstheme="minorHAnsi"/>
          <w:sz w:val="22"/>
          <w:szCs w:val="22"/>
        </w:rPr>
        <w:t>will be responsible for the statistical analysis and publication of the data from the 202</w:t>
      </w:r>
      <w:r>
        <w:rPr>
          <w:rFonts w:asciiTheme="minorHAnsi" w:hAnsiTheme="minorHAnsi" w:eastAsiaTheme="minorEastAsia" w:cstheme="minorHAnsi"/>
          <w:sz w:val="22"/>
          <w:szCs w:val="22"/>
        </w:rPr>
        <w:t>2</w:t>
      </w:r>
      <w:r w:rsidRPr="00441C51">
        <w:rPr>
          <w:rFonts w:asciiTheme="minorHAnsi" w:hAnsiTheme="minorHAnsi" w:eastAsiaTheme="minorEastAsia" w:cstheme="minorHAnsi"/>
          <w:sz w:val="22"/>
          <w:szCs w:val="22"/>
        </w:rPr>
        <w:t xml:space="preserve"> </w:t>
      </w:r>
      <w:r>
        <w:rPr>
          <w:rFonts w:asciiTheme="minorHAnsi" w:hAnsiTheme="minorHAnsi" w:eastAsiaTheme="minorEastAsia" w:cstheme="minorHAnsi"/>
          <w:sz w:val="22"/>
          <w:szCs w:val="22"/>
        </w:rPr>
        <w:t>SCS</w:t>
      </w:r>
      <w:r w:rsidRPr="00441C51">
        <w:rPr>
          <w:rFonts w:asciiTheme="minorHAnsi" w:hAnsiTheme="minorHAnsi" w:eastAsiaTheme="minorEastAsia" w:cstheme="minorHAnsi"/>
          <w:sz w:val="22"/>
          <w:szCs w:val="22"/>
        </w:rPr>
        <w:t xml:space="preserve">. Contingent on the processing and delivery of the final data file, </w:t>
      </w:r>
      <w:r w:rsidR="00A1760C">
        <w:rPr>
          <w:rFonts w:asciiTheme="minorHAnsi" w:hAnsiTheme="minorHAnsi" w:eastAsiaTheme="minorEastAsia" w:cstheme="minorHAnsi"/>
          <w:sz w:val="22"/>
          <w:szCs w:val="22"/>
        </w:rPr>
        <w:t>r</w:t>
      </w:r>
      <w:r w:rsidRPr="00C4515C" w:rsidR="00A1760C">
        <w:rPr>
          <w:rFonts w:asciiTheme="minorHAnsi" w:hAnsiTheme="minorHAnsi" w:eastAsiaTheme="minorEastAsia" w:cstheme="minorHAnsi"/>
          <w:sz w:val="22"/>
          <w:szCs w:val="22"/>
        </w:rPr>
        <w:t>ecurring reports from the 2022 collection</w:t>
      </w:r>
      <w:r w:rsidR="00A1760C">
        <w:rPr>
          <w:rFonts w:asciiTheme="minorHAnsi" w:hAnsiTheme="minorHAnsi" w:eastAsiaTheme="minorEastAsia" w:cstheme="minorHAnsi"/>
          <w:sz w:val="22"/>
          <w:szCs w:val="22"/>
        </w:rPr>
        <w:t xml:space="preserve"> </w:t>
      </w:r>
      <w:r w:rsidRPr="00C4515C" w:rsidR="00A1760C">
        <w:rPr>
          <w:rFonts w:asciiTheme="minorHAnsi" w:hAnsiTheme="minorHAnsi" w:eastAsiaTheme="minorEastAsia" w:cstheme="minorHAnsi"/>
          <w:sz w:val="22"/>
          <w:szCs w:val="22"/>
        </w:rPr>
        <w:t xml:space="preserve">will be released approximately </w:t>
      </w:r>
      <w:r w:rsidR="00A1760C">
        <w:rPr>
          <w:rFonts w:asciiTheme="minorHAnsi" w:hAnsiTheme="minorHAnsi" w:eastAsiaTheme="minorEastAsia" w:cstheme="minorHAnsi"/>
          <w:sz w:val="22"/>
          <w:szCs w:val="22"/>
        </w:rPr>
        <w:t>6-8</w:t>
      </w:r>
      <w:r w:rsidRPr="00C4515C" w:rsidR="00A1760C">
        <w:rPr>
          <w:rFonts w:asciiTheme="minorHAnsi" w:hAnsiTheme="minorHAnsi" w:eastAsiaTheme="minorEastAsia" w:cstheme="minorHAnsi"/>
          <w:sz w:val="22"/>
          <w:szCs w:val="22"/>
        </w:rPr>
        <w:t xml:space="preserve"> months after the data are approved for release. These will include the </w:t>
      </w:r>
      <w:r w:rsidRPr="00C4515C" w:rsidR="00A1760C">
        <w:rPr>
          <w:rFonts w:asciiTheme="minorHAnsi" w:hAnsiTheme="minorHAnsi" w:eastAsiaTheme="minorEastAsia" w:cstheme="minorHAnsi"/>
          <w:i/>
          <w:sz w:val="22"/>
          <w:szCs w:val="22"/>
        </w:rPr>
        <w:t>Web Tables Report</w:t>
      </w:r>
      <w:r w:rsidRPr="00C4515C" w:rsidR="00A1760C">
        <w:rPr>
          <w:rFonts w:asciiTheme="minorHAnsi" w:hAnsiTheme="minorHAnsi" w:eastAsiaTheme="minorEastAsia" w:cstheme="minorHAnsi"/>
          <w:sz w:val="22"/>
          <w:szCs w:val="22"/>
        </w:rPr>
        <w:t xml:space="preserve"> on student reports of bullying, and the </w:t>
      </w:r>
      <w:r w:rsidRPr="00C4515C" w:rsidR="00A1760C">
        <w:rPr>
          <w:rFonts w:asciiTheme="minorHAnsi" w:hAnsiTheme="minorHAnsi" w:eastAsiaTheme="minorEastAsia" w:cstheme="minorHAnsi"/>
          <w:i/>
          <w:sz w:val="22"/>
          <w:szCs w:val="22"/>
        </w:rPr>
        <w:t>Statistics in Brief</w:t>
      </w:r>
      <w:r w:rsidRPr="00C4515C" w:rsidR="00A1760C">
        <w:rPr>
          <w:rFonts w:asciiTheme="minorHAnsi" w:hAnsiTheme="minorHAnsi" w:eastAsiaTheme="minorEastAsia" w:cstheme="minorHAnsi"/>
          <w:sz w:val="22"/>
          <w:szCs w:val="22"/>
        </w:rPr>
        <w:t xml:space="preserve"> report on student reports of criminal victimization</w:t>
      </w:r>
      <w:r w:rsidR="00A0337D">
        <w:rPr>
          <w:rFonts w:asciiTheme="minorHAnsi" w:hAnsiTheme="minorHAnsi" w:eastAsiaTheme="minorEastAsia" w:cstheme="minorHAnsi"/>
          <w:sz w:val="22"/>
          <w:szCs w:val="22"/>
        </w:rPr>
        <w:t>,</w:t>
      </w:r>
      <w:r w:rsidRPr="00C4515C" w:rsidR="00A1760C">
        <w:rPr>
          <w:rFonts w:asciiTheme="minorHAnsi" w:hAnsiTheme="minorHAnsi" w:eastAsiaTheme="minorEastAsia" w:cstheme="minorHAnsi"/>
          <w:sz w:val="22"/>
          <w:szCs w:val="22"/>
        </w:rPr>
        <w:t xml:space="preserve"> both published by NCES.</w:t>
      </w:r>
      <w:r w:rsidR="00A1760C">
        <w:rPr>
          <w:rFonts w:asciiTheme="minorHAnsi" w:hAnsiTheme="minorHAnsi" w:eastAsiaTheme="minorEastAsia" w:cstheme="minorHAnsi"/>
          <w:sz w:val="22"/>
          <w:szCs w:val="22"/>
        </w:rPr>
        <w:t xml:space="preserve"> In addition, NCES will release the </w:t>
      </w:r>
      <w:r w:rsidR="00A1760C">
        <w:rPr>
          <w:rFonts w:asciiTheme="minorHAnsi" w:hAnsiTheme="minorHAnsi" w:eastAsiaTheme="minorEastAsia" w:cstheme="minorHAnsi"/>
          <w:i/>
          <w:sz w:val="22"/>
          <w:szCs w:val="22"/>
        </w:rPr>
        <w:t xml:space="preserve">Condition of Education </w:t>
      </w:r>
      <w:r w:rsidR="00A1760C">
        <w:rPr>
          <w:rFonts w:asciiTheme="minorHAnsi" w:hAnsiTheme="minorHAnsi" w:eastAsiaTheme="minorEastAsia" w:cstheme="minorHAnsi"/>
          <w:sz w:val="22"/>
          <w:szCs w:val="22"/>
        </w:rPr>
        <w:t xml:space="preserve">and NCES and BJS will jointly release the </w:t>
      </w:r>
      <w:r w:rsidRPr="00A1760C" w:rsidR="00A1760C">
        <w:rPr>
          <w:rFonts w:asciiTheme="minorHAnsi" w:hAnsiTheme="minorHAnsi" w:eastAsiaTheme="minorEastAsia" w:cstheme="minorHAnsi"/>
          <w:i/>
          <w:sz w:val="22"/>
          <w:szCs w:val="22"/>
        </w:rPr>
        <w:t>Report on</w:t>
      </w:r>
      <w:r w:rsidR="00A1760C">
        <w:rPr>
          <w:rFonts w:asciiTheme="minorHAnsi" w:hAnsiTheme="minorHAnsi" w:eastAsiaTheme="minorEastAsia" w:cstheme="minorHAnsi"/>
          <w:sz w:val="22"/>
          <w:szCs w:val="22"/>
        </w:rPr>
        <w:t xml:space="preserve"> </w:t>
      </w:r>
      <w:r w:rsidR="00A1760C">
        <w:rPr>
          <w:rFonts w:asciiTheme="minorHAnsi" w:hAnsiTheme="minorHAnsi" w:eastAsiaTheme="minorEastAsia" w:cstheme="minorHAnsi"/>
          <w:i/>
          <w:sz w:val="22"/>
          <w:szCs w:val="22"/>
        </w:rPr>
        <w:t>Indicators of School Crime and Safety</w:t>
      </w:r>
      <w:r w:rsidR="00A1760C">
        <w:rPr>
          <w:rFonts w:asciiTheme="minorHAnsi" w:hAnsiTheme="minorHAnsi" w:eastAsiaTheme="minorEastAsia" w:cstheme="minorHAnsi"/>
          <w:sz w:val="22"/>
          <w:szCs w:val="22"/>
        </w:rPr>
        <w:t>, which both include SCS data.</w:t>
      </w:r>
    </w:p>
    <w:p w:rsidRPr="00C4515C" w:rsidR="00A1760C" w:rsidP="00A1760C" w:rsidRDefault="00A1760C" w14:paraId="4C1B3A95" w14:textId="0D7BCE4C">
      <w:pPr>
        <w:pStyle w:val="Text"/>
        <w:ind w:left="540"/>
        <w:contextualSpacing/>
        <w:rPr>
          <w:rFonts w:asciiTheme="minorHAnsi" w:hAnsiTheme="minorHAnsi" w:cstheme="minorHAnsi"/>
          <w:sz w:val="22"/>
          <w:szCs w:val="22"/>
        </w:rPr>
      </w:pPr>
      <w:r>
        <w:rPr>
          <w:rFonts w:asciiTheme="minorHAnsi" w:hAnsiTheme="minorHAnsi" w:eastAsiaTheme="minorEastAsia" w:cstheme="minorHAnsi"/>
          <w:sz w:val="22"/>
          <w:szCs w:val="22"/>
        </w:rPr>
        <w:t>The SCS</w:t>
      </w:r>
      <w:r w:rsidRPr="00441C51" w:rsidR="00441C51">
        <w:rPr>
          <w:rFonts w:asciiTheme="minorHAnsi" w:hAnsiTheme="minorHAnsi" w:eastAsiaTheme="minorEastAsia" w:cstheme="minorHAnsi"/>
          <w:sz w:val="22"/>
          <w:szCs w:val="22"/>
        </w:rPr>
        <w:t xml:space="preserve"> data are archived at the Inter-university Consortium for Political and Social Research (ICPSR) at the University of Michigan</w:t>
      </w:r>
      <w:r>
        <w:rPr>
          <w:rFonts w:asciiTheme="minorHAnsi" w:hAnsiTheme="minorHAnsi" w:eastAsiaTheme="minorEastAsia" w:cstheme="minorHAnsi"/>
          <w:sz w:val="22"/>
          <w:szCs w:val="22"/>
        </w:rPr>
        <w:t xml:space="preserve"> </w:t>
      </w:r>
      <w:r w:rsidRPr="00C4515C">
        <w:rPr>
          <w:rFonts w:asciiTheme="minorHAnsi" w:hAnsiTheme="minorHAnsi" w:eastAsiaTheme="minorEastAsia" w:cstheme="minorHAnsi"/>
          <w:sz w:val="22"/>
          <w:szCs w:val="22"/>
        </w:rPr>
        <w:t>(</w:t>
      </w:r>
      <w:hyperlink w:history="1" r:id="rId13">
        <w:r w:rsidRPr="00C4515C">
          <w:rPr>
            <w:rStyle w:val="Hyperlink"/>
            <w:rFonts w:asciiTheme="minorHAnsi" w:hAnsiTheme="minorHAnsi" w:eastAsiaTheme="minorEastAsia" w:cstheme="minorHAnsi"/>
            <w:sz w:val="22"/>
            <w:szCs w:val="22"/>
          </w:rPr>
          <w:t>http://www.icpsr.umich.edu/</w:t>
        </w:r>
      </w:hyperlink>
      <w:r w:rsidRPr="00C4515C">
        <w:rPr>
          <w:rFonts w:asciiTheme="minorHAnsi" w:hAnsiTheme="minorHAnsi" w:eastAsiaTheme="minorEastAsia" w:cstheme="minorHAnsi"/>
          <w:sz w:val="22"/>
          <w:szCs w:val="22"/>
        </w:rPr>
        <w:t>)</w:t>
      </w:r>
      <w:r w:rsidRPr="00441C51" w:rsidR="00441C51">
        <w:rPr>
          <w:rFonts w:asciiTheme="minorHAnsi" w:hAnsiTheme="minorHAnsi" w:eastAsiaTheme="minorEastAsia" w:cstheme="minorHAnsi"/>
          <w:sz w:val="22"/>
          <w:szCs w:val="22"/>
        </w:rPr>
        <w:t>. Researchers can download public</w:t>
      </w:r>
      <w:r w:rsidR="0018012F">
        <w:rPr>
          <w:rFonts w:asciiTheme="minorHAnsi" w:hAnsiTheme="minorHAnsi" w:eastAsiaTheme="minorEastAsia" w:cstheme="minorHAnsi"/>
          <w:sz w:val="22"/>
          <w:szCs w:val="22"/>
        </w:rPr>
        <w:t>-</w:t>
      </w:r>
      <w:r w:rsidRPr="00441C51" w:rsidR="00441C51">
        <w:rPr>
          <w:rFonts w:asciiTheme="minorHAnsi" w:hAnsiTheme="minorHAnsi" w:eastAsiaTheme="minorEastAsia" w:cstheme="minorHAnsi"/>
          <w:sz w:val="22"/>
          <w:szCs w:val="22"/>
        </w:rPr>
        <w:t xml:space="preserve">use files </w:t>
      </w:r>
      <w:r w:rsidR="00C25026">
        <w:rPr>
          <w:rFonts w:asciiTheme="minorHAnsi" w:hAnsiTheme="minorHAnsi" w:eastAsiaTheme="minorEastAsia" w:cstheme="minorHAnsi"/>
          <w:sz w:val="22"/>
          <w:szCs w:val="22"/>
        </w:rPr>
        <w:t xml:space="preserve">(PUF) </w:t>
      </w:r>
      <w:r w:rsidRPr="00441C51" w:rsidR="00441C51">
        <w:rPr>
          <w:rFonts w:asciiTheme="minorHAnsi" w:hAnsiTheme="minorHAnsi" w:eastAsiaTheme="minorEastAsia" w:cstheme="minorHAnsi"/>
          <w:sz w:val="22"/>
          <w:szCs w:val="22"/>
        </w:rPr>
        <w:t xml:space="preserve">of the </w:t>
      </w:r>
      <w:r>
        <w:rPr>
          <w:rFonts w:asciiTheme="minorHAnsi" w:hAnsiTheme="minorHAnsi" w:eastAsiaTheme="minorEastAsia" w:cstheme="minorHAnsi"/>
          <w:sz w:val="22"/>
          <w:szCs w:val="22"/>
        </w:rPr>
        <w:t>SCS</w:t>
      </w:r>
      <w:r w:rsidRPr="00441C51" w:rsidR="00441C51">
        <w:rPr>
          <w:rFonts w:asciiTheme="minorHAnsi" w:hAnsiTheme="minorHAnsi" w:eastAsiaTheme="minorEastAsia" w:cstheme="minorHAnsi"/>
          <w:sz w:val="22"/>
          <w:szCs w:val="22"/>
        </w:rPr>
        <w:t xml:space="preserve"> data and codebooks to conduct their own analyses. </w:t>
      </w:r>
      <w:proofErr w:type="gramStart"/>
      <w:r w:rsidRPr="00C4515C">
        <w:rPr>
          <w:rFonts w:asciiTheme="minorHAnsi" w:hAnsiTheme="minorHAnsi" w:eastAsiaTheme="minorEastAsia" w:cstheme="minorHAnsi"/>
          <w:sz w:val="22"/>
          <w:szCs w:val="22"/>
        </w:rPr>
        <w:t>These microdata</w:t>
      </w:r>
      <w:proofErr w:type="gramEnd"/>
      <w:r w:rsidRPr="00C4515C">
        <w:rPr>
          <w:rFonts w:asciiTheme="minorHAnsi" w:hAnsiTheme="minorHAnsi" w:eastAsiaTheme="minorEastAsia" w:cstheme="minorHAnsi"/>
          <w:sz w:val="22"/>
          <w:szCs w:val="22"/>
        </w:rPr>
        <w:t xml:space="preserve"> are made available as a PUF after it has been approved by the Census Bureau’s Disclosure Review Board. The </w:t>
      </w:r>
      <w:r>
        <w:rPr>
          <w:rFonts w:asciiTheme="minorHAnsi" w:hAnsiTheme="minorHAnsi" w:eastAsiaTheme="minorEastAsia" w:cstheme="minorHAnsi"/>
          <w:sz w:val="22"/>
          <w:szCs w:val="22"/>
        </w:rPr>
        <w:t xml:space="preserve">ICPSR study </w:t>
      </w:r>
      <w:r w:rsidRPr="00C4515C">
        <w:rPr>
          <w:rFonts w:asciiTheme="minorHAnsi" w:hAnsiTheme="minorHAnsi" w:eastAsiaTheme="minorEastAsia" w:cstheme="minorHAnsi"/>
          <w:sz w:val="22"/>
          <w:szCs w:val="22"/>
        </w:rPr>
        <w:t xml:space="preserve">includes a codebook, setup program in SAS language, text file of the raw data, as well as the datafile in SPSS, SAS, and STATA data formats. As an example, the 2019 SCS data release documentation and datasets can be found at </w:t>
      </w:r>
      <w:hyperlink w:history="1" r:id="rId14">
        <w:r w:rsidRPr="00C4515C">
          <w:rPr>
            <w:rStyle w:val="Hyperlink"/>
            <w:rFonts w:asciiTheme="minorHAnsi" w:hAnsiTheme="minorHAnsi" w:cstheme="minorHAnsi"/>
            <w:sz w:val="22"/>
            <w:szCs w:val="22"/>
          </w:rPr>
          <w:t>https://www.icpsr.umich.edu/web/NACJD/studies/37816</w:t>
        </w:r>
      </w:hyperlink>
      <w:r w:rsidRPr="00C4515C">
        <w:rPr>
          <w:rFonts w:asciiTheme="minorHAnsi" w:hAnsiTheme="minorHAnsi" w:cstheme="minorHAnsi"/>
          <w:sz w:val="22"/>
          <w:szCs w:val="22"/>
        </w:rPr>
        <w:t xml:space="preserve">. </w:t>
      </w:r>
    </w:p>
    <w:p w:rsidR="00EE6B1B" w:rsidP="0048552A" w:rsidRDefault="00441C51" w14:paraId="58936648" w14:textId="501DC7F9">
      <w:pPr>
        <w:spacing w:after="240" w:afterAutospacing="1"/>
        <w:ind w:left="540"/>
        <w:contextualSpacing/>
        <w:rPr>
          <w:rFonts w:asciiTheme="minorHAnsi" w:hAnsiTheme="minorHAnsi" w:eastAsiaTheme="minorEastAsia" w:cstheme="minorHAnsi"/>
          <w:sz w:val="22"/>
          <w:szCs w:val="22"/>
        </w:rPr>
      </w:pPr>
      <w:r w:rsidRPr="00441C51">
        <w:rPr>
          <w:rFonts w:asciiTheme="minorHAnsi" w:hAnsiTheme="minorHAnsi" w:eastAsiaTheme="minorEastAsia" w:cstheme="minorHAnsi"/>
          <w:sz w:val="22"/>
          <w:szCs w:val="22"/>
        </w:rPr>
        <w:t>To further enhance the utility of the data, in addition to the</w:t>
      </w:r>
      <w:r w:rsidR="004A4A7F">
        <w:rPr>
          <w:rFonts w:asciiTheme="minorHAnsi" w:hAnsiTheme="minorHAnsi" w:eastAsiaTheme="minorEastAsia" w:cstheme="minorHAnsi"/>
          <w:sz w:val="22"/>
          <w:szCs w:val="22"/>
        </w:rPr>
        <w:t xml:space="preserve"> </w:t>
      </w:r>
      <w:r w:rsidR="006B53F2">
        <w:rPr>
          <w:rFonts w:asciiTheme="minorHAnsi" w:hAnsiTheme="minorHAnsi" w:eastAsiaTheme="minorEastAsia" w:cstheme="minorHAnsi"/>
          <w:sz w:val="22"/>
          <w:szCs w:val="22"/>
        </w:rPr>
        <w:t xml:space="preserve">PUFs </w:t>
      </w:r>
      <w:r w:rsidRPr="00441C51">
        <w:rPr>
          <w:rFonts w:asciiTheme="minorHAnsi" w:hAnsiTheme="minorHAnsi" w:eastAsiaTheme="minorEastAsia" w:cstheme="minorHAnsi"/>
          <w:sz w:val="22"/>
          <w:szCs w:val="22"/>
        </w:rPr>
        <w:t xml:space="preserve">housed at ICPSR, the geographically identified </w:t>
      </w:r>
      <w:r w:rsidR="00A1760C">
        <w:rPr>
          <w:rFonts w:asciiTheme="minorHAnsi" w:hAnsiTheme="minorHAnsi" w:eastAsiaTheme="minorEastAsia" w:cstheme="minorHAnsi"/>
          <w:sz w:val="22"/>
          <w:szCs w:val="22"/>
        </w:rPr>
        <w:t>SCS</w:t>
      </w:r>
      <w:r w:rsidRPr="00441C51">
        <w:rPr>
          <w:rFonts w:asciiTheme="minorHAnsi" w:hAnsiTheme="minorHAnsi" w:eastAsiaTheme="minorEastAsia" w:cstheme="minorHAnsi"/>
          <w:sz w:val="22"/>
          <w:szCs w:val="22"/>
        </w:rPr>
        <w:t xml:space="preserve"> files will now be available in the Census Bureau secure federal statistical research data centers (FSRDC). The FSRDC files can be accessed by researchers who submit a proposal approved by BJS </w:t>
      </w:r>
      <w:r w:rsidR="00A1760C">
        <w:rPr>
          <w:rFonts w:asciiTheme="minorHAnsi" w:hAnsiTheme="minorHAnsi" w:eastAsiaTheme="minorEastAsia" w:cstheme="minorHAnsi"/>
          <w:sz w:val="22"/>
          <w:szCs w:val="22"/>
        </w:rPr>
        <w:t xml:space="preserve">and NCES </w:t>
      </w:r>
      <w:r w:rsidRPr="00441C51">
        <w:rPr>
          <w:rFonts w:asciiTheme="minorHAnsi" w:hAnsiTheme="minorHAnsi" w:eastAsiaTheme="minorEastAsia" w:cstheme="minorHAnsi"/>
          <w:sz w:val="22"/>
          <w:szCs w:val="22"/>
        </w:rPr>
        <w:t>for the research they plan to conduct using the data and agree to all confidentiality and protected use constraints. Data are typically available through ICPSR and the FSRDCs by the fall of the year following collection.</w:t>
      </w:r>
    </w:p>
    <w:p w:rsidR="000B46DD" w:rsidP="0048552A" w:rsidRDefault="000B46DD" w14:paraId="6E24A7CB" w14:textId="0F45F7DB">
      <w:pPr>
        <w:spacing w:after="240" w:afterAutospacing="1"/>
        <w:ind w:left="540"/>
        <w:contextualSpacing/>
        <w:rPr>
          <w:rFonts w:asciiTheme="minorHAnsi" w:hAnsiTheme="minorHAnsi" w:eastAsiaTheme="minorEastAsia" w:cstheme="minorHAnsi"/>
          <w:sz w:val="22"/>
          <w:szCs w:val="22"/>
        </w:rPr>
      </w:pPr>
    </w:p>
    <w:p w:rsidRPr="00C4515C" w:rsidR="000B46DD" w:rsidP="00665339" w:rsidRDefault="000B46DD" w14:paraId="2CF5500B" w14:textId="77777777">
      <w:pPr>
        <w:tabs>
          <w:tab w:val="left" w:pos="63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rPr>
          <w:rFonts w:asciiTheme="minorHAnsi" w:hAnsiTheme="minorHAnsi" w:eastAsiaTheme="minorEastAsia" w:cstheme="minorHAnsi"/>
          <w:b/>
          <w:bCs/>
          <w:sz w:val="22"/>
          <w:szCs w:val="22"/>
        </w:rPr>
      </w:pPr>
      <w:r>
        <w:rPr>
          <w:rFonts w:asciiTheme="minorHAnsi" w:hAnsiTheme="minorHAnsi" w:eastAsiaTheme="minorEastAsia" w:cstheme="minorHAnsi"/>
          <w:b/>
          <w:bCs/>
          <w:sz w:val="22"/>
          <w:szCs w:val="22"/>
        </w:rPr>
        <w:t xml:space="preserve">Recently released from the </w:t>
      </w:r>
      <w:r w:rsidRPr="00C4515C">
        <w:rPr>
          <w:rFonts w:asciiTheme="minorHAnsi" w:hAnsiTheme="minorHAnsi" w:eastAsiaTheme="minorEastAsia" w:cstheme="minorHAnsi"/>
          <w:b/>
          <w:bCs/>
          <w:sz w:val="22"/>
          <w:szCs w:val="22"/>
        </w:rPr>
        <w:t>2019 SCS</w:t>
      </w:r>
    </w:p>
    <w:p w:rsidRPr="00C4515C" w:rsidR="000B46DD" w:rsidP="00665339" w:rsidRDefault="000B46DD" w14:paraId="2CEBADF4" w14:textId="218D8B07">
      <w:pPr>
        <w:pStyle w:val="ListParagraph"/>
        <w:tabs>
          <w:tab w:val="left" w:pos="540"/>
          <w:tab w:val="left" w:pos="63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rPr>
          <w:rFonts w:asciiTheme="minorHAnsi" w:hAnsiTheme="minorHAnsi" w:eastAsiaTheme="minorEastAsia" w:cstheme="minorHAnsi"/>
          <w:bCs/>
          <w:sz w:val="22"/>
          <w:szCs w:val="22"/>
        </w:rPr>
      </w:pPr>
      <w:r w:rsidRPr="00C4515C">
        <w:rPr>
          <w:rFonts w:asciiTheme="minorHAnsi" w:hAnsiTheme="minorHAnsi" w:eastAsiaTheme="minorEastAsia" w:cstheme="minorHAnsi"/>
          <w:bCs/>
          <w:sz w:val="22"/>
          <w:szCs w:val="22"/>
        </w:rPr>
        <w:t>ICPSR released the 2019 SCS data file and documentation on their website on June 8, 2021.</w:t>
      </w:r>
      <w:r w:rsidR="00665339">
        <w:rPr>
          <w:rFonts w:asciiTheme="minorHAnsi" w:hAnsiTheme="minorHAnsi" w:eastAsiaTheme="minorEastAsia" w:cstheme="minorHAnsi"/>
          <w:bCs/>
          <w:sz w:val="22"/>
          <w:szCs w:val="22"/>
        </w:rPr>
        <w:t xml:space="preserve"> </w:t>
      </w:r>
      <w:r w:rsidRPr="00C4515C">
        <w:rPr>
          <w:rFonts w:asciiTheme="minorHAnsi" w:hAnsiTheme="minorHAnsi" w:eastAsiaTheme="minorEastAsia" w:cstheme="minorHAnsi"/>
          <w:bCs/>
          <w:sz w:val="22"/>
          <w:szCs w:val="22"/>
        </w:rPr>
        <w:t>The following publications have been released using data from the 2019 SCS</w:t>
      </w:r>
      <w:r w:rsidR="008142A4">
        <w:rPr>
          <w:rFonts w:asciiTheme="minorHAnsi" w:hAnsiTheme="minorHAnsi" w:eastAsiaTheme="minorEastAsia" w:cstheme="minorHAnsi"/>
          <w:bCs/>
          <w:sz w:val="22"/>
          <w:szCs w:val="22"/>
        </w:rPr>
        <w:t>:</w:t>
      </w:r>
    </w:p>
    <w:p w:rsidR="0069301C" w:rsidP="001A67E9" w:rsidRDefault="0069301C" w14:paraId="0F48E83E" w14:textId="77777777">
      <w:pPr>
        <w:pStyle w:val="ListParagraph"/>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rPr>
          <w:rStyle w:val="Hyperlink"/>
          <w:rFonts w:asciiTheme="minorHAnsi" w:hAnsiTheme="minorHAnsi" w:eastAsiaTheme="minorEastAsia" w:cstheme="minorHAnsi"/>
          <w:i/>
          <w:iCs/>
          <w:color w:val="auto"/>
          <w:sz w:val="22"/>
          <w:szCs w:val="22"/>
          <w:u w:val="none"/>
        </w:rPr>
      </w:pPr>
    </w:p>
    <w:p w:rsidRPr="00C4515C" w:rsidR="000B46DD" w:rsidP="001A67E9" w:rsidRDefault="000B46DD" w14:paraId="25EC35E1" w14:textId="4E1B7AF5">
      <w:pPr>
        <w:pStyle w:val="ListParagraph"/>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rPr>
          <w:rStyle w:val="Hyperlink"/>
          <w:rFonts w:asciiTheme="minorHAnsi" w:hAnsiTheme="minorHAnsi" w:eastAsiaTheme="minorEastAsia" w:cstheme="minorHAnsi"/>
          <w:iCs/>
          <w:color w:val="auto"/>
          <w:sz w:val="22"/>
          <w:szCs w:val="22"/>
          <w:u w:val="none"/>
        </w:rPr>
      </w:pPr>
      <w:r w:rsidRPr="00C4515C">
        <w:rPr>
          <w:rStyle w:val="Hyperlink"/>
          <w:rFonts w:asciiTheme="minorHAnsi" w:hAnsiTheme="minorHAnsi" w:eastAsiaTheme="minorEastAsia" w:cstheme="minorHAnsi"/>
          <w:i/>
          <w:iCs/>
          <w:color w:val="auto"/>
          <w:sz w:val="22"/>
          <w:szCs w:val="22"/>
          <w:u w:val="none"/>
        </w:rPr>
        <w:t>Report on the Condition of Education, 2021</w:t>
      </w:r>
      <w:r w:rsidRPr="00C4515C">
        <w:rPr>
          <w:rStyle w:val="Hyperlink"/>
          <w:rFonts w:asciiTheme="minorHAnsi" w:hAnsiTheme="minorHAnsi" w:eastAsiaTheme="minorEastAsia" w:cstheme="minorHAnsi"/>
          <w:iCs/>
          <w:color w:val="auto"/>
          <w:sz w:val="22"/>
          <w:szCs w:val="22"/>
          <w:u w:val="none"/>
        </w:rPr>
        <w:t xml:space="preserve"> (NCES 2021144)</w:t>
      </w:r>
    </w:p>
    <w:p w:rsidRPr="00C4515C" w:rsidR="000B46DD" w:rsidP="001A67E9" w:rsidRDefault="00F60272" w14:paraId="71DBB940" w14:textId="77777777">
      <w:pPr>
        <w:pStyle w:val="ListParagraph"/>
        <w:tabs>
          <w:tab w:val="left" w:pos="450"/>
          <w:tab w:val="left" w:pos="72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hanging="180"/>
        <w:rPr>
          <w:rStyle w:val="Hyperlink"/>
          <w:rFonts w:asciiTheme="minorHAnsi" w:hAnsiTheme="minorHAnsi" w:eastAsiaTheme="minorEastAsia" w:cstheme="minorHAnsi"/>
          <w:iCs/>
          <w:color w:val="auto"/>
          <w:sz w:val="22"/>
          <w:szCs w:val="22"/>
          <w:u w:val="none"/>
        </w:rPr>
      </w:pPr>
      <w:hyperlink w:history="1" r:id="rId15">
        <w:r w:rsidRPr="00C4515C" w:rsidR="000B46DD">
          <w:rPr>
            <w:rStyle w:val="Hyperlink"/>
            <w:rFonts w:asciiTheme="minorHAnsi" w:hAnsiTheme="minorHAnsi" w:eastAsiaTheme="minorEastAsia" w:cstheme="minorHAnsi"/>
            <w:iCs/>
            <w:sz w:val="22"/>
            <w:szCs w:val="22"/>
          </w:rPr>
          <w:t>https://nces.ed.gov/pubsearch/pubsinfo.asp?pubid=2021144</w:t>
        </w:r>
      </w:hyperlink>
    </w:p>
    <w:p w:rsidRPr="00C4515C" w:rsidR="000B46DD" w:rsidP="000B46DD" w:rsidRDefault="000B46DD" w14:paraId="155EB527" w14:textId="77777777">
      <w:pPr>
        <w:pStyle w:val="ListParagraph"/>
        <w:tabs>
          <w:tab w:val="left" w:pos="45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Style w:val="Hyperlink"/>
          <w:rFonts w:asciiTheme="minorHAnsi" w:hAnsiTheme="minorHAnsi" w:eastAsiaTheme="minorEastAsia" w:cstheme="minorHAnsi"/>
          <w:iCs/>
          <w:color w:val="auto"/>
          <w:sz w:val="22"/>
          <w:szCs w:val="22"/>
          <w:highlight w:val="yellow"/>
          <w:u w:val="none"/>
        </w:rPr>
      </w:pPr>
    </w:p>
    <w:p w:rsidRPr="00C4515C" w:rsidR="000B46DD" w:rsidP="0069301C" w:rsidRDefault="000B46DD" w14:paraId="6D585808" w14:textId="77777777">
      <w:pPr>
        <w:tabs>
          <w:tab w:val="left" w:pos="540"/>
        </w:tabs>
        <w:autoSpaceDE/>
        <w:autoSpaceDN/>
        <w:adjustRightInd/>
        <w:ind w:left="547"/>
        <w:rPr>
          <w:rFonts w:asciiTheme="minorHAnsi" w:hAnsiTheme="minorHAnsi" w:eastAsiaTheme="minorEastAsia" w:cstheme="minorHAnsi"/>
          <w:sz w:val="22"/>
          <w:szCs w:val="22"/>
        </w:rPr>
      </w:pPr>
      <w:r>
        <w:rPr>
          <w:rFonts w:asciiTheme="minorHAnsi" w:hAnsiTheme="minorHAnsi" w:eastAsiaTheme="minorEastAsia" w:cstheme="minorHAnsi"/>
          <w:i/>
          <w:iCs/>
          <w:sz w:val="22"/>
          <w:szCs w:val="22"/>
        </w:rPr>
        <w:t xml:space="preserve">Report on </w:t>
      </w:r>
      <w:r w:rsidRPr="00C4515C">
        <w:rPr>
          <w:rFonts w:asciiTheme="minorHAnsi" w:hAnsiTheme="minorHAnsi" w:eastAsiaTheme="minorEastAsia" w:cstheme="minorHAnsi"/>
          <w:i/>
          <w:iCs/>
          <w:sz w:val="22"/>
          <w:szCs w:val="22"/>
        </w:rPr>
        <w:t xml:space="preserve">Indicators of School Crime and Safety: 2020 </w:t>
      </w:r>
      <w:r w:rsidRPr="00C4515C">
        <w:rPr>
          <w:rFonts w:asciiTheme="minorHAnsi" w:hAnsiTheme="minorHAnsi" w:eastAsiaTheme="minorEastAsia" w:cstheme="minorHAnsi"/>
          <w:sz w:val="22"/>
          <w:szCs w:val="22"/>
        </w:rPr>
        <w:t>(NCES 2021092)</w:t>
      </w:r>
    </w:p>
    <w:p w:rsidRPr="00C4515C" w:rsidR="000B46DD" w:rsidP="0069301C" w:rsidRDefault="00F60272" w14:paraId="713613F4" w14:textId="77777777">
      <w:pPr>
        <w:autoSpaceDE/>
        <w:autoSpaceDN/>
        <w:adjustRightInd/>
        <w:ind w:left="547"/>
        <w:rPr>
          <w:rFonts w:asciiTheme="minorHAnsi" w:hAnsiTheme="minorHAnsi" w:eastAsiaTheme="minorEastAsia" w:cstheme="minorHAnsi"/>
          <w:sz w:val="22"/>
          <w:szCs w:val="22"/>
        </w:rPr>
      </w:pPr>
      <w:hyperlink w:history="1" r:id="rId16">
        <w:r w:rsidRPr="00C4515C" w:rsidR="000B46DD">
          <w:rPr>
            <w:rStyle w:val="Hyperlink"/>
            <w:rFonts w:asciiTheme="minorHAnsi" w:hAnsiTheme="minorHAnsi" w:eastAsiaTheme="minorEastAsia" w:cstheme="minorHAnsi"/>
            <w:sz w:val="22"/>
            <w:szCs w:val="22"/>
          </w:rPr>
          <w:t>https://nces.ed.gov/pubsearch/pubsinfo.asp?pubid=2021092</w:t>
        </w:r>
      </w:hyperlink>
    </w:p>
    <w:p w:rsidR="007765C6" w:rsidRDefault="007765C6" w14:paraId="15D9111B" w14:textId="77777777">
      <w:pPr>
        <w:autoSpaceDE/>
        <w:autoSpaceDN/>
        <w:adjustRightInd/>
        <w:rPr>
          <w:rFonts w:asciiTheme="minorHAnsi" w:hAnsiTheme="minorHAnsi" w:eastAsiaTheme="minorEastAsia" w:cstheme="minorHAnsi"/>
          <w:sz w:val="22"/>
          <w:szCs w:val="22"/>
        </w:rPr>
      </w:pPr>
      <w:r>
        <w:rPr>
          <w:rFonts w:asciiTheme="minorHAnsi" w:hAnsiTheme="minorHAnsi" w:eastAsiaTheme="minorEastAsia" w:cstheme="minorHAnsi"/>
          <w:sz w:val="22"/>
          <w:szCs w:val="22"/>
        </w:rPr>
        <w:br w:type="page"/>
      </w:r>
    </w:p>
    <w:p w:rsidR="000B46DD" w:rsidP="001A67E9" w:rsidRDefault="000B46DD" w14:paraId="42A86AF5" w14:textId="5002C8AA">
      <w:pPr>
        <w:autoSpaceDE/>
        <w:autoSpaceDN/>
        <w:adjustRightInd/>
        <w:spacing w:after="60"/>
        <w:ind w:left="54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lastRenderedPageBreak/>
        <w:t>Eight of the 22 indicators in the report are based on SCS data. These include –</w:t>
      </w:r>
    </w:p>
    <w:p w:rsidRPr="005842EB" w:rsidR="000B46DD" w:rsidP="000B46DD" w:rsidRDefault="000B46DD" w14:paraId="521C0175" w14:textId="77777777">
      <w:pPr>
        <w:pStyle w:val="ListParagraph"/>
        <w:numPr>
          <w:ilvl w:val="0"/>
          <w:numId w:val="16"/>
        </w:numPr>
        <w:spacing w:after="60"/>
        <w:rPr>
          <w:rFonts w:asciiTheme="minorHAnsi" w:hAnsiTheme="minorHAnsi" w:eastAsiaTheme="minorEastAsia" w:cstheme="minorHAnsi"/>
          <w:sz w:val="22"/>
          <w:szCs w:val="22"/>
        </w:rPr>
      </w:pPr>
      <w:r w:rsidRPr="005842EB">
        <w:rPr>
          <w:rFonts w:asciiTheme="minorHAnsi" w:hAnsiTheme="minorHAnsi" w:eastAsiaTheme="minorEastAsia" w:cstheme="minorHAnsi"/>
          <w:sz w:val="22"/>
          <w:szCs w:val="22"/>
        </w:rPr>
        <w:t>Prevalence of Victimization at School</w:t>
      </w:r>
    </w:p>
    <w:p w:rsidRPr="005842EB" w:rsidR="000B46DD" w:rsidP="000B46DD" w:rsidRDefault="000B46DD" w14:paraId="1770D826" w14:textId="77777777">
      <w:pPr>
        <w:pStyle w:val="ListParagraph"/>
        <w:numPr>
          <w:ilvl w:val="0"/>
          <w:numId w:val="16"/>
        </w:numPr>
        <w:spacing w:after="60"/>
        <w:rPr>
          <w:rFonts w:asciiTheme="minorHAnsi" w:hAnsiTheme="minorHAnsi" w:eastAsiaTheme="minorEastAsia" w:cstheme="minorHAnsi"/>
          <w:sz w:val="22"/>
          <w:szCs w:val="22"/>
        </w:rPr>
      </w:pPr>
      <w:r w:rsidRPr="005842EB">
        <w:rPr>
          <w:rFonts w:asciiTheme="minorHAnsi" w:hAnsiTheme="minorHAnsi" w:eastAsiaTheme="minorEastAsia" w:cstheme="minorHAnsi"/>
          <w:sz w:val="22"/>
          <w:szCs w:val="22"/>
        </w:rPr>
        <w:t>Students’ Reports of Gangs at School</w:t>
      </w:r>
    </w:p>
    <w:p w:rsidRPr="005842EB" w:rsidR="000B46DD" w:rsidP="000B46DD" w:rsidRDefault="000B46DD" w14:paraId="5F20D9D5" w14:textId="77777777">
      <w:pPr>
        <w:pStyle w:val="ListParagraph"/>
        <w:numPr>
          <w:ilvl w:val="0"/>
          <w:numId w:val="16"/>
        </w:numPr>
        <w:spacing w:after="60"/>
        <w:rPr>
          <w:rFonts w:asciiTheme="minorHAnsi" w:hAnsiTheme="minorHAnsi" w:eastAsiaTheme="minorEastAsia" w:cstheme="minorHAnsi"/>
          <w:sz w:val="22"/>
          <w:szCs w:val="22"/>
        </w:rPr>
      </w:pPr>
      <w:r w:rsidRPr="005842EB">
        <w:rPr>
          <w:rFonts w:asciiTheme="minorHAnsi" w:hAnsiTheme="minorHAnsi" w:eastAsiaTheme="minorEastAsia" w:cstheme="minorHAnsi"/>
          <w:sz w:val="22"/>
          <w:szCs w:val="22"/>
        </w:rPr>
        <w:t>Students’ Reports of Hate-Related Words and Seeing Hate-Related Graffiti</w:t>
      </w:r>
    </w:p>
    <w:p w:rsidRPr="005842EB" w:rsidR="000B46DD" w:rsidP="000B46DD" w:rsidRDefault="000B46DD" w14:paraId="0A51AAC8" w14:textId="77777777">
      <w:pPr>
        <w:pStyle w:val="ListParagraph"/>
        <w:numPr>
          <w:ilvl w:val="0"/>
          <w:numId w:val="16"/>
        </w:numPr>
        <w:spacing w:after="60"/>
        <w:rPr>
          <w:rFonts w:asciiTheme="minorHAnsi" w:hAnsiTheme="minorHAnsi" w:eastAsiaTheme="minorEastAsia" w:cstheme="minorHAnsi"/>
          <w:sz w:val="22"/>
          <w:szCs w:val="22"/>
        </w:rPr>
      </w:pPr>
      <w:r w:rsidRPr="005842EB">
        <w:rPr>
          <w:rFonts w:asciiTheme="minorHAnsi" w:hAnsiTheme="minorHAnsi" w:eastAsiaTheme="minorEastAsia" w:cstheme="minorHAnsi"/>
          <w:sz w:val="22"/>
          <w:szCs w:val="22"/>
        </w:rPr>
        <w:t>Bullying at School and Electronic Bullying</w:t>
      </w:r>
    </w:p>
    <w:p w:rsidRPr="005842EB" w:rsidR="000B46DD" w:rsidP="000B46DD" w:rsidRDefault="000B46DD" w14:paraId="7A116B6E" w14:textId="77777777">
      <w:pPr>
        <w:pStyle w:val="ListParagraph"/>
        <w:numPr>
          <w:ilvl w:val="0"/>
          <w:numId w:val="16"/>
        </w:numPr>
        <w:spacing w:after="60"/>
        <w:rPr>
          <w:rFonts w:asciiTheme="minorHAnsi" w:hAnsiTheme="minorHAnsi" w:eastAsiaTheme="minorEastAsia" w:cstheme="minorHAnsi"/>
          <w:sz w:val="22"/>
          <w:szCs w:val="22"/>
        </w:rPr>
      </w:pPr>
      <w:r w:rsidRPr="005842EB">
        <w:rPr>
          <w:rFonts w:asciiTheme="minorHAnsi" w:hAnsiTheme="minorHAnsi" w:eastAsiaTheme="minorEastAsia" w:cstheme="minorHAnsi"/>
          <w:sz w:val="22"/>
          <w:szCs w:val="22"/>
        </w:rPr>
        <w:t>Students Carrying Weapons on School Property and Anywhere and Students’ Access to Firearms</w:t>
      </w:r>
    </w:p>
    <w:p w:rsidRPr="005842EB" w:rsidR="000B46DD" w:rsidP="000B46DD" w:rsidRDefault="000B46DD" w14:paraId="095364AF" w14:textId="5B4C9043">
      <w:pPr>
        <w:pStyle w:val="ListParagraph"/>
        <w:numPr>
          <w:ilvl w:val="0"/>
          <w:numId w:val="16"/>
        </w:numPr>
        <w:spacing w:after="60"/>
        <w:rPr>
          <w:rFonts w:asciiTheme="minorHAnsi" w:hAnsiTheme="minorHAnsi" w:eastAsiaTheme="minorEastAsia" w:cstheme="minorHAnsi"/>
          <w:sz w:val="22"/>
          <w:szCs w:val="22"/>
        </w:rPr>
      </w:pPr>
      <w:r w:rsidRPr="005842EB">
        <w:rPr>
          <w:rFonts w:asciiTheme="minorHAnsi" w:hAnsiTheme="minorHAnsi" w:eastAsiaTheme="minorEastAsia" w:cstheme="minorHAnsi"/>
          <w:sz w:val="22"/>
          <w:szCs w:val="22"/>
        </w:rPr>
        <w:t xml:space="preserve">Students’ Perceptions of Personal Safety at School and Away </w:t>
      </w:r>
      <w:r w:rsidR="00B305B3">
        <w:rPr>
          <w:rFonts w:asciiTheme="minorHAnsi" w:hAnsiTheme="minorHAnsi" w:eastAsiaTheme="minorEastAsia" w:cstheme="minorHAnsi"/>
          <w:sz w:val="22"/>
          <w:szCs w:val="22"/>
        </w:rPr>
        <w:t>f</w:t>
      </w:r>
      <w:r w:rsidRPr="005842EB">
        <w:rPr>
          <w:rFonts w:asciiTheme="minorHAnsi" w:hAnsiTheme="minorHAnsi" w:eastAsiaTheme="minorEastAsia" w:cstheme="minorHAnsi"/>
          <w:sz w:val="22"/>
          <w:szCs w:val="22"/>
        </w:rPr>
        <w:t>rom School</w:t>
      </w:r>
    </w:p>
    <w:p w:rsidRPr="005842EB" w:rsidR="000B46DD" w:rsidP="000B46DD" w:rsidRDefault="000B46DD" w14:paraId="5F4A3BA7" w14:textId="77777777">
      <w:pPr>
        <w:pStyle w:val="ListParagraph"/>
        <w:numPr>
          <w:ilvl w:val="0"/>
          <w:numId w:val="16"/>
        </w:numPr>
        <w:spacing w:after="60"/>
        <w:rPr>
          <w:rFonts w:asciiTheme="minorHAnsi" w:hAnsiTheme="minorHAnsi" w:eastAsiaTheme="minorEastAsia" w:cstheme="minorHAnsi"/>
          <w:sz w:val="22"/>
          <w:szCs w:val="22"/>
        </w:rPr>
      </w:pPr>
      <w:r w:rsidRPr="005842EB">
        <w:rPr>
          <w:rFonts w:asciiTheme="minorHAnsi" w:hAnsiTheme="minorHAnsi" w:eastAsiaTheme="minorEastAsia" w:cstheme="minorHAnsi"/>
          <w:sz w:val="22"/>
          <w:szCs w:val="22"/>
        </w:rPr>
        <w:t>Students’ Reports of Avoiding School Activities or Classes or Specific Places in School</w:t>
      </w:r>
    </w:p>
    <w:p w:rsidRPr="005842EB" w:rsidR="000B46DD" w:rsidP="000B46DD" w:rsidRDefault="000B46DD" w14:paraId="3DDF6AB5" w14:textId="77777777">
      <w:pPr>
        <w:pStyle w:val="ListParagraph"/>
        <w:numPr>
          <w:ilvl w:val="0"/>
          <w:numId w:val="16"/>
        </w:numPr>
        <w:spacing w:after="60"/>
        <w:rPr>
          <w:rFonts w:asciiTheme="minorHAnsi" w:hAnsiTheme="minorHAnsi" w:eastAsiaTheme="minorEastAsia" w:cstheme="minorHAnsi"/>
          <w:sz w:val="22"/>
          <w:szCs w:val="22"/>
        </w:rPr>
      </w:pPr>
      <w:r w:rsidRPr="005842EB">
        <w:rPr>
          <w:rFonts w:asciiTheme="minorHAnsi" w:hAnsiTheme="minorHAnsi" w:eastAsiaTheme="minorEastAsia" w:cstheme="minorHAnsi"/>
          <w:sz w:val="22"/>
          <w:szCs w:val="22"/>
        </w:rPr>
        <w:t>Students’ Reports of Safety and Security Measures Observed at School</w:t>
      </w:r>
    </w:p>
    <w:p w:rsidR="00B305B3" w:rsidP="00F06055" w:rsidRDefault="00B305B3" w14:paraId="7CCF2435" w14:textId="77777777">
      <w:pPr>
        <w:pStyle w:val="ListParagraph"/>
        <w:keepNext/>
        <w:keepLines/>
        <w:spacing w:before="100" w:beforeAutospacing="1" w:after="120"/>
        <w:ind w:left="270"/>
        <w:outlineLvl w:val="2"/>
        <w:rPr>
          <w:rFonts w:asciiTheme="minorHAnsi" w:hAnsiTheme="minorHAnsi" w:eastAsiaTheme="minorEastAsia" w:cstheme="minorHAnsi"/>
          <w:sz w:val="22"/>
          <w:szCs w:val="22"/>
        </w:rPr>
      </w:pPr>
    </w:p>
    <w:p w:rsidRPr="00C4515C" w:rsidR="00124757" w:rsidP="00F06055" w:rsidRDefault="00F06055" w14:paraId="6C777BA5" w14:textId="23472E7D">
      <w:pPr>
        <w:pStyle w:val="ListParagraph"/>
        <w:keepNext/>
        <w:keepLines/>
        <w:spacing w:before="100" w:beforeAutospacing="1" w:after="120"/>
        <w:ind w:left="270"/>
        <w:outlineLvl w:val="2"/>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 xml:space="preserve">17. </w:t>
      </w:r>
      <w:r w:rsidRPr="00C4515C" w:rsidR="00BA64D5">
        <w:rPr>
          <w:rFonts w:asciiTheme="minorHAnsi" w:hAnsiTheme="minorHAnsi" w:eastAsiaTheme="minorEastAsia" w:cstheme="minorHAnsi"/>
          <w:sz w:val="22"/>
          <w:szCs w:val="22"/>
          <w:u w:val="single"/>
        </w:rPr>
        <w:t>Display of Expiration Date</w:t>
      </w:r>
    </w:p>
    <w:p w:rsidRPr="00C4515C" w:rsidR="00124757" w:rsidP="00F06055" w:rsidRDefault="0022421A" w14:paraId="3ECF4C72" w14:textId="0BAE44E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contextualSpacing/>
        <w:rPr>
          <w:rFonts w:asciiTheme="minorHAnsi" w:hAnsiTheme="minorHAnsi" w:eastAsiaTheme="minorEastAsia" w:cstheme="minorHAnsi"/>
          <w:sz w:val="22"/>
          <w:szCs w:val="22"/>
        </w:rPr>
      </w:pPr>
      <w:r w:rsidRPr="0022421A">
        <w:rPr>
          <w:rFonts w:asciiTheme="minorHAnsi" w:hAnsiTheme="minorHAnsi" w:eastAsiaTheme="minorEastAsia" w:cstheme="minorHAnsi"/>
          <w:sz w:val="22"/>
          <w:szCs w:val="22"/>
        </w:rPr>
        <w:t xml:space="preserve">The OMB approval number and expiration date will be displayed on the </w:t>
      </w:r>
      <w:r>
        <w:rPr>
          <w:rFonts w:asciiTheme="minorHAnsi" w:hAnsiTheme="minorHAnsi" w:eastAsiaTheme="minorEastAsia" w:cstheme="minorHAnsi"/>
          <w:sz w:val="22"/>
          <w:szCs w:val="22"/>
        </w:rPr>
        <w:t>SCS</w:t>
      </w:r>
      <w:r w:rsidRPr="0022421A">
        <w:rPr>
          <w:rFonts w:asciiTheme="minorHAnsi" w:hAnsiTheme="minorHAnsi" w:eastAsiaTheme="minorEastAsia" w:cstheme="minorHAnsi"/>
          <w:sz w:val="22"/>
          <w:szCs w:val="22"/>
        </w:rPr>
        <w:t xml:space="preserve"> introduction screen within the CAPI instrument. The final </w:t>
      </w:r>
      <w:r>
        <w:rPr>
          <w:rFonts w:asciiTheme="minorHAnsi" w:hAnsiTheme="minorHAnsi" w:eastAsiaTheme="minorEastAsia" w:cstheme="minorHAnsi"/>
          <w:sz w:val="22"/>
          <w:szCs w:val="22"/>
        </w:rPr>
        <w:t>SCS</w:t>
      </w:r>
      <w:r w:rsidRPr="0022421A">
        <w:rPr>
          <w:rFonts w:asciiTheme="minorHAnsi" w:hAnsiTheme="minorHAnsi" w:eastAsiaTheme="minorEastAsia" w:cstheme="minorHAnsi"/>
          <w:sz w:val="22"/>
          <w:szCs w:val="22"/>
        </w:rPr>
        <w:t xml:space="preserve"> CAPI instrument for fielding in </w:t>
      </w:r>
      <w:r>
        <w:rPr>
          <w:rFonts w:asciiTheme="minorHAnsi" w:hAnsiTheme="minorHAnsi" w:eastAsiaTheme="minorEastAsia" w:cstheme="minorHAnsi"/>
          <w:sz w:val="22"/>
          <w:szCs w:val="22"/>
        </w:rPr>
        <w:t>January</w:t>
      </w:r>
      <w:r w:rsidRPr="0022421A">
        <w:rPr>
          <w:rFonts w:asciiTheme="minorHAnsi" w:hAnsiTheme="minorHAnsi" w:eastAsiaTheme="minorEastAsia" w:cstheme="minorHAnsi"/>
          <w:sz w:val="22"/>
          <w:szCs w:val="22"/>
        </w:rPr>
        <w:t xml:space="preserve"> 202</w:t>
      </w:r>
      <w:r>
        <w:rPr>
          <w:rFonts w:asciiTheme="minorHAnsi" w:hAnsiTheme="minorHAnsi" w:eastAsiaTheme="minorEastAsia" w:cstheme="minorHAnsi"/>
          <w:sz w:val="22"/>
          <w:szCs w:val="22"/>
        </w:rPr>
        <w:t>2</w:t>
      </w:r>
      <w:r w:rsidRPr="0022421A">
        <w:rPr>
          <w:rFonts w:asciiTheme="minorHAnsi" w:hAnsiTheme="minorHAnsi" w:eastAsiaTheme="minorEastAsia" w:cstheme="minorHAnsi"/>
          <w:sz w:val="22"/>
          <w:szCs w:val="22"/>
        </w:rPr>
        <w:t xml:space="preserve"> must be finalized and put into the Census </w:t>
      </w:r>
      <w:r w:rsidR="008142A4">
        <w:rPr>
          <w:rFonts w:asciiTheme="minorHAnsi" w:hAnsiTheme="minorHAnsi" w:eastAsiaTheme="minorEastAsia" w:cstheme="minorHAnsi"/>
          <w:sz w:val="22"/>
          <w:szCs w:val="22"/>
        </w:rPr>
        <w:t xml:space="preserve">Bureau </w:t>
      </w:r>
      <w:r w:rsidRPr="0022421A">
        <w:rPr>
          <w:rFonts w:asciiTheme="minorHAnsi" w:hAnsiTheme="minorHAnsi" w:eastAsiaTheme="minorEastAsia" w:cstheme="minorHAnsi"/>
          <w:sz w:val="22"/>
          <w:szCs w:val="22"/>
        </w:rPr>
        <w:t xml:space="preserve">production system in </w:t>
      </w:r>
      <w:r>
        <w:rPr>
          <w:rFonts w:asciiTheme="minorHAnsi" w:hAnsiTheme="minorHAnsi" w:eastAsiaTheme="minorEastAsia" w:cstheme="minorHAnsi"/>
          <w:sz w:val="22"/>
          <w:szCs w:val="22"/>
        </w:rPr>
        <w:t>November</w:t>
      </w:r>
      <w:r w:rsidRPr="0022421A">
        <w:rPr>
          <w:rFonts w:asciiTheme="minorHAnsi" w:hAnsiTheme="minorHAnsi" w:eastAsiaTheme="minorEastAsia" w:cstheme="minorHAnsi"/>
          <w:sz w:val="22"/>
          <w:szCs w:val="22"/>
        </w:rPr>
        <w:t xml:space="preserve"> 2021.</w:t>
      </w:r>
    </w:p>
    <w:p w:rsidRPr="00C4515C" w:rsidR="00BA64D5" w:rsidP="0026181D" w:rsidRDefault="00BA64D5" w14:paraId="31B493A5"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360" w:hanging="25"/>
        <w:rPr>
          <w:rFonts w:asciiTheme="minorHAnsi" w:hAnsiTheme="minorHAnsi" w:cstheme="minorHAnsi"/>
          <w:sz w:val="22"/>
          <w:szCs w:val="22"/>
        </w:rPr>
      </w:pPr>
    </w:p>
    <w:p w:rsidRPr="00C4515C" w:rsidR="00124757" w:rsidP="00F06055" w:rsidRDefault="00124757" w14:paraId="10B233AB"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360" w:hanging="9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18.</w:t>
      </w:r>
      <w:r w:rsidRPr="00C4515C" w:rsidR="00F06055">
        <w:rPr>
          <w:rFonts w:asciiTheme="minorHAnsi" w:hAnsiTheme="minorHAnsi" w:eastAsiaTheme="minorEastAsia" w:cstheme="minorHAnsi"/>
          <w:sz w:val="22"/>
          <w:szCs w:val="22"/>
        </w:rPr>
        <w:t xml:space="preserve"> </w:t>
      </w:r>
      <w:r w:rsidRPr="00C4515C">
        <w:rPr>
          <w:rFonts w:asciiTheme="minorHAnsi" w:hAnsiTheme="minorHAnsi" w:eastAsiaTheme="minorEastAsia" w:cstheme="minorHAnsi"/>
          <w:sz w:val="22"/>
          <w:szCs w:val="22"/>
          <w:u w:val="single"/>
        </w:rPr>
        <w:t>Exceptions to the Certificat</w:t>
      </w:r>
      <w:r w:rsidRPr="00C4515C" w:rsidR="0004283D">
        <w:rPr>
          <w:rFonts w:asciiTheme="minorHAnsi" w:hAnsiTheme="minorHAnsi" w:eastAsiaTheme="minorEastAsia" w:cstheme="minorHAnsi"/>
          <w:sz w:val="22"/>
          <w:szCs w:val="22"/>
          <w:u w:val="single"/>
        </w:rPr>
        <w:t>e Statement</w:t>
      </w:r>
    </w:p>
    <w:p w:rsidRPr="00C4515C" w:rsidR="00124757" w:rsidP="00F06055" w:rsidRDefault="008B4FEB" w14:paraId="1F74D2A8"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rPr>
          <w:rFonts w:asciiTheme="minorHAnsi" w:hAnsiTheme="minorHAnsi" w:eastAsiaTheme="minorEastAsia" w:cstheme="minorHAnsi"/>
          <w:sz w:val="22"/>
          <w:szCs w:val="22"/>
        </w:rPr>
      </w:pPr>
      <w:r w:rsidRPr="00C4515C">
        <w:rPr>
          <w:rFonts w:asciiTheme="minorHAnsi" w:hAnsiTheme="minorHAnsi" w:eastAsiaTheme="minorEastAsia" w:cstheme="minorHAnsi"/>
          <w:sz w:val="22"/>
          <w:szCs w:val="22"/>
        </w:rPr>
        <w:t>N/A.</w:t>
      </w:r>
      <w:r w:rsidRPr="00C4515C" w:rsidR="00124757">
        <w:rPr>
          <w:rFonts w:asciiTheme="minorHAnsi" w:hAnsiTheme="minorHAnsi" w:eastAsiaTheme="minorEastAsia" w:cstheme="minorHAnsi"/>
          <w:sz w:val="22"/>
          <w:szCs w:val="22"/>
        </w:rPr>
        <w:t xml:space="preserve"> There are no exceptions to the </w:t>
      </w:r>
      <w:r w:rsidRPr="00C4515C" w:rsidR="0004283D">
        <w:rPr>
          <w:rFonts w:asciiTheme="minorHAnsi" w:hAnsiTheme="minorHAnsi" w:eastAsiaTheme="minorEastAsia" w:cstheme="minorHAnsi"/>
          <w:sz w:val="22"/>
          <w:szCs w:val="22"/>
        </w:rPr>
        <w:t>Certification for Paperwork Reduction Act Submissions. Collection is consistent with the guidelines in 5 CFR 1320.9.</w:t>
      </w:r>
    </w:p>
    <w:p w:rsidRPr="00C4515C" w:rsidR="00124757" w:rsidP="0026181D" w:rsidRDefault="00124757" w14:paraId="5FC23EF6"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360" w:hanging="25"/>
        <w:rPr>
          <w:rFonts w:asciiTheme="minorHAnsi" w:hAnsiTheme="minorHAnsi" w:cstheme="minorHAnsi"/>
          <w:sz w:val="22"/>
          <w:szCs w:val="22"/>
        </w:rPr>
      </w:pPr>
    </w:p>
    <w:sectPr w:rsidRPr="00C4515C" w:rsidR="00124757" w:rsidSect="007C6EFB">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D604D" w14:textId="77777777" w:rsidR="00A0337D" w:rsidRDefault="00A0337D">
      <w:r>
        <w:separator/>
      </w:r>
    </w:p>
    <w:p w14:paraId="0DF42B8A" w14:textId="77777777" w:rsidR="00A0337D" w:rsidRDefault="00A0337D"/>
  </w:endnote>
  <w:endnote w:type="continuationSeparator" w:id="0">
    <w:p w14:paraId="37C0569D" w14:textId="77777777" w:rsidR="00A0337D" w:rsidRDefault="00A0337D">
      <w:r>
        <w:continuationSeparator/>
      </w:r>
    </w:p>
    <w:p w14:paraId="68C78D0A" w14:textId="77777777" w:rsidR="00A0337D" w:rsidRDefault="00A0337D"/>
  </w:endnote>
  <w:endnote w:type="continuationNotice" w:id="1">
    <w:p w14:paraId="5E8538C5" w14:textId="77777777" w:rsidR="00A0337D" w:rsidRDefault="00A03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Century Book">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Myriad Pro">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1526407545"/>
      <w:docPartObj>
        <w:docPartGallery w:val="Page Numbers (Bottom of Page)"/>
        <w:docPartUnique/>
      </w:docPartObj>
    </w:sdtPr>
    <w:sdtEndPr>
      <w:rPr>
        <w:noProof/>
      </w:rPr>
    </w:sdtEndPr>
    <w:sdtContent>
      <w:p w14:paraId="1EB0E9C1" w14:textId="7A04BA98" w:rsidR="00A0337D" w:rsidRPr="00CC1BA1" w:rsidRDefault="00A0337D">
        <w:pPr>
          <w:pStyle w:val="Footer"/>
          <w:jc w:val="right"/>
          <w:rPr>
            <w:rFonts w:asciiTheme="minorHAnsi" w:hAnsiTheme="minorHAnsi" w:cstheme="minorHAnsi"/>
          </w:rPr>
        </w:pPr>
        <w:r w:rsidRPr="00CC1BA1">
          <w:rPr>
            <w:rFonts w:asciiTheme="minorHAnsi" w:hAnsiTheme="minorHAnsi" w:cstheme="minorHAnsi"/>
          </w:rPr>
          <w:fldChar w:fldCharType="begin"/>
        </w:r>
        <w:r w:rsidRPr="00CC1BA1">
          <w:rPr>
            <w:rFonts w:asciiTheme="minorHAnsi" w:hAnsiTheme="minorHAnsi" w:cstheme="minorHAnsi"/>
          </w:rPr>
          <w:instrText xml:space="preserve"> PAGE   \* MERGEFORMAT </w:instrText>
        </w:r>
        <w:r w:rsidRPr="00CC1BA1">
          <w:rPr>
            <w:rFonts w:asciiTheme="minorHAnsi" w:hAnsiTheme="minorHAnsi" w:cstheme="minorHAnsi"/>
          </w:rPr>
          <w:fldChar w:fldCharType="separate"/>
        </w:r>
        <w:r>
          <w:rPr>
            <w:rFonts w:asciiTheme="minorHAnsi" w:hAnsiTheme="minorHAnsi" w:cstheme="minorHAnsi"/>
            <w:noProof/>
          </w:rPr>
          <w:t>13</w:t>
        </w:r>
        <w:r w:rsidRPr="00CC1BA1">
          <w:rPr>
            <w:rFonts w:asciiTheme="minorHAnsi" w:hAnsiTheme="minorHAnsi" w:cstheme="minorHAnsi"/>
            <w:noProof/>
          </w:rPr>
          <w:fldChar w:fldCharType="end"/>
        </w:r>
      </w:p>
    </w:sdtContent>
  </w:sdt>
  <w:p w14:paraId="040456A7" w14:textId="77777777" w:rsidR="00A0337D" w:rsidRDefault="00A0337D">
    <w:pPr>
      <w:pStyle w:val="Footer"/>
    </w:pPr>
  </w:p>
  <w:p w14:paraId="357CE75C" w14:textId="77777777" w:rsidR="00A0337D" w:rsidRDefault="00A033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7A00D" w14:textId="77777777" w:rsidR="00A0337D" w:rsidRDefault="00A0337D">
      <w:r>
        <w:separator/>
      </w:r>
    </w:p>
    <w:p w14:paraId="47B3F541" w14:textId="77777777" w:rsidR="00A0337D" w:rsidRDefault="00A0337D"/>
  </w:footnote>
  <w:footnote w:type="continuationSeparator" w:id="0">
    <w:p w14:paraId="3F179541" w14:textId="77777777" w:rsidR="00A0337D" w:rsidRDefault="00A0337D">
      <w:r>
        <w:continuationSeparator/>
      </w:r>
    </w:p>
    <w:p w14:paraId="06C5B1F0" w14:textId="77777777" w:rsidR="00A0337D" w:rsidRDefault="00A0337D"/>
  </w:footnote>
  <w:footnote w:type="continuationNotice" w:id="1">
    <w:p w14:paraId="08DE0778" w14:textId="77777777" w:rsidR="00A0337D" w:rsidRDefault="00A033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0CF9"/>
    <w:multiLevelType w:val="hybridMultilevel"/>
    <w:tmpl w:val="475CE222"/>
    <w:lvl w:ilvl="0" w:tplc="ADB0B3A0">
      <w:start w:val="1"/>
      <w:numFmt w:val="lowerLetter"/>
      <w:lvlText w:val="%1."/>
      <w:lvlJc w:val="left"/>
      <w:pPr>
        <w:ind w:left="1080" w:hanging="360"/>
      </w:pPr>
      <w:rPr>
        <w:rFonts w:ascii="Times New Roman" w:eastAsia="Calibri" w:hAnsi="Times New Roman" w:cstheme="minorBidi" w:hint="default"/>
        <w:sz w:val="24"/>
      </w:rPr>
    </w:lvl>
    <w:lvl w:ilvl="1" w:tplc="04090019">
      <w:start w:val="1"/>
      <w:numFmt w:val="lowerLetter"/>
      <w:lvlText w:val="%2."/>
      <w:lvlJc w:val="left"/>
      <w:pPr>
        <w:ind w:left="1800" w:hanging="360"/>
      </w:pPr>
    </w:lvl>
    <w:lvl w:ilvl="2" w:tplc="B4443A00">
      <w:start w:val="2"/>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7F2259"/>
    <w:multiLevelType w:val="hybridMultilevel"/>
    <w:tmpl w:val="DE9A4CBC"/>
    <w:lvl w:ilvl="0" w:tplc="76E0EE50">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6B022E"/>
    <w:multiLevelType w:val="hybridMultilevel"/>
    <w:tmpl w:val="AC20D91E"/>
    <w:lvl w:ilvl="0" w:tplc="04090003">
      <w:start w:val="1"/>
      <w:numFmt w:val="bullet"/>
      <w:lvlText w:val="o"/>
      <w:lvlJc w:val="left"/>
      <w:pPr>
        <w:ind w:left="1454" w:hanging="360"/>
      </w:pPr>
      <w:rPr>
        <w:rFonts w:ascii="Courier New" w:hAnsi="Courier New" w:cs="Courier New" w:hint="default"/>
      </w:rPr>
    </w:lvl>
    <w:lvl w:ilvl="1" w:tplc="04090019">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4" w15:restartNumberingAfterBreak="0">
    <w:nsid w:val="2C724624"/>
    <w:multiLevelType w:val="hybridMultilevel"/>
    <w:tmpl w:val="7E4250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F64D7A"/>
    <w:multiLevelType w:val="hybridMultilevel"/>
    <w:tmpl w:val="2D2EC88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31333BFB"/>
    <w:multiLevelType w:val="hybridMultilevel"/>
    <w:tmpl w:val="3AA077AA"/>
    <w:lvl w:ilvl="0" w:tplc="15D862AC">
      <w:start w:val="1"/>
      <w:numFmt w:val="lowerLetter"/>
      <w:pStyle w:val="Tabletextbulletletter"/>
      <w:lvlText w:val="%1."/>
      <w:lvlJc w:val="left"/>
      <w:pPr>
        <w:ind w:left="1306" w:hanging="360"/>
      </w:pPr>
    </w:lvl>
    <w:lvl w:ilvl="1" w:tplc="04090019" w:tentative="1">
      <w:start w:val="1"/>
      <w:numFmt w:val="lowerLetter"/>
      <w:lvlText w:val="%2."/>
      <w:lvlJc w:val="left"/>
      <w:pPr>
        <w:ind w:left="2026" w:hanging="360"/>
      </w:pPr>
    </w:lvl>
    <w:lvl w:ilvl="2" w:tplc="0409001B" w:tentative="1">
      <w:start w:val="1"/>
      <w:numFmt w:val="lowerRoman"/>
      <w:lvlText w:val="%3."/>
      <w:lvlJc w:val="right"/>
      <w:pPr>
        <w:ind w:left="2746" w:hanging="180"/>
      </w:pPr>
    </w:lvl>
    <w:lvl w:ilvl="3" w:tplc="0409000F" w:tentative="1">
      <w:start w:val="1"/>
      <w:numFmt w:val="decimal"/>
      <w:lvlText w:val="%4."/>
      <w:lvlJc w:val="left"/>
      <w:pPr>
        <w:ind w:left="3466" w:hanging="360"/>
      </w:pPr>
    </w:lvl>
    <w:lvl w:ilvl="4" w:tplc="04090019" w:tentative="1">
      <w:start w:val="1"/>
      <w:numFmt w:val="lowerLetter"/>
      <w:lvlText w:val="%5."/>
      <w:lvlJc w:val="left"/>
      <w:pPr>
        <w:ind w:left="4186" w:hanging="360"/>
      </w:pPr>
    </w:lvl>
    <w:lvl w:ilvl="5" w:tplc="0409001B" w:tentative="1">
      <w:start w:val="1"/>
      <w:numFmt w:val="lowerRoman"/>
      <w:lvlText w:val="%6."/>
      <w:lvlJc w:val="right"/>
      <w:pPr>
        <w:ind w:left="4906" w:hanging="180"/>
      </w:pPr>
    </w:lvl>
    <w:lvl w:ilvl="6" w:tplc="0409000F" w:tentative="1">
      <w:start w:val="1"/>
      <w:numFmt w:val="decimal"/>
      <w:lvlText w:val="%7."/>
      <w:lvlJc w:val="left"/>
      <w:pPr>
        <w:ind w:left="5626" w:hanging="360"/>
      </w:pPr>
    </w:lvl>
    <w:lvl w:ilvl="7" w:tplc="04090019" w:tentative="1">
      <w:start w:val="1"/>
      <w:numFmt w:val="lowerLetter"/>
      <w:lvlText w:val="%8."/>
      <w:lvlJc w:val="left"/>
      <w:pPr>
        <w:ind w:left="6346" w:hanging="360"/>
      </w:pPr>
    </w:lvl>
    <w:lvl w:ilvl="8" w:tplc="0409001B" w:tentative="1">
      <w:start w:val="1"/>
      <w:numFmt w:val="lowerRoman"/>
      <w:lvlText w:val="%9."/>
      <w:lvlJc w:val="right"/>
      <w:pPr>
        <w:ind w:left="7066" w:hanging="180"/>
      </w:pPr>
    </w:lvl>
  </w:abstractNum>
  <w:abstractNum w:abstractNumId="7" w15:restartNumberingAfterBreak="0">
    <w:nsid w:val="41D41B80"/>
    <w:multiLevelType w:val="hybridMultilevel"/>
    <w:tmpl w:val="37FAD16A"/>
    <w:lvl w:ilvl="0" w:tplc="8638ABA2">
      <w:start w:val="1"/>
      <w:numFmt w:val="decimal"/>
      <w:lvlText w:val="%1."/>
      <w:lvlJc w:val="left"/>
      <w:pPr>
        <w:ind w:left="484" w:hanging="480"/>
      </w:pPr>
      <w:rPr>
        <w:rFonts w:hint="default"/>
        <w:u w:val="none"/>
      </w:rPr>
    </w:lvl>
    <w:lvl w:ilvl="1" w:tplc="04090019">
      <w:start w:val="1"/>
      <w:numFmt w:val="lowerLetter"/>
      <w:lvlText w:val="%2."/>
      <w:lvlJc w:val="left"/>
      <w:pPr>
        <w:ind w:left="1084" w:hanging="360"/>
      </w:pPr>
    </w:lvl>
    <w:lvl w:ilvl="2" w:tplc="0409001B">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8" w15:restartNumberingAfterBreak="0">
    <w:nsid w:val="4B181698"/>
    <w:multiLevelType w:val="hybridMultilevel"/>
    <w:tmpl w:val="DE50242C"/>
    <w:lvl w:ilvl="0" w:tplc="EF866CC8">
      <w:start w:val="1"/>
      <w:numFmt w:val="upperLetter"/>
      <w:lvlText w:val="%1."/>
      <w:lvlJc w:val="left"/>
      <w:pPr>
        <w:ind w:left="718" w:hanging="360"/>
      </w:pPr>
      <w:rPr>
        <w:rFonts w:hint="default"/>
        <w:b/>
        <w:i w:val="0"/>
      </w:rPr>
    </w:lvl>
    <w:lvl w:ilvl="1" w:tplc="26723CEE">
      <w:start w:val="1"/>
      <w:numFmt w:val="lowerLetter"/>
      <w:lvlText w:val="%2."/>
      <w:lvlJc w:val="left"/>
      <w:pPr>
        <w:ind w:left="1438" w:hanging="360"/>
      </w:pPr>
    </w:lvl>
    <w:lvl w:ilvl="2" w:tplc="052E1696">
      <w:start w:val="1"/>
      <w:numFmt w:val="lowerRoman"/>
      <w:lvlText w:val="%3."/>
      <w:lvlJc w:val="right"/>
      <w:pPr>
        <w:ind w:left="2158" w:hanging="180"/>
      </w:pPr>
    </w:lvl>
    <w:lvl w:ilvl="3" w:tplc="E33289A2">
      <w:start w:val="1"/>
      <w:numFmt w:val="decimal"/>
      <w:lvlText w:val="%4."/>
      <w:lvlJc w:val="left"/>
      <w:pPr>
        <w:ind w:left="2878" w:hanging="360"/>
      </w:pPr>
    </w:lvl>
    <w:lvl w:ilvl="4" w:tplc="9E441048">
      <w:start w:val="1"/>
      <w:numFmt w:val="lowerLetter"/>
      <w:lvlText w:val="%5."/>
      <w:lvlJc w:val="left"/>
      <w:pPr>
        <w:ind w:left="3598" w:hanging="360"/>
      </w:pPr>
    </w:lvl>
    <w:lvl w:ilvl="5" w:tplc="0896C2B8">
      <w:start w:val="1"/>
      <w:numFmt w:val="lowerRoman"/>
      <w:lvlText w:val="%6."/>
      <w:lvlJc w:val="right"/>
      <w:pPr>
        <w:ind w:left="4318" w:hanging="180"/>
      </w:pPr>
    </w:lvl>
    <w:lvl w:ilvl="6" w:tplc="8ED02E78">
      <w:start w:val="1"/>
      <w:numFmt w:val="decimal"/>
      <w:lvlText w:val="%7."/>
      <w:lvlJc w:val="left"/>
      <w:pPr>
        <w:ind w:left="5038" w:hanging="360"/>
      </w:pPr>
    </w:lvl>
    <w:lvl w:ilvl="7" w:tplc="206C33B8">
      <w:start w:val="1"/>
      <w:numFmt w:val="lowerLetter"/>
      <w:lvlText w:val="%8."/>
      <w:lvlJc w:val="left"/>
      <w:pPr>
        <w:ind w:left="5758" w:hanging="360"/>
      </w:pPr>
    </w:lvl>
    <w:lvl w:ilvl="8" w:tplc="6C22B9FA">
      <w:start w:val="1"/>
      <w:numFmt w:val="lowerRoman"/>
      <w:lvlText w:val="%9."/>
      <w:lvlJc w:val="right"/>
      <w:pPr>
        <w:ind w:left="6478" w:hanging="180"/>
      </w:pPr>
    </w:lvl>
  </w:abstractNum>
  <w:abstractNum w:abstractNumId="9" w15:restartNumberingAfterBreak="0">
    <w:nsid w:val="4B3B48BF"/>
    <w:multiLevelType w:val="hybridMultilevel"/>
    <w:tmpl w:val="5E1842BC"/>
    <w:lvl w:ilvl="0" w:tplc="70CEE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8901B6"/>
    <w:multiLevelType w:val="hybridMultilevel"/>
    <w:tmpl w:val="FC6C52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D145E"/>
    <w:multiLevelType w:val="hybridMultilevel"/>
    <w:tmpl w:val="1540C16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B4120B6"/>
    <w:multiLevelType w:val="hybridMultilevel"/>
    <w:tmpl w:val="2A5A3A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6678613F"/>
    <w:multiLevelType w:val="hybridMultilevel"/>
    <w:tmpl w:val="9564B2F6"/>
    <w:lvl w:ilvl="0" w:tplc="C4B050E4">
      <w:start w:val="1"/>
      <w:numFmt w:val="bullet"/>
      <w:pStyle w:val="Bullet"/>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14" w15:restartNumberingAfterBreak="0">
    <w:nsid w:val="69E36C3A"/>
    <w:multiLevelType w:val="hybridMultilevel"/>
    <w:tmpl w:val="58005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DA6190"/>
    <w:multiLevelType w:val="hybridMultilevel"/>
    <w:tmpl w:val="67CEB6BC"/>
    <w:lvl w:ilvl="0" w:tplc="0409000F">
      <w:start w:val="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A7854"/>
    <w:multiLevelType w:val="hybridMultilevel"/>
    <w:tmpl w:val="09B6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13"/>
  </w:num>
  <w:num w:numId="5">
    <w:abstractNumId w:val="4"/>
  </w:num>
  <w:num w:numId="6">
    <w:abstractNumId w:val="1"/>
  </w:num>
  <w:num w:numId="7">
    <w:abstractNumId w:val="6"/>
  </w:num>
  <w:num w:numId="8">
    <w:abstractNumId w:val="2"/>
  </w:num>
  <w:num w:numId="9">
    <w:abstractNumId w:val="14"/>
  </w:num>
  <w:num w:numId="10">
    <w:abstractNumId w:val="10"/>
  </w:num>
  <w:num w:numId="11">
    <w:abstractNumId w:val="0"/>
  </w:num>
  <w:num w:numId="12">
    <w:abstractNumId w:val="15"/>
  </w:num>
  <w:num w:numId="13">
    <w:abstractNumId w:val="16"/>
  </w:num>
  <w:num w:numId="14">
    <w:abstractNumId w:val="9"/>
  </w:num>
  <w:num w:numId="15">
    <w:abstractNumId w:val="11"/>
  </w:num>
  <w:num w:numId="16">
    <w:abstractNumId w:val="5"/>
  </w:num>
  <w:num w:numId="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drawingGridHorizontalSpacing w:val="120"/>
  <w:displayHorizontalDrawingGridEvery w:val="2"/>
  <w:displayVerticalDrawingGridEvery w:val="2"/>
  <w:noPunctuationKerning/>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C5"/>
    <w:rsid w:val="00001076"/>
    <w:rsid w:val="00003164"/>
    <w:rsid w:val="000109CE"/>
    <w:rsid w:val="0001291A"/>
    <w:rsid w:val="00013322"/>
    <w:rsid w:val="00013946"/>
    <w:rsid w:val="00014CCA"/>
    <w:rsid w:val="00014EAF"/>
    <w:rsid w:val="000155C7"/>
    <w:rsid w:val="000214DD"/>
    <w:rsid w:val="0002217C"/>
    <w:rsid w:val="00022D55"/>
    <w:rsid w:val="0002366A"/>
    <w:rsid w:val="000259D6"/>
    <w:rsid w:val="00025DA0"/>
    <w:rsid w:val="00027324"/>
    <w:rsid w:val="000300DD"/>
    <w:rsid w:val="000317C7"/>
    <w:rsid w:val="00033B07"/>
    <w:rsid w:val="00033B93"/>
    <w:rsid w:val="000410D1"/>
    <w:rsid w:val="0004283D"/>
    <w:rsid w:val="000436F9"/>
    <w:rsid w:val="00043FCB"/>
    <w:rsid w:val="000450F1"/>
    <w:rsid w:val="000465DC"/>
    <w:rsid w:val="00046AD4"/>
    <w:rsid w:val="00047C3C"/>
    <w:rsid w:val="0005005E"/>
    <w:rsid w:val="000505EC"/>
    <w:rsid w:val="0005308B"/>
    <w:rsid w:val="00061004"/>
    <w:rsid w:val="000648FE"/>
    <w:rsid w:val="00065F28"/>
    <w:rsid w:val="00070F45"/>
    <w:rsid w:val="00071A9C"/>
    <w:rsid w:val="00073F86"/>
    <w:rsid w:val="0007461E"/>
    <w:rsid w:val="000752B4"/>
    <w:rsid w:val="00077399"/>
    <w:rsid w:val="0007739C"/>
    <w:rsid w:val="000809D0"/>
    <w:rsid w:val="00081128"/>
    <w:rsid w:val="00082468"/>
    <w:rsid w:val="00085A30"/>
    <w:rsid w:val="00090A4E"/>
    <w:rsid w:val="00090EB4"/>
    <w:rsid w:val="00092270"/>
    <w:rsid w:val="00092868"/>
    <w:rsid w:val="00092E5E"/>
    <w:rsid w:val="00093849"/>
    <w:rsid w:val="00095CF5"/>
    <w:rsid w:val="000A091C"/>
    <w:rsid w:val="000A0C52"/>
    <w:rsid w:val="000A406C"/>
    <w:rsid w:val="000A7243"/>
    <w:rsid w:val="000B0989"/>
    <w:rsid w:val="000B46DD"/>
    <w:rsid w:val="000B4FBE"/>
    <w:rsid w:val="000B69E6"/>
    <w:rsid w:val="000C1752"/>
    <w:rsid w:val="000C180F"/>
    <w:rsid w:val="000C2F45"/>
    <w:rsid w:val="000C61DF"/>
    <w:rsid w:val="000D2994"/>
    <w:rsid w:val="000D2EAE"/>
    <w:rsid w:val="000D3A43"/>
    <w:rsid w:val="000D4B32"/>
    <w:rsid w:val="000D51E9"/>
    <w:rsid w:val="000E1296"/>
    <w:rsid w:val="000E24BE"/>
    <w:rsid w:val="000E304E"/>
    <w:rsid w:val="000E4107"/>
    <w:rsid w:val="000F175D"/>
    <w:rsid w:val="000F6F9C"/>
    <w:rsid w:val="000F7C7E"/>
    <w:rsid w:val="0010006B"/>
    <w:rsid w:val="00100877"/>
    <w:rsid w:val="00102E40"/>
    <w:rsid w:val="00103E19"/>
    <w:rsid w:val="001048B1"/>
    <w:rsid w:val="00106324"/>
    <w:rsid w:val="00111BEA"/>
    <w:rsid w:val="00112170"/>
    <w:rsid w:val="0011234A"/>
    <w:rsid w:val="00112B99"/>
    <w:rsid w:val="00115476"/>
    <w:rsid w:val="001154CF"/>
    <w:rsid w:val="0011626F"/>
    <w:rsid w:val="00116731"/>
    <w:rsid w:val="00120A0D"/>
    <w:rsid w:val="00120B74"/>
    <w:rsid w:val="0012313B"/>
    <w:rsid w:val="00124757"/>
    <w:rsid w:val="00125435"/>
    <w:rsid w:val="00125BE8"/>
    <w:rsid w:val="0012683F"/>
    <w:rsid w:val="0013003D"/>
    <w:rsid w:val="00130096"/>
    <w:rsid w:val="00130F3B"/>
    <w:rsid w:val="001319CD"/>
    <w:rsid w:val="00134250"/>
    <w:rsid w:val="00135A71"/>
    <w:rsid w:val="00136105"/>
    <w:rsid w:val="00136460"/>
    <w:rsid w:val="00136BFF"/>
    <w:rsid w:val="00140038"/>
    <w:rsid w:val="001409BF"/>
    <w:rsid w:val="00140CAE"/>
    <w:rsid w:val="00141E36"/>
    <w:rsid w:val="001423B3"/>
    <w:rsid w:val="001526FB"/>
    <w:rsid w:val="00162DB5"/>
    <w:rsid w:val="0016308A"/>
    <w:rsid w:val="00163386"/>
    <w:rsid w:val="0016396B"/>
    <w:rsid w:val="00164B38"/>
    <w:rsid w:val="001652F6"/>
    <w:rsid w:val="00167364"/>
    <w:rsid w:val="001713F7"/>
    <w:rsid w:val="00171EC4"/>
    <w:rsid w:val="001726A5"/>
    <w:rsid w:val="0017304F"/>
    <w:rsid w:val="00173275"/>
    <w:rsid w:val="00176E65"/>
    <w:rsid w:val="00177464"/>
    <w:rsid w:val="0017780B"/>
    <w:rsid w:val="0018012F"/>
    <w:rsid w:val="0018053E"/>
    <w:rsid w:val="00184C95"/>
    <w:rsid w:val="00185AF2"/>
    <w:rsid w:val="00186A54"/>
    <w:rsid w:val="001911F3"/>
    <w:rsid w:val="00192628"/>
    <w:rsid w:val="00193D2B"/>
    <w:rsid w:val="001948EF"/>
    <w:rsid w:val="001951BD"/>
    <w:rsid w:val="00196050"/>
    <w:rsid w:val="00196705"/>
    <w:rsid w:val="001A1E9B"/>
    <w:rsid w:val="001A67E9"/>
    <w:rsid w:val="001A73A7"/>
    <w:rsid w:val="001B0370"/>
    <w:rsid w:val="001B065D"/>
    <w:rsid w:val="001B0968"/>
    <w:rsid w:val="001B0F55"/>
    <w:rsid w:val="001B1F57"/>
    <w:rsid w:val="001B4276"/>
    <w:rsid w:val="001B4E7C"/>
    <w:rsid w:val="001B7D34"/>
    <w:rsid w:val="001C1313"/>
    <w:rsid w:val="001C1CDD"/>
    <w:rsid w:val="001C4E17"/>
    <w:rsid w:val="001C5162"/>
    <w:rsid w:val="001C5F07"/>
    <w:rsid w:val="001C6F73"/>
    <w:rsid w:val="001D118E"/>
    <w:rsid w:val="001D156C"/>
    <w:rsid w:val="001D35E6"/>
    <w:rsid w:val="001D3DE3"/>
    <w:rsid w:val="001D4E37"/>
    <w:rsid w:val="001E2910"/>
    <w:rsid w:val="001E2B3A"/>
    <w:rsid w:val="001E37B9"/>
    <w:rsid w:val="001E41FF"/>
    <w:rsid w:val="001F5D9A"/>
    <w:rsid w:val="001F6C8C"/>
    <w:rsid w:val="00203596"/>
    <w:rsid w:val="002066D6"/>
    <w:rsid w:val="00207D84"/>
    <w:rsid w:val="00211515"/>
    <w:rsid w:val="00211BB4"/>
    <w:rsid w:val="00213FB4"/>
    <w:rsid w:val="00215EDD"/>
    <w:rsid w:val="002164C9"/>
    <w:rsid w:val="002165EA"/>
    <w:rsid w:val="00217B3E"/>
    <w:rsid w:val="002208CD"/>
    <w:rsid w:val="0022115F"/>
    <w:rsid w:val="00221B79"/>
    <w:rsid w:val="00222C4C"/>
    <w:rsid w:val="00223702"/>
    <w:rsid w:val="002237DA"/>
    <w:rsid w:val="0022421A"/>
    <w:rsid w:val="002256B3"/>
    <w:rsid w:val="0022616E"/>
    <w:rsid w:val="00226A0C"/>
    <w:rsid w:val="00227801"/>
    <w:rsid w:val="0023178D"/>
    <w:rsid w:val="002338A8"/>
    <w:rsid w:val="00237A6A"/>
    <w:rsid w:val="00240D13"/>
    <w:rsid w:val="00241C08"/>
    <w:rsid w:val="0024245B"/>
    <w:rsid w:val="002459E4"/>
    <w:rsid w:val="00245A50"/>
    <w:rsid w:val="00246CC2"/>
    <w:rsid w:val="0025202B"/>
    <w:rsid w:val="00254F1A"/>
    <w:rsid w:val="00256F2D"/>
    <w:rsid w:val="0026181D"/>
    <w:rsid w:val="00263987"/>
    <w:rsid w:val="002639F1"/>
    <w:rsid w:val="002640EB"/>
    <w:rsid w:val="00265098"/>
    <w:rsid w:val="002700E6"/>
    <w:rsid w:val="00273924"/>
    <w:rsid w:val="00280C11"/>
    <w:rsid w:val="0028149D"/>
    <w:rsid w:val="00287BDB"/>
    <w:rsid w:val="00294615"/>
    <w:rsid w:val="0029703A"/>
    <w:rsid w:val="002A0090"/>
    <w:rsid w:val="002A0691"/>
    <w:rsid w:val="002A0926"/>
    <w:rsid w:val="002A109B"/>
    <w:rsid w:val="002A2056"/>
    <w:rsid w:val="002A4DD5"/>
    <w:rsid w:val="002A5949"/>
    <w:rsid w:val="002A5CCD"/>
    <w:rsid w:val="002A6D4F"/>
    <w:rsid w:val="002B236E"/>
    <w:rsid w:val="002B3533"/>
    <w:rsid w:val="002B3AB9"/>
    <w:rsid w:val="002B4A73"/>
    <w:rsid w:val="002B61D9"/>
    <w:rsid w:val="002C000B"/>
    <w:rsid w:val="002C1DC4"/>
    <w:rsid w:val="002C28C5"/>
    <w:rsid w:val="002C5C51"/>
    <w:rsid w:val="002C7C37"/>
    <w:rsid w:val="002D128F"/>
    <w:rsid w:val="002D1C5D"/>
    <w:rsid w:val="002D3D29"/>
    <w:rsid w:val="002E05EC"/>
    <w:rsid w:val="002E069D"/>
    <w:rsid w:val="002E0EAF"/>
    <w:rsid w:val="002E26BE"/>
    <w:rsid w:val="002E44DE"/>
    <w:rsid w:val="002E4B27"/>
    <w:rsid w:val="002E52A5"/>
    <w:rsid w:val="002E6F82"/>
    <w:rsid w:val="002F0918"/>
    <w:rsid w:val="002F26FB"/>
    <w:rsid w:val="002F2E5D"/>
    <w:rsid w:val="002F4987"/>
    <w:rsid w:val="002F4B25"/>
    <w:rsid w:val="002F6847"/>
    <w:rsid w:val="00301A5B"/>
    <w:rsid w:val="003023D7"/>
    <w:rsid w:val="003043AA"/>
    <w:rsid w:val="003053C4"/>
    <w:rsid w:val="00306615"/>
    <w:rsid w:val="00306922"/>
    <w:rsid w:val="00307B1B"/>
    <w:rsid w:val="00307E12"/>
    <w:rsid w:val="00312D6F"/>
    <w:rsid w:val="00317771"/>
    <w:rsid w:val="003201FD"/>
    <w:rsid w:val="003206A6"/>
    <w:rsid w:val="0032232F"/>
    <w:rsid w:val="00322D43"/>
    <w:rsid w:val="003249E3"/>
    <w:rsid w:val="003316DE"/>
    <w:rsid w:val="00332F95"/>
    <w:rsid w:val="00332FD2"/>
    <w:rsid w:val="00334284"/>
    <w:rsid w:val="00334300"/>
    <w:rsid w:val="003354B3"/>
    <w:rsid w:val="00335519"/>
    <w:rsid w:val="0034000E"/>
    <w:rsid w:val="0034572B"/>
    <w:rsid w:val="00356040"/>
    <w:rsid w:val="00360CA5"/>
    <w:rsid w:val="00361FDB"/>
    <w:rsid w:val="00362B66"/>
    <w:rsid w:val="00363989"/>
    <w:rsid w:val="00363DBB"/>
    <w:rsid w:val="003647B5"/>
    <w:rsid w:val="00365E16"/>
    <w:rsid w:val="0036677D"/>
    <w:rsid w:val="00370872"/>
    <w:rsid w:val="00377D48"/>
    <w:rsid w:val="00377DD5"/>
    <w:rsid w:val="003811B9"/>
    <w:rsid w:val="00381395"/>
    <w:rsid w:val="00381585"/>
    <w:rsid w:val="00383529"/>
    <w:rsid w:val="00386DE5"/>
    <w:rsid w:val="00390394"/>
    <w:rsid w:val="0039261F"/>
    <w:rsid w:val="003A00FC"/>
    <w:rsid w:val="003A11DE"/>
    <w:rsid w:val="003A1708"/>
    <w:rsid w:val="003A3D29"/>
    <w:rsid w:val="003A431F"/>
    <w:rsid w:val="003A7D6A"/>
    <w:rsid w:val="003B2420"/>
    <w:rsid w:val="003B5581"/>
    <w:rsid w:val="003B6031"/>
    <w:rsid w:val="003B6AD9"/>
    <w:rsid w:val="003B6E62"/>
    <w:rsid w:val="003C2595"/>
    <w:rsid w:val="003C3544"/>
    <w:rsid w:val="003C380C"/>
    <w:rsid w:val="003C3D65"/>
    <w:rsid w:val="003C407F"/>
    <w:rsid w:val="003C4202"/>
    <w:rsid w:val="003C55E3"/>
    <w:rsid w:val="003D4AA8"/>
    <w:rsid w:val="003D726A"/>
    <w:rsid w:val="003D7533"/>
    <w:rsid w:val="003E1282"/>
    <w:rsid w:val="003E17D9"/>
    <w:rsid w:val="003E18E4"/>
    <w:rsid w:val="003E23A2"/>
    <w:rsid w:val="003E3E5D"/>
    <w:rsid w:val="003E500F"/>
    <w:rsid w:val="003E7249"/>
    <w:rsid w:val="003F3C63"/>
    <w:rsid w:val="003F3C7A"/>
    <w:rsid w:val="003F44ED"/>
    <w:rsid w:val="003F5D78"/>
    <w:rsid w:val="003F6D19"/>
    <w:rsid w:val="00401249"/>
    <w:rsid w:val="004021DB"/>
    <w:rsid w:val="0041741A"/>
    <w:rsid w:val="00424661"/>
    <w:rsid w:val="0043106C"/>
    <w:rsid w:val="00431C57"/>
    <w:rsid w:val="004361DF"/>
    <w:rsid w:val="00437218"/>
    <w:rsid w:val="00440B8C"/>
    <w:rsid w:val="00441C51"/>
    <w:rsid w:val="00441E90"/>
    <w:rsid w:val="00442510"/>
    <w:rsid w:val="004439CA"/>
    <w:rsid w:val="004449E1"/>
    <w:rsid w:val="00447040"/>
    <w:rsid w:val="004506B8"/>
    <w:rsid w:val="004507E1"/>
    <w:rsid w:val="00453677"/>
    <w:rsid w:val="00453CC5"/>
    <w:rsid w:val="00457EDD"/>
    <w:rsid w:val="0046236A"/>
    <w:rsid w:val="00462C1B"/>
    <w:rsid w:val="004634F5"/>
    <w:rsid w:val="0046393D"/>
    <w:rsid w:val="00463D91"/>
    <w:rsid w:val="00465352"/>
    <w:rsid w:val="00466A4C"/>
    <w:rsid w:val="00471EF5"/>
    <w:rsid w:val="0047376E"/>
    <w:rsid w:val="004737FF"/>
    <w:rsid w:val="004768EB"/>
    <w:rsid w:val="00476E76"/>
    <w:rsid w:val="00483EC5"/>
    <w:rsid w:val="0048552A"/>
    <w:rsid w:val="00486052"/>
    <w:rsid w:val="00486402"/>
    <w:rsid w:val="0048659A"/>
    <w:rsid w:val="00487744"/>
    <w:rsid w:val="00491632"/>
    <w:rsid w:val="00491C55"/>
    <w:rsid w:val="00492228"/>
    <w:rsid w:val="00492E3F"/>
    <w:rsid w:val="00497451"/>
    <w:rsid w:val="00497F22"/>
    <w:rsid w:val="004A0CCB"/>
    <w:rsid w:val="004A4A7F"/>
    <w:rsid w:val="004A536D"/>
    <w:rsid w:val="004A5517"/>
    <w:rsid w:val="004A5633"/>
    <w:rsid w:val="004A595C"/>
    <w:rsid w:val="004A7421"/>
    <w:rsid w:val="004B0365"/>
    <w:rsid w:val="004B49EB"/>
    <w:rsid w:val="004C0494"/>
    <w:rsid w:val="004C0FF6"/>
    <w:rsid w:val="004C122F"/>
    <w:rsid w:val="004C37CA"/>
    <w:rsid w:val="004C435D"/>
    <w:rsid w:val="004C69F3"/>
    <w:rsid w:val="004C76C5"/>
    <w:rsid w:val="004D0698"/>
    <w:rsid w:val="004D2B73"/>
    <w:rsid w:val="004D396A"/>
    <w:rsid w:val="004D547F"/>
    <w:rsid w:val="004E1AAA"/>
    <w:rsid w:val="004E57FE"/>
    <w:rsid w:val="004E730C"/>
    <w:rsid w:val="004E7AA8"/>
    <w:rsid w:val="004F08E0"/>
    <w:rsid w:val="004F2A50"/>
    <w:rsid w:val="004F3081"/>
    <w:rsid w:val="004F593D"/>
    <w:rsid w:val="004F5BB2"/>
    <w:rsid w:val="00501951"/>
    <w:rsid w:val="00503F40"/>
    <w:rsid w:val="005072CD"/>
    <w:rsid w:val="00511BE5"/>
    <w:rsid w:val="00514029"/>
    <w:rsid w:val="005154FD"/>
    <w:rsid w:val="00515A79"/>
    <w:rsid w:val="00521D85"/>
    <w:rsid w:val="005255DB"/>
    <w:rsid w:val="00526880"/>
    <w:rsid w:val="00527F23"/>
    <w:rsid w:val="005410EF"/>
    <w:rsid w:val="0054142F"/>
    <w:rsid w:val="00542D0D"/>
    <w:rsid w:val="00544614"/>
    <w:rsid w:val="00544B25"/>
    <w:rsid w:val="00545EDE"/>
    <w:rsid w:val="0055063E"/>
    <w:rsid w:val="005522A2"/>
    <w:rsid w:val="00552C59"/>
    <w:rsid w:val="00554BBA"/>
    <w:rsid w:val="0055537B"/>
    <w:rsid w:val="00555BEF"/>
    <w:rsid w:val="00556275"/>
    <w:rsid w:val="00560B16"/>
    <w:rsid w:val="00560B77"/>
    <w:rsid w:val="00561AF8"/>
    <w:rsid w:val="00561B90"/>
    <w:rsid w:val="005633E8"/>
    <w:rsid w:val="00566DBB"/>
    <w:rsid w:val="0056743D"/>
    <w:rsid w:val="00572AB9"/>
    <w:rsid w:val="0057348D"/>
    <w:rsid w:val="0058038D"/>
    <w:rsid w:val="005806E4"/>
    <w:rsid w:val="005816A1"/>
    <w:rsid w:val="005834EE"/>
    <w:rsid w:val="005842EB"/>
    <w:rsid w:val="00586CEF"/>
    <w:rsid w:val="00590DA0"/>
    <w:rsid w:val="00590F0E"/>
    <w:rsid w:val="00596D83"/>
    <w:rsid w:val="00596EA5"/>
    <w:rsid w:val="005A714E"/>
    <w:rsid w:val="005A7800"/>
    <w:rsid w:val="005B0FB4"/>
    <w:rsid w:val="005B427D"/>
    <w:rsid w:val="005B436A"/>
    <w:rsid w:val="005B4AF4"/>
    <w:rsid w:val="005B5A44"/>
    <w:rsid w:val="005B7626"/>
    <w:rsid w:val="005B772D"/>
    <w:rsid w:val="005B7F65"/>
    <w:rsid w:val="005C09D4"/>
    <w:rsid w:val="005C1209"/>
    <w:rsid w:val="005C27D4"/>
    <w:rsid w:val="005C3722"/>
    <w:rsid w:val="005C3D0B"/>
    <w:rsid w:val="005C4A30"/>
    <w:rsid w:val="005C583D"/>
    <w:rsid w:val="005C6E2E"/>
    <w:rsid w:val="005C75F2"/>
    <w:rsid w:val="005D0601"/>
    <w:rsid w:val="005D27E0"/>
    <w:rsid w:val="005D2FB6"/>
    <w:rsid w:val="005D3B9B"/>
    <w:rsid w:val="005D47C0"/>
    <w:rsid w:val="005D763C"/>
    <w:rsid w:val="005D7A46"/>
    <w:rsid w:val="005E16C4"/>
    <w:rsid w:val="005E3A91"/>
    <w:rsid w:val="005E486E"/>
    <w:rsid w:val="005F0572"/>
    <w:rsid w:val="005F0AF9"/>
    <w:rsid w:val="005F37BE"/>
    <w:rsid w:val="005F69C1"/>
    <w:rsid w:val="005F7108"/>
    <w:rsid w:val="005F7739"/>
    <w:rsid w:val="006067D7"/>
    <w:rsid w:val="00607C24"/>
    <w:rsid w:val="00611957"/>
    <w:rsid w:val="00614DF5"/>
    <w:rsid w:val="00615004"/>
    <w:rsid w:val="0061615E"/>
    <w:rsid w:val="00621EF5"/>
    <w:rsid w:val="00622B95"/>
    <w:rsid w:val="006256ED"/>
    <w:rsid w:val="00627145"/>
    <w:rsid w:val="00630B84"/>
    <w:rsid w:val="00630C0E"/>
    <w:rsid w:val="00630EC0"/>
    <w:rsid w:val="0063145C"/>
    <w:rsid w:val="00634463"/>
    <w:rsid w:val="0063471C"/>
    <w:rsid w:val="00635125"/>
    <w:rsid w:val="00635175"/>
    <w:rsid w:val="00635347"/>
    <w:rsid w:val="00640253"/>
    <w:rsid w:val="00640A4E"/>
    <w:rsid w:val="00640A62"/>
    <w:rsid w:val="0064458E"/>
    <w:rsid w:val="00646053"/>
    <w:rsid w:val="00647279"/>
    <w:rsid w:val="006476D0"/>
    <w:rsid w:val="00650B8D"/>
    <w:rsid w:val="00650CB2"/>
    <w:rsid w:val="00650EF5"/>
    <w:rsid w:val="00656C53"/>
    <w:rsid w:val="00657DBB"/>
    <w:rsid w:val="00662D5E"/>
    <w:rsid w:val="006640B2"/>
    <w:rsid w:val="0066499B"/>
    <w:rsid w:val="00665339"/>
    <w:rsid w:val="00665E25"/>
    <w:rsid w:val="00666BB2"/>
    <w:rsid w:val="00672316"/>
    <w:rsid w:val="0067269B"/>
    <w:rsid w:val="00674278"/>
    <w:rsid w:val="006755C5"/>
    <w:rsid w:val="006802D1"/>
    <w:rsid w:val="00682A50"/>
    <w:rsid w:val="0068697B"/>
    <w:rsid w:val="0069301C"/>
    <w:rsid w:val="00693D8C"/>
    <w:rsid w:val="00695B2D"/>
    <w:rsid w:val="006A00EB"/>
    <w:rsid w:val="006A3AED"/>
    <w:rsid w:val="006A630F"/>
    <w:rsid w:val="006A7251"/>
    <w:rsid w:val="006A7F23"/>
    <w:rsid w:val="006B2B8F"/>
    <w:rsid w:val="006B2CAF"/>
    <w:rsid w:val="006B53F2"/>
    <w:rsid w:val="006B6737"/>
    <w:rsid w:val="006B6FC8"/>
    <w:rsid w:val="006C0501"/>
    <w:rsid w:val="006C12A5"/>
    <w:rsid w:val="006C1EC6"/>
    <w:rsid w:val="006C263E"/>
    <w:rsid w:val="006C27AE"/>
    <w:rsid w:val="006C3E1E"/>
    <w:rsid w:val="006C50B8"/>
    <w:rsid w:val="006C6632"/>
    <w:rsid w:val="006C7091"/>
    <w:rsid w:val="006C7E99"/>
    <w:rsid w:val="006D060A"/>
    <w:rsid w:val="006D28CA"/>
    <w:rsid w:val="006D3AFB"/>
    <w:rsid w:val="006D44C8"/>
    <w:rsid w:val="006D5FD5"/>
    <w:rsid w:val="006D6038"/>
    <w:rsid w:val="006D6314"/>
    <w:rsid w:val="006D677A"/>
    <w:rsid w:val="006E0304"/>
    <w:rsid w:val="006E103D"/>
    <w:rsid w:val="006E16EF"/>
    <w:rsid w:val="006E213B"/>
    <w:rsid w:val="006E37E7"/>
    <w:rsid w:val="006F405F"/>
    <w:rsid w:val="006F58CD"/>
    <w:rsid w:val="006F632B"/>
    <w:rsid w:val="006F67B3"/>
    <w:rsid w:val="00701F72"/>
    <w:rsid w:val="0070326F"/>
    <w:rsid w:val="0070524D"/>
    <w:rsid w:val="0071084B"/>
    <w:rsid w:val="00710AB4"/>
    <w:rsid w:val="0071278B"/>
    <w:rsid w:val="007131F9"/>
    <w:rsid w:val="00713B49"/>
    <w:rsid w:val="007153A0"/>
    <w:rsid w:val="00716D62"/>
    <w:rsid w:val="00722D94"/>
    <w:rsid w:val="0072489E"/>
    <w:rsid w:val="00724D0B"/>
    <w:rsid w:val="00724F44"/>
    <w:rsid w:val="00727999"/>
    <w:rsid w:val="007279A6"/>
    <w:rsid w:val="00730789"/>
    <w:rsid w:val="0073129B"/>
    <w:rsid w:val="00735C53"/>
    <w:rsid w:val="00736A5F"/>
    <w:rsid w:val="007403AD"/>
    <w:rsid w:val="007411F7"/>
    <w:rsid w:val="0074200D"/>
    <w:rsid w:val="007423E3"/>
    <w:rsid w:val="007435C8"/>
    <w:rsid w:val="0075336F"/>
    <w:rsid w:val="00753D9E"/>
    <w:rsid w:val="0075438B"/>
    <w:rsid w:val="00755223"/>
    <w:rsid w:val="00756715"/>
    <w:rsid w:val="007576FA"/>
    <w:rsid w:val="00757CC6"/>
    <w:rsid w:val="0076062E"/>
    <w:rsid w:val="00760BE8"/>
    <w:rsid w:val="007633EC"/>
    <w:rsid w:val="00764DA6"/>
    <w:rsid w:val="00770027"/>
    <w:rsid w:val="007765C6"/>
    <w:rsid w:val="00776602"/>
    <w:rsid w:val="00777A92"/>
    <w:rsid w:val="00781BB0"/>
    <w:rsid w:val="00782D67"/>
    <w:rsid w:val="00782E50"/>
    <w:rsid w:val="00782F32"/>
    <w:rsid w:val="007832C6"/>
    <w:rsid w:val="00783861"/>
    <w:rsid w:val="00784953"/>
    <w:rsid w:val="0078599B"/>
    <w:rsid w:val="007903DA"/>
    <w:rsid w:val="007912FC"/>
    <w:rsid w:val="00791889"/>
    <w:rsid w:val="00792B3F"/>
    <w:rsid w:val="0079325C"/>
    <w:rsid w:val="00795EBF"/>
    <w:rsid w:val="00797A54"/>
    <w:rsid w:val="00797EB7"/>
    <w:rsid w:val="007A193B"/>
    <w:rsid w:val="007A5BF7"/>
    <w:rsid w:val="007B31DF"/>
    <w:rsid w:val="007B51FD"/>
    <w:rsid w:val="007C061A"/>
    <w:rsid w:val="007C1204"/>
    <w:rsid w:val="007C1370"/>
    <w:rsid w:val="007C22F3"/>
    <w:rsid w:val="007C2A4C"/>
    <w:rsid w:val="007C2F62"/>
    <w:rsid w:val="007C41D8"/>
    <w:rsid w:val="007C6D68"/>
    <w:rsid w:val="007C6EFB"/>
    <w:rsid w:val="007D04C7"/>
    <w:rsid w:val="007D149D"/>
    <w:rsid w:val="007D1EC9"/>
    <w:rsid w:val="007D2EE0"/>
    <w:rsid w:val="007D4ED4"/>
    <w:rsid w:val="007E07BF"/>
    <w:rsid w:val="007E238C"/>
    <w:rsid w:val="007E2FF1"/>
    <w:rsid w:val="007E4191"/>
    <w:rsid w:val="007F02DD"/>
    <w:rsid w:val="007F24ED"/>
    <w:rsid w:val="007F365F"/>
    <w:rsid w:val="007F4545"/>
    <w:rsid w:val="007F4B29"/>
    <w:rsid w:val="007F5208"/>
    <w:rsid w:val="007F7C2A"/>
    <w:rsid w:val="007F7DA7"/>
    <w:rsid w:val="0080314C"/>
    <w:rsid w:val="00803723"/>
    <w:rsid w:val="00807D63"/>
    <w:rsid w:val="00807FFA"/>
    <w:rsid w:val="008142A4"/>
    <w:rsid w:val="00815DFB"/>
    <w:rsid w:val="00817A8E"/>
    <w:rsid w:val="00821AC9"/>
    <w:rsid w:val="008243BD"/>
    <w:rsid w:val="00824800"/>
    <w:rsid w:val="00825BB2"/>
    <w:rsid w:val="008275CA"/>
    <w:rsid w:val="008276EC"/>
    <w:rsid w:val="00831718"/>
    <w:rsid w:val="00833E7D"/>
    <w:rsid w:val="0084154D"/>
    <w:rsid w:val="0084169E"/>
    <w:rsid w:val="00842545"/>
    <w:rsid w:val="00842F45"/>
    <w:rsid w:val="00843035"/>
    <w:rsid w:val="0084454B"/>
    <w:rsid w:val="008457A5"/>
    <w:rsid w:val="00845A64"/>
    <w:rsid w:val="00846DE0"/>
    <w:rsid w:val="008471D2"/>
    <w:rsid w:val="00851B09"/>
    <w:rsid w:val="00853924"/>
    <w:rsid w:val="008541DB"/>
    <w:rsid w:val="008573C3"/>
    <w:rsid w:val="008575CB"/>
    <w:rsid w:val="008576A9"/>
    <w:rsid w:val="00860D77"/>
    <w:rsid w:val="00863E92"/>
    <w:rsid w:val="00865622"/>
    <w:rsid w:val="0086790D"/>
    <w:rsid w:val="0087104F"/>
    <w:rsid w:val="008711EE"/>
    <w:rsid w:val="0087252B"/>
    <w:rsid w:val="008736FD"/>
    <w:rsid w:val="00873EC7"/>
    <w:rsid w:val="008758E4"/>
    <w:rsid w:val="00876269"/>
    <w:rsid w:val="00876A0D"/>
    <w:rsid w:val="00877341"/>
    <w:rsid w:val="00877BEE"/>
    <w:rsid w:val="00881CAA"/>
    <w:rsid w:val="008821C4"/>
    <w:rsid w:val="00883119"/>
    <w:rsid w:val="00884092"/>
    <w:rsid w:val="00884B05"/>
    <w:rsid w:val="00886A6A"/>
    <w:rsid w:val="00886EE0"/>
    <w:rsid w:val="00890E85"/>
    <w:rsid w:val="008938A4"/>
    <w:rsid w:val="008955C8"/>
    <w:rsid w:val="008A00B9"/>
    <w:rsid w:val="008A1D55"/>
    <w:rsid w:val="008A1E12"/>
    <w:rsid w:val="008A2072"/>
    <w:rsid w:val="008A4BD7"/>
    <w:rsid w:val="008A7B93"/>
    <w:rsid w:val="008B1463"/>
    <w:rsid w:val="008B4C52"/>
    <w:rsid w:val="008B4FEB"/>
    <w:rsid w:val="008B58A9"/>
    <w:rsid w:val="008B7F70"/>
    <w:rsid w:val="008C047A"/>
    <w:rsid w:val="008C1352"/>
    <w:rsid w:val="008C46AD"/>
    <w:rsid w:val="008C579A"/>
    <w:rsid w:val="008C6841"/>
    <w:rsid w:val="008C79F1"/>
    <w:rsid w:val="008D420F"/>
    <w:rsid w:val="008D5169"/>
    <w:rsid w:val="008D5DB8"/>
    <w:rsid w:val="008D6E7D"/>
    <w:rsid w:val="008D7780"/>
    <w:rsid w:val="008D7CD8"/>
    <w:rsid w:val="008E1099"/>
    <w:rsid w:val="008E3DF0"/>
    <w:rsid w:val="008E42CD"/>
    <w:rsid w:val="008F33C2"/>
    <w:rsid w:val="008F356F"/>
    <w:rsid w:val="008F41ED"/>
    <w:rsid w:val="008F65D5"/>
    <w:rsid w:val="0090072A"/>
    <w:rsid w:val="009022EC"/>
    <w:rsid w:val="00903BF2"/>
    <w:rsid w:val="00904A78"/>
    <w:rsid w:val="00912473"/>
    <w:rsid w:val="00913293"/>
    <w:rsid w:val="00916397"/>
    <w:rsid w:val="00924E08"/>
    <w:rsid w:val="00925C50"/>
    <w:rsid w:val="00925E7A"/>
    <w:rsid w:val="00927344"/>
    <w:rsid w:val="0092765A"/>
    <w:rsid w:val="00927834"/>
    <w:rsid w:val="0093153B"/>
    <w:rsid w:val="0093497A"/>
    <w:rsid w:val="00934C1A"/>
    <w:rsid w:val="00935447"/>
    <w:rsid w:val="00937796"/>
    <w:rsid w:val="00940DC7"/>
    <w:rsid w:val="00940F73"/>
    <w:rsid w:val="00942B83"/>
    <w:rsid w:val="00945B3C"/>
    <w:rsid w:val="00946184"/>
    <w:rsid w:val="00946A90"/>
    <w:rsid w:val="00947C95"/>
    <w:rsid w:val="009503A1"/>
    <w:rsid w:val="009505AF"/>
    <w:rsid w:val="00952C78"/>
    <w:rsid w:val="009530EC"/>
    <w:rsid w:val="00953203"/>
    <w:rsid w:val="00954839"/>
    <w:rsid w:val="00954B53"/>
    <w:rsid w:val="009556D9"/>
    <w:rsid w:val="00956D13"/>
    <w:rsid w:val="009578E6"/>
    <w:rsid w:val="009612E8"/>
    <w:rsid w:val="0096480D"/>
    <w:rsid w:val="00965440"/>
    <w:rsid w:val="00965AF1"/>
    <w:rsid w:val="00965ED0"/>
    <w:rsid w:val="00966A4E"/>
    <w:rsid w:val="00973FB8"/>
    <w:rsid w:val="009748FB"/>
    <w:rsid w:val="00977951"/>
    <w:rsid w:val="0098018A"/>
    <w:rsid w:val="00981688"/>
    <w:rsid w:val="0098563F"/>
    <w:rsid w:val="0099235D"/>
    <w:rsid w:val="00992385"/>
    <w:rsid w:val="00992748"/>
    <w:rsid w:val="00992E7E"/>
    <w:rsid w:val="00995F00"/>
    <w:rsid w:val="009961DA"/>
    <w:rsid w:val="00996E33"/>
    <w:rsid w:val="009A0286"/>
    <w:rsid w:val="009A0EE8"/>
    <w:rsid w:val="009A3463"/>
    <w:rsid w:val="009A5E31"/>
    <w:rsid w:val="009A7496"/>
    <w:rsid w:val="009B0221"/>
    <w:rsid w:val="009B2A19"/>
    <w:rsid w:val="009B503D"/>
    <w:rsid w:val="009B6180"/>
    <w:rsid w:val="009B7B46"/>
    <w:rsid w:val="009C1AEA"/>
    <w:rsid w:val="009C3FB9"/>
    <w:rsid w:val="009C4515"/>
    <w:rsid w:val="009C4B64"/>
    <w:rsid w:val="009C58AE"/>
    <w:rsid w:val="009C6DDA"/>
    <w:rsid w:val="009D0DE6"/>
    <w:rsid w:val="009D1319"/>
    <w:rsid w:val="009D28EF"/>
    <w:rsid w:val="009D4859"/>
    <w:rsid w:val="009D63C3"/>
    <w:rsid w:val="009D7C24"/>
    <w:rsid w:val="009E28D4"/>
    <w:rsid w:val="009E2AF8"/>
    <w:rsid w:val="009E388F"/>
    <w:rsid w:val="009E594D"/>
    <w:rsid w:val="009F2477"/>
    <w:rsid w:val="009F2794"/>
    <w:rsid w:val="009F6853"/>
    <w:rsid w:val="00A01460"/>
    <w:rsid w:val="00A015F2"/>
    <w:rsid w:val="00A0337D"/>
    <w:rsid w:val="00A03605"/>
    <w:rsid w:val="00A0436C"/>
    <w:rsid w:val="00A04BD9"/>
    <w:rsid w:val="00A056F7"/>
    <w:rsid w:val="00A06CA1"/>
    <w:rsid w:val="00A070AC"/>
    <w:rsid w:val="00A078EA"/>
    <w:rsid w:val="00A1043B"/>
    <w:rsid w:val="00A11150"/>
    <w:rsid w:val="00A125AA"/>
    <w:rsid w:val="00A12BC3"/>
    <w:rsid w:val="00A13D66"/>
    <w:rsid w:val="00A15FF4"/>
    <w:rsid w:val="00A16134"/>
    <w:rsid w:val="00A1760C"/>
    <w:rsid w:val="00A20428"/>
    <w:rsid w:val="00A21BE0"/>
    <w:rsid w:val="00A2266F"/>
    <w:rsid w:val="00A247B3"/>
    <w:rsid w:val="00A249D4"/>
    <w:rsid w:val="00A25D3F"/>
    <w:rsid w:val="00A25E7E"/>
    <w:rsid w:val="00A266AD"/>
    <w:rsid w:val="00A27E35"/>
    <w:rsid w:val="00A33B93"/>
    <w:rsid w:val="00A36AD7"/>
    <w:rsid w:val="00A37DF2"/>
    <w:rsid w:val="00A4026C"/>
    <w:rsid w:val="00A42AD3"/>
    <w:rsid w:val="00A4300C"/>
    <w:rsid w:val="00A44BA7"/>
    <w:rsid w:val="00A45CB4"/>
    <w:rsid w:val="00A46C23"/>
    <w:rsid w:val="00A47F96"/>
    <w:rsid w:val="00A50CDD"/>
    <w:rsid w:val="00A52053"/>
    <w:rsid w:val="00A5228C"/>
    <w:rsid w:val="00A548EC"/>
    <w:rsid w:val="00A579E0"/>
    <w:rsid w:val="00A6195B"/>
    <w:rsid w:val="00A6294B"/>
    <w:rsid w:val="00A62DC3"/>
    <w:rsid w:val="00A64584"/>
    <w:rsid w:val="00A647C3"/>
    <w:rsid w:val="00A658BE"/>
    <w:rsid w:val="00A6769C"/>
    <w:rsid w:val="00A67CF9"/>
    <w:rsid w:val="00A70927"/>
    <w:rsid w:val="00A7192C"/>
    <w:rsid w:val="00A71D9C"/>
    <w:rsid w:val="00A734C9"/>
    <w:rsid w:val="00A73E1B"/>
    <w:rsid w:val="00A76B49"/>
    <w:rsid w:val="00A7763E"/>
    <w:rsid w:val="00A77815"/>
    <w:rsid w:val="00A80461"/>
    <w:rsid w:val="00A82864"/>
    <w:rsid w:val="00A8362A"/>
    <w:rsid w:val="00A873EF"/>
    <w:rsid w:val="00A9078B"/>
    <w:rsid w:val="00A934E0"/>
    <w:rsid w:val="00A93826"/>
    <w:rsid w:val="00AA01BC"/>
    <w:rsid w:val="00AA0488"/>
    <w:rsid w:val="00AA0DCF"/>
    <w:rsid w:val="00AA1A7F"/>
    <w:rsid w:val="00AA1C20"/>
    <w:rsid w:val="00AA1F2A"/>
    <w:rsid w:val="00AB241C"/>
    <w:rsid w:val="00AB3D94"/>
    <w:rsid w:val="00AB6B29"/>
    <w:rsid w:val="00AC0D7F"/>
    <w:rsid w:val="00AC0F5A"/>
    <w:rsid w:val="00AC1B92"/>
    <w:rsid w:val="00AC6358"/>
    <w:rsid w:val="00AD1F75"/>
    <w:rsid w:val="00AD26D0"/>
    <w:rsid w:val="00AD2704"/>
    <w:rsid w:val="00AD4E17"/>
    <w:rsid w:val="00AD5214"/>
    <w:rsid w:val="00AD67D2"/>
    <w:rsid w:val="00AD7CA4"/>
    <w:rsid w:val="00AE1206"/>
    <w:rsid w:val="00AE20F8"/>
    <w:rsid w:val="00AE3DD0"/>
    <w:rsid w:val="00AE4B95"/>
    <w:rsid w:val="00AE5816"/>
    <w:rsid w:val="00AF0BC3"/>
    <w:rsid w:val="00AF125C"/>
    <w:rsid w:val="00AF15C7"/>
    <w:rsid w:val="00AF25CC"/>
    <w:rsid w:val="00AF2A7E"/>
    <w:rsid w:val="00AF4462"/>
    <w:rsid w:val="00AF459C"/>
    <w:rsid w:val="00AF4EDD"/>
    <w:rsid w:val="00AF51D4"/>
    <w:rsid w:val="00AF6436"/>
    <w:rsid w:val="00B017E0"/>
    <w:rsid w:val="00B01EDF"/>
    <w:rsid w:val="00B02F18"/>
    <w:rsid w:val="00B034AC"/>
    <w:rsid w:val="00B03BA9"/>
    <w:rsid w:val="00B05B42"/>
    <w:rsid w:val="00B06ADD"/>
    <w:rsid w:val="00B06C4C"/>
    <w:rsid w:val="00B07A27"/>
    <w:rsid w:val="00B100EC"/>
    <w:rsid w:val="00B103F0"/>
    <w:rsid w:val="00B11387"/>
    <w:rsid w:val="00B124FB"/>
    <w:rsid w:val="00B136C1"/>
    <w:rsid w:val="00B14362"/>
    <w:rsid w:val="00B16700"/>
    <w:rsid w:val="00B16A08"/>
    <w:rsid w:val="00B16A3D"/>
    <w:rsid w:val="00B17AAE"/>
    <w:rsid w:val="00B21963"/>
    <w:rsid w:val="00B22534"/>
    <w:rsid w:val="00B22776"/>
    <w:rsid w:val="00B23612"/>
    <w:rsid w:val="00B27B44"/>
    <w:rsid w:val="00B27CC5"/>
    <w:rsid w:val="00B305B3"/>
    <w:rsid w:val="00B3113C"/>
    <w:rsid w:val="00B33BC1"/>
    <w:rsid w:val="00B352FA"/>
    <w:rsid w:val="00B35354"/>
    <w:rsid w:val="00B3650A"/>
    <w:rsid w:val="00B365F7"/>
    <w:rsid w:val="00B4099C"/>
    <w:rsid w:val="00B40DC3"/>
    <w:rsid w:val="00B44637"/>
    <w:rsid w:val="00B45CFD"/>
    <w:rsid w:val="00B50E62"/>
    <w:rsid w:val="00B52153"/>
    <w:rsid w:val="00B60D57"/>
    <w:rsid w:val="00B62FAE"/>
    <w:rsid w:val="00B64E31"/>
    <w:rsid w:val="00B66E23"/>
    <w:rsid w:val="00B719A1"/>
    <w:rsid w:val="00B72FC1"/>
    <w:rsid w:val="00B73AB7"/>
    <w:rsid w:val="00B73F6D"/>
    <w:rsid w:val="00B75729"/>
    <w:rsid w:val="00B80E22"/>
    <w:rsid w:val="00B81F8C"/>
    <w:rsid w:val="00B84747"/>
    <w:rsid w:val="00B84A42"/>
    <w:rsid w:val="00B84CC5"/>
    <w:rsid w:val="00B86E61"/>
    <w:rsid w:val="00B90E38"/>
    <w:rsid w:val="00B91D55"/>
    <w:rsid w:val="00B953AC"/>
    <w:rsid w:val="00B959E9"/>
    <w:rsid w:val="00B962BD"/>
    <w:rsid w:val="00B972E5"/>
    <w:rsid w:val="00BA2741"/>
    <w:rsid w:val="00BA3EC2"/>
    <w:rsid w:val="00BA43E9"/>
    <w:rsid w:val="00BA4A6C"/>
    <w:rsid w:val="00BA64D5"/>
    <w:rsid w:val="00BA68D7"/>
    <w:rsid w:val="00BB1772"/>
    <w:rsid w:val="00BB1793"/>
    <w:rsid w:val="00BB3D01"/>
    <w:rsid w:val="00BB6D8B"/>
    <w:rsid w:val="00BC0B1E"/>
    <w:rsid w:val="00BC1211"/>
    <w:rsid w:val="00BC35EB"/>
    <w:rsid w:val="00BC4B69"/>
    <w:rsid w:val="00BC6210"/>
    <w:rsid w:val="00BD1D38"/>
    <w:rsid w:val="00BD53C2"/>
    <w:rsid w:val="00BD70BC"/>
    <w:rsid w:val="00BD7EA8"/>
    <w:rsid w:val="00BD7FFB"/>
    <w:rsid w:val="00BE2085"/>
    <w:rsid w:val="00BE3C7B"/>
    <w:rsid w:val="00BE61F6"/>
    <w:rsid w:val="00BE7781"/>
    <w:rsid w:val="00BF332B"/>
    <w:rsid w:val="00BF6182"/>
    <w:rsid w:val="00BF6EA2"/>
    <w:rsid w:val="00C0433E"/>
    <w:rsid w:val="00C064F9"/>
    <w:rsid w:val="00C07496"/>
    <w:rsid w:val="00C10629"/>
    <w:rsid w:val="00C11CF8"/>
    <w:rsid w:val="00C123D3"/>
    <w:rsid w:val="00C12620"/>
    <w:rsid w:val="00C1429D"/>
    <w:rsid w:val="00C14932"/>
    <w:rsid w:val="00C17445"/>
    <w:rsid w:val="00C221FC"/>
    <w:rsid w:val="00C2233D"/>
    <w:rsid w:val="00C238A4"/>
    <w:rsid w:val="00C2402B"/>
    <w:rsid w:val="00C24BAD"/>
    <w:rsid w:val="00C25026"/>
    <w:rsid w:val="00C253CF"/>
    <w:rsid w:val="00C254A6"/>
    <w:rsid w:val="00C26AF2"/>
    <w:rsid w:val="00C27857"/>
    <w:rsid w:val="00C304DF"/>
    <w:rsid w:val="00C31CAF"/>
    <w:rsid w:val="00C3249A"/>
    <w:rsid w:val="00C3308F"/>
    <w:rsid w:val="00C33794"/>
    <w:rsid w:val="00C36A8D"/>
    <w:rsid w:val="00C36F8D"/>
    <w:rsid w:val="00C37289"/>
    <w:rsid w:val="00C4515C"/>
    <w:rsid w:val="00C46142"/>
    <w:rsid w:val="00C50903"/>
    <w:rsid w:val="00C50F02"/>
    <w:rsid w:val="00C51C1F"/>
    <w:rsid w:val="00C61B68"/>
    <w:rsid w:val="00C61E25"/>
    <w:rsid w:val="00C64014"/>
    <w:rsid w:val="00C65FE0"/>
    <w:rsid w:val="00C67F75"/>
    <w:rsid w:val="00C72663"/>
    <w:rsid w:val="00C743FA"/>
    <w:rsid w:val="00C75971"/>
    <w:rsid w:val="00C75B08"/>
    <w:rsid w:val="00C7736F"/>
    <w:rsid w:val="00C77FF2"/>
    <w:rsid w:val="00C80363"/>
    <w:rsid w:val="00C80D5A"/>
    <w:rsid w:val="00C81DA8"/>
    <w:rsid w:val="00C81E1B"/>
    <w:rsid w:val="00C820CA"/>
    <w:rsid w:val="00C83CA4"/>
    <w:rsid w:val="00C843E5"/>
    <w:rsid w:val="00C8558A"/>
    <w:rsid w:val="00C86C60"/>
    <w:rsid w:val="00C86CD6"/>
    <w:rsid w:val="00C8795E"/>
    <w:rsid w:val="00C95BD1"/>
    <w:rsid w:val="00CA3147"/>
    <w:rsid w:val="00CA457C"/>
    <w:rsid w:val="00CA5FC9"/>
    <w:rsid w:val="00CB0D8B"/>
    <w:rsid w:val="00CB2C82"/>
    <w:rsid w:val="00CB37F2"/>
    <w:rsid w:val="00CC0719"/>
    <w:rsid w:val="00CC1BA1"/>
    <w:rsid w:val="00CC3728"/>
    <w:rsid w:val="00CC3ACF"/>
    <w:rsid w:val="00CC47C9"/>
    <w:rsid w:val="00CC5B67"/>
    <w:rsid w:val="00CC60BD"/>
    <w:rsid w:val="00CC676D"/>
    <w:rsid w:val="00CC6C85"/>
    <w:rsid w:val="00CC76A5"/>
    <w:rsid w:val="00CD05E2"/>
    <w:rsid w:val="00CD25FE"/>
    <w:rsid w:val="00CD3788"/>
    <w:rsid w:val="00CD7375"/>
    <w:rsid w:val="00CD761B"/>
    <w:rsid w:val="00CE3546"/>
    <w:rsid w:val="00CE7308"/>
    <w:rsid w:val="00CF022C"/>
    <w:rsid w:val="00CF0CD1"/>
    <w:rsid w:val="00CF17F3"/>
    <w:rsid w:val="00CF24E7"/>
    <w:rsid w:val="00CF363C"/>
    <w:rsid w:val="00CF7781"/>
    <w:rsid w:val="00D022A4"/>
    <w:rsid w:val="00D03016"/>
    <w:rsid w:val="00D06582"/>
    <w:rsid w:val="00D073A8"/>
    <w:rsid w:val="00D10058"/>
    <w:rsid w:val="00D10FEC"/>
    <w:rsid w:val="00D112B1"/>
    <w:rsid w:val="00D11457"/>
    <w:rsid w:val="00D122F8"/>
    <w:rsid w:val="00D1252C"/>
    <w:rsid w:val="00D12798"/>
    <w:rsid w:val="00D16CA6"/>
    <w:rsid w:val="00D17547"/>
    <w:rsid w:val="00D22437"/>
    <w:rsid w:val="00D262C6"/>
    <w:rsid w:val="00D26667"/>
    <w:rsid w:val="00D31609"/>
    <w:rsid w:val="00D33F5E"/>
    <w:rsid w:val="00D35052"/>
    <w:rsid w:val="00D3520C"/>
    <w:rsid w:val="00D401CC"/>
    <w:rsid w:val="00D413F2"/>
    <w:rsid w:val="00D430EF"/>
    <w:rsid w:val="00D43B55"/>
    <w:rsid w:val="00D449D7"/>
    <w:rsid w:val="00D45585"/>
    <w:rsid w:val="00D459BD"/>
    <w:rsid w:val="00D47A2A"/>
    <w:rsid w:val="00D57127"/>
    <w:rsid w:val="00D57DC0"/>
    <w:rsid w:val="00D616B9"/>
    <w:rsid w:val="00D62824"/>
    <w:rsid w:val="00D64C3D"/>
    <w:rsid w:val="00D65608"/>
    <w:rsid w:val="00D65857"/>
    <w:rsid w:val="00D66BFF"/>
    <w:rsid w:val="00D705D7"/>
    <w:rsid w:val="00D7111A"/>
    <w:rsid w:val="00D73AE8"/>
    <w:rsid w:val="00D73F65"/>
    <w:rsid w:val="00D757DC"/>
    <w:rsid w:val="00D77205"/>
    <w:rsid w:val="00D80698"/>
    <w:rsid w:val="00D86B75"/>
    <w:rsid w:val="00D90A3C"/>
    <w:rsid w:val="00D952F7"/>
    <w:rsid w:val="00D9535D"/>
    <w:rsid w:val="00D9557E"/>
    <w:rsid w:val="00D95DA2"/>
    <w:rsid w:val="00DA2C32"/>
    <w:rsid w:val="00DA4284"/>
    <w:rsid w:val="00DA5044"/>
    <w:rsid w:val="00DA531E"/>
    <w:rsid w:val="00DA593F"/>
    <w:rsid w:val="00DB0AA2"/>
    <w:rsid w:val="00DB2A09"/>
    <w:rsid w:val="00DB5281"/>
    <w:rsid w:val="00DB5470"/>
    <w:rsid w:val="00DB6D62"/>
    <w:rsid w:val="00DB7242"/>
    <w:rsid w:val="00DC00D9"/>
    <w:rsid w:val="00DC1092"/>
    <w:rsid w:val="00DC4856"/>
    <w:rsid w:val="00DC62E6"/>
    <w:rsid w:val="00DD3918"/>
    <w:rsid w:val="00DD40E4"/>
    <w:rsid w:val="00DD4F82"/>
    <w:rsid w:val="00DD525C"/>
    <w:rsid w:val="00DD7682"/>
    <w:rsid w:val="00DE5E8B"/>
    <w:rsid w:val="00DE64CB"/>
    <w:rsid w:val="00DF0123"/>
    <w:rsid w:val="00DF0983"/>
    <w:rsid w:val="00DF11AB"/>
    <w:rsid w:val="00DF2AA1"/>
    <w:rsid w:val="00DF3A5C"/>
    <w:rsid w:val="00DF3AF5"/>
    <w:rsid w:val="00DF6ABF"/>
    <w:rsid w:val="00DF71E7"/>
    <w:rsid w:val="00DF7419"/>
    <w:rsid w:val="00E01D30"/>
    <w:rsid w:val="00E03029"/>
    <w:rsid w:val="00E04029"/>
    <w:rsid w:val="00E04387"/>
    <w:rsid w:val="00E06D35"/>
    <w:rsid w:val="00E06F75"/>
    <w:rsid w:val="00E10D8D"/>
    <w:rsid w:val="00E12F78"/>
    <w:rsid w:val="00E136E0"/>
    <w:rsid w:val="00E144A7"/>
    <w:rsid w:val="00E15C9C"/>
    <w:rsid w:val="00E165EC"/>
    <w:rsid w:val="00E16EC3"/>
    <w:rsid w:val="00E203FE"/>
    <w:rsid w:val="00E22E67"/>
    <w:rsid w:val="00E26D88"/>
    <w:rsid w:val="00E27D7F"/>
    <w:rsid w:val="00E32C9E"/>
    <w:rsid w:val="00E352F7"/>
    <w:rsid w:val="00E4109F"/>
    <w:rsid w:val="00E41B69"/>
    <w:rsid w:val="00E41F2C"/>
    <w:rsid w:val="00E437F8"/>
    <w:rsid w:val="00E44048"/>
    <w:rsid w:val="00E45DF0"/>
    <w:rsid w:val="00E46497"/>
    <w:rsid w:val="00E476CE"/>
    <w:rsid w:val="00E509E3"/>
    <w:rsid w:val="00E53EF7"/>
    <w:rsid w:val="00E54BA2"/>
    <w:rsid w:val="00E54DD4"/>
    <w:rsid w:val="00E5537F"/>
    <w:rsid w:val="00E55679"/>
    <w:rsid w:val="00E5730A"/>
    <w:rsid w:val="00E5772B"/>
    <w:rsid w:val="00E62CEF"/>
    <w:rsid w:val="00E65F25"/>
    <w:rsid w:val="00E66DE3"/>
    <w:rsid w:val="00E676F5"/>
    <w:rsid w:val="00E7019C"/>
    <w:rsid w:val="00E71C0C"/>
    <w:rsid w:val="00E7556F"/>
    <w:rsid w:val="00E75EE2"/>
    <w:rsid w:val="00E814A4"/>
    <w:rsid w:val="00E84126"/>
    <w:rsid w:val="00E8483B"/>
    <w:rsid w:val="00E86239"/>
    <w:rsid w:val="00E91209"/>
    <w:rsid w:val="00E929D7"/>
    <w:rsid w:val="00EA0AB5"/>
    <w:rsid w:val="00EA0E98"/>
    <w:rsid w:val="00EA3A0F"/>
    <w:rsid w:val="00EA581E"/>
    <w:rsid w:val="00EB12F2"/>
    <w:rsid w:val="00EB1C24"/>
    <w:rsid w:val="00EB258A"/>
    <w:rsid w:val="00EB5E30"/>
    <w:rsid w:val="00EB7B3A"/>
    <w:rsid w:val="00EC552D"/>
    <w:rsid w:val="00EC7DFB"/>
    <w:rsid w:val="00ED0B9C"/>
    <w:rsid w:val="00ED3DD0"/>
    <w:rsid w:val="00ED4EE0"/>
    <w:rsid w:val="00ED525A"/>
    <w:rsid w:val="00ED5E0B"/>
    <w:rsid w:val="00EE024F"/>
    <w:rsid w:val="00EE36D8"/>
    <w:rsid w:val="00EE5FD6"/>
    <w:rsid w:val="00EE6B1B"/>
    <w:rsid w:val="00EE70E3"/>
    <w:rsid w:val="00EE7D06"/>
    <w:rsid w:val="00EF06EA"/>
    <w:rsid w:val="00EF248E"/>
    <w:rsid w:val="00EF319C"/>
    <w:rsid w:val="00EF3CFF"/>
    <w:rsid w:val="00EF444E"/>
    <w:rsid w:val="00EF481F"/>
    <w:rsid w:val="00EF48FE"/>
    <w:rsid w:val="00EF568D"/>
    <w:rsid w:val="00EF7018"/>
    <w:rsid w:val="00EF7CFB"/>
    <w:rsid w:val="00F06055"/>
    <w:rsid w:val="00F0607C"/>
    <w:rsid w:val="00F10120"/>
    <w:rsid w:val="00F11E71"/>
    <w:rsid w:val="00F12C2D"/>
    <w:rsid w:val="00F13D00"/>
    <w:rsid w:val="00F14539"/>
    <w:rsid w:val="00F14A64"/>
    <w:rsid w:val="00F14E77"/>
    <w:rsid w:val="00F202A3"/>
    <w:rsid w:val="00F2257F"/>
    <w:rsid w:val="00F23817"/>
    <w:rsid w:val="00F258D8"/>
    <w:rsid w:val="00F3012B"/>
    <w:rsid w:val="00F344BE"/>
    <w:rsid w:val="00F344C0"/>
    <w:rsid w:val="00F43608"/>
    <w:rsid w:val="00F45A1D"/>
    <w:rsid w:val="00F45AA2"/>
    <w:rsid w:val="00F461BC"/>
    <w:rsid w:val="00F47C30"/>
    <w:rsid w:val="00F5015C"/>
    <w:rsid w:val="00F50BEE"/>
    <w:rsid w:val="00F51979"/>
    <w:rsid w:val="00F5366B"/>
    <w:rsid w:val="00F53B52"/>
    <w:rsid w:val="00F55BA2"/>
    <w:rsid w:val="00F55C82"/>
    <w:rsid w:val="00F60272"/>
    <w:rsid w:val="00F619F6"/>
    <w:rsid w:val="00F633F0"/>
    <w:rsid w:val="00F6559A"/>
    <w:rsid w:val="00F65F90"/>
    <w:rsid w:val="00F67504"/>
    <w:rsid w:val="00F70AA7"/>
    <w:rsid w:val="00F76742"/>
    <w:rsid w:val="00F77B7A"/>
    <w:rsid w:val="00F828DD"/>
    <w:rsid w:val="00F82BEB"/>
    <w:rsid w:val="00F83CEE"/>
    <w:rsid w:val="00F84DD3"/>
    <w:rsid w:val="00F85BBC"/>
    <w:rsid w:val="00F87C05"/>
    <w:rsid w:val="00F9043F"/>
    <w:rsid w:val="00F9170C"/>
    <w:rsid w:val="00F96F5E"/>
    <w:rsid w:val="00F97227"/>
    <w:rsid w:val="00F97C6A"/>
    <w:rsid w:val="00F97F4D"/>
    <w:rsid w:val="00FA1318"/>
    <w:rsid w:val="00FA21E0"/>
    <w:rsid w:val="00FA21E1"/>
    <w:rsid w:val="00FA3BBC"/>
    <w:rsid w:val="00FA3C47"/>
    <w:rsid w:val="00FA46BF"/>
    <w:rsid w:val="00FA5487"/>
    <w:rsid w:val="00FA5DE4"/>
    <w:rsid w:val="00FB2C4F"/>
    <w:rsid w:val="00FB4E7D"/>
    <w:rsid w:val="00FB618F"/>
    <w:rsid w:val="00FB7162"/>
    <w:rsid w:val="00FC3C2F"/>
    <w:rsid w:val="00FC4DA8"/>
    <w:rsid w:val="00FC62B1"/>
    <w:rsid w:val="00FC74BA"/>
    <w:rsid w:val="00FD57CF"/>
    <w:rsid w:val="00FD5894"/>
    <w:rsid w:val="00FD6F14"/>
    <w:rsid w:val="00FD7AF3"/>
    <w:rsid w:val="00FE4716"/>
    <w:rsid w:val="00FE523F"/>
    <w:rsid w:val="00FE54DD"/>
    <w:rsid w:val="00FF0E8E"/>
    <w:rsid w:val="00FF1879"/>
    <w:rsid w:val="00FF1CCD"/>
    <w:rsid w:val="00FF48D0"/>
    <w:rsid w:val="00FF4FFF"/>
    <w:rsid w:val="00FF61E1"/>
    <w:rsid w:val="00FF75E8"/>
    <w:rsid w:val="06E83355"/>
    <w:rsid w:val="1CA65FD6"/>
    <w:rsid w:val="321DFE78"/>
    <w:rsid w:val="368D5CFD"/>
    <w:rsid w:val="36B31C31"/>
    <w:rsid w:val="3A28C43F"/>
    <w:rsid w:val="3BF0FAAA"/>
    <w:rsid w:val="5B09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9025"/>
    <o:shapelayout v:ext="edit">
      <o:idmap v:ext="edit" data="1"/>
    </o:shapelayout>
  </w:shapeDefaults>
  <w:decimalSymbol w:val="."/>
  <w:listSeparator w:val=","/>
  <w14:docId w14:val="7195F8FA"/>
  <w15:docId w15:val="{CFE40C5B-A635-457E-8196-D16BFE36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C05"/>
    <w:pPr>
      <w:autoSpaceDE w:val="0"/>
      <w:autoSpaceDN w:val="0"/>
      <w:adjustRightInd w:val="0"/>
    </w:pPr>
    <w:rPr>
      <w:rFonts w:ascii="CG Times" w:hAnsi="CG Times"/>
    </w:rPr>
  </w:style>
  <w:style w:type="paragraph" w:styleId="Heading1">
    <w:name w:val="heading 1"/>
    <w:basedOn w:val="Normal"/>
    <w:next w:val="Normal"/>
    <w:link w:val="Heading1Char"/>
    <w:uiPriority w:val="9"/>
    <w:qFormat/>
    <w:rsid w:val="00E440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16CA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6615"/>
    <w:rPr>
      <w:rFonts w:ascii="Tahoma" w:hAnsi="Tahoma" w:cs="Tahoma"/>
      <w:sz w:val="16"/>
      <w:szCs w:val="16"/>
    </w:rPr>
  </w:style>
  <w:style w:type="character" w:styleId="Hyperlink">
    <w:name w:val="Hyperlink"/>
    <w:basedOn w:val="DefaultParagraphFont"/>
    <w:rsid w:val="009A0EE8"/>
    <w:rPr>
      <w:color w:val="0000FF"/>
      <w:u w:val="single"/>
    </w:rPr>
  </w:style>
  <w:style w:type="character" w:styleId="Emphasis">
    <w:name w:val="Emphasis"/>
    <w:basedOn w:val="DefaultParagraphFont"/>
    <w:uiPriority w:val="20"/>
    <w:qFormat/>
    <w:rsid w:val="009A0EE8"/>
    <w:rPr>
      <w:i/>
      <w:iCs/>
    </w:rPr>
  </w:style>
  <w:style w:type="paragraph" w:customStyle="1" w:styleId="citation">
    <w:name w:val="citation"/>
    <w:basedOn w:val="Normal"/>
    <w:rsid w:val="009A0EE8"/>
    <w:pPr>
      <w:autoSpaceDE/>
      <w:autoSpaceDN/>
      <w:adjustRightInd/>
      <w:spacing w:before="100" w:beforeAutospacing="1" w:after="100" w:afterAutospacing="1"/>
    </w:pPr>
    <w:rPr>
      <w:rFonts w:ascii="Times New Roman" w:eastAsia="Arial Unicode MS" w:hAnsi="Times New Roman"/>
      <w:sz w:val="24"/>
      <w:szCs w:val="24"/>
    </w:rPr>
  </w:style>
  <w:style w:type="paragraph" w:customStyle="1" w:styleId="Level1">
    <w:name w:val="Level 1"/>
    <w:link w:val="Level1Char"/>
    <w:rsid w:val="000505EC"/>
    <w:pPr>
      <w:autoSpaceDE w:val="0"/>
      <w:autoSpaceDN w:val="0"/>
      <w:adjustRightInd w:val="0"/>
      <w:ind w:left="720"/>
    </w:pPr>
    <w:rPr>
      <w:sz w:val="24"/>
      <w:szCs w:val="24"/>
    </w:rPr>
  </w:style>
  <w:style w:type="character" w:customStyle="1" w:styleId="Level1Char">
    <w:name w:val="Level 1 Char"/>
    <w:basedOn w:val="DefaultParagraphFont"/>
    <w:link w:val="Level1"/>
    <w:rsid w:val="000505EC"/>
    <w:rPr>
      <w:sz w:val="24"/>
      <w:szCs w:val="24"/>
      <w:lang w:val="en-US" w:eastAsia="en-US" w:bidi="ar-SA"/>
    </w:rPr>
  </w:style>
  <w:style w:type="paragraph" w:styleId="NoSpacing">
    <w:name w:val="No Spacing"/>
    <w:link w:val="NoSpacingChar"/>
    <w:qFormat/>
    <w:rsid w:val="00B11387"/>
    <w:rPr>
      <w:rFonts w:ascii="Calibri" w:hAnsi="Calibri"/>
      <w:sz w:val="22"/>
      <w:szCs w:val="22"/>
    </w:rPr>
  </w:style>
  <w:style w:type="character" w:customStyle="1" w:styleId="NoSpacingChar">
    <w:name w:val="No Spacing Char"/>
    <w:basedOn w:val="DefaultParagraphFont"/>
    <w:link w:val="NoSpacing"/>
    <w:rsid w:val="00B11387"/>
    <w:rPr>
      <w:rFonts w:ascii="Calibri" w:hAnsi="Calibri"/>
      <w:sz w:val="22"/>
      <w:szCs w:val="22"/>
      <w:lang w:val="en-US" w:eastAsia="en-US" w:bidi="ar-SA"/>
    </w:rPr>
  </w:style>
  <w:style w:type="paragraph" w:styleId="ListParagraph">
    <w:name w:val="List Paragraph"/>
    <w:basedOn w:val="Normal"/>
    <w:uiPriority w:val="34"/>
    <w:qFormat/>
    <w:rsid w:val="002E069D"/>
    <w:pPr>
      <w:autoSpaceDE/>
      <w:autoSpaceDN/>
      <w:adjustRightInd/>
      <w:ind w:left="720"/>
      <w:contextualSpacing/>
    </w:pPr>
    <w:rPr>
      <w:rFonts w:ascii="Times New Roman" w:eastAsia="Calibri" w:hAnsi="Times New Roman"/>
      <w:sz w:val="24"/>
      <w:szCs w:val="24"/>
    </w:rPr>
  </w:style>
  <w:style w:type="table" w:styleId="TableGrid">
    <w:name w:val="Table Grid"/>
    <w:basedOn w:val="TableNormal"/>
    <w:uiPriority w:val="59"/>
    <w:rsid w:val="00BB6D8B"/>
    <w:pPr>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6D8B"/>
    <w:rPr>
      <w:sz w:val="16"/>
      <w:szCs w:val="16"/>
    </w:rPr>
  </w:style>
  <w:style w:type="paragraph" w:styleId="CommentText">
    <w:name w:val="annotation text"/>
    <w:basedOn w:val="Normal"/>
    <w:link w:val="CommentTextChar"/>
    <w:uiPriority w:val="99"/>
    <w:unhideWhenUsed/>
    <w:rsid w:val="00BB6D8B"/>
  </w:style>
  <w:style w:type="character" w:customStyle="1" w:styleId="CommentTextChar">
    <w:name w:val="Comment Text Char"/>
    <w:basedOn w:val="DefaultParagraphFont"/>
    <w:link w:val="CommentText"/>
    <w:uiPriority w:val="99"/>
    <w:rsid w:val="00BB6D8B"/>
    <w:rPr>
      <w:rFonts w:ascii="CG Times" w:hAnsi="CG Times"/>
    </w:rPr>
  </w:style>
  <w:style w:type="paragraph" w:styleId="CommentSubject">
    <w:name w:val="annotation subject"/>
    <w:basedOn w:val="CommentText"/>
    <w:next w:val="CommentText"/>
    <w:link w:val="CommentSubjectChar"/>
    <w:uiPriority w:val="99"/>
    <w:semiHidden/>
    <w:unhideWhenUsed/>
    <w:rsid w:val="00B103F0"/>
    <w:rPr>
      <w:b/>
      <w:bCs/>
    </w:rPr>
  </w:style>
  <w:style w:type="character" w:customStyle="1" w:styleId="CommentSubjectChar">
    <w:name w:val="Comment Subject Char"/>
    <w:basedOn w:val="CommentTextChar"/>
    <w:link w:val="CommentSubject"/>
    <w:uiPriority w:val="99"/>
    <w:semiHidden/>
    <w:rsid w:val="00B103F0"/>
    <w:rPr>
      <w:rFonts w:ascii="CG Times" w:hAnsi="CG Times"/>
      <w:b/>
      <w:bCs/>
    </w:rPr>
  </w:style>
  <w:style w:type="paragraph" w:styleId="Header">
    <w:name w:val="header"/>
    <w:basedOn w:val="Normal"/>
    <w:link w:val="HeaderChar"/>
    <w:uiPriority w:val="99"/>
    <w:unhideWhenUsed/>
    <w:rsid w:val="00596EA5"/>
    <w:pPr>
      <w:tabs>
        <w:tab w:val="center" w:pos="4680"/>
        <w:tab w:val="right" w:pos="9360"/>
      </w:tabs>
    </w:pPr>
  </w:style>
  <w:style w:type="character" w:customStyle="1" w:styleId="HeaderChar">
    <w:name w:val="Header Char"/>
    <w:basedOn w:val="DefaultParagraphFont"/>
    <w:link w:val="Header"/>
    <w:uiPriority w:val="99"/>
    <w:rsid w:val="00596EA5"/>
    <w:rPr>
      <w:rFonts w:ascii="CG Times" w:hAnsi="CG Times"/>
    </w:rPr>
  </w:style>
  <w:style w:type="paragraph" w:styleId="Footer">
    <w:name w:val="footer"/>
    <w:basedOn w:val="Normal"/>
    <w:link w:val="FooterChar"/>
    <w:uiPriority w:val="99"/>
    <w:unhideWhenUsed/>
    <w:rsid w:val="00596EA5"/>
    <w:pPr>
      <w:tabs>
        <w:tab w:val="center" w:pos="4680"/>
        <w:tab w:val="right" w:pos="9360"/>
      </w:tabs>
    </w:pPr>
  </w:style>
  <w:style w:type="character" w:customStyle="1" w:styleId="FooterChar">
    <w:name w:val="Footer Char"/>
    <w:basedOn w:val="DefaultParagraphFont"/>
    <w:link w:val="Footer"/>
    <w:uiPriority w:val="99"/>
    <w:rsid w:val="00596EA5"/>
    <w:rPr>
      <w:rFonts w:ascii="CG Times" w:hAnsi="CG Times"/>
    </w:rPr>
  </w:style>
  <w:style w:type="character" w:customStyle="1" w:styleId="Heading1Char">
    <w:name w:val="Heading 1 Char"/>
    <w:basedOn w:val="DefaultParagraphFont"/>
    <w:link w:val="Heading1"/>
    <w:uiPriority w:val="9"/>
    <w:rsid w:val="00E44048"/>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9B7B46"/>
    <w:rPr>
      <w:color w:val="800080" w:themeColor="followedHyperlink"/>
      <w:u w:val="single"/>
    </w:rPr>
  </w:style>
  <w:style w:type="paragraph" w:styleId="Revision">
    <w:name w:val="Revision"/>
    <w:hidden/>
    <w:uiPriority w:val="99"/>
    <w:semiHidden/>
    <w:rsid w:val="00886A6A"/>
    <w:rPr>
      <w:rFonts w:ascii="CG Times" w:hAnsi="CG Times"/>
    </w:rPr>
  </w:style>
  <w:style w:type="paragraph" w:customStyle="1" w:styleId="body-paragraph">
    <w:name w:val="body-paragraph"/>
    <w:basedOn w:val="Normal"/>
    <w:rsid w:val="00D33F5E"/>
    <w:pPr>
      <w:autoSpaceDE/>
      <w:autoSpaceDN/>
      <w:adjustRightInd/>
      <w:spacing w:before="100" w:beforeAutospacing="1" w:after="100" w:afterAutospacing="1"/>
    </w:pPr>
    <w:rPr>
      <w:rFonts w:ascii="Times New Roman" w:hAnsi="Times New Roman"/>
      <w:sz w:val="24"/>
      <w:szCs w:val="24"/>
    </w:rPr>
  </w:style>
  <w:style w:type="character" w:customStyle="1" w:styleId="slug-pub-date3">
    <w:name w:val="slug-pub-date3"/>
    <w:basedOn w:val="DefaultParagraphFont"/>
    <w:rsid w:val="008F33C2"/>
    <w:rPr>
      <w:b/>
      <w:bCs/>
    </w:rPr>
  </w:style>
  <w:style w:type="character" w:customStyle="1" w:styleId="slug-vol">
    <w:name w:val="slug-vol"/>
    <w:basedOn w:val="DefaultParagraphFont"/>
    <w:rsid w:val="008F33C2"/>
  </w:style>
  <w:style w:type="character" w:customStyle="1" w:styleId="slug-issue">
    <w:name w:val="slug-issue"/>
    <w:basedOn w:val="DefaultParagraphFont"/>
    <w:rsid w:val="008F33C2"/>
  </w:style>
  <w:style w:type="character" w:customStyle="1" w:styleId="slug-pages3">
    <w:name w:val="slug-pages3"/>
    <w:basedOn w:val="DefaultParagraphFont"/>
    <w:rsid w:val="008F33C2"/>
    <w:rPr>
      <w:b/>
      <w:bCs/>
    </w:rPr>
  </w:style>
  <w:style w:type="paragraph" w:styleId="FootnoteText">
    <w:name w:val="footnote text"/>
    <w:basedOn w:val="Normal"/>
    <w:link w:val="FootnoteTextChar"/>
    <w:uiPriority w:val="99"/>
    <w:semiHidden/>
    <w:unhideWhenUsed/>
    <w:rsid w:val="001B0370"/>
  </w:style>
  <w:style w:type="character" w:customStyle="1" w:styleId="FootnoteTextChar">
    <w:name w:val="Footnote Text Char"/>
    <w:basedOn w:val="DefaultParagraphFont"/>
    <w:link w:val="FootnoteText"/>
    <w:uiPriority w:val="99"/>
    <w:semiHidden/>
    <w:rsid w:val="001B0370"/>
    <w:rPr>
      <w:rFonts w:ascii="CG Times" w:hAnsi="CG Times"/>
    </w:rPr>
  </w:style>
  <w:style w:type="character" w:styleId="FootnoteReference">
    <w:name w:val="footnote reference"/>
    <w:basedOn w:val="DefaultParagraphFont"/>
    <w:uiPriority w:val="99"/>
    <w:semiHidden/>
    <w:unhideWhenUsed/>
    <w:rsid w:val="001B0370"/>
    <w:rPr>
      <w:vertAlign w:val="superscript"/>
    </w:rPr>
  </w:style>
  <w:style w:type="paragraph" w:customStyle="1" w:styleId="Text">
    <w:name w:val="Text"/>
    <w:link w:val="TextChar"/>
    <w:qFormat/>
    <w:rsid w:val="00A548EC"/>
    <w:pPr>
      <w:spacing w:after="100" w:afterAutospacing="1"/>
    </w:pPr>
    <w:rPr>
      <w:sz w:val="24"/>
    </w:rPr>
  </w:style>
  <w:style w:type="character" w:customStyle="1" w:styleId="TextChar">
    <w:name w:val="Text Char"/>
    <w:basedOn w:val="DefaultParagraphFont"/>
    <w:link w:val="Text"/>
    <w:rsid w:val="00A548EC"/>
    <w:rPr>
      <w:sz w:val="24"/>
    </w:rPr>
  </w:style>
  <w:style w:type="table" w:customStyle="1" w:styleId="TableGrid1">
    <w:name w:val="Table Grid1"/>
    <w:basedOn w:val="TableNormal"/>
    <w:next w:val="TableGrid"/>
    <w:uiPriority w:val="59"/>
    <w:rsid w:val="00A0436C"/>
    <w:pPr>
      <w:jc w:val="center"/>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16CA6"/>
    <w:rPr>
      <w:rFonts w:asciiTheme="majorHAnsi" w:eastAsiaTheme="majorEastAsia" w:hAnsiTheme="majorHAnsi" w:cstheme="majorBidi"/>
      <w:b/>
      <w:bCs/>
      <w:color w:val="4F81BD" w:themeColor="accent1"/>
    </w:rPr>
  </w:style>
  <w:style w:type="paragraph" w:customStyle="1" w:styleId="Default">
    <w:name w:val="Default"/>
    <w:rsid w:val="002F2E5D"/>
    <w:pPr>
      <w:autoSpaceDE w:val="0"/>
      <w:autoSpaceDN w:val="0"/>
      <w:adjustRightInd w:val="0"/>
    </w:pPr>
    <w:rPr>
      <w:rFonts w:ascii="ITCCentury Book" w:hAnsi="ITCCentury Book" w:cs="ITCCentury Book"/>
      <w:color w:val="000000"/>
      <w:sz w:val="24"/>
      <w:szCs w:val="24"/>
    </w:rPr>
  </w:style>
  <w:style w:type="paragraph" w:customStyle="1" w:styleId="D801C6740D3442D0974ED4C393ECA78C">
    <w:name w:val="D801C6740D3442D0974ED4C393ECA78C"/>
    <w:rsid w:val="006E103D"/>
    <w:pPr>
      <w:spacing w:after="200" w:line="276" w:lineRule="auto"/>
    </w:pPr>
    <w:rPr>
      <w:rFonts w:asciiTheme="minorHAnsi" w:eastAsiaTheme="minorEastAsia" w:hAnsiTheme="minorHAnsi" w:cstheme="minorBidi"/>
      <w:sz w:val="22"/>
      <w:szCs w:val="22"/>
      <w:lang w:eastAsia="ja-JP"/>
    </w:rPr>
  </w:style>
  <w:style w:type="table" w:styleId="LightGrid-Accent1">
    <w:name w:val="Light Grid Accent 1"/>
    <w:basedOn w:val="TableNormal"/>
    <w:uiPriority w:val="62"/>
    <w:rsid w:val="00120A0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
    <w:name w:val="Bullet"/>
    <w:qFormat/>
    <w:rsid w:val="00973FB8"/>
    <w:pPr>
      <w:numPr>
        <w:numId w:val="4"/>
      </w:numPr>
      <w:tabs>
        <w:tab w:val="left" w:pos="360"/>
      </w:tabs>
      <w:spacing w:after="180"/>
      <w:ind w:left="720" w:right="360" w:hanging="288"/>
      <w:jc w:val="both"/>
    </w:pPr>
    <w:rPr>
      <w:sz w:val="24"/>
      <w:szCs w:val="24"/>
    </w:rPr>
  </w:style>
  <w:style w:type="paragraph" w:styleId="EndnoteText">
    <w:name w:val="endnote text"/>
    <w:basedOn w:val="Normal"/>
    <w:link w:val="EndnoteTextChar"/>
    <w:uiPriority w:val="99"/>
    <w:semiHidden/>
    <w:unhideWhenUsed/>
    <w:rsid w:val="00EE024F"/>
  </w:style>
  <w:style w:type="character" w:customStyle="1" w:styleId="EndnoteTextChar">
    <w:name w:val="Endnote Text Char"/>
    <w:basedOn w:val="DefaultParagraphFont"/>
    <w:link w:val="EndnoteText"/>
    <w:uiPriority w:val="99"/>
    <w:semiHidden/>
    <w:rsid w:val="00EE024F"/>
    <w:rPr>
      <w:rFonts w:ascii="CG Times" w:hAnsi="CG Times"/>
    </w:rPr>
  </w:style>
  <w:style w:type="character" w:styleId="EndnoteReference">
    <w:name w:val="endnote reference"/>
    <w:basedOn w:val="DefaultParagraphFont"/>
    <w:uiPriority w:val="99"/>
    <w:semiHidden/>
    <w:unhideWhenUsed/>
    <w:rsid w:val="00EE024F"/>
    <w:rPr>
      <w:vertAlign w:val="superscript"/>
    </w:rPr>
  </w:style>
  <w:style w:type="paragraph" w:customStyle="1" w:styleId="Pa17">
    <w:name w:val="Pa17"/>
    <w:basedOn w:val="Default"/>
    <w:next w:val="Default"/>
    <w:uiPriority w:val="99"/>
    <w:rsid w:val="000C180F"/>
    <w:pPr>
      <w:spacing w:line="221" w:lineRule="atLeast"/>
    </w:pPr>
    <w:rPr>
      <w:rFonts w:ascii="Adobe Garamond Pro" w:hAnsi="Adobe Garamond Pro" w:cs="Times New Roman"/>
      <w:color w:val="auto"/>
    </w:rPr>
  </w:style>
  <w:style w:type="paragraph" w:customStyle="1" w:styleId="NORC-Bullet1">
    <w:name w:val="NORC-Bullet 1"/>
    <w:rsid w:val="00E06F75"/>
    <w:pPr>
      <w:numPr>
        <w:numId w:val="6"/>
      </w:numPr>
      <w:spacing w:after="40"/>
    </w:pPr>
    <w:rPr>
      <w:sz w:val="24"/>
      <w:szCs w:val="24"/>
    </w:rPr>
  </w:style>
  <w:style w:type="table" w:customStyle="1" w:styleId="GridTable1Light1">
    <w:name w:val="Grid Table 1 Light1"/>
    <w:basedOn w:val="TableNormal"/>
    <w:uiPriority w:val="46"/>
    <w:rsid w:val="00A45CB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1">
    <w:name w:val="Table Text1"/>
    <w:basedOn w:val="Normal"/>
    <w:qFormat/>
    <w:rsid w:val="004E57FE"/>
    <w:pPr>
      <w:autoSpaceDE/>
      <w:autoSpaceDN/>
      <w:adjustRightInd/>
    </w:pPr>
    <w:rPr>
      <w:rFonts w:ascii="Times New Roman" w:hAnsi="Times New Roman"/>
      <w:color w:val="000000" w:themeColor="text1"/>
    </w:rPr>
  </w:style>
  <w:style w:type="paragraph" w:customStyle="1" w:styleId="Tabletextbulletletter">
    <w:name w:val="Table text bullet letter"/>
    <w:basedOn w:val="ListParagraph"/>
    <w:qFormat/>
    <w:rsid w:val="004E57FE"/>
    <w:pPr>
      <w:numPr>
        <w:numId w:val="7"/>
      </w:numPr>
      <w:ind w:left="653" w:hanging="293"/>
      <w:contextualSpacing w:val="0"/>
    </w:pPr>
    <w:rPr>
      <w:rFonts w:ascii="Calibri" w:eastAsia="Times New Roman" w:hAnsi="Calibri"/>
      <w:sz w:val="20"/>
      <w:szCs w:val="20"/>
    </w:rPr>
  </w:style>
  <w:style w:type="character" w:customStyle="1" w:styleId="A23">
    <w:name w:val="A23"/>
    <w:uiPriority w:val="99"/>
    <w:rsid w:val="00AF25CC"/>
    <w:rPr>
      <w:rFonts w:cs="Myriad Pro"/>
      <w:color w:val="2C2926"/>
      <w:sz w:val="17"/>
      <w:szCs w:val="17"/>
      <w:u w:val="single"/>
    </w:rPr>
  </w:style>
  <w:style w:type="character" w:customStyle="1" w:styleId="UnresolvedMention1">
    <w:name w:val="Unresolved Mention1"/>
    <w:basedOn w:val="DefaultParagraphFont"/>
    <w:uiPriority w:val="99"/>
    <w:semiHidden/>
    <w:unhideWhenUsed/>
    <w:rsid w:val="003C407F"/>
    <w:rPr>
      <w:color w:val="808080"/>
      <w:shd w:val="clear" w:color="auto" w:fill="E6E6E6"/>
    </w:rPr>
  </w:style>
  <w:style w:type="character" w:customStyle="1" w:styleId="normaltextrun">
    <w:name w:val="normaltextrun"/>
    <w:basedOn w:val="DefaultParagraphFont"/>
    <w:rsid w:val="00136460"/>
  </w:style>
  <w:style w:type="character" w:customStyle="1" w:styleId="eop">
    <w:name w:val="eop"/>
    <w:basedOn w:val="DefaultParagraphFont"/>
    <w:rsid w:val="00136460"/>
  </w:style>
  <w:style w:type="character" w:customStyle="1" w:styleId="spellingerror">
    <w:name w:val="spellingerror"/>
    <w:basedOn w:val="DefaultParagraphFont"/>
    <w:rsid w:val="00136460"/>
  </w:style>
  <w:style w:type="character" w:styleId="UnresolvedMention">
    <w:name w:val="Unresolved Mention"/>
    <w:basedOn w:val="DefaultParagraphFont"/>
    <w:uiPriority w:val="99"/>
    <w:semiHidden/>
    <w:unhideWhenUsed/>
    <w:rsid w:val="00FD6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65095">
      <w:bodyDiv w:val="1"/>
      <w:marLeft w:val="0"/>
      <w:marRight w:val="0"/>
      <w:marTop w:val="0"/>
      <w:marBottom w:val="0"/>
      <w:divBdr>
        <w:top w:val="none" w:sz="0" w:space="0" w:color="auto"/>
        <w:left w:val="none" w:sz="0" w:space="0" w:color="auto"/>
        <w:bottom w:val="none" w:sz="0" w:space="0" w:color="auto"/>
        <w:right w:val="none" w:sz="0" w:space="0" w:color="auto"/>
      </w:divBdr>
    </w:div>
    <w:div w:id="126748023">
      <w:bodyDiv w:val="1"/>
      <w:marLeft w:val="0"/>
      <w:marRight w:val="0"/>
      <w:marTop w:val="0"/>
      <w:marBottom w:val="0"/>
      <w:divBdr>
        <w:top w:val="none" w:sz="0" w:space="0" w:color="auto"/>
        <w:left w:val="none" w:sz="0" w:space="0" w:color="auto"/>
        <w:bottom w:val="none" w:sz="0" w:space="0" w:color="auto"/>
        <w:right w:val="none" w:sz="0" w:space="0" w:color="auto"/>
      </w:divBdr>
      <w:divsChild>
        <w:div w:id="923757409">
          <w:marLeft w:val="0"/>
          <w:marRight w:val="0"/>
          <w:marTop w:val="0"/>
          <w:marBottom w:val="0"/>
          <w:divBdr>
            <w:top w:val="none" w:sz="0" w:space="0" w:color="auto"/>
            <w:left w:val="none" w:sz="0" w:space="0" w:color="auto"/>
            <w:bottom w:val="none" w:sz="0" w:space="0" w:color="auto"/>
            <w:right w:val="none" w:sz="0" w:space="0" w:color="auto"/>
          </w:divBdr>
          <w:divsChild>
            <w:div w:id="220405590">
              <w:marLeft w:val="0"/>
              <w:marRight w:val="0"/>
              <w:marTop w:val="0"/>
              <w:marBottom w:val="0"/>
              <w:divBdr>
                <w:top w:val="none" w:sz="0" w:space="0" w:color="auto"/>
                <w:left w:val="none" w:sz="0" w:space="0" w:color="auto"/>
                <w:bottom w:val="none" w:sz="0" w:space="0" w:color="auto"/>
                <w:right w:val="none" w:sz="0" w:space="0" w:color="auto"/>
              </w:divBdr>
              <w:divsChild>
                <w:div w:id="90592612">
                  <w:marLeft w:val="0"/>
                  <w:marRight w:val="0"/>
                  <w:marTop w:val="0"/>
                  <w:marBottom w:val="0"/>
                  <w:divBdr>
                    <w:top w:val="none" w:sz="0" w:space="0" w:color="auto"/>
                    <w:left w:val="none" w:sz="0" w:space="0" w:color="auto"/>
                    <w:bottom w:val="none" w:sz="0" w:space="0" w:color="auto"/>
                    <w:right w:val="none" w:sz="0" w:space="0" w:color="auto"/>
                  </w:divBdr>
                  <w:divsChild>
                    <w:div w:id="385448268">
                      <w:marLeft w:val="0"/>
                      <w:marRight w:val="0"/>
                      <w:marTop w:val="0"/>
                      <w:marBottom w:val="0"/>
                      <w:divBdr>
                        <w:top w:val="none" w:sz="0" w:space="0" w:color="auto"/>
                        <w:left w:val="none" w:sz="0" w:space="0" w:color="auto"/>
                        <w:bottom w:val="none" w:sz="0" w:space="0" w:color="auto"/>
                        <w:right w:val="none" w:sz="0" w:space="0" w:color="auto"/>
                      </w:divBdr>
                      <w:divsChild>
                        <w:div w:id="978077131">
                          <w:marLeft w:val="0"/>
                          <w:marRight w:val="0"/>
                          <w:marTop w:val="0"/>
                          <w:marBottom w:val="0"/>
                          <w:divBdr>
                            <w:top w:val="none" w:sz="0" w:space="0" w:color="auto"/>
                            <w:left w:val="none" w:sz="0" w:space="0" w:color="auto"/>
                            <w:bottom w:val="none" w:sz="0" w:space="0" w:color="auto"/>
                            <w:right w:val="none" w:sz="0" w:space="0" w:color="auto"/>
                          </w:divBdr>
                          <w:divsChild>
                            <w:div w:id="1400520046">
                              <w:marLeft w:val="0"/>
                              <w:marRight w:val="0"/>
                              <w:marTop w:val="0"/>
                              <w:marBottom w:val="0"/>
                              <w:divBdr>
                                <w:top w:val="none" w:sz="0" w:space="0" w:color="auto"/>
                                <w:left w:val="none" w:sz="0" w:space="0" w:color="auto"/>
                                <w:bottom w:val="none" w:sz="0" w:space="0" w:color="auto"/>
                                <w:right w:val="none" w:sz="0" w:space="0" w:color="auto"/>
                              </w:divBdr>
                              <w:divsChild>
                                <w:div w:id="638389151">
                                  <w:marLeft w:val="0"/>
                                  <w:marRight w:val="0"/>
                                  <w:marTop w:val="0"/>
                                  <w:marBottom w:val="0"/>
                                  <w:divBdr>
                                    <w:top w:val="none" w:sz="0" w:space="0" w:color="auto"/>
                                    <w:left w:val="none" w:sz="0" w:space="0" w:color="auto"/>
                                    <w:bottom w:val="none" w:sz="0" w:space="0" w:color="auto"/>
                                    <w:right w:val="none" w:sz="0" w:space="0" w:color="auto"/>
                                  </w:divBdr>
                                  <w:divsChild>
                                    <w:div w:id="1253129084">
                                      <w:marLeft w:val="0"/>
                                      <w:marRight w:val="0"/>
                                      <w:marTop w:val="0"/>
                                      <w:marBottom w:val="0"/>
                                      <w:divBdr>
                                        <w:top w:val="none" w:sz="0" w:space="0" w:color="auto"/>
                                        <w:left w:val="none" w:sz="0" w:space="0" w:color="auto"/>
                                        <w:bottom w:val="none" w:sz="0" w:space="0" w:color="auto"/>
                                        <w:right w:val="none" w:sz="0" w:space="0" w:color="auto"/>
                                      </w:divBdr>
                                      <w:divsChild>
                                        <w:div w:id="3220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10642">
      <w:bodyDiv w:val="1"/>
      <w:marLeft w:val="0"/>
      <w:marRight w:val="0"/>
      <w:marTop w:val="0"/>
      <w:marBottom w:val="0"/>
      <w:divBdr>
        <w:top w:val="none" w:sz="0" w:space="0" w:color="auto"/>
        <w:left w:val="none" w:sz="0" w:space="0" w:color="auto"/>
        <w:bottom w:val="none" w:sz="0" w:space="0" w:color="auto"/>
        <w:right w:val="none" w:sz="0" w:space="0" w:color="auto"/>
      </w:divBdr>
    </w:div>
    <w:div w:id="241377015">
      <w:bodyDiv w:val="1"/>
      <w:marLeft w:val="0"/>
      <w:marRight w:val="0"/>
      <w:marTop w:val="0"/>
      <w:marBottom w:val="0"/>
      <w:divBdr>
        <w:top w:val="none" w:sz="0" w:space="0" w:color="auto"/>
        <w:left w:val="none" w:sz="0" w:space="0" w:color="auto"/>
        <w:bottom w:val="none" w:sz="0" w:space="0" w:color="auto"/>
        <w:right w:val="none" w:sz="0" w:space="0" w:color="auto"/>
      </w:divBdr>
    </w:div>
    <w:div w:id="244413170">
      <w:bodyDiv w:val="1"/>
      <w:marLeft w:val="0"/>
      <w:marRight w:val="0"/>
      <w:marTop w:val="0"/>
      <w:marBottom w:val="0"/>
      <w:divBdr>
        <w:top w:val="none" w:sz="0" w:space="0" w:color="auto"/>
        <w:left w:val="none" w:sz="0" w:space="0" w:color="auto"/>
        <w:bottom w:val="none" w:sz="0" w:space="0" w:color="auto"/>
        <w:right w:val="none" w:sz="0" w:space="0" w:color="auto"/>
      </w:divBdr>
    </w:div>
    <w:div w:id="345644634">
      <w:bodyDiv w:val="1"/>
      <w:marLeft w:val="0"/>
      <w:marRight w:val="0"/>
      <w:marTop w:val="0"/>
      <w:marBottom w:val="0"/>
      <w:divBdr>
        <w:top w:val="none" w:sz="0" w:space="0" w:color="auto"/>
        <w:left w:val="none" w:sz="0" w:space="0" w:color="auto"/>
        <w:bottom w:val="none" w:sz="0" w:space="0" w:color="auto"/>
        <w:right w:val="none" w:sz="0" w:space="0" w:color="auto"/>
      </w:divBdr>
      <w:divsChild>
        <w:div w:id="1738549715">
          <w:marLeft w:val="0"/>
          <w:marRight w:val="0"/>
          <w:marTop w:val="0"/>
          <w:marBottom w:val="0"/>
          <w:divBdr>
            <w:top w:val="none" w:sz="0" w:space="0" w:color="auto"/>
            <w:left w:val="none" w:sz="0" w:space="0" w:color="auto"/>
            <w:bottom w:val="none" w:sz="0" w:space="0" w:color="auto"/>
            <w:right w:val="none" w:sz="0" w:space="0" w:color="auto"/>
          </w:divBdr>
          <w:divsChild>
            <w:div w:id="1920211952">
              <w:marLeft w:val="0"/>
              <w:marRight w:val="0"/>
              <w:marTop w:val="0"/>
              <w:marBottom w:val="0"/>
              <w:divBdr>
                <w:top w:val="none" w:sz="0" w:space="0" w:color="auto"/>
                <w:left w:val="none" w:sz="0" w:space="0" w:color="auto"/>
                <w:bottom w:val="none" w:sz="0" w:space="0" w:color="auto"/>
                <w:right w:val="none" w:sz="0" w:space="0" w:color="auto"/>
              </w:divBdr>
              <w:divsChild>
                <w:div w:id="1359352489">
                  <w:marLeft w:val="0"/>
                  <w:marRight w:val="0"/>
                  <w:marTop w:val="0"/>
                  <w:marBottom w:val="0"/>
                  <w:divBdr>
                    <w:top w:val="none" w:sz="0" w:space="0" w:color="auto"/>
                    <w:left w:val="none" w:sz="0" w:space="0" w:color="auto"/>
                    <w:bottom w:val="none" w:sz="0" w:space="0" w:color="auto"/>
                    <w:right w:val="none" w:sz="0" w:space="0" w:color="auto"/>
                  </w:divBdr>
                  <w:divsChild>
                    <w:div w:id="625620434">
                      <w:marLeft w:val="0"/>
                      <w:marRight w:val="0"/>
                      <w:marTop w:val="0"/>
                      <w:marBottom w:val="0"/>
                      <w:divBdr>
                        <w:top w:val="none" w:sz="0" w:space="0" w:color="auto"/>
                        <w:left w:val="none" w:sz="0" w:space="0" w:color="auto"/>
                        <w:bottom w:val="none" w:sz="0" w:space="0" w:color="auto"/>
                        <w:right w:val="none" w:sz="0" w:space="0" w:color="auto"/>
                      </w:divBdr>
                      <w:divsChild>
                        <w:div w:id="1885675593">
                          <w:marLeft w:val="0"/>
                          <w:marRight w:val="0"/>
                          <w:marTop w:val="0"/>
                          <w:marBottom w:val="0"/>
                          <w:divBdr>
                            <w:top w:val="none" w:sz="0" w:space="0" w:color="auto"/>
                            <w:left w:val="none" w:sz="0" w:space="0" w:color="auto"/>
                            <w:bottom w:val="none" w:sz="0" w:space="0" w:color="auto"/>
                            <w:right w:val="none" w:sz="0" w:space="0" w:color="auto"/>
                          </w:divBdr>
                          <w:divsChild>
                            <w:div w:id="488835619">
                              <w:marLeft w:val="0"/>
                              <w:marRight w:val="0"/>
                              <w:marTop w:val="0"/>
                              <w:marBottom w:val="0"/>
                              <w:divBdr>
                                <w:top w:val="none" w:sz="0" w:space="0" w:color="auto"/>
                                <w:left w:val="none" w:sz="0" w:space="0" w:color="auto"/>
                                <w:bottom w:val="none" w:sz="0" w:space="0" w:color="auto"/>
                                <w:right w:val="none" w:sz="0" w:space="0" w:color="auto"/>
                              </w:divBdr>
                              <w:divsChild>
                                <w:div w:id="1766921021">
                                  <w:marLeft w:val="0"/>
                                  <w:marRight w:val="0"/>
                                  <w:marTop w:val="0"/>
                                  <w:marBottom w:val="0"/>
                                  <w:divBdr>
                                    <w:top w:val="none" w:sz="0" w:space="0" w:color="auto"/>
                                    <w:left w:val="none" w:sz="0" w:space="0" w:color="auto"/>
                                    <w:bottom w:val="none" w:sz="0" w:space="0" w:color="auto"/>
                                    <w:right w:val="none" w:sz="0" w:space="0" w:color="auto"/>
                                  </w:divBdr>
                                  <w:divsChild>
                                    <w:div w:id="1301568741">
                                      <w:marLeft w:val="0"/>
                                      <w:marRight w:val="0"/>
                                      <w:marTop w:val="0"/>
                                      <w:marBottom w:val="0"/>
                                      <w:divBdr>
                                        <w:top w:val="none" w:sz="0" w:space="0" w:color="auto"/>
                                        <w:left w:val="none" w:sz="0" w:space="0" w:color="auto"/>
                                        <w:bottom w:val="none" w:sz="0" w:space="0" w:color="auto"/>
                                        <w:right w:val="none" w:sz="0" w:space="0" w:color="auto"/>
                                      </w:divBdr>
                                      <w:divsChild>
                                        <w:div w:id="1883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044369">
      <w:bodyDiv w:val="1"/>
      <w:marLeft w:val="0"/>
      <w:marRight w:val="0"/>
      <w:marTop w:val="0"/>
      <w:marBottom w:val="0"/>
      <w:divBdr>
        <w:top w:val="none" w:sz="0" w:space="0" w:color="auto"/>
        <w:left w:val="none" w:sz="0" w:space="0" w:color="auto"/>
        <w:bottom w:val="none" w:sz="0" w:space="0" w:color="auto"/>
        <w:right w:val="none" w:sz="0" w:space="0" w:color="auto"/>
      </w:divBdr>
    </w:div>
    <w:div w:id="733353063">
      <w:bodyDiv w:val="1"/>
      <w:marLeft w:val="0"/>
      <w:marRight w:val="0"/>
      <w:marTop w:val="0"/>
      <w:marBottom w:val="0"/>
      <w:divBdr>
        <w:top w:val="none" w:sz="0" w:space="0" w:color="auto"/>
        <w:left w:val="none" w:sz="0" w:space="0" w:color="auto"/>
        <w:bottom w:val="none" w:sz="0" w:space="0" w:color="auto"/>
        <w:right w:val="none" w:sz="0" w:space="0" w:color="auto"/>
      </w:divBdr>
    </w:div>
    <w:div w:id="897591879">
      <w:bodyDiv w:val="1"/>
      <w:marLeft w:val="0"/>
      <w:marRight w:val="0"/>
      <w:marTop w:val="0"/>
      <w:marBottom w:val="0"/>
      <w:divBdr>
        <w:top w:val="none" w:sz="0" w:space="0" w:color="auto"/>
        <w:left w:val="none" w:sz="0" w:space="0" w:color="auto"/>
        <w:bottom w:val="none" w:sz="0" w:space="0" w:color="auto"/>
        <w:right w:val="none" w:sz="0" w:space="0" w:color="auto"/>
      </w:divBdr>
      <w:divsChild>
        <w:div w:id="118454125">
          <w:marLeft w:val="0"/>
          <w:marRight w:val="0"/>
          <w:marTop w:val="0"/>
          <w:marBottom w:val="0"/>
          <w:divBdr>
            <w:top w:val="none" w:sz="0" w:space="0" w:color="auto"/>
            <w:left w:val="none" w:sz="0" w:space="0" w:color="auto"/>
            <w:bottom w:val="none" w:sz="0" w:space="0" w:color="auto"/>
            <w:right w:val="none" w:sz="0" w:space="0" w:color="auto"/>
          </w:divBdr>
          <w:divsChild>
            <w:div w:id="145822545">
              <w:marLeft w:val="0"/>
              <w:marRight w:val="0"/>
              <w:marTop w:val="0"/>
              <w:marBottom w:val="0"/>
              <w:divBdr>
                <w:top w:val="none" w:sz="0" w:space="0" w:color="auto"/>
                <w:left w:val="none" w:sz="0" w:space="0" w:color="auto"/>
                <w:bottom w:val="none" w:sz="0" w:space="0" w:color="auto"/>
                <w:right w:val="none" w:sz="0" w:space="0" w:color="auto"/>
              </w:divBdr>
              <w:divsChild>
                <w:div w:id="247545904">
                  <w:marLeft w:val="0"/>
                  <w:marRight w:val="0"/>
                  <w:marTop w:val="0"/>
                  <w:marBottom w:val="0"/>
                  <w:divBdr>
                    <w:top w:val="none" w:sz="0" w:space="0" w:color="auto"/>
                    <w:left w:val="none" w:sz="0" w:space="0" w:color="auto"/>
                    <w:bottom w:val="none" w:sz="0" w:space="0" w:color="auto"/>
                    <w:right w:val="none" w:sz="0" w:space="0" w:color="auto"/>
                  </w:divBdr>
                  <w:divsChild>
                    <w:div w:id="617026448">
                      <w:marLeft w:val="0"/>
                      <w:marRight w:val="0"/>
                      <w:marTop w:val="0"/>
                      <w:marBottom w:val="0"/>
                      <w:divBdr>
                        <w:top w:val="none" w:sz="0" w:space="0" w:color="auto"/>
                        <w:left w:val="none" w:sz="0" w:space="0" w:color="auto"/>
                        <w:bottom w:val="none" w:sz="0" w:space="0" w:color="auto"/>
                        <w:right w:val="none" w:sz="0" w:space="0" w:color="auto"/>
                      </w:divBdr>
                      <w:divsChild>
                        <w:div w:id="386497178">
                          <w:marLeft w:val="0"/>
                          <w:marRight w:val="0"/>
                          <w:marTop w:val="0"/>
                          <w:marBottom w:val="0"/>
                          <w:divBdr>
                            <w:top w:val="none" w:sz="0" w:space="0" w:color="auto"/>
                            <w:left w:val="none" w:sz="0" w:space="0" w:color="auto"/>
                            <w:bottom w:val="none" w:sz="0" w:space="0" w:color="auto"/>
                            <w:right w:val="none" w:sz="0" w:space="0" w:color="auto"/>
                          </w:divBdr>
                          <w:divsChild>
                            <w:div w:id="1591425172">
                              <w:marLeft w:val="0"/>
                              <w:marRight w:val="0"/>
                              <w:marTop w:val="0"/>
                              <w:marBottom w:val="0"/>
                              <w:divBdr>
                                <w:top w:val="none" w:sz="0" w:space="0" w:color="auto"/>
                                <w:left w:val="none" w:sz="0" w:space="0" w:color="auto"/>
                                <w:bottom w:val="none" w:sz="0" w:space="0" w:color="auto"/>
                                <w:right w:val="none" w:sz="0" w:space="0" w:color="auto"/>
                              </w:divBdr>
                              <w:divsChild>
                                <w:div w:id="1389066217">
                                  <w:marLeft w:val="0"/>
                                  <w:marRight w:val="0"/>
                                  <w:marTop w:val="0"/>
                                  <w:marBottom w:val="0"/>
                                  <w:divBdr>
                                    <w:top w:val="none" w:sz="0" w:space="0" w:color="auto"/>
                                    <w:left w:val="none" w:sz="0" w:space="0" w:color="auto"/>
                                    <w:bottom w:val="none" w:sz="0" w:space="0" w:color="auto"/>
                                    <w:right w:val="none" w:sz="0" w:space="0" w:color="auto"/>
                                  </w:divBdr>
                                  <w:divsChild>
                                    <w:div w:id="2073310320">
                                      <w:marLeft w:val="0"/>
                                      <w:marRight w:val="0"/>
                                      <w:marTop w:val="0"/>
                                      <w:marBottom w:val="0"/>
                                      <w:divBdr>
                                        <w:top w:val="none" w:sz="0" w:space="0" w:color="auto"/>
                                        <w:left w:val="none" w:sz="0" w:space="0" w:color="auto"/>
                                        <w:bottom w:val="none" w:sz="0" w:space="0" w:color="auto"/>
                                        <w:right w:val="none" w:sz="0" w:space="0" w:color="auto"/>
                                      </w:divBdr>
                                      <w:divsChild>
                                        <w:div w:id="19333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8120002">
      <w:bodyDiv w:val="1"/>
      <w:marLeft w:val="0"/>
      <w:marRight w:val="0"/>
      <w:marTop w:val="0"/>
      <w:marBottom w:val="0"/>
      <w:divBdr>
        <w:top w:val="none" w:sz="0" w:space="0" w:color="auto"/>
        <w:left w:val="none" w:sz="0" w:space="0" w:color="auto"/>
        <w:bottom w:val="none" w:sz="0" w:space="0" w:color="auto"/>
        <w:right w:val="none" w:sz="0" w:space="0" w:color="auto"/>
      </w:divBdr>
    </w:div>
    <w:div w:id="1088234886">
      <w:bodyDiv w:val="1"/>
      <w:marLeft w:val="0"/>
      <w:marRight w:val="0"/>
      <w:marTop w:val="0"/>
      <w:marBottom w:val="0"/>
      <w:divBdr>
        <w:top w:val="none" w:sz="0" w:space="0" w:color="auto"/>
        <w:left w:val="none" w:sz="0" w:space="0" w:color="auto"/>
        <w:bottom w:val="none" w:sz="0" w:space="0" w:color="auto"/>
        <w:right w:val="none" w:sz="0" w:space="0" w:color="auto"/>
      </w:divBdr>
    </w:div>
    <w:div w:id="1257206043">
      <w:bodyDiv w:val="1"/>
      <w:marLeft w:val="0"/>
      <w:marRight w:val="0"/>
      <w:marTop w:val="0"/>
      <w:marBottom w:val="0"/>
      <w:divBdr>
        <w:top w:val="none" w:sz="0" w:space="0" w:color="auto"/>
        <w:left w:val="none" w:sz="0" w:space="0" w:color="auto"/>
        <w:bottom w:val="none" w:sz="0" w:space="0" w:color="auto"/>
        <w:right w:val="none" w:sz="0" w:space="0" w:color="auto"/>
      </w:divBdr>
    </w:div>
    <w:div w:id="1345133784">
      <w:bodyDiv w:val="1"/>
      <w:marLeft w:val="0"/>
      <w:marRight w:val="0"/>
      <w:marTop w:val="0"/>
      <w:marBottom w:val="0"/>
      <w:divBdr>
        <w:top w:val="none" w:sz="0" w:space="0" w:color="auto"/>
        <w:left w:val="none" w:sz="0" w:space="0" w:color="auto"/>
        <w:bottom w:val="none" w:sz="0" w:space="0" w:color="auto"/>
        <w:right w:val="none" w:sz="0" w:space="0" w:color="auto"/>
      </w:divBdr>
    </w:div>
    <w:div w:id="1520003760">
      <w:bodyDiv w:val="1"/>
      <w:marLeft w:val="0"/>
      <w:marRight w:val="0"/>
      <w:marTop w:val="0"/>
      <w:marBottom w:val="0"/>
      <w:divBdr>
        <w:top w:val="none" w:sz="0" w:space="0" w:color="auto"/>
        <w:left w:val="none" w:sz="0" w:space="0" w:color="auto"/>
        <w:bottom w:val="none" w:sz="0" w:space="0" w:color="auto"/>
        <w:right w:val="none" w:sz="0" w:space="0" w:color="auto"/>
      </w:divBdr>
    </w:div>
    <w:div w:id="1590770717">
      <w:bodyDiv w:val="1"/>
      <w:marLeft w:val="0"/>
      <w:marRight w:val="0"/>
      <w:marTop w:val="0"/>
      <w:marBottom w:val="0"/>
      <w:divBdr>
        <w:top w:val="none" w:sz="0" w:space="0" w:color="auto"/>
        <w:left w:val="none" w:sz="0" w:space="0" w:color="auto"/>
        <w:bottom w:val="none" w:sz="0" w:space="0" w:color="auto"/>
        <w:right w:val="none" w:sz="0" w:space="0" w:color="auto"/>
      </w:divBdr>
    </w:div>
    <w:div w:id="1718818536">
      <w:bodyDiv w:val="1"/>
      <w:marLeft w:val="0"/>
      <w:marRight w:val="0"/>
      <w:marTop w:val="0"/>
      <w:marBottom w:val="0"/>
      <w:divBdr>
        <w:top w:val="none" w:sz="0" w:space="0" w:color="auto"/>
        <w:left w:val="none" w:sz="0" w:space="0" w:color="auto"/>
        <w:bottom w:val="none" w:sz="0" w:space="0" w:color="auto"/>
        <w:right w:val="none" w:sz="0" w:space="0" w:color="auto"/>
      </w:divBdr>
    </w:div>
    <w:div w:id="1936404216">
      <w:bodyDiv w:val="1"/>
      <w:marLeft w:val="0"/>
      <w:marRight w:val="0"/>
      <w:marTop w:val="0"/>
      <w:marBottom w:val="0"/>
      <w:divBdr>
        <w:top w:val="none" w:sz="0" w:space="0" w:color="auto"/>
        <w:left w:val="none" w:sz="0" w:space="0" w:color="auto"/>
        <w:bottom w:val="none" w:sz="0" w:space="0" w:color="auto"/>
        <w:right w:val="none" w:sz="0" w:space="0" w:color="auto"/>
      </w:divBdr>
    </w:div>
    <w:div w:id="1989476988">
      <w:bodyDiv w:val="1"/>
      <w:marLeft w:val="0"/>
      <w:marRight w:val="0"/>
      <w:marTop w:val="0"/>
      <w:marBottom w:val="0"/>
      <w:divBdr>
        <w:top w:val="none" w:sz="0" w:space="0" w:color="auto"/>
        <w:left w:val="none" w:sz="0" w:space="0" w:color="auto"/>
        <w:bottom w:val="none" w:sz="0" w:space="0" w:color="auto"/>
        <w:right w:val="none" w:sz="0" w:space="0" w:color="auto"/>
      </w:divBdr>
    </w:div>
    <w:div w:id="2068063144">
      <w:bodyDiv w:val="1"/>
      <w:marLeft w:val="0"/>
      <w:marRight w:val="0"/>
      <w:marTop w:val="0"/>
      <w:marBottom w:val="0"/>
      <w:divBdr>
        <w:top w:val="none" w:sz="0" w:space="0" w:color="auto"/>
        <w:left w:val="none" w:sz="0" w:space="0" w:color="auto"/>
        <w:bottom w:val="none" w:sz="0" w:space="0" w:color="auto"/>
        <w:right w:val="none" w:sz="0" w:space="0" w:color="auto"/>
      </w:divBdr>
    </w:div>
    <w:div w:id="2121953358">
      <w:bodyDiv w:val="1"/>
      <w:marLeft w:val="0"/>
      <w:marRight w:val="0"/>
      <w:marTop w:val="0"/>
      <w:marBottom w:val="0"/>
      <w:divBdr>
        <w:top w:val="none" w:sz="0" w:space="0" w:color="auto"/>
        <w:left w:val="none" w:sz="0" w:space="0" w:color="auto"/>
        <w:bottom w:val="none" w:sz="0" w:space="0" w:color="auto"/>
        <w:right w:val="none" w:sz="0" w:space="0" w:color="auto"/>
      </w:divBdr>
    </w:div>
    <w:div w:id="21422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psr.umich.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info.gov/public/do/PRAViewICR?ref_nbr=201812-1121-00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ces.ed.gov/pubsearch/pubsinfo.asp?pubid=202109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js.ojp.gov/library/publications/report-indicators-school-crime-and-safety-2020" TargetMode="External"/><Relationship Id="rId5" Type="http://schemas.openxmlformats.org/officeDocument/2006/relationships/numbering" Target="numbering.xml"/><Relationship Id="rId15" Type="http://schemas.openxmlformats.org/officeDocument/2006/relationships/hyperlink" Target="https://nces.ed.gov/pubsearch/pubsinfo.asp?pubid=202114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psr.umich.edu/web/NACJD/studies/378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1753C26D1F424FBD3DBFB75CF4F1AA" ma:contentTypeVersion="6" ma:contentTypeDescription="Create a new document." ma:contentTypeScope="" ma:versionID="9604c4fa52c08ff26926cd7b7c2f74de">
  <xsd:schema xmlns:xsd="http://www.w3.org/2001/XMLSchema" xmlns:xs="http://www.w3.org/2001/XMLSchema" xmlns:p="http://schemas.microsoft.com/office/2006/metadata/properties" xmlns:ns2="ec544080-2cf2-4e57-8dd4-452ef588bb95" xmlns:ns3="dd1a195e-9646-4460-9838-d9a408a910ed" targetNamespace="http://schemas.microsoft.com/office/2006/metadata/properties" ma:root="true" ma:fieldsID="0575bca3bad1d575be4f97f85f35bcde" ns2:_="" ns3:_="">
    <xsd:import namespace="ec544080-2cf2-4e57-8dd4-452ef588bb95"/>
    <xsd:import namespace="dd1a195e-9646-4460-9838-d9a408a910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44080-2cf2-4e57-8dd4-452ef588bb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a195e-9646-4460-9838-d9a408a910e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147792-FEE5-4CBA-BD58-F6B46FF2D3BA}">
  <ds:schemaRefs>
    <ds:schemaRef ds:uri="http://schemas.microsoft.com/office/infopath/2007/PartnerControls"/>
    <ds:schemaRef ds:uri="http://purl.org/dc/elements/1.1/"/>
    <ds:schemaRef ds:uri="http://schemas.microsoft.com/office/2006/documentManagement/types"/>
    <ds:schemaRef ds:uri="ec544080-2cf2-4e57-8dd4-452ef588bb95"/>
    <ds:schemaRef ds:uri="http://purl.org/dc/terms/"/>
    <ds:schemaRef ds:uri="http://schemas.openxmlformats.org/package/2006/metadata/core-properties"/>
    <ds:schemaRef ds:uri="http://purl.org/dc/dcmitype/"/>
    <ds:schemaRef ds:uri="dd1a195e-9646-4460-9838-d9a408a910e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4386707-69FB-4651-B5E4-7456966A146C}">
  <ds:schemaRefs>
    <ds:schemaRef ds:uri="http://schemas.microsoft.com/sharepoint/v3/contenttype/forms"/>
  </ds:schemaRefs>
</ds:datastoreItem>
</file>

<file path=customXml/itemProps3.xml><?xml version="1.0" encoding="utf-8"?>
<ds:datastoreItem xmlns:ds="http://schemas.openxmlformats.org/officeDocument/2006/customXml" ds:itemID="{1CE4EF7A-30CD-429D-B3F8-8CD6CF750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44080-2cf2-4e57-8dd4-452ef588bb95"/>
    <ds:schemaRef ds:uri="dd1a195e-9646-4460-9838-d9a408a91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11B19-E700-4462-99CA-6BD119459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5419</Words>
  <Characters>30744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36091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Draft 2015 OMB Supporting Statement A</dc:creator>
  <cp:lastModifiedBy>BJS</cp:lastModifiedBy>
  <cp:revision>14</cp:revision>
  <cp:lastPrinted>2018-10-16T13:54:00Z</cp:lastPrinted>
  <dcterms:created xsi:type="dcterms:W3CDTF">2021-08-27T12:29:00Z</dcterms:created>
  <dcterms:modified xsi:type="dcterms:W3CDTF">2021-09-09T12:23:00Z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0x010100731753C26D1F424FBD3DBFB75CF4F1AA</vt:lpwstr>
  </property>
</Properties>
</file>